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7CA8118E" w14:textId="4FD1330A" w:rsidR="00BA5E33" w:rsidRPr="00C53F10" w:rsidRDefault="00010CF0" w:rsidP="000F5753">
      <w:pPr>
        <w:pStyle w:val="Quote"/>
        <w:spacing w:line="276" w:lineRule="auto"/>
      </w:pPr>
      <w:r w:rsidRPr="00C53F10">
        <w:rPr>
          <w:noProof/>
          <w:lang w:val="en-US" w:eastAsia="en-US"/>
        </w:rPr>
        <w:drawing>
          <wp:anchor distT="0" distB="0" distL="114300" distR="114300" simplePos="0" relativeHeight="251707904" behindDoc="1" locked="0" layoutInCell="1" allowOverlap="1" wp14:anchorId="599C2C8D" wp14:editId="7E71ED34">
            <wp:simplePos x="0" y="0"/>
            <wp:positionH relativeFrom="column">
              <wp:posOffset>2256790</wp:posOffset>
            </wp:positionH>
            <wp:positionV relativeFrom="paragraph">
              <wp:posOffset>129540</wp:posOffset>
            </wp:positionV>
            <wp:extent cx="1602821" cy="1463040"/>
            <wp:effectExtent l="0" t="0" r="0" b="3810"/>
            <wp:wrapTight wrapText="bothSides">
              <wp:wrapPolygon edited="0">
                <wp:start x="0" y="0"/>
                <wp:lineTo x="0" y="21375"/>
                <wp:lineTo x="21309" y="21375"/>
                <wp:lineTo x="21309" y="0"/>
                <wp:lineTo x="0" y="0"/>
              </wp:wrapPolygon>
            </wp:wrapTight>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2821" cy="1463040"/>
                    </a:xfrm>
                    <a:prstGeom prst="rect">
                      <a:avLst/>
                    </a:prstGeom>
                    <a:noFill/>
                  </pic:spPr>
                </pic:pic>
              </a:graphicData>
            </a:graphic>
          </wp:anchor>
        </w:drawing>
      </w:r>
    </w:p>
    <w:p w14:paraId="56B65E89" w14:textId="77777777" w:rsidR="00BA5E33" w:rsidRPr="00C53F10" w:rsidRDefault="00BA5E33" w:rsidP="000F5753">
      <w:pPr>
        <w:spacing w:line="276" w:lineRule="auto"/>
      </w:pPr>
    </w:p>
    <w:p w14:paraId="2D55819E" w14:textId="77777777" w:rsidR="00BA5E33" w:rsidRPr="00C53F10" w:rsidRDefault="00BA5E33" w:rsidP="000F5753">
      <w:pPr>
        <w:spacing w:line="276" w:lineRule="auto"/>
      </w:pPr>
    </w:p>
    <w:p w14:paraId="445A47B1" w14:textId="77777777" w:rsidR="00BA5E33" w:rsidRPr="00C53F10" w:rsidRDefault="00BA5E33" w:rsidP="000F5753">
      <w:pPr>
        <w:spacing w:line="276" w:lineRule="auto"/>
      </w:pPr>
    </w:p>
    <w:p w14:paraId="567D1B1B" w14:textId="77777777" w:rsidR="00BA5E33" w:rsidRPr="00C53F10" w:rsidRDefault="00BA5E33" w:rsidP="000F5753">
      <w:pPr>
        <w:spacing w:line="276" w:lineRule="auto"/>
      </w:pPr>
    </w:p>
    <w:p w14:paraId="1885B16E" w14:textId="77777777" w:rsidR="00BA5E33" w:rsidRPr="00C53F10" w:rsidRDefault="00BA5E33" w:rsidP="000F5753">
      <w:pPr>
        <w:spacing w:line="276" w:lineRule="auto"/>
      </w:pPr>
    </w:p>
    <w:p w14:paraId="5BF47B89" w14:textId="77777777" w:rsidR="00BA5E33" w:rsidRPr="00C53F10" w:rsidRDefault="00BA5E33" w:rsidP="000F5753">
      <w:pPr>
        <w:spacing w:line="276" w:lineRule="auto"/>
      </w:pPr>
    </w:p>
    <w:p w14:paraId="4D3427E9" w14:textId="77777777" w:rsidR="00BA5E33" w:rsidRPr="00C53F10" w:rsidRDefault="00BA5E33" w:rsidP="000F5753">
      <w:pPr>
        <w:spacing w:line="276" w:lineRule="auto"/>
      </w:pPr>
    </w:p>
    <w:p w14:paraId="64EBFA1F" w14:textId="77777777" w:rsidR="00BA5E33" w:rsidRPr="00C53F10" w:rsidRDefault="00BA5E33" w:rsidP="000F5753">
      <w:pPr>
        <w:spacing w:line="276" w:lineRule="auto"/>
      </w:pPr>
    </w:p>
    <w:p w14:paraId="4BE7675B" w14:textId="77777777" w:rsidR="00BA5E33" w:rsidRPr="00C53F10" w:rsidRDefault="00BA5E33" w:rsidP="000F5753">
      <w:pPr>
        <w:spacing w:line="276" w:lineRule="auto"/>
      </w:pPr>
    </w:p>
    <w:p w14:paraId="6DF64C11" w14:textId="77777777" w:rsidR="00243C56" w:rsidRPr="00C53F10" w:rsidRDefault="00243C56" w:rsidP="000F5753">
      <w:pPr>
        <w:spacing w:line="276" w:lineRule="auto"/>
      </w:pPr>
    </w:p>
    <w:p w14:paraId="1CD10BAF" w14:textId="77777777" w:rsidR="00243C56" w:rsidRPr="00C53F10" w:rsidRDefault="00243C56" w:rsidP="000F5753">
      <w:pPr>
        <w:spacing w:line="276" w:lineRule="auto"/>
      </w:pPr>
    </w:p>
    <w:p w14:paraId="1AB9F472" w14:textId="77777777" w:rsidR="00243C56" w:rsidRPr="00C53F10" w:rsidRDefault="00243C56" w:rsidP="000F5753">
      <w:pPr>
        <w:spacing w:line="276" w:lineRule="auto"/>
      </w:pPr>
    </w:p>
    <w:p w14:paraId="6AE371E8" w14:textId="77777777" w:rsidR="00243C56" w:rsidRPr="00C53F10" w:rsidRDefault="00243C56" w:rsidP="000F5753">
      <w:pPr>
        <w:spacing w:line="276" w:lineRule="auto"/>
      </w:pPr>
    </w:p>
    <w:p w14:paraId="0774DDB6" w14:textId="77777777" w:rsidR="00BA5E33" w:rsidRPr="00C53F10" w:rsidRDefault="00BA5E33" w:rsidP="000F5753">
      <w:pPr>
        <w:spacing w:line="276" w:lineRule="auto"/>
        <w:jc w:val="center"/>
        <w:rPr>
          <w:b/>
          <w:bCs/>
        </w:rPr>
      </w:pPr>
      <w:r w:rsidRPr="00C53F10">
        <w:tab/>
      </w:r>
    </w:p>
    <w:p w14:paraId="296A45D1" w14:textId="6C6DC179" w:rsidR="00BA5E33" w:rsidRPr="00C53F10" w:rsidRDefault="00BA5E33" w:rsidP="000F5753">
      <w:pPr>
        <w:spacing w:line="276" w:lineRule="auto"/>
        <w:jc w:val="center"/>
        <w:rPr>
          <w:b/>
          <w:bCs/>
          <w:sz w:val="32"/>
          <w:szCs w:val="32"/>
        </w:rPr>
      </w:pPr>
      <w:r w:rsidRPr="00C53F10">
        <w:rPr>
          <w:b/>
          <w:bCs/>
          <w:sz w:val="32"/>
          <w:szCs w:val="32"/>
        </w:rPr>
        <w:t xml:space="preserve">     MINISTERUL FINANŢELOR </w:t>
      </w:r>
    </w:p>
    <w:p w14:paraId="6D052D54" w14:textId="77777777" w:rsidR="00BA5E33" w:rsidRPr="00C53F10" w:rsidRDefault="00BA5E33" w:rsidP="000F5753">
      <w:pPr>
        <w:spacing w:line="276" w:lineRule="auto"/>
        <w:jc w:val="center"/>
        <w:rPr>
          <w:b/>
          <w:bCs/>
        </w:rPr>
      </w:pPr>
    </w:p>
    <w:p w14:paraId="7AA8D783" w14:textId="00A27263" w:rsidR="00BA5E33" w:rsidRPr="00C53F10" w:rsidRDefault="00BA5E33" w:rsidP="000F5753">
      <w:pPr>
        <w:spacing w:line="276" w:lineRule="auto"/>
        <w:jc w:val="center"/>
        <w:rPr>
          <w:sz w:val="28"/>
          <w:szCs w:val="28"/>
        </w:rPr>
      </w:pPr>
    </w:p>
    <w:p w14:paraId="730AE3B4" w14:textId="771E6A6A" w:rsidR="0005651C" w:rsidRPr="00C53F10" w:rsidRDefault="0005651C" w:rsidP="000F5753">
      <w:pPr>
        <w:spacing w:line="276" w:lineRule="auto"/>
        <w:jc w:val="center"/>
        <w:rPr>
          <w:sz w:val="28"/>
          <w:szCs w:val="28"/>
        </w:rPr>
      </w:pPr>
    </w:p>
    <w:p w14:paraId="64E54CBB" w14:textId="77777777" w:rsidR="0005651C" w:rsidRPr="00C53F10" w:rsidRDefault="0005651C" w:rsidP="000F5753">
      <w:pPr>
        <w:spacing w:line="276" w:lineRule="auto"/>
        <w:jc w:val="center"/>
        <w:rPr>
          <w:sz w:val="28"/>
          <w:szCs w:val="28"/>
        </w:rPr>
      </w:pPr>
    </w:p>
    <w:p w14:paraId="16827166" w14:textId="77777777" w:rsidR="00C94F9E" w:rsidRPr="00C53F10" w:rsidRDefault="00C94F9E" w:rsidP="00C94F9E">
      <w:pPr>
        <w:pBdr>
          <w:top w:val="single" w:sz="4" w:space="1" w:color="auto"/>
          <w:bottom w:val="single" w:sz="4" w:space="1" w:color="auto"/>
        </w:pBdr>
        <w:spacing w:after="120"/>
        <w:jc w:val="right"/>
        <w:rPr>
          <w:b/>
          <w:caps/>
          <w:color w:val="0070C0"/>
          <w:sz w:val="28"/>
          <w:szCs w:val="28"/>
        </w:rPr>
      </w:pPr>
      <w:r w:rsidRPr="00C53F10">
        <w:rPr>
          <w:b/>
          <w:caps/>
          <w:color w:val="0070C0"/>
          <w:sz w:val="28"/>
          <w:szCs w:val="28"/>
        </w:rPr>
        <w:t xml:space="preserve">RAPORT PRIVIND EXECUția bugetARĂ </w:t>
      </w:r>
    </w:p>
    <w:p w14:paraId="4763F3BE" w14:textId="1445619E" w:rsidR="00C94F9E" w:rsidRPr="00C53F10" w:rsidRDefault="00C94F9E" w:rsidP="00C94F9E">
      <w:pPr>
        <w:pBdr>
          <w:top w:val="single" w:sz="4" w:space="1" w:color="auto"/>
          <w:bottom w:val="single" w:sz="4" w:space="1" w:color="auto"/>
        </w:pBdr>
        <w:spacing w:after="120"/>
        <w:jc w:val="right"/>
        <w:rPr>
          <w:b/>
          <w:caps/>
          <w:color w:val="0070C0"/>
          <w:sz w:val="28"/>
          <w:szCs w:val="28"/>
        </w:rPr>
      </w:pPr>
      <w:r w:rsidRPr="00C53F10">
        <w:rPr>
          <w:b/>
          <w:caps/>
          <w:color w:val="0070C0"/>
          <w:sz w:val="28"/>
          <w:szCs w:val="28"/>
        </w:rPr>
        <w:t>FINALĂ PE ANUL 20</w:t>
      </w:r>
      <w:r w:rsidR="008E425E" w:rsidRPr="00C53F10">
        <w:rPr>
          <w:b/>
          <w:caps/>
          <w:color w:val="0070C0"/>
          <w:sz w:val="28"/>
          <w:szCs w:val="28"/>
        </w:rPr>
        <w:t>2</w:t>
      </w:r>
      <w:r w:rsidR="00E336B5" w:rsidRPr="00C53F10">
        <w:rPr>
          <w:b/>
          <w:caps/>
          <w:color w:val="0070C0"/>
          <w:sz w:val="28"/>
          <w:szCs w:val="28"/>
        </w:rPr>
        <w:t>4</w:t>
      </w:r>
    </w:p>
    <w:p w14:paraId="2CE401BC" w14:textId="77777777" w:rsidR="00BA5E33" w:rsidRPr="00C53F10" w:rsidRDefault="00BA5E33" w:rsidP="000F5753">
      <w:pPr>
        <w:spacing w:line="276" w:lineRule="auto"/>
        <w:jc w:val="center"/>
        <w:rPr>
          <w:b/>
          <w:bCs/>
        </w:rPr>
      </w:pPr>
    </w:p>
    <w:p w14:paraId="42235892" w14:textId="77777777" w:rsidR="00BA5E33" w:rsidRPr="00C53F10" w:rsidRDefault="00BA5E33" w:rsidP="000F5753">
      <w:pPr>
        <w:spacing w:line="276" w:lineRule="auto"/>
        <w:jc w:val="center"/>
        <w:rPr>
          <w:b/>
          <w:bCs/>
        </w:rPr>
      </w:pPr>
    </w:p>
    <w:p w14:paraId="6109B99F" w14:textId="77777777" w:rsidR="00BA5E33" w:rsidRPr="00C53F10" w:rsidRDefault="00BA5E33" w:rsidP="000F5753">
      <w:pPr>
        <w:spacing w:line="276" w:lineRule="auto"/>
        <w:jc w:val="center"/>
        <w:rPr>
          <w:b/>
          <w:bCs/>
        </w:rPr>
      </w:pPr>
    </w:p>
    <w:p w14:paraId="4D22E7C5" w14:textId="77777777" w:rsidR="00BA5E33" w:rsidRPr="00C53F10" w:rsidRDefault="00BA5E33" w:rsidP="000F5753">
      <w:pPr>
        <w:spacing w:line="276" w:lineRule="auto"/>
        <w:jc w:val="center"/>
        <w:rPr>
          <w:b/>
          <w:bCs/>
        </w:rPr>
      </w:pPr>
    </w:p>
    <w:p w14:paraId="4F2256B1" w14:textId="26D7239D" w:rsidR="00BA5E33" w:rsidRPr="00C53F10" w:rsidRDefault="00BA5E33" w:rsidP="00552094">
      <w:pPr>
        <w:spacing w:line="276" w:lineRule="auto"/>
        <w:jc w:val="center"/>
        <w:outlineLvl w:val="1"/>
        <w:rPr>
          <w:b/>
          <w:bCs/>
        </w:rPr>
      </w:pPr>
    </w:p>
    <w:p w14:paraId="7364B43E" w14:textId="77777777" w:rsidR="00BA5E33" w:rsidRPr="00C53F10" w:rsidRDefault="00BA5E33" w:rsidP="000F5753">
      <w:pPr>
        <w:spacing w:line="276" w:lineRule="auto"/>
        <w:jc w:val="center"/>
        <w:rPr>
          <w:b/>
          <w:bCs/>
        </w:rPr>
      </w:pPr>
    </w:p>
    <w:p w14:paraId="79639698" w14:textId="77777777" w:rsidR="00BA5E33" w:rsidRPr="00C53F10" w:rsidRDefault="00BA5E33" w:rsidP="000F5753">
      <w:pPr>
        <w:spacing w:line="276" w:lineRule="auto"/>
        <w:jc w:val="center"/>
        <w:rPr>
          <w:b/>
          <w:bCs/>
        </w:rPr>
      </w:pPr>
    </w:p>
    <w:p w14:paraId="7C9550F5" w14:textId="77777777" w:rsidR="00BA5E33" w:rsidRPr="00C53F10" w:rsidRDefault="00BA5E33" w:rsidP="000F5753">
      <w:pPr>
        <w:spacing w:line="276" w:lineRule="auto"/>
        <w:jc w:val="center"/>
        <w:rPr>
          <w:b/>
          <w:bCs/>
        </w:rPr>
      </w:pPr>
    </w:p>
    <w:p w14:paraId="074FBE12" w14:textId="77777777" w:rsidR="00BA5E33" w:rsidRPr="00C53F10" w:rsidRDefault="00BA5E33" w:rsidP="000F5753">
      <w:pPr>
        <w:spacing w:line="276" w:lineRule="auto"/>
        <w:jc w:val="center"/>
        <w:rPr>
          <w:b/>
          <w:bCs/>
        </w:rPr>
      </w:pPr>
    </w:p>
    <w:p w14:paraId="193B5DC8" w14:textId="77777777" w:rsidR="00BA5E33" w:rsidRPr="00C53F10" w:rsidRDefault="00BA5E33" w:rsidP="000F5753">
      <w:pPr>
        <w:spacing w:line="276" w:lineRule="auto"/>
        <w:jc w:val="center"/>
        <w:rPr>
          <w:b/>
          <w:bCs/>
        </w:rPr>
      </w:pPr>
    </w:p>
    <w:p w14:paraId="15897FB3" w14:textId="77777777" w:rsidR="00BA5E33" w:rsidRPr="00C53F10" w:rsidRDefault="00BA5E33" w:rsidP="000F5753">
      <w:pPr>
        <w:spacing w:line="276" w:lineRule="auto"/>
        <w:jc w:val="center"/>
        <w:rPr>
          <w:b/>
          <w:bCs/>
        </w:rPr>
      </w:pPr>
    </w:p>
    <w:p w14:paraId="56F4B8CA" w14:textId="77777777" w:rsidR="00BA5E33" w:rsidRPr="00C53F10" w:rsidRDefault="00BA5E33" w:rsidP="000F5753">
      <w:pPr>
        <w:spacing w:line="276" w:lineRule="auto"/>
        <w:jc w:val="center"/>
        <w:rPr>
          <w:b/>
          <w:bCs/>
        </w:rPr>
      </w:pPr>
    </w:p>
    <w:p w14:paraId="0561F128" w14:textId="77777777" w:rsidR="00BA5E33" w:rsidRPr="00C53F10" w:rsidRDefault="00BA5E33" w:rsidP="000F5753">
      <w:pPr>
        <w:spacing w:line="276" w:lineRule="auto"/>
        <w:jc w:val="center"/>
        <w:rPr>
          <w:b/>
          <w:bCs/>
        </w:rPr>
      </w:pPr>
    </w:p>
    <w:p w14:paraId="196D41DB" w14:textId="77777777" w:rsidR="00BA5E33" w:rsidRPr="00C53F10" w:rsidRDefault="00BA5E33" w:rsidP="000F5753">
      <w:pPr>
        <w:spacing w:line="276" w:lineRule="auto"/>
        <w:jc w:val="center"/>
        <w:rPr>
          <w:b/>
          <w:bCs/>
        </w:rPr>
      </w:pPr>
    </w:p>
    <w:p w14:paraId="0F843C7D" w14:textId="77777777" w:rsidR="00BA5E33" w:rsidRPr="00C53F10" w:rsidRDefault="00BA5E33" w:rsidP="000F5753">
      <w:pPr>
        <w:spacing w:line="276" w:lineRule="auto"/>
        <w:jc w:val="center"/>
        <w:rPr>
          <w:b/>
          <w:bCs/>
        </w:rPr>
      </w:pPr>
    </w:p>
    <w:p w14:paraId="5F11374A" w14:textId="77777777" w:rsidR="00BA5E33" w:rsidRPr="00C53F10" w:rsidRDefault="00BA5E33" w:rsidP="000F5753">
      <w:pPr>
        <w:spacing w:line="276" w:lineRule="auto"/>
        <w:jc w:val="center"/>
        <w:rPr>
          <w:b/>
          <w:bCs/>
        </w:rPr>
      </w:pPr>
    </w:p>
    <w:p w14:paraId="3282EE58" w14:textId="77777777" w:rsidR="00BA5E33" w:rsidRPr="00C53F10" w:rsidRDefault="00BA5E33" w:rsidP="000F5753">
      <w:pPr>
        <w:spacing w:line="276" w:lineRule="auto"/>
        <w:jc w:val="center"/>
        <w:rPr>
          <w:b/>
          <w:bCs/>
        </w:rPr>
      </w:pPr>
    </w:p>
    <w:p w14:paraId="63FE855A" w14:textId="77777777" w:rsidR="00BA5E33" w:rsidRPr="00C53F10" w:rsidRDefault="00BA5E33" w:rsidP="000F5753">
      <w:pPr>
        <w:spacing w:line="276" w:lineRule="auto"/>
        <w:jc w:val="center"/>
        <w:rPr>
          <w:b/>
          <w:bCs/>
        </w:rPr>
      </w:pPr>
    </w:p>
    <w:p w14:paraId="364EB04D" w14:textId="77777777" w:rsidR="00BA5E33" w:rsidRPr="00C53F10" w:rsidRDefault="00BA5E33" w:rsidP="000F5753">
      <w:pPr>
        <w:spacing w:line="276" w:lineRule="auto"/>
        <w:jc w:val="center"/>
        <w:rPr>
          <w:b/>
          <w:bCs/>
        </w:rPr>
      </w:pPr>
    </w:p>
    <w:p w14:paraId="03CE5550" w14:textId="77777777" w:rsidR="00BA5E33" w:rsidRPr="00C53F10" w:rsidRDefault="00BA5E33" w:rsidP="000F5753">
      <w:pPr>
        <w:spacing w:line="276" w:lineRule="auto"/>
        <w:jc w:val="center"/>
        <w:rPr>
          <w:b/>
          <w:bCs/>
        </w:rPr>
      </w:pPr>
    </w:p>
    <w:p w14:paraId="1DABA1A6" w14:textId="77777777" w:rsidR="00BA5E33" w:rsidRPr="00C53F10" w:rsidRDefault="00BA5E33" w:rsidP="000F5753">
      <w:pPr>
        <w:spacing w:line="276" w:lineRule="auto"/>
        <w:jc w:val="center"/>
        <w:rPr>
          <w:b/>
          <w:bCs/>
        </w:rPr>
      </w:pPr>
    </w:p>
    <w:p w14:paraId="5C653100" w14:textId="49E5CC39" w:rsidR="00BA5E33" w:rsidRPr="00C53F10" w:rsidRDefault="00BA5E33" w:rsidP="000F5753">
      <w:pPr>
        <w:spacing w:line="276" w:lineRule="auto"/>
        <w:jc w:val="center"/>
        <w:rPr>
          <w:b/>
          <w:bCs/>
        </w:rPr>
      </w:pPr>
    </w:p>
    <w:p w14:paraId="70DBD451" w14:textId="77777777" w:rsidR="00742F48" w:rsidRPr="00C53F10" w:rsidRDefault="00742F48" w:rsidP="00742F48">
      <w:pPr>
        <w:pStyle w:val="TOC1"/>
        <w:rPr>
          <w:rFonts w:ascii="Tahoma" w:hAnsi="Tahoma" w:cs="Tahoma"/>
        </w:rPr>
      </w:pPr>
    </w:p>
    <w:p w14:paraId="6B8A7C35" w14:textId="05700B5F" w:rsidR="00742F48" w:rsidRPr="00C53F10" w:rsidRDefault="00742F48" w:rsidP="00742F48">
      <w:pPr>
        <w:pStyle w:val="TOC1"/>
        <w:rPr>
          <w:rFonts w:ascii="Tahoma" w:hAnsi="Tahoma" w:cs="Tahoma"/>
        </w:rPr>
      </w:pPr>
      <w:r w:rsidRPr="00C53F10">
        <w:rPr>
          <w:rFonts w:ascii="Tahoma" w:hAnsi="Tahoma" w:cs="Tahoma"/>
        </w:rPr>
        <w:t>Cuprins</w:t>
      </w:r>
    </w:p>
    <w:p w14:paraId="036B8D63" w14:textId="48B40ACA" w:rsidR="00B66EFA" w:rsidRDefault="00742F48">
      <w:pPr>
        <w:pStyle w:val="TOC1"/>
        <w:rPr>
          <w:rFonts w:asciiTheme="minorHAnsi" w:eastAsiaTheme="minorEastAsia" w:hAnsiTheme="minorHAnsi" w:cstheme="minorBidi"/>
          <w:b w:val="0"/>
          <w:noProof/>
          <w:sz w:val="22"/>
          <w:szCs w:val="22"/>
          <w:lang w:val="en-US" w:eastAsia="en-US"/>
        </w:rPr>
      </w:pPr>
      <w:r w:rsidRPr="00C53F10">
        <w:rPr>
          <w:rFonts w:ascii="Tahoma" w:hAnsi="Tahoma" w:cs="Tahoma"/>
          <w:bCs/>
          <w:i/>
          <w:iCs/>
          <w:sz w:val="24"/>
          <w:szCs w:val="24"/>
        </w:rPr>
        <w:fldChar w:fldCharType="begin"/>
      </w:r>
      <w:r w:rsidRPr="00C53F10">
        <w:rPr>
          <w:rFonts w:ascii="Tahoma" w:hAnsi="Tahoma" w:cs="Tahoma"/>
          <w:bCs/>
          <w:i/>
          <w:iCs/>
          <w:sz w:val="24"/>
          <w:szCs w:val="24"/>
        </w:rPr>
        <w:instrText xml:space="preserve"> TOC \o "1-1" \h \z \u </w:instrText>
      </w:r>
      <w:r w:rsidRPr="00C53F10">
        <w:rPr>
          <w:rFonts w:ascii="Tahoma" w:hAnsi="Tahoma" w:cs="Tahoma"/>
          <w:bCs/>
          <w:i/>
          <w:iCs/>
          <w:sz w:val="24"/>
          <w:szCs w:val="24"/>
        </w:rPr>
        <w:fldChar w:fldCharType="separate"/>
      </w:r>
      <w:hyperlink w:anchor="_Toc199406227" w:history="1">
        <w:r w:rsidR="00B66EFA" w:rsidRPr="009C14B0">
          <w:rPr>
            <w:rStyle w:val="Hyperlink"/>
            <w:rFonts w:ascii="Tahoma" w:hAnsi="Tahoma" w:cs="Tahoma"/>
            <w:bCs/>
            <w:noProof/>
            <w:lang w:eastAsia="x-none"/>
          </w:rPr>
          <w:t>1.</w:t>
        </w:r>
        <w:r w:rsidR="00B66EFA">
          <w:rPr>
            <w:rFonts w:asciiTheme="minorHAnsi" w:eastAsiaTheme="minorEastAsia" w:hAnsiTheme="minorHAnsi" w:cstheme="minorBidi"/>
            <w:b w:val="0"/>
            <w:noProof/>
            <w:sz w:val="22"/>
            <w:szCs w:val="22"/>
            <w:lang w:val="en-US" w:eastAsia="en-US"/>
          </w:rPr>
          <w:tab/>
        </w:r>
        <w:r w:rsidR="00B66EFA" w:rsidRPr="009C14B0">
          <w:rPr>
            <w:rStyle w:val="Hyperlink"/>
            <w:rFonts w:ascii="Tahoma" w:hAnsi="Tahoma" w:cs="Tahoma"/>
            <w:bCs/>
            <w:noProof/>
            <w:lang w:eastAsia="x-none"/>
          </w:rPr>
          <w:t>Analiza situației macroeconomice</w:t>
        </w:r>
        <w:r w:rsidR="00B66EFA">
          <w:rPr>
            <w:noProof/>
            <w:webHidden/>
          </w:rPr>
          <w:tab/>
        </w:r>
        <w:r w:rsidR="00B66EFA">
          <w:rPr>
            <w:noProof/>
            <w:webHidden/>
          </w:rPr>
          <w:fldChar w:fldCharType="begin"/>
        </w:r>
        <w:r w:rsidR="00B66EFA">
          <w:rPr>
            <w:noProof/>
            <w:webHidden/>
          </w:rPr>
          <w:instrText xml:space="preserve"> PAGEREF _Toc199406227 \h </w:instrText>
        </w:r>
        <w:r w:rsidR="00B66EFA">
          <w:rPr>
            <w:noProof/>
            <w:webHidden/>
          </w:rPr>
        </w:r>
        <w:r w:rsidR="00B66EFA">
          <w:rPr>
            <w:noProof/>
            <w:webHidden/>
          </w:rPr>
          <w:fldChar w:fldCharType="separate"/>
        </w:r>
        <w:r w:rsidR="005802B3">
          <w:rPr>
            <w:noProof/>
            <w:webHidden/>
          </w:rPr>
          <w:t>1</w:t>
        </w:r>
        <w:r w:rsidR="00B66EFA">
          <w:rPr>
            <w:noProof/>
            <w:webHidden/>
          </w:rPr>
          <w:fldChar w:fldCharType="end"/>
        </w:r>
      </w:hyperlink>
    </w:p>
    <w:p w14:paraId="501BB33B" w14:textId="4B4F17DC" w:rsidR="00B66EFA" w:rsidRDefault="00B66EFA">
      <w:pPr>
        <w:pStyle w:val="TOC1"/>
        <w:rPr>
          <w:rFonts w:asciiTheme="minorHAnsi" w:eastAsiaTheme="minorEastAsia" w:hAnsiTheme="minorHAnsi" w:cstheme="minorBidi"/>
          <w:b w:val="0"/>
          <w:noProof/>
          <w:sz w:val="22"/>
          <w:szCs w:val="22"/>
          <w:lang w:val="en-US" w:eastAsia="en-US"/>
        </w:rPr>
      </w:pPr>
      <w:hyperlink w:anchor="_Toc199406228" w:history="1">
        <w:r w:rsidRPr="009C14B0">
          <w:rPr>
            <w:rStyle w:val="Hyperlink"/>
            <w:rFonts w:ascii="Tahoma" w:hAnsi="Tahoma" w:cs="Tahoma"/>
            <w:bCs/>
            <w:noProof/>
          </w:rPr>
          <w:t>2.</w:t>
        </w:r>
        <w:r>
          <w:rPr>
            <w:rFonts w:asciiTheme="minorHAnsi" w:eastAsiaTheme="minorEastAsia" w:hAnsiTheme="minorHAnsi" w:cstheme="minorBidi"/>
            <w:b w:val="0"/>
            <w:noProof/>
            <w:sz w:val="22"/>
            <w:szCs w:val="22"/>
            <w:lang w:val="en-US" w:eastAsia="en-US"/>
          </w:rPr>
          <w:tab/>
        </w:r>
        <w:r w:rsidRPr="009C14B0">
          <w:rPr>
            <w:rStyle w:val="Hyperlink"/>
            <w:rFonts w:ascii="Tahoma" w:hAnsi="Tahoma" w:cs="Tahoma"/>
            <w:bCs/>
            <w:noProof/>
          </w:rPr>
          <w:t>Deficitul ESA și deficitul structural</w:t>
        </w:r>
        <w:r>
          <w:rPr>
            <w:noProof/>
            <w:webHidden/>
          </w:rPr>
          <w:tab/>
        </w:r>
        <w:r>
          <w:rPr>
            <w:noProof/>
            <w:webHidden/>
          </w:rPr>
          <w:fldChar w:fldCharType="begin"/>
        </w:r>
        <w:r>
          <w:rPr>
            <w:noProof/>
            <w:webHidden/>
          </w:rPr>
          <w:instrText xml:space="preserve"> PAGEREF _Toc199406228 \h </w:instrText>
        </w:r>
        <w:r>
          <w:rPr>
            <w:noProof/>
            <w:webHidden/>
          </w:rPr>
        </w:r>
        <w:r>
          <w:rPr>
            <w:noProof/>
            <w:webHidden/>
          </w:rPr>
          <w:fldChar w:fldCharType="separate"/>
        </w:r>
        <w:r w:rsidR="005802B3">
          <w:rPr>
            <w:noProof/>
            <w:webHidden/>
          </w:rPr>
          <w:t>7</w:t>
        </w:r>
        <w:r>
          <w:rPr>
            <w:noProof/>
            <w:webHidden/>
          </w:rPr>
          <w:fldChar w:fldCharType="end"/>
        </w:r>
      </w:hyperlink>
    </w:p>
    <w:p w14:paraId="51B7B4FA" w14:textId="743CD0C8" w:rsidR="00B66EFA" w:rsidRDefault="00B66EFA">
      <w:pPr>
        <w:pStyle w:val="TOC1"/>
        <w:rPr>
          <w:rFonts w:asciiTheme="minorHAnsi" w:eastAsiaTheme="minorEastAsia" w:hAnsiTheme="minorHAnsi" w:cstheme="minorBidi"/>
          <w:b w:val="0"/>
          <w:noProof/>
          <w:sz w:val="22"/>
          <w:szCs w:val="22"/>
          <w:lang w:val="en-US" w:eastAsia="en-US"/>
        </w:rPr>
      </w:pPr>
      <w:hyperlink w:anchor="_Toc199406229" w:history="1">
        <w:r w:rsidRPr="009C14B0">
          <w:rPr>
            <w:rStyle w:val="Hyperlink"/>
            <w:rFonts w:ascii="Tahoma" w:hAnsi="Tahoma" w:cs="Tahoma"/>
            <w:bCs/>
            <w:noProof/>
          </w:rPr>
          <w:t>3.</w:t>
        </w:r>
        <w:r>
          <w:rPr>
            <w:rFonts w:asciiTheme="minorHAnsi" w:eastAsiaTheme="minorEastAsia" w:hAnsiTheme="minorHAnsi" w:cstheme="minorBidi"/>
            <w:b w:val="0"/>
            <w:noProof/>
            <w:sz w:val="22"/>
            <w:szCs w:val="22"/>
            <w:lang w:val="en-US" w:eastAsia="en-US"/>
          </w:rPr>
          <w:tab/>
        </w:r>
        <w:r w:rsidRPr="009C14B0">
          <w:rPr>
            <w:rStyle w:val="Hyperlink"/>
            <w:rFonts w:ascii="Tahoma" w:hAnsi="Tahoma" w:cs="Tahoma"/>
            <w:bCs/>
            <w:noProof/>
          </w:rPr>
          <w:t>Politica fiscal bugetară</w:t>
        </w:r>
        <w:r>
          <w:rPr>
            <w:noProof/>
            <w:webHidden/>
          </w:rPr>
          <w:tab/>
        </w:r>
        <w:r>
          <w:rPr>
            <w:noProof/>
            <w:webHidden/>
          </w:rPr>
          <w:fldChar w:fldCharType="begin"/>
        </w:r>
        <w:r>
          <w:rPr>
            <w:noProof/>
            <w:webHidden/>
          </w:rPr>
          <w:instrText xml:space="preserve"> PAGEREF _Toc199406229 \h </w:instrText>
        </w:r>
        <w:r>
          <w:rPr>
            <w:noProof/>
            <w:webHidden/>
          </w:rPr>
        </w:r>
        <w:r>
          <w:rPr>
            <w:noProof/>
            <w:webHidden/>
          </w:rPr>
          <w:fldChar w:fldCharType="separate"/>
        </w:r>
        <w:r w:rsidR="005802B3">
          <w:rPr>
            <w:noProof/>
            <w:webHidden/>
          </w:rPr>
          <w:t>9</w:t>
        </w:r>
        <w:r>
          <w:rPr>
            <w:noProof/>
            <w:webHidden/>
          </w:rPr>
          <w:fldChar w:fldCharType="end"/>
        </w:r>
      </w:hyperlink>
    </w:p>
    <w:p w14:paraId="0FA6ACCC" w14:textId="3284C1B5" w:rsidR="00B66EFA" w:rsidRDefault="00B66EFA">
      <w:pPr>
        <w:pStyle w:val="TOC1"/>
        <w:rPr>
          <w:rFonts w:asciiTheme="minorHAnsi" w:eastAsiaTheme="minorEastAsia" w:hAnsiTheme="minorHAnsi" w:cstheme="minorBidi"/>
          <w:b w:val="0"/>
          <w:noProof/>
          <w:sz w:val="22"/>
          <w:szCs w:val="22"/>
          <w:lang w:val="en-US" w:eastAsia="en-US"/>
        </w:rPr>
      </w:pPr>
      <w:hyperlink w:anchor="_Toc199406230" w:history="1">
        <w:r w:rsidRPr="009C14B0">
          <w:rPr>
            <w:rStyle w:val="Hyperlink"/>
            <w:rFonts w:ascii="Tahoma" w:hAnsi="Tahoma" w:cs="Tahoma"/>
            <w:bCs/>
            <w:noProof/>
          </w:rPr>
          <w:t>4.</w:t>
        </w:r>
        <w:r>
          <w:rPr>
            <w:rFonts w:asciiTheme="minorHAnsi" w:eastAsiaTheme="minorEastAsia" w:hAnsiTheme="minorHAnsi" w:cstheme="minorBidi"/>
            <w:b w:val="0"/>
            <w:noProof/>
            <w:sz w:val="22"/>
            <w:szCs w:val="22"/>
            <w:lang w:val="en-US" w:eastAsia="en-US"/>
          </w:rPr>
          <w:tab/>
        </w:r>
        <w:r w:rsidRPr="009C14B0">
          <w:rPr>
            <w:rStyle w:val="Hyperlink"/>
            <w:rFonts w:ascii="Tahoma" w:hAnsi="Tahoma" w:cs="Tahoma"/>
            <w:bCs/>
            <w:noProof/>
          </w:rPr>
          <w:t>Execuția bugetară pe anul 2024</w:t>
        </w:r>
        <w:r>
          <w:rPr>
            <w:noProof/>
            <w:webHidden/>
          </w:rPr>
          <w:tab/>
        </w:r>
        <w:r>
          <w:rPr>
            <w:noProof/>
            <w:webHidden/>
          </w:rPr>
          <w:fldChar w:fldCharType="begin"/>
        </w:r>
        <w:r>
          <w:rPr>
            <w:noProof/>
            <w:webHidden/>
          </w:rPr>
          <w:instrText xml:space="preserve"> PAGEREF _Toc199406230 \h </w:instrText>
        </w:r>
        <w:r>
          <w:rPr>
            <w:noProof/>
            <w:webHidden/>
          </w:rPr>
        </w:r>
        <w:r>
          <w:rPr>
            <w:noProof/>
            <w:webHidden/>
          </w:rPr>
          <w:fldChar w:fldCharType="separate"/>
        </w:r>
        <w:r w:rsidR="005802B3">
          <w:rPr>
            <w:noProof/>
            <w:webHidden/>
          </w:rPr>
          <w:t>22</w:t>
        </w:r>
        <w:r>
          <w:rPr>
            <w:noProof/>
            <w:webHidden/>
          </w:rPr>
          <w:fldChar w:fldCharType="end"/>
        </w:r>
      </w:hyperlink>
    </w:p>
    <w:p w14:paraId="083FB6A6" w14:textId="106958A6" w:rsidR="00B66EFA" w:rsidRDefault="00B66EFA">
      <w:pPr>
        <w:pStyle w:val="TOC1"/>
        <w:rPr>
          <w:rFonts w:asciiTheme="minorHAnsi" w:eastAsiaTheme="minorEastAsia" w:hAnsiTheme="minorHAnsi" w:cstheme="minorBidi"/>
          <w:b w:val="0"/>
          <w:noProof/>
          <w:sz w:val="22"/>
          <w:szCs w:val="22"/>
          <w:lang w:val="en-US" w:eastAsia="en-US"/>
        </w:rPr>
      </w:pPr>
      <w:hyperlink w:anchor="_Toc199406231" w:history="1">
        <w:r w:rsidRPr="009C14B0">
          <w:rPr>
            <w:rStyle w:val="Hyperlink"/>
            <w:rFonts w:ascii="Tahoma" w:hAnsi="Tahoma" w:cs="Tahoma"/>
            <w:bCs/>
            <w:noProof/>
          </w:rPr>
          <w:t>5.</w:t>
        </w:r>
        <w:r>
          <w:rPr>
            <w:rFonts w:asciiTheme="minorHAnsi" w:eastAsiaTheme="minorEastAsia" w:hAnsiTheme="minorHAnsi" w:cstheme="minorBidi"/>
            <w:b w:val="0"/>
            <w:noProof/>
            <w:sz w:val="22"/>
            <w:szCs w:val="22"/>
            <w:lang w:val="en-US" w:eastAsia="en-US"/>
          </w:rPr>
          <w:tab/>
        </w:r>
        <w:r w:rsidRPr="009C14B0">
          <w:rPr>
            <w:rStyle w:val="Hyperlink"/>
            <w:rFonts w:ascii="Tahoma" w:hAnsi="Tahoma" w:cs="Tahoma"/>
            <w:bCs/>
            <w:noProof/>
          </w:rPr>
          <w:t>Cheltuielile de natura investițiilor în anul 2024</w:t>
        </w:r>
        <w:r>
          <w:rPr>
            <w:noProof/>
            <w:webHidden/>
          </w:rPr>
          <w:tab/>
        </w:r>
        <w:r>
          <w:rPr>
            <w:noProof/>
            <w:webHidden/>
          </w:rPr>
          <w:fldChar w:fldCharType="begin"/>
        </w:r>
        <w:r>
          <w:rPr>
            <w:noProof/>
            <w:webHidden/>
          </w:rPr>
          <w:instrText xml:space="preserve"> PAGEREF _Toc199406231 \h </w:instrText>
        </w:r>
        <w:r>
          <w:rPr>
            <w:noProof/>
            <w:webHidden/>
          </w:rPr>
        </w:r>
        <w:r>
          <w:rPr>
            <w:noProof/>
            <w:webHidden/>
          </w:rPr>
          <w:fldChar w:fldCharType="separate"/>
        </w:r>
        <w:r w:rsidR="005802B3">
          <w:rPr>
            <w:noProof/>
            <w:webHidden/>
          </w:rPr>
          <w:t>38</w:t>
        </w:r>
        <w:r>
          <w:rPr>
            <w:noProof/>
            <w:webHidden/>
          </w:rPr>
          <w:fldChar w:fldCharType="end"/>
        </w:r>
      </w:hyperlink>
    </w:p>
    <w:p w14:paraId="0F4EBC0D" w14:textId="5C76A7A5" w:rsidR="00B66EFA" w:rsidRDefault="00B66EFA">
      <w:pPr>
        <w:pStyle w:val="TOC1"/>
        <w:rPr>
          <w:rFonts w:asciiTheme="minorHAnsi" w:eastAsiaTheme="minorEastAsia" w:hAnsiTheme="minorHAnsi" w:cstheme="minorBidi"/>
          <w:b w:val="0"/>
          <w:noProof/>
          <w:sz w:val="22"/>
          <w:szCs w:val="22"/>
          <w:lang w:val="en-US" w:eastAsia="en-US"/>
        </w:rPr>
      </w:pPr>
      <w:hyperlink w:anchor="_Toc199406232" w:history="1">
        <w:r w:rsidRPr="009C14B0">
          <w:rPr>
            <w:rStyle w:val="Hyperlink"/>
            <w:rFonts w:ascii="Tahoma" w:hAnsi="Tahoma" w:cs="Tahoma"/>
            <w:bCs/>
            <w:noProof/>
          </w:rPr>
          <w:t>6.</w:t>
        </w:r>
        <w:r>
          <w:rPr>
            <w:rFonts w:asciiTheme="minorHAnsi" w:eastAsiaTheme="minorEastAsia" w:hAnsiTheme="minorHAnsi" w:cstheme="minorBidi"/>
            <w:b w:val="0"/>
            <w:noProof/>
            <w:sz w:val="22"/>
            <w:szCs w:val="22"/>
            <w:lang w:val="en-US" w:eastAsia="en-US"/>
          </w:rPr>
          <w:tab/>
        </w:r>
        <w:r w:rsidRPr="009C14B0">
          <w:rPr>
            <w:rStyle w:val="Hyperlink"/>
            <w:rFonts w:ascii="Tahoma" w:hAnsi="Tahoma" w:cs="Tahoma"/>
            <w:bCs/>
            <w:noProof/>
          </w:rPr>
          <w:t>Activele financiare și nefinanciare guvernamentale</w:t>
        </w:r>
        <w:r>
          <w:rPr>
            <w:noProof/>
            <w:webHidden/>
          </w:rPr>
          <w:tab/>
        </w:r>
        <w:r>
          <w:rPr>
            <w:noProof/>
            <w:webHidden/>
          </w:rPr>
          <w:fldChar w:fldCharType="begin"/>
        </w:r>
        <w:r>
          <w:rPr>
            <w:noProof/>
            <w:webHidden/>
          </w:rPr>
          <w:instrText xml:space="preserve"> PAGEREF _Toc199406232 \h </w:instrText>
        </w:r>
        <w:r>
          <w:rPr>
            <w:noProof/>
            <w:webHidden/>
          </w:rPr>
        </w:r>
        <w:r>
          <w:rPr>
            <w:noProof/>
            <w:webHidden/>
          </w:rPr>
          <w:fldChar w:fldCharType="separate"/>
        </w:r>
        <w:r w:rsidR="005802B3">
          <w:rPr>
            <w:noProof/>
            <w:webHidden/>
          </w:rPr>
          <w:t>41</w:t>
        </w:r>
        <w:r>
          <w:rPr>
            <w:noProof/>
            <w:webHidden/>
          </w:rPr>
          <w:fldChar w:fldCharType="end"/>
        </w:r>
      </w:hyperlink>
    </w:p>
    <w:p w14:paraId="5A90E59C" w14:textId="5A7E4924" w:rsidR="00B66EFA" w:rsidRDefault="00B66EFA">
      <w:pPr>
        <w:pStyle w:val="TOC1"/>
        <w:rPr>
          <w:rFonts w:asciiTheme="minorHAnsi" w:eastAsiaTheme="minorEastAsia" w:hAnsiTheme="minorHAnsi" w:cstheme="minorBidi"/>
          <w:b w:val="0"/>
          <w:noProof/>
          <w:sz w:val="22"/>
          <w:szCs w:val="22"/>
          <w:lang w:val="en-US" w:eastAsia="en-US"/>
        </w:rPr>
      </w:pPr>
      <w:hyperlink w:anchor="_Toc199406233" w:history="1">
        <w:r w:rsidRPr="009C14B0">
          <w:rPr>
            <w:rStyle w:val="Hyperlink"/>
            <w:rFonts w:ascii="Tahoma" w:hAnsi="Tahoma" w:cs="Tahoma"/>
            <w:bCs/>
            <w:noProof/>
          </w:rPr>
          <w:t>7.</w:t>
        </w:r>
        <w:r>
          <w:rPr>
            <w:rFonts w:asciiTheme="minorHAnsi" w:eastAsiaTheme="minorEastAsia" w:hAnsiTheme="minorHAnsi" w:cstheme="minorBidi"/>
            <w:b w:val="0"/>
            <w:noProof/>
            <w:sz w:val="22"/>
            <w:szCs w:val="22"/>
            <w:lang w:val="en-US" w:eastAsia="en-US"/>
          </w:rPr>
          <w:tab/>
        </w:r>
        <w:r w:rsidRPr="009C14B0">
          <w:rPr>
            <w:rStyle w:val="Hyperlink"/>
            <w:rFonts w:ascii="Tahoma" w:hAnsi="Tahoma" w:cs="Tahoma"/>
            <w:bCs/>
            <w:noProof/>
          </w:rPr>
          <w:t>Finanțarea deficitului bugetar și datoria publică</w:t>
        </w:r>
        <w:r>
          <w:rPr>
            <w:noProof/>
            <w:webHidden/>
          </w:rPr>
          <w:tab/>
        </w:r>
        <w:r>
          <w:rPr>
            <w:noProof/>
            <w:webHidden/>
          </w:rPr>
          <w:fldChar w:fldCharType="begin"/>
        </w:r>
        <w:r>
          <w:rPr>
            <w:noProof/>
            <w:webHidden/>
          </w:rPr>
          <w:instrText xml:space="preserve"> PAGEREF _Toc199406233 \h </w:instrText>
        </w:r>
        <w:r>
          <w:rPr>
            <w:noProof/>
            <w:webHidden/>
          </w:rPr>
        </w:r>
        <w:r>
          <w:rPr>
            <w:noProof/>
            <w:webHidden/>
          </w:rPr>
          <w:fldChar w:fldCharType="separate"/>
        </w:r>
        <w:r w:rsidR="005802B3">
          <w:rPr>
            <w:noProof/>
            <w:webHidden/>
          </w:rPr>
          <w:t>42</w:t>
        </w:r>
        <w:r>
          <w:rPr>
            <w:noProof/>
            <w:webHidden/>
          </w:rPr>
          <w:fldChar w:fldCharType="end"/>
        </w:r>
      </w:hyperlink>
    </w:p>
    <w:p w14:paraId="03C575EE" w14:textId="6897A2F1" w:rsidR="00B66EFA" w:rsidRDefault="00B66EFA">
      <w:pPr>
        <w:pStyle w:val="TOC1"/>
        <w:rPr>
          <w:rFonts w:asciiTheme="minorHAnsi" w:eastAsiaTheme="minorEastAsia" w:hAnsiTheme="minorHAnsi" w:cstheme="minorBidi"/>
          <w:b w:val="0"/>
          <w:noProof/>
          <w:sz w:val="22"/>
          <w:szCs w:val="22"/>
          <w:lang w:val="en-US" w:eastAsia="en-US"/>
        </w:rPr>
      </w:pPr>
      <w:hyperlink w:anchor="_Toc199406234" w:history="1">
        <w:r w:rsidRPr="009C14B0">
          <w:rPr>
            <w:rStyle w:val="Hyperlink"/>
            <w:rFonts w:ascii="Tahoma" w:eastAsia="MS Mincho" w:hAnsi="Tahoma" w:cs="Tahoma"/>
            <w:noProof/>
            <w:lang w:eastAsia="ja-JP"/>
          </w:rPr>
          <w:t>Anexa nr.1 -</w:t>
        </w:r>
        <w:r w:rsidRPr="00B66EFA">
          <w:rPr>
            <w:rStyle w:val="Hyperlink"/>
            <w:rFonts w:ascii="Tahoma" w:eastAsia="MS Mincho" w:hAnsi="Tahoma" w:cs="Tahoma"/>
            <w:b w:val="0"/>
            <w:noProof/>
            <w:lang w:eastAsia="ja-JP"/>
          </w:rPr>
          <w:t>Execuția bugetului general consolidat în anul 2024</w:t>
        </w:r>
        <w:r>
          <w:rPr>
            <w:noProof/>
            <w:webHidden/>
          </w:rPr>
          <w:tab/>
        </w:r>
        <w:r>
          <w:rPr>
            <w:noProof/>
            <w:webHidden/>
          </w:rPr>
          <w:fldChar w:fldCharType="begin"/>
        </w:r>
        <w:r>
          <w:rPr>
            <w:noProof/>
            <w:webHidden/>
          </w:rPr>
          <w:instrText xml:space="preserve"> PAGEREF _Toc199406234 \h </w:instrText>
        </w:r>
        <w:r>
          <w:rPr>
            <w:noProof/>
            <w:webHidden/>
          </w:rPr>
        </w:r>
        <w:r>
          <w:rPr>
            <w:noProof/>
            <w:webHidden/>
          </w:rPr>
          <w:fldChar w:fldCharType="separate"/>
        </w:r>
        <w:r w:rsidR="005802B3">
          <w:rPr>
            <w:noProof/>
            <w:webHidden/>
          </w:rPr>
          <w:t>45</w:t>
        </w:r>
        <w:r>
          <w:rPr>
            <w:noProof/>
            <w:webHidden/>
          </w:rPr>
          <w:fldChar w:fldCharType="end"/>
        </w:r>
      </w:hyperlink>
    </w:p>
    <w:p w14:paraId="4949E049" w14:textId="260EA9CA" w:rsidR="00B66EFA" w:rsidRDefault="00B66EFA">
      <w:pPr>
        <w:pStyle w:val="TOC1"/>
        <w:rPr>
          <w:rFonts w:asciiTheme="minorHAnsi" w:eastAsiaTheme="minorEastAsia" w:hAnsiTheme="minorHAnsi" w:cstheme="minorBidi"/>
          <w:b w:val="0"/>
          <w:noProof/>
          <w:sz w:val="22"/>
          <w:szCs w:val="22"/>
          <w:lang w:val="en-US" w:eastAsia="en-US"/>
        </w:rPr>
      </w:pPr>
      <w:hyperlink w:anchor="_Toc199406235" w:history="1">
        <w:r w:rsidRPr="009C14B0">
          <w:rPr>
            <w:rStyle w:val="Hyperlink"/>
            <w:rFonts w:ascii="Tahoma" w:eastAsia="MS Mincho" w:hAnsi="Tahoma" w:cs="Tahoma"/>
            <w:noProof/>
            <w:lang w:eastAsia="ja-JP"/>
          </w:rPr>
          <w:t xml:space="preserve">Anexa nr.2 - </w:t>
        </w:r>
        <w:r w:rsidRPr="00B66EFA">
          <w:rPr>
            <w:rStyle w:val="Hyperlink"/>
            <w:rFonts w:ascii="Tahoma" w:eastAsia="MS Mincho" w:hAnsi="Tahoma" w:cs="Tahoma"/>
            <w:b w:val="0"/>
            <w:noProof/>
            <w:lang w:eastAsia="ja-JP"/>
          </w:rPr>
          <w:t>Tabelul de corespondență privind metodologia de tranziție între datele bazate pe contabilitatea în numerar și datele bazate pe standardele sistemului european de conturi 2021</w:t>
        </w:r>
        <w:r>
          <w:rPr>
            <w:noProof/>
            <w:webHidden/>
          </w:rPr>
          <w:tab/>
        </w:r>
        <w:r>
          <w:rPr>
            <w:noProof/>
            <w:webHidden/>
          </w:rPr>
          <w:fldChar w:fldCharType="begin"/>
        </w:r>
        <w:r>
          <w:rPr>
            <w:noProof/>
            <w:webHidden/>
          </w:rPr>
          <w:instrText xml:space="preserve"> PAGEREF _Toc199406235 \h </w:instrText>
        </w:r>
        <w:r>
          <w:rPr>
            <w:noProof/>
            <w:webHidden/>
          </w:rPr>
        </w:r>
        <w:r>
          <w:rPr>
            <w:noProof/>
            <w:webHidden/>
          </w:rPr>
          <w:fldChar w:fldCharType="separate"/>
        </w:r>
        <w:r w:rsidR="005802B3">
          <w:rPr>
            <w:noProof/>
            <w:webHidden/>
          </w:rPr>
          <w:t>46</w:t>
        </w:r>
        <w:r>
          <w:rPr>
            <w:noProof/>
            <w:webHidden/>
          </w:rPr>
          <w:fldChar w:fldCharType="end"/>
        </w:r>
      </w:hyperlink>
    </w:p>
    <w:p w14:paraId="0FD87B74" w14:textId="49608F46" w:rsidR="00986B5D" w:rsidRPr="00C53F10" w:rsidRDefault="00742F48" w:rsidP="00B05F95">
      <w:pPr>
        <w:spacing w:line="276" w:lineRule="auto"/>
        <w:jc w:val="both"/>
        <w:rPr>
          <w:b/>
          <w:bCs/>
        </w:rPr>
      </w:pPr>
      <w:r w:rsidRPr="00C53F10">
        <w:rPr>
          <w:b/>
          <w:bCs/>
          <w:i/>
          <w:iCs/>
        </w:rPr>
        <w:fldChar w:fldCharType="end"/>
      </w:r>
    </w:p>
    <w:p w14:paraId="4489AEF5" w14:textId="2FBC0D67" w:rsidR="00742F48" w:rsidRDefault="00742F48">
      <w:pPr>
        <w:rPr>
          <w:b/>
          <w:bCs/>
        </w:rPr>
      </w:pPr>
    </w:p>
    <w:p w14:paraId="5C5AED93" w14:textId="1F47E2E0" w:rsidR="00B8238C" w:rsidRDefault="00B8238C">
      <w:pPr>
        <w:rPr>
          <w:b/>
          <w:bCs/>
        </w:rPr>
      </w:pPr>
    </w:p>
    <w:p w14:paraId="23D75EED" w14:textId="49334C1E" w:rsidR="00B8238C" w:rsidRDefault="00B8238C">
      <w:pPr>
        <w:rPr>
          <w:b/>
          <w:bCs/>
        </w:rPr>
      </w:pPr>
    </w:p>
    <w:p w14:paraId="4FFBFF9A" w14:textId="3BB92481" w:rsidR="00B8238C" w:rsidRDefault="00B8238C">
      <w:pPr>
        <w:rPr>
          <w:b/>
          <w:bCs/>
        </w:rPr>
      </w:pPr>
    </w:p>
    <w:p w14:paraId="48BA3969" w14:textId="77777777" w:rsidR="00B8238C" w:rsidRPr="00C53F10" w:rsidRDefault="00B8238C">
      <w:pPr>
        <w:rPr>
          <w:b/>
          <w:bCs/>
        </w:rPr>
        <w:sectPr w:rsidR="00B8238C" w:rsidRPr="00C53F10" w:rsidSect="00FE6AC3">
          <w:footerReference w:type="even" r:id="rId9"/>
          <w:footerReference w:type="default" r:id="rId10"/>
          <w:headerReference w:type="first" r:id="rId11"/>
          <w:footerReference w:type="first" r:id="rId12"/>
          <w:type w:val="continuous"/>
          <w:pgSz w:w="11907" w:h="16840" w:code="9"/>
          <w:pgMar w:top="576" w:right="850" w:bottom="576" w:left="1411" w:header="720" w:footer="720" w:gutter="0"/>
          <w:pgNumType w:start="0"/>
          <w:cols w:space="720"/>
          <w:titlePg/>
          <w:docGrid w:linePitch="360"/>
        </w:sectPr>
      </w:pPr>
    </w:p>
    <w:p w14:paraId="6FBFAA84" w14:textId="3AF11656" w:rsidR="00BA5E33" w:rsidRPr="00C53F10" w:rsidRDefault="00BA5E33" w:rsidP="00552094">
      <w:pPr>
        <w:pStyle w:val="Heading1"/>
        <w:numPr>
          <w:ilvl w:val="0"/>
          <w:numId w:val="22"/>
        </w:numPr>
        <w:spacing w:after="240" w:line="276" w:lineRule="auto"/>
        <w:rPr>
          <w:rFonts w:ascii="Tahoma" w:hAnsi="Tahoma" w:cs="Tahoma"/>
          <w:b/>
          <w:bCs/>
          <w:color w:val="000000"/>
          <w:sz w:val="24"/>
          <w:szCs w:val="24"/>
          <w:lang w:eastAsia="x-none"/>
        </w:rPr>
      </w:pPr>
      <w:bookmarkStart w:id="0" w:name="_Toc451247816"/>
      <w:bookmarkStart w:id="1" w:name="_Toc451248268"/>
      <w:bookmarkStart w:id="2" w:name="_Toc451248432"/>
      <w:bookmarkStart w:id="3" w:name="_Ref452040195"/>
      <w:bookmarkStart w:id="4" w:name="_Toc198290362"/>
      <w:bookmarkStart w:id="5" w:name="_Toc199406227"/>
      <w:r w:rsidRPr="00C53F10">
        <w:rPr>
          <w:rFonts w:ascii="Tahoma" w:hAnsi="Tahoma" w:cs="Tahoma"/>
          <w:b/>
          <w:bCs/>
          <w:color w:val="000000"/>
          <w:sz w:val="24"/>
          <w:szCs w:val="24"/>
          <w:lang w:eastAsia="x-none"/>
        </w:rPr>
        <w:lastRenderedPageBreak/>
        <w:t>Analiza situației macroeconomice</w:t>
      </w:r>
      <w:bookmarkEnd w:id="0"/>
      <w:bookmarkEnd w:id="1"/>
      <w:bookmarkEnd w:id="2"/>
      <w:bookmarkEnd w:id="3"/>
      <w:bookmarkEnd w:id="4"/>
      <w:bookmarkEnd w:id="5"/>
    </w:p>
    <w:p w14:paraId="4FCFBFB3" w14:textId="77777777" w:rsidR="00553BDD" w:rsidRPr="00553BDD" w:rsidRDefault="00553BDD" w:rsidP="008B2048">
      <w:pPr>
        <w:keepNext/>
        <w:keepLines/>
        <w:spacing w:before="120" w:after="120" w:line="276" w:lineRule="auto"/>
        <w:jc w:val="both"/>
        <w:rPr>
          <w:shd w:val="clear" w:color="auto" w:fill="FFFFFF"/>
        </w:rPr>
      </w:pPr>
      <w:r w:rsidRPr="00553BDD">
        <w:rPr>
          <w:shd w:val="clear" w:color="auto" w:fill="FFFFFF"/>
        </w:rPr>
        <w:t>Scenariul prognozei de toamnă elaborat în noiembrie 2023 şi care a stat la baza fundamentării bugetului de stat a fost construit în acord cu ipotezele instituţiilor internaţionale care menţionau îmbunătățirea cadrului macroeconomic la nivel global şi în UE începând din anul 2024. Astfel, după ce a pierdut avânt în 2023, cu o dinamică a PIB-ului preconizată la 0,6% atât în UE cât şi în zona euro, creşterea a fost estimată a se dubla în 2024, la 1,3% pentru UE şi 1,2% pentru zona euro, având ca factori determinaţi redresarea consumului, odată cu majorarea salariilor reale, reducerea inflaţiei, avansul investiţiilor şi intensificarea cererii externe. Investiţiile în UE au fost preconizate să accelereze cu 1,5% în 2024, comparativ cu 1,2% în 2023, beneficiind de aportul pozitiv al investiţiilor în infrastructură şi al fondurilor din cadrul PNRR. În aceste condiţii, exporturile şi importurile se aşteptau să avanseze semnificativ în 2024 la nivelul UE (2,2% - 2,3%), după o evoluţie negativă în anul precedent.</w:t>
      </w:r>
    </w:p>
    <w:p w14:paraId="6AD1A5FD" w14:textId="3DDA11EB" w:rsidR="00553BDD" w:rsidRDefault="00553BDD" w:rsidP="008B2048">
      <w:pPr>
        <w:keepNext/>
        <w:keepLines/>
        <w:spacing w:before="120" w:after="120" w:line="276" w:lineRule="auto"/>
        <w:jc w:val="both"/>
        <w:rPr>
          <w:shd w:val="clear" w:color="auto" w:fill="FFFFFF"/>
        </w:rPr>
      </w:pPr>
      <w:r w:rsidRPr="00553BDD">
        <w:rPr>
          <w:shd w:val="clear" w:color="auto" w:fill="FFFFFF"/>
        </w:rPr>
        <w:t>Pe parcursul anului 2024 economia europeană a arătat o revenire mai lentă, iar anumite state din zona euro (Franţa, Italia) au obţinut efecte pozitive asupra creşterii mai degrabă din reducerea importurilor. Diferențe mai mari între estimări şi realizări s-au observat la Germania, Austria, Ungaria şi România. Astfel, deși estimările iniţiale ale Comisiei Europene indicau un avans economic pentru Germania şi Austria (+0,8% respectiv +1,0%), aceste economii au suferit contracţii în 2024 (-0,2% respectiv</w:t>
      </w:r>
      <w:r w:rsidR="003731E8">
        <w:rPr>
          <w:shd w:val="clear" w:color="auto" w:fill="FFFFFF"/>
        </w:rPr>
        <w:t xml:space="preserve"> </w:t>
      </w:r>
      <w:r w:rsidRPr="00553BDD">
        <w:rPr>
          <w:shd w:val="clear" w:color="auto" w:fill="FFFFFF"/>
        </w:rPr>
        <w:t xml:space="preserve">-1,2%). Ungaria şi România au înregistrat creşteri modeste (+0,5% respective +0,8%) comparativ cu estimările Comisiei (+2,4% respectiv +3,1%), situaţie care a demonstrat sensibilitatea acestora mai ridicată la factorii externi şi persistenţa unor dificultăţi legate de competitivitate. </w:t>
      </w:r>
    </w:p>
    <w:p w14:paraId="41381F65" w14:textId="77777777" w:rsidR="00553BDD" w:rsidRPr="00553BDD" w:rsidRDefault="00553BDD" w:rsidP="00EC54C4">
      <w:pPr>
        <w:keepNext/>
        <w:keepLines/>
        <w:widowControl w:val="0"/>
        <w:spacing w:after="240"/>
        <w:jc w:val="center"/>
        <w:rPr>
          <w:shd w:val="clear" w:color="auto" w:fill="FFFFFF"/>
        </w:rPr>
      </w:pPr>
      <w:r w:rsidRPr="00553BDD">
        <w:rPr>
          <w:shd w:val="clear" w:color="auto" w:fill="FFFFFF"/>
        </w:rPr>
        <w:t>Prognoza de toamnă 2023 a Comisiei Europene</w:t>
      </w:r>
    </w:p>
    <w:p w14:paraId="5F33B110" w14:textId="576534E6" w:rsidR="00553BDD" w:rsidRPr="00553BDD" w:rsidRDefault="00553BDD" w:rsidP="00EC54C4">
      <w:pPr>
        <w:keepNext/>
        <w:keepLines/>
        <w:widowControl w:val="0"/>
        <w:ind w:left="2160" w:firstLine="720"/>
        <w:jc w:val="center"/>
        <w:rPr>
          <w:shd w:val="clear" w:color="auto" w:fill="FFFFFF"/>
        </w:rPr>
      </w:pPr>
      <w:r w:rsidRPr="00553BDD">
        <w:rPr>
          <w:sz w:val="22"/>
          <w:szCs w:val="22"/>
          <w:shd w:val="clear" w:color="auto" w:fill="FFFFFF"/>
        </w:rPr>
        <w:t>- modificări procentuale faţă de anul precedent -</w:t>
      </w:r>
    </w:p>
    <w:tbl>
      <w:tblPr>
        <w:tblW w:w="47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5"/>
        <w:gridCol w:w="1387"/>
        <w:gridCol w:w="1268"/>
        <w:gridCol w:w="1349"/>
        <w:gridCol w:w="1268"/>
      </w:tblGrid>
      <w:tr w:rsidR="00553BDD" w:rsidRPr="00553BDD" w14:paraId="6ACDB7A6" w14:textId="77777777" w:rsidTr="008B2048">
        <w:trPr>
          <w:tblHeader/>
          <w:jc w:val="center"/>
        </w:trPr>
        <w:tc>
          <w:tcPr>
            <w:tcW w:w="2125" w:type="pct"/>
            <w:shd w:val="clear" w:color="auto" w:fill="D2FAF9"/>
          </w:tcPr>
          <w:p w14:paraId="0D83CC8E" w14:textId="77777777" w:rsidR="00553BDD" w:rsidRPr="00553BDD" w:rsidRDefault="00553BDD" w:rsidP="00EC54C4">
            <w:pPr>
              <w:keepNext/>
              <w:keepLines/>
              <w:spacing w:line="276" w:lineRule="auto"/>
              <w:rPr>
                <w:shd w:val="clear" w:color="auto" w:fill="FFFFFF"/>
              </w:rPr>
            </w:pPr>
          </w:p>
        </w:tc>
        <w:tc>
          <w:tcPr>
            <w:tcW w:w="793" w:type="pct"/>
            <w:shd w:val="clear" w:color="auto" w:fill="D2FAF9"/>
            <w:vAlign w:val="center"/>
          </w:tcPr>
          <w:p w14:paraId="144B1D22" w14:textId="5F74B40E" w:rsidR="00553BDD" w:rsidRPr="003731E8" w:rsidRDefault="00553BDD" w:rsidP="00EC54C4">
            <w:pPr>
              <w:keepNext/>
              <w:keepLines/>
              <w:spacing w:line="276" w:lineRule="auto"/>
              <w:jc w:val="center"/>
              <w:rPr>
                <w:b/>
                <w:shd w:val="clear" w:color="auto" w:fill="FFFFFF"/>
              </w:rPr>
            </w:pPr>
            <w:r w:rsidRPr="003731E8">
              <w:rPr>
                <w:rFonts w:eastAsia="MS Mincho"/>
                <w:b/>
                <w:bCs/>
              </w:rPr>
              <w:t>Prognoza Comisiei EU</w:t>
            </w:r>
          </w:p>
        </w:tc>
        <w:tc>
          <w:tcPr>
            <w:tcW w:w="607" w:type="pct"/>
            <w:shd w:val="clear" w:color="auto" w:fill="D2FAF9"/>
            <w:vAlign w:val="center"/>
          </w:tcPr>
          <w:p w14:paraId="20A96803" w14:textId="77777777" w:rsidR="00553BDD" w:rsidRPr="003731E8" w:rsidRDefault="00553BDD" w:rsidP="00EC54C4">
            <w:pPr>
              <w:keepNext/>
              <w:keepLines/>
              <w:spacing w:line="276" w:lineRule="auto"/>
              <w:jc w:val="center"/>
              <w:rPr>
                <w:rFonts w:eastAsia="MS Mincho"/>
                <w:b/>
                <w:bCs/>
              </w:rPr>
            </w:pPr>
            <w:r w:rsidRPr="003731E8">
              <w:rPr>
                <w:rFonts w:eastAsia="MS Mincho"/>
                <w:b/>
                <w:bCs/>
              </w:rPr>
              <w:t>Realizări</w:t>
            </w:r>
          </w:p>
        </w:tc>
        <w:tc>
          <w:tcPr>
            <w:tcW w:w="769" w:type="pct"/>
            <w:shd w:val="clear" w:color="auto" w:fill="D2FAF9"/>
            <w:vAlign w:val="center"/>
          </w:tcPr>
          <w:p w14:paraId="1E07F995" w14:textId="77777777" w:rsidR="00553BDD" w:rsidRPr="003731E8" w:rsidRDefault="00553BDD" w:rsidP="00EC54C4">
            <w:pPr>
              <w:keepNext/>
              <w:keepLines/>
              <w:spacing w:line="276" w:lineRule="auto"/>
              <w:jc w:val="center"/>
              <w:rPr>
                <w:b/>
                <w:shd w:val="clear" w:color="auto" w:fill="FFFFFF"/>
              </w:rPr>
            </w:pPr>
            <w:r w:rsidRPr="003731E8">
              <w:rPr>
                <w:rFonts w:eastAsia="MS Mincho"/>
                <w:b/>
                <w:bCs/>
              </w:rPr>
              <w:t>Prognoza Comisiei EU</w:t>
            </w:r>
          </w:p>
        </w:tc>
        <w:tc>
          <w:tcPr>
            <w:tcW w:w="706" w:type="pct"/>
            <w:shd w:val="clear" w:color="auto" w:fill="D2FAF9"/>
            <w:vAlign w:val="center"/>
          </w:tcPr>
          <w:p w14:paraId="32FE8F56" w14:textId="77777777" w:rsidR="00553BDD" w:rsidRPr="003731E8" w:rsidRDefault="00553BDD" w:rsidP="00EC54C4">
            <w:pPr>
              <w:keepNext/>
              <w:keepLines/>
              <w:spacing w:line="276" w:lineRule="auto"/>
              <w:jc w:val="center"/>
              <w:rPr>
                <w:rFonts w:eastAsia="MS Mincho"/>
                <w:b/>
                <w:bCs/>
              </w:rPr>
            </w:pPr>
            <w:r w:rsidRPr="003731E8">
              <w:rPr>
                <w:rFonts w:eastAsia="MS Mincho"/>
                <w:b/>
                <w:bCs/>
              </w:rPr>
              <w:t>Realizări</w:t>
            </w:r>
          </w:p>
        </w:tc>
      </w:tr>
      <w:tr w:rsidR="00553BDD" w:rsidRPr="00553BDD" w14:paraId="24F7C4E0" w14:textId="77777777" w:rsidTr="008B2048">
        <w:trPr>
          <w:jc w:val="center"/>
        </w:trPr>
        <w:tc>
          <w:tcPr>
            <w:tcW w:w="2125" w:type="pct"/>
            <w:tcBorders>
              <w:bottom w:val="nil"/>
            </w:tcBorders>
          </w:tcPr>
          <w:p w14:paraId="710B3A3C" w14:textId="77777777" w:rsidR="00553BDD" w:rsidRPr="00553BDD" w:rsidRDefault="00553BDD" w:rsidP="00EC54C4">
            <w:pPr>
              <w:keepNext/>
              <w:keepLines/>
              <w:widowControl w:val="0"/>
              <w:rPr>
                <w:shd w:val="clear" w:color="auto" w:fill="FFFFFF"/>
              </w:rPr>
            </w:pPr>
          </w:p>
        </w:tc>
        <w:tc>
          <w:tcPr>
            <w:tcW w:w="1400" w:type="pct"/>
            <w:gridSpan w:val="2"/>
            <w:tcBorders>
              <w:bottom w:val="nil"/>
            </w:tcBorders>
            <w:vAlign w:val="center"/>
          </w:tcPr>
          <w:p w14:paraId="56C61565" w14:textId="77777777" w:rsidR="00553BDD" w:rsidRPr="00553BDD" w:rsidRDefault="00553BDD" w:rsidP="00EC54C4">
            <w:pPr>
              <w:keepNext/>
              <w:keepLines/>
              <w:widowControl w:val="0"/>
              <w:jc w:val="center"/>
              <w:rPr>
                <w:shd w:val="clear" w:color="auto" w:fill="FFFFFF"/>
              </w:rPr>
            </w:pPr>
            <w:r w:rsidRPr="00553BDD">
              <w:rPr>
                <w:shd w:val="clear" w:color="auto" w:fill="FFFFFF"/>
              </w:rPr>
              <w:t>UE an 2024</w:t>
            </w:r>
          </w:p>
        </w:tc>
        <w:tc>
          <w:tcPr>
            <w:tcW w:w="1475" w:type="pct"/>
            <w:gridSpan w:val="2"/>
            <w:tcBorders>
              <w:bottom w:val="nil"/>
            </w:tcBorders>
          </w:tcPr>
          <w:p w14:paraId="082F9870" w14:textId="77777777" w:rsidR="00553BDD" w:rsidRPr="00553BDD" w:rsidRDefault="00553BDD" w:rsidP="00EC54C4">
            <w:pPr>
              <w:keepNext/>
              <w:keepLines/>
              <w:widowControl w:val="0"/>
              <w:jc w:val="center"/>
              <w:rPr>
                <w:shd w:val="clear" w:color="auto" w:fill="FFFFFF"/>
              </w:rPr>
            </w:pPr>
            <w:r w:rsidRPr="00553BDD">
              <w:rPr>
                <w:shd w:val="clear" w:color="auto" w:fill="FFFFFF"/>
              </w:rPr>
              <w:t>Germania an 2024</w:t>
            </w:r>
          </w:p>
        </w:tc>
      </w:tr>
      <w:tr w:rsidR="00553BDD" w:rsidRPr="00553BDD" w14:paraId="534B22CA" w14:textId="77777777" w:rsidTr="008B2048">
        <w:trPr>
          <w:jc w:val="center"/>
        </w:trPr>
        <w:tc>
          <w:tcPr>
            <w:tcW w:w="2125" w:type="pct"/>
            <w:tcBorders>
              <w:top w:val="nil"/>
              <w:bottom w:val="nil"/>
            </w:tcBorders>
          </w:tcPr>
          <w:p w14:paraId="50488417" w14:textId="77777777" w:rsidR="00553BDD" w:rsidRPr="00553BDD" w:rsidRDefault="00553BDD" w:rsidP="00EC54C4">
            <w:pPr>
              <w:keepNext/>
              <w:keepLines/>
              <w:widowControl w:val="0"/>
              <w:rPr>
                <w:shd w:val="clear" w:color="auto" w:fill="FFFFFF"/>
              </w:rPr>
            </w:pPr>
            <w:r w:rsidRPr="00553BDD">
              <w:rPr>
                <w:shd w:val="clear" w:color="auto" w:fill="FFFFFF"/>
              </w:rPr>
              <w:t>PIB</w:t>
            </w:r>
          </w:p>
        </w:tc>
        <w:tc>
          <w:tcPr>
            <w:tcW w:w="793" w:type="pct"/>
            <w:tcBorders>
              <w:top w:val="nil"/>
              <w:bottom w:val="nil"/>
            </w:tcBorders>
            <w:vAlign w:val="center"/>
          </w:tcPr>
          <w:p w14:paraId="09004179" w14:textId="77777777" w:rsidR="00553BDD" w:rsidRPr="00553BDD" w:rsidRDefault="00553BDD" w:rsidP="00EC54C4">
            <w:pPr>
              <w:keepNext/>
              <w:keepLines/>
              <w:widowControl w:val="0"/>
              <w:jc w:val="center"/>
              <w:rPr>
                <w:shd w:val="clear" w:color="auto" w:fill="FFFFFF"/>
              </w:rPr>
            </w:pPr>
            <w:r w:rsidRPr="00553BDD">
              <w:rPr>
                <w:shd w:val="clear" w:color="auto" w:fill="FFFFFF"/>
              </w:rPr>
              <w:t>1,3</w:t>
            </w:r>
          </w:p>
        </w:tc>
        <w:tc>
          <w:tcPr>
            <w:tcW w:w="607" w:type="pct"/>
            <w:tcBorders>
              <w:top w:val="nil"/>
              <w:bottom w:val="nil"/>
            </w:tcBorders>
            <w:vAlign w:val="center"/>
          </w:tcPr>
          <w:p w14:paraId="69DC6DA3" w14:textId="77777777" w:rsidR="00553BDD" w:rsidRPr="00553BDD" w:rsidRDefault="00553BDD" w:rsidP="00EC54C4">
            <w:pPr>
              <w:keepNext/>
              <w:keepLines/>
              <w:widowControl w:val="0"/>
              <w:jc w:val="center"/>
              <w:rPr>
                <w:shd w:val="clear" w:color="auto" w:fill="FFFFFF"/>
              </w:rPr>
            </w:pPr>
            <w:r w:rsidRPr="00553BDD">
              <w:rPr>
                <w:shd w:val="clear" w:color="auto" w:fill="FFFFFF"/>
              </w:rPr>
              <w:t>1,0</w:t>
            </w:r>
          </w:p>
        </w:tc>
        <w:tc>
          <w:tcPr>
            <w:tcW w:w="769" w:type="pct"/>
            <w:tcBorders>
              <w:top w:val="nil"/>
              <w:bottom w:val="nil"/>
            </w:tcBorders>
          </w:tcPr>
          <w:p w14:paraId="4866E646" w14:textId="77777777" w:rsidR="00553BDD" w:rsidRPr="00553BDD" w:rsidRDefault="00553BDD" w:rsidP="00EC54C4">
            <w:pPr>
              <w:keepNext/>
              <w:keepLines/>
              <w:widowControl w:val="0"/>
              <w:jc w:val="center"/>
              <w:rPr>
                <w:shd w:val="clear" w:color="auto" w:fill="FFFFFF"/>
              </w:rPr>
            </w:pPr>
            <w:r w:rsidRPr="00553BDD">
              <w:rPr>
                <w:shd w:val="clear" w:color="auto" w:fill="FFFFFF"/>
              </w:rPr>
              <w:t>0,8</w:t>
            </w:r>
          </w:p>
        </w:tc>
        <w:tc>
          <w:tcPr>
            <w:tcW w:w="706" w:type="pct"/>
            <w:tcBorders>
              <w:top w:val="nil"/>
              <w:bottom w:val="nil"/>
            </w:tcBorders>
          </w:tcPr>
          <w:p w14:paraId="2E9CE006" w14:textId="77777777" w:rsidR="00553BDD" w:rsidRPr="00553BDD" w:rsidRDefault="00553BDD" w:rsidP="00EC54C4">
            <w:pPr>
              <w:keepNext/>
              <w:keepLines/>
              <w:widowControl w:val="0"/>
              <w:jc w:val="center"/>
              <w:rPr>
                <w:shd w:val="clear" w:color="auto" w:fill="FFFFFF"/>
              </w:rPr>
            </w:pPr>
            <w:r w:rsidRPr="00553BDD">
              <w:rPr>
                <w:shd w:val="clear" w:color="auto" w:fill="FFFFFF"/>
              </w:rPr>
              <w:t>-0,2</w:t>
            </w:r>
          </w:p>
        </w:tc>
      </w:tr>
      <w:tr w:rsidR="00553BDD" w:rsidRPr="00553BDD" w14:paraId="40C5FE73" w14:textId="77777777" w:rsidTr="008B2048">
        <w:trPr>
          <w:jc w:val="center"/>
        </w:trPr>
        <w:tc>
          <w:tcPr>
            <w:tcW w:w="2125" w:type="pct"/>
            <w:tcBorders>
              <w:top w:val="nil"/>
              <w:bottom w:val="nil"/>
            </w:tcBorders>
          </w:tcPr>
          <w:p w14:paraId="04828CB5" w14:textId="77777777" w:rsidR="00553BDD" w:rsidRPr="00553BDD" w:rsidRDefault="00553BDD" w:rsidP="00EC54C4">
            <w:pPr>
              <w:keepNext/>
              <w:keepLines/>
              <w:widowControl w:val="0"/>
              <w:rPr>
                <w:shd w:val="clear" w:color="auto" w:fill="FFFFFF"/>
              </w:rPr>
            </w:pPr>
            <w:r w:rsidRPr="00553BDD">
              <w:rPr>
                <w:shd w:val="clear" w:color="auto" w:fill="FFFFFF"/>
              </w:rPr>
              <w:t>Consum privat</w:t>
            </w:r>
          </w:p>
        </w:tc>
        <w:tc>
          <w:tcPr>
            <w:tcW w:w="793" w:type="pct"/>
            <w:tcBorders>
              <w:top w:val="nil"/>
              <w:bottom w:val="nil"/>
            </w:tcBorders>
            <w:vAlign w:val="center"/>
          </w:tcPr>
          <w:p w14:paraId="1F5CAFC2" w14:textId="77777777" w:rsidR="00553BDD" w:rsidRPr="00553BDD" w:rsidRDefault="00553BDD" w:rsidP="00EC54C4">
            <w:pPr>
              <w:keepNext/>
              <w:keepLines/>
              <w:widowControl w:val="0"/>
              <w:jc w:val="center"/>
              <w:rPr>
                <w:shd w:val="clear" w:color="auto" w:fill="FFFFFF"/>
              </w:rPr>
            </w:pPr>
            <w:r w:rsidRPr="00553BDD">
              <w:rPr>
                <w:shd w:val="clear" w:color="auto" w:fill="FFFFFF"/>
              </w:rPr>
              <w:t>1,3</w:t>
            </w:r>
          </w:p>
        </w:tc>
        <w:tc>
          <w:tcPr>
            <w:tcW w:w="607" w:type="pct"/>
            <w:tcBorders>
              <w:top w:val="nil"/>
              <w:bottom w:val="nil"/>
            </w:tcBorders>
            <w:vAlign w:val="center"/>
          </w:tcPr>
          <w:p w14:paraId="41CF5B33" w14:textId="77777777" w:rsidR="00553BDD" w:rsidRPr="00553BDD" w:rsidRDefault="00553BDD" w:rsidP="00EC54C4">
            <w:pPr>
              <w:keepNext/>
              <w:keepLines/>
              <w:widowControl w:val="0"/>
              <w:jc w:val="center"/>
              <w:rPr>
                <w:shd w:val="clear" w:color="auto" w:fill="FFFFFF"/>
              </w:rPr>
            </w:pPr>
            <w:r w:rsidRPr="00553BDD">
              <w:rPr>
                <w:shd w:val="clear" w:color="auto" w:fill="FFFFFF"/>
              </w:rPr>
              <w:t>1,3</w:t>
            </w:r>
          </w:p>
        </w:tc>
        <w:tc>
          <w:tcPr>
            <w:tcW w:w="769" w:type="pct"/>
            <w:tcBorders>
              <w:top w:val="nil"/>
              <w:bottom w:val="nil"/>
            </w:tcBorders>
          </w:tcPr>
          <w:p w14:paraId="4AEA966F" w14:textId="77777777" w:rsidR="00553BDD" w:rsidRPr="00553BDD" w:rsidRDefault="00553BDD" w:rsidP="00EC54C4">
            <w:pPr>
              <w:keepNext/>
              <w:keepLines/>
              <w:widowControl w:val="0"/>
              <w:jc w:val="center"/>
              <w:rPr>
                <w:shd w:val="clear" w:color="auto" w:fill="FFFFFF"/>
              </w:rPr>
            </w:pPr>
            <w:r w:rsidRPr="00553BDD">
              <w:rPr>
                <w:shd w:val="clear" w:color="auto" w:fill="FFFFFF"/>
              </w:rPr>
              <w:t>0,6</w:t>
            </w:r>
          </w:p>
        </w:tc>
        <w:tc>
          <w:tcPr>
            <w:tcW w:w="706" w:type="pct"/>
            <w:tcBorders>
              <w:top w:val="nil"/>
              <w:bottom w:val="nil"/>
            </w:tcBorders>
          </w:tcPr>
          <w:p w14:paraId="2499F12D" w14:textId="77777777" w:rsidR="00553BDD" w:rsidRPr="00553BDD" w:rsidRDefault="00553BDD" w:rsidP="00EC54C4">
            <w:pPr>
              <w:keepNext/>
              <w:keepLines/>
              <w:widowControl w:val="0"/>
              <w:jc w:val="center"/>
              <w:rPr>
                <w:shd w:val="clear" w:color="auto" w:fill="FFFFFF"/>
              </w:rPr>
            </w:pPr>
            <w:r w:rsidRPr="00553BDD">
              <w:rPr>
                <w:shd w:val="clear" w:color="auto" w:fill="FFFFFF"/>
              </w:rPr>
              <w:t>0,2</w:t>
            </w:r>
          </w:p>
        </w:tc>
      </w:tr>
      <w:tr w:rsidR="00553BDD" w:rsidRPr="00553BDD" w14:paraId="6CB203F8" w14:textId="77777777" w:rsidTr="008B2048">
        <w:trPr>
          <w:jc w:val="center"/>
        </w:trPr>
        <w:tc>
          <w:tcPr>
            <w:tcW w:w="2125" w:type="pct"/>
            <w:tcBorders>
              <w:top w:val="nil"/>
              <w:bottom w:val="nil"/>
            </w:tcBorders>
          </w:tcPr>
          <w:p w14:paraId="06BF56FA" w14:textId="77777777" w:rsidR="00553BDD" w:rsidRPr="00553BDD" w:rsidRDefault="00553BDD" w:rsidP="00EC54C4">
            <w:pPr>
              <w:keepNext/>
              <w:keepLines/>
              <w:widowControl w:val="0"/>
              <w:rPr>
                <w:shd w:val="clear" w:color="auto" w:fill="FFFFFF"/>
              </w:rPr>
            </w:pPr>
            <w:r w:rsidRPr="00553BDD">
              <w:rPr>
                <w:shd w:val="clear" w:color="auto" w:fill="FFFFFF"/>
              </w:rPr>
              <w:t>Investiţii</w:t>
            </w:r>
          </w:p>
        </w:tc>
        <w:tc>
          <w:tcPr>
            <w:tcW w:w="793" w:type="pct"/>
            <w:tcBorders>
              <w:top w:val="nil"/>
              <w:bottom w:val="nil"/>
            </w:tcBorders>
            <w:vAlign w:val="center"/>
          </w:tcPr>
          <w:p w14:paraId="75785616" w14:textId="77777777" w:rsidR="00553BDD" w:rsidRPr="00553BDD" w:rsidRDefault="00553BDD" w:rsidP="00EC54C4">
            <w:pPr>
              <w:keepNext/>
              <w:keepLines/>
              <w:widowControl w:val="0"/>
              <w:jc w:val="center"/>
              <w:rPr>
                <w:shd w:val="clear" w:color="auto" w:fill="FFFFFF"/>
              </w:rPr>
            </w:pPr>
            <w:r w:rsidRPr="00553BDD">
              <w:rPr>
                <w:shd w:val="clear" w:color="auto" w:fill="FFFFFF"/>
              </w:rPr>
              <w:t>1,5</w:t>
            </w:r>
          </w:p>
        </w:tc>
        <w:tc>
          <w:tcPr>
            <w:tcW w:w="607" w:type="pct"/>
            <w:tcBorders>
              <w:top w:val="nil"/>
              <w:bottom w:val="nil"/>
            </w:tcBorders>
            <w:vAlign w:val="center"/>
          </w:tcPr>
          <w:p w14:paraId="248B7CB6" w14:textId="77777777" w:rsidR="00553BDD" w:rsidRPr="00553BDD" w:rsidRDefault="00553BDD" w:rsidP="00EC54C4">
            <w:pPr>
              <w:keepNext/>
              <w:keepLines/>
              <w:widowControl w:val="0"/>
              <w:jc w:val="center"/>
              <w:rPr>
                <w:shd w:val="clear" w:color="auto" w:fill="FFFFFF"/>
              </w:rPr>
            </w:pPr>
            <w:r w:rsidRPr="00553BDD">
              <w:rPr>
                <w:shd w:val="clear" w:color="auto" w:fill="FFFFFF"/>
              </w:rPr>
              <w:t>-1,9</w:t>
            </w:r>
          </w:p>
        </w:tc>
        <w:tc>
          <w:tcPr>
            <w:tcW w:w="769" w:type="pct"/>
            <w:tcBorders>
              <w:top w:val="nil"/>
              <w:bottom w:val="nil"/>
            </w:tcBorders>
          </w:tcPr>
          <w:p w14:paraId="163C0931" w14:textId="77777777" w:rsidR="00553BDD" w:rsidRPr="00553BDD" w:rsidRDefault="00553BDD" w:rsidP="00EC54C4">
            <w:pPr>
              <w:keepNext/>
              <w:keepLines/>
              <w:widowControl w:val="0"/>
              <w:jc w:val="center"/>
              <w:rPr>
                <w:shd w:val="clear" w:color="auto" w:fill="FFFFFF"/>
              </w:rPr>
            </w:pPr>
            <w:r w:rsidRPr="00553BDD">
              <w:rPr>
                <w:shd w:val="clear" w:color="auto" w:fill="FFFFFF"/>
              </w:rPr>
              <w:t>0,6</w:t>
            </w:r>
          </w:p>
        </w:tc>
        <w:tc>
          <w:tcPr>
            <w:tcW w:w="706" w:type="pct"/>
            <w:tcBorders>
              <w:top w:val="nil"/>
              <w:bottom w:val="nil"/>
            </w:tcBorders>
          </w:tcPr>
          <w:p w14:paraId="183963B0" w14:textId="77777777" w:rsidR="00553BDD" w:rsidRPr="00553BDD" w:rsidRDefault="00553BDD" w:rsidP="00EC54C4">
            <w:pPr>
              <w:keepNext/>
              <w:keepLines/>
              <w:widowControl w:val="0"/>
              <w:jc w:val="center"/>
              <w:rPr>
                <w:shd w:val="clear" w:color="auto" w:fill="FFFFFF"/>
              </w:rPr>
            </w:pPr>
            <w:r w:rsidRPr="00553BDD">
              <w:rPr>
                <w:shd w:val="clear" w:color="auto" w:fill="FFFFFF"/>
              </w:rPr>
              <w:t>-2,7</w:t>
            </w:r>
          </w:p>
        </w:tc>
      </w:tr>
      <w:tr w:rsidR="00553BDD" w:rsidRPr="00553BDD" w14:paraId="79C87F2E" w14:textId="77777777" w:rsidTr="008B2048">
        <w:trPr>
          <w:jc w:val="center"/>
        </w:trPr>
        <w:tc>
          <w:tcPr>
            <w:tcW w:w="2125" w:type="pct"/>
            <w:tcBorders>
              <w:top w:val="nil"/>
              <w:bottom w:val="nil"/>
            </w:tcBorders>
            <w:vAlign w:val="center"/>
          </w:tcPr>
          <w:p w14:paraId="044F214E" w14:textId="77777777" w:rsidR="00553BDD" w:rsidRPr="00553BDD" w:rsidRDefault="00553BDD" w:rsidP="00EC54C4">
            <w:pPr>
              <w:keepNext/>
              <w:keepLines/>
              <w:widowControl w:val="0"/>
              <w:rPr>
                <w:shd w:val="clear" w:color="auto" w:fill="FFFFFF"/>
              </w:rPr>
            </w:pPr>
            <w:r w:rsidRPr="00553BDD">
              <w:rPr>
                <w:shd w:val="clear" w:color="auto" w:fill="FFFFFF"/>
              </w:rPr>
              <w:t>Export de bunuri şi servicii</w:t>
            </w:r>
          </w:p>
        </w:tc>
        <w:tc>
          <w:tcPr>
            <w:tcW w:w="793" w:type="pct"/>
            <w:tcBorders>
              <w:top w:val="nil"/>
              <w:bottom w:val="nil"/>
            </w:tcBorders>
            <w:vAlign w:val="center"/>
          </w:tcPr>
          <w:p w14:paraId="6ABD6980" w14:textId="77777777" w:rsidR="00553BDD" w:rsidRPr="00553BDD" w:rsidRDefault="00553BDD" w:rsidP="00EC54C4">
            <w:pPr>
              <w:keepNext/>
              <w:keepLines/>
              <w:widowControl w:val="0"/>
              <w:jc w:val="center"/>
              <w:rPr>
                <w:shd w:val="clear" w:color="auto" w:fill="FFFFFF"/>
              </w:rPr>
            </w:pPr>
            <w:r w:rsidRPr="00553BDD">
              <w:rPr>
                <w:shd w:val="clear" w:color="auto" w:fill="FFFFFF"/>
              </w:rPr>
              <w:t>2,2</w:t>
            </w:r>
          </w:p>
        </w:tc>
        <w:tc>
          <w:tcPr>
            <w:tcW w:w="607" w:type="pct"/>
            <w:tcBorders>
              <w:top w:val="nil"/>
              <w:bottom w:val="nil"/>
            </w:tcBorders>
            <w:vAlign w:val="center"/>
          </w:tcPr>
          <w:p w14:paraId="7F854E3B" w14:textId="77777777" w:rsidR="00553BDD" w:rsidRPr="00553BDD" w:rsidRDefault="00553BDD" w:rsidP="00EC54C4">
            <w:pPr>
              <w:keepNext/>
              <w:keepLines/>
              <w:widowControl w:val="0"/>
              <w:jc w:val="center"/>
              <w:rPr>
                <w:shd w:val="clear" w:color="auto" w:fill="FFFFFF"/>
              </w:rPr>
            </w:pPr>
            <w:r w:rsidRPr="00553BDD">
              <w:rPr>
                <w:shd w:val="clear" w:color="auto" w:fill="FFFFFF"/>
              </w:rPr>
              <w:t>1,2</w:t>
            </w:r>
          </w:p>
        </w:tc>
        <w:tc>
          <w:tcPr>
            <w:tcW w:w="769" w:type="pct"/>
            <w:tcBorders>
              <w:top w:val="nil"/>
              <w:bottom w:val="nil"/>
            </w:tcBorders>
          </w:tcPr>
          <w:p w14:paraId="38171B81" w14:textId="77777777" w:rsidR="00553BDD" w:rsidRPr="00553BDD" w:rsidRDefault="00553BDD" w:rsidP="00EC54C4">
            <w:pPr>
              <w:keepNext/>
              <w:keepLines/>
              <w:widowControl w:val="0"/>
              <w:jc w:val="center"/>
              <w:rPr>
                <w:shd w:val="clear" w:color="auto" w:fill="FFFFFF"/>
              </w:rPr>
            </w:pPr>
            <w:r w:rsidRPr="00553BDD">
              <w:rPr>
                <w:shd w:val="clear" w:color="auto" w:fill="FFFFFF"/>
              </w:rPr>
              <w:t>1,7</w:t>
            </w:r>
          </w:p>
        </w:tc>
        <w:tc>
          <w:tcPr>
            <w:tcW w:w="706" w:type="pct"/>
            <w:tcBorders>
              <w:top w:val="nil"/>
              <w:bottom w:val="nil"/>
            </w:tcBorders>
          </w:tcPr>
          <w:p w14:paraId="6986F742" w14:textId="77777777" w:rsidR="00553BDD" w:rsidRPr="00553BDD" w:rsidRDefault="00553BDD" w:rsidP="00EC54C4">
            <w:pPr>
              <w:keepNext/>
              <w:keepLines/>
              <w:widowControl w:val="0"/>
              <w:jc w:val="center"/>
              <w:rPr>
                <w:shd w:val="clear" w:color="auto" w:fill="FFFFFF"/>
              </w:rPr>
            </w:pPr>
            <w:r w:rsidRPr="00553BDD">
              <w:rPr>
                <w:shd w:val="clear" w:color="auto" w:fill="FFFFFF"/>
              </w:rPr>
              <w:t>-1,8</w:t>
            </w:r>
          </w:p>
        </w:tc>
      </w:tr>
      <w:tr w:rsidR="00553BDD" w:rsidRPr="00553BDD" w14:paraId="27AA4928" w14:textId="77777777" w:rsidTr="008B2048">
        <w:trPr>
          <w:jc w:val="center"/>
        </w:trPr>
        <w:tc>
          <w:tcPr>
            <w:tcW w:w="2125" w:type="pct"/>
            <w:tcBorders>
              <w:top w:val="nil"/>
            </w:tcBorders>
            <w:vAlign w:val="center"/>
          </w:tcPr>
          <w:p w14:paraId="1BC4109C" w14:textId="77777777" w:rsidR="00553BDD" w:rsidRPr="00553BDD" w:rsidRDefault="00553BDD" w:rsidP="00EC54C4">
            <w:pPr>
              <w:keepNext/>
              <w:keepLines/>
              <w:widowControl w:val="0"/>
              <w:rPr>
                <w:shd w:val="clear" w:color="auto" w:fill="FFFFFF"/>
              </w:rPr>
            </w:pPr>
            <w:r w:rsidRPr="00553BDD">
              <w:rPr>
                <w:shd w:val="clear" w:color="auto" w:fill="FFFFFF"/>
              </w:rPr>
              <w:t>Import de bunuri şi servicii</w:t>
            </w:r>
          </w:p>
        </w:tc>
        <w:tc>
          <w:tcPr>
            <w:tcW w:w="793" w:type="pct"/>
            <w:tcBorders>
              <w:top w:val="nil"/>
            </w:tcBorders>
            <w:vAlign w:val="center"/>
          </w:tcPr>
          <w:p w14:paraId="4BBDDEC1" w14:textId="77777777" w:rsidR="00553BDD" w:rsidRPr="00553BDD" w:rsidRDefault="00553BDD" w:rsidP="00EC54C4">
            <w:pPr>
              <w:keepNext/>
              <w:keepLines/>
              <w:widowControl w:val="0"/>
              <w:jc w:val="center"/>
              <w:rPr>
                <w:shd w:val="clear" w:color="auto" w:fill="FFFFFF"/>
              </w:rPr>
            </w:pPr>
            <w:r w:rsidRPr="00553BDD">
              <w:rPr>
                <w:shd w:val="clear" w:color="auto" w:fill="FFFFFF"/>
              </w:rPr>
              <w:t>2,3</w:t>
            </w:r>
          </w:p>
        </w:tc>
        <w:tc>
          <w:tcPr>
            <w:tcW w:w="607" w:type="pct"/>
            <w:tcBorders>
              <w:top w:val="nil"/>
            </w:tcBorders>
            <w:vAlign w:val="center"/>
          </w:tcPr>
          <w:p w14:paraId="4E1760CA" w14:textId="77777777" w:rsidR="00553BDD" w:rsidRPr="00553BDD" w:rsidRDefault="00553BDD" w:rsidP="00EC54C4">
            <w:pPr>
              <w:keepNext/>
              <w:keepLines/>
              <w:widowControl w:val="0"/>
              <w:jc w:val="center"/>
              <w:rPr>
                <w:shd w:val="clear" w:color="auto" w:fill="FFFFFF"/>
              </w:rPr>
            </w:pPr>
            <w:r w:rsidRPr="00553BDD">
              <w:rPr>
                <w:shd w:val="clear" w:color="auto" w:fill="FFFFFF"/>
              </w:rPr>
              <w:t>0,6</w:t>
            </w:r>
          </w:p>
        </w:tc>
        <w:tc>
          <w:tcPr>
            <w:tcW w:w="769" w:type="pct"/>
            <w:tcBorders>
              <w:top w:val="nil"/>
            </w:tcBorders>
          </w:tcPr>
          <w:p w14:paraId="71E8F494" w14:textId="77777777" w:rsidR="00553BDD" w:rsidRPr="00553BDD" w:rsidRDefault="00553BDD" w:rsidP="00EC54C4">
            <w:pPr>
              <w:keepNext/>
              <w:keepLines/>
              <w:widowControl w:val="0"/>
              <w:jc w:val="center"/>
              <w:rPr>
                <w:shd w:val="clear" w:color="auto" w:fill="FFFFFF"/>
              </w:rPr>
            </w:pPr>
            <w:r w:rsidRPr="00553BDD">
              <w:rPr>
                <w:shd w:val="clear" w:color="auto" w:fill="FFFFFF"/>
              </w:rPr>
              <w:t>1,7</w:t>
            </w:r>
          </w:p>
        </w:tc>
        <w:tc>
          <w:tcPr>
            <w:tcW w:w="706" w:type="pct"/>
            <w:tcBorders>
              <w:top w:val="nil"/>
            </w:tcBorders>
          </w:tcPr>
          <w:p w14:paraId="10FBD1BF" w14:textId="77777777" w:rsidR="00553BDD" w:rsidRPr="00553BDD" w:rsidRDefault="00553BDD" w:rsidP="00EC54C4">
            <w:pPr>
              <w:keepNext/>
              <w:keepLines/>
              <w:widowControl w:val="0"/>
              <w:jc w:val="center"/>
              <w:rPr>
                <w:shd w:val="clear" w:color="auto" w:fill="FFFFFF"/>
              </w:rPr>
            </w:pPr>
            <w:r w:rsidRPr="00553BDD">
              <w:rPr>
                <w:shd w:val="clear" w:color="auto" w:fill="FFFFFF"/>
              </w:rPr>
              <w:t>-0,7</w:t>
            </w:r>
          </w:p>
        </w:tc>
      </w:tr>
      <w:tr w:rsidR="00553BDD" w:rsidRPr="00553BDD" w14:paraId="5A0CAEE1" w14:textId="77777777" w:rsidTr="008B2048">
        <w:trPr>
          <w:jc w:val="center"/>
        </w:trPr>
        <w:tc>
          <w:tcPr>
            <w:tcW w:w="2125" w:type="pct"/>
            <w:tcBorders>
              <w:bottom w:val="nil"/>
            </w:tcBorders>
          </w:tcPr>
          <w:p w14:paraId="4AC542EC" w14:textId="77777777" w:rsidR="00553BDD" w:rsidRPr="00553BDD" w:rsidRDefault="00553BDD" w:rsidP="00EC54C4">
            <w:pPr>
              <w:keepNext/>
              <w:keepLines/>
              <w:widowControl w:val="0"/>
              <w:rPr>
                <w:shd w:val="clear" w:color="auto" w:fill="FFFFFF"/>
              </w:rPr>
            </w:pPr>
          </w:p>
        </w:tc>
        <w:tc>
          <w:tcPr>
            <w:tcW w:w="1400" w:type="pct"/>
            <w:gridSpan w:val="2"/>
            <w:tcBorders>
              <w:bottom w:val="nil"/>
            </w:tcBorders>
          </w:tcPr>
          <w:p w14:paraId="0CA524D7" w14:textId="77777777" w:rsidR="00553BDD" w:rsidRPr="00553BDD" w:rsidRDefault="00553BDD" w:rsidP="00EC54C4">
            <w:pPr>
              <w:keepNext/>
              <w:keepLines/>
              <w:widowControl w:val="0"/>
              <w:jc w:val="center"/>
              <w:rPr>
                <w:shd w:val="clear" w:color="auto" w:fill="FFFFFF"/>
              </w:rPr>
            </w:pPr>
            <w:r w:rsidRPr="00553BDD">
              <w:rPr>
                <w:shd w:val="clear" w:color="auto" w:fill="FFFFFF"/>
              </w:rPr>
              <w:t>Ungaria an 2024</w:t>
            </w:r>
          </w:p>
        </w:tc>
        <w:tc>
          <w:tcPr>
            <w:tcW w:w="1475" w:type="pct"/>
            <w:gridSpan w:val="2"/>
            <w:tcBorders>
              <w:bottom w:val="nil"/>
            </w:tcBorders>
          </w:tcPr>
          <w:p w14:paraId="3682FC0F" w14:textId="77777777" w:rsidR="00553BDD" w:rsidRPr="00553BDD" w:rsidRDefault="00553BDD" w:rsidP="00EC54C4">
            <w:pPr>
              <w:keepNext/>
              <w:keepLines/>
              <w:widowControl w:val="0"/>
              <w:jc w:val="center"/>
              <w:rPr>
                <w:shd w:val="clear" w:color="auto" w:fill="FFFFFF"/>
              </w:rPr>
            </w:pPr>
            <w:r w:rsidRPr="00553BDD">
              <w:rPr>
                <w:shd w:val="clear" w:color="auto" w:fill="FFFFFF"/>
              </w:rPr>
              <w:t>România an 2024</w:t>
            </w:r>
          </w:p>
        </w:tc>
      </w:tr>
      <w:tr w:rsidR="00553BDD" w:rsidRPr="00553BDD" w14:paraId="1F2D603F" w14:textId="77777777" w:rsidTr="008B2048">
        <w:trPr>
          <w:jc w:val="center"/>
        </w:trPr>
        <w:tc>
          <w:tcPr>
            <w:tcW w:w="2125" w:type="pct"/>
            <w:tcBorders>
              <w:top w:val="nil"/>
              <w:bottom w:val="nil"/>
            </w:tcBorders>
          </w:tcPr>
          <w:p w14:paraId="339DC901" w14:textId="77777777" w:rsidR="00553BDD" w:rsidRPr="00553BDD" w:rsidRDefault="00553BDD" w:rsidP="00EC54C4">
            <w:pPr>
              <w:keepNext/>
              <w:keepLines/>
              <w:widowControl w:val="0"/>
              <w:rPr>
                <w:shd w:val="clear" w:color="auto" w:fill="FFFFFF"/>
              </w:rPr>
            </w:pPr>
            <w:r w:rsidRPr="00553BDD">
              <w:rPr>
                <w:shd w:val="clear" w:color="auto" w:fill="FFFFFF"/>
              </w:rPr>
              <w:t>PIB</w:t>
            </w:r>
          </w:p>
        </w:tc>
        <w:tc>
          <w:tcPr>
            <w:tcW w:w="793" w:type="pct"/>
            <w:tcBorders>
              <w:top w:val="nil"/>
              <w:bottom w:val="nil"/>
            </w:tcBorders>
          </w:tcPr>
          <w:p w14:paraId="4734E7FB" w14:textId="77777777" w:rsidR="00553BDD" w:rsidRPr="00553BDD" w:rsidRDefault="00553BDD" w:rsidP="00EC54C4">
            <w:pPr>
              <w:keepNext/>
              <w:keepLines/>
              <w:widowControl w:val="0"/>
              <w:jc w:val="center"/>
              <w:rPr>
                <w:shd w:val="clear" w:color="auto" w:fill="FFFFFF"/>
              </w:rPr>
            </w:pPr>
            <w:r w:rsidRPr="00553BDD">
              <w:rPr>
                <w:shd w:val="clear" w:color="auto" w:fill="FFFFFF"/>
              </w:rPr>
              <w:t>2,4</w:t>
            </w:r>
          </w:p>
        </w:tc>
        <w:tc>
          <w:tcPr>
            <w:tcW w:w="607" w:type="pct"/>
            <w:tcBorders>
              <w:top w:val="nil"/>
              <w:bottom w:val="nil"/>
            </w:tcBorders>
          </w:tcPr>
          <w:p w14:paraId="53B46000" w14:textId="77777777" w:rsidR="00553BDD" w:rsidRPr="00553BDD" w:rsidRDefault="00553BDD" w:rsidP="00EC54C4">
            <w:pPr>
              <w:keepNext/>
              <w:keepLines/>
              <w:widowControl w:val="0"/>
              <w:jc w:val="center"/>
              <w:rPr>
                <w:shd w:val="clear" w:color="auto" w:fill="FFFFFF"/>
              </w:rPr>
            </w:pPr>
            <w:r w:rsidRPr="00553BDD">
              <w:rPr>
                <w:shd w:val="clear" w:color="auto" w:fill="FFFFFF"/>
              </w:rPr>
              <w:t>0,5</w:t>
            </w:r>
          </w:p>
        </w:tc>
        <w:tc>
          <w:tcPr>
            <w:tcW w:w="769" w:type="pct"/>
            <w:tcBorders>
              <w:top w:val="nil"/>
              <w:bottom w:val="nil"/>
            </w:tcBorders>
          </w:tcPr>
          <w:p w14:paraId="49D3B558" w14:textId="77777777" w:rsidR="00553BDD" w:rsidRPr="00553BDD" w:rsidRDefault="00553BDD" w:rsidP="00EC54C4">
            <w:pPr>
              <w:keepNext/>
              <w:keepLines/>
              <w:widowControl w:val="0"/>
              <w:jc w:val="center"/>
              <w:rPr>
                <w:shd w:val="clear" w:color="auto" w:fill="FFFFFF"/>
              </w:rPr>
            </w:pPr>
            <w:r w:rsidRPr="00553BDD">
              <w:rPr>
                <w:shd w:val="clear" w:color="auto" w:fill="FFFFFF"/>
              </w:rPr>
              <w:t>3,1</w:t>
            </w:r>
          </w:p>
        </w:tc>
        <w:tc>
          <w:tcPr>
            <w:tcW w:w="706" w:type="pct"/>
            <w:tcBorders>
              <w:top w:val="nil"/>
              <w:bottom w:val="nil"/>
            </w:tcBorders>
          </w:tcPr>
          <w:p w14:paraId="59E0C689" w14:textId="77777777" w:rsidR="00553BDD" w:rsidRPr="00553BDD" w:rsidRDefault="00553BDD" w:rsidP="00EC54C4">
            <w:pPr>
              <w:keepNext/>
              <w:keepLines/>
              <w:widowControl w:val="0"/>
              <w:jc w:val="center"/>
              <w:rPr>
                <w:shd w:val="clear" w:color="auto" w:fill="FFFFFF"/>
              </w:rPr>
            </w:pPr>
            <w:r w:rsidRPr="00553BDD">
              <w:rPr>
                <w:shd w:val="clear" w:color="auto" w:fill="FFFFFF"/>
              </w:rPr>
              <w:t>0,8</w:t>
            </w:r>
          </w:p>
        </w:tc>
      </w:tr>
      <w:tr w:rsidR="00553BDD" w:rsidRPr="00553BDD" w14:paraId="6FF930C4" w14:textId="77777777" w:rsidTr="008B2048">
        <w:trPr>
          <w:jc w:val="center"/>
        </w:trPr>
        <w:tc>
          <w:tcPr>
            <w:tcW w:w="2125" w:type="pct"/>
            <w:tcBorders>
              <w:top w:val="nil"/>
              <w:bottom w:val="nil"/>
            </w:tcBorders>
          </w:tcPr>
          <w:p w14:paraId="2AD208A3" w14:textId="77777777" w:rsidR="00553BDD" w:rsidRPr="00553BDD" w:rsidRDefault="00553BDD" w:rsidP="00EC54C4">
            <w:pPr>
              <w:keepNext/>
              <w:keepLines/>
              <w:widowControl w:val="0"/>
              <w:rPr>
                <w:shd w:val="clear" w:color="auto" w:fill="FFFFFF"/>
              </w:rPr>
            </w:pPr>
            <w:r w:rsidRPr="00553BDD">
              <w:rPr>
                <w:shd w:val="clear" w:color="auto" w:fill="FFFFFF"/>
              </w:rPr>
              <w:t>Consum privat</w:t>
            </w:r>
          </w:p>
        </w:tc>
        <w:tc>
          <w:tcPr>
            <w:tcW w:w="793" w:type="pct"/>
            <w:tcBorders>
              <w:top w:val="nil"/>
              <w:bottom w:val="nil"/>
            </w:tcBorders>
          </w:tcPr>
          <w:p w14:paraId="56A20E16" w14:textId="77777777" w:rsidR="00553BDD" w:rsidRPr="00553BDD" w:rsidRDefault="00553BDD" w:rsidP="00EC54C4">
            <w:pPr>
              <w:keepNext/>
              <w:keepLines/>
              <w:widowControl w:val="0"/>
              <w:jc w:val="center"/>
              <w:rPr>
                <w:shd w:val="clear" w:color="auto" w:fill="FFFFFF"/>
              </w:rPr>
            </w:pPr>
            <w:r w:rsidRPr="00553BDD">
              <w:rPr>
                <w:shd w:val="clear" w:color="auto" w:fill="FFFFFF"/>
              </w:rPr>
              <w:t>3,0</w:t>
            </w:r>
          </w:p>
        </w:tc>
        <w:tc>
          <w:tcPr>
            <w:tcW w:w="607" w:type="pct"/>
            <w:tcBorders>
              <w:top w:val="nil"/>
              <w:bottom w:val="nil"/>
            </w:tcBorders>
          </w:tcPr>
          <w:p w14:paraId="220336AA" w14:textId="77777777" w:rsidR="00553BDD" w:rsidRPr="00553BDD" w:rsidRDefault="00553BDD" w:rsidP="00EC54C4">
            <w:pPr>
              <w:keepNext/>
              <w:keepLines/>
              <w:widowControl w:val="0"/>
              <w:jc w:val="center"/>
              <w:rPr>
                <w:shd w:val="clear" w:color="auto" w:fill="FFFFFF"/>
              </w:rPr>
            </w:pPr>
            <w:r w:rsidRPr="00553BDD">
              <w:rPr>
                <w:shd w:val="clear" w:color="auto" w:fill="FFFFFF"/>
              </w:rPr>
              <w:t>5,1</w:t>
            </w:r>
          </w:p>
        </w:tc>
        <w:tc>
          <w:tcPr>
            <w:tcW w:w="769" w:type="pct"/>
            <w:tcBorders>
              <w:top w:val="nil"/>
              <w:bottom w:val="nil"/>
            </w:tcBorders>
          </w:tcPr>
          <w:p w14:paraId="7054D4F9" w14:textId="77777777" w:rsidR="00553BDD" w:rsidRPr="00553BDD" w:rsidRDefault="00553BDD" w:rsidP="00EC54C4">
            <w:pPr>
              <w:keepNext/>
              <w:keepLines/>
              <w:widowControl w:val="0"/>
              <w:jc w:val="center"/>
              <w:rPr>
                <w:shd w:val="clear" w:color="auto" w:fill="FFFFFF"/>
              </w:rPr>
            </w:pPr>
            <w:r w:rsidRPr="00553BDD">
              <w:rPr>
                <w:shd w:val="clear" w:color="auto" w:fill="FFFFFF"/>
              </w:rPr>
              <w:t>2,3</w:t>
            </w:r>
          </w:p>
        </w:tc>
        <w:tc>
          <w:tcPr>
            <w:tcW w:w="706" w:type="pct"/>
            <w:tcBorders>
              <w:top w:val="nil"/>
              <w:bottom w:val="nil"/>
            </w:tcBorders>
          </w:tcPr>
          <w:p w14:paraId="017B3DA9" w14:textId="77777777" w:rsidR="00553BDD" w:rsidRPr="00553BDD" w:rsidRDefault="00553BDD" w:rsidP="00EC54C4">
            <w:pPr>
              <w:keepNext/>
              <w:keepLines/>
              <w:widowControl w:val="0"/>
              <w:jc w:val="center"/>
              <w:rPr>
                <w:shd w:val="clear" w:color="auto" w:fill="FFFFFF"/>
              </w:rPr>
            </w:pPr>
            <w:r w:rsidRPr="00553BDD">
              <w:rPr>
                <w:shd w:val="clear" w:color="auto" w:fill="FFFFFF"/>
              </w:rPr>
              <w:t>6,0</w:t>
            </w:r>
          </w:p>
        </w:tc>
      </w:tr>
      <w:tr w:rsidR="00553BDD" w:rsidRPr="00553BDD" w14:paraId="4330497C" w14:textId="77777777" w:rsidTr="008B2048">
        <w:trPr>
          <w:jc w:val="center"/>
        </w:trPr>
        <w:tc>
          <w:tcPr>
            <w:tcW w:w="2125" w:type="pct"/>
            <w:tcBorders>
              <w:top w:val="nil"/>
              <w:bottom w:val="nil"/>
            </w:tcBorders>
          </w:tcPr>
          <w:p w14:paraId="45D0CE22" w14:textId="77777777" w:rsidR="00553BDD" w:rsidRPr="00553BDD" w:rsidRDefault="00553BDD" w:rsidP="00EC54C4">
            <w:pPr>
              <w:keepNext/>
              <w:keepLines/>
              <w:widowControl w:val="0"/>
              <w:rPr>
                <w:shd w:val="clear" w:color="auto" w:fill="FFFFFF"/>
              </w:rPr>
            </w:pPr>
            <w:r w:rsidRPr="00553BDD">
              <w:rPr>
                <w:shd w:val="clear" w:color="auto" w:fill="FFFFFF"/>
              </w:rPr>
              <w:t>Investiţii</w:t>
            </w:r>
          </w:p>
        </w:tc>
        <w:tc>
          <w:tcPr>
            <w:tcW w:w="793" w:type="pct"/>
            <w:tcBorders>
              <w:top w:val="nil"/>
              <w:bottom w:val="nil"/>
            </w:tcBorders>
          </w:tcPr>
          <w:p w14:paraId="7680C830" w14:textId="77777777" w:rsidR="00553BDD" w:rsidRPr="00553BDD" w:rsidRDefault="00553BDD" w:rsidP="00EC54C4">
            <w:pPr>
              <w:keepNext/>
              <w:keepLines/>
              <w:widowControl w:val="0"/>
              <w:jc w:val="center"/>
              <w:rPr>
                <w:shd w:val="clear" w:color="auto" w:fill="FFFFFF"/>
              </w:rPr>
            </w:pPr>
            <w:r w:rsidRPr="00553BDD">
              <w:rPr>
                <w:shd w:val="clear" w:color="auto" w:fill="FFFFFF"/>
              </w:rPr>
              <w:t>2,6</w:t>
            </w:r>
          </w:p>
        </w:tc>
        <w:tc>
          <w:tcPr>
            <w:tcW w:w="607" w:type="pct"/>
            <w:tcBorders>
              <w:top w:val="nil"/>
              <w:bottom w:val="nil"/>
            </w:tcBorders>
          </w:tcPr>
          <w:p w14:paraId="458CD179" w14:textId="77777777" w:rsidR="00553BDD" w:rsidRPr="00553BDD" w:rsidRDefault="00553BDD" w:rsidP="00EC54C4">
            <w:pPr>
              <w:keepNext/>
              <w:keepLines/>
              <w:widowControl w:val="0"/>
              <w:jc w:val="center"/>
              <w:rPr>
                <w:shd w:val="clear" w:color="auto" w:fill="FFFFFF"/>
              </w:rPr>
            </w:pPr>
            <w:r w:rsidRPr="00553BDD">
              <w:rPr>
                <w:shd w:val="clear" w:color="auto" w:fill="FFFFFF"/>
              </w:rPr>
              <w:t>-11,1</w:t>
            </w:r>
          </w:p>
        </w:tc>
        <w:tc>
          <w:tcPr>
            <w:tcW w:w="769" w:type="pct"/>
            <w:tcBorders>
              <w:top w:val="nil"/>
              <w:bottom w:val="nil"/>
            </w:tcBorders>
          </w:tcPr>
          <w:p w14:paraId="464CE87F" w14:textId="77777777" w:rsidR="00553BDD" w:rsidRPr="00553BDD" w:rsidRDefault="00553BDD" w:rsidP="00EC54C4">
            <w:pPr>
              <w:keepNext/>
              <w:keepLines/>
              <w:widowControl w:val="0"/>
              <w:jc w:val="center"/>
              <w:rPr>
                <w:shd w:val="clear" w:color="auto" w:fill="FFFFFF"/>
              </w:rPr>
            </w:pPr>
            <w:r w:rsidRPr="00553BDD">
              <w:rPr>
                <w:shd w:val="clear" w:color="auto" w:fill="FFFFFF"/>
              </w:rPr>
              <w:t>7,3</w:t>
            </w:r>
          </w:p>
        </w:tc>
        <w:tc>
          <w:tcPr>
            <w:tcW w:w="706" w:type="pct"/>
            <w:tcBorders>
              <w:top w:val="nil"/>
              <w:bottom w:val="nil"/>
            </w:tcBorders>
          </w:tcPr>
          <w:p w14:paraId="0F802C4D" w14:textId="77777777" w:rsidR="00553BDD" w:rsidRPr="00553BDD" w:rsidRDefault="00553BDD" w:rsidP="00EC54C4">
            <w:pPr>
              <w:keepNext/>
              <w:keepLines/>
              <w:widowControl w:val="0"/>
              <w:jc w:val="center"/>
              <w:rPr>
                <w:shd w:val="clear" w:color="auto" w:fill="FFFFFF"/>
              </w:rPr>
            </w:pPr>
            <w:r w:rsidRPr="00553BDD">
              <w:rPr>
                <w:shd w:val="clear" w:color="auto" w:fill="FFFFFF"/>
              </w:rPr>
              <w:t>-3,3</w:t>
            </w:r>
          </w:p>
        </w:tc>
      </w:tr>
      <w:tr w:rsidR="00553BDD" w:rsidRPr="00553BDD" w14:paraId="26DA8950" w14:textId="77777777" w:rsidTr="008B2048">
        <w:trPr>
          <w:jc w:val="center"/>
        </w:trPr>
        <w:tc>
          <w:tcPr>
            <w:tcW w:w="2125" w:type="pct"/>
            <w:tcBorders>
              <w:top w:val="nil"/>
              <w:bottom w:val="nil"/>
            </w:tcBorders>
            <w:vAlign w:val="center"/>
          </w:tcPr>
          <w:p w14:paraId="2E7FE6C6" w14:textId="77777777" w:rsidR="00553BDD" w:rsidRPr="00553BDD" w:rsidRDefault="00553BDD" w:rsidP="00EC54C4">
            <w:pPr>
              <w:keepNext/>
              <w:keepLines/>
              <w:widowControl w:val="0"/>
              <w:rPr>
                <w:shd w:val="clear" w:color="auto" w:fill="FFFFFF"/>
              </w:rPr>
            </w:pPr>
            <w:r w:rsidRPr="00553BDD">
              <w:rPr>
                <w:shd w:val="clear" w:color="auto" w:fill="FFFFFF"/>
              </w:rPr>
              <w:t>Export de bunuri şi servicii</w:t>
            </w:r>
          </w:p>
        </w:tc>
        <w:tc>
          <w:tcPr>
            <w:tcW w:w="793" w:type="pct"/>
            <w:tcBorders>
              <w:top w:val="nil"/>
              <w:bottom w:val="nil"/>
            </w:tcBorders>
          </w:tcPr>
          <w:p w14:paraId="7BC513C4" w14:textId="77777777" w:rsidR="00553BDD" w:rsidRPr="00553BDD" w:rsidRDefault="00553BDD" w:rsidP="00EC54C4">
            <w:pPr>
              <w:keepNext/>
              <w:keepLines/>
              <w:widowControl w:val="0"/>
              <w:jc w:val="center"/>
              <w:rPr>
                <w:shd w:val="clear" w:color="auto" w:fill="FFFFFF"/>
              </w:rPr>
            </w:pPr>
            <w:r w:rsidRPr="00553BDD">
              <w:rPr>
                <w:shd w:val="clear" w:color="auto" w:fill="FFFFFF"/>
              </w:rPr>
              <w:t>3,7</w:t>
            </w:r>
          </w:p>
        </w:tc>
        <w:tc>
          <w:tcPr>
            <w:tcW w:w="607" w:type="pct"/>
            <w:tcBorders>
              <w:top w:val="nil"/>
              <w:bottom w:val="nil"/>
            </w:tcBorders>
          </w:tcPr>
          <w:p w14:paraId="52943E3D" w14:textId="77777777" w:rsidR="00553BDD" w:rsidRPr="00553BDD" w:rsidRDefault="00553BDD" w:rsidP="00EC54C4">
            <w:pPr>
              <w:keepNext/>
              <w:keepLines/>
              <w:widowControl w:val="0"/>
              <w:jc w:val="center"/>
              <w:rPr>
                <w:shd w:val="clear" w:color="auto" w:fill="FFFFFF"/>
              </w:rPr>
            </w:pPr>
            <w:r w:rsidRPr="00553BDD">
              <w:rPr>
                <w:shd w:val="clear" w:color="auto" w:fill="FFFFFF"/>
              </w:rPr>
              <w:t>-3,0</w:t>
            </w:r>
          </w:p>
        </w:tc>
        <w:tc>
          <w:tcPr>
            <w:tcW w:w="769" w:type="pct"/>
            <w:tcBorders>
              <w:top w:val="nil"/>
              <w:bottom w:val="nil"/>
            </w:tcBorders>
          </w:tcPr>
          <w:p w14:paraId="1C2483B4" w14:textId="77777777" w:rsidR="00553BDD" w:rsidRPr="00553BDD" w:rsidRDefault="00553BDD" w:rsidP="00EC54C4">
            <w:pPr>
              <w:keepNext/>
              <w:keepLines/>
              <w:widowControl w:val="0"/>
              <w:jc w:val="center"/>
              <w:rPr>
                <w:shd w:val="clear" w:color="auto" w:fill="FFFFFF"/>
              </w:rPr>
            </w:pPr>
            <w:r w:rsidRPr="00553BDD">
              <w:rPr>
                <w:shd w:val="clear" w:color="auto" w:fill="FFFFFF"/>
              </w:rPr>
              <w:t>2,6</w:t>
            </w:r>
          </w:p>
        </w:tc>
        <w:tc>
          <w:tcPr>
            <w:tcW w:w="706" w:type="pct"/>
            <w:tcBorders>
              <w:top w:val="nil"/>
              <w:bottom w:val="nil"/>
            </w:tcBorders>
          </w:tcPr>
          <w:p w14:paraId="3FDD4631" w14:textId="77777777" w:rsidR="00553BDD" w:rsidRPr="00553BDD" w:rsidRDefault="00553BDD" w:rsidP="00EC54C4">
            <w:pPr>
              <w:keepNext/>
              <w:keepLines/>
              <w:widowControl w:val="0"/>
              <w:jc w:val="center"/>
              <w:rPr>
                <w:shd w:val="clear" w:color="auto" w:fill="FFFFFF"/>
              </w:rPr>
            </w:pPr>
            <w:r w:rsidRPr="00553BDD">
              <w:rPr>
                <w:shd w:val="clear" w:color="auto" w:fill="FFFFFF"/>
              </w:rPr>
              <w:t>-3,1</w:t>
            </w:r>
          </w:p>
        </w:tc>
      </w:tr>
      <w:tr w:rsidR="00553BDD" w:rsidRPr="00553BDD" w14:paraId="72EE313B" w14:textId="77777777" w:rsidTr="008B2048">
        <w:trPr>
          <w:jc w:val="center"/>
        </w:trPr>
        <w:tc>
          <w:tcPr>
            <w:tcW w:w="2125" w:type="pct"/>
            <w:tcBorders>
              <w:top w:val="nil"/>
              <w:bottom w:val="nil"/>
            </w:tcBorders>
            <w:vAlign w:val="center"/>
          </w:tcPr>
          <w:p w14:paraId="28D28ECA" w14:textId="77777777" w:rsidR="00553BDD" w:rsidRPr="00553BDD" w:rsidRDefault="00553BDD" w:rsidP="00EC54C4">
            <w:pPr>
              <w:keepNext/>
              <w:keepLines/>
              <w:widowControl w:val="0"/>
              <w:rPr>
                <w:shd w:val="clear" w:color="auto" w:fill="FFFFFF"/>
              </w:rPr>
            </w:pPr>
            <w:r w:rsidRPr="00553BDD">
              <w:rPr>
                <w:shd w:val="clear" w:color="auto" w:fill="FFFFFF"/>
              </w:rPr>
              <w:t>Import de bunuri şi servicii</w:t>
            </w:r>
          </w:p>
        </w:tc>
        <w:tc>
          <w:tcPr>
            <w:tcW w:w="793" w:type="pct"/>
            <w:tcBorders>
              <w:top w:val="nil"/>
              <w:bottom w:val="nil"/>
            </w:tcBorders>
            <w:vAlign w:val="bottom"/>
          </w:tcPr>
          <w:p w14:paraId="30BCB539" w14:textId="77777777" w:rsidR="00553BDD" w:rsidRPr="00553BDD" w:rsidRDefault="00553BDD" w:rsidP="00EC54C4">
            <w:pPr>
              <w:keepNext/>
              <w:keepLines/>
              <w:widowControl w:val="0"/>
              <w:jc w:val="center"/>
              <w:rPr>
                <w:shd w:val="clear" w:color="auto" w:fill="FFFFFF"/>
              </w:rPr>
            </w:pPr>
            <w:r w:rsidRPr="00553BDD">
              <w:rPr>
                <w:shd w:val="clear" w:color="auto" w:fill="FFFFFF"/>
              </w:rPr>
              <w:t>3,6</w:t>
            </w:r>
          </w:p>
        </w:tc>
        <w:tc>
          <w:tcPr>
            <w:tcW w:w="607" w:type="pct"/>
            <w:tcBorders>
              <w:top w:val="nil"/>
              <w:bottom w:val="nil"/>
            </w:tcBorders>
            <w:vAlign w:val="center"/>
          </w:tcPr>
          <w:p w14:paraId="52811D61" w14:textId="77777777" w:rsidR="00553BDD" w:rsidRPr="00553BDD" w:rsidRDefault="00553BDD" w:rsidP="00EC54C4">
            <w:pPr>
              <w:keepNext/>
              <w:keepLines/>
              <w:widowControl w:val="0"/>
              <w:jc w:val="center"/>
              <w:rPr>
                <w:shd w:val="clear" w:color="auto" w:fill="FFFFFF"/>
              </w:rPr>
            </w:pPr>
            <w:r w:rsidRPr="00553BDD">
              <w:rPr>
                <w:shd w:val="clear" w:color="auto" w:fill="FFFFFF"/>
              </w:rPr>
              <w:t>-4,0</w:t>
            </w:r>
          </w:p>
        </w:tc>
        <w:tc>
          <w:tcPr>
            <w:tcW w:w="769" w:type="pct"/>
            <w:tcBorders>
              <w:top w:val="nil"/>
              <w:bottom w:val="nil"/>
            </w:tcBorders>
          </w:tcPr>
          <w:p w14:paraId="3E50EBA1" w14:textId="77777777" w:rsidR="00553BDD" w:rsidRPr="00553BDD" w:rsidRDefault="00553BDD" w:rsidP="00EC54C4">
            <w:pPr>
              <w:keepNext/>
              <w:keepLines/>
              <w:widowControl w:val="0"/>
              <w:jc w:val="center"/>
              <w:rPr>
                <w:shd w:val="clear" w:color="auto" w:fill="FFFFFF"/>
              </w:rPr>
            </w:pPr>
            <w:r w:rsidRPr="00553BDD">
              <w:rPr>
                <w:shd w:val="clear" w:color="auto" w:fill="FFFFFF"/>
              </w:rPr>
              <w:t>3,7</w:t>
            </w:r>
          </w:p>
        </w:tc>
        <w:tc>
          <w:tcPr>
            <w:tcW w:w="706" w:type="pct"/>
            <w:tcBorders>
              <w:top w:val="nil"/>
              <w:bottom w:val="nil"/>
            </w:tcBorders>
          </w:tcPr>
          <w:p w14:paraId="416C4DB7" w14:textId="77777777" w:rsidR="00553BDD" w:rsidRPr="00553BDD" w:rsidRDefault="00553BDD" w:rsidP="00EC54C4">
            <w:pPr>
              <w:keepNext/>
              <w:keepLines/>
              <w:widowControl w:val="0"/>
              <w:jc w:val="center"/>
              <w:rPr>
                <w:shd w:val="clear" w:color="auto" w:fill="FFFFFF"/>
              </w:rPr>
            </w:pPr>
            <w:r w:rsidRPr="00553BDD">
              <w:rPr>
                <w:shd w:val="clear" w:color="auto" w:fill="FFFFFF"/>
              </w:rPr>
              <w:t>3,8</w:t>
            </w:r>
          </w:p>
        </w:tc>
      </w:tr>
      <w:tr w:rsidR="00EC54C4" w:rsidRPr="00553BDD" w14:paraId="4F86386F" w14:textId="77777777" w:rsidTr="008B2048">
        <w:trPr>
          <w:jc w:val="center"/>
        </w:trPr>
        <w:tc>
          <w:tcPr>
            <w:tcW w:w="2125" w:type="pct"/>
            <w:tcBorders>
              <w:top w:val="nil"/>
            </w:tcBorders>
            <w:vAlign w:val="center"/>
          </w:tcPr>
          <w:p w14:paraId="3BCE9BC5" w14:textId="77777777" w:rsidR="00EC54C4" w:rsidRPr="00553BDD" w:rsidRDefault="00EC54C4" w:rsidP="00EC54C4">
            <w:pPr>
              <w:keepNext/>
              <w:keepLines/>
              <w:widowControl w:val="0"/>
              <w:rPr>
                <w:shd w:val="clear" w:color="auto" w:fill="FFFFFF"/>
              </w:rPr>
            </w:pPr>
          </w:p>
        </w:tc>
        <w:tc>
          <w:tcPr>
            <w:tcW w:w="793" w:type="pct"/>
            <w:tcBorders>
              <w:top w:val="nil"/>
            </w:tcBorders>
            <w:vAlign w:val="bottom"/>
          </w:tcPr>
          <w:p w14:paraId="003AB8E6" w14:textId="77777777" w:rsidR="00EC54C4" w:rsidRPr="00553BDD" w:rsidRDefault="00EC54C4" w:rsidP="00EC54C4">
            <w:pPr>
              <w:keepNext/>
              <w:keepLines/>
              <w:widowControl w:val="0"/>
              <w:jc w:val="center"/>
              <w:rPr>
                <w:shd w:val="clear" w:color="auto" w:fill="FFFFFF"/>
              </w:rPr>
            </w:pPr>
          </w:p>
        </w:tc>
        <w:tc>
          <w:tcPr>
            <w:tcW w:w="607" w:type="pct"/>
            <w:tcBorders>
              <w:top w:val="nil"/>
            </w:tcBorders>
            <w:vAlign w:val="center"/>
          </w:tcPr>
          <w:p w14:paraId="67D40B58" w14:textId="77777777" w:rsidR="00EC54C4" w:rsidRPr="00553BDD" w:rsidRDefault="00EC54C4" w:rsidP="00EC54C4">
            <w:pPr>
              <w:keepNext/>
              <w:keepLines/>
              <w:widowControl w:val="0"/>
              <w:jc w:val="center"/>
              <w:rPr>
                <w:shd w:val="clear" w:color="auto" w:fill="FFFFFF"/>
              </w:rPr>
            </w:pPr>
          </w:p>
        </w:tc>
        <w:tc>
          <w:tcPr>
            <w:tcW w:w="769" w:type="pct"/>
            <w:tcBorders>
              <w:top w:val="nil"/>
            </w:tcBorders>
          </w:tcPr>
          <w:p w14:paraId="4CC42D39" w14:textId="77777777" w:rsidR="00EC54C4" w:rsidRPr="00553BDD" w:rsidRDefault="00EC54C4" w:rsidP="00EC54C4">
            <w:pPr>
              <w:keepNext/>
              <w:keepLines/>
              <w:widowControl w:val="0"/>
              <w:jc w:val="center"/>
              <w:rPr>
                <w:shd w:val="clear" w:color="auto" w:fill="FFFFFF"/>
              </w:rPr>
            </w:pPr>
          </w:p>
        </w:tc>
        <w:tc>
          <w:tcPr>
            <w:tcW w:w="706" w:type="pct"/>
            <w:tcBorders>
              <w:top w:val="nil"/>
            </w:tcBorders>
          </w:tcPr>
          <w:p w14:paraId="1D07CE68" w14:textId="77777777" w:rsidR="00EC54C4" w:rsidRPr="00553BDD" w:rsidRDefault="00EC54C4" w:rsidP="00EC54C4">
            <w:pPr>
              <w:keepNext/>
              <w:keepLines/>
              <w:widowControl w:val="0"/>
              <w:jc w:val="center"/>
              <w:rPr>
                <w:shd w:val="clear" w:color="auto" w:fill="FFFFFF"/>
              </w:rPr>
            </w:pPr>
          </w:p>
        </w:tc>
      </w:tr>
    </w:tbl>
    <w:p w14:paraId="59A3955F" w14:textId="77777777" w:rsidR="00EC54C4" w:rsidRDefault="00EC54C4" w:rsidP="00EC54C4">
      <w:pPr>
        <w:keepNext/>
        <w:keepLines/>
        <w:widowControl w:val="0"/>
        <w:spacing w:before="120" w:after="240" w:line="276" w:lineRule="auto"/>
        <w:jc w:val="both"/>
        <w:rPr>
          <w:color w:val="5B9BD5" w:themeColor="accent1"/>
          <w:shd w:val="clear" w:color="auto" w:fill="FFFFFF"/>
        </w:rPr>
      </w:pPr>
    </w:p>
    <w:p w14:paraId="6022800C" w14:textId="20683AC7" w:rsidR="00EC54C4" w:rsidRPr="00EC54C4" w:rsidRDefault="00EC54C4" w:rsidP="00EC54C4">
      <w:pPr>
        <w:keepNext/>
        <w:keepLines/>
        <w:widowControl w:val="0"/>
        <w:spacing w:before="120" w:after="120" w:line="276" w:lineRule="auto"/>
        <w:jc w:val="both"/>
        <w:rPr>
          <w:shd w:val="clear" w:color="auto" w:fill="FFFFFF"/>
        </w:rPr>
      </w:pPr>
      <w:r w:rsidRPr="00EC54C4">
        <w:rPr>
          <w:shd w:val="clear" w:color="auto" w:fill="FFFFFF"/>
        </w:rPr>
        <w:lastRenderedPageBreak/>
        <w:t>Totodată, incertitudinile şi riscurile negative la adresa perspectivelor economice s-au intensificat în 2024 la nivel mondial şi regional, pe fondul conflictului prelungit din Ucraina dar şi a semnalelor generate de conflictul din Orientul Mijlociu. Acest climat a afectat comportamentul investitorilor, mai mult decât așteptările iniţiale, la care s-a adăugat şi adaptarea mai dificilă a companiilor şi populaţiei la situaţiile financiare încă restrictive. În aceste condiţii, un impact major asupra estimărilor iniţiale ale Comisiei Europene în raport cu realizările s-a datorat investiţiilor, atât în cazul României şi Ungariei (de la +7,3% la -3,3% respectiv de la +2,6% la -11,1%), cât şi în cazul economiilor dominante precum Germania (de la +0,6% la -2,7%) şi Franţa (de la +1,8% la -1,3%), ceea ce demonstrează impredictibilitatea ridicată a acestei componente a cererii în situaţia persistenței incertitudinii mediului economic.</w:t>
      </w:r>
    </w:p>
    <w:p w14:paraId="26973CC1" w14:textId="77777777" w:rsidR="00EC54C4" w:rsidRPr="00EC54C4" w:rsidRDefault="00EC54C4" w:rsidP="00EC54C4">
      <w:pPr>
        <w:keepNext/>
        <w:keepLines/>
        <w:widowControl w:val="0"/>
        <w:spacing w:before="120" w:after="120" w:line="276" w:lineRule="auto"/>
        <w:jc w:val="both"/>
        <w:rPr>
          <w:shd w:val="clear" w:color="auto" w:fill="FFFFFF"/>
        </w:rPr>
      </w:pPr>
      <w:r w:rsidRPr="00EC54C4">
        <w:rPr>
          <w:shd w:val="clear" w:color="auto" w:fill="FFFFFF"/>
        </w:rPr>
        <w:t>Pe lângă factorii de incertitudine, s-au remarcat şi alţi factori inhibatori care au intervenit ulterior asupra evoluţiilor externe, în special cele din Germania, care au fost mult mai slabe decât aşteptările iniţiale. Astfel, cererea externă a oferit un sprijin redus exporturilor româneşti, sub aşteptări, având în vedere faptul că volumul importurilor Germaniei de bunuri şi servicii s-au redus neaşteptat în 2024 (-0,7%), dar şi în Franţa şi Italia (-1,2% respectiv -0,7%), după ce așteptările din toamna anului 2023 vizau creşterea importurilor în toate economiile zonei euro (+1,7% în Germania; +2,6% în Franţa; +2,1% în Italia).</w:t>
      </w:r>
    </w:p>
    <w:p w14:paraId="13027D46" w14:textId="77777777" w:rsidR="00EC54C4" w:rsidRPr="00EC54C4" w:rsidRDefault="00EC54C4" w:rsidP="008B2048">
      <w:pPr>
        <w:keepNext/>
        <w:keepLines/>
        <w:widowControl w:val="0"/>
        <w:spacing w:before="120" w:after="240" w:line="276" w:lineRule="auto"/>
        <w:jc w:val="both"/>
        <w:rPr>
          <w:shd w:val="clear" w:color="auto" w:fill="FFFFFF"/>
        </w:rPr>
      </w:pPr>
      <w:r w:rsidRPr="00EC54C4">
        <w:rPr>
          <w:shd w:val="clear" w:color="auto" w:fill="FFFFFF"/>
        </w:rPr>
        <w:t xml:space="preserve">Per ansamblu, ipotezele care au stat la baza estimărilor macroeconomice pentru statele UE în noiembrie 2023 şi care au vizat un sentiment de încredere privind investiţiile şi îmbunătățirea schimburilor comerciale, au fost luate în considerare şi în prognoza naţională, când s-a estimat o creştere economică de 3,4% pentru anul 2024. </w:t>
      </w:r>
    </w:p>
    <w:p w14:paraId="618CB301" w14:textId="77777777" w:rsidR="00EC54C4" w:rsidRPr="00EC54C4" w:rsidRDefault="00EC54C4" w:rsidP="00EC54C4">
      <w:pPr>
        <w:keepNext/>
        <w:keepLines/>
        <w:spacing w:before="120" w:after="120" w:line="276" w:lineRule="auto"/>
        <w:jc w:val="center"/>
      </w:pPr>
      <w:r w:rsidRPr="00EC54C4">
        <w:t>Principalii indicatori macroeconomici ai cadrului bugetar au fost:</w:t>
      </w:r>
    </w:p>
    <w:p w14:paraId="6DBC1FA0" w14:textId="77777777" w:rsidR="00EC54C4" w:rsidRPr="00EC54C4" w:rsidRDefault="00EC54C4" w:rsidP="00EC54C4">
      <w:pPr>
        <w:keepNext/>
        <w:keepLines/>
        <w:autoSpaceDE w:val="0"/>
        <w:autoSpaceDN w:val="0"/>
        <w:adjustRightInd w:val="0"/>
        <w:jc w:val="center"/>
        <w:rPr>
          <w:b/>
          <w:bCs/>
        </w:rPr>
      </w:pPr>
    </w:p>
    <w:tbl>
      <w:tblPr>
        <w:tblW w:w="9267" w:type="dxa"/>
        <w:jc w:val="center"/>
        <w:tblLook w:val="0000" w:firstRow="0" w:lastRow="0" w:firstColumn="0" w:lastColumn="0" w:noHBand="0" w:noVBand="0"/>
      </w:tblPr>
      <w:tblGrid>
        <w:gridCol w:w="5627"/>
        <w:gridCol w:w="1810"/>
        <w:gridCol w:w="1830"/>
      </w:tblGrid>
      <w:tr w:rsidR="00EC54C4" w:rsidRPr="00EC54C4" w14:paraId="2F0E5E72" w14:textId="77777777" w:rsidTr="00EC54C4">
        <w:trPr>
          <w:trHeight w:val="228"/>
          <w:jc w:val="center"/>
        </w:trPr>
        <w:tc>
          <w:tcPr>
            <w:tcW w:w="5627" w:type="dxa"/>
            <w:tcBorders>
              <w:top w:val="single" w:sz="4" w:space="0" w:color="auto"/>
              <w:left w:val="single" w:sz="4" w:space="0" w:color="auto"/>
              <w:bottom w:val="single" w:sz="4" w:space="0" w:color="auto"/>
              <w:right w:val="single" w:sz="4" w:space="0" w:color="auto"/>
            </w:tcBorders>
            <w:shd w:val="clear" w:color="auto" w:fill="D2FAF9"/>
            <w:vAlign w:val="center"/>
          </w:tcPr>
          <w:p w14:paraId="65163D66" w14:textId="77777777" w:rsidR="00EC54C4" w:rsidRPr="00EC54C4" w:rsidRDefault="00EC54C4" w:rsidP="00EC54C4">
            <w:pPr>
              <w:keepNext/>
              <w:keepLines/>
              <w:spacing w:before="120"/>
              <w:ind w:left="-53" w:firstLine="53"/>
              <w:jc w:val="center"/>
              <w:rPr>
                <w:b/>
                <w:bCs/>
              </w:rPr>
            </w:pPr>
          </w:p>
        </w:tc>
        <w:tc>
          <w:tcPr>
            <w:tcW w:w="1810" w:type="dxa"/>
            <w:tcBorders>
              <w:top w:val="single" w:sz="4" w:space="0" w:color="auto"/>
              <w:left w:val="single" w:sz="4" w:space="0" w:color="auto"/>
              <w:bottom w:val="single" w:sz="4" w:space="0" w:color="auto"/>
              <w:right w:val="single" w:sz="4" w:space="0" w:color="auto"/>
            </w:tcBorders>
            <w:shd w:val="clear" w:color="auto" w:fill="D2FAF9"/>
            <w:noWrap/>
            <w:vAlign w:val="center"/>
          </w:tcPr>
          <w:p w14:paraId="213E710F" w14:textId="5EFE9BDC" w:rsidR="00EC54C4" w:rsidRPr="00EC54C4" w:rsidRDefault="00EC54C4" w:rsidP="00EC54C4">
            <w:pPr>
              <w:keepNext/>
              <w:keepLines/>
              <w:spacing w:before="120"/>
              <w:jc w:val="center"/>
              <w:rPr>
                <w:b/>
                <w:bCs/>
              </w:rPr>
            </w:pPr>
            <w:r w:rsidRPr="00EC54C4">
              <w:rPr>
                <w:b/>
                <w:bCs/>
              </w:rPr>
              <w:t>Buget 2024</w:t>
            </w:r>
          </w:p>
        </w:tc>
        <w:tc>
          <w:tcPr>
            <w:tcW w:w="1830" w:type="dxa"/>
            <w:tcBorders>
              <w:top w:val="single" w:sz="4" w:space="0" w:color="auto"/>
              <w:left w:val="single" w:sz="4" w:space="0" w:color="auto"/>
              <w:bottom w:val="single" w:sz="4" w:space="0" w:color="auto"/>
              <w:right w:val="single" w:sz="4" w:space="0" w:color="auto"/>
            </w:tcBorders>
            <w:shd w:val="clear" w:color="auto" w:fill="D2FAF9"/>
            <w:vAlign w:val="center"/>
          </w:tcPr>
          <w:p w14:paraId="738421B7" w14:textId="77777777" w:rsidR="00EC54C4" w:rsidRPr="00EC54C4" w:rsidRDefault="00EC54C4" w:rsidP="00EC54C4">
            <w:pPr>
              <w:keepNext/>
              <w:keepLines/>
              <w:spacing w:before="120"/>
              <w:jc w:val="center"/>
              <w:rPr>
                <w:b/>
                <w:bCs/>
              </w:rPr>
            </w:pPr>
            <w:r w:rsidRPr="00EC54C4">
              <w:rPr>
                <w:b/>
                <w:bCs/>
              </w:rPr>
              <w:t>Realizări</w:t>
            </w:r>
          </w:p>
        </w:tc>
      </w:tr>
      <w:tr w:rsidR="00EC54C4" w:rsidRPr="00EC54C4" w14:paraId="6E0C1E6B" w14:textId="77777777" w:rsidTr="00B23F48">
        <w:trPr>
          <w:trHeight w:val="285"/>
          <w:jc w:val="center"/>
        </w:trPr>
        <w:tc>
          <w:tcPr>
            <w:tcW w:w="5627" w:type="dxa"/>
            <w:tcBorders>
              <w:top w:val="nil"/>
              <w:left w:val="single" w:sz="4" w:space="0" w:color="auto"/>
              <w:bottom w:val="nil"/>
              <w:right w:val="single" w:sz="4" w:space="0" w:color="auto"/>
            </w:tcBorders>
            <w:noWrap/>
            <w:vAlign w:val="bottom"/>
          </w:tcPr>
          <w:p w14:paraId="554A03B8" w14:textId="77777777" w:rsidR="00EC54C4" w:rsidRPr="00EC54C4" w:rsidRDefault="00EC54C4" w:rsidP="00EC54C4">
            <w:pPr>
              <w:keepNext/>
              <w:keepLines/>
              <w:spacing w:before="120"/>
            </w:pPr>
            <w:r w:rsidRPr="00EC54C4">
              <w:t>PIB  - miliarde lei</w:t>
            </w:r>
          </w:p>
        </w:tc>
        <w:tc>
          <w:tcPr>
            <w:tcW w:w="1810" w:type="dxa"/>
            <w:tcBorders>
              <w:top w:val="nil"/>
              <w:left w:val="single" w:sz="4" w:space="0" w:color="auto"/>
              <w:bottom w:val="nil"/>
              <w:right w:val="single" w:sz="4" w:space="0" w:color="auto"/>
            </w:tcBorders>
            <w:noWrap/>
            <w:vAlign w:val="bottom"/>
          </w:tcPr>
          <w:p w14:paraId="137D8E8D" w14:textId="77777777" w:rsidR="00EC54C4" w:rsidRPr="00EC54C4" w:rsidRDefault="00EC54C4" w:rsidP="00EC54C4">
            <w:pPr>
              <w:keepNext/>
              <w:keepLines/>
              <w:spacing w:before="120"/>
              <w:jc w:val="center"/>
            </w:pPr>
            <w:r w:rsidRPr="00EC54C4">
              <w:t>1.733,8</w:t>
            </w:r>
          </w:p>
        </w:tc>
        <w:tc>
          <w:tcPr>
            <w:tcW w:w="1830" w:type="dxa"/>
            <w:tcBorders>
              <w:top w:val="nil"/>
              <w:left w:val="single" w:sz="4" w:space="0" w:color="auto"/>
              <w:bottom w:val="nil"/>
              <w:right w:val="single" w:sz="4" w:space="0" w:color="auto"/>
            </w:tcBorders>
            <w:noWrap/>
            <w:vAlign w:val="bottom"/>
          </w:tcPr>
          <w:p w14:paraId="52D26F7E" w14:textId="77777777" w:rsidR="00EC54C4" w:rsidRPr="00EC54C4" w:rsidRDefault="00EC54C4" w:rsidP="00EC54C4">
            <w:pPr>
              <w:keepNext/>
              <w:keepLines/>
              <w:spacing w:before="120"/>
              <w:jc w:val="center"/>
            </w:pPr>
            <w:r w:rsidRPr="00EC54C4">
              <w:t>1.760.1</w:t>
            </w:r>
          </w:p>
        </w:tc>
      </w:tr>
      <w:tr w:rsidR="00EC54C4" w:rsidRPr="00EC54C4" w14:paraId="110554A1" w14:textId="77777777" w:rsidTr="00B23F48">
        <w:trPr>
          <w:trHeight w:val="285"/>
          <w:jc w:val="center"/>
        </w:trPr>
        <w:tc>
          <w:tcPr>
            <w:tcW w:w="5627" w:type="dxa"/>
            <w:tcBorders>
              <w:top w:val="nil"/>
              <w:left w:val="single" w:sz="4" w:space="0" w:color="auto"/>
              <w:bottom w:val="nil"/>
              <w:right w:val="single" w:sz="4" w:space="0" w:color="auto"/>
            </w:tcBorders>
            <w:noWrap/>
            <w:vAlign w:val="center"/>
          </w:tcPr>
          <w:p w14:paraId="61F7F36B" w14:textId="77777777" w:rsidR="00EC54C4" w:rsidRPr="00EC54C4" w:rsidRDefault="00EC54C4" w:rsidP="00EC54C4">
            <w:pPr>
              <w:keepNext/>
              <w:keepLines/>
              <w:spacing w:before="120"/>
            </w:pPr>
            <w:r w:rsidRPr="00EC54C4">
              <w:t>Creştere economică  -   %</w:t>
            </w:r>
          </w:p>
        </w:tc>
        <w:tc>
          <w:tcPr>
            <w:tcW w:w="1810" w:type="dxa"/>
            <w:tcBorders>
              <w:top w:val="nil"/>
              <w:left w:val="single" w:sz="4" w:space="0" w:color="auto"/>
              <w:bottom w:val="nil"/>
              <w:right w:val="single" w:sz="4" w:space="0" w:color="auto"/>
            </w:tcBorders>
            <w:noWrap/>
            <w:vAlign w:val="center"/>
          </w:tcPr>
          <w:p w14:paraId="00423627" w14:textId="77777777" w:rsidR="00EC54C4" w:rsidRPr="00EC54C4" w:rsidRDefault="00EC54C4" w:rsidP="00EC54C4">
            <w:pPr>
              <w:keepNext/>
              <w:keepLines/>
              <w:spacing w:before="120"/>
              <w:jc w:val="center"/>
            </w:pPr>
            <w:r w:rsidRPr="00EC54C4">
              <w:t>3,4</w:t>
            </w:r>
          </w:p>
        </w:tc>
        <w:tc>
          <w:tcPr>
            <w:tcW w:w="1830" w:type="dxa"/>
            <w:tcBorders>
              <w:top w:val="nil"/>
              <w:left w:val="single" w:sz="4" w:space="0" w:color="auto"/>
              <w:bottom w:val="nil"/>
              <w:right w:val="single" w:sz="4" w:space="0" w:color="auto"/>
            </w:tcBorders>
            <w:noWrap/>
            <w:vAlign w:val="center"/>
          </w:tcPr>
          <w:p w14:paraId="07242753" w14:textId="77777777" w:rsidR="00EC54C4" w:rsidRPr="00EC54C4" w:rsidRDefault="00EC54C4" w:rsidP="00EC54C4">
            <w:pPr>
              <w:keepNext/>
              <w:keepLines/>
              <w:spacing w:before="120"/>
              <w:jc w:val="center"/>
            </w:pPr>
            <w:r w:rsidRPr="00EC54C4">
              <w:t>0,8</w:t>
            </w:r>
          </w:p>
        </w:tc>
      </w:tr>
      <w:tr w:rsidR="00EC54C4" w:rsidRPr="00EC54C4" w14:paraId="2DCAFED7" w14:textId="77777777" w:rsidTr="00B23F48">
        <w:trPr>
          <w:trHeight w:val="285"/>
          <w:jc w:val="center"/>
        </w:trPr>
        <w:tc>
          <w:tcPr>
            <w:tcW w:w="5627" w:type="dxa"/>
            <w:tcBorders>
              <w:top w:val="nil"/>
              <w:left w:val="single" w:sz="4" w:space="0" w:color="auto"/>
              <w:bottom w:val="nil"/>
              <w:right w:val="single" w:sz="4" w:space="0" w:color="auto"/>
            </w:tcBorders>
            <w:noWrap/>
            <w:vAlign w:val="bottom"/>
          </w:tcPr>
          <w:p w14:paraId="148C4C32" w14:textId="77777777" w:rsidR="00EC54C4" w:rsidRPr="00EC54C4" w:rsidRDefault="00EC54C4" w:rsidP="00EC54C4">
            <w:pPr>
              <w:keepNext/>
              <w:keepLines/>
              <w:spacing w:before="120"/>
            </w:pPr>
            <w:r w:rsidRPr="00EC54C4">
              <w:t>Deflator PIB - %</w:t>
            </w:r>
          </w:p>
        </w:tc>
        <w:tc>
          <w:tcPr>
            <w:tcW w:w="1810" w:type="dxa"/>
            <w:tcBorders>
              <w:top w:val="nil"/>
              <w:left w:val="single" w:sz="4" w:space="0" w:color="auto"/>
              <w:bottom w:val="nil"/>
              <w:right w:val="single" w:sz="4" w:space="0" w:color="auto"/>
            </w:tcBorders>
            <w:noWrap/>
            <w:vAlign w:val="bottom"/>
          </w:tcPr>
          <w:p w14:paraId="6553C8BB" w14:textId="77777777" w:rsidR="00EC54C4" w:rsidRPr="00EC54C4" w:rsidRDefault="00EC54C4" w:rsidP="00EC54C4">
            <w:pPr>
              <w:keepNext/>
              <w:keepLines/>
              <w:spacing w:before="120"/>
              <w:jc w:val="center"/>
            </w:pPr>
            <w:r w:rsidRPr="00EC54C4">
              <w:t>5,9</w:t>
            </w:r>
          </w:p>
        </w:tc>
        <w:tc>
          <w:tcPr>
            <w:tcW w:w="1830" w:type="dxa"/>
            <w:tcBorders>
              <w:top w:val="nil"/>
              <w:left w:val="single" w:sz="4" w:space="0" w:color="auto"/>
              <w:bottom w:val="nil"/>
              <w:right w:val="single" w:sz="4" w:space="0" w:color="auto"/>
            </w:tcBorders>
            <w:noWrap/>
            <w:vAlign w:val="bottom"/>
          </w:tcPr>
          <w:p w14:paraId="5A4896B8" w14:textId="77777777" w:rsidR="00EC54C4" w:rsidRPr="00EC54C4" w:rsidRDefault="00EC54C4" w:rsidP="00EC54C4">
            <w:pPr>
              <w:keepNext/>
              <w:keepLines/>
              <w:spacing w:before="120"/>
              <w:jc w:val="center"/>
            </w:pPr>
            <w:r w:rsidRPr="00EC54C4">
              <w:t>8,8</w:t>
            </w:r>
          </w:p>
        </w:tc>
      </w:tr>
      <w:tr w:rsidR="00EC54C4" w:rsidRPr="00EC54C4" w14:paraId="33CC9EE8" w14:textId="77777777" w:rsidTr="00B23F48">
        <w:trPr>
          <w:trHeight w:val="285"/>
          <w:jc w:val="center"/>
        </w:trPr>
        <w:tc>
          <w:tcPr>
            <w:tcW w:w="5627" w:type="dxa"/>
            <w:tcBorders>
              <w:top w:val="nil"/>
              <w:left w:val="single" w:sz="4" w:space="0" w:color="auto"/>
              <w:bottom w:val="nil"/>
              <w:right w:val="single" w:sz="4" w:space="0" w:color="auto"/>
            </w:tcBorders>
            <w:noWrap/>
            <w:vAlign w:val="bottom"/>
          </w:tcPr>
          <w:p w14:paraId="5F9F4A75" w14:textId="77777777" w:rsidR="00EC54C4" w:rsidRPr="00EC54C4" w:rsidRDefault="00EC54C4" w:rsidP="00EC54C4">
            <w:pPr>
              <w:keepNext/>
              <w:keepLines/>
              <w:spacing w:before="120"/>
            </w:pPr>
            <w:r w:rsidRPr="00EC54C4">
              <w:t>Inflaţia - medie anuală   -  %</w:t>
            </w:r>
          </w:p>
        </w:tc>
        <w:tc>
          <w:tcPr>
            <w:tcW w:w="1810" w:type="dxa"/>
            <w:tcBorders>
              <w:top w:val="nil"/>
              <w:left w:val="single" w:sz="4" w:space="0" w:color="auto"/>
              <w:bottom w:val="nil"/>
              <w:right w:val="single" w:sz="4" w:space="0" w:color="auto"/>
            </w:tcBorders>
            <w:shd w:val="clear" w:color="auto" w:fill="auto"/>
            <w:noWrap/>
            <w:vAlign w:val="bottom"/>
          </w:tcPr>
          <w:p w14:paraId="7CF847DC" w14:textId="77777777" w:rsidR="00EC54C4" w:rsidRPr="00EC54C4" w:rsidRDefault="00EC54C4" w:rsidP="00EC54C4">
            <w:pPr>
              <w:keepNext/>
              <w:keepLines/>
              <w:spacing w:before="120"/>
              <w:jc w:val="center"/>
            </w:pPr>
            <w:r w:rsidRPr="00EC54C4">
              <w:t>6,0</w:t>
            </w:r>
          </w:p>
        </w:tc>
        <w:tc>
          <w:tcPr>
            <w:tcW w:w="1830" w:type="dxa"/>
            <w:tcBorders>
              <w:top w:val="nil"/>
              <w:left w:val="single" w:sz="4" w:space="0" w:color="auto"/>
              <w:bottom w:val="nil"/>
              <w:right w:val="single" w:sz="4" w:space="0" w:color="auto"/>
            </w:tcBorders>
            <w:shd w:val="clear" w:color="auto" w:fill="auto"/>
            <w:noWrap/>
            <w:vAlign w:val="bottom"/>
          </w:tcPr>
          <w:p w14:paraId="5BE9CF90" w14:textId="77777777" w:rsidR="00EC54C4" w:rsidRPr="00EC54C4" w:rsidRDefault="00EC54C4" w:rsidP="00EC54C4">
            <w:pPr>
              <w:keepNext/>
              <w:keepLines/>
              <w:spacing w:before="120"/>
              <w:jc w:val="center"/>
            </w:pPr>
            <w:r w:rsidRPr="00EC54C4">
              <w:t>5,6</w:t>
            </w:r>
          </w:p>
        </w:tc>
      </w:tr>
      <w:tr w:rsidR="00EC54C4" w:rsidRPr="00EC54C4" w14:paraId="58C15377" w14:textId="77777777" w:rsidTr="00B23F48">
        <w:trPr>
          <w:trHeight w:val="285"/>
          <w:jc w:val="center"/>
        </w:trPr>
        <w:tc>
          <w:tcPr>
            <w:tcW w:w="5627" w:type="dxa"/>
            <w:tcBorders>
              <w:top w:val="nil"/>
              <w:left w:val="single" w:sz="4" w:space="0" w:color="auto"/>
              <w:bottom w:val="nil"/>
              <w:right w:val="single" w:sz="4" w:space="0" w:color="auto"/>
            </w:tcBorders>
            <w:noWrap/>
            <w:vAlign w:val="bottom"/>
          </w:tcPr>
          <w:p w14:paraId="4BF8EAB8" w14:textId="77777777" w:rsidR="00EC54C4" w:rsidRPr="00EC54C4" w:rsidRDefault="00EC54C4" w:rsidP="00EC54C4">
            <w:pPr>
              <w:pStyle w:val="ListParagraph"/>
              <w:keepNext/>
              <w:keepLines/>
              <w:numPr>
                <w:ilvl w:val="0"/>
                <w:numId w:val="4"/>
              </w:numPr>
              <w:spacing w:before="120"/>
              <w:ind w:left="557" w:hanging="191"/>
              <w:rPr>
                <w:rFonts w:cs="Tahoma"/>
              </w:rPr>
            </w:pPr>
            <w:r w:rsidRPr="00EC54C4">
              <w:rPr>
                <w:rFonts w:cs="Tahoma"/>
              </w:rPr>
              <w:t>sfârşitul anului - %</w:t>
            </w:r>
          </w:p>
        </w:tc>
        <w:tc>
          <w:tcPr>
            <w:tcW w:w="1810" w:type="dxa"/>
            <w:tcBorders>
              <w:top w:val="nil"/>
              <w:left w:val="single" w:sz="4" w:space="0" w:color="auto"/>
              <w:bottom w:val="nil"/>
              <w:right w:val="single" w:sz="4" w:space="0" w:color="auto"/>
            </w:tcBorders>
            <w:shd w:val="clear" w:color="auto" w:fill="auto"/>
            <w:noWrap/>
            <w:vAlign w:val="bottom"/>
          </w:tcPr>
          <w:p w14:paraId="275176C7" w14:textId="77777777" w:rsidR="00EC54C4" w:rsidRPr="00EC54C4" w:rsidRDefault="00EC54C4" w:rsidP="00EC54C4">
            <w:pPr>
              <w:keepNext/>
              <w:keepLines/>
              <w:spacing w:before="120"/>
              <w:jc w:val="center"/>
            </w:pPr>
            <w:r w:rsidRPr="00EC54C4">
              <w:t>4,6</w:t>
            </w:r>
          </w:p>
        </w:tc>
        <w:tc>
          <w:tcPr>
            <w:tcW w:w="1830" w:type="dxa"/>
            <w:tcBorders>
              <w:top w:val="nil"/>
              <w:left w:val="single" w:sz="4" w:space="0" w:color="auto"/>
              <w:bottom w:val="nil"/>
              <w:right w:val="single" w:sz="4" w:space="0" w:color="auto"/>
            </w:tcBorders>
            <w:shd w:val="clear" w:color="auto" w:fill="auto"/>
            <w:noWrap/>
            <w:vAlign w:val="bottom"/>
          </w:tcPr>
          <w:p w14:paraId="7B467347" w14:textId="77777777" w:rsidR="00EC54C4" w:rsidRPr="00EC54C4" w:rsidRDefault="00EC54C4" w:rsidP="00EC54C4">
            <w:pPr>
              <w:keepNext/>
              <w:keepLines/>
              <w:spacing w:before="120"/>
              <w:jc w:val="center"/>
            </w:pPr>
            <w:r w:rsidRPr="00EC54C4">
              <w:t>5,1</w:t>
            </w:r>
          </w:p>
        </w:tc>
      </w:tr>
      <w:tr w:rsidR="00EC54C4" w:rsidRPr="00EC54C4" w14:paraId="11AD6839" w14:textId="77777777" w:rsidTr="00B23F48">
        <w:trPr>
          <w:trHeight w:val="83"/>
          <w:jc w:val="center"/>
        </w:trPr>
        <w:tc>
          <w:tcPr>
            <w:tcW w:w="5627" w:type="dxa"/>
            <w:tcBorders>
              <w:top w:val="nil"/>
              <w:left w:val="single" w:sz="4" w:space="0" w:color="auto"/>
              <w:bottom w:val="nil"/>
              <w:right w:val="single" w:sz="4" w:space="0" w:color="auto"/>
            </w:tcBorders>
            <w:noWrap/>
            <w:vAlign w:val="bottom"/>
          </w:tcPr>
          <w:p w14:paraId="0BABF2FF" w14:textId="77777777" w:rsidR="00EC54C4" w:rsidRPr="00EC54C4" w:rsidRDefault="00EC54C4" w:rsidP="00EC54C4">
            <w:pPr>
              <w:keepNext/>
              <w:keepLines/>
              <w:spacing w:before="120"/>
            </w:pPr>
            <w:r w:rsidRPr="00EC54C4">
              <w:t>Număr mediu de salariaţi – %</w:t>
            </w:r>
          </w:p>
        </w:tc>
        <w:tc>
          <w:tcPr>
            <w:tcW w:w="1810" w:type="dxa"/>
            <w:tcBorders>
              <w:top w:val="nil"/>
              <w:left w:val="single" w:sz="4" w:space="0" w:color="auto"/>
              <w:bottom w:val="nil"/>
              <w:right w:val="single" w:sz="4" w:space="0" w:color="auto"/>
            </w:tcBorders>
            <w:noWrap/>
          </w:tcPr>
          <w:p w14:paraId="5E95D04A" w14:textId="77777777" w:rsidR="00EC54C4" w:rsidRPr="00EC54C4" w:rsidRDefault="00EC54C4" w:rsidP="00EC54C4">
            <w:pPr>
              <w:keepNext/>
              <w:keepLines/>
              <w:spacing w:before="120"/>
              <w:jc w:val="center"/>
              <w:rPr>
                <w:rFonts w:eastAsiaTheme="minorHAnsi"/>
              </w:rPr>
            </w:pPr>
            <w:r w:rsidRPr="00EC54C4">
              <w:t>1,6</w:t>
            </w:r>
          </w:p>
        </w:tc>
        <w:tc>
          <w:tcPr>
            <w:tcW w:w="1830" w:type="dxa"/>
            <w:tcBorders>
              <w:top w:val="nil"/>
              <w:left w:val="single" w:sz="4" w:space="0" w:color="auto"/>
              <w:bottom w:val="nil"/>
              <w:right w:val="single" w:sz="4" w:space="0" w:color="auto"/>
            </w:tcBorders>
            <w:noWrap/>
          </w:tcPr>
          <w:p w14:paraId="346494CE" w14:textId="77777777" w:rsidR="00EC54C4" w:rsidRPr="00EC54C4" w:rsidRDefault="00EC54C4" w:rsidP="00EC54C4">
            <w:pPr>
              <w:keepNext/>
              <w:keepLines/>
              <w:spacing w:before="120"/>
              <w:jc w:val="center"/>
              <w:rPr>
                <w:rFonts w:eastAsiaTheme="minorHAnsi"/>
              </w:rPr>
            </w:pPr>
            <w:r w:rsidRPr="00EC54C4">
              <w:t>0,9*)</w:t>
            </w:r>
          </w:p>
        </w:tc>
      </w:tr>
      <w:tr w:rsidR="00EC54C4" w:rsidRPr="00EC54C4" w14:paraId="6EBB0733" w14:textId="77777777" w:rsidTr="00B23F48">
        <w:trPr>
          <w:trHeight w:val="83"/>
          <w:jc w:val="center"/>
        </w:trPr>
        <w:tc>
          <w:tcPr>
            <w:tcW w:w="5627" w:type="dxa"/>
            <w:tcBorders>
              <w:top w:val="nil"/>
              <w:left w:val="single" w:sz="4" w:space="0" w:color="auto"/>
              <w:bottom w:val="nil"/>
              <w:right w:val="single" w:sz="4" w:space="0" w:color="auto"/>
            </w:tcBorders>
            <w:noWrap/>
            <w:vAlign w:val="bottom"/>
          </w:tcPr>
          <w:p w14:paraId="44840DD3" w14:textId="77777777" w:rsidR="00EC54C4" w:rsidRPr="00EC54C4" w:rsidRDefault="00EC54C4" w:rsidP="00EC54C4">
            <w:pPr>
              <w:keepNext/>
              <w:keepLines/>
              <w:spacing w:before="120"/>
            </w:pPr>
            <w:r w:rsidRPr="00EC54C4">
              <w:t>Şomeri înregistraţi la sf. anului  - mii persoane</w:t>
            </w:r>
          </w:p>
        </w:tc>
        <w:tc>
          <w:tcPr>
            <w:tcW w:w="1810" w:type="dxa"/>
            <w:tcBorders>
              <w:top w:val="nil"/>
              <w:left w:val="single" w:sz="4" w:space="0" w:color="auto"/>
              <w:bottom w:val="nil"/>
              <w:right w:val="single" w:sz="4" w:space="0" w:color="auto"/>
            </w:tcBorders>
            <w:noWrap/>
          </w:tcPr>
          <w:p w14:paraId="19133D8F" w14:textId="77777777" w:rsidR="00EC54C4" w:rsidRPr="00EC54C4" w:rsidRDefault="00EC54C4" w:rsidP="00EC54C4">
            <w:pPr>
              <w:keepNext/>
              <w:keepLines/>
              <w:spacing w:before="120"/>
              <w:jc w:val="center"/>
              <w:rPr>
                <w:rFonts w:eastAsiaTheme="minorHAnsi"/>
              </w:rPr>
            </w:pPr>
            <w:r w:rsidRPr="00EC54C4">
              <w:t>215</w:t>
            </w:r>
          </w:p>
        </w:tc>
        <w:tc>
          <w:tcPr>
            <w:tcW w:w="1830" w:type="dxa"/>
            <w:tcBorders>
              <w:top w:val="nil"/>
              <w:left w:val="single" w:sz="4" w:space="0" w:color="auto"/>
              <w:bottom w:val="nil"/>
              <w:right w:val="single" w:sz="4" w:space="0" w:color="auto"/>
            </w:tcBorders>
            <w:noWrap/>
          </w:tcPr>
          <w:p w14:paraId="122D4BA0" w14:textId="77777777" w:rsidR="00EC54C4" w:rsidRPr="00EC54C4" w:rsidRDefault="00EC54C4" w:rsidP="00EC54C4">
            <w:pPr>
              <w:keepNext/>
              <w:keepLines/>
              <w:spacing w:before="120"/>
              <w:jc w:val="center"/>
              <w:rPr>
                <w:rFonts w:eastAsiaTheme="minorHAnsi"/>
              </w:rPr>
            </w:pPr>
            <w:r w:rsidRPr="00EC54C4">
              <w:t>261,3</w:t>
            </w:r>
          </w:p>
        </w:tc>
      </w:tr>
      <w:tr w:rsidR="00EC54C4" w:rsidRPr="00EC54C4" w14:paraId="2BB2804F" w14:textId="77777777" w:rsidTr="00B23F48">
        <w:trPr>
          <w:trHeight w:val="80"/>
          <w:jc w:val="center"/>
        </w:trPr>
        <w:tc>
          <w:tcPr>
            <w:tcW w:w="5627" w:type="dxa"/>
            <w:tcBorders>
              <w:top w:val="nil"/>
              <w:left w:val="single" w:sz="4" w:space="0" w:color="auto"/>
              <w:right w:val="single" w:sz="4" w:space="0" w:color="auto"/>
            </w:tcBorders>
            <w:noWrap/>
            <w:vAlign w:val="bottom"/>
          </w:tcPr>
          <w:p w14:paraId="181013B6" w14:textId="77777777" w:rsidR="00EC54C4" w:rsidRPr="00EC54C4" w:rsidRDefault="00EC54C4" w:rsidP="00EC54C4">
            <w:pPr>
              <w:pStyle w:val="ListParagraph"/>
              <w:keepNext/>
              <w:keepLines/>
              <w:numPr>
                <w:ilvl w:val="0"/>
                <w:numId w:val="4"/>
              </w:numPr>
              <w:spacing w:before="120"/>
              <w:ind w:left="557" w:hanging="191"/>
              <w:rPr>
                <w:rFonts w:cs="Tahoma"/>
              </w:rPr>
            </w:pPr>
            <w:r w:rsidRPr="00EC54C4">
              <w:rPr>
                <w:rFonts w:cs="Tahoma"/>
              </w:rPr>
              <w:t>rata şomajului - %</w:t>
            </w:r>
          </w:p>
        </w:tc>
        <w:tc>
          <w:tcPr>
            <w:tcW w:w="1810" w:type="dxa"/>
            <w:tcBorders>
              <w:top w:val="nil"/>
              <w:left w:val="single" w:sz="4" w:space="0" w:color="auto"/>
              <w:right w:val="single" w:sz="4" w:space="0" w:color="auto"/>
            </w:tcBorders>
            <w:noWrap/>
          </w:tcPr>
          <w:p w14:paraId="3BD0DB0C" w14:textId="77777777" w:rsidR="00EC54C4" w:rsidRPr="00EC54C4" w:rsidRDefault="00EC54C4" w:rsidP="00EC54C4">
            <w:pPr>
              <w:keepNext/>
              <w:keepLines/>
              <w:spacing w:before="120"/>
              <w:jc w:val="center"/>
              <w:rPr>
                <w:rFonts w:eastAsiaTheme="minorHAnsi"/>
              </w:rPr>
            </w:pPr>
            <w:r w:rsidRPr="00EC54C4">
              <w:t>2,7</w:t>
            </w:r>
          </w:p>
        </w:tc>
        <w:tc>
          <w:tcPr>
            <w:tcW w:w="1830" w:type="dxa"/>
            <w:tcBorders>
              <w:top w:val="nil"/>
              <w:left w:val="single" w:sz="4" w:space="0" w:color="auto"/>
              <w:right w:val="single" w:sz="4" w:space="0" w:color="auto"/>
            </w:tcBorders>
            <w:noWrap/>
          </w:tcPr>
          <w:p w14:paraId="56704276" w14:textId="77777777" w:rsidR="00EC54C4" w:rsidRPr="00EC54C4" w:rsidRDefault="00EC54C4" w:rsidP="00EC54C4">
            <w:pPr>
              <w:keepNext/>
              <w:keepLines/>
              <w:spacing w:before="120"/>
              <w:jc w:val="center"/>
              <w:rPr>
                <w:rFonts w:eastAsiaTheme="minorHAnsi"/>
              </w:rPr>
            </w:pPr>
            <w:r w:rsidRPr="00EC54C4">
              <w:t>3,3</w:t>
            </w:r>
          </w:p>
        </w:tc>
      </w:tr>
      <w:tr w:rsidR="00EC54C4" w:rsidRPr="00EC54C4" w14:paraId="74AFCB87" w14:textId="77777777" w:rsidTr="00B23F48">
        <w:trPr>
          <w:trHeight w:val="80"/>
          <w:jc w:val="center"/>
        </w:trPr>
        <w:tc>
          <w:tcPr>
            <w:tcW w:w="5627" w:type="dxa"/>
            <w:tcBorders>
              <w:top w:val="nil"/>
              <w:left w:val="single" w:sz="4" w:space="0" w:color="auto"/>
              <w:bottom w:val="single" w:sz="4" w:space="0" w:color="auto"/>
              <w:right w:val="single" w:sz="4" w:space="0" w:color="auto"/>
            </w:tcBorders>
            <w:noWrap/>
            <w:vAlign w:val="bottom"/>
          </w:tcPr>
          <w:p w14:paraId="79F12F90" w14:textId="77777777" w:rsidR="00EC54C4" w:rsidRPr="00EC54C4" w:rsidRDefault="00EC54C4" w:rsidP="00EC54C4">
            <w:pPr>
              <w:keepNext/>
              <w:keepLines/>
              <w:spacing w:before="120"/>
            </w:pPr>
            <w:r w:rsidRPr="00EC54C4">
              <w:t>Câştigul salarial mediu brut - lei lunar</w:t>
            </w:r>
          </w:p>
        </w:tc>
        <w:tc>
          <w:tcPr>
            <w:tcW w:w="1810" w:type="dxa"/>
            <w:tcBorders>
              <w:top w:val="nil"/>
              <w:left w:val="single" w:sz="4" w:space="0" w:color="auto"/>
              <w:bottom w:val="single" w:sz="4" w:space="0" w:color="auto"/>
              <w:right w:val="single" w:sz="4" w:space="0" w:color="auto"/>
            </w:tcBorders>
            <w:noWrap/>
            <w:vAlign w:val="bottom"/>
          </w:tcPr>
          <w:p w14:paraId="34BA917D" w14:textId="77777777" w:rsidR="00EC54C4" w:rsidRPr="00EC54C4" w:rsidRDefault="00EC54C4" w:rsidP="00EC54C4">
            <w:pPr>
              <w:keepNext/>
              <w:keepLines/>
              <w:spacing w:before="120"/>
              <w:jc w:val="center"/>
            </w:pPr>
            <w:r w:rsidRPr="00EC54C4">
              <w:t>7.567</w:t>
            </w:r>
          </w:p>
        </w:tc>
        <w:tc>
          <w:tcPr>
            <w:tcW w:w="1830" w:type="dxa"/>
            <w:tcBorders>
              <w:top w:val="nil"/>
              <w:left w:val="single" w:sz="4" w:space="0" w:color="auto"/>
              <w:bottom w:val="single" w:sz="4" w:space="0" w:color="auto"/>
              <w:right w:val="single" w:sz="4" w:space="0" w:color="auto"/>
            </w:tcBorders>
            <w:noWrap/>
            <w:vAlign w:val="bottom"/>
          </w:tcPr>
          <w:p w14:paraId="746C2AB8" w14:textId="77777777" w:rsidR="00EC54C4" w:rsidRPr="00EC54C4" w:rsidRDefault="00EC54C4" w:rsidP="00EC54C4">
            <w:pPr>
              <w:keepNext/>
              <w:keepLines/>
              <w:spacing w:before="120"/>
              <w:jc w:val="center"/>
            </w:pPr>
            <w:r w:rsidRPr="00EC54C4">
              <w:t>7.725</w:t>
            </w:r>
            <w:r w:rsidRPr="00EC54C4">
              <w:rPr>
                <w:vertAlign w:val="superscript"/>
              </w:rPr>
              <w:t>*)</w:t>
            </w:r>
          </w:p>
        </w:tc>
      </w:tr>
    </w:tbl>
    <w:p w14:paraId="171FEF75" w14:textId="77777777" w:rsidR="00EC54C4" w:rsidRPr="00EC54C4" w:rsidRDefault="00EC54C4" w:rsidP="00EC54C4">
      <w:pPr>
        <w:keepNext/>
        <w:keepLines/>
        <w:ind w:left="709"/>
        <w:rPr>
          <w:i/>
          <w:iCs/>
          <w:sz w:val="20"/>
          <w:szCs w:val="20"/>
        </w:rPr>
      </w:pPr>
      <w:r w:rsidRPr="00EC54C4">
        <w:rPr>
          <w:i/>
          <w:iCs/>
          <w:sz w:val="20"/>
          <w:szCs w:val="20"/>
        </w:rPr>
        <w:t>Notă: Datele PIB pentru anul 2024 sunt provizorii</w:t>
      </w:r>
    </w:p>
    <w:p w14:paraId="3F322742" w14:textId="77777777" w:rsidR="00EC54C4" w:rsidRPr="00EC54C4" w:rsidRDefault="00EC54C4" w:rsidP="00EC54C4">
      <w:pPr>
        <w:keepNext/>
        <w:keepLines/>
        <w:ind w:left="709"/>
        <w:rPr>
          <w:i/>
          <w:iCs/>
          <w:sz w:val="20"/>
          <w:szCs w:val="20"/>
        </w:rPr>
      </w:pPr>
      <w:r w:rsidRPr="00EC54C4">
        <w:rPr>
          <w:i/>
          <w:iCs/>
          <w:sz w:val="20"/>
          <w:szCs w:val="20"/>
          <w:vertAlign w:val="superscript"/>
        </w:rPr>
        <w:t>*)</w:t>
      </w:r>
      <w:r w:rsidRPr="00EC54C4">
        <w:rPr>
          <w:i/>
          <w:iCs/>
          <w:sz w:val="20"/>
          <w:szCs w:val="20"/>
        </w:rPr>
        <w:t xml:space="preserve"> Estimări CNSP conform metodologiei anuale</w:t>
      </w:r>
    </w:p>
    <w:p w14:paraId="0218DAF5" w14:textId="77777777" w:rsidR="00EC54C4" w:rsidRPr="00E870C7" w:rsidRDefault="00EC54C4" w:rsidP="00EC54C4">
      <w:pPr>
        <w:keepNext/>
        <w:keepLines/>
        <w:ind w:left="709"/>
        <w:rPr>
          <w:i/>
          <w:iCs/>
          <w:color w:val="5B9BD5" w:themeColor="accent1"/>
          <w:sz w:val="20"/>
          <w:szCs w:val="20"/>
        </w:rPr>
      </w:pPr>
    </w:p>
    <w:p w14:paraId="2F947485" w14:textId="77777777" w:rsidR="00EC54C4" w:rsidRPr="00EC54C4" w:rsidRDefault="00EC54C4" w:rsidP="00EC54C4">
      <w:pPr>
        <w:keepNext/>
        <w:keepLines/>
        <w:spacing w:before="120" w:line="276" w:lineRule="auto"/>
        <w:jc w:val="both"/>
        <w:rPr>
          <w:shd w:val="clear" w:color="auto" w:fill="FFFFFF"/>
        </w:rPr>
      </w:pPr>
      <w:r w:rsidRPr="00EC54C4">
        <w:rPr>
          <w:shd w:val="clear" w:color="auto" w:fill="FFFFFF"/>
        </w:rPr>
        <w:lastRenderedPageBreak/>
        <w:t>În noul context macroeconomic marcat de un grad scăzut de predictibilitate, produsul intern brut realizat în anul 2024, ca valoare nominală, s-a situat la 1760,1 miliarde lei, cu 26,3 miliarde lei (+1,5%) peste prognoza elaborată la fundamentarea bugetului general consolidat. Creşterea nominală de 9,7% faţă de anul anterior este rezultatul unor deviaţii contrare care s-au compensat reciproc, majorarea reală a produsului intern brut consemnând o ajustare descendentă cu 2,6 puncte procentuale faţă de estimări, ca urmare a evoluţiilor mai modeste la nivel sectorial, în timp ce deflatorul PIB s-a situat la valori în creştere cu 2,9 puncte procentuale, influenţe notabile suplimentare provenind din noile majorări salariale.</w:t>
      </w:r>
    </w:p>
    <w:p w14:paraId="6D46F166" w14:textId="77777777" w:rsidR="00EC54C4" w:rsidRPr="00EC54C4" w:rsidRDefault="00EC54C4" w:rsidP="00EC54C4">
      <w:pPr>
        <w:keepNext/>
        <w:keepLines/>
        <w:spacing w:before="120" w:line="276" w:lineRule="auto"/>
        <w:jc w:val="both"/>
      </w:pPr>
      <w:r w:rsidRPr="00EC54C4">
        <w:rPr>
          <w:b/>
        </w:rPr>
        <w:t>Pe elemente de utilizare</w:t>
      </w:r>
      <w:r w:rsidRPr="00EC54C4">
        <w:t xml:space="preserve">, pilonul de susţinere al creşterii economice din anul 2024 a fost reprezentat de consumul privat, care şi-a menţinut robusteţea pe tot parcursul anului la valori mai ridicate decât s-a anticipat, însă impactul pozitiv al acestuia a fost contrabalansat de declinul exportului de bunuri şi servicii şi contracţia investiţiilor. </w:t>
      </w:r>
    </w:p>
    <w:p w14:paraId="55A7C326" w14:textId="77777777" w:rsidR="00EC54C4" w:rsidRPr="00E870C7" w:rsidRDefault="00EC54C4" w:rsidP="00EC54C4">
      <w:pPr>
        <w:keepNext/>
        <w:keepLines/>
        <w:spacing w:before="120" w:line="276" w:lineRule="auto"/>
        <w:ind w:firstLine="567"/>
        <w:jc w:val="both"/>
        <w:rPr>
          <w:color w:val="5B9BD5" w:themeColor="accent1"/>
        </w:rPr>
      </w:pPr>
    </w:p>
    <w:p w14:paraId="1FF674A1" w14:textId="77777777" w:rsidR="00EC54C4" w:rsidRPr="00EC54C4" w:rsidRDefault="00EC54C4" w:rsidP="00EC54C4">
      <w:pPr>
        <w:keepNext/>
        <w:keepLines/>
        <w:spacing w:before="120" w:line="276" w:lineRule="auto"/>
        <w:jc w:val="right"/>
        <w:rPr>
          <w:i/>
          <w:sz w:val="20"/>
          <w:szCs w:val="20"/>
        </w:rPr>
      </w:pPr>
      <w:r w:rsidRPr="00EC54C4">
        <w:rPr>
          <w:i/>
          <w:sz w:val="20"/>
          <w:szCs w:val="20"/>
        </w:rPr>
        <w:t>- modificări procentuale faţă de anul precedent -</w:t>
      </w:r>
    </w:p>
    <w:tbl>
      <w:tblPr>
        <w:tblW w:w="48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3"/>
        <w:gridCol w:w="2382"/>
        <w:gridCol w:w="1846"/>
      </w:tblGrid>
      <w:tr w:rsidR="00EC54C4" w:rsidRPr="00EC54C4" w14:paraId="35EB2D4E" w14:textId="77777777" w:rsidTr="00EC54C4">
        <w:trPr>
          <w:tblHeader/>
          <w:jc w:val="center"/>
        </w:trPr>
        <w:tc>
          <w:tcPr>
            <w:tcW w:w="2751" w:type="pct"/>
            <w:shd w:val="clear" w:color="auto" w:fill="D2FAF9"/>
          </w:tcPr>
          <w:p w14:paraId="4CE50693" w14:textId="77777777" w:rsidR="00EC54C4" w:rsidRPr="00EC54C4" w:rsidRDefault="00EC54C4" w:rsidP="00EC54C4">
            <w:pPr>
              <w:keepNext/>
              <w:keepLines/>
              <w:spacing w:line="276" w:lineRule="auto"/>
              <w:rPr>
                <w:rFonts w:eastAsia="MS Mincho"/>
              </w:rPr>
            </w:pPr>
          </w:p>
        </w:tc>
        <w:tc>
          <w:tcPr>
            <w:tcW w:w="1267" w:type="pct"/>
            <w:shd w:val="clear" w:color="auto" w:fill="D2FAF9"/>
          </w:tcPr>
          <w:p w14:paraId="093A1730" w14:textId="77777777" w:rsidR="00EC54C4" w:rsidRPr="00EC54C4" w:rsidRDefault="00EC54C4" w:rsidP="00EC54C4">
            <w:pPr>
              <w:keepNext/>
              <w:keepLines/>
              <w:spacing w:line="276" w:lineRule="auto"/>
              <w:jc w:val="center"/>
              <w:rPr>
                <w:rFonts w:eastAsia="MS Mincho"/>
                <w:b/>
                <w:bCs/>
              </w:rPr>
            </w:pPr>
            <w:r w:rsidRPr="00EC54C4">
              <w:rPr>
                <w:rFonts w:eastAsia="MS Mincho"/>
                <w:b/>
                <w:bCs/>
              </w:rPr>
              <w:t>Cadrul macroeconomic pentru buget 2024</w:t>
            </w:r>
          </w:p>
        </w:tc>
        <w:tc>
          <w:tcPr>
            <w:tcW w:w="982" w:type="pct"/>
            <w:shd w:val="clear" w:color="auto" w:fill="D2FAF9"/>
            <w:vAlign w:val="center"/>
          </w:tcPr>
          <w:p w14:paraId="1498417D" w14:textId="77777777" w:rsidR="00EC54C4" w:rsidRPr="00EC54C4" w:rsidRDefault="00EC54C4" w:rsidP="00EC54C4">
            <w:pPr>
              <w:keepNext/>
              <w:keepLines/>
              <w:spacing w:line="276" w:lineRule="auto"/>
              <w:jc w:val="center"/>
              <w:rPr>
                <w:rFonts w:eastAsia="MS Mincho"/>
                <w:b/>
                <w:bCs/>
              </w:rPr>
            </w:pPr>
            <w:r w:rsidRPr="00EC54C4">
              <w:rPr>
                <w:rFonts w:eastAsia="MS Mincho"/>
                <w:b/>
                <w:bCs/>
              </w:rPr>
              <w:t>Realizări</w:t>
            </w:r>
          </w:p>
          <w:p w14:paraId="301522F7" w14:textId="77777777" w:rsidR="00EC54C4" w:rsidRPr="00EC54C4" w:rsidRDefault="00EC54C4" w:rsidP="00EC54C4">
            <w:pPr>
              <w:keepNext/>
              <w:keepLines/>
              <w:spacing w:line="276" w:lineRule="auto"/>
              <w:jc w:val="center"/>
              <w:rPr>
                <w:rFonts w:eastAsia="MS Mincho"/>
                <w:b/>
                <w:bCs/>
              </w:rPr>
            </w:pPr>
            <w:r w:rsidRPr="00EC54C4">
              <w:rPr>
                <w:rFonts w:eastAsia="MS Mincho"/>
                <w:b/>
                <w:bCs/>
              </w:rPr>
              <w:t>2024</w:t>
            </w:r>
          </w:p>
        </w:tc>
      </w:tr>
      <w:tr w:rsidR="00EC54C4" w:rsidRPr="00EC54C4" w14:paraId="27E52958" w14:textId="77777777" w:rsidTr="00B23F48">
        <w:trPr>
          <w:jc w:val="center"/>
        </w:trPr>
        <w:tc>
          <w:tcPr>
            <w:tcW w:w="2751" w:type="pct"/>
            <w:tcBorders>
              <w:bottom w:val="nil"/>
            </w:tcBorders>
          </w:tcPr>
          <w:p w14:paraId="1A35DF6E" w14:textId="77777777" w:rsidR="00EC54C4" w:rsidRPr="00EC54C4" w:rsidRDefault="00EC54C4" w:rsidP="00EC54C4">
            <w:pPr>
              <w:keepNext/>
              <w:keepLines/>
              <w:spacing w:before="60"/>
              <w:rPr>
                <w:rFonts w:eastAsia="MS Mincho"/>
              </w:rPr>
            </w:pPr>
            <w:r w:rsidRPr="00EC54C4">
              <w:rPr>
                <w:rFonts w:eastAsia="MS Mincho"/>
              </w:rPr>
              <w:t>Cererea internă</w:t>
            </w:r>
          </w:p>
        </w:tc>
        <w:tc>
          <w:tcPr>
            <w:tcW w:w="1267" w:type="pct"/>
            <w:tcBorders>
              <w:bottom w:val="nil"/>
            </w:tcBorders>
            <w:vAlign w:val="center"/>
          </w:tcPr>
          <w:p w14:paraId="1FC94D7D" w14:textId="77777777" w:rsidR="00EC54C4" w:rsidRPr="00EC54C4" w:rsidRDefault="00EC54C4" w:rsidP="00EC54C4">
            <w:pPr>
              <w:keepNext/>
              <w:keepLines/>
              <w:spacing w:before="60"/>
              <w:jc w:val="center"/>
              <w:rPr>
                <w:rFonts w:eastAsia="MS Mincho"/>
              </w:rPr>
            </w:pPr>
            <w:r w:rsidRPr="00EC54C4">
              <w:rPr>
                <w:rFonts w:eastAsia="MS Mincho"/>
              </w:rPr>
              <w:t>3,9</w:t>
            </w:r>
          </w:p>
        </w:tc>
        <w:tc>
          <w:tcPr>
            <w:tcW w:w="982" w:type="pct"/>
            <w:tcBorders>
              <w:bottom w:val="nil"/>
            </w:tcBorders>
            <w:vAlign w:val="center"/>
          </w:tcPr>
          <w:p w14:paraId="08AE75AD" w14:textId="77777777" w:rsidR="00EC54C4" w:rsidRPr="00EC54C4" w:rsidRDefault="00EC54C4" w:rsidP="00EC54C4">
            <w:pPr>
              <w:keepNext/>
              <w:keepLines/>
              <w:spacing w:before="60"/>
              <w:jc w:val="center"/>
              <w:rPr>
                <w:rFonts w:eastAsia="MS Mincho"/>
              </w:rPr>
            </w:pPr>
            <w:r w:rsidRPr="00EC54C4">
              <w:rPr>
                <w:rFonts w:eastAsia="MS Mincho"/>
              </w:rPr>
              <w:t>3,5</w:t>
            </w:r>
          </w:p>
        </w:tc>
      </w:tr>
      <w:tr w:rsidR="00EC54C4" w:rsidRPr="00EC54C4" w14:paraId="43E6ECF1" w14:textId="77777777" w:rsidTr="00B23F48">
        <w:trPr>
          <w:jc w:val="center"/>
        </w:trPr>
        <w:tc>
          <w:tcPr>
            <w:tcW w:w="2751" w:type="pct"/>
            <w:tcBorders>
              <w:top w:val="nil"/>
              <w:bottom w:val="nil"/>
            </w:tcBorders>
          </w:tcPr>
          <w:p w14:paraId="1D6FD0FD" w14:textId="77777777" w:rsidR="00EC54C4" w:rsidRPr="00EC54C4" w:rsidRDefault="00EC54C4" w:rsidP="00EC54C4">
            <w:pPr>
              <w:keepNext/>
              <w:keepLines/>
              <w:spacing w:before="60"/>
              <w:rPr>
                <w:rFonts w:eastAsia="MS Mincho"/>
              </w:rPr>
            </w:pPr>
            <w:r w:rsidRPr="00EC54C4">
              <w:t xml:space="preserve">     Consum final</w:t>
            </w:r>
          </w:p>
        </w:tc>
        <w:tc>
          <w:tcPr>
            <w:tcW w:w="1267" w:type="pct"/>
            <w:tcBorders>
              <w:top w:val="nil"/>
              <w:bottom w:val="nil"/>
            </w:tcBorders>
            <w:vAlign w:val="center"/>
          </w:tcPr>
          <w:p w14:paraId="65B14057" w14:textId="77777777" w:rsidR="00EC54C4" w:rsidRPr="00EC54C4" w:rsidRDefault="00EC54C4" w:rsidP="00EC54C4">
            <w:pPr>
              <w:keepNext/>
              <w:keepLines/>
              <w:spacing w:before="60"/>
              <w:jc w:val="center"/>
              <w:rPr>
                <w:rFonts w:eastAsia="MS Mincho"/>
              </w:rPr>
            </w:pPr>
            <w:r w:rsidRPr="00EC54C4">
              <w:rPr>
                <w:rFonts w:eastAsia="MS Mincho"/>
              </w:rPr>
              <w:t>3,3</w:t>
            </w:r>
          </w:p>
        </w:tc>
        <w:tc>
          <w:tcPr>
            <w:tcW w:w="982" w:type="pct"/>
            <w:tcBorders>
              <w:top w:val="nil"/>
              <w:bottom w:val="nil"/>
            </w:tcBorders>
            <w:vAlign w:val="center"/>
          </w:tcPr>
          <w:p w14:paraId="5BFE3FEA" w14:textId="77777777" w:rsidR="00EC54C4" w:rsidRPr="00EC54C4" w:rsidRDefault="00EC54C4" w:rsidP="00EC54C4">
            <w:pPr>
              <w:keepNext/>
              <w:keepLines/>
              <w:spacing w:before="60"/>
              <w:jc w:val="center"/>
              <w:rPr>
                <w:rFonts w:eastAsia="MS Mincho"/>
              </w:rPr>
            </w:pPr>
            <w:r w:rsidRPr="00EC54C4">
              <w:rPr>
                <w:rFonts w:eastAsia="MS Mincho"/>
              </w:rPr>
              <w:t>4,8</w:t>
            </w:r>
          </w:p>
        </w:tc>
      </w:tr>
      <w:tr w:rsidR="00EC54C4" w:rsidRPr="00EC54C4" w14:paraId="2AF1CDFE" w14:textId="77777777" w:rsidTr="00B23F48">
        <w:trPr>
          <w:jc w:val="center"/>
        </w:trPr>
        <w:tc>
          <w:tcPr>
            <w:tcW w:w="2751" w:type="pct"/>
            <w:tcBorders>
              <w:top w:val="nil"/>
              <w:bottom w:val="nil"/>
            </w:tcBorders>
          </w:tcPr>
          <w:p w14:paraId="0D1CB9D6" w14:textId="77777777" w:rsidR="00EC54C4" w:rsidRPr="00EC54C4" w:rsidRDefault="00EC54C4" w:rsidP="00EC54C4">
            <w:pPr>
              <w:keepNext/>
              <w:keepLines/>
              <w:spacing w:before="60"/>
              <w:rPr>
                <w:rFonts w:eastAsia="MS Mincho"/>
              </w:rPr>
            </w:pPr>
            <w:r w:rsidRPr="00EC54C4">
              <w:rPr>
                <w:rFonts w:eastAsia="MS Mincho"/>
              </w:rPr>
              <w:t xml:space="preserve">      - Consum privat</w:t>
            </w:r>
          </w:p>
        </w:tc>
        <w:tc>
          <w:tcPr>
            <w:tcW w:w="1267" w:type="pct"/>
            <w:tcBorders>
              <w:top w:val="nil"/>
              <w:bottom w:val="nil"/>
            </w:tcBorders>
            <w:vAlign w:val="center"/>
          </w:tcPr>
          <w:p w14:paraId="221209E1" w14:textId="77777777" w:rsidR="00EC54C4" w:rsidRPr="00EC54C4" w:rsidRDefault="00EC54C4" w:rsidP="00EC54C4">
            <w:pPr>
              <w:keepNext/>
              <w:keepLines/>
              <w:spacing w:before="60"/>
              <w:jc w:val="center"/>
              <w:rPr>
                <w:rFonts w:eastAsia="MS Mincho"/>
              </w:rPr>
            </w:pPr>
            <w:r w:rsidRPr="00EC54C4">
              <w:rPr>
                <w:rFonts w:eastAsia="MS Mincho"/>
              </w:rPr>
              <w:t>3,4</w:t>
            </w:r>
          </w:p>
        </w:tc>
        <w:tc>
          <w:tcPr>
            <w:tcW w:w="982" w:type="pct"/>
            <w:tcBorders>
              <w:top w:val="nil"/>
              <w:bottom w:val="nil"/>
            </w:tcBorders>
            <w:vAlign w:val="center"/>
          </w:tcPr>
          <w:p w14:paraId="2911CCFD" w14:textId="77777777" w:rsidR="00EC54C4" w:rsidRPr="00EC54C4" w:rsidRDefault="00EC54C4" w:rsidP="00EC54C4">
            <w:pPr>
              <w:keepNext/>
              <w:keepLines/>
              <w:spacing w:before="60"/>
              <w:jc w:val="center"/>
              <w:rPr>
                <w:rFonts w:eastAsia="MS Mincho"/>
              </w:rPr>
            </w:pPr>
            <w:r w:rsidRPr="00EC54C4">
              <w:rPr>
                <w:rFonts w:eastAsia="MS Mincho"/>
              </w:rPr>
              <w:t>6,0</w:t>
            </w:r>
          </w:p>
        </w:tc>
      </w:tr>
      <w:tr w:rsidR="00EC54C4" w:rsidRPr="00EC54C4" w14:paraId="35EAD7FF" w14:textId="77777777" w:rsidTr="00B23F48">
        <w:trPr>
          <w:jc w:val="center"/>
        </w:trPr>
        <w:tc>
          <w:tcPr>
            <w:tcW w:w="2751" w:type="pct"/>
            <w:tcBorders>
              <w:top w:val="nil"/>
              <w:bottom w:val="nil"/>
            </w:tcBorders>
          </w:tcPr>
          <w:p w14:paraId="19785913" w14:textId="77777777" w:rsidR="00EC54C4" w:rsidRPr="00EC54C4" w:rsidRDefault="00EC54C4" w:rsidP="00EC54C4">
            <w:pPr>
              <w:keepNext/>
              <w:keepLines/>
              <w:spacing w:before="60"/>
              <w:rPr>
                <w:rFonts w:eastAsia="MS Mincho"/>
              </w:rPr>
            </w:pPr>
            <w:r w:rsidRPr="00EC54C4">
              <w:rPr>
                <w:rFonts w:eastAsia="MS Mincho"/>
              </w:rPr>
              <w:t xml:space="preserve">      - Consum guvernamental</w:t>
            </w:r>
          </w:p>
        </w:tc>
        <w:tc>
          <w:tcPr>
            <w:tcW w:w="1267" w:type="pct"/>
            <w:tcBorders>
              <w:top w:val="nil"/>
              <w:bottom w:val="nil"/>
            </w:tcBorders>
            <w:vAlign w:val="center"/>
          </w:tcPr>
          <w:p w14:paraId="38FDF28A" w14:textId="77777777" w:rsidR="00EC54C4" w:rsidRPr="00EC54C4" w:rsidRDefault="00EC54C4" w:rsidP="00EC54C4">
            <w:pPr>
              <w:keepNext/>
              <w:keepLines/>
              <w:spacing w:before="60"/>
              <w:jc w:val="center"/>
              <w:rPr>
                <w:rFonts w:eastAsia="MS Mincho"/>
              </w:rPr>
            </w:pPr>
            <w:r w:rsidRPr="00EC54C4">
              <w:rPr>
                <w:rFonts w:eastAsia="MS Mincho"/>
              </w:rPr>
              <w:t>3,2</w:t>
            </w:r>
          </w:p>
        </w:tc>
        <w:tc>
          <w:tcPr>
            <w:tcW w:w="982" w:type="pct"/>
            <w:tcBorders>
              <w:top w:val="nil"/>
              <w:bottom w:val="nil"/>
            </w:tcBorders>
            <w:vAlign w:val="center"/>
          </w:tcPr>
          <w:p w14:paraId="014E5A4C" w14:textId="77777777" w:rsidR="00EC54C4" w:rsidRPr="00EC54C4" w:rsidRDefault="00EC54C4" w:rsidP="00EC54C4">
            <w:pPr>
              <w:keepNext/>
              <w:keepLines/>
              <w:spacing w:before="60"/>
              <w:jc w:val="center"/>
              <w:rPr>
                <w:rFonts w:eastAsia="MS Mincho"/>
              </w:rPr>
            </w:pPr>
            <w:r w:rsidRPr="00EC54C4">
              <w:rPr>
                <w:rFonts w:eastAsia="MS Mincho"/>
              </w:rPr>
              <w:t>0,7</w:t>
            </w:r>
          </w:p>
        </w:tc>
      </w:tr>
      <w:tr w:rsidR="00EC54C4" w:rsidRPr="00EC54C4" w14:paraId="68C7075C" w14:textId="77777777" w:rsidTr="00B23F48">
        <w:trPr>
          <w:jc w:val="center"/>
        </w:trPr>
        <w:tc>
          <w:tcPr>
            <w:tcW w:w="2751" w:type="pct"/>
            <w:tcBorders>
              <w:top w:val="nil"/>
            </w:tcBorders>
          </w:tcPr>
          <w:p w14:paraId="0D6D28EF" w14:textId="77777777" w:rsidR="00EC54C4" w:rsidRPr="00EC54C4" w:rsidRDefault="00EC54C4" w:rsidP="00EC54C4">
            <w:pPr>
              <w:keepNext/>
              <w:keepLines/>
              <w:spacing w:before="60"/>
              <w:rPr>
                <w:rFonts w:eastAsia="MS Mincho"/>
              </w:rPr>
            </w:pPr>
            <w:r w:rsidRPr="00EC54C4">
              <w:rPr>
                <w:rFonts w:eastAsia="MS Mincho"/>
              </w:rPr>
              <w:t xml:space="preserve">    Formarea brută de capital fix (FBCF)</w:t>
            </w:r>
          </w:p>
        </w:tc>
        <w:tc>
          <w:tcPr>
            <w:tcW w:w="1267" w:type="pct"/>
            <w:tcBorders>
              <w:top w:val="nil"/>
            </w:tcBorders>
            <w:vAlign w:val="center"/>
          </w:tcPr>
          <w:p w14:paraId="2FC808DB" w14:textId="77777777" w:rsidR="00EC54C4" w:rsidRPr="00EC54C4" w:rsidRDefault="00EC54C4" w:rsidP="00EC54C4">
            <w:pPr>
              <w:keepNext/>
              <w:keepLines/>
              <w:spacing w:before="60"/>
              <w:jc w:val="center"/>
              <w:rPr>
                <w:rFonts w:eastAsia="MS Mincho"/>
              </w:rPr>
            </w:pPr>
            <w:r w:rsidRPr="00EC54C4">
              <w:rPr>
                <w:rFonts w:eastAsia="MS Mincho"/>
              </w:rPr>
              <w:t>6,5</w:t>
            </w:r>
          </w:p>
        </w:tc>
        <w:tc>
          <w:tcPr>
            <w:tcW w:w="982" w:type="pct"/>
            <w:tcBorders>
              <w:top w:val="nil"/>
            </w:tcBorders>
            <w:vAlign w:val="center"/>
          </w:tcPr>
          <w:p w14:paraId="28087D98" w14:textId="77777777" w:rsidR="00EC54C4" w:rsidRPr="00EC54C4" w:rsidRDefault="00EC54C4" w:rsidP="00EC54C4">
            <w:pPr>
              <w:keepNext/>
              <w:keepLines/>
              <w:spacing w:before="60"/>
              <w:jc w:val="center"/>
              <w:rPr>
                <w:rFonts w:eastAsia="MS Mincho"/>
              </w:rPr>
            </w:pPr>
            <w:r w:rsidRPr="00EC54C4">
              <w:rPr>
                <w:rFonts w:eastAsia="MS Mincho"/>
              </w:rPr>
              <w:t>-3,3</w:t>
            </w:r>
          </w:p>
        </w:tc>
      </w:tr>
      <w:tr w:rsidR="00EC54C4" w:rsidRPr="00EC54C4" w14:paraId="02A144AA" w14:textId="77777777" w:rsidTr="00B23F48">
        <w:trPr>
          <w:jc w:val="center"/>
        </w:trPr>
        <w:tc>
          <w:tcPr>
            <w:tcW w:w="2751" w:type="pct"/>
            <w:tcBorders>
              <w:bottom w:val="nil"/>
            </w:tcBorders>
            <w:vAlign w:val="center"/>
          </w:tcPr>
          <w:p w14:paraId="367237C7" w14:textId="77777777" w:rsidR="00EC54C4" w:rsidRPr="00EC54C4" w:rsidRDefault="00EC54C4" w:rsidP="00EC54C4">
            <w:pPr>
              <w:keepNext/>
              <w:keepLines/>
              <w:spacing w:before="60"/>
            </w:pPr>
            <w:r w:rsidRPr="00EC54C4">
              <w:t>Exportul de bunuri şi servicii</w:t>
            </w:r>
          </w:p>
        </w:tc>
        <w:tc>
          <w:tcPr>
            <w:tcW w:w="1267" w:type="pct"/>
            <w:tcBorders>
              <w:bottom w:val="nil"/>
            </w:tcBorders>
            <w:vAlign w:val="center"/>
          </w:tcPr>
          <w:p w14:paraId="56D2A196" w14:textId="77777777" w:rsidR="00EC54C4" w:rsidRPr="00EC54C4" w:rsidRDefault="00EC54C4" w:rsidP="00EC54C4">
            <w:pPr>
              <w:keepNext/>
              <w:keepLines/>
              <w:spacing w:before="60"/>
              <w:jc w:val="center"/>
              <w:rPr>
                <w:rFonts w:eastAsia="MS Mincho"/>
              </w:rPr>
            </w:pPr>
            <w:r w:rsidRPr="00EC54C4">
              <w:rPr>
                <w:rFonts w:eastAsia="MS Mincho"/>
              </w:rPr>
              <w:t>3,4</w:t>
            </w:r>
          </w:p>
        </w:tc>
        <w:tc>
          <w:tcPr>
            <w:tcW w:w="982" w:type="pct"/>
            <w:tcBorders>
              <w:bottom w:val="nil"/>
            </w:tcBorders>
            <w:vAlign w:val="center"/>
          </w:tcPr>
          <w:p w14:paraId="698DDE97" w14:textId="77777777" w:rsidR="00EC54C4" w:rsidRPr="00EC54C4" w:rsidRDefault="00EC54C4" w:rsidP="00EC54C4">
            <w:pPr>
              <w:keepNext/>
              <w:keepLines/>
              <w:spacing w:before="60"/>
              <w:jc w:val="center"/>
              <w:rPr>
                <w:rFonts w:eastAsia="MS Mincho"/>
              </w:rPr>
            </w:pPr>
            <w:r w:rsidRPr="00EC54C4">
              <w:rPr>
                <w:rFonts w:eastAsia="MS Mincho"/>
              </w:rPr>
              <w:t>-3,1</w:t>
            </w:r>
          </w:p>
        </w:tc>
      </w:tr>
      <w:tr w:rsidR="00EC54C4" w:rsidRPr="00EC54C4" w14:paraId="2A4DE782" w14:textId="77777777" w:rsidTr="00B23F48">
        <w:trPr>
          <w:jc w:val="center"/>
        </w:trPr>
        <w:tc>
          <w:tcPr>
            <w:tcW w:w="2751" w:type="pct"/>
            <w:tcBorders>
              <w:top w:val="nil"/>
            </w:tcBorders>
            <w:vAlign w:val="center"/>
          </w:tcPr>
          <w:p w14:paraId="7FD3E042" w14:textId="77777777" w:rsidR="00EC54C4" w:rsidRPr="00EC54C4" w:rsidRDefault="00EC54C4" w:rsidP="00EC54C4">
            <w:pPr>
              <w:keepNext/>
              <w:keepLines/>
              <w:spacing w:before="60"/>
            </w:pPr>
            <w:r w:rsidRPr="00EC54C4">
              <w:t>Importul de bunuri şi servicii</w:t>
            </w:r>
          </w:p>
        </w:tc>
        <w:tc>
          <w:tcPr>
            <w:tcW w:w="1267" w:type="pct"/>
            <w:tcBorders>
              <w:top w:val="nil"/>
            </w:tcBorders>
            <w:vAlign w:val="center"/>
          </w:tcPr>
          <w:p w14:paraId="7E4F2E26" w14:textId="77777777" w:rsidR="00EC54C4" w:rsidRPr="00EC54C4" w:rsidRDefault="00EC54C4" w:rsidP="00EC54C4">
            <w:pPr>
              <w:keepNext/>
              <w:keepLines/>
              <w:spacing w:before="60"/>
              <w:jc w:val="center"/>
              <w:rPr>
                <w:rFonts w:eastAsia="MS Mincho"/>
              </w:rPr>
            </w:pPr>
            <w:r w:rsidRPr="00EC54C4">
              <w:rPr>
                <w:rFonts w:eastAsia="MS Mincho"/>
              </w:rPr>
              <w:t>4,6</w:t>
            </w:r>
          </w:p>
        </w:tc>
        <w:tc>
          <w:tcPr>
            <w:tcW w:w="982" w:type="pct"/>
            <w:tcBorders>
              <w:top w:val="nil"/>
            </w:tcBorders>
            <w:vAlign w:val="center"/>
          </w:tcPr>
          <w:p w14:paraId="3EAA6768" w14:textId="77777777" w:rsidR="00EC54C4" w:rsidRPr="00EC54C4" w:rsidRDefault="00EC54C4" w:rsidP="00EC54C4">
            <w:pPr>
              <w:keepNext/>
              <w:keepLines/>
              <w:spacing w:before="60"/>
              <w:jc w:val="center"/>
              <w:rPr>
                <w:rFonts w:eastAsia="MS Mincho"/>
              </w:rPr>
            </w:pPr>
            <w:r w:rsidRPr="00EC54C4">
              <w:rPr>
                <w:rFonts w:eastAsia="MS Mincho"/>
              </w:rPr>
              <w:t>3,8</w:t>
            </w:r>
          </w:p>
        </w:tc>
      </w:tr>
      <w:tr w:rsidR="00EC54C4" w:rsidRPr="00EC54C4" w14:paraId="7C4A76F8" w14:textId="77777777" w:rsidTr="00B23F48">
        <w:trPr>
          <w:jc w:val="center"/>
        </w:trPr>
        <w:tc>
          <w:tcPr>
            <w:tcW w:w="2751" w:type="pct"/>
          </w:tcPr>
          <w:p w14:paraId="09B74131" w14:textId="77777777" w:rsidR="00EC54C4" w:rsidRPr="00EC54C4" w:rsidRDefault="00EC54C4" w:rsidP="00EC54C4">
            <w:pPr>
              <w:keepNext/>
              <w:keepLines/>
              <w:spacing w:before="60"/>
              <w:rPr>
                <w:rFonts w:eastAsia="MS Mincho"/>
                <w:b/>
                <w:bCs/>
              </w:rPr>
            </w:pPr>
            <w:r w:rsidRPr="00EC54C4">
              <w:rPr>
                <w:rFonts w:eastAsia="MS Mincho"/>
                <w:b/>
                <w:bCs/>
              </w:rPr>
              <w:t xml:space="preserve">PRODUSUL INTERN BRUT </w:t>
            </w:r>
          </w:p>
        </w:tc>
        <w:tc>
          <w:tcPr>
            <w:tcW w:w="1267" w:type="pct"/>
            <w:vAlign w:val="center"/>
          </w:tcPr>
          <w:p w14:paraId="564CBBE8" w14:textId="77777777" w:rsidR="00EC54C4" w:rsidRPr="00EC54C4" w:rsidRDefault="00EC54C4" w:rsidP="00EC54C4">
            <w:pPr>
              <w:keepNext/>
              <w:keepLines/>
              <w:spacing w:before="60"/>
              <w:jc w:val="center"/>
              <w:rPr>
                <w:rFonts w:eastAsia="MS Mincho"/>
                <w:b/>
                <w:bCs/>
              </w:rPr>
            </w:pPr>
            <w:r w:rsidRPr="00EC54C4">
              <w:rPr>
                <w:rFonts w:eastAsia="MS Mincho"/>
                <w:b/>
                <w:bCs/>
              </w:rPr>
              <w:t>3,4</w:t>
            </w:r>
          </w:p>
        </w:tc>
        <w:tc>
          <w:tcPr>
            <w:tcW w:w="982" w:type="pct"/>
            <w:vAlign w:val="center"/>
          </w:tcPr>
          <w:p w14:paraId="58D19B95" w14:textId="77777777" w:rsidR="00EC54C4" w:rsidRPr="00EC54C4" w:rsidRDefault="00EC54C4" w:rsidP="00EC54C4">
            <w:pPr>
              <w:keepNext/>
              <w:keepLines/>
              <w:spacing w:before="60"/>
              <w:jc w:val="center"/>
              <w:rPr>
                <w:rFonts w:eastAsia="MS Mincho"/>
                <w:b/>
                <w:bCs/>
              </w:rPr>
            </w:pPr>
            <w:r w:rsidRPr="00EC54C4">
              <w:rPr>
                <w:rFonts w:eastAsia="MS Mincho"/>
                <w:b/>
                <w:bCs/>
              </w:rPr>
              <w:t>0,8</w:t>
            </w:r>
          </w:p>
        </w:tc>
      </w:tr>
      <w:tr w:rsidR="00EC54C4" w:rsidRPr="00EC54C4" w14:paraId="36B5A36E" w14:textId="77777777" w:rsidTr="00B23F48">
        <w:trPr>
          <w:jc w:val="center"/>
        </w:trPr>
        <w:tc>
          <w:tcPr>
            <w:tcW w:w="2751" w:type="pct"/>
            <w:tcBorders>
              <w:bottom w:val="nil"/>
            </w:tcBorders>
            <w:vAlign w:val="bottom"/>
          </w:tcPr>
          <w:p w14:paraId="4FC3121C" w14:textId="77777777" w:rsidR="00EC54C4" w:rsidRPr="00EC54C4" w:rsidRDefault="00EC54C4" w:rsidP="00EC54C4">
            <w:pPr>
              <w:keepNext/>
              <w:keepLines/>
              <w:spacing w:before="60"/>
            </w:pPr>
            <w:r w:rsidRPr="00EC54C4">
              <w:t>Industrie</w:t>
            </w:r>
          </w:p>
        </w:tc>
        <w:tc>
          <w:tcPr>
            <w:tcW w:w="1267" w:type="pct"/>
            <w:tcBorders>
              <w:bottom w:val="nil"/>
            </w:tcBorders>
          </w:tcPr>
          <w:p w14:paraId="099AAC7E" w14:textId="77777777" w:rsidR="00EC54C4" w:rsidRPr="00EC54C4" w:rsidRDefault="00EC54C4" w:rsidP="00EC54C4">
            <w:pPr>
              <w:keepNext/>
              <w:keepLines/>
              <w:spacing w:before="60"/>
              <w:jc w:val="center"/>
              <w:rPr>
                <w:rFonts w:eastAsia="MS Mincho"/>
                <w:bCs/>
              </w:rPr>
            </w:pPr>
            <w:r w:rsidRPr="00EC54C4">
              <w:rPr>
                <w:rFonts w:eastAsia="MS Mincho"/>
                <w:bCs/>
              </w:rPr>
              <w:t>1,2</w:t>
            </w:r>
          </w:p>
        </w:tc>
        <w:tc>
          <w:tcPr>
            <w:tcW w:w="982" w:type="pct"/>
            <w:tcBorders>
              <w:bottom w:val="nil"/>
            </w:tcBorders>
          </w:tcPr>
          <w:p w14:paraId="0DD81BF8" w14:textId="77777777" w:rsidR="00EC54C4" w:rsidRPr="00EC54C4" w:rsidRDefault="00EC54C4" w:rsidP="00EC54C4">
            <w:pPr>
              <w:keepNext/>
              <w:keepLines/>
              <w:spacing w:before="60"/>
              <w:jc w:val="center"/>
              <w:rPr>
                <w:rFonts w:eastAsia="MS Mincho"/>
                <w:bCs/>
              </w:rPr>
            </w:pPr>
            <w:r w:rsidRPr="00EC54C4">
              <w:rPr>
                <w:rFonts w:eastAsia="MS Mincho"/>
                <w:bCs/>
              </w:rPr>
              <w:t>-0,2</w:t>
            </w:r>
          </w:p>
        </w:tc>
      </w:tr>
      <w:tr w:rsidR="00EC54C4" w:rsidRPr="00EC54C4" w14:paraId="45B12CD2" w14:textId="77777777" w:rsidTr="00B23F48">
        <w:trPr>
          <w:jc w:val="center"/>
        </w:trPr>
        <w:tc>
          <w:tcPr>
            <w:tcW w:w="2751" w:type="pct"/>
            <w:tcBorders>
              <w:top w:val="nil"/>
              <w:bottom w:val="nil"/>
            </w:tcBorders>
            <w:vAlign w:val="bottom"/>
          </w:tcPr>
          <w:p w14:paraId="714B7E7C" w14:textId="77777777" w:rsidR="00EC54C4" w:rsidRPr="00EC54C4" w:rsidRDefault="00EC54C4" w:rsidP="00EC54C4">
            <w:pPr>
              <w:keepNext/>
              <w:keepLines/>
              <w:spacing w:before="60"/>
            </w:pPr>
            <w:r w:rsidRPr="00EC54C4">
              <w:t>Agricultură, silvicultură, pescuit</w:t>
            </w:r>
          </w:p>
        </w:tc>
        <w:tc>
          <w:tcPr>
            <w:tcW w:w="1267" w:type="pct"/>
            <w:tcBorders>
              <w:top w:val="nil"/>
              <w:bottom w:val="nil"/>
            </w:tcBorders>
          </w:tcPr>
          <w:p w14:paraId="78405ED8" w14:textId="77777777" w:rsidR="00EC54C4" w:rsidRPr="00EC54C4" w:rsidRDefault="00EC54C4" w:rsidP="00EC54C4">
            <w:pPr>
              <w:keepNext/>
              <w:keepLines/>
              <w:spacing w:before="60"/>
              <w:jc w:val="center"/>
              <w:rPr>
                <w:rFonts w:eastAsia="MS Mincho"/>
                <w:bCs/>
              </w:rPr>
            </w:pPr>
            <w:r w:rsidRPr="00EC54C4">
              <w:rPr>
                <w:rFonts w:eastAsia="MS Mincho"/>
                <w:bCs/>
              </w:rPr>
              <w:t>5,7</w:t>
            </w:r>
          </w:p>
        </w:tc>
        <w:tc>
          <w:tcPr>
            <w:tcW w:w="982" w:type="pct"/>
            <w:tcBorders>
              <w:top w:val="nil"/>
              <w:bottom w:val="nil"/>
            </w:tcBorders>
          </w:tcPr>
          <w:p w14:paraId="588371CA" w14:textId="77777777" w:rsidR="00EC54C4" w:rsidRPr="00EC54C4" w:rsidRDefault="00EC54C4" w:rsidP="00EC54C4">
            <w:pPr>
              <w:keepNext/>
              <w:keepLines/>
              <w:spacing w:before="60"/>
              <w:jc w:val="center"/>
              <w:rPr>
                <w:rFonts w:eastAsia="MS Mincho"/>
                <w:bCs/>
              </w:rPr>
            </w:pPr>
            <w:r w:rsidRPr="00EC54C4">
              <w:rPr>
                <w:rFonts w:eastAsia="MS Mincho"/>
                <w:bCs/>
              </w:rPr>
              <w:t>-5,9</w:t>
            </w:r>
          </w:p>
        </w:tc>
      </w:tr>
      <w:tr w:rsidR="00EC54C4" w:rsidRPr="00EC54C4" w14:paraId="7F6B132E" w14:textId="77777777" w:rsidTr="00B23F48">
        <w:trPr>
          <w:jc w:val="center"/>
        </w:trPr>
        <w:tc>
          <w:tcPr>
            <w:tcW w:w="2751" w:type="pct"/>
            <w:tcBorders>
              <w:top w:val="nil"/>
              <w:bottom w:val="nil"/>
            </w:tcBorders>
            <w:vAlign w:val="bottom"/>
          </w:tcPr>
          <w:p w14:paraId="39115758" w14:textId="77777777" w:rsidR="00EC54C4" w:rsidRPr="00EC54C4" w:rsidRDefault="00EC54C4" w:rsidP="00EC54C4">
            <w:pPr>
              <w:keepNext/>
              <w:keepLines/>
              <w:spacing w:before="60"/>
            </w:pPr>
            <w:r w:rsidRPr="00EC54C4">
              <w:t>Construcţii</w:t>
            </w:r>
          </w:p>
        </w:tc>
        <w:tc>
          <w:tcPr>
            <w:tcW w:w="1267" w:type="pct"/>
            <w:tcBorders>
              <w:top w:val="nil"/>
              <w:bottom w:val="nil"/>
            </w:tcBorders>
          </w:tcPr>
          <w:p w14:paraId="6950A9C0" w14:textId="77777777" w:rsidR="00EC54C4" w:rsidRPr="00EC54C4" w:rsidRDefault="00EC54C4" w:rsidP="00EC54C4">
            <w:pPr>
              <w:keepNext/>
              <w:keepLines/>
              <w:spacing w:before="60"/>
              <w:jc w:val="center"/>
              <w:rPr>
                <w:rFonts w:eastAsia="MS Mincho"/>
                <w:bCs/>
              </w:rPr>
            </w:pPr>
            <w:r w:rsidRPr="00EC54C4">
              <w:rPr>
                <w:rFonts w:eastAsia="MS Mincho"/>
                <w:bCs/>
              </w:rPr>
              <w:t>7,1</w:t>
            </w:r>
          </w:p>
        </w:tc>
        <w:tc>
          <w:tcPr>
            <w:tcW w:w="982" w:type="pct"/>
            <w:tcBorders>
              <w:top w:val="nil"/>
              <w:bottom w:val="nil"/>
            </w:tcBorders>
          </w:tcPr>
          <w:p w14:paraId="568D2256" w14:textId="77777777" w:rsidR="00EC54C4" w:rsidRPr="00EC54C4" w:rsidRDefault="00EC54C4" w:rsidP="00EC54C4">
            <w:pPr>
              <w:keepNext/>
              <w:keepLines/>
              <w:spacing w:before="60"/>
              <w:jc w:val="center"/>
              <w:rPr>
                <w:rFonts w:eastAsia="MS Mincho"/>
                <w:bCs/>
              </w:rPr>
            </w:pPr>
            <w:r w:rsidRPr="00EC54C4">
              <w:rPr>
                <w:rFonts w:eastAsia="MS Mincho"/>
                <w:bCs/>
              </w:rPr>
              <w:t>-2,6</w:t>
            </w:r>
          </w:p>
        </w:tc>
      </w:tr>
      <w:tr w:rsidR="00EC54C4" w:rsidRPr="00EC54C4" w14:paraId="260CAE70" w14:textId="77777777" w:rsidTr="00B23F48">
        <w:trPr>
          <w:jc w:val="center"/>
        </w:trPr>
        <w:tc>
          <w:tcPr>
            <w:tcW w:w="2751" w:type="pct"/>
            <w:tcBorders>
              <w:top w:val="nil"/>
              <w:bottom w:val="nil"/>
            </w:tcBorders>
            <w:vAlign w:val="bottom"/>
          </w:tcPr>
          <w:p w14:paraId="49CBD907" w14:textId="77777777" w:rsidR="00EC54C4" w:rsidRPr="00EC54C4" w:rsidRDefault="00EC54C4" w:rsidP="00EC54C4">
            <w:pPr>
              <w:keepNext/>
              <w:keepLines/>
              <w:spacing w:before="60"/>
            </w:pPr>
            <w:r w:rsidRPr="00EC54C4">
              <w:t>Total servicii</w:t>
            </w:r>
          </w:p>
        </w:tc>
        <w:tc>
          <w:tcPr>
            <w:tcW w:w="1267" w:type="pct"/>
            <w:tcBorders>
              <w:top w:val="nil"/>
              <w:bottom w:val="nil"/>
            </w:tcBorders>
          </w:tcPr>
          <w:p w14:paraId="2C51AB33" w14:textId="77777777" w:rsidR="00EC54C4" w:rsidRPr="00EC54C4" w:rsidRDefault="00EC54C4" w:rsidP="00EC54C4">
            <w:pPr>
              <w:keepNext/>
              <w:keepLines/>
              <w:spacing w:before="60"/>
              <w:jc w:val="center"/>
              <w:rPr>
                <w:rFonts w:eastAsia="MS Mincho"/>
                <w:bCs/>
              </w:rPr>
            </w:pPr>
            <w:r w:rsidRPr="00EC54C4">
              <w:rPr>
                <w:rFonts w:eastAsia="MS Mincho"/>
                <w:bCs/>
              </w:rPr>
              <w:t>3,5</w:t>
            </w:r>
          </w:p>
        </w:tc>
        <w:tc>
          <w:tcPr>
            <w:tcW w:w="982" w:type="pct"/>
            <w:tcBorders>
              <w:top w:val="nil"/>
              <w:bottom w:val="nil"/>
            </w:tcBorders>
          </w:tcPr>
          <w:p w14:paraId="54218C35" w14:textId="77777777" w:rsidR="00EC54C4" w:rsidRPr="00EC54C4" w:rsidRDefault="00EC54C4" w:rsidP="00EC54C4">
            <w:pPr>
              <w:keepNext/>
              <w:keepLines/>
              <w:spacing w:before="60"/>
              <w:jc w:val="center"/>
              <w:rPr>
                <w:rFonts w:eastAsia="MS Mincho"/>
                <w:bCs/>
              </w:rPr>
            </w:pPr>
            <w:r w:rsidRPr="00EC54C4">
              <w:rPr>
                <w:rFonts w:eastAsia="MS Mincho"/>
                <w:bCs/>
              </w:rPr>
              <w:t>0,9</w:t>
            </w:r>
          </w:p>
        </w:tc>
      </w:tr>
      <w:tr w:rsidR="00EC54C4" w:rsidRPr="00EC54C4" w14:paraId="0075D375" w14:textId="77777777" w:rsidTr="00B23F48">
        <w:trPr>
          <w:jc w:val="center"/>
        </w:trPr>
        <w:tc>
          <w:tcPr>
            <w:tcW w:w="2751" w:type="pct"/>
            <w:tcBorders>
              <w:top w:val="nil"/>
            </w:tcBorders>
            <w:vAlign w:val="bottom"/>
          </w:tcPr>
          <w:p w14:paraId="4F8CC8B7" w14:textId="77777777" w:rsidR="00EC54C4" w:rsidRPr="00EC54C4" w:rsidRDefault="00EC54C4" w:rsidP="00EC54C4">
            <w:pPr>
              <w:keepNext/>
              <w:keepLines/>
              <w:spacing w:before="60"/>
            </w:pPr>
            <w:r w:rsidRPr="00EC54C4">
              <w:t>Impozite nete pe produs</w:t>
            </w:r>
          </w:p>
        </w:tc>
        <w:tc>
          <w:tcPr>
            <w:tcW w:w="1267" w:type="pct"/>
            <w:tcBorders>
              <w:top w:val="nil"/>
            </w:tcBorders>
            <w:vAlign w:val="bottom"/>
          </w:tcPr>
          <w:p w14:paraId="66FD0000" w14:textId="77777777" w:rsidR="00EC54C4" w:rsidRPr="00EC54C4" w:rsidRDefault="00EC54C4" w:rsidP="00EC54C4">
            <w:pPr>
              <w:keepNext/>
              <w:keepLines/>
              <w:spacing w:before="60"/>
              <w:jc w:val="center"/>
              <w:rPr>
                <w:rFonts w:eastAsia="MS Mincho"/>
                <w:bCs/>
              </w:rPr>
            </w:pPr>
            <w:r w:rsidRPr="00EC54C4">
              <w:rPr>
                <w:rFonts w:eastAsia="MS Mincho"/>
                <w:bCs/>
              </w:rPr>
              <w:t>3,8</w:t>
            </w:r>
          </w:p>
        </w:tc>
        <w:tc>
          <w:tcPr>
            <w:tcW w:w="982" w:type="pct"/>
            <w:tcBorders>
              <w:top w:val="nil"/>
            </w:tcBorders>
            <w:vAlign w:val="center"/>
          </w:tcPr>
          <w:p w14:paraId="12F5F2F1" w14:textId="77777777" w:rsidR="00EC54C4" w:rsidRPr="00EC54C4" w:rsidRDefault="00EC54C4" w:rsidP="00EC54C4">
            <w:pPr>
              <w:keepNext/>
              <w:keepLines/>
              <w:spacing w:before="60"/>
              <w:jc w:val="center"/>
              <w:rPr>
                <w:rFonts w:eastAsia="MS Mincho"/>
                <w:bCs/>
              </w:rPr>
            </w:pPr>
            <w:r w:rsidRPr="00EC54C4">
              <w:rPr>
                <w:rFonts w:eastAsia="MS Mincho"/>
                <w:bCs/>
              </w:rPr>
              <w:t>8,6</w:t>
            </w:r>
          </w:p>
        </w:tc>
      </w:tr>
    </w:tbl>
    <w:p w14:paraId="433DE30E" w14:textId="77777777" w:rsidR="00EC54C4" w:rsidRPr="00EC54C4" w:rsidRDefault="00EC54C4" w:rsidP="00EC54C4">
      <w:pPr>
        <w:keepNext/>
        <w:keepLines/>
        <w:spacing w:line="276" w:lineRule="auto"/>
        <w:ind w:firstLine="567"/>
        <w:jc w:val="both"/>
        <w:rPr>
          <w:i/>
          <w:iCs/>
          <w:sz w:val="20"/>
          <w:szCs w:val="20"/>
        </w:rPr>
      </w:pPr>
      <w:r w:rsidRPr="00EC54C4">
        <w:rPr>
          <w:i/>
          <w:iCs/>
          <w:sz w:val="20"/>
          <w:szCs w:val="20"/>
        </w:rPr>
        <w:t>Notă: Datele pentru anul 2024 sunt provizorii</w:t>
      </w:r>
    </w:p>
    <w:p w14:paraId="383C68BA" w14:textId="77777777" w:rsidR="00EC54C4" w:rsidRPr="00E870C7" w:rsidRDefault="00EC54C4" w:rsidP="00EC54C4">
      <w:pPr>
        <w:pStyle w:val="ListParagraph"/>
        <w:keepNext/>
        <w:keepLines/>
        <w:spacing w:before="120" w:line="276" w:lineRule="auto"/>
        <w:ind w:left="0" w:firstLine="567"/>
        <w:jc w:val="both"/>
        <w:rPr>
          <w:rFonts w:cs="Tahoma"/>
          <w:color w:val="5B9BD5" w:themeColor="accent1"/>
        </w:rPr>
      </w:pPr>
    </w:p>
    <w:p w14:paraId="01794E56" w14:textId="77777777" w:rsidR="00EC54C4" w:rsidRPr="00EC54C4" w:rsidRDefault="00EC54C4" w:rsidP="008B2048">
      <w:pPr>
        <w:keepNext/>
        <w:keepLines/>
        <w:spacing w:before="120" w:line="276" w:lineRule="auto"/>
        <w:jc w:val="both"/>
      </w:pPr>
      <w:r w:rsidRPr="00EC54C4">
        <w:t>Stimulat de creşterea veniturilor reale disponibile ale populaţiei, ca urmare a majorării câştigului salarial din sectorul bugetar, a pensiilor şi a salariului minim pe economie, o inflaţie în scădere, concomitent cu o mai mare deschidere spre obţinerea creditelor de consum, avansul de 6,0%</w:t>
      </w:r>
      <w:r w:rsidRPr="00EC54C4">
        <w:rPr>
          <w:b/>
        </w:rPr>
        <w:t xml:space="preserve"> al consumului privat</w:t>
      </w:r>
      <w:r w:rsidRPr="00EC54C4">
        <w:t xml:space="preserve"> a reprezentat factorul determinant pozitiv, contribuind cu 3,7 puncte procentuale la rata reală de creştere a produsului intern brut. </w:t>
      </w:r>
    </w:p>
    <w:p w14:paraId="25BEEE12" w14:textId="77777777" w:rsidR="00EC54C4" w:rsidRPr="00EC54C4" w:rsidRDefault="00EC54C4" w:rsidP="00EC54C4">
      <w:pPr>
        <w:keepNext/>
        <w:keepLines/>
        <w:spacing w:before="120" w:line="276" w:lineRule="auto"/>
        <w:ind w:firstLine="539"/>
        <w:jc w:val="both"/>
        <w:rPr>
          <w:color w:val="5B9BD5" w:themeColor="accent1"/>
        </w:rPr>
      </w:pPr>
    </w:p>
    <w:p w14:paraId="0DBA8691" w14:textId="77777777" w:rsidR="008B2048" w:rsidRDefault="008B2048" w:rsidP="00EC54C4">
      <w:pPr>
        <w:keepNext/>
        <w:keepLines/>
        <w:spacing w:before="120" w:line="276" w:lineRule="auto"/>
        <w:ind w:firstLine="539"/>
        <w:jc w:val="both"/>
        <w:rPr>
          <w:b/>
          <w:bCs/>
        </w:rPr>
      </w:pPr>
    </w:p>
    <w:p w14:paraId="128A0F7D" w14:textId="77777777" w:rsidR="008B2048" w:rsidRDefault="008B2048" w:rsidP="00EC54C4">
      <w:pPr>
        <w:keepNext/>
        <w:keepLines/>
        <w:spacing w:before="120" w:line="276" w:lineRule="auto"/>
        <w:ind w:firstLine="539"/>
        <w:jc w:val="both"/>
        <w:rPr>
          <w:b/>
          <w:bCs/>
        </w:rPr>
      </w:pPr>
    </w:p>
    <w:p w14:paraId="28BFDE31" w14:textId="686C01B3" w:rsidR="00EC54C4" w:rsidRPr="008B2048" w:rsidRDefault="00EC54C4" w:rsidP="00EC54C4">
      <w:pPr>
        <w:keepNext/>
        <w:keepLines/>
        <w:spacing w:before="120" w:line="276" w:lineRule="auto"/>
        <w:ind w:firstLine="539"/>
        <w:jc w:val="both"/>
        <w:rPr>
          <w:b/>
          <w:bCs/>
        </w:rPr>
      </w:pPr>
      <w:r w:rsidRPr="008B2048">
        <w:rPr>
          <w:b/>
          <w:bCs/>
        </w:rPr>
        <w:lastRenderedPageBreak/>
        <w:t>Contribuţia elementelor de creare şi utilizare la creşterea reală a PIB</w:t>
      </w:r>
    </w:p>
    <w:p w14:paraId="63BBBEE0" w14:textId="726D7AF2" w:rsidR="00EC54C4" w:rsidRPr="008B2048" w:rsidRDefault="00EC54C4" w:rsidP="008B2048">
      <w:pPr>
        <w:keepNext/>
        <w:keepLines/>
        <w:spacing w:before="120" w:line="276" w:lineRule="auto"/>
        <w:ind w:firstLine="539"/>
        <w:jc w:val="right"/>
        <w:rPr>
          <w:i/>
        </w:rPr>
      </w:pPr>
      <w:r w:rsidRPr="008B2048">
        <w:rPr>
          <w:i/>
        </w:rPr>
        <w:t xml:space="preserve">         - procente </w:t>
      </w:r>
      <w:r w:rsidR="008B2048" w:rsidRPr="008B2048">
        <w:rPr>
          <w:i/>
        </w:rPr>
        <w:t>–</w:t>
      </w:r>
    </w:p>
    <w:tbl>
      <w:tblPr>
        <w:tblW w:w="53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1970"/>
        <w:gridCol w:w="1189"/>
        <w:gridCol w:w="1970"/>
        <w:gridCol w:w="1187"/>
      </w:tblGrid>
      <w:tr w:rsidR="008B2048" w:rsidRPr="008B2048" w14:paraId="73B68BB2" w14:textId="77777777" w:rsidTr="008B2048">
        <w:trPr>
          <w:trHeight w:val="403"/>
          <w:tblHeader/>
          <w:jc w:val="center"/>
        </w:trPr>
        <w:tc>
          <w:tcPr>
            <w:tcW w:w="1941" w:type="pct"/>
            <w:shd w:val="clear" w:color="auto" w:fill="D2FAF9"/>
          </w:tcPr>
          <w:p w14:paraId="41F4D737" w14:textId="77777777" w:rsidR="008B2048" w:rsidRPr="008B2048" w:rsidRDefault="008B2048" w:rsidP="008B2048">
            <w:pPr>
              <w:keepNext/>
              <w:spacing w:before="120"/>
              <w:rPr>
                <w:rFonts w:eastAsia="Times New Roman"/>
                <w:lang w:eastAsia="en-US"/>
              </w:rPr>
            </w:pPr>
          </w:p>
        </w:tc>
        <w:tc>
          <w:tcPr>
            <w:tcW w:w="1530" w:type="pct"/>
            <w:gridSpan w:val="2"/>
            <w:shd w:val="clear" w:color="auto" w:fill="D2FAF9"/>
            <w:vAlign w:val="center"/>
          </w:tcPr>
          <w:p w14:paraId="68F139B6" w14:textId="77777777" w:rsidR="008B2048" w:rsidRPr="008B2048" w:rsidRDefault="008B2048" w:rsidP="008B2048">
            <w:pPr>
              <w:keepNext/>
              <w:spacing w:before="120"/>
              <w:jc w:val="center"/>
              <w:rPr>
                <w:rFonts w:eastAsia="Times New Roman"/>
                <w:b/>
                <w:bCs/>
                <w:lang w:eastAsia="en-US"/>
              </w:rPr>
            </w:pPr>
            <w:r w:rsidRPr="008B2048">
              <w:rPr>
                <w:rFonts w:eastAsia="Times New Roman"/>
                <w:b/>
                <w:bCs/>
                <w:sz w:val="22"/>
                <w:szCs w:val="22"/>
                <w:lang w:eastAsia="en-US"/>
              </w:rPr>
              <w:t>2023</w:t>
            </w:r>
          </w:p>
        </w:tc>
        <w:tc>
          <w:tcPr>
            <w:tcW w:w="1530" w:type="pct"/>
            <w:gridSpan w:val="2"/>
            <w:shd w:val="clear" w:color="auto" w:fill="D2FAF9"/>
            <w:vAlign w:val="center"/>
          </w:tcPr>
          <w:p w14:paraId="093FE811" w14:textId="77777777" w:rsidR="008B2048" w:rsidRPr="008B2048" w:rsidRDefault="008B2048" w:rsidP="008B2048">
            <w:pPr>
              <w:keepNext/>
              <w:spacing w:before="120"/>
              <w:jc w:val="center"/>
              <w:rPr>
                <w:rFonts w:eastAsia="Times New Roman"/>
                <w:b/>
                <w:bCs/>
                <w:lang w:eastAsia="en-US"/>
              </w:rPr>
            </w:pPr>
            <w:r w:rsidRPr="008B2048">
              <w:rPr>
                <w:rFonts w:eastAsia="Times New Roman"/>
                <w:b/>
                <w:bCs/>
                <w:sz w:val="22"/>
                <w:szCs w:val="22"/>
                <w:lang w:eastAsia="en-US"/>
              </w:rPr>
              <w:t>2024</w:t>
            </w:r>
          </w:p>
        </w:tc>
      </w:tr>
      <w:tr w:rsidR="008B2048" w:rsidRPr="008B2048" w14:paraId="4B017FE5" w14:textId="77777777" w:rsidTr="008B2048">
        <w:trPr>
          <w:trHeight w:val="403"/>
          <w:tblHeader/>
          <w:jc w:val="center"/>
        </w:trPr>
        <w:tc>
          <w:tcPr>
            <w:tcW w:w="1941" w:type="pct"/>
            <w:shd w:val="clear" w:color="auto" w:fill="D2FAF9"/>
          </w:tcPr>
          <w:p w14:paraId="3D1A1C5B" w14:textId="77777777" w:rsidR="008B2048" w:rsidRPr="008B2048" w:rsidRDefault="008B2048" w:rsidP="008B2048">
            <w:pPr>
              <w:keepNext/>
              <w:spacing w:before="120"/>
              <w:rPr>
                <w:rFonts w:eastAsia="Times New Roman"/>
                <w:b/>
                <w:bCs/>
                <w:lang w:eastAsia="en-US"/>
              </w:rPr>
            </w:pPr>
          </w:p>
        </w:tc>
        <w:tc>
          <w:tcPr>
            <w:tcW w:w="954" w:type="pct"/>
            <w:shd w:val="clear" w:color="auto" w:fill="D2FAF9"/>
            <w:vAlign w:val="center"/>
          </w:tcPr>
          <w:p w14:paraId="2DBEB018" w14:textId="77777777" w:rsidR="008B2048" w:rsidRPr="008B2048" w:rsidRDefault="008B2048" w:rsidP="008B2048">
            <w:pPr>
              <w:keepNext/>
              <w:spacing w:before="120"/>
              <w:jc w:val="center"/>
              <w:rPr>
                <w:rFonts w:eastAsia="Times New Roman"/>
                <w:b/>
                <w:bCs/>
                <w:lang w:eastAsia="en-US"/>
              </w:rPr>
            </w:pPr>
            <w:r w:rsidRPr="008B2048">
              <w:rPr>
                <w:rFonts w:eastAsia="Times New Roman"/>
                <w:b/>
                <w:bCs/>
                <w:sz w:val="22"/>
                <w:szCs w:val="22"/>
                <w:lang w:eastAsia="en-US"/>
              </w:rPr>
              <w:t>Cadrul macroeconomic pentru buget 2024</w:t>
            </w:r>
          </w:p>
        </w:tc>
        <w:tc>
          <w:tcPr>
            <w:tcW w:w="576" w:type="pct"/>
            <w:shd w:val="clear" w:color="auto" w:fill="D2FAF9"/>
            <w:vAlign w:val="center"/>
          </w:tcPr>
          <w:p w14:paraId="077644D1" w14:textId="77777777" w:rsidR="008B2048" w:rsidRPr="008B2048" w:rsidRDefault="008B2048" w:rsidP="008B2048">
            <w:pPr>
              <w:keepNext/>
              <w:spacing w:before="120"/>
              <w:jc w:val="center"/>
              <w:rPr>
                <w:rFonts w:eastAsia="Times New Roman"/>
                <w:b/>
                <w:bCs/>
                <w:lang w:eastAsia="en-US"/>
              </w:rPr>
            </w:pPr>
            <w:r w:rsidRPr="008B2048">
              <w:rPr>
                <w:rFonts w:eastAsia="Times New Roman"/>
                <w:b/>
                <w:bCs/>
                <w:sz w:val="22"/>
                <w:szCs w:val="22"/>
                <w:lang w:eastAsia="en-US"/>
              </w:rPr>
              <w:t>Realizări</w:t>
            </w:r>
          </w:p>
        </w:tc>
        <w:tc>
          <w:tcPr>
            <w:tcW w:w="954" w:type="pct"/>
            <w:shd w:val="clear" w:color="auto" w:fill="D2FAF9"/>
            <w:vAlign w:val="center"/>
          </w:tcPr>
          <w:p w14:paraId="5F3AACF6" w14:textId="77777777" w:rsidR="008B2048" w:rsidRPr="008B2048" w:rsidRDefault="008B2048" w:rsidP="008B2048">
            <w:pPr>
              <w:keepNext/>
              <w:spacing w:before="120"/>
              <w:jc w:val="center"/>
              <w:rPr>
                <w:rFonts w:eastAsia="Times New Roman"/>
                <w:b/>
                <w:bCs/>
                <w:lang w:eastAsia="en-US"/>
              </w:rPr>
            </w:pPr>
            <w:r w:rsidRPr="008B2048">
              <w:rPr>
                <w:rFonts w:eastAsia="Times New Roman"/>
                <w:b/>
                <w:bCs/>
                <w:sz w:val="22"/>
                <w:szCs w:val="22"/>
                <w:lang w:eastAsia="en-US"/>
              </w:rPr>
              <w:t>Cadrul macroeconomic pentru buget 2024</w:t>
            </w:r>
          </w:p>
        </w:tc>
        <w:tc>
          <w:tcPr>
            <w:tcW w:w="576" w:type="pct"/>
            <w:shd w:val="clear" w:color="auto" w:fill="D2FAF9"/>
            <w:vAlign w:val="center"/>
          </w:tcPr>
          <w:p w14:paraId="690A4B8E" w14:textId="77777777" w:rsidR="008B2048" w:rsidRPr="008B2048" w:rsidRDefault="008B2048" w:rsidP="008B2048">
            <w:pPr>
              <w:keepNext/>
              <w:spacing w:before="120"/>
              <w:jc w:val="center"/>
              <w:rPr>
                <w:rFonts w:eastAsia="Times New Roman"/>
                <w:b/>
                <w:bCs/>
                <w:lang w:eastAsia="en-US"/>
              </w:rPr>
            </w:pPr>
            <w:r w:rsidRPr="008B2048">
              <w:rPr>
                <w:rFonts w:eastAsia="Times New Roman"/>
                <w:b/>
                <w:bCs/>
                <w:sz w:val="22"/>
                <w:szCs w:val="22"/>
                <w:lang w:eastAsia="en-US"/>
              </w:rPr>
              <w:t>Realizări</w:t>
            </w:r>
          </w:p>
        </w:tc>
      </w:tr>
      <w:tr w:rsidR="008B2048" w:rsidRPr="008B2048" w14:paraId="7FFA43C2" w14:textId="77777777" w:rsidTr="00B23F48">
        <w:trPr>
          <w:trHeight w:val="347"/>
          <w:jc w:val="center"/>
        </w:trPr>
        <w:tc>
          <w:tcPr>
            <w:tcW w:w="1941" w:type="pct"/>
            <w:vAlign w:val="center"/>
          </w:tcPr>
          <w:p w14:paraId="139450F5" w14:textId="77777777" w:rsidR="008B2048" w:rsidRPr="008B2048" w:rsidRDefault="008B2048" w:rsidP="008B2048">
            <w:pPr>
              <w:keepNext/>
              <w:spacing w:before="60"/>
              <w:rPr>
                <w:rFonts w:eastAsia="Times New Roman"/>
                <w:b/>
                <w:bCs/>
                <w:lang w:eastAsia="en-US"/>
              </w:rPr>
            </w:pPr>
            <w:r w:rsidRPr="008B2048">
              <w:rPr>
                <w:rFonts w:eastAsia="Times New Roman"/>
                <w:b/>
                <w:bCs/>
                <w:lang w:eastAsia="en-US"/>
              </w:rPr>
              <w:t xml:space="preserve">Cererea internă </w:t>
            </w:r>
          </w:p>
        </w:tc>
        <w:tc>
          <w:tcPr>
            <w:tcW w:w="954" w:type="pct"/>
            <w:vAlign w:val="center"/>
          </w:tcPr>
          <w:p w14:paraId="3BF27589" w14:textId="77777777" w:rsidR="008B2048" w:rsidRPr="008B2048" w:rsidRDefault="008B2048" w:rsidP="008B2048">
            <w:pPr>
              <w:keepNext/>
              <w:spacing w:before="60"/>
              <w:jc w:val="center"/>
              <w:rPr>
                <w:rFonts w:eastAsia="Times New Roman"/>
                <w:b/>
                <w:bCs/>
                <w:lang w:eastAsia="en-US"/>
              </w:rPr>
            </w:pPr>
            <w:r w:rsidRPr="008B2048">
              <w:rPr>
                <w:rFonts w:eastAsia="Times New Roman"/>
                <w:b/>
                <w:bCs/>
                <w:lang w:eastAsia="en-US"/>
              </w:rPr>
              <w:t>1,4</w:t>
            </w:r>
          </w:p>
        </w:tc>
        <w:tc>
          <w:tcPr>
            <w:tcW w:w="576" w:type="pct"/>
            <w:vAlign w:val="center"/>
          </w:tcPr>
          <w:p w14:paraId="5F93DAE4" w14:textId="77777777" w:rsidR="008B2048" w:rsidRPr="008B2048" w:rsidRDefault="008B2048" w:rsidP="008B2048">
            <w:pPr>
              <w:keepNext/>
              <w:spacing w:before="60"/>
              <w:jc w:val="center"/>
              <w:rPr>
                <w:rFonts w:eastAsia="Times New Roman"/>
                <w:b/>
                <w:bCs/>
                <w:lang w:eastAsia="en-US"/>
              </w:rPr>
            </w:pPr>
            <w:r w:rsidRPr="008B2048">
              <w:rPr>
                <w:rFonts w:eastAsia="Times New Roman"/>
                <w:b/>
                <w:bCs/>
                <w:lang w:eastAsia="en-US"/>
              </w:rPr>
              <w:t>2,2</w:t>
            </w:r>
          </w:p>
        </w:tc>
        <w:tc>
          <w:tcPr>
            <w:tcW w:w="954" w:type="pct"/>
            <w:vAlign w:val="center"/>
          </w:tcPr>
          <w:p w14:paraId="464139AA" w14:textId="77777777" w:rsidR="008B2048" w:rsidRPr="008B2048" w:rsidRDefault="008B2048" w:rsidP="008B2048">
            <w:pPr>
              <w:keepNext/>
              <w:spacing w:before="60"/>
              <w:jc w:val="center"/>
              <w:rPr>
                <w:rFonts w:eastAsia="Times New Roman"/>
                <w:b/>
                <w:bCs/>
                <w:lang w:eastAsia="en-US"/>
              </w:rPr>
            </w:pPr>
            <w:r w:rsidRPr="008B2048">
              <w:rPr>
                <w:rFonts w:eastAsia="Times New Roman"/>
                <w:b/>
                <w:bCs/>
                <w:lang w:eastAsia="en-US"/>
              </w:rPr>
              <w:t>4,1</w:t>
            </w:r>
          </w:p>
        </w:tc>
        <w:tc>
          <w:tcPr>
            <w:tcW w:w="576" w:type="pct"/>
            <w:vAlign w:val="center"/>
          </w:tcPr>
          <w:p w14:paraId="4F4E0A9F" w14:textId="77777777" w:rsidR="008B2048" w:rsidRPr="008B2048" w:rsidRDefault="008B2048" w:rsidP="008B2048">
            <w:pPr>
              <w:keepNext/>
              <w:spacing w:before="60"/>
              <w:jc w:val="center"/>
              <w:rPr>
                <w:rFonts w:eastAsia="Times New Roman"/>
                <w:b/>
                <w:bCs/>
                <w:lang w:eastAsia="en-US"/>
              </w:rPr>
            </w:pPr>
            <w:r w:rsidRPr="008B2048">
              <w:rPr>
                <w:rFonts w:eastAsia="Times New Roman"/>
                <w:b/>
                <w:bCs/>
                <w:lang w:eastAsia="en-US"/>
              </w:rPr>
              <w:t>3,7</w:t>
            </w:r>
          </w:p>
        </w:tc>
      </w:tr>
      <w:tr w:rsidR="008B2048" w:rsidRPr="008B2048" w14:paraId="04B229AA" w14:textId="77777777" w:rsidTr="00B23F48">
        <w:trPr>
          <w:jc w:val="center"/>
        </w:trPr>
        <w:tc>
          <w:tcPr>
            <w:tcW w:w="1941" w:type="pct"/>
            <w:tcBorders>
              <w:bottom w:val="nil"/>
            </w:tcBorders>
            <w:vAlign w:val="center"/>
          </w:tcPr>
          <w:p w14:paraId="3F066D0D" w14:textId="77777777" w:rsidR="008B2048" w:rsidRPr="008B2048" w:rsidRDefault="008B2048" w:rsidP="008B2048">
            <w:pPr>
              <w:keepNext/>
              <w:spacing w:before="60"/>
              <w:rPr>
                <w:rFonts w:eastAsia="Times New Roman"/>
                <w:lang w:eastAsia="en-US"/>
              </w:rPr>
            </w:pPr>
            <w:r w:rsidRPr="008B2048">
              <w:rPr>
                <w:rFonts w:eastAsia="Times New Roman"/>
                <w:lang w:eastAsia="en-US"/>
              </w:rPr>
              <w:t xml:space="preserve">  - Consum final</w:t>
            </w:r>
          </w:p>
        </w:tc>
        <w:tc>
          <w:tcPr>
            <w:tcW w:w="954" w:type="pct"/>
            <w:tcBorders>
              <w:bottom w:val="nil"/>
            </w:tcBorders>
            <w:vAlign w:val="center"/>
          </w:tcPr>
          <w:p w14:paraId="7492640F" w14:textId="77777777" w:rsidR="008B2048" w:rsidRPr="008B2048" w:rsidRDefault="008B2048" w:rsidP="008B2048">
            <w:pPr>
              <w:keepNext/>
              <w:spacing w:before="60"/>
              <w:jc w:val="center"/>
              <w:rPr>
                <w:rFonts w:eastAsia="Times New Roman"/>
                <w:lang w:eastAsia="en-US"/>
              </w:rPr>
            </w:pPr>
            <w:r w:rsidRPr="008B2048">
              <w:rPr>
                <w:rFonts w:eastAsia="Times New Roman"/>
                <w:lang w:eastAsia="en-US"/>
              </w:rPr>
              <w:t>1,7</w:t>
            </w:r>
          </w:p>
        </w:tc>
        <w:tc>
          <w:tcPr>
            <w:tcW w:w="576" w:type="pct"/>
            <w:tcBorders>
              <w:bottom w:val="nil"/>
            </w:tcBorders>
            <w:vAlign w:val="center"/>
          </w:tcPr>
          <w:p w14:paraId="2F159992" w14:textId="77777777" w:rsidR="008B2048" w:rsidRPr="008B2048" w:rsidRDefault="008B2048" w:rsidP="008B2048">
            <w:pPr>
              <w:keepNext/>
              <w:spacing w:before="60"/>
              <w:jc w:val="center"/>
              <w:rPr>
                <w:rFonts w:eastAsia="Times New Roman"/>
                <w:lang w:eastAsia="en-US"/>
              </w:rPr>
            </w:pPr>
            <w:r w:rsidRPr="008B2048">
              <w:rPr>
                <w:rFonts w:eastAsia="Times New Roman"/>
                <w:lang w:eastAsia="en-US"/>
              </w:rPr>
              <w:t>2,9</w:t>
            </w:r>
          </w:p>
        </w:tc>
        <w:tc>
          <w:tcPr>
            <w:tcW w:w="954" w:type="pct"/>
            <w:tcBorders>
              <w:bottom w:val="nil"/>
            </w:tcBorders>
            <w:vAlign w:val="center"/>
          </w:tcPr>
          <w:p w14:paraId="6AB15545" w14:textId="77777777" w:rsidR="008B2048" w:rsidRPr="008B2048" w:rsidRDefault="008B2048" w:rsidP="008B2048">
            <w:pPr>
              <w:keepNext/>
              <w:spacing w:before="60"/>
              <w:jc w:val="center"/>
              <w:rPr>
                <w:rFonts w:eastAsia="Times New Roman"/>
                <w:lang w:eastAsia="en-US"/>
              </w:rPr>
            </w:pPr>
            <w:r w:rsidRPr="008B2048">
              <w:rPr>
                <w:rFonts w:eastAsia="Times New Roman"/>
                <w:lang w:eastAsia="en-US"/>
              </w:rPr>
              <w:t>2,7</w:t>
            </w:r>
          </w:p>
        </w:tc>
        <w:tc>
          <w:tcPr>
            <w:tcW w:w="576" w:type="pct"/>
            <w:tcBorders>
              <w:bottom w:val="nil"/>
            </w:tcBorders>
            <w:vAlign w:val="center"/>
          </w:tcPr>
          <w:p w14:paraId="3021331A" w14:textId="77777777" w:rsidR="008B2048" w:rsidRPr="008B2048" w:rsidRDefault="008B2048" w:rsidP="008B2048">
            <w:pPr>
              <w:keepNext/>
              <w:spacing w:before="60"/>
              <w:jc w:val="center"/>
              <w:rPr>
                <w:rFonts w:eastAsia="Times New Roman"/>
                <w:lang w:eastAsia="en-US"/>
              </w:rPr>
            </w:pPr>
            <w:r w:rsidRPr="008B2048">
              <w:rPr>
                <w:rFonts w:eastAsia="Times New Roman"/>
                <w:lang w:eastAsia="en-US"/>
              </w:rPr>
              <w:t>3,8</w:t>
            </w:r>
          </w:p>
        </w:tc>
      </w:tr>
      <w:tr w:rsidR="008B2048" w:rsidRPr="008B2048" w14:paraId="5DDA4E27" w14:textId="77777777" w:rsidTr="00B23F48">
        <w:trPr>
          <w:jc w:val="center"/>
        </w:trPr>
        <w:tc>
          <w:tcPr>
            <w:tcW w:w="1941" w:type="pct"/>
            <w:tcBorders>
              <w:top w:val="nil"/>
              <w:bottom w:val="nil"/>
            </w:tcBorders>
            <w:vAlign w:val="center"/>
          </w:tcPr>
          <w:p w14:paraId="41F52198" w14:textId="77777777" w:rsidR="008B2048" w:rsidRPr="008B2048" w:rsidRDefault="008B2048" w:rsidP="008B2048">
            <w:pPr>
              <w:keepNext/>
              <w:numPr>
                <w:ilvl w:val="0"/>
                <w:numId w:val="10"/>
              </w:numPr>
              <w:spacing w:before="60"/>
              <w:rPr>
                <w:rFonts w:eastAsia="Times New Roman"/>
                <w:lang w:eastAsia="en-US"/>
              </w:rPr>
            </w:pPr>
            <w:r w:rsidRPr="008B2048">
              <w:rPr>
                <w:rFonts w:eastAsia="Times New Roman"/>
                <w:lang w:eastAsia="en-US"/>
              </w:rPr>
              <w:t>Consum privat</w:t>
            </w:r>
          </w:p>
        </w:tc>
        <w:tc>
          <w:tcPr>
            <w:tcW w:w="954" w:type="pct"/>
            <w:tcBorders>
              <w:top w:val="nil"/>
              <w:bottom w:val="nil"/>
            </w:tcBorders>
            <w:vAlign w:val="center"/>
          </w:tcPr>
          <w:p w14:paraId="74169EF4" w14:textId="77777777" w:rsidR="008B2048" w:rsidRPr="008B2048" w:rsidRDefault="008B2048" w:rsidP="008B2048">
            <w:pPr>
              <w:keepNext/>
              <w:spacing w:before="60"/>
              <w:jc w:val="center"/>
              <w:rPr>
                <w:rFonts w:eastAsia="Times New Roman"/>
                <w:lang w:eastAsia="en-US"/>
              </w:rPr>
            </w:pPr>
            <w:r w:rsidRPr="008B2048">
              <w:rPr>
                <w:rFonts w:eastAsia="Times New Roman"/>
                <w:lang w:eastAsia="en-US"/>
              </w:rPr>
              <w:t>1,4</w:t>
            </w:r>
          </w:p>
        </w:tc>
        <w:tc>
          <w:tcPr>
            <w:tcW w:w="576" w:type="pct"/>
            <w:tcBorders>
              <w:top w:val="nil"/>
              <w:bottom w:val="nil"/>
            </w:tcBorders>
            <w:vAlign w:val="center"/>
          </w:tcPr>
          <w:p w14:paraId="22DCF592" w14:textId="77777777" w:rsidR="008B2048" w:rsidRPr="008B2048" w:rsidRDefault="008B2048" w:rsidP="008B2048">
            <w:pPr>
              <w:keepNext/>
              <w:spacing w:before="60"/>
              <w:jc w:val="center"/>
              <w:rPr>
                <w:rFonts w:eastAsia="Times New Roman"/>
                <w:lang w:eastAsia="en-US"/>
              </w:rPr>
            </w:pPr>
            <w:r w:rsidRPr="008B2048">
              <w:rPr>
                <w:rFonts w:eastAsia="Times New Roman"/>
                <w:lang w:eastAsia="en-US"/>
              </w:rPr>
              <w:t>1,9</w:t>
            </w:r>
          </w:p>
        </w:tc>
        <w:tc>
          <w:tcPr>
            <w:tcW w:w="954" w:type="pct"/>
            <w:tcBorders>
              <w:top w:val="nil"/>
              <w:bottom w:val="nil"/>
            </w:tcBorders>
            <w:vAlign w:val="center"/>
          </w:tcPr>
          <w:p w14:paraId="11C5B07E" w14:textId="77777777" w:rsidR="008B2048" w:rsidRPr="008B2048" w:rsidRDefault="008B2048" w:rsidP="008B2048">
            <w:pPr>
              <w:keepNext/>
              <w:spacing w:before="60"/>
              <w:jc w:val="center"/>
              <w:rPr>
                <w:rFonts w:eastAsia="Times New Roman"/>
                <w:lang w:eastAsia="en-US"/>
              </w:rPr>
            </w:pPr>
            <w:r w:rsidRPr="008B2048">
              <w:rPr>
                <w:rFonts w:eastAsia="Times New Roman"/>
                <w:lang w:eastAsia="en-US"/>
              </w:rPr>
              <w:t>2,1</w:t>
            </w:r>
          </w:p>
        </w:tc>
        <w:tc>
          <w:tcPr>
            <w:tcW w:w="576" w:type="pct"/>
            <w:tcBorders>
              <w:top w:val="nil"/>
              <w:bottom w:val="nil"/>
            </w:tcBorders>
            <w:vAlign w:val="center"/>
          </w:tcPr>
          <w:p w14:paraId="68108C11" w14:textId="77777777" w:rsidR="008B2048" w:rsidRPr="008B2048" w:rsidRDefault="008B2048" w:rsidP="008B2048">
            <w:pPr>
              <w:keepNext/>
              <w:spacing w:before="60"/>
              <w:jc w:val="center"/>
              <w:rPr>
                <w:rFonts w:eastAsia="Times New Roman"/>
                <w:lang w:eastAsia="en-US"/>
              </w:rPr>
            </w:pPr>
            <w:r w:rsidRPr="008B2048">
              <w:rPr>
                <w:rFonts w:eastAsia="Times New Roman"/>
                <w:lang w:eastAsia="en-US"/>
              </w:rPr>
              <w:t>3,7</w:t>
            </w:r>
          </w:p>
        </w:tc>
      </w:tr>
      <w:tr w:rsidR="008B2048" w:rsidRPr="008B2048" w14:paraId="0AFC53A9" w14:textId="77777777" w:rsidTr="00B23F48">
        <w:trPr>
          <w:jc w:val="center"/>
        </w:trPr>
        <w:tc>
          <w:tcPr>
            <w:tcW w:w="1941" w:type="pct"/>
            <w:tcBorders>
              <w:top w:val="nil"/>
            </w:tcBorders>
            <w:vAlign w:val="center"/>
          </w:tcPr>
          <w:p w14:paraId="1AF5102D" w14:textId="77777777" w:rsidR="008B2048" w:rsidRPr="008B2048" w:rsidRDefault="008B2048" w:rsidP="008B2048">
            <w:pPr>
              <w:keepNext/>
              <w:numPr>
                <w:ilvl w:val="0"/>
                <w:numId w:val="10"/>
              </w:numPr>
              <w:spacing w:before="60"/>
              <w:rPr>
                <w:rFonts w:eastAsia="Times New Roman"/>
                <w:lang w:eastAsia="en-US"/>
              </w:rPr>
            </w:pPr>
            <w:r w:rsidRPr="008B2048">
              <w:rPr>
                <w:rFonts w:eastAsia="Times New Roman"/>
                <w:lang w:eastAsia="en-US"/>
              </w:rPr>
              <w:t>Consum guvernamental</w:t>
            </w:r>
          </w:p>
        </w:tc>
        <w:tc>
          <w:tcPr>
            <w:tcW w:w="954" w:type="pct"/>
            <w:tcBorders>
              <w:top w:val="nil"/>
            </w:tcBorders>
            <w:vAlign w:val="center"/>
          </w:tcPr>
          <w:p w14:paraId="467A584D" w14:textId="77777777" w:rsidR="008B2048" w:rsidRPr="008B2048" w:rsidRDefault="008B2048" w:rsidP="008B2048">
            <w:pPr>
              <w:keepNext/>
              <w:spacing w:before="60"/>
              <w:jc w:val="center"/>
              <w:rPr>
                <w:rFonts w:eastAsia="Times New Roman"/>
                <w:lang w:eastAsia="en-US"/>
              </w:rPr>
            </w:pPr>
            <w:r w:rsidRPr="008B2048">
              <w:rPr>
                <w:rFonts w:eastAsia="Times New Roman"/>
                <w:lang w:eastAsia="en-US"/>
              </w:rPr>
              <w:t>0,3</w:t>
            </w:r>
          </w:p>
        </w:tc>
        <w:tc>
          <w:tcPr>
            <w:tcW w:w="576" w:type="pct"/>
            <w:tcBorders>
              <w:top w:val="nil"/>
            </w:tcBorders>
            <w:vAlign w:val="center"/>
          </w:tcPr>
          <w:p w14:paraId="5E9A6686" w14:textId="77777777" w:rsidR="008B2048" w:rsidRPr="008B2048" w:rsidRDefault="008B2048" w:rsidP="008B2048">
            <w:pPr>
              <w:keepNext/>
              <w:spacing w:before="60"/>
              <w:jc w:val="center"/>
              <w:rPr>
                <w:rFonts w:eastAsia="Times New Roman"/>
                <w:lang w:eastAsia="en-US"/>
              </w:rPr>
            </w:pPr>
            <w:r w:rsidRPr="008B2048">
              <w:rPr>
                <w:rFonts w:eastAsia="Times New Roman"/>
                <w:lang w:eastAsia="en-US"/>
              </w:rPr>
              <w:t>1,1</w:t>
            </w:r>
          </w:p>
        </w:tc>
        <w:tc>
          <w:tcPr>
            <w:tcW w:w="954" w:type="pct"/>
            <w:tcBorders>
              <w:top w:val="nil"/>
            </w:tcBorders>
            <w:vAlign w:val="center"/>
          </w:tcPr>
          <w:p w14:paraId="645C19BD" w14:textId="77777777" w:rsidR="008B2048" w:rsidRPr="008B2048" w:rsidRDefault="008B2048" w:rsidP="008B2048">
            <w:pPr>
              <w:keepNext/>
              <w:spacing w:before="60"/>
              <w:jc w:val="center"/>
              <w:rPr>
                <w:rFonts w:eastAsia="Times New Roman"/>
                <w:lang w:eastAsia="en-US"/>
              </w:rPr>
            </w:pPr>
            <w:r w:rsidRPr="008B2048">
              <w:rPr>
                <w:rFonts w:eastAsia="Times New Roman"/>
                <w:lang w:eastAsia="en-US"/>
              </w:rPr>
              <w:t>0,5</w:t>
            </w:r>
          </w:p>
        </w:tc>
        <w:tc>
          <w:tcPr>
            <w:tcW w:w="576" w:type="pct"/>
            <w:tcBorders>
              <w:top w:val="nil"/>
            </w:tcBorders>
            <w:vAlign w:val="center"/>
          </w:tcPr>
          <w:p w14:paraId="3C54598D" w14:textId="77777777" w:rsidR="008B2048" w:rsidRPr="008B2048" w:rsidRDefault="008B2048" w:rsidP="008B2048">
            <w:pPr>
              <w:keepNext/>
              <w:spacing w:before="60"/>
              <w:jc w:val="center"/>
              <w:rPr>
                <w:rFonts w:eastAsia="Times New Roman"/>
                <w:lang w:eastAsia="en-US"/>
              </w:rPr>
            </w:pPr>
            <w:r w:rsidRPr="008B2048">
              <w:rPr>
                <w:rFonts w:eastAsia="Times New Roman"/>
                <w:lang w:eastAsia="en-US"/>
              </w:rPr>
              <w:t>0,1</w:t>
            </w:r>
          </w:p>
        </w:tc>
      </w:tr>
      <w:tr w:rsidR="008B2048" w:rsidRPr="008B2048" w14:paraId="2BB7E139" w14:textId="77777777" w:rsidTr="00B23F48">
        <w:trPr>
          <w:jc w:val="center"/>
        </w:trPr>
        <w:tc>
          <w:tcPr>
            <w:tcW w:w="1941" w:type="pct"/>
            <w:tcBorders>
              <w:bottom w:val="nil"/>
            </w:tcBorders>
            <w:vAlign w:val="center"/>
          </w:tcPr>
          <w:p w14:paraId="0D224148" w14:textId="77777777" w:rsidR="008B2048" w:rsidRPr="008B2048" w:rsidRDefault="008B2048" w:rsidP="008B2048">
            <w:pPr>
              <w:keepNext/>
              <w:spacing w:before="60"/>
              <w:rPr>
                <w:rFonts w:eastAsia="Times New Roman"/>
                <w:lang w:eastAsia="en-US"/>
              </w:rPr>
            </w:pPr>
            <w:r w:rsidRPr="008B2048">
              <w:rPr>
                <w:rFonts w:eastAsia="Times New Roman"/>
                <w:lang w:eastAsia="en-US"/>
              </w:rPr>
              <w:t xml:space="preserve">  - Formarea brută de capital</w:t>
            </w:r>
          </w:p>
        </w:tc>
        <w:tc>
          <w:tcPr>
            <w:tcW w:w="954" w:type="pct"/>
            <w:tcBorders>
              <w:bottom w:val="nil"/>
            </w:tcBorders>
            <w:vAlign w:val="center"/>
          </w:tcPr>
          <w:p w14:paraId="762F142F" w14:textId="77777777" w:rsidR="008B2048" w:rsidRPr="008B2048" w:rsidRDefault="008B2048" w:rsidP="008B2048">
            <w:pPr>
              <w:keepNext/>
              <w:spacing w:before="60"/>
              <w:jc w:val="center"/>
              <w:rPr>
                <w:rFonts w:eastAsia="Times New Roman"/>
                <w:lang w:eastAsia="en-US"/>
              </w:rPr>
            </w:pPr>
            <w:r w:rsidRPr="008B2048">
              <w:rPr>
                <w:rFonts w:eastAsia="Times New Roman"/>
                <w:lang w:eastAsia="en-US"/>
              </w:rPr>
              <w:t>-0,3</w:t>
            </w:r>
          </w:p>
        </w:tc>
        <w:tc>
          <w:tcPr>
            <w:tcW w:w="576" w:type="pct"/>
            <w:tcBorders>
              <w:bottom w:val="nil"/>
            </w:tcBorders>
            <w:vAlign w:val="center"/>
          </w:tcPr>
          <w:p w14:paraId="072655A6" w14:textId="77777777" w:rsidR="008B2048" w:rsidRPr="008B2048" w:rsidRDefault="008B2048" w:rsidP="008B2048">
            <w:pPr>
              <w:keepNext/>
              <w:spacing w:before="60"/>
              <w:jc w:val="center"/>
              <w:rPr>
                <w:rFonts w:eastAsia="Times New Roman"/>
                <w:lang w:eastAsia="en-US"/>
              </w:rPr>
            </w:pPr>
            <w:r w:rsidRPr="008B2048">
              <w:rPr>
                <w:rFonts w:eastAsia="Times New Roman"/>
                <w:lang w:eastAsia="en-US"/>
              </w:rPr>
              <w:t>-0,8</w:t>
            </w:r>
          </w:p>
        </w:tc>
        <w:tc>
          <w:tcPr>
            <w:tcW w:w="954" w:type="pct"/>
            <w:tcBorders>
              <w:bottom w:val="nil"/>
            </w:tcBorders>
            <w:vAlign w:val="center"/>
          </w:tcPr>
          <w:p w14:paraId="64B07D78" w14:textId="77777777" w:rsidR="008B2048" w:rsidRPr="008B2048" w:rsidRDefault="008B2048" w:rsidP="008B2048">
            <w:pPr>
              <w:keepNext/>
              <w:spacing w:before="60"/>
              <w:jc w:val="center"/>
              <w:rPr>
                <w:rFonts w:eastAsia="Times New Roman"/>
                <w:lang w:eastAsia="en-US"/>
              </w:rPr>
            </w:pPr>
            <w:r w:rsidRPr="008B2048">
              <w:rPr>
                <w:rFonts w:eastAsia="Times New Roman"/>
                <w:lang w:eastAsia="en-US"/>
              </w:rPr>
              <w:t>1,4</w:t>
            </w:r>
          </w:p>
        </w:tc>
        <w:tc>
          <w:tcPr>
            <w:tcW w:w="576" w:type="pct"/>
            <w:tcBorders>
              <w:bottom w:val="nil"/>
            </w:tcBorders>
            <w:vAlign w:val="center"/>
          </w:tcPr>
          <w:p w14:paraId="61CA5F53" w14:textId="77777777" w:rsidR="008B2048" w:rsidRPr="008B2048" w:rsidRDefault="008B2048" w:rsidP="008B2048">
            <w:pPr>
              <w:keepNext/>
              <w:spacing w:before="60"/>
              <w:jc w:val="center"/>
              <w:rPr>
                <w:rFonts w:eastAsia="Times New Roman"/>
                <w:lang w:eastAsia="en-US"/>
              </w:rPr>
            </w:pPr>
            <w:r w:rsidRPr="008B2048">
              <w:rPr>
                <w:rFonts w:eastAsia="Times New Roman"/>
                <w:lang w:eastAsia="en-US"/>
              </w:rPr>
              <w:t>-0,1</w:t>
            </w:r>
          </w:p>
        </w:tc>
      </w:tr>
      <w:tr w:rsidR="008B2048" w:rsidRPr="008B2048" w14:paraId="7F2D16C0" w14:textId="77777777" w:rsidTr="00B23F48">
        <w:trPr>
          <w:jc w:val="center"/>
        </w:trPr>
        <w:tc>
          <w:tcPr>
            <w:tcW w:w="1941" w:type="pct"/>
            <w:tcBorders>
              <w:top w:val="nil"/>
              <w:bottom w:val="nil"/>
            </w:tcBorders>
            <w:vAlign w:val="center"/>
          </w:tcPr>
          <w:p w14:paraId="48481B07" w14:textId="77777777" w:rsidR="008B2048" w:rsidRPr="008B2048" w:rsidRDefault="008B2048" w:rsidP="008B2048">
            <w:pPr>
              <w:keepNext/>
              <w:numPr>
                <w:ilvl w:val="0"/>
                <w:numId w:val="11"/>
              </w:numPr>
              <w:spacing w:before="60"/>
              <w:rPr>
                <w:rFonts w:eastAsia="Times New Roman"/>
                <w:lang w:eastAsia="en-US"/>
              </w:rPr>
            </w:pPr>
            <w:r w:rsidRPr="008B2048">
              <w:rPr>
                <w:rFonts w:eastAsia="Times New Roman"/>
                <w:lang w:eastAsia="en-US"/>
              </w:rPr>
              <w:t>Formarea brută de capital fix</w:t>
            </w:r>
          </w:p>
        </w:tc>
        <w:tc>
          <w:tcPr>
            <w:tcW w:w="954" w:type="pct"/>
            <w:tcBorders>
              <w:top w:val="nil"/>
              <w:bottom w:val="nil"/>
            </w:tcBorders>
            <w:vAlign w:val="center"/>
          </w:tcPr>
          <w:p w14:paraId="1141B4C9" w14:textId="77777777" w:rsidR="008B2048" w:rsidRPr="008B2048" w:rsidRDefault="008B2048" w:rsidP="008B2048">
            <w:pPr>
              <w:keepNext/>
              <w:spacing w:before="60"/>
              <w:jc w:val="center"/>
              <w:rPr>
                <w:rFonts w:eastAsia="Times New Roman"/>
                <w:lang w:eastAsia="en-US"/>
              </w:rPr>
            </w:pPr>
            <w:r w:rsidRPr="008B2048">
              <w:rPr>
                <w:rFonts w:eastAsia="Times New Roman"/>
                <w:lang w:eastAsia="en-US"/>
              </w:rPr>
              <w:t>1,9</w:t>
            </w:r>
          </w:p>
        </w:tc>
        <w:tc>
          <w:tcPr>
            <w:tcW w:w="576" w:type="pct"/>
            <w:tcBorders>
              <w:top w:val="nil"/>
              <w:bottom w:val="nil"/>
            </w:tcBorders>
            <w:vAlign w:val="center"/>
          </w:tcPr>
          <w:p w14:paraId="20C1434F" w14:textId="77777777" w:rsidR="008B2048" w:rsidRPr="008B2048" w:rsidRDefault="008B2048" w:rsidP="008B2048">
            <w:pPr>
              <w:keepNext/>
              <w:spacing w:before="60"/>
              <w:jc w:val="center"/>
              <w:rPr>
                <w:rFonts w:eastAsia="Times New Roman"/>
                <w:lang w:eastAsia="en-US"/>
              </w:rPr>
            </w:pPr>
            <w:r w:rsidRPr="008B2048">
              <w:rPr>
                <w:rFonts w:eastAsia="Times New Roman"/>
                <w:lang w:eastAsia="en-US"/>
              </w:rPr>
              <w:t>3,6</w:t>
            </w:r>
          </w:p>
        </w:tc>
        <w:tc>
          <w:tcPr>
            <w:tcW w:w="954" w:type="pct"/>
            <w:tcBorders>
              <w:top w:val="nil"/>
              <w:bottom w:val="nil"/>
            </w:tcBorders>
            <w:vAlign w:val="center"/>
          </w:tcPr>
          <w:p w14:paraId="314001B2" w14:textId="77777777" w:rsidR="008B2048" w:rsidRPr="008B2048" w:rsidRDefault="008B2048" w:rsidP="008B2048">
            <w:pPr>
              <w:keepNext/>
              <w:spacing w:before="60"/>
              <w:jc w:val="center"/>
              <w:rPr>
                <w:rFonts w:eastAsia="Times New Roman"/>
                <w:lang w:eastAsia="en-US"/>
              </w:rPr>
            </w:pPr>
            <w:r w:rsidRPr="008B2048">
              <w:rPr>
                <w:rFonts w:eastAsia="Times New Roman"/>
                <w:lang w:eastAsia="en-US"/>
              </w:rPr>
              <w:t>1,7</w:t>
            </w:r>
          </w:p>
        </w:tc>
        <w:tc>
          <w:tcPr>
            <w:tcW w:w="576" w:type="pct"/>
            <w:tcBorders>
              <w:top w:val="nil"/>
              <w:bottom w:val="nil"/>
            </w:tcBorders>
            <w:vAlign w:val="center"/>
          </w:tcPr>
          <w:p w14:paraId="7F8DD4E3" w14:textId="77777777" w:rsidR="008B2048" w:rsidRPr="008B2048" w:rsidRDefault="008B2048" w:rsidP="008B2048">
            <w:pPr>
              <w:keepNext/>
              <w:spacing w:before="60"/>
              <w:jc w:val="center"/>
              <w:rPr>
                <w:rFonts w:eastAsia="Times New Roman"/>
                <w:lang w:eastAsia="en-US"/>
              </w:rPr>
            </w:pPr>
            <w:r w:rsidRPr="008B2048">
              <w:rPr>
                <w:rFonts w:eastAsia="Times New Roman"/>
                <w:lang w:eastAsia="en-US"/>
              </w:rPr>
              <w:t>-0,9</w:t>
            </w:r>
          </w:p>
        </w:tc>
      </w:tr>
      <w:tr w:rsidR="008B2048" w:rsidRPr="008B2048" w14:paraId="28AB5876" w14:textId="77777777" w:rsidTr="00B23F48">
        <w:trPr>
          <w:jc w:val="center"/>
        </w:trPr>
        <w:tc>
          <w:tcPr>
            <w:tcW w:w="1941" w:type="pct"/>
            <w:tcBorders>
              <w:top w:val="nil"/>
            </w:tcBorders>
            <w:vAlign w:val="center"/>
          </w:tcPr>
          <w:p w14:paraId="7FCEC18D" w14:textId="77777777" w:rsidR="008B2048" w:rsidRPr="008B2048" w:rsidRDefault="008B2048" w:rsidP="008B2048">
            <w:pPr>
              <w:keepNext/>
              <w:numPr>
                <w:ilvl w:val="0"/>
                <w:numId w:val="11"/>
              </w:numPr>
              <w:spacing w:before="60"/>
              <w:rPr>
                <w:rFonts w:eastAsia="Times New Roman"/>
                <w:lang w:eastAsia="en-US"/>
              </w:rPr>
            </w:pPr>
            <w:r w:rsidRPr="008B2048">
              <w:rPr>
                <w:rFonts w:eastAsia="Times New Roman"/>
                <w:lang w:eastAsia="en-US"/>
              </w:rPr>
              <w:t xml:space="preserve">Modificarea stocurilor </w:t>
            </w:r>
          </w:p>
        </w:tc>
        <w:tc>
          <w:tcPr>
            <w:tcW w:w="954" w:type="pct"/>
            <w:tcBorders>
              <w:top w:val="nil"/>
            </w:tcBorders>
            <w:vAlign w:val="center"/>
          </w:tcPr>
          <w:p w14:paraId="39E43D87" w14:textId="77777777" w:rsidR="008B2048" w:rsidRPr="008B2048" w:rsidRDefault="008B2048" w:rsidP="008B2048">
            <w:pPr>
              <w:keepNext/>
              <w:spacing w:before="60"/>
              <w:jc w:val="center"/>
              <w:rPr>
                <w:rFonts w:eastAsia="Times New Roman"/>
                <w:lang w:eastAsia="en-US"/>
              </w:rPr>
            </w:pPr>
            <w:r w:rsidRPr="008B2048">
              <w:rPr>
                <w:rFonts w:eastAsia="Times New Roman"/>
                <w:lang w:eastAsia="en-US"/>
              </w:rPr>
              <w:t>-2,2</w:t>
            </w:r>
          </w:p>
        </w:tc>
        <w:tc>
          <w:tcPr>
            <w:tcW w:w="576" w:type="pct"/>
            <w:tcBorders>
              <w:top w:val="nil"/>
            </w:tcBorders>
            <w:vAlign w:val="center"/>
          </w:tcPr>
          <w:p w14:paraId="04192EE6" w14:textId="77777777" w:rsidR="008B2048" w:rsidRPr="008B2048" w:rsidRDefault="008B2048" w:rsidP="008B2048">
            <w:pPr>
              <w:keepNext/>
              <w:spacing w:before="60"/>
              <w:jc w:val="center"/>
              <w:rPr>
                <w:rFonts w:eastAsia="Times New Roman"/>
                <w:lang w:eastAsia="en-US"/>
              </w:rPr>
            </w:pPr>
            <w:r w:rsidRPr="008B2048">
              <w:rPr>
                <w:rFonts w:eastAsia="Times New Roman"/>
                <w:lang w:eastAsia="en-US"/>
              </w:rPr>
              <w:t>-4,4</w:t>
            </w:r>
          </w:p>
        </w:tc>
        <w:tc>
          <w:tcPr>
            <w:tcW w:w="954" w:type="pct"/>
            <w:tcBorders>
              <w:top w:val="nil"/>
            </w:tcBorders>
            <w:vAlign w:val="center"/>
          </w:tcPr>
          <w:p w14:paraId="5528F2A3" w14:textId="77777777" w:rsidR="008B2048" w:rsidRPr="008B2048" w:rsidRDefault="008B2048" w:rsidP="008B2048">
            <w:pPr>
              <w:keepNext/>
              <w:spacing w:before="60"/>
              <w:jc w:val="center"/>
              <w:rPr>
                <w:rFonts w:eastAsia="Times New Roman"/>
                <w:lang w:eastAsia="en-US"/>
              </w:rPr>
            </w:pPr>
            <w:r w:rsidRPr="008B2048">
              <w:rPr>
                <w:rFonts w:eastAsia="Times New Roman"/>
                <w:lang w:eastAsia="en-US"/>
              </w:rPr>
              <w:t>-0,2</w:t>
            </w:r>
          </w:p>
        </w:tc>
        <w:tc>
          <w:tcPr>
            <w:tcW w:w="576" w:type="pct"/>
            <w:tcBorders>
              <w:top w:val="nil"/>
            </w:tcBorders>
            <w:vAlign w:val="center"/>
          </w:tcPr>
          <w:p w14:paraId="1EF14330" w14:textId="77777777" w:rsidR="008B2048" w:rsidRPr="008B2048" w:rsidRDefault="008B2048" w:rsidP="008B2048">
            <w:pPr>
              <w:keepNext/>
              <w:spacing w:before="60"/>
              <w:jc w:val="center"/>
              <w:rPr>
                <w:rFonts w:eastAsia="Times New Roman"/>
                <w:lang w:eastAsia="en-US"/>
              </w:rPr>
            </w:pPr>
            <w:r w:rsidRPr="008B2048">
              <w:rPr>
                <w:rFonts w:eastAsia="Times New Roman"/>
                <w:lang w:eastAsia="en-US"/>
              </w:rPr>
              <w:t>0,8</w:t>
            </w:r>
          </w:p>
        </w:tc>
      </w:tr>
      <w:tr w:rsidR="008B2048" w:rsidRPr="008B2048" w14:paraId="0BADFD06" w14:textId="77777777" w:rsidTr="00B23F48">
        <w:trPr>
          <w:jc w:val="center"/>
        </w:trPr>
        <w:tc>
          <w:tcPr>
            <w:tcW w:w="1941" w:type="pct"/>
            <w:tcBorders>
              <w:bottom w:val="nil"/>
            </w:tcBorders>
            <w:vAlign w:val="center"/>
          </w:tcPr>
          <w:p w14:paraId="506D8068" w14:textId="77777777" w:rsidR="008B2048" w:rsidRPr="008B2048" w:rsidRDefault="008B2048" w:rsidP="008B2048">
            <w:pPr>
              <w:keepNext/>
              <w:spacing w:before="60"/>
              <w:rPr>
                <w:rFonts w:eastAsia="Times New Roman"/>
                <w:b/>
                <w:bCs/>
                <w:lang w:eastAsia="en-US"/>
              </w:rPr>
            </w:pPr>
            <w:r w:rsidRPr="008B2048">
              <w:rPr>
                <w:rFonts w:eastAsia="Times New Roman"/>
                <w:b/>
                <w:bCs/>
                <w:lang w:eastAsia="en-US"/>
              </w:rPr>
              <w:t xml:space="preserve">Exportul net </w:t>
            </w:r>
          </w:p>
        </w:tc>
        <w:tc>
          <w:tcPr>
            <w:tcW w:w="954" w:type="pct"/>
            <w:tcBorders>
              <w:bottom w:val="nil"/>
            </w:tcBorders>
            <w:vAlign w:val="center"/>
          </w:tcPr>
          <w:p w14:paraId="13E3F1F2" w14:textId="77777777" w:rsidR="008B2048" w:rsidRPr="008B2048" w:rsidRDefault="008B2048" w:rsidP="008B2048">
            <w:pPr>
              <w:keepNext/>
              <w:spacing w:before="60"/>
              <w:jc w:val="center"/>
              <w:rPr>
                <w:rFonts w:eastAsia="Times New Roman"/>
                <w:b/>
                <w:bCs/>
                <w:lang w:eastAsia="en-US"/>
              </w:rPr>
            </w:pPr>
            <w:r w:rsidRPr="008B2048">
              <w:rPr>
                <w:rFonts w:eastAsia="Times New Roman"/>
                <w:b/>
                <w:bCs/>
                <w:lang w:eastAsia="en-US"/>
              </w:rPr>
              <w:t>0,6</w:t>
            </w:r>
          </w:p>
        </w:tc>
        <w:tc>
          <w:tcPr>
            <w:tcW w:w="576" w:type="pct"/>
            <w:tcBorders>
              <w:bottom w:val="nil"/>
            </w:tcBorders>
            <w:vAlign w:val="center"/>
          </w:tcPr>
          <w:p w14:paraId="2AC5946D" w14:textId="77777777" w:rsidR="008B2048" w:rsidRPr="008B2048" w:rsidRDefault="008B2048" w:rsidP="008B2048">
            <w:pPr>
              <w:keepNext/>
              <w:spacing w:before="60"/>
              <w:jc w:val="center"/>
              <w:rPr>
                <w:rFonts w:eastAsia="Times New Roman"/>
                <w:b/>
                <w:bCs/>
                <w:lang w:eastAsia="en-US"/>
              </w:rPr>
            </w:pPr>
            <w:r w:rsidRPr="008B2048">
              <w:rPr>
                <w:rFonts w:eastAsia="Times New Roman"/>
                <w:b/>
                <w:bCs/>
                <w:lang w:eastAsia="en-US"/>
              </w:rPr>
              <w:t>0,2</w:t>
            </w:r>
          </w:p>
        </w:tc>
        <w:tc>
          <w:tcPr>
            <w:tcW w:w="954" w:type="pct"/>
            <w:tcBorders>
              <w:bottom w:val="nil"/>
            </w:tcBorders>
            <w:vAlign w:val="center"/>
          </w:tcPr>
          <w:p w14:paraId="78DBE652" w14:textId="77777777" w:rsidR="008B2048" w:rsidRPr="008B2048" w:rsidRDefault="008B2048" w:rsidP="008B2048">
            <w:pPr>
              <w:keepNext/>
              <w:spacing w:before="60"/>
              <w:jc w:val="center"/>
              <w:rPr>
                <w:rFonts w:eastAsia="Times New Roman"/>
                <w:b/>
                <w:bCs/>
                <w:lang w:eastAsia="en-US"/>
              </w:rPr>
            </w:pPr>
            <w:r w:rsidRPr="008B2048">
              <w:rPr>
                <w:rFonts w:eastAsia="Times New Roman"/>
                <w:b/>
                <w:bCs/>
                <w:lang w:eastAsia="en-US"/>
              </w:rPr>
              <w:t>-0,7</w:t>
            </w:r>
          </w:p>
        </w:tc>
        <w:tc>
          <w:tcPr>
            <w:tcW w:w="576" w:type="pct"/>
            <w:tcBorders>
              <w:bottom w:val="nil"/>
            </w:tcBorders>
            <w:vAlign w:val="center"/>
          </w:tcPr>
          <w:p w14:paraId="271FD7FE" w14:textId="77777777" w:rsidR="008B2048" w:rsidRPr="008B2048" w:rsidRDefault="008B2048" w:rsidP="008B2048">
            <w:pPr>
              <w:keepNext/>
              <w:spacing w:before="60"/>
              <w:jc w:val="center"/>
              <w:rPr>
                <w:rFonts w:eastAsia="Times New Roman"/>
                <w:b/>
                <w:bCs/>
                <w:lang w:eastAsia="en-US"/>
              </w:rPr>
            </w:pPr>
            <w:r w:rsidRPr="008B2048">
              <w:rPr>
                <w:rFonts w:eastAsia="Times New Roman"/>
                <w:b/>
                <w:bCs/>
                <w:lang w:eastAsia="en-US"/>
              </w:rPr>
              <w:t>-2,9</w:t>
            </w:r>
          </w:p>
        </w:tc>
      </w:tr>
      <w:tr w:rsidR="008B2048" w:rsidRPr="008B2048" w14:paraId="0B490766" w14:textId="77777777" w:rsidTr="00B23F48">
        <w:trPr>
          <w:jc w:val="center"/>
        </w:trPr>
        <w:tc>
          <w:tcPr>
            <w:tcW w:w="1941" w:type="pct"/>
            <w:tcBorders>
              <w:top w:val="nil"/>
              <w:bottom w:val="nil"/>
            </w:tcBorders>
            <w:vAlign w:val="center"/>
          </w:tcPr>
          <w:p w14:paraId="2CD0892D" w14:textId="77777777" w:rsidR="008B2048" w:rsidRPr="008B2048" w:rsidRDefault="008B2048" w:rsidP="008B2048">
            <w:pPr>
              <w:keepNext/>
              <w:spacing w:before="60"/>
              <w:rPr>
                <w:rFonts w:eastAsia="Times New Roman"/>
                <w:lang w:eastAsia="en-US"/>
              </w:rPr>
            </w:pPr>
            <w:r w:rsidRPr="008B2048">
              <w:rPr>
                <w:rFonts w:eastAsia="Times New Roman"/>
                <w:lang w:eastAsia="en-US"/>
              </w:rPr>
              <w:t xml:space="preserve">  - Exportul de bunuri şi servicii</w:t>
            </w:r>
          </w:p>
        </w:tc>
        <w:tc>
          <w:tcPr>
            <w:tcW w:w="954" w:type="pct"/>
            <w:tcBorders>
              <w:top w:val="nil"/>
              <w:bottom w:val="nil"/>
            </w:tcBorders>
            <w:vAlign w:val="center"/>
          </w:tcPr>
          <w:p w14:paraId="572B4D73" w14:textId="77777777" w:rsidR="008B2048" w:rsidRPr="008B2048" w:rsidRDefault="008B2048" w:rsidP="008B2048">
            <w:pPr>
              <w:keepNext/>
              <w:spacing w:before="60"/>
              <w:jc w:val="center"/>
              <w:rPr>
                <w:rFonts w:eastAsia="Times New Roman"/>
                <w:lang w:eastAsia="en-US"/>
              </w:rPr>
            </w:pPr>
            <w:r w:rsidRPr="008B2048">
              <w:rPr>
                <w:rFonts w:eastAsia="Times New Roman"/>
                <w:lang w:eastAsia="en-US"/>
              </w:rPr>
              <w:t>0,3</w:t>
            </w:r>
          </w:p>
        </w:tc>
        <w:tc>
          <w:tcPr>
            <w:tcW w:w="576" w:type="pct"/>
            <w:tcBorders>
              <w:top w:val="nil"/>
              <w:bottom w:val="nil"/>
            </w:tcBorders>
            <w:vAlign w:val="center"/>
          </w:tcPr>
          <w:p w14:paraId="33472745" w14:textId="77777777" w:rsidR="008B2048" w:rsidRPr="008B2048" w:rsidRDefault="008B2048" w:rsidP="008B2048">
            <w:pPr>
              <w:keepNext/>
              <w:spacing w:before="60"/>
              <w:jc w:val="center"/>
              <w:rPr>
                <w:rFonts w:eastAsia="Times New Roman"/>
                <w:lang w:eastAsia="en-US"/>
              </w:rPr>
            </w:pPr>
            <w:r w:rsidRPr="008B2048">
              <w:rPr>
                <w:rFonts w:eastAsia="Times New Roman"/>
                <w:lang w:eastAsia="en-US"/>
              </w:rPr>
              <w:t>-0,3</w:t>
            </w:r>
          </w:p>
        </w:tc>
        <w:tc>
          <w:tcPr>
            <w:tcW w:w="954" w:type="pct"/>
            <w:tcBorders>
              <w:top w:val="nil"/>
              <w:bottom w:val="nil"/>
            </w:tcBorders>
            <w:vAlign w:val="center"/>
          </w:tcPr>
          <w:p w14:paraId="4BBA4A86" w14:textId="77777777" w:rsidR="008B2048" w:rsidRPr="008B2048" w:rsidRDefault="008B2048" w:rsidP="008B2048">
            <w:pPr>
              <w:keepNext/>
              <w:spacing w:before="60"/>
              <w:jc w:val="center"/>
              <w:rPr>
                <w:rFonts w:eastAsia="Times New Roman"/>
                <w:lang w:eastAsia="en-US"/>
              </w:rPr>
            </w:pPr>
            <w:r w:rsidRPr="008B2048">
              <w:rPr>
                <w:rFonts w:eastAsia="Times New Roman"/>
                <w:lang w:eastAsia="en-US"/>
              </w:rPr>
              <w:t>1,4</w:t>
            </w:r>
          </w:p>
        </w:tc>
        <w:tc>
          <w:tcPr>
            <w:tcW w:w="576" w:type="pct"/>
            <w:tcBorders>
              <w:top w:val="nil"/>
              <w:bottom w:val="nil"/>
            </w:tcBorders>
            <w:vAlign w:val="center"/>
          </w:tcPr>
          <w:p w14:paraId="44C9C2F5" w14:textId="77777777" w:rsidR="008B2048" w:rsidRPr="008B2048" w:rsidRDefault="008B2048" w:rsidP="008B2048">
            <w:pPr>
              <w:keepNext/>
              <w:spacing w:before="60"/>
              <w:jc w:val="center"/>
              <w:rPr>
                <w:rFonts w:eastAsia="Times New Roman"/>
                <w:lang w:eastAsia="en-US"/>
              </w:rPr>
            </w:pPr>
            <w:r w:rsidRPr="008B2048">
              <w:rPr>
                <w:rFonts w:eastAsia="Times New Roman"/>
                <w:lang w:eastAsia="en-US"/>
              </w:rPr>
              <w:t>-1,2</w:t>
            </w:r>
          </w:p>
        </w:tc>
      </w:tr>
      <w:tr w:rsidR="008B2048" w:rsidRPr="008B2048" w14:paraId="4342103C" w14:textId="77777777" w:rsidTr="00B23F48">
        <w:trPr>
          <w:jc w:val="center"/>
        </w:trPr>
        <w:tc>
          <w:tcPr>
            <w:tcW w:w="1941" w:type="pct"/>
            <w:tcBorders>
              <w:top w:val="nil"/>
            </w:tcBorders>
            <w:vAlign w:val="center"/>
          </w:tcPr>
          <w:p w14:paraId="0BAD9818" w14:textId="77777777" w:rsidR="008B2048" w:rsidRPr="008B2048" w:rsidRDefault="008B2048" w:rsidP="008B2048">
            <w:pPr>
              <w:keepNext/>
              <w:spacing w:before="60"/>
              <w:rPr>
                <w:rFonts w:eastAsia="Times New Roman"/>
                <w:lang w:eastAsia="en-US"/>
              </w:rPr>
            </w:pPr>
            <w:r w:rsidRPr="008B2048">
              <w:rPr>
                <w:rFonts w:eastAsia="Times New Roman"/>
                <w:lang w:eastAsia="en-US"/>
              </w:rPr>
              <w:t xml:space="preserve">  - Importul de bunuri şi servicii</w:t>
            </w:r>
          </w:p>
        </w:tc>
        <w:tc>
          <w:tcPr>
            <w:tcW w:w="954" w:type="pct"/>
            <w:tcBorders>
              <w:top w:val="nil"/>
            </w:tcBorders>
            <w:vAlign w:val="center"/>
          </w:tcPr>
          <w:p w14:paraId="1DB08180" w14:textId="77777777" w:rsidR="008B2048" w:rsidRPr="008B2048" w:rsidRDefault="008B2048" w:rsidP="008B2048">
            <w:pPr>
              <w:keepNext/>
              <w:spacing w:before="60"/>
              <w:jc w:val="center"/>
              <w:rPr>
                <w:rFonts w:eastAsia="Times New Roman"/>
                <w:lang w:eastAsia="en-US"/>
              </w:rPr>
            </w:pPr>
            <w:r w:rsidRPr="008B2048">
              <w:rPr>
                <w:rFonts w:eastAsia="Times New Roman"/>
                <w:lang w:eastAsia="en-US"/>
              </w:rPr>
              <w:t>-0,3</w:t>
            </w:r>
          </w:p>
        </w:tc>
        <w:tc>
          <w:tcPr>
            <w:tcW w:w="576" w:type="pct"/>
            <w:tcBorders>
              <w:top w:val="nil"/>
            </w:tcBorders>
            <w:vAlign w:val="center"/>
          </w:tcPr>
          <w:p w14:paraId="1764C87F" w14:textId="77777777" w:rsidR="008B2048" w:rsidRPr="008B2048" w:rsidRDefault="008B2048" w:rsidP="008B2048">
            <w:pPr>
              <w:keepNext/>
              <w:spacing w:before="60"/>
              <w:jc w:val="center"/>
              <w:rPr>
                <w:rFonts w:eastAsia="Times New Roman"/>
                <w:lang w:eastAsia="en-US"/>
              </w:rPr>
            </w:pPr>
            <w:r w:rsidRPr="008B2048">
              <w:rPr>
                <w:rFonts w:eastAsia="Times New Roman"/>
                <w:lang w:eastAsia="en-US"/>
              </w:rPr>
              <w:t>-0,6</w:t>
            </w:r>
          </w:p>
        </w:tc>
        <w:tc>
          <w:tcPr>
            <w:tcW w:w="954" w:type="pct"/>
            <w:tcBorders>
              <w:top w:val="nil"/>
            </w:tcBorders>
            <w:vAlign w:val="center"/>
          </w:tcPr>
          <w:p w14:paraId="106C5E12" w14:textId="77777777" w:rsidR="008B2048" w:rsidRPr="008B2048" w:rsidRDefault="008B2048" w:rsidP="008B2048">
            <w:pPr>
              <w:keepNext/>
              <w:spacing w:before="60"/>
              <w:jc w:val="center"/>
              <w:rPr>
                <w:rFonts w:eastAsia="Times New Roman"/>
                <w:lang w:eastAsia="en-US"/>
              </w:rPr>
            </w:pPr>
            <w:r w:rsidRPr="008B2048">
              <w:rPr>
                <w:rFonts w:eastAsia="Times New Roman"/>
                <w:lang w:eastAsia="en-US"/>
              </w:rPr>
              <w:t>2,1</w:t>
            </w:r>
          </w:p>
        </w:tc>
        <w:tc>
          <w:tcPr>
            <w:tcW w:w="576" w:type="pct"/>
            <w:tcBorders>
              <w:top w:val="nil"/>
            </w:tcBorders>
            <w:vAlign w:val="center"/>
          </w:tcPr>
          <w:p w14:paraId="28619947" w14:textId="77777777" w:rsidR="008B2048" w:rsidRPr="008B2048" w:rsidRDefault="008B2048" w:rsidP="008B2048">
            <w:pPr>
              <w:keepNext/>
              <w:spacing w:before="60"/>
              <w:jc w:val="center"/>
              <w:rPr>
                <w:rFonts w:eastAsia="Times New Roman"/>
                <w:lang w:eastAsia="en-US"/>
              </w:rPr>
            </w:pPr>
            <w:r w:rsidRPr="008B2048">
              <w:rPr>
                <w:rFonts w:eastAsia="Times New Roman"/>
                <w:lang w:eastAsia="en-US"/>
              </w:rPr>
              <w:t>1,7</w:t>
            </w:r>
          </w:p>
        </w:tc>
      </w:tr>
      <w:tr w:rsidR="008B2048" w:rsidRPr="008B2048" w14:paraId="4FFC751F" w14:textId="77777777" w:rsidTr="00B23F48">
        <w:trPr>
          <w:jc w:val="center"/>
        </w:trPr>
        <w:tc>
          <w:tcPr>
            <w:tcW w:w="1941" w:type="pct"/>
            <w:vAlign w:val="center"/>
          </w:tcPr>
          <w:p w14:paraId="5875A6A9" w14:textId="77777777" w:rsidR="008B2048" w:rsidRPr="008B2048" w:rsidRDefault="008B2048" w:rsidP="008B2048">
            <w:pPr>
              <w:keepNext/>
              <w:spacing w:before="60"/>
              <w:rPr>
                <w:rFonts w:eastAsia="Times New Roman"/>
                <w:b/>
                <w:bCs/>
                <w:lang w:eastAsia="en-US"/>
              </w:rPr>
            </w:pPr>
            <w:r w:rsidRPr="008B2048">
              <w:rPr>
                <w:rFonts w:eastAsia="Times New Roman"/>
                <w:b/>
                <w:bCs/>
                <w:lang w:eastAsia="en-US"/>
              </w:rPr>
              <w:t>PRODUSUL INTERN BRUT</w:t>
            </w:r>
          </w:p>
        </w:tc>
        <w:tc>
          <w:tcPr>
            <w:tcW w:w="954" w:type="pct"/>
            <w:vAlign w:val="center"/>
          </w:tcPr>
          <w:p w14:paraId="34878B92" w14:textId="77777777" w:rsidR="008B2048" w:rsidRPr="008B2048" w:rsidRDefault="008B2048" w:rsidP="008B2048">
            <w:pPr>
              <w:keepNext/>
              <w:spacing w:before="60"/>
              <w:jc w:val="center"/>
              <w:rPr>
                <w:rFonts w:eastAsia="Times New Roman"/>
                <w:b/>
                <w:bCs/>
                <w:lang w:eastAsia="en-US"/>
              </w:rPr>
            </w:pPr>
            <w:r w:rsidRPr="008B2048">
              <w:rPr>
                <w:rFonts w:eastAsia="Times New Roman"/>
                <w:b/>
                <w:bCs/>
                <w:lang w:eastAsia="en-US"/>
              </w:rPr>
              <w:t>2,0</w:t>
            </w:r>
          </w:p>
        </w:tc>
        <w:tc>
          <w:tcPr>
            <w:tcW w:w="576" w:type="pct"/>
            <w:vAlign w:val="center"/>
          </w:tcPr>
          <w:p w14:paraId="4F022246" w14:textId="77777777" w:rsidR="008B2048" w:rsidRPr="008B2048" w:rsidRDefault="008B2048" w:rsidP="008B2048">
            <w:pPr>
              <w:keepNext/>
              <w:spacing w:before="60"/>
              <w:jc w:val="center"/>
              <w:rPr>
                <w:rFonts w:eastAsia="Times New Roman"/>
                <w:b/>
                <w:bCs/>
                <w:lang w:eastAsia="en-US"/>
              </w:rPr>
            </w:pPr>
            <w:r w:rsidRPr="008B2048">
              <w:rPr>
                <w:rFonts w:eastAsia="Times New Roman"/>
                <w:b/>
                <w:bCs/>
                <w:lang w:eastAsia="en-US"/>
              </w:rPr>
              <w:t>2,4</w:t>
            </w:r>
          </w:p>
        </w:tc>
        <w:tc>
          <w:tcPr>
            <w:tcW w:w="954" w:type="pct"/>
            <w:vAlign w:val="center"/>
          </w:tcPr>
          <w:p w14:paraId="1FE9C726" w14:textId="77777777" w:rsidR="008B2048" w:rsidRPr="008B2048" w:rsidRDefault="008B2048" w:rsidP="008B2048">
            <w:pPr>
              <w:keepNext/>
              <w:spacing w:before="60"/>
              <w:jc w:val="center"/>
              <w:rPr>
                <w:rFonts w:eastAsia="Times New Roman"/>
                <w:b/>
                <w:bCs/>
                <w:lang w:eastAsia="en-US"/>
              </w:rPr>
            </w:pPr>
            <w:r w:rsidRPr="008B2048">
              <w:rPr>
                <w:rFonts w:eastAsia="Times New Roman"/>
                <w:b/>
                <w:bCs/>
                <w:lang w:eastAsia="en-US"/>
              </w:rPr>
              <w:t>3,4</w:t>
            </w:r>
          </w:p>
        </w:tc>
        <w:tc>
          <w:tcPr>
            <w:tcW w:w="576" w:type="pct"/>
            <w:vAlign w:val="center"/>
          </w:tcPr>
          <w:p w14:paraId="6689CFF9" w14:textId="77777777" w:rsidR="008B2048" w:rsidRPr="008B2048" w:rsidRDefault="008B2048" w:rsidP="008B2048">
            <w:pPr>
              <w:keepNext/>
              <w:spacing w:before="60"/>
              <w:jc w:val="center"/>
              <w:rPr>
                <w:rFonts w:eastAsia="Times New Roman"/>
                <w:b/>
                <w:bCs/>
                <w:lang w:eastAsia="en-US"/>
              </w:rPr>
            </w:pPr>
            <w:r w:rsidRPr="008B2048">
              <w:rPr>
                <w:rFonts w:eastAsia="Times New Roman"/>
                <w:b/>
                <w:bCs/>
                <w:lang w:eastAsia="en-US"/>
              </w:rPr>
              <w:t>0,8</w:t>
            </w:r>
          </w:p>
        </w:tc>
      </w:tr>
      <w:tr w:rsidR="008B2048" w:rsidRPr="008B2048" w14:paraId="738895C8" w14:textId="77777777" w:rsidTr="00B23F48">
        <w:trPr>
          <w:jc w:val="center"/>
        </w:trPr>
        <w:tc>
          <w:tcPr>
            <w:tcW w:w="1941" w:type="pct"/>
            <w:tcBorders>
              <w:bottom w:val="nil"/>
            </w:tcBorders>
            <w:vAlign w:val="bottom"/>
          </w:tcPr>
          <w:p w14:paraId="23261528" w14:textId="77777777" w:rsidR="008B2048" w:rsidRPr="008B2048" w:rsidRDefault="008B2048" w:rsidP="008B2048">
            <w:pPr>
              <w:keepNext/>
              <w:spacing w:before="60"/>
              <w:rPr>
                <w:rFonts w:eastAsia="Times New Roman"/>
                <w:lang w:eastAsia="en-US"/>
              </w:rPr>
            </w:pPr>
            <w:r w:rsidRPr="008B2048">
              <w:rPr>
                <w:rFonts w:eastAsia="Times New Roman"/>
                <w:lang w:eastAsia="en-US"/>
              </w:rPr>
              <w:t>- Industrie</w:t>
            </w:r>
          </w:p>
        </w:tc>
        <w:tc>
          <w:tcPr>
            <w:tcW w:w="954" w:type="pct"/>
            <w:tcBorders>
              <w:bottom w:val="nil"/>
            </w:tcBorders>
          </w:tcPr>
          <w:p w14:paraId="070672C8" w14:textId="77777777" w:rsidR="008B2048" w:rsidRPr="008B2048" w:rsidRDefault="008B2048" w:rsidP="008B2048">
            <w:pPr>
              <w:keepNext/>
              <w:spacing w:before="60"/>
              <w:jc w:val="center"/>
              <w:rPr>
                <w:rFonts w:eastAsia="Times New Roman"/>
                <w:lang w:eastAsia="en-US"/>
              </w:rPr>
            </w:pPr>
            <w:r w:rsidRPr="008B2048">
              <w:rPr>
                <w:rFonts w:eastAsia="Times New Roman"/>
                <w:lang w:eastAsia="en-US"/>
              </w:rPr>
              <w:t>-0,7</w:t>
            </w:r>
          </w:p>
        </w:tc>
        <w:tc>
          <w:tcPr>
            <w:tcW w:w="576" w:type="pct"/>
            <w:tcBorders>
              <w:bottom w:val="nil"/>
            </w:tcBorders>
          </w:tcPr>
          <w:p w14:paraId="1D6E0E91" w14:textId="77777777" w:rsidR="008B2048" w:rsidRPr="008B2048" w:rsidRDefault="008B2048" w:rsidP="008B2048">
            <w:pPr>
              <w:keepNext/>
              <w:spacing w:before="60"/>
              <w:jc w:val="center"/>
              <w:rPr>
                <w:rFonts w:eastAsia="Times New Roman"/>
                <w:bCs/>
                <w:lang w:eastAsia="en-US"/>
              </w:rPr>
            </w:pPr>
            <w:r w:rsidRPr="008B2048">
              <w:rPr>
                <w:rFonts w:eastAsia="Times New Roman"/>
                <w:bCs/>
                <w:lang w:eastAsia="en-US"/>
              </w:rPr>
              <w:t>-0,5</w:t>
            </w:r>
          </w:p>
        </w:tc>
        <w:tc>
          <w:tcPr>
            <w:tcW w:w="954" w:type="pct"/>
            <w:tcBorders>
              <w:bottom w:val="nil"/>
            </w:tcBorders>
          </w:tcPr>
          <w:p w14:paraId="22319516" w14:textId="77777777" w:rsidR="008B2048" w:rsidRPr="008B2048" w:rsidRDefault="008B2048" w:rsidP="008B2048">
            <w:pPr>
              <w:keepNext/>
              <w:spacing w:before="60"/>
              <w:jc w:val="center"/>
              <w:rPr>
                <w:rFonts w:eastAsia="Times New Roman"/>
                <w:lang w:eastAsia="en-US"/>
              </w:rPr>
            </w:pPr>
            <w:r w:rsidRPr="008B2048">
              <w:rPr>
                <w:rFonts w:eastAsia="Times New Roman"/>
                <w:lang w:eastAsia="en-US"/>
              </w:rPr>
              <w:t>0,2</w:t>
            </w:r>
          </w:p>
        </w:tc>
        <w:tc>
          <w:tcPr>
            <w:tcW w:w="576" w:type="pct"/>
            <w:tcBorders>
              <w:bottom w:val="nil"/>
            </w:tcBorders>
          </w:tcPr>
          <w:p w14:paraId="6331409C" w14:textId="77777777" w:rsidR="008B2048" w:rsidRPr="008B2048" w:rsidRDefault="008B2048" w:rsidP="008B2048">
            <w:pPr>
              <w:keepNext/>
              <w:spacing w:before="60"/>
              <w:jc w:val="center"/>
              <w:rPr>
                <w:rFonts w:eastAsia="Times New Roman"/>
                <w:lang w:eastAsia="en-US"/>
              </w:rPr>
            </w:pPr>
            <w:r w:rsidRPr="008B2048">
              <w:rPr>
                <w:rFonts w:eastAsia="Times New Roman"/>
                <w:lang w:eastAsia="en-US"/>
              </w:rPr>
              <w:t>0,0</w:t>
            </w:r>
          </w:p>
        </w:tc>
      </w:tr>
      <w:tr w:rsidR="008B2048" w:rsidRPr="008B2048" w14:paraId="708355FF" w14:textId="77777777" w:rsidTr="00B23F48">
        <w:trPr>
          <w:jc w:val="center"/>
        </w:trPr>
        <w:tc>
          <w:tcPr>
            <w:tcW w:w="1941" w:type="pct"/>
            <w:tcBorders>
              <w:top w:val="nil"/>
              <w:bottom w:val="nil"/>
            </w:tcBorders>
            <w:vAlign w:val="bottom"/>
          </w:tcPr>
          <w:p w14:paraId="59E71630" w14:textId="77777777" w:rsidR="008B2048" w:rsidRPr="008B2048" w:rsidRDefault="008B2048" w:rsidP="008B2048">
            <w:pPr>
              <w:keepNext/>
              <w:spacing w:before="60"/>
              <w:rPr>
                <w:rFonts w:eastAsia="Times New Roman"/>
                <w:lang w:eastAsia="en-US"/>
              </w:rPr>
            </w:pPr>
            <w:r w:rsidRPr="008B2048">
              <w:rPr>
                <w:rFonts w:eastAsia="Times New Roman"/>
                <w:lang w:eastAsia="en-US"/>
              </w:rPr>
              <w:t>- Agricultură, silvicultură, pescuit</w:t>
            </w:r>
          </w:p>
        </w:tc>
        <w:tc>
          <w:tcPr>
            <w:tcW w:w="954" w:type="pct"/>
            <w:tcBorders>
              <w:top w:val="nil"/>
              <w:bottom w:val="nil"/>
            </w:tcBorders>
          </w:tcPr>
          <w:p w14:paraId="114B0515" w14:textId="77777777" w:rsidR="008B2048" w:rsidRPr="008B2048" w:rsidRDefault="008B2048" w:rsidP="008B2048">
            <w:pPr>
              <w:keepNext/>
              <w:spacing w:before="60"/>
              <w:jc w:val="center"/>
              <w:rPr>
                <w:rFonts w:eastAsia="Times New Roman"/>
                <w:lang w:eastAsia="en-US"/>
              </w:rPr>
            </w:pPr>
            <w:r w:rsidRPr="008B2048">
              <w:rPr>
                <w:rFonts w:eastAsia="Times New Roman"/>
                <w:lang w:eastAsia="en-US"/>
              </w:rPr>
              <w:t>0,1</w:t>
            </w:r>
          </w:p>
        </w:tc>
        <w:tc>
          <w:tcPr>
            <w:tcW w:w="576" w:type="pct"/>
            <w:tcBorders>
              <w:top w:val="nil"/>
              <w:bottom w:val="nil"/>
            </w:tcBorders>
          </w:tcPr>
          <w:p w14:paraId="060EC1B6" w14:textId="77777777" w:rsidR="008B2048" w:rsidRPr="008B2048" w:rsidRDefault="008B2048" w:rsidP="008B2048">
            <w:pPr>
              <w:keepNext/>
              <w:spacing w:before="60"/>
              <w:jc w:val="center"/>
              <w:rPr>
                <w:rFonts w:eastAsia="Times New Roman"/>
                <w:bCs/>
                <w:lang w:eastAsia="en-US"/>
              </w:rPr>
            </w:pPr>
            <w:r w:rsidRPr="008B2048">
              <w:rPr>
                <w:rFonts w:eastAsia="Times New Roman"/>
                <w:bCs/>
                <w:lang w:eastAsia="en-US"/>
              </w:rPr>
              <w:t>0,4</w:t>
            </w:r>
          </w:p>
        </w:tc>
        <w:tc>
          <w:tcPr>
            <w:tcW w:w="954" w:type="pct"/>
            <w:tcBorders>
              <w:top w:val="nil"/>
              <w:bottom w:val="nil"/>
            </w:tcBorders>
          </w:tcPr>
          <w:p w14:paraId="7F2A16BD" w14:textId="77777777" w:rsidR="008B2048" w:rsidRPr="008B2048" w:rsidRDefault="008B2048" w:rsidP="008B2048">
            <w:pPr>
              <w:keepNext/>
              <w:spacing w:before="60"/>
              <w:jc w:val="center"/>
              <w:rPr>
                <w:rFonts w:eastAsia="Times New Roman"/>
                <w:lang w:eastAsia="en-US"/>
              </w:rPr>
            </w:pPr>
            <w:r w:rsidRPr="008B2048">
              <w:rPr>
                <w:rFonts w:eastAsia="Times New Roman"/>
                <w:lang w:eastAsia="en-US"/>
              </w:rPr>
              <w:t>0,2</w:t>
            </w:r>
          </w:p>
        </w:tc>
        <w:tc>
          <w:tcPr>
            <w:tcW w:w="576" w:type="pct"/>
            <w:tcBorders>
              <w:top w:val="nil"/>
              <w:bottom w:val="nil"/>
            </w:tcBorders>
          </w:tcPr>
          <w:p w14:paraId="0CB756A3" w14:textId="77777777" w:rsidR="008B2048" w:rsidRPr="008B2048" w:rsidRDefault="008B2048" w:rsidP="008B2048">
            <w:pPr>
              <w:keepNext/>
              <w:spacing w:before="60"/>
              <w:jc w:val="center"/>
              <w:rPr>
                <w:rFonts w:eastAsia="Times New Roman"/>
                <w:lang w:eastAsia="en-US"/>
              </w:rPr>
            </w:pPr>
            <w:r w:rsidRPr="008B2048">
              <w:rPr>
                <w:rFonts w:eastAsia="Times New Roman"/>
                <w:lang w:eastAsia="en-US"/>
              </w:rPr>
              <w:t>-0,2</w:t>
            </w:r>
          </w:p>
        </w:tc>
      </w:tr>
      <w:tr w:rsidR="008B2048" w:rsidRPr="008B2048" w14:paraId="6EB304A0" w14:textId="77777777" w:rsidTr="00B23F48">
        <w:trPr>
          <w:jc w:val="center"/>
        </w:trPr>
        <w:tc>
          <w:tcPr>
            <w:tcW w:w="1941" w:type="pct"/>
            <w:tcBorders>
              <w:top w:val="nil"/>
              <w:bottom w:val="nil"/>
            </w:tcBorders>
            <w:vAlign w:val="bottom"/>
          </w:tcPr>
          <w:p w14:paraId="79870CF9" w14:textId="77777777" w:rsidR="008B2048" w:rsidRPr="008B2048" w:rsidRDefault="008B2048" w:rsidP="008B2048">
            <w:pPr>
              <w:keepNext/>
              <w:spacing w:before="60"/>
              <w:rPr>
                <w:rFonts w:eastAsia="Times New Roman"/>
                <w:lang w:eastAsia="en-US"/>
              </w:rPr>
            </w:pPr>
            <w:r w:rsidRPr="008B2048">
              <w:rPr>
                <w:rFonts w:eastAsia="Times New Roman"/>
                <w:lang w:eastAsia="en-US"/>
              </w:rPr>
              <w:t>- Construcţii</w:t>
            </w:r>
          </w:p>
        </w:tc>
        <w:tc>
          <w:tcPr>
            <w:tcW w:w="954" w:type="pct"/>
            <w:tcBorders>
              <w:top w:val="nil"/>
              <w:bottom w:val="nil"/>
            </w:tcBorders>
          </w:tcPr>
          <w:p w14:paraId="4D0997AE" w14:textId="77777777" w:rsidR="008B2048" w:rsidRPr="008B2048" w:rsidRDefault="008B2048" w:rsidP="008B2048">
            <w:pPr>
              <w:keepNext/>
              <w:spacing w:before="60"/>
              <w:jc w:val="center"/>
              <w:rPr>
                <w:rFonts w:eastAsia="Times New Roman"/>
                <w:lang w:eastAsia="en-US"/>
              </w:rPr>
            </w:pPr>
            <w:r w:rsidRPr="008B2048">
              <w:rPr>
                <w:rFonts w:eastAsia="Times New Roman"/>
                <w:lang w:eastAsia="en-US"/>
              </w:rPr>
              <w:t>0,5</w:t>
            </w:r>
          </w:p>
        </w:tc>
        <w:tc>
          <w:tcPr>
            <w:tcW w:w="576" w:type="pct"/>
            <w:tcBorders>
              <w:top w:val="nil"/>
              <w:bottom w:val="nil"/>
            </w:tcBorders>
          </w:tcPr>
          <w:p w14:paraId="040CC55B" w14:textId="77777777" w:rsidR="008B2048" w:rsidRPr="008B2048" w:rsidRDefault="008B2048" w:rsidP="008B2048">
            <w:pPr>
              <w:keepNext/>
              <w:spacing w:before="60"/>
              <w:jc w:val="center"/>
              <w:rPr>
                <w:rFonts w:eastAsia="Times New Roman"/>
                <w:bCs/>
                <w:lang w:eastAsia="en-US"/>
              </w:rPr>
            </w:pPr>
            <w:r w:rsidRPr="008B2048">
              <w:rPr>
                <w:rFonts w:eastAsia="Times New Roman"/>
                <w:bCs/>
                <w:lang w:eastAsia="en-US"/>
              </w:rPr>
              <w:t>0,8</w:t>
            </w:r>
          </w:p>
        </w:tc>
        <w:tc>
          <w:tcPr>
            <w:tcW w:w="954" w:type="pct"/>
            <w:tcBorders>
              <w:top w:val="nil"/>
              <w:bottom w:val="nil"/>
            </w:tcBorders>
          </w:tcPr>
          <w:p w14:paraId="78FBF10C" w14:textId="77777777" w:rsidR="008B2048" w:rsidRPr="008B2048" w:rsidRDefault="008B2048" w:rsidP="008B2048">
            <w:pPr>
              <w:keepNext/>
              <w:spacing w:before="60"/>
              <w:jc w:val="center"/>
              <w:rPr>
                <w:rFonts w:eastAsia="Times New Roman"/>
                <w:lang w:eastAsia="en-US"/>
              </w:rPr>
            </w:pPr>
            <w:r w:rsidRPr="008B2048">
              <w:rPr>
                <w:rFonts w:eastAsia="Times New Roman"/>
                <w:lang w:eastAsia="en-US"/>
              </w:rPr>
              <w:t>0,5</w:t>
            </w:r>
          </w:p>
        </w:tc>
        <w:tc>
          <w:tcPr>
            <w:tcW w:w="576" w:type="pct"/>
            <w:tcBorders>
              <w:top w:val="nil"/>
              <w:bottom w:val="nil"/>
            </w:tcBorders>
          </w:tcPr>
          <w:p w14:paraId="745B5404" w14:textId="77777777" w:rsidR="008B2048" w:rsidRPr="008B2048" w:rsidRDefault="008B2048" w:rsidP="008B2048">
            <w:pPr>
              <w:keepNext/>
              <w:spacing w:before="60"/>
              <w:jc w:val="center"/>
              <w:rPr>
                <w:rFonts w:eastAsia="Times New Roman"/>
                <w:lang w:eastAsia="en-US"/>
              </w:rPr>
            </w:pPr>
            <w:r w:rsidRPr="008B2048">
              <w:rPr>
                <w:rFonts w:eastAsia="Times New Roman"/>
                <w:lang w:eastAsia="en-US"/>
              </w:rPr>
              <w:t>-0,2</w:t>
            </w:r>
          </w:p>
        </w:tc>
      </w:tr>
      <w:tr w:rsidR="008B2048" w:rsidRPr="008B2048" w14:paraId="05A5D458" w14:textId="77777777" w:rsidTr="00B23F48">
        <w:trPr>
          <w:jc w:val="center"/>
        </w:trPr>
        <w:tc>
          <w:tcPr>
            <w:tcW w:w="1941" w:type="pct"/>
            <w:tcBorders>
              <w:top w:val="nil"/>
              <w:bottom w:val="nil"/>
            </w:tcBorders>
            <w:vAlign w:val="bottom"/>
          </w:tcPr>
          <w:p w14:paraId="64C572F9" w14:textId="77777777" w:rsidR="008B2048" w:rsidRPr="008B2048" w:rsidRDefault="008B2048" w:rsidP="008B2048">
            <w:pPr>
              <w:keepNext/>
              <w:spacing w:before="60"/>
              <w:rPr>
                <w:rFonts w:eastAsia="Times New Roman"/>
                <w:lang w:eastAsia="en-US"/>
              </w:rPr>
            </w:pPr>
            <w:r w:rsidRPr="008B2048">
              <w:rPr>
                <w:rFonts w:eastAsia="Times New Roman"/>
                <w:lang w:eastAsia="en-US"/>
              </w:rPr>
              <w:t>- Total servicii</w:t>
            </w:r>
          </w:p>
        </w:tc>
        <w:tc>
          <w:tcPr>
            <w:tcW w:w="954" w:type="pct"/>
            <w:tcBorders>
              <w:top w:val="nil"/>
              <w:bottom w:val="nil"/>
            </w:tcBorders>
          </w:tcPr>
          <w:p w14:paraId="05D89640" w14:textId="77777777" w:rsidR="008B2048" w:rsidRPr="008B2048" w:rsidRDefault="008B2048" w:rsidP="008B2048">
            <w:pPr>
              <w:keepNext/>
              <w:spacing w:before="60"/>
              <w:jc w:val="center"/>
              <w:rPr>
                <w:rFonts w:eastAsia="Times New Roman"/>
                <w:lang w:eastAsia="en-US"/>
              </w:rPr>
            </w:pPr>
            <w:r w:rsidRPr="008B2048">
              <w:rPr>
                <w:rFonts w:eastAsia="Times New Roman"/>
                <w:lang w:eastAsia="en-US"/>
              </w:rPr>
              <w:t>1,8</w:t>
            </w:r>
          </w:p>
        </w:tc>
        <w:tc>
          <w:tcPr>
            <w:tcW w:w="576" w:type="pct"/>
            <w:tcBorders>
              <w:top w:val="nil"/>
              <w:bottom w:val="nil"/>
            </w:tcBorders>
          </w:tcPr>
          <w:p w14:paraId="6108B5EB" w14:textId="77777777" w:rsidR="008B2048" w:rsidRPr="008B2048" w:rsidRDefault="008B2048" w:rsidP="008B2048">
            <w:pPr>
              <w:keepNext/>
              <w:spacing w:before="60"/>
              <w:jc w:val="center"/>
              <w:rPr>
                <w:rFonts w:eastAsia="Times New Roman"/>
                <w:bCs/>
                <w:lang w:eastAsia="en-US"/>
              </w:rPr>
            </w:pPr>
            <w:r w:rsidRPr="008B2048">
              <w:rPr>
                <w:rFonts w:eastAsia="Times New Roman"/>
                <w:bCs/>
                <w:lang w:eastAsia="en-US"/>
              </w:rPr>
              <w:t>1,2</w:t>
            </w:r>
          </w:p>
        </w:tc>
        <w:tc>
          <w:tcPr>
            <w:tcW w:w="954" w:type="pct"/>
            <w:tcBorders>
              <w:top w:val="nil"/>
              <w:bottom w:val="nil"/>
            </w:tcBorders>
          </w:tcPr>
          <w:p w14:paraId="2637D9B4" w14:textId="77777777" w:rsidR="008B2048" w:rsidRPr="008B2048" w:rsidRDefault="008B2048" w:rsidP="008B2048">
            <w:pPr>
              <w:keepNext/>
              <w:spacing w:before="60"/>
              <w:jc w:val="center"/>
              <w:rPr>
                <w:rFonts w:eastAsia="Times New Roman"/>
                <w:lang w:eastAsia="en-US"/>
              </w:rPr>
            </w:pPr>
            <w:r w:rsidRPr="008B2048">
              <w:rPr>
                <w:rFonts w:eastAsia="Times New Roman"/>
                <w:lang w:eastAsia="en-US"/>
              </w:rPr>
              <w:t>2,0</w:t>
            </w:r>
          </w:p>
        </w:tc>
        <w:tc>
          <w:tcPr>
            <w:tcW w:w="576" w:type="pct"/>
            <w:tcBorders>
              <w:top w:val="nil"/>
              <w:bottom w:val="nil"/>
            </w:tcBorders>
          </w:tcPr>
          <w:p w14:paraId="47A7A65B" w14:textId="77777777" w:rsidR="008B2048" w:rsidRPr="008B2048" w:rsidRDefault="008B2048" w:rsidP="008B2048">
            <w:pPr>
              <w:keepNext/>
              <w:spacing w:before="60"/>
              <w:jc w:val="center"/>
              <w:rPr>
                <w:rFonts w:eastAsia="Times New Roman"/>
                <w:lang w:eastAsia="en-US"/>
              </w:rPr>
            </w:pPr>
            <w:r w:rsidRPr="008B2048">
              <w:rPr>
                <w:rFonts w:eastAsia="Times New Roman"/>
                <w:lang w:eastAsia="en-US"/>
              </w:rPr>
              <w:t>0,5</w:t>
            </w:r>
          </w:p>
        </w:tc>
      </w:tr>
      <w:tr w:rsidR="008B2048" w:rsidRPr="008B2048" w14:paraId="33934C2B" w14:textId="77777777" w:rsidTr="00B23F48">
        <w:trPr>
          <w:jc w:val="center"/>
        </w:trPr>
        <w:tc>
          <w:tcPr>
            <w:tcW w:w="1941" w:type="pct"/>
            <w:tcBorders>
              <w:top w:val="nil"/>
            </w:tcBorders>
            <w:vAlign w:val="bottom"/>
          </w:tcPr>
          <w:p w14:paraId="45CFDAEE" w14:textId="77777777" w:rsidR="008B2048" w:rsidRPr="008B2048" w:rsidRDefault="008B2048" w:rsidP="008B2048">
            <w:pPr>
              <w:keepNext/>
              <w:spacing w:before="60"/>
              <w:rPr>
                <w:rFonts w:eastAsia="Times New Roman"/>
                <w:lang w:eastAsia="en-US"/>
              </w:rPr>
            </w:pPr>
            <w:r w:rsidRPr="008B2048">
              <w:rPr>
                <w:rFonts w:eastAsia="Times New Roman"/>
                <w:lang w:eastAsia="en-US"/>
              </w:rPr>
              <w:t>- Impozite nete pe produs</w:t>
            </w:r>
          </w:p>
        </w:tc>
        <w:tc>
          <w:tcPr>
            <w:tcW w:w="954" w:type="pct"/>
            <w:tcBorders>
              <w:top w:val="nil"/>
            </w:tcBorders>
          </w:tcPr>
          <w:p w14:paraId="520EC7AF" w14:textId="77777777" w:rsidR="008B2048" w:rsidRPr="008B2048" w:rsidRDefault="008B2048" w:rsidP="008B2048">
            <w:pPr>
              <w:keepNext/>
              <w:spacing w:before="60"/>
              <w:jc w:val="center"/>
              <w:rPr>
                <w:rFonts w:eastAsia="Times New Roman"/>
                <w:lang w:eastAsia="en-US"/>
              </w:rPr>
            </w:pPr>
            <w:r w:rsidRPr="008B2048">
              <w:rPr>
                <w:rFonts w:eastAsia="Times New Roman"/>
                <w:lang w:eastAsia="en-US"/>
              </w:rPr>
              <w:t>0,3</w:t>
            </w:r>
          </w:p>
        </w:tc>
        <w:tc>
          <w:tcPr>
            <w:tcW w:w="576" w:type="pct"/>
            <w:tcBorders>
              <w:top w:val="nil"/>
            </w:tcBorders>
            <w:vAlign w:val="bottom"/>
          </w:tcPr>
          <w:p w14:paraId="1C0F5BA5" w14:textId="77777777" w:rsidR="008B2048" w:rsidRPr="008B2048" w:rsidRDefault="008B2048" w:rsidP="008B2048">
            <w:pPr>
              <w:keepNext/>
              <w:spacing w:before="60"/>
              <w:jc w:val="center"/>
              <w:rPr>
                <w:rFonts w:eastAsia="Times New Roman"/>
                <w:bCs/>
                <w:lang w:eastAsia="en-US"/>
              </w:rPr>
            </w:pPr>
            <w:r w:rsidRPr="008B2048">
              <w:rPr>
                <w:rFonts w:eastAsia="Times New Roman"/>
                <w:bCs/>
                <w:lang w:eastAsia="en-US"/>
              </w:rPr>
              <w:t>0,5</w:t>
            </w:r>
          </w:p>
        </w:tc>
        <w:tc>
          <w:tcPr>
            <w:tcW w:w="954" w:type="pct"/>
            <w:tcBorders>
              <w:top w:val="nil"/>
            </w:tcBorders>
          </w:tcPr>
          <w:p w14:paraId="143B7EF8" w14:textId="77777777" w:rsidR="008B2048" w:rsidRPr="008B2048" w:rsidRDefault="008B2048" w:rsidP="008B2048">
            <w:pPr>
              <w:keepNext/>
              <w:spacing w:before="60"/>
              <w:jc w:val="center"/>
              <w:rPr>
                <w:rFonts w:eastAsia="Times New Roman"/>
                <w:lang w:eastAsia="en-US"/>
              </w:rPr>
            </w:pPr>
            <w:r w:rsidRPr="008B2048">
              <w:rPr>
                <w:rFonts w:eastAsia="Times New Roman"/>
                <w:lang w:eastAsia="en-US"/>
              </w:rPr>
              <w:t>0,3</w:t>
            </w:r>
          </w:p>
        </w:tc>
        <w:tc>
          <w:tcPr>
            <w:tcW w:w="576" w:type="pct"/>
            <w:tcBorders>
              <w:top w:val="nil"/>
            </w:tcBorders>
            <w:vAlign w:val="bottom"/>
          </w:tcPr>
          <w:p w14:paraId="4982A225" w14:textId="77777777" w:rsidR="008B2048" w:rsidRPr="008B2048" w:rsidRDefault="008B2048" w:rsidP="008B2048">
            <w:pPr>
              <w:keepNext/>
              <w:spacing w:before="60"/>
              <w:jc w:val="center"/>
              <w:rPr>
                <w:rFonts w:eastAsia="Times New Roman"/>
                <w:lang w:eastAsia="en-US"/>
              </w:rPr>
            </w:pPr>
            <w:r w:rsidRPr="008B2048">
              <w:rPr>
                <w:rFonts w:eastAsia="Times New Roman"/>
                <w:lang w:eastAsia="en-US"/>
              </w:rPr>
              <w:t>0,7</w:t>
            </w:r>
          </w:p>
        </w:tc>
      </w:tr>
    </w:tbl>
    <w:p w14:paraId="3197213E" w14:textId="77777777" w:rsidR="00EC54C4" w:rsidRPr="008B2048" w:rsidRDefault="00EC54C4" w:rsidP="008B2048">
      <w:pPr>
        <w:keepNext/>
        <w:keepLines/>
        <w:spacing w:line="276" w:lineRule="auto"/>
        <w:ind w:firstLine="539"/>
        <w:jc w:val="both"/>
        <w:rPr>
          <w:i/>
          <w:iCs/>
          <w:sz w:val="18"/>
          <w:szCs w:val="18"/>
        </w:rPr>
      </w:pPr>
      <w:r w:rsidRPr="008B2048">
        <w:rPr>
          <w:i/>
          <w:iCs/>
          <w:sz w:val="18"/>
          <w:szCs w:val="18"/>
        </w:rPr>
        <w:t>Notă: Datele pentru 2023 sunt semidefinitive, iar cele din 2024 sunt provizorii.</w:t>
      </w:r>
    </w:p>
    <w:p w14:paraId="0DE312C1" w14:textId="77777777" w:rsidR="00EC54C4" w:rsidRPr="008B2048" w:rsidRDefault="00EC54C4" w:rsidP="008B2048">
      <w:pPr>
        <w:keepNext/>
        <w:keepLines/>
        <w:spacing w:line="276" w:lineRule="auto"/>
        <w:ind w:firstLine="539"/>
        <w:jc w:val="both"/>
        <w:rPr>
          <w:i/>
          <w:iCs/>
          <w:sz w:val="18"/>
          <w:szCs w:val="18"/>
        </w:rPr>
      </w:pPr>
      <w:r w:rsidRPr="008B2048">
        <w:rPr>
          <w:i/>
          <w:iCs/>
          <w:sz w:val="18"/>
          <w:szCs w:val="18"/>
        </w:rPr>
        <w:tab/>
      </w:r>
      <w:r w:rsidRPr="008B2048">
        <w:rPr>
          <w:i/>
          <w:sz w:val="18"/>
          <w:szCs w:val="18"/>
        </w:rPr>
        <w:t>Eventuale neconcordanţe la însumare sunt ca urmare a rotunjirilor.</w:t>
      </w:r>
    </w:p>
    <w:p w14:paraId="5B5337AD" w14:textId="77777777" w:rsidR="00EC54C4" w:rsidRPr="00EC54C4" w:rsidRDefault="00EC54C4" w:rsidP="00EC54C4">
      <w:pPr>
        <w:keepNext/>
        <w:keepLines/>
        <w:spacing w:before="120" w:line="276" w:lineRule="auto"/>
        <w:ind w:firstLine="540"/>
        <w:jc w:val="both"/>
        <w:rPr>
          <w:color w:val="5B9BD5" w:themeColor="accent1"/>
        </w:rPr>
      </w:pPr>
    </w:p>
    <w:p w14:paraId="228BBF37" w14:textId="77777777" w:rsidR="00EC54C4" w:rsidRPr="008B2048" w:rsidRDefault="00EC54C4" w:rsidP="008B2048">
      <w:pPr>
        <w:keepNext/>
        <w:keepLines/>
        <w:spacing w:before="120" w:line="276" w:lineRule="auto"/>
        <w:jc w:val="both"/>
      </w:pPr>
      <w:r w:rsidRPr="008B2048">
        <w:t xml:space="preserve">Ca urmare a diminuării activităţii din sectorul construcţii, a unei conjuncturi nefavorabile privind intrările de capitaluri sub forma investiţiilor străine directe şi a fondurilor europene, dar şi a incertitudinii mediului economic, </w:t>
      </w:r>
      <w:r w:rsidRPr="008B2048">
        <w:rPr>
          <w:b/>
        </w:rPr>
        <w:t>formarea brută de capital fix</w:t>
      </w:r>
      <w:r w:rsidRPr="008B2048">
        <w:t xml:space="preserve"> şi-a diminuat creşterea de la un trimestru la altul. </w:t>
      </w:r>
    </w:p>
    <w:p w14:paraId="663372E0" w14:textId="77777777" w:rsidR="00EC54C4" w:rsidRPr="008B2048" w:rsidRDefault="00EC54C4" w:rsidP="008B2048">
      <w:pPr>
        <w:keepNext/>
        <w:keepLines/>
        <w:spacing w:before="120" w:line="276" w:lineRule="auto"/>
        <w:jc w:val="both"/>
      </w:pPr>
      <w:r w:rsidRPr="008B2048">
        <w:t xml:space="preserve">Prognoza naţională asupra formării brute de capital fix, inferioară proiecţiei Comisiei Europene (+6,5% comparativ cu +7,3%) s-a bazat atât pe programul de investiţii guvernamentale cât şi pe continuarea investiţiilor private, dar la acel moment nu a fost vizibil saltul atipic investiţional realizat în trimestrul IV 2023, care avea să inducă în date un efect de bază consistent pentru anul următor. Prin urmare, contracţia accentuată a investiţiilor brute în ultimul trimestru al anului 2024 (-17,9%) a condus la o scădere a formării brute de capital fix pe ansamblul anului cu 3,3%, creşterea economică totală fiind diminuată cu 0,9 puncte procentuale. </w:t>
      </w:r>
    </w:p>
    <w:p w14:paraId="2C26327B" w14:textId="77777777" w:rsidR="008B2048" w:rsidRPr="008B2048" w:rsidRDefault="008B2048" w:rsidP="008B2048">
      <w:pPr>
        <w:keepNext/>
        <w:spacing w:before="120" w:line="276" w:lineRule="auto"/>
        <w:jc w:val="both"/>
      </w:pPr>
      <w:r w:rsidRPr="008B2048">
        <w:t xml:space="preserve">În condiţiile unei oferte interne limitate, cererea de consum a fost acoperită, în principal, prin majorarea importului de bunuri şi servicii (creştere cu 3,8%), în timp ce exportul de bunuri şi servicii, în contextul amânării redresării economice a principalilor parteneri comerciali, s-a diminuat cu 3,1%, evoluţie mult sub aşteptări. În cazul exporturilor, factorii externi (evoluţiile cererii din Germania, Franţa, Italia) au avut un impact determinant asupra </w:t>
      </w:r>
      <w:r w:rsidRPr="008B2048">
        <w:lastRenderedPageBreak/>
        <w:t xml:space="preserve">proiecţiilor. Astfel, ecartul dintre creşterea importului de bunuri şi servicii şi declinul exportului a condus la o contribuţie negativă majoră a </w:t>
      </w:r>
      <w:r w:rsidRPr="008B2048">
        <w:rPr>
          <w:b/>
        </w:rPr>
        <w:t>exportului net</w:t>
      </w:r>
      <w:r w:rsidRPr="008B2048">
        <w:t xml:space="preserve"> de 2,9 puncte procentuale.</w:t>
      </w:r>
    </w:p>
    <w:p w14:paraId="506B7059" w14:textId="77777777" w:rsidR="008B2048" w:rsidRPr="008B2048" w:rsidRDefault="008B2048" w:rsidP="008B2048">
      <w:pPr>
        <w:keepNext/>
        <w:spacing w:before="120" w:line="276" w:lineRule="auto"/>
        <w:jc w:val="both"/>
      </w:pPr>
      <w:r w:rsidRPr="008B2048">
        <w:t xml:space="preserve">Pe </w:t>
      </w:r>
      <w:r w:rsidRPr="008B2048">
        <w:rPr>
          <w:b/>
        </w:rPr>
        <w:t>partea ofertei</w:t>
      </w:r>
      <w:r w:rsidRPr="008B2048">
        <w:t>, aportul adus de sectorul serviciilor a fost în mare parte anulat de contracţia activităţii în industrie, agricultură şi construcţii, ceea ce a condus la o rată de numai 0,1% a valorii adăugate brute din economie. În schimb, impozitele nete pe produs, cu o dinamică de 8,6% determinată atât de creşterea gradului de colectare a TVA cât şi de reducerea subvenţiilor ca urmare a modificării limitei de decontare acordată de stat furnizorilor de energie electrică, au susţinut creşterea economică cu 0,7 puncte procentuale.</w:t>
      </w:r>
    </w:p>
    <w:p w14:paraId="44C1F41A" w14:textId="77777777" w:rsidR="008B2048" w:rsidRPr="008B2048" w:rsidRDefault="008B2048" w:rsidP="008B2048">
      <w:pPr>
        <w:keepNext/>
        <w:spacing w:before="120" w:line="276" w:lineRule="auto"/>
        <w:jc w:val="both"/>
      </w:pPr>
      <w:r w:rsidRPr="008B2048">
        <w:t xml:space="preserve">Activitatea în sectorul serviciilor s-a temperat semnificativ, dar a continuat să înregistreze evoluţii pozitive, valoarea adăugată majorându-se cu 0,9%, cu un aport la dinamica PIB de 0,5 puncte procentuale. Încetinirea a provenit din contracţia activităţii din tranzacţii imobiliare (-1,3%) şi intermedieri financiare (-0,3%), dar şi din evoluţiile modeste din IT (0,3%) şi activităţi profesionale, ştiinţifice şi tehnice (0,1%). Cea mai importantă creştere s-a înregistrat în ramura activităţi de spectacole, culturale şi recreative, respectiv 6,8%, urmată de comerţ, transporturi, hoteluri şi restaurante (1,7%). </w:t>
      </w:r>
    </w:p>
    <w:p w14:paraId="5FBE6741" w14:textId="77777777" w:rsidR="008B2048" w:rsidRPr="008B2048" w:rsidRDefault="008B2048" w:rsidP="008B2048">
      <w:pPr>
        <w:keepNext/>
        <w:spacing w:before="120" w:line="276" w:lineRule="auto"/>
        <w:jc w:val="both"/>
      </w:pPr>
      <w:r w:rsidRPr="008B2048">
        <w:t xml:space="preserve">Deşi s-a aşteptat o redresare uşoară, industria a continuat evoluţiile negative, în condiţiile unei conjuncturi externe nefavorabilă. Totuşi trebuie evidenţiată diminuarea amplitudinii scăderii, valoarea adăugată brută reducându-se cu 0,2% comparativ cu anul anterior. Cele mai mari dificultăţi s-au manifestat în industria uşoară care a continuat parcursul negativ din anul anterior, unde au avut loc diminuări ale activităţii în sectoare precum: tăbăcirea şi finisarea pieilor(-19,0%), fabricarea articolelor de îmbrăcăminte(-17,5%), fabricarea produselor textile(-9,2%). Ajustarea negativă a producţiei cu dinamici de două cifre pentru al doilea an consecutiv indică probleme structurale de pierdere a competitivităţii generate în special de creşterile ulterioare ale costurilor cu forţa de muncă, dar şi a competiţiei neloiale din partea produselor asiatice. </w:t>
      </w:r>
    </w:p>
    <w:p w14:paraId="268C1257" w14:textId="77777777" w:rsidR="008B2048" w:rsidRPr="008B2048" w:rsidRDefault="008B2048" w:rsidP="008B2048">
      <w:pPr>
        <w:keepNext/>
        <w:spacing w:before="120" w:line="276" w:lineRule="auto"/>
        <w:jc w:val="both"/>
      </w:pPr>
      <w:r w:rsidRPr="008B2048">
        <w:t>Aceşti factori interni şi externi au fost neprevăzuţi şi au acţionat ulterior prognozei de toamnă, afectând estimările.</w:t>
      </w:r>
    </w:p>
    <w:p w14:paraId="66A85265" w14:textId="77777777" w:rsidR="008B2048" w:rsidRPr="008B2048" w:rsidRDefault="008B2048" w:rsidP="008B2048">
      <w:pPr>
        <w:keepNext/>
        <w:spacing w:before="120" w:line="276" w:lineRule="auto"/>
        <w:jc w:val="both"/>
      </w:pPr>
      <w:r w:rsidRPr="008B2048">
        <w:t xml:space="preserve">Un declin important s-a înregistrat şi în industria auto (-5,7%), dinamicile anuale înregistrând o volatilitate ridicată, având în vedere contracţia economiei Germaniei cu un impact determinant asupra proiecţiilor. Scăderi de activitate s-au manifestat în special pe partea de componente, induse de o piaţă europeană în restructurare şi o cerere mai redusă pentru vehiculele electrice. </w:t>
      </w:r>
    </w:p>
    <w:p w14:paraId="626DCEC5" w14:textId="77777777" w:rsidR="008B2048" w:rsidRPr="008B2048" w:rsidRDefault="008B2048" w:rsidP="008B2048">
      <w:pPr>
        <w:keepNext/>
        <w:spacing w:before="120" w:line="276" w:lineRule="auto"/>
        <w:jc w:val="both"/>
      </w:pPr>
      <w:r w:rsidRPr="008B2048">
        <w:t>În cazul producţiei şi furnizării de energie electrică şi termică scăderea în anul 2024 a fost de 4,7%, în timp ce consumul de energie electrică al populaţiei a accelerat cu 2,7%, iar cel din economie cu 1,6%. Contracţia s-a datorat unei producţii în scădere în principal din partea componentei hidro şi eoliană, în condiţii climaterice nefavorabile. Susținerea consumului intern s-a realizat pe baza ajustării exportului de energie electrică, care s-a redus cu 6,8%, în timp ce importul a înregistrat un ritm de creştere de 60,2% pe fondul scăderii accentuate a producţiei.</w:t>
      </w:r>
    </w:p>
    <w:p w14:paraId="29A252DB" w14:textId="77777777" w:rsidR="008B2048" w:rsidRPr="008B2048" w:rsidRDefault="008B2048" w:rsidP="008B2048">
      <w:pPr>
        <w:keepNext/>
        <w:spacing w:before="120" w:line="276" w:lineRule="auto"/>
        <w:jc w:val="both"/>
      </w:pPr>
      <w:r w:rsidRPr="008B2048">
        <w:t xml:space="preserve">Asociate cu investiţiile, construcţiile au fost revizuite faţă de estimările iniţiale. După rezultatele susţinute din 2023, activitatea s-a contractat, în principal, pe componenta „clădiri </w:t>
      </w:r>
      <w:r w:rsidRPr="008B2048">
        <w:lastRenderedPageBreak/>
        <w:t>rezidenţiale” care a înregistrat o scădere accentuată, de peste 20% (-22,1%), dar si a clădirilor nerezidenţiale care s-au micşorat cu 8%. Dificultăţile financiare ale dezvoltatorilor imobiliari s-au resimţit mai pregnant decât s-a estimat, aceştia confruntându-se cu o scădere a vânzărilor imobiliare, concomitent cu majorarea costurilor operaţionale şi accentuarea blocajului financiar. Perioadele premergătoare, marcate de un nivel ridicat al inflaţiei şi creşterea ratelor dobânzilor pentru creditele imobiliare, au condus la un comportament prudent în rândul populaţiei privind achiziţia de locuinţe, ceea ce a afectat dinamica pieţei. Nici modificările privind creşterea cotei de TVA la imobilele noi, cu valoare mai mare de 120 mii euro, de la 5% la 9% nu au încurajat cererea de locuinţe, preţurile acestora suportând noi majorări, după cele induse de creşterea materialelor de construcţii şi a produselor energetice, dar şi a costurilor salariale. Pe ansamblul anului, valoarea adăugată brută s-a diminuat cu 2,6% ceea ce a dus la reducerea avansului economic cu 0,2 puncte procentuale.</w:t>
      </w:r>
    </w:p>
    <w:p w14:paraId="535155A1" w14:textId="77777777" w:rsidR="008B2048" w:rsidRPr="008B2048" w:rsidRDefault="008B2048" w:rsidP="008B2048">
      <w:pPr>
        <w:keepNext/>
        <w:spacing w:before="120" w:line="276" w:lineRule="auto"/>
        <w:jc w:val="both"/>
      </w:pPr>
      <w:r w:rsidRPr="008B2048">
        <w:t>Sectorul agricol a înregistrat o contracţie consistentă ca urmare unor condiţii climatice nefavorabile. Deşi în noiembrie 2023 existau estimări optimiste cu privire la rezultatele sectorului agricol, situaţia s-a schimbat pe parcursul anului 2024 când producţia agricolă a cunoscut un declin de două cifre din cauza apariţiei perioadelor cu deficit de precipitaţii şi a secetei severe manifestate încă din luna iunie, în special în zonele sudice ale țării. Efectele secetei au dus la scăderea randamentelor la hectar și producțiilor totale, în special la culturile de porumb boabe, floarea soarelui şi soia boabe. Astfel în trimestrul III valoarea adăugată brută s-a diminuat cu  14,5%. Pe total an reducerea de 5,9% s-a concretizat într-o contribuţie negativă (-0,2 puncte procentuale) la dinamica reală a produsului intern brut.</w:t>
      </w:r>
    </w:p>
    <w:p w14:paraId="724ED28F" w14:textId="77777777" w:rsidR="008B2048" w:rsidRPr="008B2048" w:rsidRDefault="008B2048" w:rsidP="008B2048">
      <w:pPr>
        <w:keepNext/>
        <w:spacing w:before="120" w:line="276" w:lineRule="auto"/>
        <w:jc w:val="both"/>
      </w:pPr>
      <w:r w:rsidRPr="008B2048">
        <w:rPr>
          <w:b/>
        </w:rPr>
        <w:t>Inflația</w:t>
      </w:r>
      <w:r w:rsidRPr="008B2048">
        <w:t xml:space="preserve"> a urmat o traiectorie descendentă pe parcursul anului 2024, pe fondul reducerii presiunilor costurilor energetice şi a prețurilor la materii prime, însă procesul dezinflaţionist s-a manifestat mai lent comparativ cu alte ţări europene. Creşterea cererii ca urmare a majorărilor salariale peste estimările anterioare s-au reflectat şi asupra dinamicii preţurilor de consum, inflaţia anuală ajungând la </w:t>
      </w:r>
      <w:r w:rsidRPr="008B2048">
        <w:rPr>
          <w:b/>
        </w:rPr>
        <w:t>5,1% în decembrie</w:t>
      </w:r>
      <w:r w:rsidRPr="008B2048">
        <w:t>, cu 0,5 puncte procentuale</w:t>
      </w:r>
      <w:r w:rsidRPr="008B2048">
        <w:rPr>
          <w:b/>
        </w:rPr>
        <w:t xml:space="preserve"> </w:t>
      </w:r>
      <w:r w:rsidRPr="008B2048">
        <w:t xml:space="preserve">mai mare decât nivelul prognozat pentru sfârșit de an. </w:t>
      </w:r>
    </w:p>
    <w:p w14:paraId="54F0A651" w14:textId="77777777" w:rsidR="008B2048" w:rsidRPr="008B2048" w:rsidRDefault="008B2048" w:rsidP="008B2048">
      <w:pPr>
        <w:keepNext/>
        <w:spacing w:before="120" w:line="276" w:lineRule="auto"/>
        <w:jc w:val="both"/>
      </w:pPr>
      <w:r w:rsidRPr="008B2048">
        <w:t xml:space="preserve">Ca </w:t>
      </w:r>
      <w:r w:rsidRPr="008B2048">
        <w:rPr>
          <w:b/>
        </w:rPr>
        <w:t>medie anuală</w:t>
      </w:r>
      <w:r w:rsidRPr="008B2048">
        <w:t xml:space="preserve">, inflația anului 2024 a fost de </w:t>
      </w:r>
      <w:r w:rsidRPr="008B2048">
        <w:rPr>
          <w:b/>
        </w:rPr>
        <w:t>5,6%</w:t>
      </w:r>
      <w:r w:rsidRPr="008B2048">
        <w:t>, cu 4,8 puncte procentuale mai mică decât în anul 2023. Componenta alimentară (3,6%), care a beneficiat şi de efectele plafonării temporare a adaosurilor comerciale la produsele de bază, a înregistrat o decelerare a prețurilor atât la produsele alimentare procesate, cât şi la cele neprocesate. În cazul bunurilor nealimentare (5,8%), reducerea vitezei de creştere a preţurilor a fost mai lentă, în timp ce tarifele la servicii (8,9%) au înregistrat, de asemenea, o încetinire faţă de dinamică anului anterior, deşi s-a menţinut un nivel ridicat al costurilor cu forţa de muncă.</w:t>
      </w:r>
    </w:p>
    <w:p w14:paraId="0521CC05" w14:textId="73177053" w:rsidR="00553BDD" w:rsidRPr="00C53F10" w:rsidRDefault="00553BDD" w:rsidP="00EC54C4">
      <w:pPr>
        <w:keepNext/>
        <w:spacing w:before="120" w:line="276" w:lineRule="auto"/>
        <w:ind w:firstLine="540"/>
        <w:jc w:val="both"/>
      </w:pPr>
    </w:p>
    <w:p w14:paraId="592E59B3" w14:textId="77777777" w:rsidR="00123F4F" w:rsidRPr="00C53F10" w:rsidRDefault="00123F4F" w:rsidP="00123F4F">
      <w:pPr>
        <w:keepNext/>
        <w:autoSpaceDE w:val="0"/>
        <w:autoSpaceDN w:val="0"/>
        <w:adjustRightInd w:val="0"/>
        <w:jc w:val="center"/>
        <w:rPr>
          <w:b/>
          <w:bCs/>
        </w:rPr>
      </w:pPr>
    </w:p>
    <w:p w14:paraId="0BF54657" w14:textId="77777777" w:rsidR="001E07A7" w:rsidRPr="00C53F10" w:rsidRDefault="001E07A7">
      <w:bookmarkStart w:id="6" w:name="_Toc451248500"/>
      <w:r w:rsidRPr="00C53F10">
        <w:br w:type="page"/>
      </w:r>
    </w:p>
    <w:p w14:paraId="20665697" w14:textId="510FD5F1" w:rsidR="00986B5D" w:rsidRPr="00C53F10" w:rsidRDefault="00986B5D" w:rsidP="00986B5D">
      <w:pPr>
        <w:pStyle w:val="Heading1"/>
        <w:keepLines w:val="0"/>
        <w:pageBreakBefore/>
        <w:numPr>
          <w:ilvl w:val="0"/>
          <w:numId w:val="22"/>
        </w:numPr>
        <w:spacing w:before="0" w:after="240" w:line="276" w:lineRule="auto"/>
        <w:ind w:left="357" w:hanging="357"/>
        <w:rPr>
          <w:rFonts w:ascii="Tahoma" w:hAnsi="Tahoma" w:cs="Tahoma"/>
          <w:b/>
          <w:bCs/>
          <w:color w:val="000000"/>
          <w:sz w:val="24"/>
          <w:szCs w:val="24"/>
        </w:rPr>
      </w:pPr>
      <w:bookmarkStart w:id="7" w:name="_Toc199406228"/>
      <w:bookmarkStart w:id="8" w:name="_Toc198290364"/>
      <w:bookmarkEnd w:id="6"/>
      <w:r w:rsidRPr="00C53F10">
        <w:rPr>
          <w:rFonts w:ascii="Tahoma" w:hAnsi="Tahoma" w:cs="Tahoma"/>
          <w:b/>
          <w:bCs/>
          <w:color w:val="000000"/>
          <w:sz w:val="24"/>
          <w:szCs w:val="24"/>
        </w:rPr>
        <w:lastRenderedPageBreak/>
        <w:t>Deficitul ESA și deficitul structural</w:t>
      </w:r>
      <w:bookmarkEnd w:id="7"/>
    </w:p>
    <w:p w14:paraId="11149D59" w14:textId="77777777" w:rsidR="00986B5D" w:rsidRPr="00C53F10" w:rsidRDefault="00986B5D" w:rsidP="00F24F00">
      <w:pPr>
        <w:pStyle w:val="ListParagraph"/>
        <w:keepNext/>
        <w:numPr>
          <w:ilvl w:val="1"/>
          <w:numId w:val="22"/>
        </w:numPr>
        <w:spacing w:before="240" w:after="240" w:line="276" w:lineRule="auto"/>
        <w:ind w:left="788" w:hanging="431"/>
        <w:rPr>
          <w:rFonts w:cs="Tahoma"/>
          <w:b/>
          <w:bCs/>
          <w:sz w:val="24"/>
          <w:szCs w:val="24"/>
        </w:rPr>
      </w:pPr>
      <w:r w:rsidRPr="00C53F10">
        <w:rPr>
          <w:rFonts w:cs="Tahoma"/>
          <w:b/>
          <w:bCs/>
          <w:sz w:val="24"/>
          <w:szCs w:val="24"/>
        </w:rPr>
        <w:t xml:space="preserve">Deficitul ESA </w:t>
      </w:r>
    </w:p>
    <w:p w14:paraId="5EE5258A" w14:textId="1CE84A2C" w:rsidR="00986B5D" w:rsidRPr="00C53F10" w:rsidRDefault="00986B5D" w:rsidP="00986B5D">
      <w:pPr>
        <w:keepNext/>
        <w:keepLines/>
        <w:spacing w:line="276" w:lineRule="auto"/>
        <w:jc w:val="both"/>
        <w:rPr>
          <w:color w:val="000000"/>
        </w:rPr>
      </w:pPr>
      <w:r w:rsidRPr="00C53F10">
        <w:rPr>
          <w:color w:val="000000"/>
        </w:rPr>
        <w:t>Pentru anul 202</w:t>
      </w:r>
      <w:r w:rsidR="00F01D6A" w:rsidRPr="00C53F10">
        <w:rPr>
          <w:color w:val="000000"/>
        </w:rPr>
        <w:t>4</w:t>
      </w:r>
      <w:r w:rsidRPr="00C53F10">
        <w:rPr>
          <w:color w:val="000000"/>
        </w:rPr>
        <w:t xml:space="preserve">, deficitul administrației publice generale s-a calculat pe baza datelor transmise de instituțiile publice și a celor provizorii ale companiilor de stat clasificate în administrația publică, deficitul rezultat (date semifinale) conform metodologiei ESA 2010 fiind de </w:t>
      </w:r>
      <w:r w:rsidR="002B403B" w:rsidRPr="00C53F10">
        <w:rPr>
          <w:color w:val="000000"/>
        </w:rPr>
        <w:t>9,3</w:t>
      </w:r>
      <w:r w:rsidRPr="00C53F10">
        <w:rPr>
          <w:color w:val="000000"/>
        </w:rPr>
        <w:t xml:space="preserve">% din PIB. </w:t>
      </w:r>
    </w:p>
    <w:p w14:paraId="17DE008B" w14:textId="1B95561E" w:rsidR="00986B5D" w:rsidRPr="00C53F10" w:rsidRDefault="00986B5D" w:rsidP="00986B5D">
      <w:pPr>
        <w:keepNext/>
        <w:keepLines/>
        <w:spacing w:after="240" w:line="276" w:lineRule="auto"/>
        <w:jc w:val="both"/>
        <w:rPr>
          <w:color w:val="000000"/>
        </w:rPr>
      </w:pPr>
      <w:r w:rsidRPr="00C53F10">
        <w:rPr>
          <w:color w:val="000000"/>
        </w:rPr>
        <w:t>Comparativ cu anul 202</w:t>
      </w:r>
      <w:r w:rsidR="002B403B" w:rsidRPr="00C53F10">
        <w:rPr>
          <w:color w:val="000000"/>
        </w:rPr>
        <w:t>3</w:t>
      </w:r>
      <w:r w:rsidRPr="00C53F10">
        <w:rPr>
          <w:color w:val="000000"/>
        </w:rPr>
        <w:t xml:space="preserve"> deficitul calculat conform metodologiei ESA 2010 în anul 202</w:t>
      </w:r>
      <w:r w:rsidR="002B403B" w:rsidRPr="00C53F10">
        <w:rPr>
          <w:color w:val="000000"/>
        </w:rPr>
        <w:t>4</w:t>
      </w:r>
      <w:r w:rsidRPr="00C53F10">
        <w:rPr>
          <w:color w:val="000000"/>
        </w:rPr>
        <w:t xml:space="preserve"> a crescut cu </w:t>
      </w:r>
      <w:r w:rsidR="002B403B" w:rsidRPr="00C53F10">
        <w:rPr>
          <w:color w:val="000000"/>
        </w:rPr>
        <w:t>2,7</w:t>
      </w:r>
      <w:r w:rsidRPr="00C53F10">
        <w:rPr>
          <w:color w:val="000000"/>
        </w:rPr>
        <w:t xml:space="preserve"> puncte procentuale de la 6,</w:t>
      </w:r>
      <w:r w:rsidR="002B403B" w:rsidRPr="00C53F10">
        <w:rPr>
          <w:color w:val="000000"/>
        </w:rPr>
        <w:t>6</w:t>
      </w:r>
      <w:r w:rsidRPr="00C53F10">
        <w:rPr>
          <w:color w:val="000000"/>
        </w:rPr>
        <w:t>% din PIB în 202</w:t>
      </w:r>
      <w:r w:rsidR="002B403B" w:rsidRPr="00C53F10">
        <w:rPr>
          <w:color w:val="000000"/>
        </w:rPr>
        <w:t>3</w:t>
      </w:r>
      <w:r w:rsidRPr="00C53F10">
        <w:rPr>
          <w:color w:val="000000"/>
        </w:rPr>
        <w:t xml:space="preserve"> la </w:t>
      </w:r>
      <w:r w:rsidR="002B403B" w:rsidRPr="00C53F10">
        <w:rPr>
          <w:color w:val="000000"/>
        </w:rPr>
        <w:t>9,3</w:t>
      </w:r>
      <w:r w:rsidRPr="00C53F10">
        <w:rPr>
          <w:color w:val="000000"/>
        </w:rPr>
        <w:t>% din PIB în 202</w:t>
      </w:r>
      <w:r w:rsidR="002B403B" w:rsidRPr="00C53F10">
        <w:rPr>
          <w:color w:val="000000"/>
        </w:rPr>
        <w:t>4</w:t>
      </w:r>
      <w:r w:rsidRPr="00C53F10">
        <w:rPr>
          <w:color w:val="000000"/>
        </w:rPr>
        <w:t>.</w:t>
      </w:r>
    </w:p>
    <w:p w14:paraId="147BA456" w14:textId="77777777" w:rsidR="00986B5D" w:rsidRPr="00C53F10" w:rsidRDefault="00986B5D" w:rsidP="00986B5D">
      <w:pPr>
        <w:keepNext/>
        <w:keepLines/>
        <w:spacing w:line="276" w:lineRule="auto"/>
        <w:jc w:val="center"/>
        <w:rPr>
          <w:b/>
          <w:bCs/>
        </w:rPr>
      </w:pPr>
      <w:r w:rsidRPr="00C53F10">
        <w:rPr>
          <w:b/>
          <w:bCs/>
        </w:rPr>
        <w:t>Deficitul administrației publice generale conform ESA 2010</w:t>
      </w:r>
    </w:p>
    <w:p w14:paraId="665C44F1" w14:textId="77777777" w:rsidR="00986B5D" w:rsidRPr="00C53F10" w:rsidRDefault="00986B5D" w:rsidP="00986B5D">
      <w:pPr>
        <w:keepNext/>
        <w:keepLines/>
        <w:spacing w:line="276" w:lineRule="auto"/>
        <w:jc w:val="center"/>
        <w:rPr>
          <w:b/>
          <w:bCs/>
        </w:rPr>
      </w:pPr>
    </w:p>
    <w:p w14:paraId="06085401" w14:textId="74578636" w:rsidR="00D21F7F" w:rsidRDefault="004D6AD6" w:rsidP="00D21F7F">
      <w:pPr>
        <w:keepNext/>
        <w:keepLines/>
        <w:spacing w:after="240" w:line="276" w:lineRule="auto"/>
        <w:rPr>
          <w:b/>
          <w:bCs/>
        </w:rPr>
      </w:pPr>
      <w:r>
        <w:rPr>
          <w:b/>
          <w:bCs/>
          <w:noProof/>
        </w:rPr>
        <w:pict w14:anchorId="684D30D7">
          <v:shape id="_x0000_i1026" type="#_x0000_t75" style="width:489pt;height:87pt">
            <v:imagedata r:id="rId13" o:title=""/>
          </v:shape>
        </w:pict>
      </w:r>
    </w:p>
    <w:p w14:paraId="2F57783D" w14:textId="20DE32D7" w:rsidR="00986B5D" w:rsidRPr="00D21F7F" w:rsidRDefault="00986B5D" w:rsidP="00820BD7">
      <w:pPr>
        <w:keepNext/>
        <w:keepLines/>
        <w:spacing w:after="120" w:line="276" w:lineRule="auto"/>
        <w:rPr>
          <w:b/>
          <w:bCs/>
        </w:rPr>
      </w:pPr>
      <w:r w:rsidRPr="00C53F10">
        <w:rPr>
          <w:bCs/>
        </w:rPr>
        <w:t xml:space="preserve">Deficitul bugetar calculat conform metodologiei europene s-a situat peste limita nivelului de referință a Pactului de Stabilitate și Creștere, înregistrând un nivelul de </w:t>
      </w:r>
      <w:r w:rsidR="002B403B" w:rsidRPr="00C53F10">
        <w:rPr>
          <w:bCs/>
        </w:rPr>
        <w:t>9,3</w:t>
      </w:r>
      <w:r w:rsidRPr="00C53F10">
        <w:rPr>
          <w:bCs/>
        </w:rPr>
        <w:t>% din PIB în anul 202</w:t>
      </w:r>
      <w:r w:rsidR="00062B19">
        <w:rPr>
          <w:bCs/>
        </w:rPr>
        <w:t>4</w:t>
      </w:r>
      <w:r w:rsidRPr="00C53F10">
        <w:rPr>
          <w:bCs/>
        </w:rPr>
        <w:t xml:space="preserve">. </w:t>
      </w:r>
    </w:p>
    <w:p w14:paraId="4311AD81" w14:textId="60C49182" w:rsidR="00B8238C" w:rsidRPr="00B8238C" w:rsidRDefault="00B8238C" w:rsidP="00B8238C">
      <w:pPr>
        <w:keepNext/>
        <w:keepLines/>
        <w:spacing w:after="120" w:line="276" w:lineRule="auto"/>
        <w:jc w:val="both"/>
        <w:rPr>
          <w:bCs/>
        </w:rPr>
      </w:pPr>
      <w:r w:rsidRPr="00B8238C">
        <w:rPr>
          <w:bCs/>
        </w:rPr>
        <w:t>În 2024, deficitul bugetar a înregistrat un nivel de 9,3% din PIB, cu 2,3 puncte procentuale peste ținta stabilită în octombrie 2024, de 7,0% din PIB. Această deviație este explicată (i) pe partea de cheltuieli, în principal de: înregistrarea unor drepturi de natură salarială (0,1% din PIB), în urma unor hotărâri judecătorești devenite executorii și a unor sume stabilite prin acte administrative emise de conducătorii instituțiilor publice, suplimentare față de cele stabilite prin legislația specifică (Înalta Curte de Casație și Justiție, Ministerul Public și Consiliul Superior al Magistraturii); datorii comerciale (0,5</w:t>
      </w:r>
      <w:r>
        <w:rPr>
          <w:bCs/>
        </w:rPr>
        <w:t>% din PIB</w:t>
      </w:r>
      <w:r w:rsidRPr="00B8238C">
        <w:rPr>
          <w:bCs/>
        </w:rPr>
        <w:t>) , scheme energie emise (0,4</w:t>
      </w:r>
      <w:r>
        <w:rPr>
          <w:bCs/>
        </w:rPr>
        <w:t>% din PIB</w:t>
      </w:r>
      <w:r w:rsidRPr="00B8238C">
        <w:rPr>
          <w:bCs/>
        </w:rPr>
        <w:t>), titluri ANRP (0,2</w:t>
      </w:r>
      <w:r>
        <w:rPr>
          <w:bCs/>
        </w:rPr>
        <w:t>% din PIB</w:t>
      </w:r>
      <w:r w:rsidRPr="00B8238C">
        <w:rPr>
          <w:bCs/>
        </w:rPr>
        <w:t xml:space="preserve">), </w:t>
      </w:r>
      <w:r>
        <w:rPr>
          <w:bCs/>
          <w:lang w:val="en-US"/>
        </w:rPr>
        <w:t>d</w:t>
      </w:r>
      <w:r w:rsidRPr="00B8238C">
        <w:rPr>
          <w:bCs/>
          <w:lang w:val="en-US"/>
        </w:rPr>
        <w:t>ifer</w:t>
      </w:r>
      <w:r>
        <w:rPr>
          <w:bCs/>
          <w:lang w:val="en-US"/>
        </w:rPr>
        <w:t xml:space="preserve">enţa dintre dobânda plătită </w:t>
      </w:r>
      <w:r w:rsidRPr="00B8238C">
        <w:rPr>
          <w:bCs/>
          <w:lang w:val="en-US"/>
        </w:rPr>
        <w:t>şi dobânda datorată (0,4</w:t>
      </w:r>
      <w:r>
        <w:rPr>
          <w:bCs/>
          <w:lang w:val="en-US"/>
        </w:rPr>
        <w:t>% din PIB</w:t>
      </w:r>
      <w:r w:rsidRPr="00B8238C">
        <w:rPr>
          <w:bCs/>
          <w:lang w:val="en-US"/>
        </w:rPr>
        <w:t xml:space="preserve">), </w:t>
      </w:r>
      <w:r w:rsidRPr="00B8238C">
        <w:rPr>
          <w:bCs/>
        </w:rPr>
        <w:t>precum și alte influențe.</w:t>
      </w:r>
    </w:p>
    <w:p w14:paraId="7B37645C" w14:textId="5CB94F7D" w:rsidR="00986B5D" w:rsidRPr="00C53F10" w:rsidRDefault="00986B5D" w:rsidP="00986B5D">
      <w:pPr>
        <w:keepNext/>
        <w:keepLines/>
        <w:spacing w:after="120" w:line="276" w:lineRule="auto"/>
        <w:jc w:val="both"/>
        <w:rPr>
          <w:color w:val="000000"/>
        </w:rPr>
      </w:pPr>
      <w:r w:rsidRPr="00C53F10">
        <w:rPr>
          <w:color w:val="000000"/>
        </w:rPr>
        <w:t>Deficitul bugetar aferent anului 202</w:t>
      </w:r>
      <w:r w:rsidR="002B403B" w:rsidRPr="00C53F10">
        <w:rPr>
          <w:color w:val="000000"/>
        </w:rPr>
        <w:t>4</w:t>
      </w:r>
      <w:r w:rsidRPr="00C53F10">
        <w:rPr>
          <w:color w:val="000000"/>
        </w:rPr>
        <w:t xml:space="preserve"> s-a situat peste media deficitului bugetar pentru zona euro de 3,</w:t>
      </w:r>
      <w:r w:rsidR="002B403B" w:rsidRPr="00C53F10">
        <w:rPr>
          <w:color w:val="000000"/>
        </w:rPr>
        <w:t>1</w:t>
      </w:r>
      <w:r w:rsidRPr="00C53F10">
        <w:rPr>
          <w:color w:val="000000"/>
        </w:rPr>
        <w:t>% din PIB și pentru UE27 de 3,</w:t>
      </w:r>
      <w:r w:rsidR="002B403B" w:rsidRPr="00C53F10">
        <w:rPr>
          <w:color w:val="000000"/>
        </w:rPr>
        <w:t>2</w:t>
      </w:r>
      <w:r w:rsidRPr="00C53F10">
        <w:rPr>
          <w:color w:val="000000"/>
        </w:rPr>
        <w:t>% din PIB.</w:t>
      </w:r>
    </w:p>
    <w:p w14:paraId="1712245F" w14:textId="0E494689" w:rsidR="00986B5D" w:rsidRPr="00C53F10" w:rsidRDefault="00986B5D" w:rsidP="00986B5D">
      <w:pPr>
        <w:keepNext/>
        <w:keepLines/>
        <w:spacing w:after="120" w:line="276" w:lineRule="auto"/>
        <w:jc w:val="both"/>
        <w:rPr>
          <w:bCs/>
          <w:color w:val="000000"/>
        </w:rPr>
      </w:pPr>
      <w:r w:rsidRPr="00C53F10">
        <w:rPr>
          <w:bCs/>
          <w:color w:val="000000"/>
        </w:rPr>
        <w:t>Conform datelor publicate de EUROSTAT majoritatea statelor membre au înregistrat în anul 202</w:t>
      </w:r>
      <w:r w:rsidR="002B403B" w:rsidRPr="00C53F10">
        <w:rPr>
          <w:bCs/>
          <w:color w:val="000000"/>
        </w:rPr>
        <w:t>4</w:t>
      </w:r>
      <w:r w:rsidRPr="00C53F10">
        <w:rPr>
          <w:bCs/>
          <w:color w:val="000000"/>
        </w:rPr>
        <w:t xml:space="preserve"> deficit bugetar cu excepția </w:t>
      </w:r>
      <w:r w:rsidR="002B403B" w:rsidRPr="00C53F10">
        <w:rPr>
          <w:bCs/>
          <w:color w:val="000000"/>
        </w:rPr>
        <w:t>Danemarcei</w:t>
      </w:r>
      <w:r w:rsidR="008900C1" w:rsidRPr="00C53F10">
        <w:rPr>
          <w:bCs/>
          <w:color w:val="000000"/>
        </w:rPr>
        <w:t xml:space="preserve"> ce a înregistrat un excedent bugetar de 4,5% din PIB , a Ciprului și Irlandei ce au înregistrat un excedent de 4,3% din PIB, Greciei cu un excedent de 1,3% din PIB, Luxemburgului cu un excedent de 1,0% din PIB și Portugaliei cu un excedent de 0,7% din PIB.</w:t>
      </w:r>
      <w:r w:rsidR="002B403B" w:rsidRPr="00C53F10">
        <w:rPr>
          <w:bCs/>
          <w:color w:val="000000"/>
        </w:rPr>
        <w:t xml:space="preserve"> </w:t>
      </w:r>
    </w:p>
    <w:p w14:paraId="54F35227" w14:textId="40E88700" w:rsidR="00820BD7" w:rsidRDefault="00B8238C" w:rsidP="00B8238C">
      <w:pPr>
        <w:keepNext/>
        <w:keepLines/>
        <w:spacing w:after="240" w:line="276" w:lineRule="auto"/>
        <w:jc w:val="both"/>
        <w:rPr>
          <w:bCs/>
        </w:rPr>
      </w:pPr>
      <w:r w:rsidRPr="00B8238C">
        <w:rPr>
          <w:bCs/>
        </w:rPr>
        <w:t>Un număr de 12 state membre au înregistrat deficite peste sau egale cu nivelul de 3% din PIB cele mai mari deficite fiind înregistrate în România (-9,3%); Polonia (-6,6%); Franța (-5,8%) și Slovacia (-5,3%).</w:t>
      </w:r>
    </w:p>
    <w:p w14:paraId="338FDF85" w14:textId="77777777" w:rsidR="00820BD7" w:rsidRDefault="00820BD7">
      <w:pPr>
        <w:rPr>
          <w:bCs/>
        </w:rPr>
      </w:pPr>
      <w:r>
        <w:rPr>
          <w:bCs/>
        </w:rPr>
        <w:br w:type="page"/>
      </w:r>
    </w:p>
    <w:p w14:paraId="72A76BDD" w14:textId="77777777" w:rsidR="00986B5D" w:rsidRPr="00C53F10" w:rsidRDefault="00986B5D" w:rsidP="00820BD7">
      <w:pPr>
        <w:pStyle w:val="ListParagraph"/>
        <w:keepNext/>
        <w:keepLines/>
        <w:numPr>
          <w:ilvl w:val="1"/>
          <w:numId w:val="22"/>
        </w:numPr>
        <w:spacing w:after="120" w:line="276" w:lineRule="auto"/>
        <w:ind w:left="788" w:hanging="431"/>
        <w:rPr>
          <w:rFonts w:cs="Tahoma"/>
          <w:b/>
          <w:bCs/>
          <w:sz w:val="24"/>
          <w:szCs w:val="24"/>
        </w:rPr>
      </w:pPr>
      <w:r w:rsidRPr="00C53F10">
        <w:rPr>
          <w:rFonts w:cs="Tahoma"/>
          <w:b/>
          <w:bCs/>
          <w:sz w:val="24"/>
          <w:szCs w:val="24"/>
        </w:rPr>
        <w:lastRenderedPageBreak/>
        <w:t>Deficitul structural</w:t>
      </w:r>
    </w:p>
    <w:p w14:paraId="5ECE4167" w14:textId="77777777" w:rsidR="00137597" w:rsidRPr="00137597" w:rsidRDefault="00137597" w:rsidP="00137597">
      <w:pPr>
        <w:keepNext/>
        <w:keepLines/>
        <w:spacing w:before="120" w:after="240" w:line="276" w:lineRule="auto"/>
        <w:jc w:val="both"/>
      </w:pPr>
      <w:r w:rsidRPr="00137597">
        <w:t>Soldul structural al administrației publice generale (metodologia ESA) s-a situat în 2024 la -8,8% din PIB potenţial, în creştere faţǎ de nivelul anului anterior. Rezultatul corespunde ajustării pozitive (+0,53%) a deficitului ESA (-9,3%) prin componenta ciclică care se menţine încă în teritoriu negativ în acord cu evoluţia output-gap (-1,7% din PIB potenţial în 2024).</w:t>
      </w:r>
    </w:p>
    <w:p w14:paraId="44373F3A" w14:textId="18C1D327" w:rsidR="00986B5D" w:rsidRPr="00137597" w:rsidRDefault="00986B5D" w:rsidP="00137597">
      <w:pPr>
        <w:keepNext/>
        <w:keepLines/>
        <w:spacing w:before="120"/>
        <w:jc w:val="center"/>
        <w:rPr>
          <w:rFonts w:eastAsia="Times New Roman"/>
          <w:b/>
        </w:rPr>
      </w:pPr>
      <w:r w:rsidRPr="00137597">
        <w:rPr>
          <w:rFonts w:eastAsia="Times New Roman"/>
          <w:b/>
        </w:rPr>
        <w:t>Deficitul structural</w:t>
      </w:r>
    </w:p>
    <w:p w14:paraId="16817D6C" w14:textId="1B1FC1D0" w:rsidR="00986B5D" w:rsidRPr="00C53F10" w:rsidRDefault="004D6AD6" w:rsidP="00481082">
      <w:pPr>
        <w:keepNext/>
        <w:keepLines/>
        <w:spacing w:before="120" w:after="360"/>
        <w:rPr>
          <w:rFonts w:eastAsia="Times New Roman"/>
          <w:b/>
        </w:rPr>
      </w:pPr>
      <w:r>
        <w:rPr>
          <w:rFonts w:eastAsia="Times New Roman"/>
          <w:b/>
          <w:noProof/>
          <w:lang w:val="en-US" w:eastAsia="en-US"/>
        </w:rPr>
        <w:pict w14:anchorId="31797239">
          <v:shape id="_x0000_i1027" type="#_x0000_t75" style="width:487pt;height:63.5pt">
            <v:imagedata r:id="rId14" o:title=""/>
          </v:shape>
        </w:pict>
      </w:r>
    </w:p>
    <w:p w14:paraId="00B55A8D" w14:textId="77777777" w:rsidR="00986B5D" w:rsidRPr="00C53F10" w:rsidRDefault="00986B5D" w:rsidP="00986B5D">
      <w:pPr>
        <w:keepNext/>
        <w:keepLines/>
        <w:spacing w:before="120"/>
        <w:jc w:val="center"/>
        <w:rPr>
          <w:noProof/>
        </w:rPr>
      </w:pPr>
      <w:r w:rsidRPr="00C53F10">
        <w:rPr>
          <w:rFonts w:eastAsia="Times New Roman"/>
        </w:rPr>
        <w:t xml:space="preserve"> </w:t>
      </w:r>
    </w:p>
    <w:p w14:paraId="6F28BA87" w14:textId="2366BFE6" w:rsidR="00986B5D" w:rsidRPr="00C53F10" w:rsidRDefault="004D6AD6" w:rsidP="00986B5D">
      <w:pPr>
        <w:pStyle w:val="Heading3"/>
        <w:rPr>
          <w:rFonts w:ascii="Tahoma" w:hAnsi="Tahoma" w:cs="Tahoma"/>
        </w:rPr>
      </w:pPr>
      <w:r>
        <w:rPr>
          <w:rFonts w:ascii="Tahoma" w:hAnsi="Tahoma" w:cs="Tahoma"/>
          <w:noProof/>
          <w:lang w:val="en-US" w:eastAsia="en-US"/>
        </w:rPr>
        <w:pict w14:anchorId="1A8CB775">
          <v:shape id="_x0000_i1028" type="#_x0000_t75" style="width:491pt;height:3in">
            <v:imagedata r:id="rId15" o:title=""/>
          </v:shape>
        </w:pict>
      </w:r>
    </w:p>
    <w:p w14:paraId="1D0563CF" w14:textId="7B5EDD42" w:rsidR="00986B5D" w:rsidRPr="00C53F10" w:rsidRDefault="00986B5D">
      <w:pPr>
        <w:rPr>
          <w:color w:val="365F91"/>
          <w:sz w:val="32"/>
          <w:szCs w:val="32"/>
        </w:rPr>
      </w:pPr>
      <w:r w:rsidRPr="00C53F10">
        <w:br w:type="page"/>
      </w:r>
    </w:p>
    <w:p w14:paraId="0F25FE6A" w14:textId="6039E04D" w:rsidR="00BA5E33" w:rsidRPr="00C53F10" w:rsidRDefault="00BA5E33" w:rsidP="001E07A7">
      <w:pPr>
        <w:pStyle w:val="Heading1"/>
        <w:keepLines w:val="0"/>
        <w:pageBreakBefore/>
        <w:numPr>
          <w:ilvl w:val="0"/>
          <w:numId w:val="22"/>
        </w:numPr>
        <w:spacing w:line="276" w:lineRule="auto"/>
        <w:rPr>
          <w:rFonts w:ascii="Tahoma" w:hAnsi="Tahoma" w:cs="Tahoma"/>
          <w:b/>
          <w:bCs/>
          <w:color w:val="000000"/>
          <w:sz w:val="24"/>
          <w:szCs w:val="24"/>
        </w:rPr>
      </w:pPr>
      <w:bookmarkStart w:id="9" w:name="_Toc199406229"/>
      <w:r w:rsidRPr="00C53F10">
        <w:rPr>
          <w:rFonts w:ascii="Tahoma" w:hAnsi="Tahoma" w:cs="Tahoma"/>
          <w:b/>
          <w:bCs/>
          <w:color w:val="000000"/>
          <w:sz w:val="24"/>
          <w:szCs w:val="24"/>
        </w:rPr>
        <w:lastRenderedPageBreak/>
        <w:t>Politica fiscal bugetară</w:t>
      </w:r>
      <w:bookmarkEnd w:id="8"/>
      <w:bookmarkEnd w:id="9"/>
    </w:p>
    <w:p w14:paraId="3F9DD2B1" w14:textId="77777777" w:rsidR="00BA5E33" w:rsidRPr="00C53F10" w:rsidRDefault="00BA5E33" w:rsidP="000F5753">
      <w:pPr>
        <w:pStyle w:val="ListParagraph"/>
        <w:spacing w:line="276" w:lineRule="auto"/>
        <w:ind w:left="924"/>
        <w:rPr>
          <w:rFonts w:cs="Tahoma"/>
          <w:sz w:val="24"/>
          <w:szCs w:val="24"/>
          <w:lang w:eastAsia="x-none"/>
        </w:rPr>
      </w:pPr>
    </w:p>
    <w:p w14:paraId="24A8B442" w14:textId="780FD7AE" w:rsidR="00BA5E33" w:rsidRPr="00C53F10" w:rsidRDefault="00546D34" w:rsidP="001E07A7">
      <w:pPr>
        <w:pStyle w:val="ListParagraph"/>
        <w:numPr>
          <w:ilvl w:val="1"/>
          <w:numId w:val="22"/>
        </w:numPr>
        <w:spacing w:line="276" w:lineRule="auto"/>
        <w:rPr>
          <w:rFonts w:cs="Tahoma"/>
          <w:b/>
          <w:bCs/>
          <w:color w:val="000000"/>
          <w:sz w:val="24"/>
          <w:szCs w:val="24"/>
        </w:rPr>
      </w:pPr>
      <w:r w:rsidRPr="00C53F10">
        <w:rPr>
          <w:rFonts w:cs="Tahoma"/>
          <w:b/>
          <w:bCs/>
          <w:color w:val="000000"/>
          <w:sz w:val="24"/>
          <w:szCs w:val="24"/>
        </w:rPr>
        <w:t>O</w:t>
      </w:r>
      <w:r w:rsidR="00BA5E33" w:rsidRPr="00C53F10">
        <w:rPr>
          <w:rFonts w:cs="Tahoma"/>
          <w:b/>
          <w:bCs/>
          <w:color w:val="000000"/>
          <w:sz w:val="24"/>
          <w:szCs w:val="24"/>
        </w:rPr>
        <w:t>biectivel</w:t>
      </w:r>
      <w:r w:rsidRPr="00C53F10">
        <w:rPr>
          <w:rFonts w:cs="Tahoma"/>
          <w:b/>
          <w:bCs/>
          <w:color w:val="000000"/>
          <w:sz w:val="24"/>
          <w:szCs w:val="24"/>
        </w:rPr>
        <w:t>e</w:t>
      </w:r>
      <w:r w:rsidR="00BA5E33" w:rsidRPr="00C53F10">
        <w:rPr>
          <w:rFonts w:cs="Tahoma"/>
          <w:b/>
          <w:bCs/>
          <w:color w:val="000000"/>
          <w:sz w:val="24"/>
          <w:szCs w:val="24"/>
        </w:rPr>
        <w:t xml:space="preserve"> politicii bugetare în </w:t>
      </w:r>
      <w:r w:rsidR="00CB5E1A" w:rsidRPr="00C53F10">
        <w:rPr>
          <w:rFonts w:cs="Tahoma"/>
          <w:b/>
          <w:bCs/>
          <w:color w:val="000000"/>
          <w:sz w:val="24"/>
          <w:szCs w:val="24"/>
        </w:rPr>
        <w:t>anul 202</w:t>
      </w:r>
      <w:r w:rsidR="0083061A" w:rsidRPr="00C53F10">
        <w:rPr>
          <w:rFonts w:cs="Tahoma"/>
          <w:b/>
          <w:bCs/>
          <w:color w:val="000000"/>
          <w:sz w:val="24"/>
          <w:szCs w:val="24"/>
        </w:rPr>
        <w:t>4</w:t>
      </w:r>
    </w:p>
    <w:p w14:paraId="7718074A" w14:textId="77777777" w:rsidR="00BA5E33" w:rsidRPr="00C53F10" w:rsidRDefault="00BA5E33" w:rsidP="000F5753">
      <w:pPr>
        <w:spacing w:line="276" w:lineRule="auto"/>
        <w:rPr>
          <w:b/>
          <w:bCs/>
          <w:color w:val="000000"/>
        </w:rPr>
      </w:pPr>
    </w:p>
    <w:p w14:paraId="6FDC8E60" w14:textId="36E9C505" w:rsidR="00546D34" w:rsidRPr="00C53F10" w:rsidRDefault="00546D34" w:rsidP="001F3690">
      <w:pPr>
        <w:spacing w:line="276" w:lineRule="auto"/>
        <w:jc w:val="both"/>
        <w:rPr>
          <w:bCs/>
          <w:color w:val="000000"/>
        </w:rPr>
      </w:pPr>
      <w:r w:rsidRPr="00C53F10">
        <w:rPr>
          <w:bCs/>
          <w:color w:val="000000"/>
        </w:rPr>
        <w:t xml:space="preserve">Construcția bugetară pentru anul </w:t>
      </w:r>
      <w:r w:rsidR="005E2FD6" w:rsidRPr="00C53F10">
        <w:rPr>
          <w:bCs/>
          <w:color w:val="000000"/>
        </w:rPr>
        <w:t>202</w:t>
      </w:r>
      <w:r w:rsidR="0083061A" w:rsidRPr="00C53F10">
        <w:rPr>
          <w:bCs/>
          <w:color w:val="000000"/>
        </w:rPr>
        <w:t>4</w:t>
      </w:r>
      <w:r w:rsidR="005E2FD6" w:rsidRPr="00C53F10">
        <w:rPr>
          <w:bCs/>
          <w:color w:val="000000"/>
        </w:rPr>
        <w:t xml:space="preserve"> </w:t>
      </w:r>
      <w:r w:rsidRPr="00C53F10">
        <w:rPr>
          <w:bCs/>
          <w:color w:val="000000"/>
        </w:rPr>
        <w:t xml:space="preserve">și orizontul </w:t>
      </w:r>
      <w:r w:rsidR="005E2FD6" w:rsidRPr="00C53F10">
        <w:rPr>
          <w:bCs/>
          <w:color w:val="000000"/>
        </w:rPr>
        <w:t>202</w:t>
      </w:r>
      <w:r w:rsidR="0083061A" w:rsidRPr="00C53F10">
        <w:rPr>
          <w:bCs/>
          <w:color w:val="000000"/>
        </w:rPr>
        <w:t>5</w:t>
      </w:r>
      <w:r w:rsidRPr="00C53F10">
        <w:rPr>
          <w:bCs/>
          <w:color w:val="000000"/>
        </w:rPr>
        <w:t>-</w:t>
      </w:r>
      <w:r w:rsidR="005E2FD6" w:rsidRPr="00C53F10">
        <w:rPr>
          <w:bCs/>
          <w:color w:val="000000"/>
        </w:rPr>
        <w:t>202</w:t>
      </w:r>
      <w:r w:rsidR="00CF2B77" w:rsidRPr="00C53F10">
        <w:rPr>
          <w:bCs/>
          <w:color w:val="000000"/>
        </w:rPr>
        <w:t>6</w:t>
      </w:r>
      <w:r w:rsidR="005E2FD6" w:rsidRPr="00C53F10">
        <w:rPr>
          <w:bCs/>
          <w:color w:val="000000"/>
        </w:rPr>
        <w:t xml:space="preserve"> </w:t>
      </w:r>
      <w:r w:rsidRPr="00C53F10">
        <w:rPr>
          <w:bCs/>
          <w:color w:val="000000"/>
        </w:rPr>
        <w:t>a avut la bază următoarele obiective:</w:t>
      </w:r>
    </w:p>
    <w:p w14:paraId="1402F8B1" w14:textId="77777777" w:rsidR="00CF2B77" w:rsidRPr="00C53F10" w:rsidRDefault="00CF2B77" w:rsidP="001F3690">
      <w:pPr>
        <w:spacing w:line="276" w:lineRule="auto"/>
        <w:jc w:val="both"/>
        <w:rPr>
          <w:bCs/>
          <w:color w:val="000000"/>
        </w:rPr>
      </w:pPr>
    </w:p>
    <w:tbl>
      <w:tblPr>
        <w:tblStyle w:val="TableGrid13"/>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FFFF"/>
        <w:tblLook w:val="04A0" w:firstRow="1" w:lastRow="0" w:firstColumn="1" w:lastColumn="0" w:noHBand="0" w:noVBand="1"/>
      </w:tblPr>
      <w:tblGrid>
        <w:gridCol w:w="9720"/>
      </w:tblGrid>
      <w:tr w:rsidR="00EC6DF4" w:rsidRPr="00C53F10" w14:paraId="5B87D40F" w14:textId="77777777" w:rsidTr="00F56A62">
        <w:tc>
          <w:tcPr>
            <w:tcW w:w="9720" w:type="dxa"/>
            <w:shd w:val="clear" w:color="auto" w:fill="CCFFFF"/>
          </w:tcPr>
          <w:p w14:paraId="2B1BA1C2" w14:textId="47A67378" w:rsidR="0083061A" w:rsidRPr="00C53F10" w:rsidRDefault="0083061A" w:rsidP="00035729">
            <w:pPr>
              <w:numPr>
                <w:ilvl w:val="0"/>
                <w:numId w:val="12"/>
              </w:numPr>
              <w:spacing w:after="120" w:line="276" w:lineRule="auto"/>
              <w:ind w:left="357" w:hanging="357"/>
              <w:jc w:val="both"/>
              <w:rPr>
                <w:rFonts w:ascii="Tahoma" w:eastAsia="Calibri" w:hAnsi="Tahoma" w:cs="Tahoma"/>
              </w:rPr>
            </w:pPr>
            <w:r w:rsidRPr="00C53F10">
              <w:rPr>
                <w:rFonts w:ascii="Tahoma" w:eastAsia="+mn-ea" w:hAnsi="Tahoma" w:cs="Tahoma"/>
                <w:b/>
                <w:bCs/>
                <w:color w:val="002060"/>
              </w:rPr>
              <w:t xml:space="preserve">Continuarea măsurilor pentru redresare economică, </w:t>
            </w:r>
            <w:r w:rsidRPr="00C53F10">
              <w:rPr>
                <w:rFonts w:ascii="Tahoma" w:eastAsia="+mn-ea" w:hAnsi="Tahoma" w:cs="Tahoma"/>
                <w:bCs/>
              </w:rPr>
              <w:t>accelerarea creșterii economice, menținerea și susținerea unui nou</w:t>
            </w:r>
            <w:r w:rsidRPr="00C53F10">
              <w:rPr>
                <w:rFonts w:ascii="Tahoma" w:eastAsia="Calibri" w:hAnsi="Tahoma" w:cs="Tahoma"/>
              </w:rPr>
              <w:t xml:space="preserve"> cadru de dezvoltare durabilă, justă și incluzivă care să asigure o tranziție eficientă economic, suportabilă social și axată pe competitivitate, inovație și decarbonizare care să conducă la eliminarea vulnerabilităților din economie și să asigure un nivel de trai decent;</w:t>
            </w:r>
          </w:p>
          <w:p w14:paraId="5E19595B" w14:textId="2BA79EA5" w:rsidR="0083061A" w:rsidRPr="00C53F10" w:rsidRDefault="0083061A" w:rsidP="00035729">
            <w:pPr>
              <w:numPr>
                <w:ilvl w:val="0"/>
                <w:numId w:val="12"/>
              </w:numPr>
              <w:spacing w:before="120" w:after="120" w:line="276" w:lineRule="auto"/>
              <w:ind w:left="357" w:hanging="357"/>
              <w:jc w:val="both"/>
              <w:rPr>
                <w:rFonts w:ascii="Tahoma" w:eastAsia="Calibri" w:hAnsi="Tahoma" w:cs="Tahoma"/>
                <w:color w:val="000000"/>
                <w:u w:val="single"/>
              </w:rPr>
            </w:pPr>
            <w:r w:rsidRPr="00C53F10">
              <w:rPr>
                <w:rFonts w:ascii="Tahoma" w:eastAsia="+mn-ea" w:hAnsi="Tahoma" w:cs="Tahoma"/>
                <w:b/>
                <w:bCs/>
                <w:color w:val="000066"/>
              </w:rPr>
              <w:t xml:space="preserve">Continuarea realizării graduale a consolidării fiscale </w:t>
            </w:r>
            <w:r w:rsidRPr="00C53F10">
              <w:rPr>
                <w:rFonts w:ascii="Tahoma" w:eastAsia="Calibri" w:hAnsi="Tahoma" w:cs="Tahoma"/>
                <w:color w:val="000000"/>
              </w:rPr>
              <w:t xml:space="preserve">contribuind, în acest fel la scăderea inflației, a ratelor dobânzilor, a deficitului comercial și de cont curent al balanței de plăți, precum şi la stabilitatea cursului valutar al leului, ținând seama de fragilitatea mediului intern și extern, de efortul bugetar ce trebuie alocat noii legi privind sistemul de pensii și implementarea reformelor din PNRR care trebuiesc finalizate până </w:t>
            </w:r>
            <w:r w:rsidR="00820BD7">
              <w:rPr>
                <w:rFonts w:ascii="Tahoma" w:eastAsia="Calibri" w:hAnsi="Tahoma" w:cs="Tahoma"/>
                <w:color w:val="000000"/>
              </w:rPr>
              <w:t>î</w:t>
            </w:r>
            <w:r w:rsidRPr="00C53F10">
              <w:rPr>
                <w:rFonts w:ascii="Tahoma" w:eastAsia="Calibri" w:hAnsi="Tahoma" w:cs="Tahoma"/>
                <w:color w:val="000000"/>
              </w:rPr>
              <w:t>n anul 2026.</w:t>
            </w:r>
          </w:p>
          <w:p w14:paraId="08809127" w14:textId="513E2A44" w:rsidR="0083061A" w:rsidRPr="00C53F10" w:rsidRDefault="0083061A" w:rsidP="00035729">
            <w:pPr>
              <w:numPr>
                <w:ilvl w:val="0"/>
                <w:numId w:val="12"/>
              </w:numPr>
              <w:spacing w:before="120" w:after="120" w:line="276" w:lineRule="auto"/>
              <w:ind w:left="357" w:hanging="357"/>
              <w:jc w:val="both"/>
              <w:rPr>
                <w:rFonts w:ascii="Tahoma" w:eastAsia="Calibri" w:hAnsi="Tahoma" w:cs="Tahoma"/>
              </w:rPr>
            </w:pPr>
            <w:r w:rsidRPr="00C53F10">
              <w:rPr>
                <w:rFonts w:ascii="Tahoma" w:eastAsia="+mn-ea" w:hAnsi="Tahoma" w:cs="Tahoma"/>
                <w:b/>
                <w:bCs/>
                <w:color w:val="000066"/>
              </w:rPr>
              <w:t>Reforma, prioritizarea și programarea multianuală a investițiilor publice</w:t>
            </w:r>
            <w:r w:rsidRPr="00C53F10">
              <w:rPr>
                <w:rFonts w:ascii="Tahoma" w:eastAsia="+mn-ea" w:hAnsi="Tahoma" w:cs="Tahoma"/>
                <w:bCs/>
                <w:color w:val="000000"/>
              </w:rPr>
              <w:t xml:space="preserve"> </w:t>
            </w:r>
            <w:r w:rsidRPr="00C53F10">
              <w:rPr>
                <w:rFonts w:ascii="Tahoma" w:eastAsia="+mn-ea" w:hAnsi="Tahoma" w:cs="Tahoma"/>
              </w:rPr>
              <w:t xml:space="preserve">într-o manieră eficientă, profesionistă și transparentă cu efect multiplicator şi aport direct la formarea brută de capital fix, </w:t>
            </w:r>
            <w:r w:rsidRPr="00C53F10">
              <w:rPr>
                <w:rFonts w:ascii="Tahoma" w:eastAsia="+mn-ea" w:hAnsi="Tahoma" w:cs="Tahoma"/>
                <w:bCs/>
              </w:rPr>
              <w:t>prin creșterea aportului fondurilor europene aferente cadrului financiar 2021-2027 și cele aferente Mecanismului de Redresare și Reziliență ce finanțează reformele și investițiile stabilite prin Programul Național de Redresare și Reziliență, cel mai mare pachet de stimulare din resursele europene alocate României;</w:t>
            </w:r>
          </w:p>
          <w:p w14:paraId="474D43F5" w14:textId="65271590" w:rsidR="0083061A" w:rsidRPr="00C53F10" w:rsidRDefault="0083061A" w:rsidP="00A879FF">
            <w:pPr>
              <w:numPr>
                <w:ilvl w:val="0"/>
                <w:numId w:val="12"/>
              </w:numPr>
              <w:shd w:val="clear" w:color="auto" w:fill="CCFFFF"/>
              <w:spacing w:before="120" w:after="120" w:line="276" w:lineRule="auto"/>
              <w:ind w:left="357" w:hanging="357"/>
              <w:jc w:val="both"/>
              <w:rPr>
                <w:rFonts w:ascii="Tahoma" w:eastAsia="Calibri" w:hAnsi="Tahoma" w:cs="Tahoma"/>
              </w:rPr>
            </w:pPr>
            <w:r w:rsidRPr="00C53F10">
              <w:rPr>
                <w:rFonts w:ascii="Tahoma" w:eastAsia="+mn-ea" w:hAnsi="Tahoma" w:cs="Tahoma"/>
                <w:b/>
                <w:bCs/>
                <w:color w:val="000066"/>
              </w:rPr>
              <w:t xml:space="preserve">Consolidarea unei politici fiscale predictibile </w:t>
            </w:r>
            <w:r w:rsidRPr="00C53F10">
              <w:rPr>
                <w:rFonts w:ascii="Tahoma" w:eastAsia="+mn-ea" w:hAnsi="Tahoma" w:cs="Tahoma"/>
                <w:bCs/>
              </w:rPr>
              <w:t xml:space="preserve">angajate pe panta de reducere a deficitului bugetar, pentru susținerea și adaptarea mediului de afaceri la provocările ridicate de suita de crize cu care se confruntă societatea, simplificarea fiscalității și </w:t>
            </w:r>
            <w:r w:rsidRPr="00C53F10">
              <w:rPr>
                <w:rFonts w:ascii="Tahoma" w:eastAsia="Calibri" w:hAnsi="Tahoma" w:cs="Tahoma"/>
                <w:bCs/>
              </w:rPr>
              <w:t>perfecționarea legislației în funcție de fenomenele evazioniste</w:t>
            </w:r>
            <w:r w:rsidRPr="00C53F10">
              <w:rPr>
                <w:rFonts w:ascii="Tahoma" w:eastAsia="+mn-ea" w:hAnsi="Tahoma" w:cs="Tahoma"/>
                <w:bCs/>
              </w:rPr>
              <w:t xml:space="preserve">, </w:t>
            </w:r>
            <w:r w:rsidR="00820BD7">
              <w:rPr>
                <w:rFonts w:ascii="Tahoma" w:eastAsia="+mn-ea" w:hAnsi="Tahoma" w:cs="Tahoma"/>
              </w:rPr>
              <w:t xml:space="preserve">pentru a crea </w:t>
            </w:r>
            <w:r w:rsidRPr="00C53F10">
              <w:rPr>
                <w:rFonts w:ascii="Tahoma" w:eastAsia="+mn-ea" w:hAnsi="Tahoma" w:cs="Tahoma"/>
              </w:rPr>
              <w:t>premisa unei creșteri economice sănătoase și durabile;</w:t>
            </w:r>
          </w:p>
          <w:p w14:paraId="7A34F015" w14:textId="77777777" w:rsidR="0083061A" w:rsidRPr="00C53F10" w:rsidRDefault="0083061A" w:rsidP="00035729">
            <w:pPr>
              <w:numPr>
                <w:ilvl w:val="0"/>
                <w:numId w:val="12"/>
              </w:numPr>
              <w:spacing w:before="120" w:after="120" w:line="276" w:lineRule="auto"/>
              <w:ind w:left="357" w:hanging="357"/>
              <w:jc w:val="both"/>
              <w:rPr>
                <w:rFonts w:ascii="Tahoma" w:hAnsi="Tahoma" w:cs="Tahoma"/>
              </w:rPr>
            </w:pPr>
            <w:r w:rsidRPr="00C53F10">
              <w:rPr>
                <w:rFonts w:ascii="Tahoma" w:eastAsia="+mn-ea" w:hAnsi="Tahoma" w:cs="Tahoma"/>
                <w:b/>
                <w:bCs/>
                <w:color w:val="000066"/>
              </w:rPr>
              <w:t xml:space="preserve">Dezvoltarea şi diversificarea instrumentelor de management ale datoriei publice </w:t>
            </w:r>
            <w:r w:rsidRPr="00C53F10">
              <w:rPr>
                <w:rFonts w:ascii="Tahoma" w:eastAsia="+mn-ea" w:hAnsi="Tahoma" w:cs="Tahoma"/>
                <w:bCs/>
              </w:rPr>
              <w:t>pentru menținerea datoriei publice la un nivel sustenabil;</w:t>
            </w:r>
          </w:p>
          <w:p w14:paraId="5BEB4CEA" w14:textId="79E8ED46" w:rsidR="0083061A" w:rsidRPr="00C53F10" w:rsidRDefault="0083061A" w:rsidP="00035729">
            <w:pPr>
              <w:numPr>
                <w:ilvl w:val="0"/>
                <w:numId w:val="12"/>
              </w:numPr>
              <w:spacing w:before="120" w:after="120" w:line="276" w:lineRule="auto"/>
              <w:ind w:left="357" w:hanging="357"/>
              <w:jc w:val="both"/>
              <w:rPr>
                <w:rFonts w:ascii="Tahoma" w:eastAsia="Calibri" w:hAnsi="Tahoma" w:cs="Tahoma"/>
                <w:color w:val="000000"/>
              </w:rPr>
            </w:pPr>
            <w:r w:rsidRPr="00C53F10">
              <w:rPr>
                <w:rFonts w:ascii="Tahoma" w:eastAsia="Calibri" w:hAnsi="Tahoma" w:cs="Tahoma"/>
                <w:b/>
                <w:color w:val="000066"/>
              </w:rPr>
              <w:t>Măsuri pentru crearea și consolidarea finanțelor publice</w:t>
            </w:r>
            <w:r w:rsidRPr="00C53F10">
              <w:rPr>
                <w:rFonts w:ascii="Tahoma" w:eastAsia="Calibri" w:hAnsi="Tahoma" w:cs="Tahoma"/>
                <w:color w:val="000000"/>
              </w:rPr>
              <w:t xml:space="preserve">, </w:t>
            </w:r>
            <w:r w:rsidRPr="00C53F10">
              <w:rPr>
                <w:rFonts w:ascii="Tahoma" w:eastAsia="Calibri" w:hAnsi="Tahoma" w:cs="Tahoma"/>
                <w:b/>
                <w:color w:val="000066"/>
              </w:rPr>
              <w:t xml:space="preserve">prin eficientizarea calitativă a cheltuielilor publice, îmbunătățirea programării bugetare </w:t>
            </w:r>
            <w:r w:rsidRPr="00C53F10">
              <w:rPr>
                <w:rFonts w:ascii="Tahoma" w:eastAsia="Calibri" w:hAnsi="Tahoma" w:cs="Tahoma"/>
              </w:rPr>
              <w:t xml:space="preserve">cu focalizare pe </w:t>
            </w:r>
            <w:r w:rsidRPr="00C53F10">
              <w:rPr>
                <w:rFonts w:ascii="Tahoma" w:eastAsia="Calibri" w:hAnsi="Tahoma" w:cs="Tahoma"/>
                <w:color w:val="000000"/>
              </w:rPr>
              <w:t>:</w:t>
            </w:r>
          </w:p>
          <w:p w14:paraId="6CF28D70" w14:textId="1EBECC7C" w:rsidR="0083061A" w:rsidRPr="00C53F10" w:rsidRDefault="0083061A" w:rsidP="00035729">
            <w:pPr>
              <w:numPr>
                <w:ilvl w:val="0"/>
                <w:numId w:val="13"/>
              </w:numPr>
              <w:spacing w:before="120" w:after="120" w:line="276" w:lineRule="auto"/>
              <w:ind w:left="697" w:hanging="357"/>
              <w:jc w:val="both"/>
              <w:rPr>
                <w:rFonts w:ascii="Tahoma" w:eastAsia="Calibri" w:hAnsi="Tahoma" w:cs="Tahoma"/>
              </w:rPr>
            </w:pPr>
            <w:r w:rsidRPr="00C53F10">
              <w:rPr>
                <w:rFonts w:ascii="Tahoma" w:eastAsia="Calibri" w:hAnsi="Tahoma" w:cs="Tahoma"/>
              </w:rPr>
              <w:t>Finanțarea unor măsuri active economice pentru sprijinirea grupurilor celor mai vulnerabile, reforme în domeniul muncii, al pensiilor, al sprijinirii IMM al căror lanț de aprovizionare a fost puternic afectat de războiul împotriva Ucrainei;</w:t>
            </w:r>
          </w:p>
          <w:p w14:paraId="3028F920" w14:textId="357A67C9" w:rsidR="0083061A" w:rsidRPr="00C53F10" w:rsidRDefault="0083061A" w:rsidP="00035729">
            <w:pPr>
              <w:numPr>
                <w:ilvl w:val="0"/>
                <w:numId w:val="13"/>
              </w:numPr>
              <w:spacing w:after="120" w:line="276" w:lineRule="auto"/>
              <w:ind w:left="697" w:hanging="357"/>
              <w:jc w:val="both"/>
              <w:rPr>
                <w:rFonts w:ascii="Tahoma" w:eastAsia="Calibri" w:hAnsi="Tahoma" w:cs="Tahoma"/>
              </w:rPr>
            </w:pPr>
            <w:r w:rsidRPr="00C53F10">
              <w:rPr>
                <w:rFonts w:ascii="Tahoma" w:eastAsia="Calibri" w:hAnsi="Tahoma" w:cs="Tahoma"/>
              </w:rPr>
              <w:t>Îmbunătățirea programării bugetare prin consolidarea bugetării pe programe pe bază de indicatori de rezultat</w:t>
            </w:r>
            <w:r w:rsidR="00820BD7">
              <w:rPr>
                <w:rFonts w:ascii="Tahoma" w:eastAsia="Calibri" w:hAnsi="Tahoma" w:cs="Tahoma"/>
              </w:rPr>
              <w:t xml:space="preserve"> pentru o construcție bugetară </w:t>
            </w:r>
            <w:r w:rsidRPr="00C53F10">
              <w:rPr>
                <w:rFonts w:ascii="Tahoma" w:eastAsia="Calibri" w:hAnsi="Tahoma" w:cs="Tahoma"/>
              </w:rPr>
              <w:t xml:space="preserve">credibilă și responsabilă, care să permită transparența deplină a cheltuielilor publice, îmbunătățirea clarității și coerenței procesului de bugetare, prioritizarea politicilor sectoriale și asigurarea </w:t>
            </w:r>
            <w:r w:rsidRPr="00C53F10">
              <w:rPr>
                <w:rFonts w:ascii="Tahoma" w:eastAsia="Calibri" w:hAnsi="Tahoma" w:cs="Tahoma"/>
              </w:rPr>
              <w:lastRenderedPageBreak/>
              <w:t>unei competiții reale între proiectele propuse spre finanțare și susținerea performanței;</w:t>
            </w:r>
          </w:p>
          <w:p w14:paraId="29B33869" w14:textId="1B1B1B09" w:rsidR="00EC6DF4" w:rsidRPr="00C53F10" w:rsidRDefault="0083061A" w:rsidP="00035729">
            <w:pPr>
              <w:numPr>
                <w:ilvl w:val="0"/>
                <w:numId w:val="13"/>
              </w:numPr>
              <w:spacing w:before="120" w:after="120" w:line="276" w:lineRule="auto"/>
              <w:ind w:left="697" w:right="283" w:hanging="357"/>
              <w:jc w:val="both"/>
              <w:rPr>
                <w:rFonts w:ascii="Tahoma" w:eastAsia="Calibri" w:hAnsi="Tahoma" w:cs="Tahoma"/>
              </w:rPr>
            </w:pPr>
            <w:r w:rsidRPr="00C53F10">
              <w:rPr>
                <w:rFonts w:ascii="Tahoma" w:eastAsia="Calibri" w:hAnsi="Tahoma" w:cs="Tahoma"/>
              </w:rPr>
              <w:t xml:space="preserve">Alocarea dirijată către priorități bine definite și mai multă responsabilitate în utilizarea fondurilor publice, realizate prin implementarea măsurilor de eficientizare a cheltuielilor </w:t>
            </w:r>
            <w:r w:rsidRPr="00C53F10">
              <w:rPr>
                <w:rFonts w:ascii="Tahoma" w:eastAsia="Calibri" w:hAnsi="Tahoma" w:cs="Tahoma"/>
                <w:lang w:val="es-ES"/>
              </w:rPr>
              <w:t>publice</w:t>
            </w:r>
            <w:r w:rsidRPr="00C53F10">
              <w:rPr>
                <w:rFonts w:ascii="Tahoma" w:eastAsia="Calibri" w:hAnsi="Tahoma" w:cs="Tahoma"/>
                <w:vertAlign w:val="superscript"/>
              </w:rPr>
              <w:footnoteReference w:id="1"/>
            </w:r>
            <w:r w:rsidRPr="00C53F10">
              <w:rPr>
                <w:rFonts w:ascii="Tahoma" w:eastAsia="Calibri" w:hAnsi="Tahoma" w:cs="Tahoma"/>
              </w:rPr>
              <w:t xml:space="preserve">, </w:t>
            </w:r>
            <w:r w:rsidRPr="00C53F10">
              <w:rPr>
                <w:rFonts w:ascii="Tahoma" w:eastAsia="Calibri" w:hAnsi="Tahoma" w:cs="Tahoma"/>
                <w:lang w:val="es-ES"/>
              </w:rPr>
              <w:t>prin utilizarea celor mai bune practici la nivel european și pentru</w:t>
            </w:r>
            <w:r w:rsidRPr="00C53F10">
              <w:rPr>
                <w:rFonts w:ascii="Tahoma" w:eastAsia="Calibri" w:hAnsi="Tahoma" w:cs="Tahoma"/>
              </w:rPr>
              <w:t xml:space="preserve"> evitarea risipei fondurilor publice;</w:t>
            </w:r>
          </w:p>
        </w:tc>
      </w:tr>
    </w:tbl>
    <w:p w14:paraId="451E2912" w14:textId="77777777" w:rsidR="00BA5E33" w:rsidRPr="00C53F10" w:rsidRDefault="00BA5E33" w:rsidP="000553FC">
      <w:pPr>
        <w:spacing w:line="276" w:lineRule="auto"/>
        <w:rPr>
          <w:b/>
          <w:bCs/>
        </w:rPr>
      </w:pPr>
    </w:p>
    <w:p w14:paraId="3040327E" w14:textId="0A155D68" w:rsidR="00546D34" w:rsidRPr="00C53F10" w:rsidRDefault="00546D34" w:rsidP="00244006">
      <w:pPr>
        <w:shd w:val="clear" w:color="auto" w:fill="CCFFFF"/>
        <w:spacing w:after="120" w:line="276" w:lineRule="auto"/>
        <w:jc w:val="both"/>
        <w:rPr>
          <w:rFonts w:eastAsiaTheme="minorHAnsi"/>
          <w:b/>
        </w:rPr>
      </w:pPr>
      <w:r w:rsidRPr="00C53F10">
        <w:rPr>
          <w:rFonts w:eastAsiaTheme="minorHAnsi"/>
        </w:rPr>
        <w:t xml:space="preserve">Bugetul pe anul </w:t>
      </w:r>
      <w:r w:rsidR="002A01B8" w:rsidRPr="00C53F10">
        <w:rPr>
          <w:rFonts w:eastAsiaTheme="minorHAnsi"/>
        </w:rPr>
        <w:t>202</w:t>
      </w:r>
      <w:r w:rsidR="00C53F10">
        <w:rPr>
          <w:rFonts w:eastAsiaTheme="minorHAnsi"/>
        </w:rPr>
        <w:t>4</w:t>
      </w:r>
      <w:r w:rsidR="002A01B8" w:rsidRPr="00C53F10">
        <w:rPr>
          <w:rFonts w:eastAsiaTheme="minorHAnsi"/>
        </w:rPr>
        <w:t xml:space="preserve"> </w:t>
      </w:r>
      <w:r w:rsidRPr="00C53F10">
        <w:rPr>
          <w:rFonts w:eastAsiaTheme="minorHAnsi"/>
        </w:rPr>
        <w:t xml:space="preserve">a fost construit cu un </w:t>
      </w:r>
      <w:r w:rsidRPr="00C53F10">
        <w:rPr>
          <w:rFonts w:eastAsiaTheme="minorHAnsi"/>
          <w:b/>
        </w:rPr>
        <w:t xml:space="preserve">deficit cash de </w:t>
      </w:r>
      <w:r w:rsidR="00C53F10">
        <w:rPr>
          <w:rFonts w:eastAsiaTheme="minorHAnsi"/>
          <w:b/>
        </w:rPr>
        <w:t>5,0</w:t>
      </w:r>
      <w:r w:rsidRPr="00C53F10">
        <w:rPr>
          <w:rFonts w:eastAsiaTheme="minorHAnsi"/>
          <w:b/>
        </w:rPr>
        <w:t>% din PIB</w:t>
      </w:r>
      <w:r w:rsidRPr="00C53F10">
        <w:rPr>
          <w:rFonts w:eastAsiaTheme="minorHAnsi"/>
        </w:rPr>
        <w:t xml:space="preserve"> (venituri </w:t>
      </w:r>
      <w:r w:rsidR="00C53F10">
        <w:rPr>
          <w:rFonts w:eastAsiaTheme="minorHAnsi"/>
        </w:rPr>
        <w:t>33,81</w:t>
      </w:r>
      <w:r w:rsidRPr="00C53F10">
        <w:rPr>
          <w:rFonts w:eastAsiaTheme="minorHAnsi"/>
        </w:rPr>
        <w:t xml:space="preserve">% din PIB și cheltuieli </w:t>
      </w:r>
      <w:r w:rsidR="00C53F10">
        <w:rPr>
          <w:rFonts w:eastAsiaTheme="minorHAnsi"/>
        </w:rPr>
        <w:t>38,8</w:t>
      </w:r>
      <w:r w:rsidRPr="00C53F10">
        <w:rPr>
          <w:rFonts w:eastAsiaTheme="minorHAnsi"/>
        </w:rPr>
        <w:t xml:space="preserve">% din PIB) căruia îi corespunde un </w:t>
      </w:r>
      <w:r w:rsidRPr="00C53F10">
        <w:rPr>
          <w:rFonts w:eastAsiaTheme="minorHAnsi"/>
          <w:b/>
        </w:rPr>
        <w:t xml:space="preserve">deficit ESA de </w:t>
      </w:r>
      <w:r w:rsidR="00AE56C2" w:rsidRPr="00C53F10">
        <w:rPr>
          <w:rFonts w:eastAsiaTheme="minorHAnsi"/>
          <w:b/>
        </w:rPr>
        <w:t>4,</w:t>
      </w:r>
      <w:r w:rsidR="00C53F10">
        <w:rPr>
          <w:rFonts w:eastAsiaTheme="minorHAnsi"/>
          <w:b/>
        </w:rPr>
        <w:t>9</w:t>
      </w:r>
      <w:r w:rsidRPr="00C53F10">
        <w:rPr>
          <w:rFonts w:eastAsiaTheme="minorHAnsi"/>
          <w:b/>
        </w:rPr>
        <w:t>% din PIB</w:t>
      </w:r>
      <w:r w:rsidR="00AD0B22" w:rsidRPr="00C53F10">
        <w:rPr>
          <w:rFonts w:eastAsiaTheme="minorHAnsi"/>
          <w:b/>
        </w:rPr>
        <w:t xml:space="preserve"> și un deficit structural de </w:t>
      </w:r>
      <w:r w:rsidR="00C53F10">
        <w:rPr>
          <w:rFonts w:eastAsiaTheme="minorHAnsi"/>
          <w:b/>
        </w:rPr>
        <w:t>4,3</w:t>
      </w:r>
      <w:r w:rsidR="00AD0B22" w:rsidRPr="00C53F10">
        <w:rPr>
          <w:rFonts w:eastAsiaTheme="minorHAnsi"/>
          <w:b/>
        </w:rPr>
        <w:t>% din PIB</w:t>
      </w:r>
      <w:r w:rsidRPr="00C53F10">
        <w:rPr>
          <w:rFonts w:eastAsiaTheme="minorHAnsi"/>
          <w:b/>
        </w:rPr>
        <w:t>.</w:t>
      </w:r>
    </w:p>
    <w:p w14:paraId="57543FB6" w14:textId="75CD5016" w:rsidR="00A0005C" w:rsidRPr="00C53F10" w:rsidRDefault="00A0005C" w:rsidP="00244006">
      <w:pPr>
        <w:shd w:val="clear" w:color="auto" w:fill="CCFFFF"/>
        <w:spacing w:after="160" w:line="276" w:lineRule="auto"/>
        <w:jc w:val="both"/>
      </w:pPr>
      <w:r w:rsidRPr="00C53F10">
        <w:rPr>
          <w:b/>
        </w:rPr>
        <w:t>Veniturile bugetului general consolidat</w:t>
      </w:r>
      <w:r w:rsidRPr="00C53F10">
        <w:t xml:space="preserve"> au fost estimate în sumă de </w:t>
      </w:r>
      <w:r w:rsidR="00C53F10">
        <w:t>586,13</w:t>
      </w:r>
      <w:r w:rsidR="009D4923" w:rsidRPr="00C53F10">
        <w:t xml:space="preserve"> miliarde lei</w:t>
      </w:r>
      <w:r w:rsidRPr="00C53F10">
        <w:t xml:space="preserve">, reprezentând </w:t>
      </w:r>
      <w:r w:rsidR="00C53F10">
        <w:t>33,81</w:t>
      </w:r>
      <w:r w:rsidRPr="00C53F10">
        <w:t xml:space="preserve">% din PIB. </w:t>
      </w:r>
    </w:p>
    <w:p w14:paraId="4F15736B" w14:textId="1A67FB3D" w:rsidR="00A0005C" w:rsidRPr="00C53F10" w:rsidRDefault="00A0005C" w:rsidP="00244006">
      <w:pPr>
        <w:shd w:val="clear" w:color="auto" w:fill="CCFFFF"/>
        <w:spacing w:after="160" w:line="276" w:lineRule="auto"/>
        <w:jc w:val="both"/>
      </w:pPr>
      <w:r w:rsidRPr="00C53F10">
        <w:rPr>
          <w:b/>
        </w:rPr>
        <w:t>Cheltuielile bugetului general consolidat</w:t>
      </w:r>
      <w:r w:rsidRPr="00C53F10">
        <w:t xml:space="preserve"> au fost estimate în sumă de </w:t>
      </w:r>
      <w:r w:rsidR="00C53F10">
        <w:t>672,77</w:t>
      </w:r>
      <w:r w:rsidRPr="00C53F10">
        <w:t xml:space="preserve"> miliarde lei reprezentând </w:t>
      </w:r>
      <w:r w:rsidR="00C53F10">
        <w:t>38,</w:t>
      </w:r>
      <w:r w:rsidR="00C8369B" w:rsidRPr="00C53F10">
        <w:t>8</w:t>
      </w:r>
      <w:r w:rsidRPr="00C53F10">
        <w:t>% din PIB.</w:t>
      </w:r>
    </w:p>
    <w:p w14:paraId="09D4F679" w14:textId="36CD77B7" w:rsidR="00A0005C" w:rsidRDefault="00A0005C" w:rsidP="00D21F7F">
      <w:pPr>
        <w:pStyle w:val="ListParagraph"/>
        <w:shd w:val="clear" w:color="auto" w:fill="FFFFFF"/>
        <w:spacing w:before="360" w:after="120" w:line="276" w:lineRule="auto"/>
        <w:ind w:left="0"/>
        <w:jc w:val="both"/>
        <w:rPr>
          <w:rFonts w:cs="Tahoma"/>
          <w:b/>
          <w:sz w:val="24"/>
          <w:szCs w:val="24"/>
        </w:rPr>
      </w:pPr>
      <w:r w:rsidRPr="00C53F10">
        <w:rPr>
          <w:rFonts w:cs="Tahoma"/>
          <w:b/>
          <w:sz w:val="24"/>
          <w:szCs w:val="24"/>
        </w:rPr>
        <w:t>Măsurile care au stat la baza construcției bugetare pe</w:t>
      </w:r>
      <w:r w:rsidR="00E52D09" w:rsidRPr="00C53F10">
        <w:rPr>
          <w:rFonts w:cs="Tahoma"/>
          <w:b/>
          <w:sz w:val="24"/>
          <w:szCs w:val="24"/>
        </w:rPr>
        <w:t>ntru</w:t>
      </w:r>
      <w:r w:rsidRPr="00C53F10">
        <w:rPr>
          <w:rFonts w:cs="Tahoma"/>
          <w:b/>
          <w:sz w:val="24"/>
          <w:szCs w:val="24"/>
        </w:rPr>
        <w:t xml:space="preserve"> </w:t>
      </w:r>
      <w:r w:rsidR="00E52D09" w:rsidRPr="00C53F10">
        <w:rPr>
          <w:rFonts w:cs="Tahoma"/>
          <w:b/>
          <w:sz w:val="24"/>
          <w:szCs w:val="24"/>
        </w:rPr>
        <w:t>anul 202</w:t>
      </w:r>
      <w:r w:rsidR="00C53F10">
        <w:rPr>
          <w:rFonts w:cs="Tahoma"/>
          <w:b/>
          <w:sz w:val="24"/>
          <w:szCs w:val="24"/>
        </w:rPr>
        <w:t>4</w:t>
      </w:r>
      <w:r w:rsidRPr="00C53F10">
        <w:rPr>
          <w:rFonts w:cs="Tahoma"/>
          <w:b/>
          <w:sz w:val="24"/>
          <w:szCs w:val="24"/>
        </w:rPr>
        <w:t xml:space="preserve"> au fost:</w:t>
      </w:r>
    </w:p>
    <w:p w14:paraId="70730C1C" w14:textId="77777777" w:rsidR="007F0818" w:rsidRPr="007F0818" w:rsidRDefault="007F0818" w:rsidP="007F0818">
      <w:pPr>
        <w:pStyle w:val="ListParagraph"/>
        <w:shd w:val="clear" w:color="auto" w:fill="FFFFFF" w:themeFill="background1"/>
        <w:autoSpaceDE w:val="0"/>
        <w:autoSpaceDN w:val="0"/>
        <w:adjustRightInd w:val="0"/>
        <w:spacing w:before="120"/>
        <w:jc w:val="both"/>
        <w:rPr>
          <w:rFonts w:cs="Tahoma"/>
          <w:b/>
          <w:sz w:val="24"/>
          <w:szCs w:val="24"/>
        </w:rPr>
      </w:pPr>
      <w:r w:rsidRPr="007F0818">
        <w:rPr>
          <w:rFonts w:cs="Tahoma"/>
          <w:b/>
          <w:sz w:val="24"/>
          <w:szCs w:val="24"/>
        </w:rPr>
        <w:t>Pe parte de venituri:</w:t>
      </w:r>
    </w:p>
    <w:p w14:paraId="08A4738E" w14:textId="77777777" w:rsidR="007F0818" w:rsidRPr="007F0818" w:rsidRDefault="007F0818" w:rsidP="007F0818">
      <w:pPr>
        <w:autoSpaceDE w:val="0"/>
        <w:autoSpaceDN w:val="0"/>
        <w:adjustRightInd w:val="0"/>
        <w:spacing w:before="120"/>
        <w:jc w:val="both"/>
        <w:rPr>
          <w:rFonts w:ascii="Trebuchet MS" w:eastAsia="Times New Roman" w:hAnsi="Trebuchet MS" w:cs="Arial"/>
          <w:b/>
          <w:i/>
          <w:color w:val="002060"/>
          <w:sz w:val="12"/>
        </w:rPr>
      </w:pPr>
    </w:p>
    <w:p w14:paraId="27F1B8EC" w14:textId="77777777" w:rsidR="007F0818" w:rsidRPr="007F0818" w:rsidRDefault="007F0818" w:rsidP="007F0818">
      <w:pPr>
        <w:numPr>
          <w:ilvl w:val="0"/>
          <w:numId w:val="25"/>
        </w:numPr>
        <w:tabs>
          <w:tab w:val="num" w:pos="284"/>
        </w:tabs>
        <w:suppressAutoHyphens/>
        <w:spacing w:after="120" w:line="259" w:lineRule="auto"/>
        <w:ind w:left="568" w:hanging="284"/>
        <w:jc w:val="both"/>
        <w:rPr>
          <w:lang w:eastAsia="en-US"/>
        </w:rPr>
      </w:pPr>
      <w:r w:rsidRPr="007F0818">
        <w:rPr>
          <w:lang w:eastAsia="en-US"/>
        </w:rPr>
        <w:t>impozit minim de 1% pe cifra de afaceri pentru companii care înregistrează în anul precedent o cifră de afaceri de peste 50 milioane euro, și care în anul de calcul determină un impozit pe profit mai mic decât impozitul minim pe cifra de afaceri</w:t>
      </w:r>
      <w:r w:rsidRPr="007F0818">
        <w:rPr>
          <w:rFonts w:eastAsia="Times New Roman"/>
          <w:lang w:eastAsia="en-US"/>
        </w:rPr>
        <w:t xml:space="preserve">; Impozitul se aplică veniturilor totale ajustate cu </w:t>
      </w:r>
      <w:r w:rsidRPr="007F0818">
        <w:rPr>
          <w:lang w:eastAsia="en-US"/>
        </w:rPr>
        <w:t>venituri neimpozabile, investiții și amortizare;</w:t>
      </w:r>
    </w:p>
    <w:p w14:paraId="7F500142" w14:textId="7B4774DF" w:rsidR="007F0818" w:rsidRPr="007F0818" w:rsidRDefault="007F0818" w:rsidP="007F0818">
      <w:pPr>
        <w:numPr>
          <w:ilvl w:val="0"/>
          <w:numId w:val="25"/>
        </w:numPr>
        <w:tabs>
          <w:tab w:val="num" w:pos="284"/>
        </w:tabs>
        <w:suppressAutoHyphens/>
        <w:spacing w:after="120" w:line="259" w:lineRule="auto"/>
        <w:ind w:left="568" w:hanging="284"/>
        <w:jc w:val="both"/>
        <w:rPr>
          <w:sz w:val="22"/>
          <w:szCs w:val="22"/>
          <w:lang w:eastAsia="en-US"/>
        </w:rPr>
      </w:pPr>
      <w:r w:rsidRPr="007F0818">
        <w:rPr>
          <w:szCs w:val="22"/>
          <w:lang w:eastAsia="en-US"/>
        </w:rPr>
        <w:t xml:space="preserve">impozit suplimentar pentru instituțiile de credit calculat prin aplicarea asupra cifrei de afaceri a unei cote de impozitare astfel: 2% în perioada 1 ianuarie 2024 – 31 decembrie 2025, respectiv </w:t>
      </w:r>
      <w:r w:rsidRPr="007F0818">
        <w:rPr>
          <w:rFonts w:eastAsia="Verdana"/>
          <w:bCs/>
          <w:iCs/>
        </w:rPr>
        <w:t xml:space="preserve">1% începând cu 1 ianuarie 2026; </w:t>
      </w:r>
    </w:p>
    <w:p w14:paraId="3B4D44C7" w14:textId="77777777" w:rsidR="007F0818" w:rsidRPr="007F0818" w:rsidRDefault="007F0818" w:rsidP="007F0818">
      <w:pPr>
        <w:numPr>
          <w:ilvl w:val="0"/>
          <w:numId w:val="25"/>
        </w:numPr>
        <w:tabs>
          <w:tab w:val="num" w:pos="284"/>
        </w:tabs>
        <w:suppressAutoHyphens/>
        <w:spacing w:after="120" w:line="259" w:lineRule="auto"/>
        <w:ind w:left="568" w:hanging="284"/>
        <w:jc w:val="both"/>
        <w:rPr>
          <w:sz w:val="22"/>
          <w:szCs w:val="22"/>
          <w:lang w:eastAsia="en-US"/>
        </w:rPr>
      </w:pPr>
      <w:r w:rsidRPr="007F0818">
        <w:rPr>
          <w:szCs w:val="22"/>
          <w:lang w:eastAsia="en-US"/>
        </w:rPr>
        <w:t>impozit suplimentar pentru operatorii din sectoarele petrol și gaze naturale, care înregistrează în anul precedent o cifră de afaceri de peste 50 milioane euro: se impune un impozit suplimentar de 0,5% din veniturile totale ajustate cu venituri neimpozabile, investiții și amortizări;</w:t>
      </w:r>
    </w:p>
    <w:p w14:paraId="1E544D41" w14:textId="63C8FFAA" w:rsidR="007F0818" w:rsidRPr="007F0818" w:rsidRDefault="007F0818" w:rsidP="007F0818">
      <w:pPr>
        <w:numPr>
          <w:ilvl w:val="0"/>
          <w:numId w:val="25"/>
        </w:numPr>
        <w:tabs>
          <w:tab w:val="num" w:pos="284"/>
        </w:tabs>
        <w:suppressAutoHyphens/>
        <w:spacing w:after="120" w:line="259" w:lineRule="auto"/>
        <w:ind w:left="568" w:hanging="284"/>
        <w:jc w:val="both"/>
        <w:rPr>
          <w:sz w:val="22"/>
          <w:szCs w:val="22"/>
          <w:lang w:eastAsia="en-US"/>
        </w:rPr>
      </w:pPr>
      <w:r w:rsidRPr="007F0818">
        <w:rPr>
          <w:szCs w:val="22"/>
          <w:lang w:eastAsia="en-US"/>
        </w:rPr>
        <w:t>instituirea a două cote de impozitare pe veniturile microîntreprinderilor, astfel: a) 1% pentru microîntreprinderile care realizează venituri ce nu depășesc 60.000 euro; b) 3% pentru microîntreprinderile care (i) realizează venituri peste 60.000 euro sau (ii) desfășoară activități, principale sau secundare, în domeniile editare produse software, facilități de cazare, restaurante, catering pentru evenimente, baruri, activități juridice (societățile cu personalitate juridică care nu sunt entități transparente fiscal, constituite de avocați), activități de asistență medicală generală sau specializată, stomatologie;</w:t>
      </w:r>
    </w:p>
    <w:p w14:paraId="23246A9E" w14:textId="06DA381F" w:rsidR="007F0818" w:rsidRPr="007F0818" w:rsidRDefault="007F0818" w:rsidP="007F0818">
      <w:pPr>
        <w:numPr>
          <w:ilvl w:val="0"/>
          <w:numId w:val="25"/>
        </w:numPr>
        <w:suppressAutoHyphens/>
        <w:spacing w:after="120" w:line="259" w:lineRule="auto"/>
        <w:ind w:left="568" w:hanging="284"/>
        <w:jc w:val="both"/>
        <w:rPr>
          <w:sz w:val="22"/>
          <w:szCs w:val="22"/>
          <w:lang w:eastAsia="en-US"/>
        </w:rPr>
      </w:pPr>
      <w:r w:rsidRPr="007F0818">
        <w:rPr>
          <w:szCs w:val="22"/>
          <w:lang w:eastAsia="en-US"/>
        </w:rPr>
        <w:t xml:space="preserve">revizuirea reglementării privind acordarea facilităților fiscale pentru persoanele fizice care obțin venituri din salarii și asimilate salariilor ca urmare a desfășurării activității de creare de programe pentru calculator: scutirea de la plata impozitului pe venit se </w:t>
      </w:r>
      <w:r w:rsidRPr="007F0818">
        <w:rPr>
          <w:szCs w:val="22"/>
          <w:lang w:eastAsia="en-US"/>
        </w:rPr>
        <w:lastRenderedPageBreak/>
        <w:t>aplică numai pentru veniturile realizate în baza unui singur contract individual de muncă și pentru veniturile brute lunare de până la 10.000 lei inclusiv. Suplimentar, persoanele fizice pot opta pentru plata contribuției datorată la fondul de pensii administrat privat. Aplicarea facilităților fiscale se limitează până la data de 31 decembrie 2028;</w:t>
      </w:r>
    </w:p>
    <w:p w14:paraId="471AE51F" w14:textId="57994184" w:rsidR="007F0818" w:rsidRPr="007F0818" w:rsidRDefault="007F0818" w:rsidP="007F0818">
      <w:pPr>
        <w:numPr>
          <w:ilvl w:val="0"/>
          <w:numId w:val="25"/>
        </w:numPr>
        <w:suppressAutoHyphens/>
        <w:spacing w:after="120" w:line="259" w:lineRule="auto"/>
        <w:ind w:left="568" w:hanging="284"/>
        <w:jc w:val="both"/>
        <w:rPr>
          <w:szCs w:val="22"/>
          <w:lang w:eastAsia="en-US"/>
        </w:rPr>
      </w:pPr>
      <w:r w:rsidRPr="007F0818">
        <w:rPr>
          <w:szCs w:val="22"/>
          <w:lang w:eastAsia="en-US"/>
        </w:rPr>
        <w:t>revizuirea reglementărilor privind acordarea facilităților fiscale în sectorul construcții, precum și în sectorul agricol și în industria alimentară: i) scutirea de la plata impozitului pe venit se aplică numai pentru veniturile realizate în baza unui singur contract individual de muncă, cu normă întreagă sau cu timp parțial, și  pentru veniturile brute lunare de până la 10.000 lei inclusiv; ii) eliminarea exceptării de la plata contribuției de asigurări sociale de sănătate; iii) scutirea de la plata contribuției de asigurări sociale datorată de angajatori pentru activitatea desfășurată în condiții deosebite, speciale sau în alte condiții de muncă;</w:t>
      </w:r>
    </w:p>
    <w:p w14:paraId="6DD4B92A" w14:textId="0DEF75B2" w:rsidR="007F0818" w:rsidRPr="007F0818" w:rsidRDefault="007F0818" w:rsidP="007F0818">
      <w:pPr>
        <w:numPr>
          <w:ilvl w:val="0"/>
          <w:numId w:val="25"/>
        </w:numPr>
        <w:tabs>
          <w:tab w:val="num" w:pos="284"/>
        </w:tabs>
        <w:suppressAutoHyphens/>
        <w:spacing w:after="120" w:line="259" w:lineRule="auto"/>
        <w:ind w:left="568" w:hanging="284"/>
        <w:jc w:val="both"/>
        <w:rPr>
          <w:lang w:eastAsia="en-US"/>
        </w:rPr>
      </w:pPr>
      <w:r w:rsidRPr="007F0818">
        <w:rPr>
          <w:lang w:eastAsia="en-US"/>
        </w:rPr>
        <w:t>includerea sumelor reprezentând valoarea nominală a tichetelor de masă și a voucherelor de vacanță acordate potrivit legii, în baza lunară de calcul al contribuției de asigurări sociale de sănătate pentru persoanele fizice care obțin venituri din salarii şi asimilate salariilor;</w:t>
      </w:r>
    </w:p>
    <w:p w14:paraId="14D07779" w14:textId="7F84568F" w:rsidR="007F0818" w:rsidRPr="007F0818" w:rsidRDefault="007F0818" w:rsidP="007F0818">
      <w:pPr>
        <w:numPr>
          <w:ilvl w:val="0"/>
          <w:numId w:val="25"/>
        </w:numPr>
        <w:tabs>
          <w:tab w:val="num" w:pos="284"/>
        </w:tabs>
        <w:suppressAutoHyphens/>
        <w:spacing w:after="120" w:line="259" w:lineRule="auto"/>
        <w:ind w:left="568" w:hanging="284"/>
        <w:jc w:val="both"/>
        <w:rPr>
          <w:lang w:eastAsia="en-US"/>
        </w:rPr>
      </w:pPr>
      <w:r w:rsidRPr="007F0818">
        <w:rPr>
          <w:lang w:eastAsia="en-US"/>
        </w:rPr>
        <w:t>modificarea regimului aplicabil din punct de vedere al contribuției de asigurări sociale de sănătate datorate în cazul persoanelor fizice care realizează venituri din activități independente. Persoanele fizice care realizează venituri din activități independente, din una sau mai multe surse, datorează contribuția de asigurări sociale de sănătate pe fiecare sursă de venit, la o bază anuală de calcul egală care nu poate fi mai mare decât cea corespunzătoare unei baze anuale de calcul egală cu nivelul de 60 salarii minime brute pe țară;</w:t>
      </w:r>
    </w:p>
    <w:p w14:paraId="1C841023" w14:textId="602DA0BC" w:rsidR="007F0818" w:rsidRPr="007F0818" w:rsidRDefault="007F0818" w:rsidP="007F0818">
      <w:pPr>
        <w:numPr>
          <w:ilvl w:val="0"/>
          <w:numId w:val="25"/>
        </w:numPr>
        <w:tabs>
          <w:tab w:val="num" w:pos="284"/>
        </w:tabs>
        <w:suppressAutoHyphens/>
        <w:spacing w:after="120" w:line="259" w:lineRule="auto"/>
        <w:ind w:left="568" w:hanging="284"/>
        <w:jc w:val="both"/>
        <w:rPr>
          <w:lang w:eastAsia="en-US"/>
        </w:rPr>
      </w:pPr>
      <w:r w:rsidRPr="007F0818">
        <w:rPr>
          <w:lang w:eastAsia="en-US"/>
        </w:rPr>
        <w:t xml:space="preserve">creșterea cotei de TVA de 5% la 9% pentru livrarea de locuințe sociale (cu păstrarea plafonului de 600 000 Lei), livrarea alimentelor de înaltă valoare calitativă,  livrarea şi instalarea de panouri fotovoltaice, panouri solare termice, pompe de căldură şi alte sisteme de încălzire de înaltă eficiență, pentru centre de </w:t>
      </w:r>
      <w:r w:rsidRPr="007F0818">
        <w:rPr>
          <w:lang w:val="es-ES" w:eastAsia="en-US"/>
        </w:rPr>
        <w:t>fitness</w:t>
      </w:r>
      <w:r w:rsidRPr="007F0818">
        <w:rPr>
          <w:lang w:eastAsia="en-US"/>
        </w:rPr>
        <w:t>/baze sportive, activități recreative (parcuri  de distracții /recreative, bâlciuri) și intrare evenimente sportive;</w:t>
      </w:r>
    </w:p>
    <w:p w14:paraId="116BC484" w14:textId="2664D522" w:rsidR="007F0818" w:rsidRPr="007F0818" w:rsidRDefault="007F0818" w:rsidP="007F0818">
      <w:pPr>
        <w:numPr>
          <w:ilvl w:val="0"/>
          <w:numId w:val="25"/>
        </w:numPr>
        <w:tabs>
          <w:tab w:val="num" w:pos="284"/>
        </w:tabs>
        <w:suppressAutoHyphens/>
        <w:spacing w:after="120" w:line="259" w:lineRule="auto"/>
        <w:ind w:left="568" w:hanging="284"/>
        <w:jc w:val="both"/>
        <w:rPr>
          <w:lang w:eastAsia="en-US"/>
        </w:rPr>
      </w:pPr>
      <w:r w:rsidRPr="007F0818">
        <w:rPr>
          <w:lang w:eastAsia="en-US"/>
        </w:rPr>
        <w:t>trecerea de la aplicarea cotei reduse de TVA de 9% la aplicarea cotei standard de TVA pentru livrarea de bere fără alcool și de alimente cu zahăr adăugat, al căror conținut total de zahăr este de minimum 10g/100g produs;</w:t>
      </w:r>
    </w:p>
    <w:p w14:paraId="6E5EBF76" w14:textId="1A5642F8" w:rsidR="007F0818" w:rsidRPr="007F0818" w:rsidRDefault="007F0818" w:rsidP="007F0818">
      <w:pPr>
        <w:numPr>
          <w:ilvl w:val="0"/>
          <w:numId w:val="25"/>
        </w:numPr>
        <w:tabs>
          <w:tab w:val="num" w:pos="284"/>
        </w:tabs>
        <w:suppressAutoHyphens/>
        <w:spacing w:after="120" w:line="259" w:lineRule="auto"/>
        <w:ind w:left="568" w:hanging="284"/>
        <w:jc w:val="both"/>
        <w:rPr>
          <w:lang w:eastAsia="en-US"/>
        </w:rPr>
      </w:pPr>
      <w:r w:rsidRPr="007F0818">
        <w:rPr>
          <w:lang w:eastAsia="en-US"/>
        </w:rPr>
        <w:t>Modificarea cotei de TVA de la 5% la 19% pentru transportul de persoane în scop turistic sau de agrement;</w:t>
      </w:r>
    </w:p>
    <w:p w14:paraId="43E404F5" w14:textId="77777777" w:rsidR="007F0818" w:rsidRPr="007F0818" w:rsidRDefault="007F0818" w:rsidP="007F0818">
      <w:pPr>
        <w:numPr>
          <w:ilvl w:val="0"/>
          <w:numId w:val="25"/>
        </w:numPr>
        <w:tabs>
          <w:tab w:val="num" w:pos="284"/>
        </w:tabs>
        <w:suppressAutoHyphens/>
        <w:spacing w:after="120" w:line="259" w:lineRule="auto"/>
        <w:ind w:left="568" w:hanging="284"/>
        <w:jc w:val="both"/>
        <w:rPr>
          <w:lang w:eastAsia="en-US"/>
        </w:rPr>
      </w:pPr>
      <w:r w:rsidRPr="007F0818">
        <w:rPr>
          <w:lang w:eastAsia="en-US"/>
        </w:rPr>
        <w:t>Introducerea în sfera produselor supuse accizelor nearmonizate a băuturilor nealcoolice cu zahăr adăugat/conținut de zahar între 5-8 g/100 ml 0.4 lei/litru și peste 8g/100 ml 0.6 lei/litru;</w:t>
      </w:r>
    </w:p>
    <w:p w14:paraId="1D9F04D8" w14:textId="33151FE8" w:rsidR="007F0818" w:rsidRPr="007F0818" w:rsidRDefault="007F0818" w:rsidP="007F0818">
      <w:pPr>
        <w:numPr>
          <w:ilvl w:val="0"/>
          <w:numId w:val="25"/>
        </w:numPr>
        <w:tabs>
          <w:tab w:val="num" w:pos="284"/>
        </w:tabs>
        <w:suppressAutoHyphens/>
        <w:spacing w:after="120" w:line="259" w:lineRule="auto"/>
        <w:ind w:left="568" w:hanging="284"/>
        <w:jc w:val="both"/>
        <w:rPr>
          <w:lang w:eastAsia="en-US"/>
        </w:rPr>
      </w:pPr>
      <w:r w:rsidRPr="007F0818">
        <w:rPr>
          <w:lang w:eastAsia="en-US"/>
        </w:rPr>
        <w:t>majorarea nivelului accizelor pentru produsele de tutun cu 7,5% de la 1 ian 2024;</w:t>
      </w:r>
    </w:p>
    <w:p w14:paraId="7889A423" w14:textId="77777777" w:rsidR="007F0818" w:rsidRPr="007F0818" w:rsidRDefault="007F0818" w:rsidP="007F0818">
      <w:pPr>
        <w:numPr>
          <w:ilvl w:val="0"/>
          <w:numId w:val="25"/>
        </w:numPr>
        <w:tabs>
          <w:tab w:val="num" w:pos="284"/>
        </w:tabs>
        <w:suppressAutoHyphens/>
        <w:spacing w:after="120" w:line="259" w:lineRule="auto"/>
        <w:ind w:left="568" w:hanging="284"/>
        <w:jc w:val="both"/>
        <w:rPr>
          <w:lang w:eastAsia="en-US"/>
        </w:rPr>
      </w:pPr>
      <w:r w:rsidRPr="007F0818">
        <w:rPr>
          <w:lang w:eastAsia="en-US"/>
        </w:rPr>
        <w:t>majorarea nivelului accizelor pentru produsele cu alcool cu 10% de la 1 ian 2024;</w:t>
      </w:r>
    </w:p>
    <w:p w14:paraId="536AD277" w14:textId="77777777" w:rsidR="007F0818" w:rsidRPr="007F0818" w:rsidRDefault="007F0818" w:rsidP="007F0818">
      <w:pPr>
        <w:numPr>
          <w:ilvl w:val="0"/>
          <w:numId w:val="25"/>
        </w:numPr>
        <w:tabs>
          <w:tab w:val="num" w:pos="284"/>
        </w:tabs>
        <w:suppressAutoHyphens/>
        <w:spacing w:after="120" w:line="259" w:lineRule="auto"/>
        <w:ind w:left="568" w:hanging="284"/>
        <w:jc w:val="both"/>
        <w:rPr>
          <w:lang w:eastAsia="en-US"/>
        </w:rPr>
      </w:pPr>
      <w:r w:rsidRPr="007F0818">
        <w:rPr>
          <w:lang w:eastAsia="en-US"/>
        </w:rPr>
        <w:t>impozitarea proprietăților imobiliare și mobiliare de valoare mare de 0,3% pentru proprietățile reprezentând clădiri rezidențiale, cota fiind aplicată asupra diferenței dintre valoarea impozabilă a clădirii comunicată de către organul fiscal local prin decizia de impunere și plafonul de 2.500.000 lei, respectiv în cazul autoturismelor, cota se aplică asupra diferenței dintre valoarea de achiziție și plafonul de 375.000 lei.</w:t>
      </w:r>
    </w:p>
    <w:p w14:paraId="441913E5" w14:textId="77777777" w:rsidR="007F0818" w:rsidRPr="007F0818" w:rsidRDefault="007F0818" w:rsidP="007F0818">
      <w:pPr>
        <w:tabs>
          <w:tab w:val="num" w:pos="284"/>
        </w:tabs>
        <w:suppressAutoHyphens/>
        <w:spacing w:after="160" w:line="259" w:lineRule="auto"/>
        <w:ind w:left="284"/>
        <w:contextualSpacing/>
        <w:jc w:val="both"/>
        <w:rPr>
          <w:lang w:eastAsia="en-US"/>
        </w:rPr>
      </w:pPr>
    </w:p>
    <w:p w14:paraId="111D0AEA" w14:textId="77777777" w:rsidR="007F0818" w:rsidRPr="007F0818" w:rsidRDefault="007F0818" w:rsidP="00D21F7F">
      <w:pPr>
        <w:pStyle w:val="ListParagraph"/>
        <w:keepLines/>
        <w:shd w:val="clear" w:color="auto" w:fill="FFFFFF" w:themeFill="background1"/>
        <w:rPr>
          <w:rFonts w:cs="Tahoma"/>
          <w:b/>
          <w:bCs/>
          <w:iCs/>
          <w:sz w:val="24"/>
          <w:szCs w:val="24"/>
          <w:lang w:eastAsia="en-US"/>
        </w:rPr>
      </w:pPr>
      <w:r w:rsidRPr="007F0818">
        <w:rPr>
          <w:rFonts w:cs="Tahoma"/>
          <w:b/>
          <w:bCs/>
          <w:iCs/>
          <w:sz w:val="24"/>
          <w:szCs w:val="24"/>
          <w:lang w:eastAsia="en-US"/>
        </w:rPr>
        <w:t>Pe parte de cheltuieli:</w:t>
      </w:r>
    </w:p>
    <w:p w14:paraId="22387ADE" w14:textId="77777777" w:rsidR="007F0818" w:rsidRPr="007F0818" w:rsidRDefault="007F0818" w:rsidP="00D21F7F">
      <w:pPr>
        <w:keepLines/>
        <w:shd w:val="clear" w:color="auto" w:fill="FFFFFF" w:themeFill="background1"/>
        <w:rPr>
          <w:rFonts w:eastAsia="Times New Roman"/>
          <w:sz w:val="18"/>
        </w:rPr>
      </w:pPr>
    </w:p>
    <w:p w14:paraId="6BCE518A" w14:textId="77777777" w:rsidR="007F0818" w:rsidRPr="007F0818" w:rsidRDefault="007F0818" w:rsidP="00D21F7F">
      <w:pPr>
        <w:keepLines/>
        <w:numPr>
          <w:ilvl w:val="0"/>
          <w:numId w:val="30"/>
        </w:numPr>
        <w:suppressAutoHyphens/>
        <w:spacing w:after="120" w:line="259" w:lineRule="auto"/>
        <w:ind w:left="567"/>
        <w:jc w:val="both"/>
        <w:rPr>
          <w:lang w:eastAsia="en-US"/>
        </w:rPr>
      </w:pPr>
      <w:r w:rsidRPr="007F0818">
        <w:rPr>
          <w:lang w:eastAsia="en-US"/>
        </w:rPr>
        <w:t xml:space="preserve">desființarea posturilor vacante; </w:t>
      </w:r>
    </w:p>
    <w:p w14:paraId="651B127E" w14:textId="77777777" w:rsidR="007F0818" w:rsidRPr="007F0818" w:rsidRDefault="007F0818" w:rsidP="00D21F7F">
      <w:pPr>
        <w:keepLines/>
        <w:numPr>
          <w:ilvl w:val="0"/>
          <w:numId w:val="30"/>
        </w:numPr>
        <w:suppressAutoHyphens/>
        <w:spacing w:after="120" w:line="259" w:lineRule="auto"/>
        <w:ind w:left="567"/>
        <w:jc w:val="both"/>
        <w:rPr>
          <w:lang w:eastAsia="en-US"/>
        </w:rPr>
      </w:pPr>
      <w:r w:rsidRPr="007F0818">
        <w:rPr>
          <w:lang w:eastAsia="en-US"/>
        </w:rPr>
        <w:t>majorarea normativelor pentru constituirea structurilor la nivel de serviciu/direcție/direcție generală: a) minimum 10 posturi de execuție pentru constituirea unui serviciu; b) minimum 20 posturi de execuție pentru constituirea unei direcții; c) minimum 35 de posturi de execuție pentru constituirea unei direcții generale;</w:t>
      </w:r>
    </w:p>
    <w:p w14:paraId="21DE42DE" w14:textId="77777777" w:rsidR="00C343D0" w:rsidRDefault="007F0818" w:rsidP="00D21F7F">
      <w:pPr>
        <w:keepLines/>
        <w:numPr>
          <w:ilvl w:val="0"/>
          <w:numId w:val="30"/>
        </w:numPr>
        <w:suppressAutoHyphens/>
        <w:spacing w:after="120" w:line="259" w:lineRule="auto"/>
        <w:ind w:left="567"/>
        <w:jc w:val="both"/>
        <w:rPr>
          <w:lang w:eastAsia="en-US"/>
        </w:rPr>
      </w:pPr>
      <w:r w:rsidRPr="007F0818">
        <w:rPr>
          <w:lang w:eastAsia="en-US"/>
        </w:rPr>
        <w:t>diminuarea ponderii funcțiilor publice de conducere în totalul funcțiilor la nivel ordonator principal de credite de la 12% la 8%;</w:t>
      </w:r>
    </w:p>
    <w:p w14:paraId="5AA15340" w14:textId="59EADAF1" w:rsidR="007F0818" w:rsidRPr="007F0818" w:rsidRDefault="007F0818" w:rsidP="00D21F7F">
      <w:pPr>
        <w:keepLines/>
        <w:numPr>
          <w:ilvl w:val="0"/>
          <w:numId w:val="30"/>
        </w:numPr>
        <w:suppressAutoHyphens/>
        <w:spacing w:after="120" w:line="259" w:lineRule="auto"/>
        <w:ind w:left="567"/>
        <w:jc w:val="both"/>
        <w:rPr>
          <w:lang w:eastAsia="en-US"/>
        </w:rPr>
      </w:pPr>
      <w:r w:rsidRPr="007F0818">
        <w:rPr>
          <w:lang w:eastAsia="en-US"/>
        </w:rPr>
        <w:t xml:space="preserve"> Limitarea funcțiilor de conducere la maxim 10% pentru celelalte categorii de personal bugetar; </w:t>
      </w:r>
    </w:p>
    <w:p w14:paraId="7A03922B" w14:textId="77777777" w:rsidR="007F0818" w:rsidRPr="007F0818" w:rsidRDefault="007F0818" w:rsidP="00D21F7F">
      <w:pPr>
        <w:keepLines/>
        <w:numPr>
          <w:ilvl w:val="0"/>
          <w:numId w:val="30"/>
        </w:numPr>
        <w:suppressAutoHyphens/>
        <w:spacing w:after="120" w:line="259" w:lineRule="auto"/>
        <w:ind w:left="567"/>
        <w:jc w:val="both"/>
        <w:rPr>
          <w:lang w:eastAsia="en-US"/>
        </w:rPr>
      </w:pPr>
      <w:r w:rsidRPr="007F0818">
        <w:rPr>
          <w:lang w:eastAsia="en-US"/>
        </w:rPr>
        <w:t>acordarea voucherelor de vacanță numai pentru funcționarii publici cu un venit sub nivelul unui plafon de 8.000 lei net/lunar. Valoarea voucherului de vacanță crește de la 1.450 lei/an la 1.600 lei/an pentru a nu fi afectați funcționarii de introducerea CASS de 10% la voucherele de vacanță;</w:t>
      </w:r>
    </w:p>
    <w:p w14:paraId="760B663E" w14:textId="77777777" w:rsidR="007F0818" w:rsidRPr="007F0818" w:rsidRDefault="007F0818" w:rsidP="00D21F7F">
      <w:pPr>
        <w:keepLines/>
        <w:numPr>
          <w:ilvl w:val="0"/>
          <w:numId w:val="30"/>
        </w:numPr>
        <w:suppressAutoHyphens/>
        <w:spacing w:after="120" w:line="259" w:lineRule="auto"/>
        <w:ind w:left="567"/>
        <w:jc w:val="both"/>
        <w:rPr>
          <w:lang w:eastAsia="en-US"/>
        </w:rPr>
      </w:pPr>
      <w:r w:rsidRPr="007F0818">
        <w:rPr>
          <w:lang w:eastAsia="en-US"/>
        </w:rPr>
        <w:t>acordarea indemnizației de hrană numai pentru funcționarii publici cu venituri sub 8.000 lei net/lunar;</w:t>
      </w:r>
    </w:p>
    <w:p w14:paraId="2E5E44A5" w14:textId="77777777" w:rsidR="007F0818" w:rsidRPr="007F0818" w:rsidRDefault="007F0818" w:rsidP="00D21F7F">
      <w:pPr>
        <w:keepLines/>
        <w:numPr>
          <w:ilvl w:val="0"/>
          <w:numId w:val="30"/>
        </w:numPr>
        <w:suppressAutoHyphens/>
        <w:spacing w:after="120" w:line="259" w:lineRule="auto"/>
        <w:ind w:left="567"/>
        <w:jc w:val="both"/>
        <w:rPr>
          <w:lang w:eastAsia="en-US"/>
        </w:rPr>
      </w:pPr>
      <w:r w:rsidRPr="007F0818">
        <w:rPr>
          <w:lang w:eastAsia="en-US"/>
        </w:rPr>
        <w:t>plafonarea sporului de condiții vătămătoare (sporul de antenă) de 15% din salariul de bază dar nu mai mult de 1.500 lei brut/lună pentru toate domeniile de activitate din sectorul bugetar;</w:t>
      </w:r>
    </w:p>
    <w:p w14:paraId="717C4BF9" w14:textId="77777777" w:rsidR="007F0818" w:rsidRPr="007F0818" w:rsidRDefault="007F0818" w:rsidP="00D21F7F">
      <w:pPr>
        <w:keepLines/>
        <w:numPr>
          <w:ilvl w:val="0"/>
          <w:numId w:val="30"/>
        </w:numPr>
        <w:suppressAutoHyphens/>
        <w:spacing w:after="120" w:line="259" w:lineRule="auto"/>
        <w:ind w:left="567"/>
        <w:jc w:val="both"/>
        <w:rPr>
          <w:lang w:eastAsia="en-US"/>
        </w:rPr>
      </w:pPr>
      <w:r w:rsidRPr="007F0818">
        <w:rPr>
          <w:lang w:eastAsia="en-US"/>
        </w:rPr>
        <w:t>aprobarea/modificarea de normative de cheltuieli pentru instituțiile și autoritățile publice în ce privește dotarea cu autoturisme si consumul de carburanți; Limitarea cheltuielilor cu achiziția de aparate de telefonie mobilă și de abonamente lunare de telefonie mobilă;</w:t>
      </w:r>
    </w:p>
    <w:p w14:paraId="3468516D" w14:textId="1C326153" w:rsidR="007F0818" w:rsidRPr="007F0818" w:rsidRDefault="007F0818" w:rsidP="00D21F7F">
      <w:pPr>
        <w:keepLines/>
        <w:numPr>
          <w:ilvl w:val="0"/>
          <w:numId w:val="30"/>
        </w:numPr>
        <w:tabs>
          <w:tab w:val="num" w:pos="284"/>
        </w:tabs>
        <w:suppressAutoHyphens/>
        <w:spacing w:after="120" w:line="259" w:lineRule="auto"/>
        <w:ind w:left="567"/>
        <w:jc w:val="both"/>
        <w:rPr>
          <w:b/>
          <w:color w:val="002060"/>
          <w:lang w:eastAsia="en-US"/>
        </w:rPr>
      </w:pPr>
      <w:r w:rsidRPr="007F0818">
        <w:rPr>
          <w:lang w:eastAsia="en-US"/>
        </w:rPr>
        <w:t>diminuarea cu cel puțin 25% a funcțiilor de demnitate publică de secretar de stat, consilier de stat/subsecretar de stat/vicepreședinte și a funcțiilor de demnitate publică asimilate acestora;</w:t>
      </w:r>
    </w:p>
    <w:p w14:paraId="21088C54" w14:textId="77777777" w:rsidR="007F0818" w:rsidRPr="007F0818" w:rsidRDefault="007F0818" w:rsidP="00D21F7F">
      <w:pPr>
        <w:keepLines/>
        <w:numPr>
          <w:ilvl w:val="0"/>
          <w:numId w:val="30"/>
        </w:numPr>
        <w:suppressAutoHyphens/>
        <w:spacing w:after="120" w:line="259" w:lineRule="auto"/>
        <w:ind w:left="567"/>
        <w:jc w:val="both"/>
        <w:rPr>
          <w:lang w:eastAsia="en-US"/>
        </w:rPr>
      </w:pPr>
      <w:r w:rsidRPr="007F0818">
        <w:rPr>
          <w:lang w:eastAsia="en-US"/>
        </w:rPr>
        <w:t>majorarea pensiilor de asigurări sociale cu 13,8% începând cu luna ianuarie și acordarea pensiilor recalculate conform noi legi a pensiilor începând cu luna septembrie;</w:t>
      </w:r>
    </w:p>
    <w:p w14:paraId="5FFC422A" w14:textId="0E4B4EFA" w:rsidR="007F0818" w:rsidRPr="007F0818" w:rsidRDefault="007F0818" w:rsidP="00D21F7F">
      <w:pPr>
        <w:keepLines/>
        <w:numPr>
          <w:ilvl w:val="0"/>
          <w:numId w:val="30"/>
        </w:numPr>
        <w:spacing w:after="120" w:line="276" w:lineRule="auto"/>
        <w:ind w:left="567"/>
        <w:jc w:val="both"/>
        <w:rPr>
          <w:rFonts w:eastAsia="Times New Roman"/>
          <w:noProof/>
          <w:kern w:val="2"/>
          <w:lang w:eastAsia="ar-SA"/>
        </w:rPr>
      </w:pPr>
      <w:r w:rsidRPr="007F0818">
        <w:rPr>
          <w:lang w:eastAsia="en-US"/>
        </w:rPr>
        <w:t>majorarea cu 5% a salariilor de bază ale personalului plătit din fonduri publice cu excepția personalului din învățământ care va beneficia de o majorare de 20%, ce va fi acordată în două tranșe de la 1 ianuarie și 1 iunie 2024;</w:t>
      </w:r>
    </w:p>
    <w:p w14:paraId="6B832251" w14:textId="77777777" w:rsidR="007F0818" w:rsidRPr="007F0818" w:rsidRDefault="007F0818" w:rsidP="00D21F7F">
      <w:pPr>
        <w:keepLines/>
        <w:numPr>
          <w:ilvl w:val="0"/>
          <w:numId w:val="30"/>
        </w:numPr>
        <w:spacing w:after="120" w:line="276" w:lineRule="auto"/>
        <w:ind w:left="567"/>
        <w:jc w:val="both"/>
        <w:rPr>
          <w:rFonts w:eastAsia="Times New Roman"/>
          <w:noProof/>
          <w:kern w:val="2"/>
          <w:lang w:eastAsia="ar-SA"/>
        </w:rPr>
      </w:pPr>
      <w:r w:rsidRPr="007F0818">
        <w:rPr>
          <w:rFonts w:eastAsia="Times New Roman"/>
          <w:noProof/>
          <w:kern w:val="2"/>
          <w:lang w:eastAsia="ar-SA"/>
        </w:rPr>
        <w:t>munca suplimentară efectuată peste durata normală a timpului de lucru de către personalul din sectorul bugetar încadrat în funcții de execuție sau de conducere, precum și munca prestată în zilele de repaus săptămânal, de sărbători legale și în celelalte zile în care, în conformitate cu reglementările în vigoare, nu se lucrează, în cadrul schimbului normal de lucru, se va compensa numai cu timp liber corespunzător, cu anumite exceptii prevăzute de lege;</w:t>
      </w:r>
    </w:p>
    <w:p w14:paraId="20C86E32" w14:textId="77777777" w:rsidR="007F0818" w:rsidRPr="007F0818" w:rsidRDefault="007F0818" w:rsidP="00D21F7F">
      <w:pPr>
        <w:keepLines/>
        <w:numPr>
          <w:ilvl w:val="0"/>
          <w:numId w:val="30"/>
        </w:numPr>
        <w:suppressAutoHyphens/>
        <w:spacing w:after="120" w:line="276" w:lineRule="auto"/>
        <w:ind w:left="567"/>
        <w:jc w:val="both"/>
        <w:rPr>
          <w:rFonts w:eastAsia="Times New Roman"/>
          <w:noProof/>
          <w:kern w:val="2"/>
          <w:lang w:eastAsia="ar-SA"/>
        </w:rPr>
      </w:pPr>
      <w:r w:rsidRPr="007F0818">
        <w:rPr>
          <w:lang w:eastAsia="en-US"/>
        </w:rPr>
        <w:lastRenderedPageBreak/>
        <w:t>instituţiile şi autorităţile publice nu acordă personalului din cadrul acestora bilete de valoare, cu excepţia tichetelor de creşă, reglementate de Legea nr. 165/2018 privind acordarea biletelor de valoare, cu modificările şi completările ulterioare;</w:t>
      </w:r>
    </w:p>
    <w:p w14:paraId="443835E0" w14:textId="77777777" w:rsidR="007F0818" w:rsidRPr="007F0818" w:rsidRDefault="007F0818" w:rsidP="00D21F7F">
      <w:pPr>
        <w:keepLines/>
        <w:numPr>
          <w:ilvl w:val="0"/>
          <w:numId w:val="30"/>
        </w:numPr>
        <w:spacing w:after="120" w:line="276" w:lineRule="auto"/>
        <w:ind w:left="567"/>
        <w:jc w:val="both"/>
        <w:rPr>
          <w:rFonts w:eastAsia="Times New Roman"/>
          <w:noProof/>
          <w:kern w:val="2"/>
          <w:lang w:eastAsia="ar-SA"/>
        </w:rPr>
      </w:pPr>
      <w:r w:rsidRPr="007F0818">
        <w:rPr>
          <w:lang w:eastAsia="en-US"/>
        </w:rPr>
        <w:t>instituţiile şi autorităţile publice nu acordă personalului din cadrul acestora premii;</w:t>
      </w:r>
      <w:r w:rsidRPr="007F0818" w:rsidDel="00CF7831">
        <w:rPr>
          <w:lang w:eastAsia="en-US"/>
        </w:rPr>
        <w:t xml:space="preserve"> </w:t>
      </w:r>
      <w:r w:rsidRPr="007F0818">
        <w:rPr>
          <w:lang w:eastAsia="en-US"/>
        </w:rPr>
        <w:t>cuantumul compensaţiei băneşti, respectiv al alocaţiei valorice pentru drepturile de hrană, valoarea financiară anuală a normelor de echipare şi valoarea financiară a drepturilor de echipament se menţin în plată la nivelul acordat pentru luna decembrie 2023;</w:t>
      </w:r>
    </w:p>
    <w:p w14:paraId="3B77B7AE" w14:textId="77777777" w:rsidR="007F0818" w:rsidRPr="007F0818" w:rsidRDefault="007F0818" w:rsidP="00D21F7F">
      <w:pPr>
        <w:keepLines/>
        <w:numPr>
          <w:ilvl w:val="0"/>
          <w:numId w:val="30"/>
        </w:numPr>
        <w:spacing w:after="120" w:line="276" w:lineRule="auto"/>
        <w:ind w:left="567"/>
        <w:jc w:val="both"/>
        <w:rPr>
          <w:rFonts w:eastAsia="Times New Roman"/>
          <w:lang w:eastAsia="en-US"/>
        </w:rPr>
      </w:pPr>
      <w:r w:rsidRPr="007F0818">
        <w:rPr>
          <w:rFonts w:eastAsia="Times New Roman"/>
          <w:lang w:eastAsia="en-US"/>
        </w:rPr>
        <w:t>suspendarea ocupării prin concurs sau examen a posturilor vacante sau temporar vacante;</w:t>
      </w:r>
    </w:p>
    <w:p w14:paraId="7ACE57DD" w14:textId="77777777" w:rsidR="007F0818" w:rsidRPr="007F0818" w:rsidRDefault="007F0818" w:rsidP="00D21F7F">
      <w:pPr>
        <w:keepLines/>
        <w:numPr>
          <w:ilvl w:val="0"/>
          <w:numId w:val="30"/>
        </w:numPr>
        <w:spacing w:after="120" w:line="276" w:lineRule="auto"/>
        <w:ind w:left="567"/>
        <w:jc w:val="both"/>
        <w:rPr>
          <w:rFonts w:eastAsia="Times New Roman"/>
          <w:noProof/>
          <w:kern w:val="2"/>
          <w:lang w:eastAsia="ar-SA"/>
        </w:rPr>
      </w:pPr>
      <w:r w:rsidRPr="007F0818">
        <w:rPr>
          <w:rFonts w:eastAsia="Times New Roman"/>
          <w:noProof/>
          <w:kern w:val="2"/>
          <w:lang w:eastAsia="ar-SA"/>
        </w:rPr>
        <w:t>neacordarea de ajutoare, plăți compensatorii la pensionare;</w:t>
      </w:r>
    </w:p>
    <w:p w14:paraId="590DA854" w14:textId="77777777" w:rsidR="007F0818" w:rsidRPr="007F0818" w:rsidRDefault="007F0818" w:rsidP="00D21F7F">
      <w:pPr>
        <w:keepLines/>
        <w:numPr>
          <w:ilvl w:val="0"/>
          <w:numId w:val="30"/>
        </w:numPr>
        <w:spacing w:after="120" w:line="276" w:lineRule="auto"/>
        <w:ind w:left="567"/>
        <w:jc w:val="both"/>
        <w:rPr>
          <w:rFonts w:eastAsia="Times New Roman"/>
          <w:noProof/>
          <w:kern w:val="2"/>
          <w:lang w:eastAsia="ar-SA"/>
        </w:rPr>
      </w:pPr>
      <w:r w:rsidRPr="007F0818">
        <w:rPr>
          <w:rFonts w:eastAsia="Times New Roman"/>
          <w:noProof/>
          <w:kern w:val="2"/>
          <w:lang w:eastAsia="ar-SA"/>
        </w:rPr>
        <w:t xml:space="preserve">menţinerea </w:t>
      </w:r>
      <w:r w:rsidRPr="007F0818">
        <w:rPr>
          <w:rFonts w:eastAsia="Times New Roman"/>
          <w:noProof/>
          <w:color w:val="000000"/>
          <w:kern w:val="2"/>
          <w:lang w:eastAsia="ar-SA"/>
        </w:rPr>
        <w:t xml:space="preserve">în anul 2024 </w:t>
      </w:r>
      <w:r w:rsidRPr="007F0818">
        <w:rPr>
          <w:rFonts w:eastAsia="Times New Roman"/>
          <w:noProof/>
          <w:kern w:val="2"/>
          <w:lang w:eastAsia="ar-SA"/>
        </w:rPr>
        <w:t>în plată la nivelul acordat/cuvenit pentru luna decembrie 2023 a unor drepturi (indemnizatia pentru activitatea de liber profesionist, cuantumul indemnizatiilor acordate membrilor Academiei Române, drepturi pentru recunoaşterea meritelor personalului participant la acţiuni militare, misiuni şi operaţii pe teritoriul sau în afara teritoriului statului român) etc;</w:t>
      </w:r>
    </w:p>
    <w:p w14:paraId="7BFF7FD8" w14:textId="77777777" w:rsidR="007F0818" w:rsidRPr="007F0818" w:rsidRDefault="007F0818" w:rsidP="00D21F7F">
      <w:pPr>
        <w:keepLines/>
        <w:numPr>
          <w:ilvl w:val="0"/>
          <w:numId w:val="30"/>
        </w:numPr>
        <w:spacing w:after="120" w:line="276" w:lineRule="auto"/>
        <w:ind w:left="567"/>
        <w:jc w:val="both"/>
        <w:rPr>
          <w:rFonts w:eastAsia="Times New Roman"/>
          <w:noProof/>
          <w:kern w:val="2"/>
          <w:lang w:eastAsia="ar-SA"/>
        </w:rPr>
      </w:pPr>
      <w:r w:rsidRPr="007F0818">
        <w:rPr>
          <w:lang w:eastAsia="en-US"/>
        </w:rPr>
        <w:t>rentele viagere prevăzute la art. 64 din Legea educaţiei fizice şi sportului nr. 69/2000, cu modificările şi completările ulterioare, se acordă în cuantumul aflat în plată în luna decembrie 2023;</w:t>
      </w:r>
    </w:p>
    <w:p w14:paraId="13D87FCD" w14:textId="77777777" w:rsidR="007F0818" w:rsidRPr="007F0818" w:rsidRDefault="007F0818" w:rsidP="00D21F7F">
      <w:pPr>
        <w:keepLines/>
        <w:numPr>
          <w:ilvl w:val="0"/>
          <w:numId w:val="30"/>
        </w:numPr>
        <w:spacing w:after="120" w:line="276" w:lineRule="auto"/>
        <w:ind w:left="567"/>
        <w:jc w:val="both"/>
        <w:rPr>
          <w:lang w:eastAsia="en-US"/>
        </w:rPr>
      </w:pPr>
      <w:r w:rsidRPr="007F0818">
        <w:rPr>
          <w:lang w:eastAsia="en-US"/>
        </w:rPr>
        <w:t>cuantumul lunar al indemnizaţiei de merit se menţine la nivelul din luna decembrie 2023, de 6.240 lei;</w:t>
      </w:r>
    </w:p>
    <w:p w14:paraId="73AB9889" w14:textId="77777777" w:rsidR="007F0818" w:rsidRPr="007F0818" w:rsidRDefault="007F0818" w:rsidP="00D21F7F">
      <w:pPr>
        <w:keepLines/>
        <w:numPr>
          <w:ilvl w:val="0"/>
          <w:numId w:val="30"/>
        </w:numPr>
        <w:spacing w:after="120" w:line="276" w:lineRule="auto"/>
        <w:ind w:left="567" w:hanging="357"/>
        <w:jc w:val="both"/>
        <w:rPr>
          <w:lang w:eastAsia="en-US"/>
        </w:rPr>
      </w:pPr>
      <w:r w:rsidRPr="007F0818">
        <w:rPr>
          <w:lang w:eastAsia="en-US"/>
        </w:rPr>
        <w:t>reduceri de tarife sau, după caz, gratuităţi, numai în limita a 3 călătorii dus-întors sau 6 călătorii simple, la facilităţile de transport stabilite prin acte normative pentru unele categorii de persoane;</w:t>
      </w:r>
    </w:p>
    <w:p w14:paraId="5F294740" w14:textId="77777777" w:rsidR="00F130EB" w:rsidRDefault="00F130EB" w:rsidP="00D21F7F">
      <w:pPr>
        <w:keepLines/>
        <w:spacing w:after="160" w:line="276" w:lineRule="auto"/>
        <w:jc w:val="both"/>
        <w:rPr>
          <w:rFonts w:eastAsia="Times New Roman"/>
          <w:iCs/>
          <w:lang w:eastAsia="en-US"/>
        </w:rPr>
      </w:pPr>
      <w:r w:rsidRPr="00F130EB">
        <w:rPr>
          <w:rFonts w:eastAsiaTheme="minorHAnsi"/>
          <w:b/>
          <w:lang w:eastAsia="en-US"/>
        </w:rPr>
        <w:t>Prima rectificare bugetară pe anul 202</w:t>
      </w:r>
      <w:r>
        <w:rPr>
          <w:rFonts w:eastAsiaTheme="minorHAnsi"/>
          <w:b/>
          <w:lang w:eastAsia="en-US"/>
        </w:rPr>
        <w:t>4</w:t>
      </w:r>
      <w:r w:rsidRPr="00F130EB">
        <w:rPr>
          <w:rFonts w:eastAsiaTheme="minorHAnsi"/>
          <w:lang w:eastAsia="en-US"/>
        </w:rPr>
        <w:t xml:space="preserve"> aprobată prin Ordonanța Guvernului nr.</w:t>
      </w:r>
      <w:r>
        <w:rPr>
          <w:rFonts w:eastAsiaTheme="minorHAnsi"/>
          <w:lang w:eastAsia="en-US"/>
        </w:rPr>
        <w:t>113</w:t>
      </w:r>
      <w:r w:rsidRPr="00F130EB">
        <w:rPr>
          <w:rFonts w:eastAsiaTheme="minorHAnsi"/>
          <w:lang w:eastAsia="en-US"/>
        </w:rPr>
        <w:t>/20</w:t>
      </w:r>
      <w:r>
        <w:rPr>
          <w:rFonts w:eastAsiaTheme="minorHAnsi"/>
          <w:lang w:eastAsia="en-US"/>
        </w:rPr>
        <w:t>24</w:t>
      </w:r>
      <w:r w:rsidRPr="00F130EB">
        <w:rPr>
          <w:rFonts w:eastAsiaTheme="minorHAnsi"/>
          <w:lang w:eastAsia="en-US"/>
        </w:rPr>
        <w:t xml:space="preserve">, </w:t>
      </w:r>
      <w:r w:rsidRPr="00F130EB">
        <w:rPr>
          <w:rFonts w:eastAsiaTheme="minorHAnsi"/>
          <w:lang w:val="en-US" w:eastAsia="en-US"/>
        </w:rPr>
        <w:t>cu privire la rectificarea bugetului de stat pe anul 2024</w:t>
      </w:r>
      <w:r>
        <w:rPr>
          <w:rFonts w:eastAsiaTheme="minorHAnsi"/>
          <w:lang w:val="en-US" w:eastAsia="en-US"/>
        </w:rPr>
        <w:t xml:space="preserve"> </w:t>
      </w:r>
      <w:r w:rsidRPr="00F130EB">
        <w:rPr>
          <w:rFonts w:eastAsiaTheme="minorHAnsi"/>
          <w:lang w:eastAsia="en-US"/>
        </w:rPr>
        <w:t>și respectiv Ordonanța de urgență a Guvernului nr.</w:t>
      </w:r>
      <w:r>
        <w:rPr>
          <w:rFonts w:eastAsiaTheme="minorHAnsi"/>
          <w:lang w:eastAsia="en-US"/>
        </w:rPr>
        <w:t>114</w:t>
      </w:r>
      <w:r w:rsidRPr="00F130EB">
        <w:rPr>
          <w:rFonts w:eastAsiaTheme="minorHAnsi"/>
          <w:lang w:eastAsia="en-US"/>
        </w:rPr>
        <w:t>/202</w:t>
      </w:r>
      <w:r>
        <w:rPr>
          <w:rFonts w:eastAsiaTheme="minorHAnsi"/>
          <w:lang w:eastAsia="en-US"/>
        </w:rPr>
        <w:t>4</w:t>
      </w:r>
      <w:r w:rsidRPr="00F130EB">
        <w:rPr>
          <w:rFonts w:eastAsiaTheme="minorHAnsi"/>
          <w:lang w:eastAsia="en-US"/>
        </w:rPr>
        <w:t>, pentru rectificarea bugetului asigurărilor sociale de stat pe anul 202</w:t>
      </w:r>
      <w:r>
        <w:rPr>
          <w:rFonts w:eastAsiaTheme="minorHAnsi"/>
          <w:lang w:eastAsia="en-US"/>
        </w:rPr>
        <w:t>4</w:t>
      </w:r>
      <w:r w:rsidRPr="00F130EB">
        <w:rPr>
          <w:rFonts w:eastAsiaTheme="minorHAnsi"/>
          <w:lang w:eastAsia="en-US"/>
        </w:rPr>
        <w:t xml:space="preserve">, </w:t>
      </w:r>
      <w:r w:rsidRPr="00F130EB">
        <w:rPr>
          <w:rFonts w:eastAsia="Times New Roman"/>
          <w:iCs/>
          <w:lang w:eastAsia="en-US"/>
        </w:rPr>
        <w:t>a fost determinată de:</w:t>
      </w:r>
    </w:p>
    <w:p w14:paraId="011E8B62" w14:textId="5DF01A2E" w:rsidR="00F130EB" w:rsidRPr="004B4C77" w:rsidRDefault="00F130EB" w:rsidP="00D21F7F">
      <w:pPr>
        <w:pStyle w:val="ListParagraph"/>
        <w:keepLines/>
        <w:numPr>
          <w:ilvl w:val="0"/>
          <w:numId w:val="37"/>
        </w:numPr>
        <w:spacing w:after="160" w:line="276" w:lineRule="auto"/>
        <w:ind w:left="567"/>
        <w:jc w:val="both"/>
        <w:rPr>
          <w:bCs/>
          <w:sz w:val="24"/>
          <w:szCs w:val="24"/>
          <w:lang w:eastAsia="en-US"/>
        </w:rPr>
      </w:pPr>
      <w:r w:rsidRPr="004B4C77">
        <w:rPr>
          <w:bCs/>
          <w:sz w:val="24"/>
          <w:szCs w:val="24"/>
          <w:lang w:eastAsia="en-US"/>
        </w:rPr>
        <w:t>Evoluția economică din prima parte a anului;</w:t>
      </w:r>
    </w:p>
    <w:p w14:paraId="0BD5E3A8" w14:textId="037917D7" w:rsidR="00F130EB" w:rsidRPr="00F130EB" w:rsidRDefault="00F130EB" w:rsidP="00D21F7F">
      <w:pPr>
        <w:keepLines/>
        <w:numPr>
          <w:ilvl w:val="0"/>
          <w:numId w:val="32"/>
        </w:numPr>
        <w:spacing w:before="120" w:after="120" w:line="276" w:lineRule="auto"/>
        <w:ind w:left="567" w:hanging="284"/>
        <w:jc w:val="both"/>
        <w:rPr>
          <w:rFonts w:eastAsia="Times New Roman"/>
          <w:bCs/>
          <w:lang w:eastAsia="en-US"/>
        </w:rPr>
      </w:pPr>
      <w:r w:rsidRPr="00F130EB">
        <w:rPr>
          <w:rFonts w:eastAsia="Times New Roman"/>
          <w:bCs/>
          <w:lang w:eastAsia="en-US"/>
        </w:rPr>
        <w:t>Analiza execuției bugetare pe primele șa</w:t>
      </w:r>
      <w:r w:rsidRPr="004B4C77">
        <w:rPr>
          <w:rFonts w:eastAsia="Times New Roman"/>
          <w:bCs/>
          <w:lang w:eastAsia="en-US"/>
        </w:rPr>
        <w:t>pte</w:t>
      </w:r>
      <w:r w:rsidRPr="00F130EB">
        <w:rPr>
          <w:rFonts w:eastAsia="Times New Roman"/>
          <w:bCs/>
          <w:lang w:eastAsia="en-US"/>
        </w:rPr>
        <w:t xml:space="preserve"> luni ale anului 202</w:t>
      </w:r>
      <w:r w:rsidRPr="004B4C77">
        <w:rPr>
          <w:rFonts w:eastAsia="Times New Roman"/>
          <w:bCs/>
          <w:lang w:eastAsia="en-US"/>
        </w:rPr>
        <w:t>4</w:t>
      </w:r>
      <w:r w:rsidRPr="00F130EB">
        <w:rPr>
          <w:rFonts w:eastAsia="Times New Roman"/>
          <w:bCs/>
          <w:lang w:eastAsia="en-US"/>
        </w:rPr>
        <w:t>;</w:t>
      </w:r>
    </w:p>
    <w:p w14:paraId="5DF87266" w14:textId="77777777" w:rsidR="00F130EB" w:rsidRPr="004B4C77" w:rsidRDefault="00F130EB" w:rsidP="00D21F7F">
      <w:pPr>
        <w:keepLines/>
        <w:numPr>
          <w:ilvl w:val="0"/>
          <w:numId w:val="32"/>
        </w:numPr>
        <w:spacing w:before="120" w:after="120" w:line="276" w:lineRule="auto"/>
        <w:ind w:left="567" w:hanging="284"/>
        <w:jc w:val="both"/>
        <w:rPr>
          <w:rFonts w:eastAsia="Times New Roman"/>
          <w:bCs/>
          <w:lang w:eastAsia="en-US"/>
        </w:rPr>
      </w:pPr>
      <w:r w:rsidRPr="004B4C77">
        <w:rPr>
          <w:rFonts w:eastAsia="Times New Roman"/>
          <w:bCs/>
          <w:lang w:eastAsia="en-US"/>
        </w:rPr>
        <w:t>Adoptarea unor acte normative prin care s-au reglementat măsuri de protecție socială pentru suportul populației, măsuri de sprijin a mediului de afaceri, precum și măsuri ce vizează domeniul sănătății, dintre care menționăm:</w:t>
      </w:r>
    </w:p>
    <w:p w14:paraId="1F49AC4A" w14:textId="77777777" w:rsidR="00F130EB" w:rsidRPr="00F130EB" w:rsidRDefault="00F130EB" w:rsidP="00D21F7F">
      <w:pPr>
        <w:keepLines/>
        <w:numPr>
          <w:ilvl w:val="0"/>
          <w:numId w:val="36"/>
        </w:numPr>
        <w:spacing w:before="120" w:after="120" w:line="276" w:lineRule="auto"/>
        <w:jc w:val="both"/>
        <w:rPr>
          <w:rFonts w:eastAsia="Times New Roman"/>
          <w:bCs/>
          <w:lang w:eastAsia="en-US"/>
        </w:rPr>
      </w:pPr>
      <w:r w:rsidRPr="00F130EB">
        <w:rPr>
          <w:rFonts w:eastAsia="Times New Roman"/>
          <w:bCs/>
          <w:lang w:eastAsia="en-US"/>
        </w:rPr>
        <w:t>Ordonanța de urgență a Guvernului nr. 19/2024 privind unele măsuri referitoare la salarizarea personalului din sănătate, asistență socială şi alte sectoare de activitate bugetară;</w:t>
      </w:r>
    </w:p>
    <w:p w14:paraId="686368AC" w14:textId="77777777" w:rsidR="00F130EB" w:rsidRPr="00F130EB" w:rsidRDefault="00F130EB" w:rsidP="00CD49B5">
      <w:pPr>
        <w:numPr>
          <w:ilvl w:val="0"/>
          <w:numId w:val="36"/>
        </w:numPr>
        <w:spacing w:before="120" w:after="120" w:line="276" w:lineRule="auto"/>
        <w:ind w:left="1429" w:hanging="357"/>
        <w:jc w:val="both"/>
        <w:rPr>
          <w:rFonts w:eastAsia="Times New Roman"/>
          <w:bCs/>
          <w:lang w:eastAsia="en-US"/>
        </w:rPr>
      </w:pPr>
      <w:r w:rsidRPr="00F130EB">
        <w:rPr>
          <w:rFonts w:eastAsia="Times New Roman"/>
          <w:bCs/>
          <w:lang w:eastAsia="en-US"/>
        </w:rPr>
        <w:t xml:space="preserve">Ordonanța de urgență a Guvernului nr. 26/2024 privind stabilirea unor drepturi specifice personalului Ministerului Apărării Naţionale şi a unor cheltuieli determinate de pregătirea şi executarea unor misiuni în afara teritoriului naţional, în vederea realizării şi menţinerii capabilităţii aferente achiziţiei </w:t>
      </w:r>
      <w:r w:rsidRPr="00F130EB">
        <w:rPr>
          <w:rFonts w:eastAsia="Times New Roman"/>
          <w:bCs/>
          <w:lang w:eastAsia="en-US"/>
        </w:rPr>
        <w:lastRenderedPageBreak/>
        <w:t>sistemelor de aeronave fără echipaj uman la bord Bayraktar TB2 şi a altor programe de înzestrare, pentru modificarea şi completarea unor acte normative în domeniul apărării, ordinii publice şi securităţii naţionale, precum şi pentru adoptarea unor măsuri privind retenţia şi atragerea personalului în aceste domenii;</w:t>
      </w:r>
    </w:p>
    <w:p w14:paraId="48B38DDD" w14:textId="77777777" w:rsidR="00F130EB" w:rsidRPr="00F130EB" w:rsidRDefault="00F130EB" w:rsidP="00D21F7F">
      <w:pPr>
        <w:keepLines/>
        <w:numPr>
          <w:ilvl w:val="0"/>
          <w:numId w:val="36"/>
        </w:numPr>
        <w:spacing w:before="120" w:after="120" w:line="276" w:lineRule="auto"/>
        <w:jc w:val="both"/>
        <w:rPr>
          <w:rFonts w:eastAsia="Times New Roman"/>
          <w:bCs/>
          <w:lang w:eastAsia="en-US"/>
        </w:rPr>
      </w:pPr>
      <w:r w:rsidRPr="00F130EB">
        <w:rPr>
          <w:rFonts w:eastAsia="Times New Roman"/>
          <w:bCs/>
          <w:lang w:eastAsia="en-US"/>
        </w:rPr>
        <w:t>Ordonanța de urgență a Guvernului nr. 53/2024 privind măsuri referitoare la salarizarea personalului din unele sectoare de activitate bugetară, precum şi reglementarea unor aspecte organizatorice;</w:t>
      </w:r>
    </w:p>
    <w:p w14:paraId="2B562909" w14:textId="77777777" w:rsidR="00F130EB" w:rsidRPr="00F130EB" w:rsidRDefault="00F130EB" w:rsidP="00D21F7F">
      <w:pPr>
        <w:keepLines/>
        <w:numPr>
          <w:ilvl w:val="0"/>
          <w:numId w:val="36"/>
        </w:numPr>
        <w:spacing w:before="120" w:after="120" w:line="276" w:lineRule="auto"/>
        <w:jc w:val="both"/>
        <w:rPr>
          <w:rFonts w:eastAsia="Times New Roman"/>
          <w:bCs/>
          <w:lang w:eastAsia="en-US"/>
        </w:rPr>
      </w:pPr>
      <w:r w:rsidRPr="00F130EB">
        <w:rPr>
          <w:rFonts w:eastAsia="Times New Roman"/>
          <w:bCs/>
          <w:lang w:eastAsia="en-US"/>
        </w:rPr>
        <w:t>Ordonanța de urgență  a Guvernului nr. 43/2024 pentru modificarea şi completarea unor acte normative;</w:t>
      </w:r>
    </w:p>
    <w:p w14:paraId="2370F844" w14:textId="77777777" w:rsidR="00F130EB" w:rsidRPr="00F130EB" w:rsidRDefault="00F130EB" w:rsidP="00D21F7F">
      <w:pPr>
        <w:keepLines/>
        <w:numPr>
          <w:ilvl w:val="0"/>
          <w:numId w:val="36"/>
        </w:numPr>
        <w:spacing w:before="120" w:after="120" w:line="276" w:lineRule="auto"/>
        <w:jc w:val="both"/>
        <w:rPr>
          <w:rFonts w:eastAsia="Times New Roman"/>
          <w:bCs/>
          <w:lang w:eastAsia="en-US"/>
        </w:rPr>
      </w:pPr>
      <w:r w:rsidRPr="00F130EB">
        <w:rPr>
          <w:rFonts w:eastAsia="Times New Roman"/>
          <w:bCs/>
          <w:lang w:eastAsia="en-US"/>
        </w:rPr>
        <w:t>Ordonanța de urgență a Guvernului nr. 46/2024 privind unele măsuri bugetare şi pentru modificarea şi completarea unor acte normative;</w:t>
      </w:r>
    </w:p>
    <w:p w14:paraId="3FF112CF" w14:textId="77777777" w:rsidR="00F130EB" w:rsidRPr="00F130EB" w:rsidRDefault="00F130EB" w:rsidP="00D21F7F">
      <w:pPr>
        <w:keepLines/>
        <w:numPr>
          <w:ilvl w:val="0"/>
          <w:numId w:val="36"/>
        </w:numPr>
        <w:spacing w:before="120" w:after="120" w:line="276" w:lineRule="auto"/>
        <w:jc w:val="both"/>
        <w:rPr>
          <w:rFonts w:eastAsia="Times New Roman"/>
          <w:bCs/>
          <w:lang w:eastAsia="en-US"/>
        </w:rPr>
      </w:pPr>
      <w:r w:rsidRPr="00F130EB">
        <w:rPr>
          <w:rFonts w:eastAsia="Times New Roman"/>
          <w:bCs/>
          <w:lang w:eastAsia="en-US"/>
        </w:rPr>
        <w:t>Ordonanța de urgență  a Guvernului nr. 105/2024 privind unele măsuri de protecție socială</w:t>
      </w:r>
    </w:p>
    <w:p w14:paraId="1E6B5B54" w14:textId="77777777" w:rsidR="00F130EB" w:rsidRPr="00F130EB" w:rsidRDefault="00F130EB" w:rsidP="00D21F7F">
      <w:pPr>
        <w:keepLines/>
        <w:numPr>
          <w:ilvl w:val="0"/>
          <w:numId w:val="36"/>
        </w:numPr>
        <w:spacing w:before="120" w:after="120" w:line="276" w:lineRule="auto"/>
        <w:ind w:left="1429" w:hanging="357"/>
        <w:jc w:val="both"/>
        <w:rPr>
          <w:rFonts w:eastAsia="Times New Roman"/>
          <w:bCs/>
          <w:lang w:eastAsia="en-US"/>
        </w:rPr>
      </w:pPr>
      <w:r w:rsidRPr="00F130EB">
        <w:rPr>
          <w:rFonts w:eastAsia="Times New Roman"/>
          <w:bCs/>
          <w:lang w:eastAsia="en-US"/>
        </w:rPr>
        <w:t>Ordonanța de urgență  a Guvernului nr. 107/2024 pentru reglementarea unor măsuri fiscal-bugetare în domeniul gestionării creanțelor bugetare şi a deficitului bugetar pentru bugetul general consolidat al României în anul 2024, precum şi pentru modificarea şi completarea unor acte normative;</w:t>
      </w:r>
    </w:p>
    <w:p w14:paraId="068E2157" w14:textId="2A5892F8" w:rsidR="00F130EB" w:rsidRPr="004B4C77" w:rsidRDefault="00F130EB" w:rsidP="00D21F7F">
      <w:pPr>
        <w:keepLines/>
        <w:numPr>
          <w:ilvl w:val="0"/>
          <w:numId w:val="32"/>
        </w:numPr>
        <w:spacing w:before="120" w:after="120" w:line="276" w:lineRule="auto"/>
        <w:jc w:val="both"/>
        <w:rPr>
          <w:rFonts w:eastAsia="Times New Roman"/>
          <w:bCs/>
          <w:lang w:eastAsia="en-US"/>
        </w:rPr>
      </w:pPr>
      <w:r w:rsidRPr="004B4C77">
        <w:rPr>
          <w:rFonts w:eastAsia="Times New Roman"/>
          <w:bCs/>
          <w:lang w:eastAsia="en-US"/>
        </w:rPr>
        <w:t>Adoptarea unor acte normative cu influențe asupra veniturilo</w:t>
      </w:r>
      <w:r w:rsidR="004B4C77" w:rsidRPr="004B4C77">
        <w:rPr>
          <w:rFonts w:eastAsia="Times New Roman"/>
          <w:bCs/>
          <w:lang w:eastAsia="en-US"/>
        </w:rPr>
        <w:t>r bugetare între care menționăm</w:t>
      </w:r>
      <w:r w:rsidR="004B4C77">
        <w:rPr>
          <w:rFonts w:eastAsia="Times New Roman"/>
          <w:bCs/>
          <w:lang w:eastAsia="en-US"/>
        </w:rPr>
        <w:t xml:space="preserve"> </w:t>
      </w:r>
      <w:r w:rsidRPr="004B4C77">
        <w:rPr>
          <w:rFonts w:eastAsia="Times New Roman"/>
          <w:bCs/>
          <w:lang w:eastAsia="en-US"/>
        </w:rPr>
        <w:t>Legea nr. 244/2024 pentru modificarea alin. (1) al art. 100 din Legea nr. 227/2015</w:t>
      </w:r>
      <w:r w:rsidR="0080671B">
        <w:rPr>
          <w:rFonts w:eastAsia="Times New Roman"/>
          <w:bCs/>
          <w:lang w:eastAsia="en-US"/>
        </w:rPr>
        <w:t>,</w:t>
      </w:r>
      <w:r w:rsidRPr="004B4C77">
        <w:rPr>
          <w:rFonts w:eastAsia="Times New Roman"/>
          <w:bCs/>
          <w:lang w:eastAsia="en-US"/>
        </w:rPr>
        <w:t xml:space="preserve"> privind Codul fiscal şi stabilirea unor măsuri fiscale, cu completările ulterioare.</w:t>
      </w:r>
    </w:p>
    <w:p w14:paraId="78050DF4" w14:textId="7B9E0F57" w:rsidR="00F130EB" w:rsidRPr="004B4C77" w:rsidRDefault="00F130EB" w:rsidP="00D21F7F">
      <w:pPr>
        <w:keepLines/>
        <w:numPr>
          <w:ilvl w:val="0"/>
          <w:numId w:val="32"/>
        </w:numPr>
        <w:spacing w:before="120" w:after="120" w:line="276" w:lineRule="auto"/>
        <w:jc w:val="both"/>
        <w:rPr>
          <w:rFonts w:eastAsia="Times New Roman"/>
          <w:bCs/>
          <w:lang w:eastAsia="en-US"/>
        </w:rPr>
      </w:pPr>
      <w:r w:rsidRPr="004B4C77">
        <w:rPr>
          <w:rFonts w:eastAsia="Times New Roman"/>
          <w:bCs/>
          <w:lang w:eastAsia="en-US"/>
        </w:rPr>
        <w:t>Necesitatea alocării de fonduri suplimentare pentru asigurarea cu prioritate a cheltuielilor obligatorii;</w:t>
      </w:r>
    </w:p>
    <w:p w14:paraId="74F5444C" w14:textId="7BD561FC" w:rsidR="00F130EB" w:rsidRPr="00F130EB" w:rsidRDefault="00F130EB" w:rsidP="00D21F7F">
      <w:pPr>
        <w:keepLines/>
        <w:numPr>
          <w:ilvl w:val="0"/>
          <w:numId w:val="32"/>
        </w:numPr>
        <w:spacing w:before="120" w:after="120" w:line="276" w:lineRule="auto"/>
        <w:jc w:val="both"/>
        <w:rPr>
          <w:rFonts w:eastAsia="Times New Roman"/>
          <w:bCs/>
          <w:lang w:eastAsia="en-US"/>
        </w:rPr>
      </w:pPr>
      <w:r w:rsidRPr="00F130EB">
        <w:rPr>
          <w:rFonts w:eastAsia="Times New Roman"/>
          <w:bCs/>
          <w:lang w:eastAsia="en-US"/>
        </w:rPr>
        <w:t>Necesitatea alocării de sume ordonatorilor principali de credite ai bugetului de stat pentru asigurarea drepturilor de asistență socială;</w:t>
      </w:r>
    </w:p>
    <w:p w14:paraId="0049FECA" w14:textId="7F99C62B" w:rsidR="00F130EB" w:rsidRPr="00F130EB" w:rsidRDefault="00F130EB" w:rsidP="00D21F7F">
      <w:pPr>
        <w:keepLines/>
        <w:numPr>
          <w:ilvl w:val="0"/>
          <w:numId w:val="32"/>
        </w:numPr>
        <w:spacing w:before="120" w:after="120" w:line="276" w:lineRule="auto"/>
        <w:jc w:val="both"/>
        <w:rPr>
          <w:rFonts w:eastAsia="Times New Roman"/>
          <w:bCs/>
          <w:lang w:eastAsia="en-US"/>
        </w:rPr>
      </w:pPr>
      <w:r w:rsidRPr="00F130EB">
        <w:rPr>
          <w:rFonts w:eastAsia="Times New Roman"/>
          <w:bCs/>
          <w:lang w:eastAsia="en-US"/>
        </w:rPr>
        <w:t>Necesitatea asigurării sumelor necesare pentru medicamente cu și fără contribuție personală, medicamente pentru boli cronice cu risc crescut utilizate în programele naționale cu scop curativ, precum și pentru spitale generale;</w:t>
      </w:r>
    </w:p>
    <w:p w14:paraId="31C04381" w14:textId="4D2835A2" w:rsidR="00F130EB" w:rsidRPr="00F130EB" w:rsidRDefault="00F130EB" w:rsidP="00D21F7F">
      <w:pPr>
        <w:keepLines/>
        <w:numPr>
          <w:ilvl w:val="0"/>
          <w:numId w:val="32"/>
        </w:numPr>
        <w:spacing w:before="120" w:after="120" w:line="276" w:lineRule="auto"/>
        <w:jc w:val="both"/>
        <w:rPr>
          <w:rFonts w:eastAsia="Times New Roman"/>
          <w:bCs/>
          <w:lang w:eastAsia="en-US"/>
        </w:rPr>
      </w:pPr>
      <w:r w:rsidRPr="00F130EB">
        <w:rPr>
          <w:rFonts w:eastAsia="Times New Roman"/>
          <w:bCs/>
          <w:lang w:eastAsia="en-US"/>
        </w:rPr>
        <w:t>Necesitatea alocării fondurilor pentru plata indemnizațiilor aferente concediilor medicale;</w:t>
      </w:r>
    </w:p>
    <w:p w14:paraId="37EA8794" w14:textId="1EE7CD09" w:rsidR="00F130EB" w:rsidRPr="00F130EB" w:rsidRDefault="00F130EB" w:rsidP="00D21F7F">
      <w:pPr>
        <w:keepLines/>
        <w:numPr>
          <w:ilvl w:val="0"/>
          <w:numId w:val="32"/>
        </w:numPr>
        <w:spacing w:before="120" w:after="120" w:line="276" w:lineRule="auto"/>
        <w:jc w:val="both"/>
        <w:rPr>
          <w:rFonts w:eastAsia="Times New Roman"/>
          <w:bCs/>
          <w:lang w:eastAsia="en-US"/>
        </w:rPr>
      </w:pPr>
      <w:r w:rsidRPr="00F130EB">
        <w:rPr>
          <w:rFonts w:eastAsia="Times New Roman"/>
          <w:bCs/>
          <w:lang w:eastAsia="en-US"/>
        </w:rPr>
        <w:t>Necesitatea asigurării fondurilor pentru achitarea drepturilor de pensie recalculate în conformitate cu prevederile Legii nr.360/2023 privind sistemul public de pensii;</w:t>
      </w:r>
    </w:p>
    <w:p w14:paraId="3B600737" w14:textId="0FD68290" w:rsidR="00F130EB" w:rsidRPr="00F130EB" w:rsidRDefault="00F130EB" w:rsidP="00D21F7F">
      <w:pPr>
        <w:keepLines/>
        <w:numPr>
          <w:ilvl w:val="0"/>
          <w:numId w:val="32"/>
        </w:numPr>
        <w:spacing w:before="120" w:after="120" w:line="276" w:lineRule="auto"/>
        <w:jc w:val="both"/>
        <w:rPr>
          <w:rFonts w:eastAsia="Times New Roman"/>
          <w:bCs/>
          <w:lang w:eastAsia="en-US"/>
        </w:rPr>
      </w:pPr>
      <w:r w:rsidRPr="00F130EB">
        <w:rPr>
          <w:rFonts w:eastAsia="Times New Roman"/>
          <w:bCs/>
          <w:lang w:eastAsia="en-US"/>
        </w:rPr>
        <w:t>Necesitatea alocării fondurilor necesare finanțării cheltuielilor de personal ca urmare a majorărilor salariale aprobate prin Ordonanța de urgență a Guvernului nr. 19/2024, Ordonanța de urgență a Guvernului nr. 26/2024, Ordonanța de urgență a Guvernului nr. 53/2024;</w:t>
      </w:r>
    </w:p>
    <w:p w14:paraId="6E01A9A3" w14:textId="68F38998" w:rsidR="00F130EB" w:rsidRPr="00F130EB" w:rsidRDefault="00F130EB" w:rsidP="00D21F7F">
      <w:pPr>
        <w:keepLines/>
        <w:numPr>
          <w:ilvl w:val="0"/>
          <w:numId w:val="32"/>
        </w:numPr>
        <w:spacing w:before="120" w:after="120" w:line="276" w:lineRule="auto"/>
        <w:jc w:val="both"/>
        <w:rPr>
          <w:rFonts w:eastAsia="Times New Roman"/>
          <w:bCs/>
          <w:lang w:eastAsia="en-US"/>
        </w:rPr>
      </w:pPr>
      <w:r w:rsidRPr="00F130EB">
        <w:rPr>
          <w:rFonts w:eastAsia="Times New Roman"/>
          <w:bCs/>
          <w:lang w:eastAsia="en-US"/>
        </w:rPr>
        <w:t>Necesitatea asigurării fondurilor necesare finanțării cheltuielilor determinate de implementarea Programului pentru școli al României pentru perioada septembrie-decembrie a anului 2024;</w:t>
      </w:r>
    </w:p>
    <w:p w14:paraId="50D5B831" w14:textId="4E04463E" w:rsidR="00F130EB" w:rsidRPr="00F130EB" w:rsidRDefault="00F130EB" w:rsidP="00D21F7F">
      <w:pPr>
        <w:keepLines/>
        <w:numPr>
          <w:ilvl w:val="0"/>
          <w:numId w:val="32"/>
        </w:numPr>
        <w:spacing w:before="120" w:after="120" w:line="276" w:lineRule="auto"/>
        <w:jc w:val="both"/>
        <w:rPr>
          <w:rFonts w:eastAsia="Times New Roman"/>
          <w:bCs/>
          <w:lang w:eastAsia="en-US"/>
        </w:rPr>
      </w:pPr>
      <w:r w:rsidRPr="00F130EB">
        <w:rPr>
          <w:rFonts w:eastAsia="Times New Roman"/>
          <w:bCs/>
          <w:lang w:eastAsia="en-US"/>
        </w:rPr>
        <w:lastRenderedPageBreak/>
        <w:t>Necesitatea asigurării fondurilor necesare finanțării gratuităţii acordate elevilor prevăzuţi la art. 83 alin. (1) din Legea nr. 198/2023, cu modificările ulterioare, la transportul public local şi metropolitan rutier, potrivit prevederilor art. 83 alin. (2) lit. a) din acelaşi act normativ;</w:t>
      </w:r>
    </w:p>
    <w:p w14:paraId="320811E2" w14:textId="70C607C1" w:rsidR="00F130EB" w:rsidRPr="00F130EB" w:rsidRDefault="00F130EB" w:rsidP="00D21F7F">
      <w:pPr>
        <w:keepLines/>
        <w:numPr>
          <w:ilvl w:val="0"/>
          <w:numId w:val="32"/>
        </w:numPr>
        <w:spacing w:before="120" w:after="120" w:line="276" w:lineRule="auto"/>
        <w:jc w:val="both"/>
        <w:rPr>
          <w:rFonts w:eastAsia="Times New Roman"/>
          <w:bCs/>
          <w:lang w:eastAsia="en-US"/>
        </w:rPr>
      </w:pPr>
      <w:r w:rsidRPr="00F130EB">
        <w:rPr>
          <w:rFonts w:eastAsia="Times New Roman"/>
          <w:bCs/>
          <w:lang w:eastAsia="en-US"/>
        </w:rPr>
        <w:t>Necesitatea asigurării fondurilor necesare pentru plata sprijinului sub formă de contribuţii care va asigura completarea drepturilor salariale neacoperite din fondurile proprii ale unităţilor de cult locale, pentru personalul neclerical angajat în unităţile de cult din ţară;</w:t>
      </w:r>
    </w:p>
    <w:p w14:paraId="7AA2DC05" w14:textId="092DDE53" w:rsidR="00F130EB" w:rsidRPr="00F130EB" w:rsidRDefault="00F130EB" w:rsidP="00D21F7F">
      <w:pPr>
        <w:keepLines/>
        <w:numPr>
          <w:ilvl w:val="0"/>
          <w:numId w:val="32"/>
        </w:numPr>
        <w:spacing w:before="120" w:after="120" w:line="276" w:lineRule="auto"/>
        <w:jc w:val="both"/>
        <w:rPr>
          <w:rFonts w:eastAsia="Times New Roman"/>
          <w:bCs/>
          <w:lang w:eastAsia="en-US"/>
        </w:rPr>
      </w:pPr>
      <w:r w:rsidRPr="00F130EB">
        <w:rPr>
          <w:rFonts w:eastAsia="Times New Roman"/>
          <w:bCs/>
          <w:lang w:eastAsia="en-US"/>
        </w:rPr>
        <w:t>Necesitatea asigurării fondurilor necesare pentru finanțarea drepturilor asistenților personali ai persoanelor cu handicap grav sau a indemnizațiilor lunare ale persoanelor cu handicap.</w:t>
      </w:r>
    </w:p>
    <w:p w14:paraId="54DFB29D" w14:textId="68953D38" w:rsidR="00F130EB" w:rsidRPr="00F130EB" w:rsidRDefault="00F130EB" w:rsidP="00D21F7F">
      <w:pPr>
        <w:keepLines/>
        <w:numPr>
          <w:ilvl w:val="0"/>
          <w:numId w:val="32"/>
        </w:numPr>
        <w:spacing w:before="120" w:after="120" w:line="276" w:lineRule="auto"/>
        <w:jc w:val="both"/>
        <w:rPr>
          <w:rFonts w:eastAsia="Times New Roman"/>
          <w:bCs/>
          <w:lang w:eastAsia="en-US"/>
        </w:rPr>
      </w:pPr>
      <w:r w:rsidRPr="00F130EB">
        <w:rPr>
          <w:rFonts w:eastAsia="Times New Roman"/>
          <w:bCs/>
          <w:lang w:eastAsia="en-US"/>
        </w:rPr>
        <w:t>Necesitatea corelării planificării bugetare cu evoluția prognozată a indicatorilor macroeconomici și cu execuția bugetară pe primele șapte luni ale anului;</w:t>
      </w:r>
    </w:p>
    <w:p w14:paraId="24D4022F" w14:textId="47BC42F7" w:rsidR="00F130EB" w:rsidRPr="00F130EB" w:rsidRDefault="00F130EB" w:rsidP="00D21F7F">
      <w:pPr>
        <w:keepLines/>
        <w:numPr>
          <w:ilvl w:val="0"/>
          <w:numId w:val="32"/>
        </w:numPr>
        <w:spacing w:before="120" w:after="120" w:line="276" w:lineRule="auto"/>
        <w:jc w:val="both"/>
        <w:rPr>
          <w:rFonts w:eastAsia="Times New Roman"/>
          <w:bCs/>
          <w:lang w:eastAsia="en-US"/>
        </w:rPr>
      </w:pPr>
      <w:r w:rsidRPr="00F130EB">
        <w:rPr>
          <w:rFonts w:eastAsia="Times New Roman"/>
          <w:bCs/>
          <w:lang w:eastAsia="en-US"/>
        </w:rPr>
        <w:t>Necesitatea achitării plăților restante înregistrate în contabilitatea unităților/subdiviziunilor administrativ-teritoriale, inclusiv a instituțiilor publice finanțate integral sau parțial din bugetul local și a spitalelor publice din rețeaua autorităților administrației publice locale, la data de 31 august 2024, rezultate din relații cu furnizorii de bunuri, servicii și lucrări, respectiv a  obligațiilor înregistrate în contabilitatea unităților/subdiviziunilor administrativ-teritoriale față de furnizorii care prestează serviciul public de producere, transport și distribuție a energiei termice în sistem centralizat precum și a stingerii unor obligații de plată ale agenților economici/unităților/subdiviziunilor administrativ-teritoriale, inclusiv a instituțiilor publice finanțate integral sau parțial din bugetul local și a spitalelor publice din rețeaua autorităților administrației publice locale față de bugetul de stat, bugetul asigurărilor sociale de stat sau bugetele fondurilor speciale.</w:t>
      </w:r>
    </w:p>
    <w:p w14:paraId="418BDD8D" w14:textId="35573B40" w:rsidR="00F130EB" w:rsidRPr="00F130EB" w:rsidRDefault="00F130EB" w:rsidP="00D21F7F">
      <w:pPr>
        <w:keepLines/>
        <w:spacing w:before="120" w:after="120" w:line="276" w:lineRule="auto"/>
        <w:jc w:val="both"/>
        <w:rPr>
          <w:lang w:eastAsia="en-US"/>
        </w:rPr>
      </w:pPr>
      <w:r w:rsidRPr="00F130EB">
        <w:rPr>
          <w:rFonts w:eastAsia="Times New Roman"/>
          <w:lang w:eastAsia="en-US"/>
        </w:rPr>
        <w:t xml:space="preserve">Rectificarea bugetară a avut în vedere majorarea per sold a veniturilor bugetului general consolidat cu </w:t>
      </w:r>
      <w:r w:rsidRPr="00F130EB">
        <w:rPr>
          <w:rFonts w:ascii="Calibri" w:hAnsi="Calibri" w:cs="Calibri"/>
          <w:sz w:val="22"/>
          <w:szCs w:val="22"/>
          <w:lang w:eastAsia="en-US"/>
        </w:rPr>
        <w:t xml:space="preserve"> </w:t>
      </w:r>
      <w:r w:rsidR="004B4C77" w:rsidRPr="004B4C77">
        <w:rPr>
          <w:bCs/>
          <w:lang w:eastAsia="en-US"/>
        </w:rPr>
        <w:t xml:space="preserve">47.063,7 </w:t>
      </w:r>
      <w:r w:rsidRPr="00F130EB">
        <w:rPr>
          <w:bCs/>
          <w:lang w:eastAsia="en-US"/>
        </w:rPr>
        <w:t>milioane lei</w:t>
      </w:r>
      <w:r w:rsidRPr="00F130EB">
        <w:rPr>
          <w:rFonts w:eastAsia="Times New Roman"/>
          <w:lang w:eastAsia="en-US"/>
        </w:rPr>
        <w:t xml:space="preserve"> precum și majorarea per sold a cheltuielilor bugetului general consolidat cu </w:t>
      </w:r>
      <w:r w:rsidR="004B4C77" w:rsidRPr="004B4C77">
        <w:rPr>
          <w:bCs/>
          <w:lang w:eastAsia="en-US"/>
        </w:rPr>
        <w:t xml:space="preserve">64.604,2 </w:t>
      </w:r>
      <w:r w:rsidRPr="00F130EB">
        <w:rPr>
          <w:bCs/>
          <w:lang w:eastAsia="en-US"/>
        </w:rPr>
        <w:t>milioane lei</w:t>
      </w:r>
      <w:r w:rsidRPr="00F130EB">
        <w:rPr>
          <w:rFonts w:eastAsia="Times New Roman"/>
          <w:lang w:eastAsia="en-US"/>
        </w:rPr>
        <w:t xml:space="preserve"> majorându-se astfel deficitul bugetar pe anul 202</w:t>
      </w:r>
      <w:r w:rsidR="004B4C77">
        <w:rPr>
          <w:rFonts w:eastAsia="Times New Roman"/>
          <w:lang w:eastAsia="en-US"/>
        </w:rPr>
        <w:t>4</w:t>
      </w:r>
      <w:r w:rsidRPr="00F130EB">
        <w:rPr>
          <w:rFonts w:eastAsia="Times New Roman"/>
          <w:lang w:eastAsia="en-US"/>
        </w:rPr>
        <w:t xml:space="preserve">, în termeni cash, </w:t>
      </w:r>
      <w:r w:rsidR="004B4C77">
        <w:rPr>
          <w:rFonts w:eastAsia="Times New Roman"/>
          <w:lang w:eastAsia="en-US"/>
        </w:rPr>
        <w:t xml:space="preserve">la </w:t>
      </w:r>
      <w:r w:rsidR="004B4C77" w:rsidRPr="004B4C77">
        <w:rPr>
          <w:rFonts w:eastAsia="Times New Roman"/>
          <w:bCs/>
          <w:lang w:eastAsia="en-US"/>
        </w:rPr>
        <w:t xml:space="preserve">122.930,4 </w:t>
      </w:r>
      <w:r w:rsidRPr="00F130EB">
        <w:rPr>
          <w:rFonts w:eastAsia="Times New Roman"/>
          <w:lang w:eastAsia="en-US"/>
        </w:rPr>
        <w:t xml:space="preserve">milioane lei. </w:t>
      </w:r>
    </w:p>
    <w:p w14:paraId="42E721D5" w14:textId="17A529EA" w:rsidR="004B4C77" w:rsidRPr="004B4C77" w:rsidRDefault="004B4C77" w:rsidP="00D21F7F">
      <w:pPr>
        <w:pStyle w:val="ListParagraph"/>
        <w:keepLines/>
        <w:shd w:val="clear" w:color="auto" w:fill="FFFFFF"/>
        <w:spacing w:after="120" w:line="276" w:lineRule="auto"/>
        <w:ind w:left="0"/>
        <w:jc w:val="both"/>
        <w:rPr>
          <w:bCs/>
          <w:sz w:val="24"/>
          <w:szCs w:val="24"/>
          <w:lang w:eastAsia="en-US"/>
        </w:rPr>
      </w:pPr>
      <w:r w:rsidRPr="004B4C77">
        <w:rPr>
          <w:bCs/>
          <w:sz w:val="24"/>
          <w:szCs w:val="24"/>
          <w:lang w:eastAsia="en-US"/>
        </w:rPr>
        <w:t>Pentru ca proiectul de act normativ să poată fi aprobat a fost necesară derogarea de la prevederile art.12 alin.(1) lit. a)-d), art.17 alin.(2), art.24 și art.26 alin.(4) și (5) din Legea responsabilității fiscal-bugetare nr.69/2010, republicată și ale art.2, art.3 alin.(1) și alin.(5)-(7) și art.5 din Legea pentru aprobarea plafoanelor unor indicatori specificați în cadrul fiscal-bugetar pe anul 2024 nr.417/2023:</w:t>
      </w:r>
    </w:p>
    <w:p w14:paraId="3809B674" w14:textId="77777777" w:rsidR="004B4C77" w:rsidRPr="004B4C77" w:rsidRDefault="004B4C77" w:rsidP="00D21F7F">
      <w:pPr>
        <w:pStyle w:val="ListParagraph"/>
        <w:keepLines/>
        <w:numPr>
          <w:ilvl w:val="0"/>
          <w:numId w:val="38"/>
        </w:numPr>
        <w:shd w:val="clear" w:color="auto" w:fill="FFFFFF"/>
        <w:spacing w:after="120" w:line="276" w:lineRule="auto"/>
        <w:ind w:left="924" w:hanging="357"/>
        <w:jc w:val="both"/>
        <w:rPr>
          <w:bCs/>
          <w:sz w:val="24"/>
          <w:szCs w:val="24"/>
          <w:lang w:eastAsia="en-US"/>
        </w:rPr>
      </w:pPr>
      <w:r w:rsidRPr="004B4C77">
        <w:rPr>
          <w:bCs/>
          <w:sz w:val="24"/>
          <w:szCs w:val="24"/>
          <w:lang w:eastAsia="en-US"/>
        </w:rPr>
        <w:t>plafonul soldului primar al bugetului general consolidat este de minus 85.706,2 milioane lei;</w:t>
      </w:r>
    </w:p>
    <w:p w14:paraId="67A96451" w14:textId="77777777" w:rsidR="004B4C77" w:rsidRPr="004B4C77" w:rsidRDefault="004B4C77" w:rsidP="00D21F7F">
      <w:pPr>
        <w:pStyle w:val="ListParagraph"/>
        <w:keepLines/>
        <w:numPr>
          <w:ilvl w:val="0"/>
          <w:numId w:val="38"/>
        </w:numPr>
        <w:shd w:val="clear" w:color="auto" w:fill="FFFFFF"/>
        <w:spacing w:after="120" w:line="276" w:lineRule="auto"/>
        <w:ind w:left="924" w:hanging="357"/>
        <w:jc w:val="both"/>
        <w:rPr>
          <w:bCs/>
          <w:sz w:val="24"/>
          <w:szCs w:val="24"/>
          <w:lang w:eastAsia="en-US"/>
        </w:rPr>
      </w:pPr>
      <w:r w:rsidRPr="004B4C77">
        <w:rPr>
          <w:bCs/>
          <w:sz w:val="24"/>
          <w:szCs w:val="24"/>
          <w:lang w:eastAsia="en-US"/>
        </w:rPr>
        <w:t>plafonul soldului bugetului general consolidat, exprimat ca procent în produsul intern brut, este în anul 2024 de minus 6,95%;</w:t>
      </w:r>
    </w:p>
    <w:p w14:paraId="687A7202" w14:textId="77777777" w:rsidR="004B4C77" w:rsidRPr="004B4C77" w:rsidRDefault="004B4C77" w:rsidP="00D21F7F">
      <w:pPr>
        <w:pStyle w:val="ListParagraph"/>
        <w:keepLines/>
        <w:numPr>
          <w:ilvl w:val="0"/>
          <w:numId w:val="38"/>
        </w:numPr>
        <w:shd w:val="clear" w:color="auto" w:fill="FFFFFF"/>
        <w:spacing w:after="120" w:line="276" w:lineRule="auto"/>
        <w:ind w:left="924" w:hanging="357"/>
        <w:jc w:val="both"/>
        <w:rPr>
          <w:bCs/>
          <w:sz w:val="24"/>
          <w:szCs w:val="24"/>
          <w:lang w:eastAsia="en-US"/>
        </w:rPr>
      </w:pPr>
      <w:r w:rsidRPr="004B4C77">
        <w:rPr>
          <w:bCs/>
          <w:sz w:val="24"/>
          <w:szCs w:val="24"/>
          <w:lang w:eastAsia="en-US"/>
        </w:rPr>
        <w:t>plafonul cheltuielilor de personal ale bugetului general consolidat, exprimat ca procent în produsul intern brut, este de 9,3% în anul 2024;</w:t>
      </w:r>
    </w:p>
    <w:p w14:paraId="3C7496DC" w14:textId="77777777" w:rsidR="004B4C77" w:rsidRPr="004B4C77" w:rsidRDefault="004B4C77" w:rsidP="00D21F7F">
      <w:pPr>
        <w:pStyle w:val="ListParagraph"/>
        <w:keepLines/>
        <w:numPr>
          <w:ilvl w:val="0"/>
          <w:numId w:val="38"/>
        </w:numPr>
        <w:shd w:val="clear" w:color="auto" w:fill="FFFFFF"/>
        <w:spacing w:after="120" w:line="276" w:lineRule="auto"/>
        <w:ind w:left="924" w:hanging="357"/>
        <w:jc w:val="both"/>
        <w:rPr>
          <w:bCs/>
          <w:sz w:val="24"/>
          <w:szCs w:val="24"/>
          <w:lang w:eastAsia="en-US"/>
        </w:rPr>
      </w:pPr>
      <w:r w:rsidRPr="004B4C77">
        <w:rPr>
          <w:bCs/>
          <w:sz w:val="24"/>
          <w:szCs w:val="24"/>
          <w:lang w:eastAsia="en-US"/>
        </w:rPr>
        <w:lastRenderedPageBreak/>
        <w:t>pentru anul 2024, plafonul nominal al cheltuielilor totale, exclusiv asistența financiară din partea Uniunii Europene și a altor donatori, pentru bugetul general consolidat este de 666.010,3 milioane lei, pentru bugetul de stat este de 389.157,4 milioane lei, pentru bugetul general centralizat al unităților administrativ-teritoriale este de 136.781,9 milioane lei, pentru bugetul fondului național unic de asigurări sociale de sănătate este de 73.869,6 milioane lei, pentru bugetul instituțiilor/activităților finanțate integral și/sau parțial din venituri proprii este de 50.357,7 milioane lei și pentru alte bugete componente ale bugetului general consolidat este de 20.097,8 milioane lei;</w:t>
      </w:r>
    </w:p>
    <w:p w14:paraId="5FCC517C" w14:textId="77777777" w:rsidR="004B4C77" w:rsidRPr="004B4C77" w:rsidRDefault="004B4C77" w:rsidP="00D21F7F">
      <w:pPr>
        <w:pStyle w:val="ListParagraph"/>
        <w:keepNext/>
        <w:keepLines/>
        <w:numPr>
          <w:ilvl w:val="0"/>
          <w:numId w:val="38"/>
        </w:numPr>
        <w:shd w:val="clear" w:color="auto" w:fill="FFFFFF"/>
        <w:spacing w:after="120" w:line="276" w:lineRule="auto"/>
        <w:ind w:left="924" w:hanging="357"/>
        <w:jc w:val="both"/>
        <w:rPr>
          <w:bCs/>
          <w:sz w:val="24"/>
          <w:szCs w:val="24"/>
          <w:lang w:eastAsia="en-US"/>
        </w:rPr>
      </w:pPr>
      <w:r w:rsidRPr="004B4C77">
        <w:rPr>
          <w:bCs/>
          <w:sz w:val="24"/>
          <w:szCs w:val="24"/>
          <w:lang w:eastAsia="en-US"/>
        </w:rPr>
        <w:t>pentru anul 2024, plafonul nominal al cheltuielilor de personal din bugetul general consolidat este de 164.282,9 milioane lei, pentru bugetul de stat este de 88.761,4 milioane lei, pentru bugetul general centralizat al unităților administrativ-teritoriale este de 47.095,0 milioane lei, pentru bugetul fondului național unic de asigurări sociale de sănătate este de 497,0 milioane lei și pentru bugetul instituțiilor/activităților finanțate integral și/sau parțial din venituri proprii este de 26.172,5 milioane lei;</w:t>
      </w:r>
    </w:p>
    <w:p w14:paraId="3C5EDA8A" w14:textId="77777777" w:rsidR="004B4C77" w:rsidRPr="004B4C77" w:rsidRDefault="004B4C77" w:rsidP="00D21F7F">
      <w:pPr>
        <w:pStyle w:val="ListParagraph"/>
        <w:keepNext/>
        <w:keepLines/>
        <w:numPr>
          <w:ilvl w:val="0"/>
          <w:numId w:val="38"/>
        </w:numPr>
        <w:shd w:val="clear" w:color="auto" w:fill="FFFFFF"/>
        <w:spacing w:after="120" w:line="276" w:lineRule="auto"/>
        <w:ind w:left="924" w:hanging="357"/>
        <w:rPr>
          <w:bCs/>
          <w:sz w:val="24"/>
          <w:szCs w:val="24"/>
          <w:lang w:eastAsia="en-US"/>
        </w:rPr>
      </w:pPr>
      <w:r w:rsidRPr="004B4C77">
        <w:rPr>
          <w:bCs/>
          <w:sz w:val="24"/>
          <w:szCs w:val="24"/>
          <w:lang w:eastAsia="en-US"/>
        </w:rPr>
        <w:t>pentru anul 2024, plafonul nominal al soldului bugetului general consolidat este de minus 122.930,4 milioane lei și al soldului bugetului de stat este de minus 132.529,5 milioane lei;</w:t>
      </w:r>
    </w:p>
    <w:p w14:paraId="1DF2A778" w14:textId="77777777" w:rsidR="004B4C77" w:rsidRPr="004B4C77" w:rsidRDefault="004B4C77" w:rsidP="00D21F7F">
      <w:pPr>
        <w:pStyle w:val="ListParagraph"/>
        <w:keepNext/>
        <w:keepLines/>
        <w:numPr>
          <w:ilvl w:val="0"/>
          <w:numId w:val="38"/>
        </w:numPr>
        <w:shd w:val="clear" w:color="auto" w:fill="FFFFFF"/>
        <w:spacing w:after="120" w:line="276" w:lineRule="auto"/>
        <w:ind w:left="924" w:hanging="357"/>
        <w:rPr>
          <w:bCs/>
          <w:sz w:val="24"/>
          <w:szCs w:val="24"/>
          <w:lang w:eastAsia="en-US"/>
        </w:rPr>
      </w:pPr>
      <w:r w:rsidRPr="004B4C77">
        <w:rPr>
          <w:bCs/>
          <w:sz w:val="24"/>
          <w:szCs w:val="24"/>
          <w:lang w:eastAsia="en-US"/>
        </w:rPr>
        <w:t>plafonul privind datoria publică, conform metodologiei Uniunii Europene pentru sfârșitul anului 2024, este de 51,5% din produsul intern brut.</w:t>
      </w:r>
    </w:p>
    <w:p w14:paraId="11D21F81" w14:textId="77777777" w:rsidR="005A6D9F" w:rsidRDefault="00CD49B5" w:rsidP="005A6D9F">
      <w:pPr>
        <w:pStyle w:val="ListParagraph"/>
        <w:keepNext/>
        <w:keepLines/>
        <w:shd w:val="clear" w:color="auto" w:fill="FFFFFF"/>
        <w:spacing w:before="120" w:after="120" w:line="276" w:lineRule="auto"/>
        <w:ind w:left="0"/>
        <w:jc w:val="both"/>
        <w:rPr>
          <w:sz w:val="24"/>
          <w:szCs w:val="24"/>
          <w:lang w:val="en-US"/>
        </w:rPr>
      </w:pPr>
      <w:r w:rsidRPr="00CD49B5">
        <w:rPr>
          <w:rFonts w:cs="Tahoma"/>
          <w:sz w:val="24"/>
          <w:szCs w:val="24"/>
        </w:rPr>
        <w:t>Totodată conform art.</w:t>
      </w:r>
      <w:r w:rsidRPr="00CD49B5">
        <w:rPr>
          <w:rFonts w:ascii="Times New Roman" w:hAnsi="Times New Roman"/>
          <w:sz w:val="24"/>
          <w:szCs w:val="24"/>
          <w:lang w:val="en-US"/>
        </w:rPr>
        <w:t xml:space="preserve"> </w:t>
      </w:r>
      <w:r w:rsidRPr="00CD49B5">
        <w:rPr>
          <w:sz w:val="24"/>
          <w:szCs w:val="24"/>
          <w:lang w:val="en-US"/>
        </w:rPr>
        <w:t>XIII din Ordonanța de urgență a Guvernului nr.138/2024 a</w:t>
      </w:r>
      <w:r w:rsidR="005A6D9F">
        <w:rPr>
          <w:sz w:val="24"/>
          <w:szCs w:val="24"/>
          <w:lang w:val="en-US"/>
        </w:rPr>
        <w:t>u</w:t>
      </w:r>
      <w:r w:rsidRPr="00CD49B5">
        <w:rPr>
          <w:sz w:val="24"/>
          <w:szCs w:val="24"/>
          <w:lang w:val="en-US"/>
        </w:rPr>
        <w:t xml:space="preserve"> fost modificat</w:t>
      </w:r>
      <w:r w:rsidR="005A6D9F">
        <w:rPr>
          <w:sz w:val="24"/>
          <w:szCs w:val="24"/>
          <w:lang w:val="en-US"/>
        </w:rPr>
        <w:t xml:space="preserve">e prevederile referitoare la palfoanele </w:t>
      </w:r>
      <w:r w:rsidR="005A6D9F" w:rsidRPr="005A6D9F">
        <w:rPr>
          <w:sz w:val="24"/>
          <w:szCs w:val="24"/>
          <w:lang w:val="en-US"/>
        </w:rPr>
        <w:t>unor indicatori specificaţi în cadrul fiscal-bugetar pe anul 2024</w:t>
      </w:r>
      <w:r w:rsidR="005A6D9F">
        <w:rPr>
          <w:sz w:val="24"/>
          <w:szCs w:val="24"/>
          <w:lang w:val="en-US"/>
        </w:rPr>
        <w:t xml:space="preserve"> din </w:t>
      </w:r>
      <w:r w:rsidRPr="00CD49B5">
        <w:rPr>
          <w:sz w:val="24"/>
          <w:szCs w:val="24"/>
          <w:lang w:val="en-US"/>
        </w:rPr>
        <w:t xml:space="preserve">Ordonanţa de urgenţă a Guvernului nr. 113/2024, cu privire la rectificarea bugetului de stat pe anul 2024, </w:t>
      </w:r>
      <w:r w:rsidR="005A6D9F">
        <w:rPr>
          <w:sz w:val="24"/>
          <w:szCs w:val="24"/>
          <w:lang w:val="en-US"/>
        </w:rPr>
        <w:t>astfel:</w:t>
      </w:r>
    </w:p>
    <w:p w14:paraId="2602FCB7" w14:textId="77777777" w:rsidR="005A6D9F" w:rsidRPr="005A6D9F" w:rsidRDefault="005A6D9F" w:rsidP="005A6D9F">
      <w:pPr>
        <w:pStyle w:val="ListParagraph"/>
        <w:keepNext/>
        <w:keepLines/>
        <w:numPr>
          <w:ilvl w:val="0"/>
          <w:numId w:val="44"/>
        </w:numPr>
        <w:shd w:val="clear" w:color="auto" w:fill="FFFFFF"/>
        <w:spacing w:before="120" w:after="120" w:line="276" w:lineRule="auto"/>
        <w:ind w:left="1077" w:hanging="357"/>
        <w:jc w:val="both"/>
        <w:rPr>
          <w:rFonts w:cs="Tahoma"/>
          <w:sz w:val="24"/>
          <w:szCs w:val="24"/>
          <w:lang w:val="en-US"/>
        </w:rPr>
      </w:pPr>
      <w:r w:rsidRPr="005A6D9F">
        <w:rPr>
          <w:rFonts w:cs="Tahoma"/>
          <w:sz w:val="24"/>
          <w:szCs w:val="24"/>
          <w:lang w:val="en-US"/>
        </w:rPr>
        <w:t>plafonul soldului primar al bugetului general consolidat este de minus 114.572,2 milioane lei.</w:t>
      </w:r>
    </w:p>
    <w:p w14:paraId="169C56E0" w14:textId="77777777" w:rsidR="005A6D9F" w:rsidRPr="005A6D9F" w:rsidRDefault="005A6D9F" w:rsidP="005A6D9F">
      <w:pPr>
        <w:pStyle w:val="ListParagraph"/>
        <w:numPr>
          <w:ilvl w:val="0"/>
          <w:numId w:val="44"/>
        </w:numPr>
        <w:autoSpaceDE w:val="0"/>
        <w:autoSpaceDN w:val="0"/>
        <w:adjustRightInd w:val="0"/>
        <w:spacing w:after="120" w:line="276" w:lineRule="auto"/>
        <w:ind w:left="1077" w:hanging="357"/>
        <w:jc w:val="both"/>
        <w:rPr>
          <w:rFonts w:cs="Tahoma"/>
          <w:sz w:val="24"/>
          <w:szCs w:val="24"/>
          <w:lang w:val="en-US"/>
        </w:rPr>
      </w:pPr>
      <w:r w:rsidRPr="005A6D9F">
        <w:rPr>
          <w:rFonts w:cs="Tahoma"/>
          <w:sz w:val="24"/>
          <w:szCs w:val="24"/>
          <w:lang w:val="en-US"/>
        </w:rPr>
        <w:t>plafonul soldului bugetului general consolidat, exprimat ca procent în produsul intern brut, este în anul 2024 de minus 7,9% în termeni ESA;</w:t>
      </w:r>
    </w:p>
    <w:p w14:paraId="06BD7EF5" w14:textId="1EAB4D6D" w:rsidR="005A6D9F" w:rsidRPr="005A6D9F" w:rsidRDefault="005A6D9F" w:rsidP="005A6D9F">
      <w:pPr>
        <w:pStyle w:val="ListParagraph"/>
        <w:numPr>
          <w:ilvl w:val="0"/>
          <w:numId w:val="44"/>
        </w:numPr>
        <w:autoSpaceDE w:val="0"/>
        <w:autoSpaceDN w:val="0"/>
        <w:adjustRightInd w:val="0"/>
        <w:spacing w:after="120" w:line="276" w:lineRule="auto"/>
        <w:ind w:left="1077" w:hanging="357"/>
        <w:jc w:val="both"/>
        <w:rPr>
          <w:rFonts w:cs="Tahoma"/>
          <w:sz w:val="24"/>
          <w:szCs w:val="24"/>
          <w:lang w:val="en-US"/>
        </w:rPr>
      </w:pPr>
      <w:r w:rsidRPr="005A6D9F">
        <w:rPr>
          <w:rFonts w:cs="Tahoma"/>
          <w:sz w:val="24"/>
          <w:szCs w:val="24"/>
          <w:lang w:val="en-US"/>
        </w:rPr>
        <w:t>plafonul cheltuielilor de personal ale bugetului general consolidat, exprimat ca procent în produsul intern brut, este de 9,4% în anul 2024;</w:t>
      </w:r>
    </w:p>
    <w:p w14:paraId="2EBC3D98" w14:textId="5EDC60E8" w:rsidR="005A6D9F" w:rsidRPr="005A6D9F" w:rsidRDefault="005A6D9F" w:rsidP="005A6D9F">
      <w:pPr>
        <w:pStyle w:val="ListParagraph"/>
        <w:numPr>
          <w:ilvl w:val="0"/>
          <w:numId w:val="44"/>
        </w:numPr>
        <w:autoSpaceDE w:val="0"/>
        <w:autoSpaceDN w:val="0"/>
        <w:adjustRightInd w:val="0"/>
        <w:spacing w:after="120" w:line="276" w:lineRule="auto"/>
        <w:ind w:left="1077" w:hanging="357"/>
        <w:jc w:val="both"/>
        <w:rPr>
          <w:rFonts w:cs="Tahoma"/>
          <w:sz w:val="24"/>
          <w:szCs w:val="24"/>
          <w:lang w:val="en-US"/>
        </w:rPr>
      </w:pPr>
      <w:r w:rsidRPr="005A6D9F">
        <w:rPr>
          <w:rFonts w:cs="Tahoma"/>
          <w:sz w:val="24"/>
          <w:szCs w:val="24"/>
          <w:lang w:val="en-US"/>
        </w:rPr>
        <w:t>pentru anul 2024, plafonul nominal al cheltuielilor totale, exclusiv asistenţa financiară din partea Uniunii Europene şi a altor donatori, pentru bugetul general consolidat este de 685.162,6 milioane lei, pentru bugetul de stat este de 404.338,8 milioane lei, pentru bugetul general centralizat al unităţilor administrativ-teritoriale este de 144.775,4 milioane lei, pentru bugetul Fondului naţional unic de asigurări sociale de sănătate este de 73.869,6 milioane lei, pentru bugetul instituţiilor/activităţilor finanţate integral şi/sau parţial din venituri proprii este de 53.251,8 milioane lei, iar pentru suma altor bugete componente ale bugetului general consolidat este de 24.719,4 milioane lei;</w:t>
      </w:r>
    </w:p>
    <w:p w14:paraId="0693B9BA" w14:textId="70716673" w:rsidR="005A6D9F" w:rsidRPr="005A6D9F" w:rsidRDefault="005A6D9F" w:rsidP="005A6D9F">
      <w:pPr>
        <w:pStyle w:val="ListParagraph"/>
        <w:numPr>
          <w:ilvl w:val="0"/>
          <w:numId w:val="44"/>
        </w:numPr>
        <w:autoSpaceDE w:val="0"/>
        <w:autoSpaceDN w:val="0"/>
        <w:adjustRightInd w:val="0"/>
        <w:spacing w:after="120" w:line="276" w:lineRule="auto"/>
        <w:ind w:left="1077" w:hanging="357"/>
        <w:jc w:val="both"/>
        <w:rPr>
          <w:rFonts w:cs="Tahoma"/>
          <w:sz w:val="24"/>
          <w:szCs w:val="24"/>
          <w:lang w:val="en-US"/>
        </w:rPr>
      </w:pPr>
      <w:r w:rsidRPr="005A6D9F">
        <w:rPr>
          <w:rFonts w:cs="Tahoma"/>
          <w:sz w:val="24"/>
          <w:szCs w:val="24"/>
          <w:lang w:val="en-US"/>
        </w:rPr>
        <w:lastRenderedPageBreak/>
        <w:t>pentru anul 2024, plafonul nominal al cheltuielilor de personal din bugetul general consolidat este de 165.847,4 milioane lei, pentru bugetul de stat este de 90.326,0 milioane lei, pentru bugetul general centralizat al unităţilor administrativ-teritoriale este de 47.095,0 milioane lei, pentru bugetul Fondului naţional unic de asigurări sociale de sănătate este de 497,0 milioane lei şi pentru bugetul instituţiilor/activităţilor finanţate integral şi/sau parţial din venituri proprii este de 26.172,5 milioane lei;</w:t>
      </w:r>
    </w:p>
    <w:p w14:paraId="6C48CF50" w14:textId="7F2E4973" w:rsidR="005A6D9F" w:rsidRDefault="005A6D9F" w:rsidP="005A6D9F">
      <w:pPr>
        <w:pStyle w:val="ListParagraph"/>
        <w:numPr>
          <w:ilvl w:val="0"/>
          <w:numId w:val="44"/>
        </w:numPr>
        <w:autoSpaceDE w:val="0"/>
        <w:autoSpaceDN w:val="0"/>
        <w:adjustRightInd w:val="0"/>
        <w:spacing w:after="120" w:line="276" w:lineRule="auto"/>
        <w:ind w:left="1077" w:hanging="357"/>
        <w:jc w:val="both"/>
        <w:rPr>
          <w:rFonts w:cs="Tahoma"/>
          <w:sz w:val="24"/>
          <w:szCs w:val="24"/>
          <w:lang w:val="en-US"/>
        </w:rPr>
      </w:pPr>
      <w:r w:rsidRPr="005A6D9F">
        <w:rPr>
          <w:rFonts w:cs="Tahoma"/>
          <w:sz w:val="24"/>
          <w:szCs w:val="24"/>
          <w:lang w:val="en-US"/>
        </w:rPr>
        <w:t>pentru anul 2024, plafonul nominal al soldului bugetului general consolidat este de minus 151.796,4 milioane lei şi al soldului bugetului de stat este de minus 161.357,9 milioane lei;</w:t>
      </w:r>
    </w:p>
    <w:p w14:paraId="2DC4BC8F" w14:textId="1257A734" w:rsidR="005A6D9F" w:rsidRPr="005A6D9F" w:rsidRDefault="005A6D9F" w:rsidP="005A6D9F">
      <w:pPr>
        <w:pStyle w:val="ListParagraph"/>
        <w:numPr>
          <w:ilvl w:val="0"/>
          <w:numId w:val="44"/>
        </w:numPr>
        <w:autoSpaceDE w:val="0"/>
        <w:autoSpaceDN w:val="0"/>
        <w:adjustRightInd w:val="0"/>
        <w:spacing w:after="120" w:line="276" w:lineRule="auto"/>
        <w:jc w:val="both"/>
        <w:rPr>
          <w:rFonts w:cs="Tahoma"/>
          <w:sz w:val="24"/>
          <w:szCs w:val="24"/>
          <w:lang w:val="en-US"/>
        </w:rPr>
      </w:pPr>
      <w:r w:rsidRPr="005A6D9F">
        <w:rPr>
          <w:rFonts w:cs="Tahoma"/>
          <w:sz w:val="24"/>
          <w:szCs w:val="24"/>
          <w:lang w:val="en-US"/>
        </w:rPr>
        <w:t>plafonul privind datoria publică, conform metodologiei Uniunii Europene, pentru sfârşitul anului 2024, este de 54,5% din produsul intern brut</w:t>
      </w:r>
      <w:r>
        <w:rPr>
          <w:rFonts w:cs="Tahoma"/>
          <w:sz w:val="24"/>
          <w:szCs w:val="24"/>
          <w:lang w:val="en-US"/>
        </w:rPr>
        <w:t>.</w:t>
      </w:r>
    </w:p>
    <w:p w14:paraId="244FF4C3" w14:textId="6CB3CB42" w:rsidR="00411D5E" w:rsidRPr="00411D5E" w:rsidRDefault="002B6F6A" w:rsidP="00D21F7F">
      <w:pPr>
        <w:keepNext/>
        <w:keepLines/>
        <w:spacing w:before="120" w:after="120" w:line="276" w:lineRule="auto"/>
        <w:jc w:val="both"/>
        <w:rPr>
          <w:color w:val="FF0000"/>
          <w:lang w:val="en-US"/>
        </w:rPr>
      </w:pPr>
      <w:r w:rsidRPr="00411D5E">
        <w:t>În anul 202</w:t>
      </w:r>
      <w:r w:rsidR="00C40AAC" w:rsidRPr="00411D5E">
        <w:t>4</w:t>
      </w:r>
      <w:r w:rsidRPr="00411D5E">
        <w:t xml:space="preserve"> </w:t>
      </w:r>
      <w:r w:rsidR="00411D5E" w:rsidRPr="00411D5E">
        <w:t xml:space="preserve">printr-o serie de acte normative (OUG nr.107/2024, OUG 132/2024, OUG nr.138/2024), prin derogare de la prevederile </w:t>
      </w:r>
      <w:r w:rsidR="00411D5E" w:rsidRPr="00411D5E">
        <w:rPr>
          <w:lang w:val="en-US"/>
        </w:rPr>
        <w:t>Legii nr. 69/2010</w:t>
      </w:r>
      <w:r w:rsidR="00411D5E">
        <w:rPr>
          <w:lang w:val="en-US"/>
        </w:rPr>
        <w:t>, legea responsabilită</w:t>
      </w:r>
      <w:r w:rsidR="00411D5E" w:rsidRPr="00411D5E">
        <w:rPr>
          <w:lang w:val="en-US"/>
        </w:rPr>
        <w:t>ții fiscal bugetare, republicată, cu modificările şi completările ulterioare și de la prevederile Legii nr. 417/2023</w:t>
      </w:r>
      <w:r w:rsidR="0080671B">
        <w:rPr>
          <w:lang w:val="en-US"/>
        </w:rPr>
        <w:t>,</w:t>
      </w:r>
      <w:r w:rsidR="00411D5E" w:rsidRPr="00411D5E">
        <w:rPr>
          <w:lang w:val="en-US"/>
        </w:rPr>
        <w:t xml:space="preserve"> pentru aprobarea plafoanelor unor indicatori specificaţi în cadrul fiscal-bugetar pe anul 2024, cu sumele cedate la Fondul de rezervă bugetară s-a prevăzut posibilitatea de a depăşi, după caz, plafonul soldului bugetului general consolidat şi cel al cheltuielilor de personal ale bugetului general consolidat, exprimat ca procent în produsul intern brut, plafoanele nominale ale cheltuielilor totale şi ale cheltuielilor de personal, plafoanele nominale ale soldului bugetului general consolidat şi ale principalelor bugete componente, precum şi plafonul soldului primar al bugetului general consolidat, aprobate potrivit legii.</w:t>
      </w:r>
    </w:p>
    <w:p w14:paraId="62C48C10" w14:textId="77777777" w:rsidR="00D21F7F" w:rsidRPr="00C53F10" w:rsidRDefault="00D21F7F" w:rsidP="00C40AAC">
      <w:pPr>
        <w:spacing w:before="120" w:after="120" w:line="276" w:lineRule="auto"/>
        <w:jc w:val="both"/>
      </w:pPr>
    </w:p>
    <w:p w14:paraId="36235888" w14:textId="11F64049" w:rsidR="00163134" w:rsidRPr="00C53F10" w:rsidRDefault="00AC190C" w:rsidP="00AC190C">
      <w:pPr>
        <w:tabs>
          <w:tab w:val="left" w:pos="450"/>
          <w:tab w:val="left" w:pos="1080"/>
        </w:tabs>
        <w:spacing w:before="120" w:after="120" w:line="276" w:lineRule="auto"/>
        <w:jc w:val="center"/>
        <w:rPr>
          <w:noProof/>
        </w:rPr>
      </w:pPr>
      <w:r w:rsidRPr="00C53F10">
        <w:rPr>
          <w:noProof/>
        </w:rPr>
        <w:t>Plafoane privind soldul bugetar pe principalele bugete componente 202</w:t>
      </w:r>
      <w:r w:rsidR="00D21F7F">
        <w:rPr>
          <w:noProof/>
        </w:rPr>
        <w:t>4</w:t>
      </w:r>
    </w:p>
    <w:p w14:paraId="59A28AD6" w14:textId="4EB11840" w:rsidR="00163134" w:rsidRPr="00C53F10" w:rsidRDefault="004D6AD6" w:rsidP="00163134">
      <w:pPr>
        <w:tabs>
          <w:tab w:val="left" w:pos="450"/>
          <w:tab w:val="left" w:pos="1080"/>
        </w:tabs>
        <w:spacing w:before="120" w:after="120" w:line="276" w:lineRule="auto"/>
        <w:jc w:val="both"/>
        <w:rPr>
          <w:noProof/>
        </w:rPr>
      </w:pPr>
      <w:r>
        <w:rPr>
          <w:noProof/>
        </w:rPr>
        <w:pict w14:anchorId="65ECF648">
          <v:shape id="_x0000_i1029" type="#_x0000_t75" style="width:483.5pt;height:238pt">
            <v:imagedata r:id="rId16" o:title=""/>
          </v:shape>
        </w:pict>
      </w:r>
    </w:p>
    <w:p w14:paraId="524FC610" w14:textId="4C638662" w:rsidR="00AC190C" w:rsidRDefault="00AC190C" w:rsidP="00C363EC">
      <w:pPr>
        <w:pStyle w:val="ListParagraph"/>
        <w:tabs>
          <w:tab w:val="left" w:pos="450"/>
          <w:tab w:val="left" w:pos="1080"/>
        </w:tabs>
        <w:spacing w:before="120" w:after="120" w:line="276" w:lineRule="auto"/>
        <w:ind w:left="0"/>
        <w:jc w:val="center"/>
        <w:rPr>
          <w:rFonts w:cs="Tahoma"/>
          <w:sz w:val="24"/>
          <w:szCs w:val="24"/>
        </w:rPr>
      </w:pPr>
    </w:p>
    <w:p w14:paraId="21274CB9" w14:textId="5BDAE64D" w:rsidR="005A6D9F" w:rsidRDefault="005A6D9F" w:rsidP="00C363EC">
      <w:pPr>
        <w:pStyle w:val="ListParagraph"/>
        <w:tabs>
          <w:tab w:val="left" w:pos="450"/>
          <w:tab w:val="left" w:pos="1080"/>
        </w:tabs>
        <w:spacing w:before="120" w:after="120" w:line="276" w:lineRule="auto"/>
        <w:ind w:left="0"/>
        <w:jc w:val="center"/>
        <w:rPr>
          <w:rFonts w:cs="Tahoma"/>
          <w:sz w:val="24"/>
          <w:szCs w:val="24"/>
        </w:rPr>
      </w:pPr>
    </w:p>
    <w:p w14:paraId="77C20E6E" w14:textId="77777777" w:rsidR="005A6D9F" w:rsidRPr="00C53F10" w:rsidRDefault="005A6D9F" w:rsidP="00C363EC">
      <w:pPr>
        <w:pStyle w:val="ListParagraph"/>
        <w:tabs>
          <w:tab w:val="left" w:pos="450"/>
          <w:tab w:val="left" w:pos="1080"/>
        </w:tabs>
        <w:spacing w:before="120" w:after="120" w:line="276" w:lineRule="auto"/>
        <w:ind w:left="0"/>
        <w:jc w:val="center"/>
        <w:rPr>
          <w:rFonts w:cs="Tahoma"/>
          <w:sz w:val="24"/>
          <w:szCs w:val="24"/>
        </w:rPr>
      </w:pPr>
    </w:p>
    <w:p w14:paraId="59A8F24D" w14:textId="44856C31" w:rsidR="00163134" w:rsidRPr="00C53F10" w:rsidRDefault="00BA5E33" w:rsidP="00C363EC">
      <w:pPr>
        <w:pStyle w:val="ListParagraph"/>
        <w:tabs>
          <w:tab w:val="left" w:pos="450"/>
          <w:tab w:val="left" w:pos="1080"/>
        </w:tabs>
        <w:spacing w:before="120" w:after="120" w:line="276" w:lineRule="auto"/>
        <w:ind w:left="0"/>
        <w:jc w:val="center"/>
        <w:rPr>
          <w:rFonts w:cs="Tahoma"/>
          <w:sz w:val="24"/>
          <w:szCs w:val="24"/>
        </w:rPr>
      </w:pPr>
      <w:r w:rsidRPr="00C53F10">
        <w:rPr>
          <w:rFonts w:cs="Tahoma"/>
          <w:sz w:val="24"/>
          <w:szCs w:val="24"/>
        </w:rPr>
        <w:lastRenderedPageBreak/>
        <w:t xml:space="preserve">Plafoane privind cheltuieli totale exclusiv asistenta financiara din partea UE sau </w:t>
      </w:r>
      <w:r w:rsidR="00D91734" w:rsidRPr="00C53F10">
        <w:rPr>
          <w:rFonts w:cs="Tahoma"/>
          <w:sz w:val="24"/>
          <w:szCs w:val="24"/>
        </w:rPr>
        <w:t>alți</w:t>
      </w:r>
      <w:r w:rsidRPr="00C53F10">
        <w:rPr>
          <w:rFonts w:cs="Tahoma"/>
          <w:sz w:val="24"/>
          <w:szCs w:val="24"/>
        </w:rPr>
        <w:t xml:space="preserve"> donatori, în anul </w:t>
      </w:r>
      <w:r w:rsidR="00DB15BA" w:rsidRPr="00C53F10">
        <w:rPr>
          <w:rFonts w:cs="Tahoma"/>
          <w:sz w:val="24"/>
          <w:szCs w:val="24"/>
        </w:rPr>
        <w:t>202</w:t>
      </w:r>
      <w:r w:rsidR="00466ABB">
        <w:rPr>
          <w:rFonts w:cs="Tahoma"/>
          <w:sz w:val="24"/>
          <w:szCs w:val="24"/>
        </w:rPr>
        <w:t>4</w:t>
      </w:r>
    </w:p>
    <w:p w14:paraId="69871C42" w14:textId="57B5939C" w:rsidR="00163134" w:rsidRDefault="004D6AD6" w:rsidP="00466ABB">
      <w:pPr>
        <w:pStyle w:val="ListParagraph"/>
        <w:tabs>
          <w:tab w:val="left" w:pos="0"/>
          <w:tab w:val="left" w:pos="1080"/>
        </w:tabs>
        <w:spacing w:before="120" w:after="240" w:line="276" w:lineRule="auto"/>
        <w:ind w:left="0"/>
        <w:jc w:val="center"/>
        <w:rPr>
          <w:rFonts w:cs="Tahoma"/>
          <w:sz w:val="24"/>
          <w:szCs w:val="24"/>
        </w:rPr>
      </w:pPr>
      <w:r>
        <w:rPr>
          <w:rFonts w:cs="Tahoma"/>
          <w:sz w:val="24"/>
          <w:szCs w:val="24"/>
        </w:rPr>
        <w:pict w14:anchorId="62F12216">
          <v:shape id="_x0000_i1030" type="#_x0000_t75" style="width:440pt;height:384pt">
            <v:imagedata r:id="rId17" o:title=""/>
          </v:shape>
        </w:pict>
      </w:r>
    </w:p>
    <w:p w14:paraId="0CA96E5E" w14:textId="5AFBC04C" w:rsidR="00466ABB" w:rsidRDefault="00466ABB">
      <w:pPr>
        <w:rPr>
          <w:rFonts w:eastAsia="Times New Roman"/>
        </w:rPr>
      </w:pPr>
      <w:r>
        <w:br w:type="page"/>
      </w:r>
    </w:p>
    <w:p w14:paraId="7567E183" w14:textId="75E5D021" w:rsidR="00BA5E33" w:rsidRPr="00C53F10" w:rsidRDefault="00BA5E33" w:rsidP="001E07A7">
      <w:pPr>
        <w:pStyle w:val="ListParagraph"/>
        <w:numPr>
          <w:ilvl w:val="1"/>
          <w:numId w:val="22"/>
        </w:numPr>
        <w:spacing w:after="120" w:line="276" w:lineRule="auto"/>
        <w:rPr>
          <w:rFonts w:cs="Tahoma"/>
          <w:b/>
          <w:bCs/>
          <w:sz w:val="24"/>
          <w:szCs w:val="24"/>
        </w:rPr>
      </w:pPr>
      <w:r w:rsidRPr="00C53F10">
        <w:rPr>
          <w:rFonts w:cs="Tahoma"/>
          <w:b/>
          <w:bCs/>
          <w:sz w:val="24"/>
          <w:szCs w:val="24"/>
        </w:rPr>
        <w:lastRenderedPageBreak/>
        <w:t xml:space="preserve">Evaluarea țintelor </w:t>
      </w:r>
      <w:r w:rsidR="00C61FEE" w:rsidRPr="00C53F10">
        <w:rPr>
          <w:rFonts w:cs="Tahoma"/>
          <w:b/>
          <w:bCs/>
          <w:sz w:val="24"/>
          <w:szCs w:val="24"/>
        </w:rPr>
        <w:t>și</w:t>
      </w:r>
      <w:r w:rsidRPr="00C53F10">
        <w:rPr>
          <w:rFonts w:cs="Tahoma"/>
          <w:b/>
          <w:bCs/>
          <w:sz w:val="24"/>
          <w:szCs w:val="24"/>
        </w:rPr>
        <w:t xml:space="preserve"> a indicatorilor bugetari</w:t>
      </w:r>
    </w:p>
    <w:p w14:paraId="09C40416" w14:textId="51C1881D" w:rsidR="00BA5E33" w:rsidRPr="00C53F10" w:rsidRDefault="00BA5E33" w:rsidP="00C8369B">
      <w:pPr>
        <w:spacing w:after="120" w:line="276" w:lineRule="auto"/>
        <w:jc w:val="both"/>
      </w:pPr>
      <w:r w:rsidRPr="00C53F10">
        <w:t xml:space="preserve">La elaborarea legilor bugetare anuale, s-a avut în vedere un deficit al bugetului general consolidat aferent anului </w:t>
      </w:r>
      <w:r w:rsidR="00A85E7C" w:rsidRPr="00C53F10">
        <w:t>202</w:t>
      </w:r>
      <w:r w:rsidR="0040071B">
        <w:t>4</w:t>
      </w:r>
      <w:r w:rsidRPr="00C53F10">
        <w:t xml:space="preserve">, în bază cash, de </w:t>
      </w:r>
      <w:r w:rsidR="0040071B">
        <w:t>5,</w:t>
      </w:r>
      <w:r w:rsidR="00E02F47" w:rsidRPr="00C53F10">
        <w:t>0</w:t>
      </w:r>
      <w:r w:rsidRPr="00C53F10">
        <w:t>% din PIB, nivel similar cu cel asumat în strategia fiscal bugetară aprobată</w:t>
      </w:r>
      <w:r w:rsidR="00AF28B7" w:rsidRPr="00C53F10">
        <w:t xml:space="preserve"> și în Legea</w:t>
      </w:r>
      <w:r w:rsidR="00AF28B7" w:rsidRPr="00C53F10">
        <w:rPr>
          <w:rStyle w:val="FootnoteReference"/>
          <w:rFonts w:cs="Tahoma"/>
        </w:rPr>
        <w:footnoteReference w:id="2"/>
      </w:r>
      <w:r w:rsidR="00AF28B7" w:rsidRPr="00C53F10">
        <w:t xml:space="preserve"> nr.</w:t>
      </w:r>
      <w:r w:rsidR="0040071B">
        <w:t>417</w:t>
      </w:r>
      <w:r w:rsidR="00E02F47" w:rsidRPr="00C53F10">
        <w:t>/202</w:t>
      </w:r>
      <w:r w:rsidR="0040071B">
        <w:t>3</w:t>
      </w:r>
      <w:r w:rsidRPr="00C53F10">
        <w:t>.</w:t>
      </w:r>
      <w:r w:rsidRPr="00C53F10">
        <w:rPr>
          <w:color w:val="FF0000"/>
        </w:rPr>
        <w:t xml:space="preserve"> </w:t>
      </w:r>
      <w:r w:rsidRPr="00C53F10">
        <w:t>În urma</w:t>
      </w:r>
      <w:r w:rsidR="00E02F47" w:rsidRPr="00C53F10">
        <w:t xml:space="preserve"> </w:t>
      </w:r>
      <w:r w:rsidR="00A91178">
        <w:t xml:space="preserve">rectificărilor bugetare și a </w:t>
      </w:r>
      <w:r w:rsidR="00E02F47" w:rsidRPr="00C53F10">
        <w:t xml:space="preserve">alocării de sume din Fondul de rezervă bugetară la dispoziţia Guvernului, </w:t>
      </w:r>
      <w:r w:rsidR="00AF28B7" w:rsidRPr="00C53F10">
        <w:t xml:space="preserve">plafonul </w:t>
      </w:r>
      <w:r w:rsidRPr="00C53F10">
        <w:t>soldul</w:t>
      </w:r>
      <w:r w:rsidR="00AF28B7" w:rsidRPr="00C53F10">
        <w:t>ui</w:t>
      </w:r>
      <w:r w:rsidRPr="00C53F10">
        <w:t xml:space="preserve"> bugetului general consolidat exprimat ca procent în PIB </w:t>
      </w:r>
      <w:r w:rsidR="007D268E" w:rsidRPr="00C53F10">
        <w:t xml:space="preserve">a </w:t>
      </w:r>
      <w:r w:rsidR="002076C3" w:rsidRPr="00C53F10">
        <w:t xml:space="preserve">fost </w:t>
      </w:r>
      <w:r w:rsidR="00E02F47" w:rsidRPr="00C53F10">
        <w:t xml:space="preserve">majorat </w:t>
      </w:r>
      <w:r w:rsidR="002076C3" w:rsidRPr="00C53F10">
        <w:t xml:space="preserve">la </w:t>
      </w:r>
      <w:r w:rsidR="00AF28B7" w:rsidRPr="00C53F10">
        <w:t>-</w:t>
      </w:r>
      <w:r w:rsidR="00A91178">
        <w:t>9,1</w:t>
      </w:r>
      <w:r w:rsidR="003A5DBB">
        <w:t>8</w:t>
      </w:r>
      <w:r w:rsidR="002076C3" w:rsidRPr="00C53F10">
        <w:t>% din PIB.</w:t>
      </w:r>
      <w:r w:rsidRPr="00C53F10">
        <w:t xml:space="preserve"> </w:t>
      </w:r>
    </w:p>
    <w:p w14:paraId="2F05245C" w14:textId="5E00F1C9" w:rsidR="00BA5E33" w:rsidRPr="00C53F10" w:rsidRDefault="00BA5E33" w:rsidP="00D52F88">
      <w:pPr>
        <w:spacing w:after="120" w:line="276" w:lineRule="auto"/>
        <w:ind w:firstLine="706"/>
      </w:pPr>
      <w:r w:rsidRPr="00C53F10">
        <w:t xml:space="preserve">Soldul bugetar pe principalele bugete componente </w:t>
      </w:r>
      <w:r w:rsidR="00A85E7C" w:rsidRPr="00C53F10">
        <w:t>202</w:t>
      </w:r>
      <w:r w:rsidR="004C3971">
        <w:t>4</w:t>
      </w:r>
      <w:r w:rsidR="00A85E7C" w:rsidRPr="00C53F10">
        <w:t xml:space="preserve"> </w:t>
      </w:r>
      <w:r w:rsidRPr="00C53F10">
        <w:t>se prezintă astfel:</w:t>
      </w:r>
    </w:p>
    <w:p w14:paraId="7095BD45" w14:textId="5BB1E147" w:rsidR="002944EA" w:rsidRPr="00C53F10" w:rsidRDefault="004D6AD6" w:rsidP="002944EA">
      <w:pPr>
        <w:spacing w:after="120" w:line="276" w:lineRule="auto"/>
      </w:pPr>
      <w:r>
        <w:pict w14:anchorId="1C148EAA">
          <v:shape id="_x0000_i1031" type="#_x0000_t75" style="width:484.5pt;height:180pt">
            <v:imagedata r:id="rId18" o:title=""/>
          </v:shape>
        </w:pict>
      </w:r>
    </w:p>
    <w:p w14:paraId="5AE10089" w14:textId="2F811135" w:rsidR="00BA5E33" w:rsidRPr="0062510B" w:rsidRDefault="00BA5E33" w:rsidP="0006628D">
      <w:pPr>
        <w:spacing w:before="120" w:after="120" w:line="276" w:lineRule="auto"/>
        <w:jc w:val="both"/>
      </w:pPr>
      <w:r w:rsidRPr="0062510B">
        <w:t xml:space="preserve">Soldul bugetului general consolidat realizat în anul </w:t>
      </w:r>
      <w:r w:rsidR="00A85E7C" w:rsidRPr="0062510B">
        <w:t>20</w:t>
      </w:r>
      <w:r w:rsidR="003A5DBB" w:rsidRPr="0062510B">
        <w:t>24</w:t>
      </w:r>
      <w:r w:rsidRPr="0062510B">
        <w:t>, exprimat ca procent în PIB, a fost de -</w:t>
      </w:r>
      <w:r w:rsidR="003A5DBB" w:rsidRPr="0062510B">
        <w:t>8,6</w:t>
      </w:r>
      <w:r w:rsidR="00D90642">
        <w:t>6</w:t>
      </w:r>
      <w:r w:rsidRPr="0062510B">
        <w:t xml:space="preserve">%, cu </w:t>
      </w:r>
      <w:r w:rsidR="003A5DBB" w:rsidRPr="0062510B">
        <w:t>3,6</w:t>
      </w:r>
      <w:r w:rsidR="00D90642">
        <w:t>6</w:t>
      </w:r>
      <w:r w:rsidR="00C74B89" w:rsidRPr="0062510B">
        <w:t xml:space="preserve"> </w:t>
      </w:r>
      <w:r w:rsidRPr="0062510B">
        <w:t xml:space="preserve">puncte procentuale </w:t>
      </w:r>
      <w:r w:rsidR="00E02F47" w:rsidRPr="0062510B">
        <w:t>peste</w:t>
      </w:r>
      <w:r w:rsidR="00AC014F" w:rsidRPr="0062510B">
        <w:t xml:space="preserve"> </w:t>
      </w:r>
      <w:r w:rsidRPr="0062510B">
        <w:t xml:space="preserve">ținta stabilită în </w:t>
      </w:r>
      <w:r w:rsidR="00AF28B7" w:rsidRPr="0062510B">
        <w:t>Legea nr.</w:t>
      </w:r>
      <w:r w:rsidR="003A5DBB" w:rsidRPr="0062510B">
        <w:t>417</w:t>
      </w:r>
      <w:r w:rsidR="00A85E7C" w:rsidRPr="0062510B">
        <w:t>/202</w:t>
      </w:r>
      <w:r w:rsidR="003A5DBB" w:rsidRPr="0062510B">
        <w:t>3</w:t>
      </w:r>
      <w:r w:rsidRPr="0062510B">
        <w:t xml:space="preserve"> </w:t>
      </w:r>
      <w:r w:rsidR="00FD1589" w:rsidRPr="0062510B">
        <w:t>și</w:t>
      </w:r>
      <w:r w:rsidRPr="0062510B">
        <w:t xml:space="preserve"> la bugetul inițial</w:t>
      </w:r>
      <w:r w:rsidR="002076C3" w:rsidRPr="0062510B">
        <w:t xml:space="preserve"> și </w:t>
      </w:r>
      <w:r w:rsidR="00622CC3" w:rsidRPr="0062510B">
        <w:t>cu 0,</w:t>
      </w:r>
      <w:r w:rsidR="0062510B">
        <w:t>5</w:t>
      </w:r>
      <w:r w:rsidR="00D90642">
        <w:t>2</w:t>
      </w:r>
      <w:r w:rsidR="00A85E7C" w:rsidRPr="0062510B">
        <w:t xml:space="preserve"> </w:t>
      </w:r>
      <w:r w:rsidR="006A193A" w:rsidRPr="0062510B">
        <w:t xml:space="preserve">puncte procentuale </w:t>
      </w:r>
      <w:r w:rsidR="0062510B" w:rsidRPr="0062510B">
        <w:t>sub</w:t>
      </w:r>
      <w:r w:rsidR="006A193A" w:rsidRPr="0062510B">
        <w:t xml:space="preserve"> </w:t>
      </w:r>
      <w:r w:rsidR="00E02F47" w:rsidRPr="0062510B">
        <w:t>nivelu</w:t>
      </w:r>
      <w:r w:rsidR="000E782F" w:rsidRPr="0062510B">
        <w:t>l</w:t>
      </w:r>
      <w:r w:rsidR="00E02F47" w:rsidRPr="0062510B">
        <w:t xml:space="preserve"> stabilit în programul actualizat </w:t>
      </w:r>
      <w:r w:rsidR="006A193A" w:rsidRPr="0062510B">
        <w:t xml:space="preserve">pe anul </w:t>
      </w:r>
      <w:r w:rsidR="00A85E7C" w:rsidRPr="0062510B">
        <w:t>202</w:t>
      </w:r>
      <w:r w:rsidR="0062510B" w:rsidRPr="0062510B">
        <w:t>4</w:t>
      </w:r>
      <w:r w:rsidRPr="0062510B">
        <w:t>.</w:t>
      </w:r>
    </w:p>
    <w:p w14:paraId="671266FF" w14:textId="0A927ACD" w:rsidR="00FD1589" w:rsidRPr="00C53F10" w:rsidRDefault="00FD1589" w:rsidP="0006628D">
      <w:pPr>
        <w:spacing w:before="120" w:after="120" w:line="276" w:lineRule="auto"/>
        <w:jc w:val="both"/>
      </w:pPr>
      <w:r w:rsidRPr="00C53F10">
        <w:t>În termeni nominali</w:t>
      </w:r>
      <w:r w:rsidR="00F02688" w:rsidRPr="00C53F10">
        <w:t>,</w:t>
      </w:r>
      <w:r w:rsidRPr="00C53F10">
        <w:t xml:space="preserve"> soldul bugetului general consolidat a depășit ținta stabilită de Legea nr.</w:t>
      </w:r>
      <w:r w:rsidR="00E02F47" w:rsidRPr="00C53F10">
        <w:t xml:space="preserve"> </w:t>
      </w:r>
      <w:r w:rsidR="0062510B" w:rsidRPr="0062510B">
        <w:t>Legea nr.417/2023</w:t>
      </w:r>
      <w:r w:rsidR="0062510B">
        <w:t xml:space="preserve"> </w:t>
      </w:r>
      <w:r w:rsidRPr="00C53F10">
        <w:t xml:space="preserve">și la bugetul inițial cu </w:t>
      </w:r>
      <w:r w:rsidR="00D90642" w:rsidRPr="00D90642">
        <w:t>65.870,9</w:t>
      </w:r>
      <w:r w:rsidR="00E02F47" w:rsidRPr="00C53F10">
        <w:t xml:space="preserve"> </w:t>
      </w:r>
      <w:r w:rsidRPr="00C53F10">
        <w:t xml:space="preserve">milioane lei și </w:t>
      </w:r>
      <w:r w:rsidR="0062510B">
        <w:t xml:space="preserve">s-a situat </w:t>
      </w:r>
      <w:r w:rsidRPr="00C53F10">
        <w:t xml:space="preserve">cu </w:t>
      </w:r>
      <w:r w:rsidR="00D90642" w:rsidRPr="00D90642">
        <w:t>9.037,5</w:t>
      </w:r>
      <w:r w:rsidR="00D90642">
        <w:t xml:space="preserve"> </w:t>
      </w:r>
      <w:r w:rsidRPr="00C53F10">
        <w:t xml:space="preserve">milioane lei </w:t>
      </w:r>
      <w:r w:rsidR="0062510B">
        <w:t>sub</w:t>
      </w:r>
      <w:r w:rsidRPr="00C53F10">
        <w:t xml:space="preserve"> plafonul stabilit </w:t>
      </w:r>
      <w:r w:rsidR="00E02F47" w:rsidRPr="00C53F10">
        <w:t>în programul actualizat</w:t>
      </w:r>
      <w:r w:rsidRPr="00C53F10">
        <w:t xml:space="preserve"> pe anul 202</w:t>
      </w:r>
      <w:r w:rsidR="0062510B">
        <w:t>4</w:t>
      </w:r>
      <w:r w:rsidRPr="00C53F10">
        <w:t>.</w:t>
      </w:r>
    </w:p>
    <w:p w14:paraId="04DE6BCE" w14:textId="6328CCD2" w:rsidR="00BA5E33" w:rsidRPr="00C53F10" w:rsidRDefault="00BA5E33" w:rsidP="0006628D">
      <w:pPr>
        <w:spacing w:before="120" w:after="120" w:line="276" w:lineRule="auto"/>
        <w:jc w:val="both"/>
      </w:pPr>
      <w:r w:rsidRPr="00C53F10">
        <w:t>Ca urmare a evoluției deficitului bugetului general consolidat</w:t>
      </w:r>
      <w:r w:rsidR="0014770A" w:rsidRPr="00C53F10">
        <w:t>,</w:t>
      </w:r>
      <w:r w:rsidRPr="00C53F10">
        <w:t xml:space="preserve"> soldul primar </w:t>
      </w:r>
      <w:r w:rsidR="00F02688" w:rsidRPr="00C53F10">
        <w:t>al bugetului general consolidat, în termeni nominali, a depășit plafoanele stabilite</w:t>
      </w:r>
      <w:r w:rsidRPr="00C53F10">
        <w:t xml:space="preserve"> cu </w:t>
      </w:r>
      <w:r w:rsidR="00D90642" w:rsidRPr="00D90642">
        <w:t>64.430,6</w:t>
      </w:r>
      <w:r w:rsidR="00FD1589" w:rsidRPr="00C53F10">
        <w:t xml:space="preserve"> </w:t>
      </w:r>
      <w:r w:rsidRPr="00C53F10">
        <w:t xml:space="preserve">milioane lei comparativ cu plafonul stabilit </w:t>
      </w:r>
      <w:r w:rsidR="00AF28B7" w:rsidRPr="00C53F10">
        <w:t xml:space="preserve">de </w:t>
      </w:r>
      <w:r w:rsidR="0062510B" w:rsidRPr="0062510B">
        <w:t xml:space="preserve">Legea nr.417/2023 </w:t>
      </w:r>
      <w:r w:rsidR="00AF28B7" w:rsidRPr="00C53F10">
        <w:t>și la bugetul inițial</w:t>
      </w:r>
      <w:r w:rsidR="006A193A" w:rsidRPr="00C53F10">
        <w:t xml:space="preserve"> iar comparativ cu </w:t>
      </w:r>
      <w:r w:rsidR="001A72D2" w:rsidRPr="00C53F10">
        <w:t>plafonul stabilit în programul actualizat pe anul 202</w:t>
      </w:r>
      <w:r w:rsidR="0062510B">
        <w:t>4</w:t>
      </w:r>
      <w:r w:rsidR="006A193A" w:rsidRPr="00C53F10">
        <w:t xml:space="preserve"> </w:t>
      </w:r>
      <w:r w:rsidR="0062510B">
        <w:t>s-</w:t>
      </w:r>
      <w:r w:rsidR="00FD1589" w:rsidRPr="00C53F10">
        <w:t xml:space="preserve">a </w:t>
      </w:r>
      <w:r w:rsidR="0062510B">
        <w:t>situat sub acest plafon</w:t>
      </w:r>
      <w:r w:rsidR="00FD1589" w:rsidRPr="00C53F10">
        <w:t xml:space="preserve"> cu </w:t>
      </w:r>
      <w:r w:rsidR="00D90642" w:rsidRPr="00D90642">
        <w:t>7.747,8</w:t>
      </w:r>
      <w:r w:rsidR="0062510B">
        <w:t xml:space="preserve"> </w:t>
      </w:r>
      <w:r w:rsidR="006A193A" w:rsidRPr="00C53F10">
        <w:t>milioane lei</w:t>
      </w:r>
      <w:r w:rsidRPr="00C53F10">
        <w:t>.</w:t>
      </w:r>
    </w:p>
    <w:p w14:paraId="2D6815D6" w14:textId="6B541E5B" w:rsidR="00416C83" w:rsidRPr="00C53F10" w:rsidRDefault="0026696A" w:rsidP="0006628D">
      <w:pPr>
        <w:spacing w:before="120" w:after="120" w:line="276" w:lineRule="auto"/>
        <w:jc w:val="both"/>
      </w:pPr>
      <w:r w:rsidRPr="00C53F10">
        <w:t xml:space="preserve">Soldul nominal al bugetului de stat a fost de </w:t>
      </w:r>
      <w:r w:rsidR="00094E0D" w:rsidRPr="00094E0D">
        <w:t>-147.981,3</w:t>
      </w:r>
      <w:r w:rsidRPr="00C53F10">
        <w:t xml:space="preserve"> milioane lei</w:t>
      </w:r>
      <w:r w:rsidR="009D0C7D" w:rsidRPr="00C53F10">
        <w:t>,</w:t>
      </w:r>
      <w:r w:rsidRPr="00C53F10">
        <w:t xml:space="preserve"> cu </w:t>
      </w:r>
      <w:r w:rsidR="00094E0D" w:rsidRPr="00094E0D">
        <w:t>51.948,3</w:t>
      </w:r>
      <w:r w:rsidR="009D0C7D" w:rsidRPr="00C53F10">
        <w:t xml:space="preserve"> </w:t>
      </w:r>
      <w:r w:rsidRPr="00C53F10">
        <w:t xml:space="preserve">milioane lei </w:t>
      </w:r>
      <w:r w:rsidR="001A72D2" w:rsidRPr="00C53F10">
        <w:t>peste</w:t>
      </w:r>
      <w:r w:rsidRPr="00C53F10">
        <w:t xml:space="preserve"> plafonul stabilit de Legea nr.</w:t>
      </w:r>
      <w:r w:rsidR="001A72D2" w:rsidRPr="00C53F10">
        <w:t xml:space="preserve"> </w:t>
      </w:r>
      <w:r w:rsidR="00094E0D" w:rsidRPr="00094E0D">
        <w:t xml:space="preserve">417/2023 </w:t>
      </w:r>
      <w:r w:rsidRPr="00C53F10">
        <w:t xml:space="preserve">și avut în vedere la elaborarea legilor bugetare anuale inițiale și cu </w:t>
      </w:r>
      <w:r w:rsidR="00094E0D" w:rsidRPr="00094E0D">
        <w:t>21.222,2</w:t>
      </w:r>
      <w:r w:rsidR="00094E0D">
        <w:t xml:space="preserve"> </w:t>
      </w:r>
      <w:r w:rsidRPr="00C53F10">
        <w:t xml:space="preserve">milioane lei </w:t>
      </w:r>
      <w:r w:rsidR="00094E0D">
        <w:t>sub</w:t>
      </w:r>
      <w:r w:rsidR="00627F87" w:rsidRPr="00C53F10">
        <w:t xml:space="preserve"> </w:t>
      </w:r>
      <w:r w:rsidRPr="00C53F10">
        <w:t xml:space="preserve">ținta stabilită </w:t>
      </w:r>
      <w:r w:rsidR="001A72D2" w:rsidRPr="00C53F10">
        <w:t>în programul actualizat pe anul 202</w:t>
      </w:r>
      <w:r w:rsidR="00094E0D">
        <w:t>4</w:t>
      </w:r>
      <w:r w:rsidRPr="00C53F10">
        <w:t>.</w:t>
      </w:r>
    </w:p>
    <w:p w14:paraId="104A3E57" w14:textId="1D8B39E4" w:rsidR="00416C83" w:rsidRPr="00C53F10" w:rsidRDefault="00D0161D" w:rsidP="0006628D">
      <w:pPr>
        <w:spacing w:before="120" w:after="120" w:line="276" w:lineRule="auto"/>
        <w:jc w:val="both"/>
      </w:pPr>
      <w:r w:rsidRPr="00C53F10">
        <w:t xml:space="preserve">Soldul nominal în cazul </w:t>
      </w:r>
      <w:r w:rsidR="00367996" w:rsidRPr="00C53F10">
        <w:t xml:space="preserve">bugetului </w:t>
      </w:r>
      <w:r w:rsidR="008C3241" w:rsidRPr="00C53F10">
        <w:t xml:space="preserve">asigurărilor sociale de stat </w:t>
      </w:r>
      <w:r w:rsidR="007D3008" w:rsidRPr="00C53F10">
        <w:t xml:space="preserve">a fost de </w:t>
      </w:r>
      <w:r w:rsidR="00094E0D" w:rsidRPr="00094E0D">
        <w:t>-2.809,9</w:t>
      </w:r>
      <w:r w:rsidR="00094E0D">
        <w:t xml:space="preserve"> </w:t>
      </w:r>
      <w:r w:rsidRPr="00C53F10">
        <w:t xml:space="preserve">milioane lei cu </w:t>
      </w:r>
      <w:r w:rsidR="00094E0D" w:rsidRPr="00094E0D">
        <w:t>2.891,2</w:t>
      </w:r>
      <w:r w:rsidR="00094E0D">
        <w:t xml:space="preserve"> </w:t>
      </w:r>
      <w:r w:rsidRPr="00C53F10">
        <w:t>mili</w:t>
      </w:r>
      <w:r w:rsidR="0008211D" w:rsidRPr="00C53F10">
        <w:t>o</w:t>
      </w:r>
      <w:r w:rsidRPr="00C53F10">
        <w:t xml:space="preserve">ane lei </w:t>
      </w:r>
      <w:r w:rsidR="00094E0D">
        <w:t>peste</w:t>
      </w:r>
      <w:r w:rsidRPr="00C53F10">
        <w:t xml:space="preserve"> </w:t>
      </w:r>
      <w:r w:rsidR="007D3008" w:rsidRPr="00C53F10">
        <w:t xml:space="preserve">plafonul avut în vedere la elaborarea bugetului inițial și </w:t>
      </w:r>
      <w:r w:rsidR="001A72D2" w:rsidRPr="00C53F10">
        <w:t xml:space="preserve">stabilit de Legea </w:t>
      </w:r>
      <w:r w:rsidR="007D6900" w:rsidRPr="00C53F10">
        <w:t xml:space="preserve">nr. </w:t>
      </w:r>
      <w:r w:rsidR="00094E0D" w:rsidRPr="00094E0D">
        <w:t xml:space="preserve">417/2023 </w:t>
      </w:r>
      <w:r w:rsidR="001A72D2" w:rsidRPr="00C53F10">
        <w:t xml:space="preserve">dar și </w:t>
      </w:r>
      <w:r w:rsidR="00094E0D">
        <w:t>peste</w:t>
      </w:r>
      <w:r w:rsidR="001A72D2" w:rsidRPr="00C53F10">
        <w:t xml:space="preserve"> plafonul stabilit în programul actualizat pe anul 202</w:t>
      </w:r>
      <w:r w:rsidR="00094E0D">
        <w:t xml:space="preserve">4 cu </w:t>
      </w:r>
      <w:r w:rsidR="00094E0D" w:rsidRPr="00094E0D">
        <w:t>2.888,0</w:t>
      </w:r>
      <w:r w:rsidR="00094E0D">
        <w:t xml:space="preserve"> milioane lei.</w:t>
      </w:r>
    </w:p>
    <w:p w14:paraId="774B9359" w14:textId="0B6DE741" w:rsidR="001A72D2" w:rsidRPr="00C53F10" w:rsidRDefault="001A72D2" w:rsidP="0006628D">
      <w:pPr>
        <w:spacing w:before="120" w:after="120" w:line="276" w:lineRule="auto"/>
        <w:jc w:val="both"/>
      </w:pPr>
      <w:r w:rsidRPr="00C53F10">
        <w:lastRenderedPageBreak/>
        <w:t xml:space="preserve">Soldul nominal în cazul bugetului fondului național unic de asigurări sociale de sănătate a fost de </w:t>
      </w:r>
      <w:r w:rsidR="00094E0D" w:rsidRPr="00094E0D">
        <w:t>-1.185,1</w:t>
      </w:r>
      <w:r w:rsidRPr="00C53F10">
        <w:t xml:space="preserve">milioane lei </w:t>
      </w:r>
      <w:r w:rsidR="0006628D" w:rsidRPr="00C53F10">
        <w:t xml:space="preserve">în timp ce </w:t>
      </w:r>
      <w:r w:rsidRPr="00C53F10">
        <w:t>plafo</w:t>
      </w:r>
      <w:r w:rsidR="0006628D" w:rsidRPr="00C53F10">
        <w:t>nul avut în</w:t>
      </w:r>
      <w:r w:rsidRPr="00C53F10">
        <w:t xml:space="preserve"> vedere la elaborarea bugetului inițial și stabilit de </w:t>
      </w:r>
      <w:r w:rsidR="00094E0D" w:rsidRPr="00094E0D">
        <w:t xml:space="preserve">417/2023 </w:t>
      </w:r>
      <w:r w:rsidRPr="00C53F10">
        <w:t>dar și plafonul stabilit în programul actualizat pe anul 202</w:t>
      </w:r>
      <w:r w:rsidR="00094E0D">
        <w:t>4</w:t>
      </w:r>
      <w:r w:rsidR="0006628D" w:rsidRPr="00C53F10">
        <w:t xml:space="preserve"> prevedeau un buget echilibrat pentru perioada analizată</w:t>
      </w:r>
      <w:r w:rsidRPr="00C53F10">
        <w:t xml:space="preserve">. </w:t>
      </w:r>
    </w:p>
    <w:p w14:paraId="6EE01F84" w14:textId="6BDE16A9" w:rsidR="004733FA" w:rsidRPr="00C53F10" w:rsidRDefault="004733FA" w:rsidP="0006628D">
      <w:pPr>
        <w:spacing w:before="120" w:after="120" w:line="276" w:lineRule="auto"/>
        <w:jc w:val="both"/>
      </w:pPr>
      <w:r w:rsidRPr="00C53F10">
        <w:t>Soldurile bugetare</w:t>
      </w:r>
      <w:r w:rsidR="001A72D2" w:rsidRPr="00C53F10">
        <w:t xml:space="preserve"> în cazul</w:t>
      </w:r>
      <w:r w:rsidRPr="00C53F10">
        <w:t xml:space="preserve"> bugetului fondului pentru șomaj</w:t>
      </w:r>
      <w:r w:rsidR="001A72D2" w:rsidRPr="00C53F10">
        <w:t xml:space="preserve"> și</w:t>
      </w:r>
      <w:r w:rsidRPr="00C53F10">
        <w:t xml:space="preserve"> bugetului instituțiilor finanțate din venituri proprii s-au </w:t>
      </w:r>
      <w:r w:rsidR="00094E0D">
        <w:t xml:space="preserve">încadrat în </w:t>
      </w:r>
      <w:r w:rsidRPr="00C53F10">
        <w:t xml:space="preserve">plafoanele stabilite </w:t>
      </w:r>
      <w:r w:rsidR="001A72D2" w:rsidRPr="00C53F10">
        <w:t xml:space="preserve">pentru anul </w:t>
      </w:r>
      <w:r w:rsidRPr="00C53F10">
        <w:t>202</w:t>
      </w:r>
      <w:r w:rsidR="00094E0D">
        <w:t>4.</w:t>
      </w:r>
    </w:p>
    <w:p w14:paraId="3E2B4651" w14:textId="0FD0E407" w:rsidR="002944EA" w:rsidRPr="00C53F10" w:rsidRDefault="004D6AD6" w:rsidP="00416C83">
      <w:pPr>
        <w:spacing w:line="276" w:lineRule="auto"/>
        <w:jc w:val="both"/>
      </w:pPr>
      <w:r>
        <w:pict w14:anchorId="474A7E02">
          <v:shape id="_x0000_i1032" type="#_x0000_t75" style="width:484.5pt;height:379pt">
            <v:imagedata r:id="rId19" o:title=""/>
          </v:shape>
        </w:pict>
      </w:r>
    </w:p>
    <w:p w14:paraId="25AFA6E0" w14:textId="77777777" w:rsidR="00416C83" w:rsidRPr="00C53F10" w:rsidRDefault="00416C83" w:rsidP="00416C83">
      <w:pPr>
        <w:spacing w:line="276" w:lineRule="auto"/>
        <w:jc w:val="both"/>
      </w:pPr>
    </w:p>
    <w:p w14:paraId="0AA130C0" w14:textId="45BA4A20" w:rsidR="00BA5E33" w:rsidRPr="00C53F10" w:rsidRDefault="00BA5E33" w:rsidP="00416C83">
      <w:pPr>
        <w:spacing w:line="276" w:lineRule="auto"/>
        <w:jc w:val="both"/>
      </w:pPr>
      <w:r w:rsidRPr="00C53F10">
        <w:t xml:space="preserve">Cheltuielile bugetului general consolidat (exclusiv asistența financiară din partea UE sau alți donatori) efectuate în anul </w:t>
      </w:r>
      <w:r w:rsidR="008C3241" w:rsidRPr="00C53F10">
        <w:t>202</w:t>
      </w:r>
      <w:r w:rsidR="00094E0D">
        <w:t>4</w:t>
      </w:r>
      <w:r w:rsidR="008C3241" w:rsidRPr="00C53F10">
        <w:t xml:space="preserve"> </w:t>
      </w:r>
      <w:r w:rsidRPr="00C53F10">
        <w:t xml:space="preserve">au fost în sumă de </w:t>
      </w:r>
      <w:r w:rsidR="00D90642" w:rsidRPr="00D90642">
        <w:t>684.683,4</w:t>
      </w:r>
      <w:r w:rsidRPr="00C53F10">
        <w:t xml:space="preserve"> milioane lei cu </w:t>
      </w:r>
      <w:r w:rsidR="00D90642" w:rsidRPr="00D90642">
        <w:t>80.933,7</w:t>
      </w:r>
      <w:r w:rsidR="00D90642">
        <w:t xml:space="preserve"> </w:t>
      </w:r>
      <w:r w:rsidRPr="00C53F10">
        <w:t xml:space="preserve">milioane lei </w:t>
      </w:r>
      <w:r w:rsidR="00153A5E" w:rsidRPr="00C53F10">
        <w:t xml:space="preserve">peste </w:t>
      </w:r>
      <w:r w:rsidR="007D3008" w:rsidRPr="00C53F10">
        <w:t xml:space="preserve">plafonul avut în vedere la elaborarea legilor bugetare și stabilit de </w:t>
      </w:r>
      <w:r w:rsidR="00094E0D" w:rsidRPr="00094E0D">
        <w:t>417/2023</w:t>
      </w:r>
      <w:r w:rsidR="000E7BF5" w:rsidRPr="00094E0D">
        <w:t>.</w:t>
      </w:r>
      <w:r w:rsidR="008D5896" w:rsidRPr="00C53F10">
        <w:t xml:space="preserve"> Comparativ cu plafonul stabilit </w:t>
      </w:r>
      <w:r w:rsidR="007D6900" w:rsidRPr="00C53F10">
        <w:t xml:space="preserve">conform programului actualizat </w:t>
      </w:r>
      <w:r w:rsidR="008D5896" w:rsidRPr="00C53F10">
        <w:t>cheltuielile bugetului general consolidat</w:t>
      </w:r>
      <w:r w:rsidR="00990FAD" w:rsidRPr="00C53F10">
        <w:t xml:space="preserve"> </w:t>
      </w:r>
      <w:r w:rsidR="008D5896" w:rsidRPr="00C53F10">
        <w:t xml:space="preserve">(exclusiv asistența financiară din partea UE sau alți donatori) au fost cu </w:t>
      </w:r>
      <w:r w:rsidR="00D90642" w:rsidRPr="00D90642">
        <w:t>9.650,0</w:t>
      </w:r>
      <w:r w:rsidR="00094E0D">
        <w:t xml:space="preserve"> </w:t>
      </w:r>
      <w:r w:rsidR="008D5896" w:rsidRPr="00C53F10">
        <w:t>milioane lei</w:t>
      </w:r>
      <w:r w:rsidR="00F226DB" w:rsidRPr="00C53F10">
        <w:t xml:space="preserve"> </w:t>
      </w:r>
      <w:r w:rsidR="00094E0D">
        <w:t xml:space="preserve">sub </w:t>
      </w:r>
      <w:r w:rsidR="007D3008" w:rsidRPr="00C53F10">
        <w:t>plafonul stabilit</w:t>
      </w:r>
      <w:r w:rsidR="00F226DB" w:rsidRPr="00C53F10">
        <w:t>.</w:t>
      </w:r>
    </w:p>
    <w:p w14:paraId="64D7DC09" w14:textId="56AE8E1B" w:rsidR="00BA5E33" w:rsidRPr="00C53F10" w:rsidRDefault="00BA5E33" w:rsidP="00416C83">
      <w:pPr>
        <w:spacing w:line="276" w:lineRule="auto"/>
        <w:jc w:val="both"/>
      </w:pPr>
      <w:r w:rsidRPr="00C53F10">
        <w:t xml:space="preserve">Cheltuielile bugetare (exclusiv asistența financiară din partea UE sau alți donatori) au înregistrat depășiri </w:t>
      </w:r>
      <w:r w:rsidR="008A3CE4" w:rsidRPr="00C53F10">
        <w:t xml:space="preserve">ale </w:t>
      </w:r>
      <w:r w:rsidR="007D3008" w:rsidRPr="00C53F10">
        <w:t>plafo</w:t>
      </w:r>
      <w:r w:rsidR="008A3CE4" w:rsidRPr="00C53F10">
        <w:t>a</w:t>
      </w:r>
      <w:r w:rsidR="007D3008" w:rsidRPr="00C53F10">
        <w:t>n</w:t>
      </w:r>
      <w:r w:rsidR="008A3CE4" w:rsidRPr="00C53F10">
        <w:t>elor</w:t>
      </w:r>
      <w:r w:rsidR="007D3008" w:rsidRPr="00C53F10">
        <w:t xml:space="preserve"> avut</w:t>
      </w:r>
      <w:r w:rsidR="008A3CE4" w:rsidRPr="00C53F10">
        <w:t>e</w:t>
      </w:r>
      <w:r w:rsidR="007D3008" w:rsidRPr="00C53F10">
        <w:t xml:space="preserve"> în vedere la elaborarea legilor bugetare și stabilit</w:t>
      </w:r>
      <w:r w:rsidR="008A3CE4" w:rsidRPr="00C53F10">
        <w:t>e</w:t>
      </w:r>
      <w:r w:rsidR="007D3008" w:rsidRPr="00C53F10">
        <w:t xml:space="preserve"> de </w:t>
      </w:r>
      <w:r w:rsidR="00094E0D" w:rsidRPr="00094E0D">
        <w:t xml:space="preserve">417/2023 </w:t>
      </w:r>
      <w:r w:rsidR="004A329C" w:rsidRPr="00C53F10">
        <w:t>în cazul</w:t>
      </w:r>
      <w:r w:rsidRPr="00C53F10">
        <w:t xml:space="preserve"> </w:t>
      </w:r>
      <w:r w:rsidR="007D6900" w:rsidRPr="00C53F10">
        <w:t>tuturor bugetelor componente ale bugetului general consolidat.</w:t>
      </w:r>
      <w:r w:rsidRPr="00C53F10">
        <w:t xml:space="preserve"> </w:t>
      </w:r>
    </w:p>
    <w:p w14:paraId="697DADA5" w14:textId="7DBFB9A0" w:rsidR="00A141C5" w:rsidRPr="00C53F10" w:rsidRDefault="00075F4B" w:rsidP="00416C83">
      <w:pPr>
        <w:spacing w:line="276" w:lineRule="auto"/>
        <w:jc w:val="both"/>
      </w:pPr>
      <w:r w:rsidRPr="00C53F10">
        <w:t xml:space="preserve">Comparativ cu plafonul </w:t>
      </w:r>
      <w:r w:rsidR="007D6900" w:rsidRPr="00C53F10">
        <w:t>stabilit în programul actualizat pe anul 202</w:t>
      </w:r>
      <w:r w:rsidR="00770FAF">
        <w:t>4</w:t>
      </w:r>
      <w:r w:rsidR="007D6900" w:rsidRPr="00C53F10">
        <w:t xml:space="preserve"> cheltuielile bugetare </w:t>
      </w:r>
      <w:r w:rsidRPr="00C53F10">
        <w:t>(exclusiv asistența financiară din partea UE sau alți donatori) s-au situat sub plafon în ca</w:t>
      </w:r>
      <w:r w:rsidR="00A141C5" w:rsidRPr="00C53F10">
        <w:t>zul bugetului d</w:t>
      </w:r>
      <w:r w:rsidRPr="00C53F10">
        <w:t>e</w:t>
      </w:r>
      <w:r w:rsidR="00A141C5" w:rsidRPr="00C53F10">
        <w:t xml:space="preserve"> </w:t>
      </w:r>
      <w:r w:rsidR="00770FAF">
        <w:t>stat (</w:t>
      </w:r>
      <w:r w:rsidR="00770FAF" w:rsidRPr="00770FAF">
        <w:t>-13.193,7</w:t>
      </w:r>
      <w:r w:rsidR="00770FAF">
        <w:t xml:space="preserve"> </w:t>
      </w:r>
      <w:r w:rsidRPr="00C53F10">
        <w:t>milioane lei), bugetului Fondului național unic de asigurări sociale de sănătate</w:t>
      </w:r>
      <w:r w:rsidR="00770FAF">
        <w:t xml:space="preserve"> (</w:t>
      </w:r>
      <w:r w:rsidR="00770FAF" w:rsidRPr="00770FAF">
        <w:t>-395,6</w:t>
      </w:r>
      <w:r w:rsidR="00770FAF">
        <w:t xml:space="preserve"> </w:t>
      </w:r>
      <w:r w:rsidR="008A0221" w:rsidRPr="00C53F10">
        <w:t>milioane lei)</w:t>
      </w:r>
      <w:r w:rsidR="00A7363F" w:rsidRPr="00C53F10">
        <w:t xml:space="preserve">, bugetului asigurărilor sociale de stat </w:t>
      </w:r>
      <w:r w:rsidR="00770FAF">
        <w:t>(</w:t>
      </w:r>
      <w:r w:rsidR="00770FAF" w:rsidRPr="00770FAF">
        <w:t>-100,2</w:t>
      </w:r>
      <w:r w:rsidR="00770FAF">
        <w:t xml:space="preserve"> </w:t>
      </w:r>
      <w:r w:rsidR="00A7363F" w:rsidRPr="00C53F10">
        <w:t xml:space="preserve">milioane lei), în cazul bugetului asigurărilor pentru șomaj </w:t>
      </w:r>
      <w:r w:rsidR="00770FAF">
        <w:t>(</w:t>
      </w:r>
      <w:r w:rsidR="00770FAF" w:rsidRPr="00770FAF">
        <w:t>-141,2</w:t>
      </w:r>
      <w:r w:rsidR="00770FAF">
        <w:t xml:space="preserve"> </w:t>
      </w:r>
      <w:r w:rsidR="00A7363F" w:rsidRPr="00C53F10">
        <w:t xml:space="preserve">milioane lei) </w:t>
      </w:r>
      <w:r w:rsidR="00334A59" w:rsidRPr="00C53F10">
        <w:t>și</w:t>
      </w:r>
      <w:r w:rsidR="008A0221" w:rsidRPr="00C53F10">
        <w:t xml:space="preserve"> a altor </w:t>
      </w:r>
      <w:r w:rsidR="008A0221" w:rsidRPr="00C53F10">
        <w:lastRenderedPageBreak/>
        <w:t xml:space="preserve">bugete componente ale bugetului general consolidat </w:t>
      </w:r>
      <w:r w:rsidR="00770FAF">
        <w:t>(</w:t>
      </w:r>
      <w:r w:rsidR="00770FAF" w:rsidRPr="00770FAF">
        <w:t>-</w:t>
      </w:r>
      <w:r w:rsidR="007774FD">
        <w:t>1164,5</w:t>
      </w:r>
      <w:r w:rsidR="00770FAF">
        <w:t xml:space="preserve"> </w:t>
      </w:r>
      <w:r w:rsidR="008A0221" w:rsidRPr="00C53F10">
        <w:t>milioane lei)</w:t>
      </w:r>
      <w:r w:rsidR="00334A59" w:rsidRPr="00C53F10">
        <w:t xml:space="preserve"> </w:t>
      </w:r>
      <w:r w:rsidRPr="00C53F10">
        <w:t xml:space="preserve">și au depășit plafonul stabilit în cazul </w:t>
      </w:r>
      <w:r w:rsidR="00A141C5" w:rsidRPr="00C53F10">
        <w:t>bugetului centralizat al unităților administrativ-teritoriale</w:t>
      </w:r>
      <w:r w:rsidR="00F1009B" w:rsidRPr="00C53F10">
        <w:t xml:space="preserve"> </w:t>
      </w:r>
      <w:r w:rsidR="00A141C5" w:rsidRPr="00C53F10">
        <w:t>(+</w:t>
      </w:r>
      <w:r w:rsidR="00770FAF" w:rsidRPr="00770FAF">
        <w:t>6.729,1</w:t>
      </w:r>
      <w:r w:rsidR="00770FAF">
        <w:t xml:space="preserve"> </w:t>
      </w:r>
      <w:r w:rsidR="00A141C5" w:rsidRPr="00C53F10">
        <w:t xml:space="preserve">milioane lei) </w:t>
      </w:r>
      <w:r w:rsidR="008A0221" w:rsidRPr="00C53F10">
        <w:t>și în cazul bugetului instituțiilor/activităților finanțate din venituri proprii (+</w:t>
      </w:r>
      <w:r w:rsidR="00770FAF" w:rsidRPr="00770FAF">
        <w:t>4.276,4</w:t>
      </w:r>
      <w:r w:rsidR="00770FAF">
        <w:t xml:space="preserve"> </w:t>
      </w:r>
      <w:r w:rsidR="008A0221" w:rsidRPr="00C53F10">
        <w:t>milioane lei).</w:t>
      </w:r>
    </w:p>
    <w:p w14:paraId="56B28145" w14:textId="3CD6A58D" w:rsidR="001E36A5" w:rsidRPr="00C53F10" w:rsidRDefault="00BA5E33" w:rsidP="00416C83">
      <w:pPr>
        <w:spacing w:line="276" w:lineRule="auto"/>
        <w:jc w:val="both"/>
      </w:pPr>
      <w:r w:rsidRPr="00C53F10">
        <w:t xml:space="preserve">Cheltuielile de personal ale bugetului general consolidat în anul </w:t>
      </w:r>
      <w:r w:rsidR="00010602" w:rsidRPr="00C53F10">
        <w:t>202</w:t>
      </w:r>
      <w:r w:rsidR="00770FAF">
        <w:t>4</w:t>
      </w:r>
      <w:r w:rsidR="00010602" w:rsidRPr="00C53F10">
        <w:t xml:space="preserve"> </w:t>
      </w:r>
      <w:r w:rsidRPr="00C53F10">
        <w:t xml:space="preserve">au fost în sumă de </w:t>
      </w:r>
      <w:r w:rsidR="00770FAF" w:rsidRPr="00770FAF">
        <w:t>164.</w:t>
      </w:r>
      <w:r w:rsidR="007774FD">
        <w:t>589,3</w:t>
      </w:r>
      <w:r w:rsidRPr="00C53F10">
        <w:t xml:space="preserve"> milioane lei cu </w:t>
      </w:r>
      <w:r w:rsidR="00770FAF" w:rsidRPr="00770FAF">
        <w:t>16.880,</w:t>
      </w:r>
      <w:r w:rsidR="007774FD">
        <w:t>9</w:t>
      </w:r>
      <w:r w:rsidR="00770FAF">
        <w:t xml:space="preserve"> </w:t>
      </w:r>
      <w:r w:rsidRPr="00C53F10">
        <w:t xml:space="preserve">milioane lei </w:t>
      </w:r>
      <w:r w:rsidR="001E36A5" w:rsidRPr="00C53F10">
        <w:t>peste plafonul avut în vedere la elaborarea legilor bugetare și stabilit de Legea nr.</w:t>
      </w:r>
      <w:r w:rsidR="00094E0D" w:rsidRPr="00094E0D">
        <w:t xml:space="preserve"> 417/2023</w:t>
      </w:r>
      <w:r w:rsidR="001E36A5" w:rsidRPr="00094E0D">
        <w:t>.</w:t>
      </w:r>
    </w:p>
    <w:p w14:paraId="48213E81" w14:textId="2FFE94DF" w:rsidR="00BA5E33" w:rsidRPr="00C53F10" w:rsidRDefault="001E36A5" w:rsidP="00416C83">
      <w:pPr>
        <w:spacing w:line="276" w:lineRule="auto"/>
        <w:jc w:val="both"/>
      </w:pPr>
      <w:r w:rsidRPr="00C53F10">
        <w:t xml:space="preserve">Cheltuielile de personal ale bugetului general consolidat s-au încadrat în plafonul stabilit </w:t>
      </w:r>
      <w:r w:rsidR="00A7363F" w:rsidRPr="00C53F10">
        <w:t>în programul actualizat pe anul 202</w:t>
      </w:r>
      <w:r w:rsidR="00770FAF">
        <w:t>4</w:t>
      </w:r>
      <w:r w:rsidR="00A7363F" w:rsidRPr="00C53F10">
        <w:t xml:space="preserve"> </w:t>
      </w:r>
      <w:r w:rsidRPr="00C53F10">
        <w:t xml:space="preserve">fiind cu </w:t>
      </w:r>
      <w:r w:rsidR="00770FAF" w:rsidRPr="00770FAF">
        <w:t>1.</w:t>
      </w:r>
      <w:r w:rsidR="003F6AF3">
        <w:t>246,7</w:t>
      </w:r>
      <w:r w:rsidR="00770FAF">
        <w:t xml:space="preserve"> </w:t>
      </w:r>
      <w:r w:rsidRPr="00C53F10">
        <w:t xml:space="preserve">milioane lei sub acesta. </w:t>
      </w:r>
    </w:p>
    <w:p w14:paraId="24064107" w14:textId="2C5EE44E" w:rsidR="00975135" w:rsidRPr="00C53F10" w:rsidRDefault="00BA5E33" w:rsidP="00416C83">
      <w:pPr>
        <w:spacing w:line="276" w:lineRule="auto"/>
        <w:jc w:val="both"/>
      </w:pPr>
      <w:r w:rsidRPr="00C53F10">
        <w:t xml:space="preserve">Cheltuielile de personal au </w:t>
      </w:r>
      <w:r w:rsidR="001E36A5" w:rsidRPr="00C53F10">
        <w:t>depășit plafonul nominal avut în vedere la elaborarea legilor bugetare inițiale și stabilit de Legea nr.</w:t>
      </w:r>
      <w:r w:rsidR="00A7363F" w:rsidRPr="00C53F10">
        <w:t xml:space="preserve"> </w:t>
      </w:r>
      <w:r w:rsidR="00094E0D" w:rsidRPr="00094E0D">
        <w:t xml:space="preserve">417/2023 </w:t>
      </w:r>
      <w:r w:rsidRPr="00C53F10">
        <w:t xml:space="preserve">în cazul </w:t>
      </w:r>
      <w:r w:rsidR="00717D50" w:rsidRPr="00C53F10">
        <w:t>bugetului de stat</w:t>
      </w:r>
      <w:r w:rsidR="00FB0F42" w:rsidRPr="00C53F10">
        <w:t xml:space="preserve"> </w:t>
      </w:r>
      <w:r w:rsidR="00717D50" w:rsidRPr="00C53F10">
        <w:t>(+</w:t>
      </w:r>
      <w:r w:rsidR="00770FAF" w:rsidRPr="00770FAF">
        <w:t>11.179,7</w:t>
      </w:r>
      <w:r w:rsidR="00770FAF">
        <w:t xml:space="preserve"> </w:t>
      </w:r>
      <w:r w:rsidR="00717D50" w:rsidRPr="00C53F10">
        <w:t>milioane lei);</w:t>
      </w:r>
      <w:r w:rsidR="007E498B" w:rsidRPr="00C53F10">
        <w:t xml:space="preserve"> </w:t>
      </w:r>
      <w:r w:rsidR="005523AC" w:rsidRPr="00C53F10">
        <w:t xml:space="preserve">bugetului centralizat al unităților administrativ-teritoriale </w:t>
      </w:r>
      <w:r w:rsidR="00A141C5" w:rsidRPr="00C53F10">
        <w:t>(+</w:t>
      </w:r>
      <w:r w:rsidR="00770FAF" w:rsidRPr="00770FAF">
        <w:t>3.519,9</w:t>
      </w:r>
      <w:r w:rsidR="00770FAF">
        <w:t xml:space="preserve"> </w:t>
      </w:r>
      <w:r w:rsidR="001E36A5" w:rsidRPr="00C53F10">
        <w:t>milioane lei)</w:t>
      </w:r>
      <w:r w:rsidR="00717D50" w:rsidRPr="00C53F10">
        <w:t>;</w:t>
      </w:r>
      <w:r w:rsidR="00770FAF">
        <w:t xml:space="preserve"> b</w:t>
      </w:r>
      <w:r w:rsidR="00770FAF" w:rsidRPr="00770FAF">
        <w:t>ugetul</w:t>
      </w:r>
      <w:r w:rsidR="00770FAF">
        <w:t>ui</w:t>
      </w:r>
      <w:r w:rsidR="00770FAF" w:rsidRPr="00770FAF">
        <w:t xml:space="preserve"> institutiilor/activitatilor finantate din venituri proprii</w:t>
      </w:r>
      <w:r w:rsidR="00770FAF">
        <w:t xml:space="preserve"> (+</w:t>
      </w:r>
      <w:r w:rsidR="00770FAF" w:rsidRPr="00770FAF">
        <w:t>2.042,3</w:t>
      </w:r>
      <w:r w:rsidR="00770FAF">
        <w:t xml:space="preserve"> milioane lei); </w:t>
      </w:r>
      <w:r w:rsidR="00717D50" w:rsidRPr="00C53F10">
        <w:t>bugetului asigurărilor pentru șomaj (+</w:t>
      </w:r>
      <w:r w:rsidR="00770FAF" w:rsidRPr="00770FAF">
        <w:t>61,2</w:t>
      </w:r>
      <w:r w:rsidR="00770FAF">
        <w:t xml:space="preserve"> </w:t>
      </w:r>
      <w:r w:rsidR="00717D50" w:rsidRPr="00C53F10">
        <w:t>milioane lei)</w:t>
      </w:r>
      <w:r w:rsidR="009F357F" w:rsidRPr="00C53F10">
        <w:t xml:space="preserve">, </w:t>
      </w:r>
      <w:r w:rsidR="00770FAF" w:rsidRPr="00770FAF">
        <w:t xml:space="preserve">bugetului Fondului național unic de asigurări sociale de sănătate </w:t>
      </w:r>
      <w:r w:rsidR="00770FAF">
        <w:t>(+</w:t>
      </w:r>
      <w:r w:rsidR="00770FAF" w:rsidRPr="00770FAF">
        <w:t>172,0</w:t>
      </w:r>
      <w:r w:rsidR="00770FAF">
        <w:t xml:space="preserve"> </w:t>
      </w:r>
      <w:r w:rsidR="00770FAF" w:rsidRPr="00770FAF">
        <w:t xml:space="preserve">milioane lei), bugetului asigurărilor sociale de stat </w:t>
      </w:r>
      <w:r w:rsidR="00770FAF">
        <w:t>(+</w:t>
      </w:r>
      <w:r w:rsidR="00770FAF" w:rsidRPr="00770FAF">
        <w:t>61,8 milioane lei)</w:t>
      </w:r>
      <w:r w:rsidR="00770FAF">
        <w:t xml:space="preserve"> </w:t>
      </w:r>
      <w:r w:rsidR="00975135" w:rsidRPr="00C53F10">
        <w:t xml:space="preserve">în timp ce în cazul </w:t>
      </w:r>
      <w:r w:rsidR="00770FAF" w:rsidRPr="00770FAF">
        <w:t xml:space="preserve">altor bugete componente ale bugetului general consolidat </w:t>
      </w:r>
      <w:r w:rsidR="00975135" w:rsidRPr="00C53F10">
        <w:t>s-au situat sub plafonul stabilit.</w:t>
      </w:r>
    </w:p>
    <w:p w14:paraId="309CD7DB" w14:textId="50534C11" w:rsidR="005523AC" w:rsidRPr="00C53F10" w:rsidRDefault="00FB0F42" w:rsidP="00416C83">
      <w:pPr>
        <w:spacing w:line="276" w:lineRule="auto"/>
        <w:jc w:val="both"/>
      </w:pPr>
      <w:r w:rsidRPr="00C53F10">
        <w:t>Comparativ cu plafonul prevăzut în programul actualizat pe anul 202</w:t>
      </w:r>
      <w:r w:rsidR="00770FAF">
        <w:t>4</w:t>
      </w:r>
      <w:r w:rsidRPr="00C53F10">
        <w:t xml:space="preserve"> </w:t>
      </w:r>
      <w:r w:rsidR="005523AC" w:rsidRPr="00C53F10">
        <w:t xml:space="preserve">cheltuielile de personal s-au situat sub acest plafon </w:t>
      </w:r>
      <w:r w:rsidR="00F1009B" w:rsidRPr="00C53F10">
        <w:t>î</w:t>
      </w:r>
      <w:r w:rsidR="005523AC" w:rsidRPr="00C53F10">
        <w:t xml:space="preserve">n cazul </w:t>
      </w:r>
      <w:r w:rsidR="00B5786A">
        <w:t>tuturor</w:t>
      </w:r>
      <w:r w:rsidR="005523AC" w:rsidRPr="00C53F10">
        <w:t xml:space="preserve"> bugetelor componente la bugetului general consolidat</w:t>
      </w:r>
      <w:r w:rsidR="00B5786A">
        <w:t>.</w:t>
      </w:r>
      <w:r w:rsidR="005523AC" w:rsidRPr="00C53F10">
        <w:t xml:space="preserve"> </w:t>
      </w:r>
    </w:p>
    <w:p w14:paraId="1DD82843" w14:textId="6ADE2516" w:rsidR="005300E5" w:rsidRPr="00C53F10" w:rsidRDefault="005300E5">
      <w:r w:rsidRPr="00C53F10">
        <w:br w:type="page"/>
      </w:r>
    </w:p>
    <w:p w14:paraId="4A4F3EF5" w14:textId="7CA55313" w:rsidR="00500E21" w:rsidRPr="00C53F10" w:rsidRDefault="00500E21" w:rsidP="00500E21">
      <w:pPr>
        <w:pStyle w:val="Heading1"/>
        <w:keepLines w:val="0"/>
        <w:pageBreakBefore/>
        <w:numPr>
          <w:ilvl w:val="0"/>
          <w:numId w:val="22"/>
        </w:numPr>
        <w:spacing w:line="276" w:lineRule="auto"/>
        <w:rPr>
          <w:rFonts w:ascii="Tahoma" w:hAnsi="Tahoma" w:cs="Tahoma"/>
          <w:b/>
          <w:bCs/>
          <w:color w:val="000000"/>
          <w:sz w:val="24"/>
          <w:szCs w:val="24"/>
        </w:rPr>
      </w:pPr>
      <w:bookmarkStart w:id="10" w:name="_Toc199406230"/>
      <w:bookmarkStart w:id="11" w:name="_Toc198290365"/>
      <w:r w:rsidRPr="00C53F10">
        <w:rPr>
          <w:rFonts w:ascii="Tahoma" w:hAnsi="Tahoma" w:cs="Tahoma"/>
          <w:b/>
          <w:bCs/>
          <w:color w:val="000000"/>
          <w:sz w:val="24"/>
          <w:szCs w:val="24"/>
        </w:rPr>
        <w:lastRenderedPageBreak/>
        <w:t>Execuția bugetară pe anul 202</w:t>
      </w:r>
      <w:r w:rsidR="00EE635E">
        <w:rPr>
          <w:rFonts w:ascii="Tahoma" w:hAnsi="Tahoma" w:cs="Tahoma"/>
          <w:b/>
          <w:bCs/>
          <w:color w:val="000000"/>
          <w:sz w:val="24"/>
          <w:szCs w:val="24"/>
        </w:rPr>
        <w:t>4</w:t>
      </w:r>
      <w:bookmarkEnd w:id="10"/>
    </w:p>
    <w:p w14:paraId="5D2F2B39" w14:textId="77777777" w:rsidR="00500E21" w:rsidRPr="00C53F10" w:rsidRDefault="00500E21" w:rsidP="00500E21">
      <w:pPr>
        <w:spacing w:line="276" w:lineRule="auto"/>
        <w:jc w:val="both"/>
        <w:rPr>
          <w:b/>
          <w:bCs/>
          <w:color w:val="000000"/>
        </w:rPr>
      </w:pPr>
    </w:p>
    <w:p w14:paraId="759A0AF6" w14:textId="77777777" w:rsidR="00500E21" w:rsidRPr="00C53F10" w:rsidRDefault="00500E21" w:rsidP="00500E21">
      <w:pPr>
        <w:pStyle w:val="ListParagraph"/>
        <w:numPr>
          <w:ilvl w:val="1"/>
          <w:numId w:val="22"/>
        </w:numPr>
        <w:spacing w:line="276" w:lineRule="auto"/>
        <w:jc w:val="both"/>
        <w:rPr>
          <w:rFonts w:cs="Tahoma"/>
          <w:b/>
          <w:bCs/>
          <w:sz w:val="24"/>
          <w:szCs w:val="24"/>
        </w:rPr>
      </w:pPr>
      <w:r w:rsidRPr="00C53F10">
        <w:rPr>
          <w:rFonts w:cs="Tahoma"/>
          <w:b/>
          <w:bCs/>
          <w:sz w:val="24"/>
          <w:szCs w:val="24"/>
        </w:rPr>
        <w:t xml:space="preserve">Execuția bugetară </w:t>
      </w:r>
    </w:p>
    <w:p w14:paraId="31A376BB" w14:textId="77777777" w:rsidR="00500E21" w:rsidRPr="00C53F10" w:rsidRDefault="00500E21" w:rsidP="00500E21">
      <w:pPr>
        <w:spacing w:line="276" w:lineRule="auto"/>
        <w:jc w:val="both"/>
        <w:rPr>
          <w:b/>
          <w:bCs/>
        </w:rPr>
      </w:pPr>
    </w:p>
    <w:p w14:paraId="670EA50B" w14:textId="098D879F" w:rsidR="00500E21" w:rsidRPr="00C53F10" w:rsidRDefault="00500E21" w:rsidP="00244006">
      <w:pPr>
        <w:shd w:val="clear" w:color="auto" w:fill="CCFFFF"/>
        <w:spacing w:line="276" w:lineRule="auto"/>
        <w:jc w:val="both"/>
      </w:pPr>
      <w:r w:rsidRPr="00C53F10">
        <w:t>Conform datelor definitive, execuția bugetului general consolidat, în perioada 1 ianuarie – 31 decembrie 202</w:t>
      </w:r>
      <w:r w:rsidR="001033B8">
        <w:t>4</w:t>
      </w:r>
      <w:r w:rsidRPr="00C53F10">
        <w:t xml:space="preserve">, s-a încheiat cu un deficit cash de </w:t>
      </w:r>
      <w:r w:rsidR="00FB6B70">
        <w:t>152,</w:t>
      </w:r>
      <w:r w:rsidR="003F6AF3">
        <w:t>51</w:t>
      </w:r>
      <w:r w:rsidRPr="00C53F10">
        <w:t xml:space="preserve"> miliarde lei, respectiv </w:t>
      </w:r>
      <w:r w:rsidR="00FB6B70">
        <w:t>8,6</w:t>
      </w:r>
      <w:r w:rsidR="003F6AF3">
        <w:t>6</w:t>
      </w:r>
      <w:r w:rsidRPr="00C53F10">
        <w:t>% din PIB.</w:t>
      </w:r>
    </w:p>
    <w:p w14:paraId="37DE9148" w14:textId="18B1EA62" w:rsidR="00500E21" w:rsidRPr="00C53F10" w:rsidRDefault="00500E21" w:rsidP="00244006">
      <w:pPr>
        <w:shd w:val="clear" w:color="auto" w:fill="CCFFFF"/>
        <w:spacing w:after="120" w:line="276" w:lineRule="auto"/>
        <w:jc w:val="both"/>
      </w:pPr>
      <w:r w:rsidRPr="00C53F10">
        <w:t>Comparativ cu anul anterior, deficitul bugetului general consolidat în anul 202</w:t>
      </w:r>
      <w:r w:rsidR="00FB6B70">
        <w:t>4</w:t>
      </w:r>
      <w:r w:rsidRPr="00C53F10">
        <w:t xml:space="preserve">, în bază cash, </w:t>
      </w:r>
      <w:r w:rsidR="00FB6B70">
        <w:t>a crescut</w:t>
      </w:r>
      <w:r w:rsidR="00FB6B70" w:rsidRPr="00C53F10">
        <w:t xml:space="preserve"> </w:t>
      </w:r>
      <w:r w:rsidRPr="00C53F10">
        <w:t xml:space="preserve">cu </w:t>
      </w:r>
      <w:r w:rsidR="00FB6B70">
        <w:t>3,0</w:t>
      </w:r>
      <w:r w:rsidR="003F6AF3">
        <w:t>5</w:t>
      </w:r>
      <w:r w:rsidRPr="00C53F10">
        <w:t xml:space="preserve"> puncte procentuale de la 5,</w:t>
      </w:r>
      <w:r w:rsidR="00FB6B70">
        <w:t>61</w:t>
      </w:r>
      <w:r w:rsidRPr="00C53F10">
        <w:t>% din PIB în 202</w:t>
      </w:r>
      <w:r w:rsidR="00FB6B70">
        <w:t>3</w:t>
      </w:r>
      <w:r w:rsidRPr="00C53F10">
        <w:t xml:space="preserve"> la </w:t>
      </w:r>
      <w:r w:rsidR="00FB6B70">
        <w:t>8,6</w:t>
      </w:r>
      <w:r w:rsidR="003F6AF3">
        <w:t>6</w:t>
      </w:r>
      <w:r w:rsidRPr="00C53F10">
        <w:t>% din PIB în anul 202</w:t>
      </w:r>
      <w:r w:rsidR="00FB6B70">
        <w:t>4</w:t>
      </w:r>
      <w:r w:rsidRPr="00C53F10">
        <w:t>.</w:t>
      </w:r>
    </w:p>
    <w:p w14:paraId="70783B6A" w14:textId="77777777" w:rsidR="00500E21" w:rsidRPr="00C53F10" w:rsidRDefault="00500E21" w:rsidP="00500E21">
      <w:pPr>
        <w:spacing w:before="240" w:after="120" w:line="276" w:lineRule="auto"/>
        <w:ind w:firstLine="618"/>
        <w:jc w:val="center"/>
        <w:rPr>
          <w:b/>
          <w:bCs/>
        </w:rPr>
      </w:pPr>
      <w:r w:rsidRPr="00C53F10">
        <w:rPr>
          <w:b/>
          <w:bCs/>
        </w:rPr>
        <w:t>Soldul bugetar</w:t>
      </w:r>
    </w:p>
    <w:p w14:paraId="4F8C3D8E" w14:textId="48955107" w:rsidR="00500E21" w:rsidRPr="00C53F10" w:rsidRDefault="004D6AD6" w:rsidP="00500E21">
      <w:pPr>
        <w:spacing w:line="276" w:lineRule="auto"/>
        <w:jc w:val="both"/>
        <w:rPr>
          <w:b/>
          <w:bCs/>
        </w:rPr>
      </w:pPr>
      <w:r>
        <w:rPr>
          <w:b/>
          <w:bCs/>
          <w:noProof/>
          <w:lang w:val="en-US" w:eastAsia="en-US"/>
        </w:rPr>
        <w:pict w14:anchorId="5DCE2604">
          <v:shape id="_x0000_i1033" type="#_x0000_t75" style="width:484.5pt;height:80pt">
            <v:imagedata r:id="rId20" o:title=""/>
          </v:shape>
        </w:pict>
      </w:r>
    </w:p>
    <w:p w14:paraId="522247BA" w14:textId="77777777" w:rsidR="00500E21" w:rsidRPr="00C53F10" w:rsidRDefault="00500E21" w:rsidP="00500E21">
      <w:pPr>
        <w:spacing w:line="276" w:lineRule="auto"/>
        <w:jc w:val="both"/>
        <w:rPr>
          <w:b/>
          <w:bCs/>
        </w:rPr>
      </w:pPr>
    </w:p>
    <w:p w14:paraId="08268DEE" w14:textId="77777777" w:rsidR="00500E21" w:rsidRPr="00C53F10" w:rsidRDefault="00500E21" w:rsidP="00500E21">
      <w:pPr>
        <w:spacing w:line="276" w:lineRule="auto"/>
        <w:jc w:val="both"/>
        <w:rPr>
          <w:b/>
          <w:bCs/>
        </w:rPr>
      </w:pPr>
    </w:p>
    <w:p w14:paraId="4A1F9164" w14:textId="77777777" w:rsidR="00500E21" w:rsidRPr="00C53F10" w:rsidRDefault="00500E21" w:rsidP="00500E21">
      <w:pPr>
        <w:spacing w:line="276" w:lineRule="auto"/>
        <w:jc w:val="both"/>
        <w:rPr>
          <w:b/>
          <w:bCs/>
        </w:rPr>
      </w:pPr>
    </w:p>
    <w:p w14:paraId="3819906E" w14:textId="77777777" w:rsidR="00500E21" w:rsidRPr="00C53F10" w:rsidRDefault="00500E21" w:rsidP="00500E21">
      <w:pPr>
        <w:pStyle w:val="ListParagraph"/>
        <w:numPr>
          <w:ilvl w:val="2"/>
          <w:numId w:val="22"/>
        </w:numPr>
        <w:spacing w:line="276" w:lineRule="auto"/>
        <w:jc w:val="both"/>
        <w:rPr>
          <w:rFonts w:cs="Tahoma"/>
          <w:b/>
          <w:bCs/>
          <w:sz w:val="24"/>
          <w:szCs w:val="24"/>
        </w:rPr>
      </w:pPr>
      <w:r w:rsidRPr="00C53F10">
        <w:rPr>
          <w:rFonts w:cs="Tahoma"/>
          <w:b/>
          <w:bCs/>
          <w:sz w:val="24"/>
          <w:szCs w:val="24"/>
        </w:rPr>
        <w:t>Veniturile bugetului general consolidat</w:t>
      </w:r>
    </w:p>
    <w:p w14:paraId="47C6A367" w14:textId="77777777" w:rsidR="00500E21" w:rsidRPr="00C53F10" w:rsidRDefault="00500E21" w:rsidP="00500E21">
      <w:pPr>
        <w:tabs>
          <w:tab w:val="left" w:pos="9639"/>
        </w:tabs>
        <w:spacing w:after="120" w:line="276" w:lineRule="auto"/>
        <w:jc w:val="center"/>
        <w:rPr>
          <w:b/>
          <w:bCs/>
        </w:rPr>
      </w:pPr>
    </w:p>
    <w:p w14:paraId="2A777F49" w14:textId="77777777" w:rsidR="00500E21" w:rsidRPr="00C53F10" w:rsidRDefault="00500E21" w:rsidP="00500E21">
      <w:pPr>
        <w:numPr>
          <w:ilvl w:val="1"/>
          <w:numId w:val="1"/>
        </w:numPr>
        <w:tabs>
          <w:tab w:val="clear" w:pos="360"/>
          <w:tab w:val="num" w:pos="0"/>
        </w:tabs>
        <w:spacing w:line="276" w:lineRule="auto"/>
        <w:jc w:val="both"/>
        <w:rPr>
          <w:b/>
          <w:bCs/>
        </w:rPr>
      </w:pPr>
    </w:p>
    <w:p w14:paraId="455AD754" w14:textId="2A491659" w:rsidR="00500E21" w:rsidRPr="00C53F10" w:rsidRDefault="00500E21" w:rsidP="00244006">
      <w:pPr>
        <w:shd w:val="clear" w:color="auto" w:fill="CCFFFF"/>
        <w:spacing w:after="480" w:line="276" w:lineRule="auto"/>
        <w:jc w:val="both"/>
      </w:pPr>
      <w:r w:rsidRPr="00244006">
        <w:rPr>
          <w:shd w:val="clear" w:color="auto" w:fill="CCFFFF"/>
        </w:rPr>
        <w:t>Veniturile bugetului general consolidat, în anul 202</w:t>
      </w:r>
      <w:r w:rsidR="007D7230">
        <w:rPr>
          <w:shd w:val="clear" w:color="auto" w:fill="CCFFFF"/>
        </w:rPr>
        <w:t>4</w:t>
      </w:r>
      <w:r w:rsidRPr="00244006">
        <w:rPr>
          <w:shd w:val="clear" w:color="auto" w:fill="CCFFFF"/>
        </w:rPr>
        <w:t xml:space="preserve">, au totalizat </w:t>
      </w:r>
      <w:r w:rsidR="007D7230">
        <w:rPr>
          <w:shd w:val="clear" w:color="auto" w:fill="CCFFFF"/>
        </w:rPr>
        <w:t>574</w:t>
      </w:r>
      <w:r w:rsidRPr="00244006">
        <w:rPr>
          <w:shd w:val="clear" w:color="auto" w:fill="CCFFFF"/>
        </w:rPr>
        <w:t>,</w:t>
      </w:r>
      <w:r w:rsidR="003F6AF3">
        <w:rPr>
          <w:shd w:val="clear" w:color="auto" w:fill="CCFFFF"/>
        </w:rPr>
        <w:t>57</w:t>
      </w:r>
      <w:r w:rsidRPr="00244006">
        <w:rPr>
          <w:shd w:val="clear" w:color="auto" w:fill="CCFFFF"/>
        </w:rPr>
        <w:t xml:space="preserve"> miliarde lei,</w:t>
      </w:r>
      <w:r w:rsidRPr="00C53F10">
        <w:t xml:space="preserve"> reprezentând 32,</w:t>
      </w:r>
      <w:r w:rsidR="003F6AF3">
        <w:t>6</w:t>
      </w:r>
      <w:r w:rsidRPr="00C53F10">
        <w:t xml:space="preserve">% din PIB şi un grad de realizare față de estimările anuale de </w:t>
      </w:r>
      <w:r w:rsidR="007D7230">
        <w:t>98,5</w:t>
      </w:r>
      <w:r w:rsidRPr="00C53F10">
        <w:t>%.</w:t>
      </w:r>
    </w:p>
    <w:p w14:paraId="49039A1E" w14:textId="0F842EBA" w:rsidR="00500E21" w:rsidRPr="00C53F10" w:rsidRDefault="004D6AD6" w:rsidP="00500E21">
      <w:pPr>
        <w:spacing w:before="240" w:after="240" w:line="276" w:lineRule="auto"/>
        <w:jc w:val="both"/>
      </w:pPr>
      <w:r>
        <w:rPr>
          <w:noProof/>
          <w:lang w:val="en-US" w:eastAsia="en-US"/>
        </w:rPr>
        <w:pict w14:anchorId="37AD5434">
          <v:shape id="_x0000_i1034" type="#_x0000_t75" style="width:481pt;height:247.5pt">
            <v:imagedata r:id="rId21" o:title=""/>
          </v:shape>
        </w:pict>
      </w:r>
    </w:p>
    <w:p w14:paraId="2A3C3A41" w14:textId="77777777" w:rsidR="00500E21" w:rsidRPr="00C53F10" w:rsidRDefault="00500E21" w:rsidP="00500E21">
      <w:pPr>
        <w:spacing w:line="276" w:lineRule="auto"/>
        <w:ind w:firstLine="720"/>
        <w:jc w:val="both"/>
      </w:pPr>
    </w:p>
    <w:p w14:paraId="6393A2C8" w14:textId="77777777" w:rsidR="00500E21" w:rsidRPr="00C53F10" w:rsidRDefault="00500E21" w:rsidP="007D7230">
      <w:pPr>
        <w:spacing w:line="276" w:lineRule="auto"/>
        <w:jc w:val="both"/>
      </w:pPr>
      <w:r w:rsidRPr="00C53F10">
        <w:lastRenderedPageBreak/>
        <w:t>Comparativ cu programul anual de încasări veniturile bugetare au înregistrat următoarele evoluții:</w:t>
      </w:r>
    </w:p>
    <w:p w14:paraId="31D8C453" w14:textId="719FB1B8" w:rsidR="00500E21" w:rsidRPr="00C53F10" w:rsidRDefault="00500E21" w:rsidP="00500E21">
      <w:pPr>
        <w:pStyle w:val="ListParagraph"/>
        <w:numPr>
          <w:ilvl w:val="0"/>
          <w:numId w:val="3"/>
        </w:numPr>
        <w:spacing w:before="120" w:line="276" w:lineRule="auto"/>
        <w:ind w:left="1152" w:hanging="357"/>
        <w:jc w:val="both"/>
        <w:rPr>
          <w:rFonts w:cs="Tahoma"/>
          <w:sz w:val="24"/>
          <w:szCs w:val="24"/>
          <w:lang w:eastAsia="x-none"/>
        </w:rPr>
      </w:pPr>
      <w:r w:rsidRPr="00C53F10">
        <w:rPr>
          <w:rFonts w:cs="Tahoma"/>
          <w:sz w:val="24"/>
          <w:szCs w:val="24"/>
          <w:lang w:eastAsia="x-none"/>
        </w:rPr>
        <w:t xml:space="preserve">Încasările din veniturile fiscale s-au situat </w:t>
      </w:r>
      <w:r w:rsidR="00226073">
        <w:rPr>
          <w:rFonts w:cs="Tahoma"/>
          <w:sz w:val="24"/>
          <w:szCs w:val="24"/>
          <w:lang w:eastAsia="x-none"/>
        </w:rPr>
        <w:t>peste</w:t>
      </w:r>
      <w:r w:rsidRPr="00C53F10">
        <w:rPr>
          <w:rFonts w:cs="Tahoma"/>
          <w:sz w:val="24"/>
          <w:szCs w:val="24"/>
          <w:lang w:eastAsia="x-none"/>
        </w:rPr>
        <w:t xml:space="preserve"> nivelul programat a se realiza în anul 202</w:t>
      </w:r>
      <w:r w:rsidR="00226073">
        <w:rPr>
          <w:rFonts w:cs="Tahoma"/>
          <w:sz w:val="24"/>
          <w:szCs w:val="24"/>
          <w:lang w:eastAsia="x-none"/>
        </w:rPr>
        <w:t>4</w:t>
      </w:r>
      <w:r w:rsidRPr="00C53F10">
        <w:rPr>
          <w:rFonts w:cs="Tahoma"/>
          <w:sz w:val="24"/>
          <w:szCs w:val="24"/>
          <w:lang w:eastAsia="x-none"/>
        </w:rPr>
        <w:t xml:space="preserve">, gradul de realizare fiind de </w:t>
      </w:r>
      <w:r w:rsidR="00226073">
        <w:rPr>
          <w:rFonts w:cs="Tahoma"/>
          <w:sz w:val="24"/>
          <w:szCs w:val="24"/>
          <w:lang w:eastAsia="x-none"/>
        </w:rPr>
        <w:t>100,6</w:t>
      </w:r>
      <w:r w:rsidRPr="00C53F10">
        <w:rPr>
          <w:rFonts w:cs="Tahoma"/>
          <w:sz w:val="24"/>
          <w:szCs w:val="24"/>
          <w:lang w:eastAsia="x-none"/>
        </w:rPr>
        <w:t>%, fiind influențate de evoluția impozitelor ș</w:t>
      </w:r>
      <w:r w:rsidR="00226073">
        <w:rPr>
          <w:rFonts w:cs="Tahoma"/>
          <w:sz w:val="24"/>
          <w:szCs w:val="24"/>
          <w:lang w:eastAsia="x-none"/>
        </w:rPr>
        <w:t>i taxelor pe bunuri și servicii</w:t>
      </w:r>
      <w:r w:rsidRPr="00C53F10">
        <w:rPr>
          <w:rFonts w:cs="Tahoma"/>
          <w:sz w:val="24"/>
          <w:szCs w:val="24"/>
          <w:lang w:eastAsia="x-none"/>
        </w:rPr>
        <w:t xml:space="preserve">. </w:t>
      </w:r>
    </w:p>
    <w:p w14:paraId="63F06CAE" w14:textId="2A66CDB6" w:rsidR="00500E21" w:rsidRPr="00C53F10" w:rsidRDefault="00500E21" w:rsidP="00500E21">
      <w:pPr>
        <w:pStyle w:val="ListParagraph"/>
        <w:numPr>
          <w:ilvl w:val="0"/>
          <w:numId w:val="3"/>
        </w:numPr>
        <w:spacing w:before="120" w:line="276" w:lineRule="auto"/>
        <w:ind w:left="1152" w:hanging="357"/>
        <w:jc w:val="both"/>
        <w:rPr>
          <w:rFonts w:cs="Tahoma"/>
          <w:sz w:val="24"/>
          <w:szCs w:val="24"/>
          <w:lang w:eastAsia="x-none"/>
        </w:rPr>
      </w:pPr>
      <w:r w:rsidRPr="00C53F10">
        <w:rPr>
          <w:rFonts w:cs="Tahoma"/>
          <w:sz w:val="24"/>
          <w:szCs w:val="24"/>
          <w:lang w:eastAsia="x-none"/>
        </w:rPr>
        <w:t>Încasările din contribuții de asigurări au fost inferioare programului de încasări, gradul de realizare fiind de 97,</w:t>
      </w:r>
      <w:r w:rsidR="00226073">
        <w:rPr>
          <w:rFonts w:cs="Tahoma"/>
          <w:sz w:val="24"/>
          <w:szCs w:val="24"/>
          <w:lang w:eastAsia="x-none"/>
        </w:rPr>
        <w:t>2</w:t>
      </w:r>
      <w:r w:rsidRPr="00C53F10">
        <w:rPr>
          <w:rFonts w:cs="Tahoma"/>
          <w:sz w:val="24"/>
          <w:szCs w:val="24"/>
          <w:lang w:eastAsia="x-none"/>
        </w:rPr>
        <w:t>%. Nerealizarea programului a fost determinată de încasările inferioare programului anual în cazul veniturilor din contribuții de asigurări încasate la bugetul asigurărilor sociale de stat (97,</w:t>
      </w:r>
      <w:r w:rsidR="004843A1">
        <w:rPr>
          <w:rFonts w:cs="Tahoma"/>
          <w:sz w:val="24"/>
          <w:szCs w:val="24"/>
          <w:lang w:eastAsia="x-none"/>
        </w:rPr>
        <w:t>4</w:t>
      </w:r>
      <w:r w:rsidRPr="00C53F10">
        <w:rPr>
          <w:rFonts w:cs="Tahoma"/>
          <w:sz w:val="24"/>
          <w:szCs w:val="24"/>
          <w:lang w:eastAsia="x-none"/>
        </w:rPr>
        <w:t>%), la bugetul asigurărilor pentru șomaj (</w:t>
      </w:r>
      <w:r w:rsidR="004843A1">
        <w:rPr>
          <w:rFonts w:cs="Tahoma"/>
          <w:sz w:val="24"/>
          <w:szCs w:val="24"/>
          <w:lang w:eastAsia="x-none"/>
        </w:rPr>
        <w:t>98,3</w:t>
      </w:r>
      <w:r w:rsidRPr="00C53F10">
        <w:rPr>
          <w:rFonts w:cs="Tahoma"/>
          <w:sz w:val="24"/>
          <w:szCs w:val="24"/>
          <w:lang w:eastAsia="x-none"/>
        </w:rPr>
        <w:t>%) precum și a celor de la bugetul Fondului național unic de asigurări sociale de sănătate (97,</w:t>
      </w:r>
      <w:r w:rsidR="004843A1">
        <w:rPr>
          <w:rFonts w:cs="Tahoma"/>
          <w:sz w:val="24"/>
          <w:szCs w:val="24"/>
          <w:lang w:eastAsia="x-none"/>
        </w:rPr>
        <w:t>4</w:t>
      </w:r>
      <w:r w:rsidRPr="00C53F10">
        <w:rPr>
          <w:rFonts w:cs="Tahoma"/>
          <w:sz w:val="24"/>
          <w:szCs w:val="24"/>
          <w:lang w:eastAsia="x-none"/>
        </w:rPr>
        <w:t>%).</w:t>
      </w:r>
    </w:p>
    <w:p w14:paraId="198648D2" w14:textId="24B0D67B" w:rsidR="00500E21" w:rsidRPr="00C53F10" w:rsidRDefault="00500E21" w:rsidP="00500E21">
      <w:pPr>
        <w:pStyle w:val="ListParagraph"/>
        <w:numPr>
          <w:ilvl w:val="0"/>
          <w:numId w:val="3"/>
        </w:numPr>
        <w:spacing w:before="120" w:line="276" w:lineRule="auto"/>
        <w:ind w:left="1152" w:hanging="357"/>
        <w:jc w:val="both"/>
        <w:rPr>
          <w:rFonts w:cs="Tahoma"/>
          <w:sz w:val="24"/>
          <w:szCs w:val="24"/>
          <w:lang w:eastAsia="x-none"/>
        </w:rPr>
      </w:pPr>
      <w:r w:rsidRPr="00C53F10">
        <w:rPr>
          <w:rFonts w:cs="Tahoma"/>
          <w:sz w:val="24"/>
          <w:szCs w:val="24"/>
          <w:lang w:eastAsia="x-none"/>
        </w:rPr>
        <w:t xml:space="preserve">Încasările din veniturile nefiscale au fost </w:t>
      </w:r>
      <w:r w:rsidR="004843A1">
        <w:rPr>
          <w:rFonts w:cs="Tahoma"/>
          <w:sz w:val="24"/>
          <w:szCs w:val="24"/>
          <w:lang w:eastAsia="x-none"/>
        </w:rPr>
        <w:t>sup</w:t>
      </w:r>
      <w:r w:rsidRPr="00C53F10">
        <w:rPr>
          <w:rFonts w:cs="Tahoma"/>
          <w:sz w:val="24"/>
          <w:szCs w:val="24"/>
          <w:lang w:eastAsia="x-none"/>
        </w:rPr>
        <w:t xml:space="preserve">erioare programului anual, gradul de realizare fiind de </w:t>
      </w:r>
      <w:r w:rsidR="004843A1">
        <w:rPr>
          <w:rFonts w:cs="Tahoma"/>
          <w:sz w:val="24"/>
          <w:szCs w:val="24"/>
          <w:lang w:eastAsia="x-none"/>
        </w:rPr>
        <w:t>106,</w:t>
      </w:r>
      <w:r w:rsidR="003F6AF3">
        <w:rPr>
          <w:rFonts w:cs="Tahoma"/>
          <w:sz w:val="24"/>
          <w:szCs w:val="24"/>
          <w:lang w:eastAsia="x-none"/>
        </w:rPr>
        <w:t>4</w:t>
      </w:r>
      <w:r w:rsidRPr="00C53F10">
        <w:rPr>
          <w:rFonts w:cs="Tahoma"/>
          <w:sz w:val="24"/>
          <w:szCs w:val="24"/>
          <w:lang w:eastAsia="x-none"/>
        </w:rPr>
        <w:t>%;</w:t>
      </w:r>
    </w:p>
    <w:p w14:paraId="63ACC878" w14:textId="7CAABA72" w:rsidR="0005314E" w:rsidRDefault="00500E21" w:rsidP="0005314E">
      <w:pPr>
        <w:pStyle w:val="ListParagraph"/>
        <w:numPr>
          <w:ilvl w:val="0"/>
          <w:numId w:val="3"/>
        </w:numPr>
        <w:spacing w:before="120" w:after="120" w:line="276" w:lineRule="auto"/>
        <w:ind w:left="1151" w:hanging="357"/>
        <w:jc w:val="both"/>
        <w:rPr>
          <w:rFonts w:cs="Tahoma"/>
          <w:b/>
          <w:bCs/>
          <w:sz w:val="24"/>
          <w:szCs w:val="24"/>
          <w:lang w:eastAsia="x-none"/>
        </w:rPr>
      </w:pPr>
      <w:r w:rsidRPr="00C53F10">
        <w:rPr>
          <w:rFonts w:cs="Tahoma"/>
          <w:sz w:val="24"/>
          <w:szCs w:val="24"/>
          <w:lang w:eastAsia="x-none"/>
        </w:rPr>
        <w:t xml:space="preserve">Încasările din sumele primite de la UE și alți donatori (inclusiv asistența financiară nerambursabila aferentă PNRR) în contul plăților efectuate </w:t>
      </w:r>
      <w:r w:rsidR="004843A1">
        <w:rPr>
          <w:rFonts w:cs="Tahoma"/>
          <w:sz w:val="24"/>
          <w:szCs w:val="24"/>
          <w:lang w:eastAsia="x-none"/>
        </w:rPr>
        <w:t>nu au reușit să atingă nivelul programat</w:t>
      </w:r>
      <w:r w:rsidRPr="00C53F10">
        <w:rPr>
          <w:rFonts w:cs="Tahoma"/>
          <w:sz w:val="24"/>
          <w:szCs w:val="24"/>
          <w:lang w:eastAsia="x-none"/>
        </w:rPr>
        <w:t xml:space="preserve">, gradul de realizare înregistrat fiind de </w:t>
      </w:r>
      <w:r w:rsidR="003F6AF3">
        <w:rPr>
          <w:rFonts w:cs="Tahoma"/>
          <w:sz w:val="24"/>
          <w:szCs w:val="24"/>
          <w:lang w:eastAsia="x-none"/>
        </w:rPr>
        <w:t>83,6</w:t>
      </w:r>
      <w:r w:rsidRPr="00C53F10">
        <w:rPr>
          <w:rFonts w:cs="Tahoma"/>
          <w:sz w:val="24"/>
          <w:szCs w:val="24"/>
          <w:lang w:eastAsia="x-none"/>
        </w:rPr>
        <w:t>%.</w:t>
      </w:r>
    </w:p>
    <w:p w14:paraId="45BB86B3" w14:textId="1AAC73C6" w:rsidR="0005314E" w:rsidRPr="0005314E" w:rsidRDefault="0005314E" w:rsidP="0005314E">
      <w:pPr>
        <w:pStyle w:val="ListParagraph"/>
        <w:spacing w:before="120" w:after="120" w:line="276" w:lineRule="auto"/>
        <w:ind w:left="0"/>
        <w:jc w:val="both"/>
        <w:rPr>
          <w:rFonts w:cs="Tahoma"/>
          <w:b/>
          <w:bCs/>
          <w:sz w:val="24"/>
          <w:szCs w:val="24"/>
          <w:lang w:eastAsia="x-none"/>
        </w:rPr>
      </w:pPr>
      <w:r w:rsidRPr="0005314E">
        <w:rPr>
          <w:rFonts w:cs="Tahoma"/>
          <w:bCs/>
          <w:noProof/>
          <w:sz w:val="24"/>
          <w:szCs w:val="24"/>
        </w:rPr>
        <w:t>Nerealizarea programului anual este influențată și de încetinirea creșterii economice anuale de la 2,8% (evoluție ce a stat la baza evaluării rectificării veniturilor, conform prognoza de vară 2024 a indicatorilor macroeconomici, publicați de Comisia Națională de Strategie și Prognoză) la 0,8%</w:t>
      </w:r>
      <w:r w:rsidRPr="0005314E">
        <w:rPr>
          <w:rStyle w:val="FootnoteReference"/>
          <w:rFonts w:cs="Tahoma"/>
          <w:bCs/>
          <w:noProof/>
          <w:sz w:val="24"/>
          <w:szCs w:val="24"/>
        </w:rPr>
        <w:footnoteReference w:id="3"/>
      </w:r>
      <w:r w:rsidRPr="0005314E">
        <w:rPr>
          <w:rFonts w:cs="Tahoma"/>
          <w:bCs/>
          <w:noProof/>
          <w:sz w:val="24"/>
          <w:szCs w:val="24"/>
        </w:rPr>
        <w:t>.</w:t>
      </w:r>
    </w:p>
    <w:p w14:paraId="2359C199" w14:textId="77777777" w:rsidR="00500E21" w:rsidRPr="00C53F10" w:rsidRDefault="00500E21" w:rsidP="00500E21">
      <w:pPr>
        <w:pStyle w:val="ListParagraph"/>
        <w:spacing w:after="120" w:line="276" w:lineRule="auto"/>
        <w:ind w:left="0"/>
        <w:jc w:val="center"/>
        <w:rPr>
          <w:rFonts w:cs="Tahoma"/>
          <w:b/>
          <w:bCs/>
          <w:sz w:val="24"/>
          <w:szCs w:val="24"/>
        </w:rPr>
      </w:pPr>
    </w:p>
    <w:p w14:paraId="4564E2C6" w14:textId="77777777" w:rsidR="00500E21" w:rsidRPr="00C53F10" w:rsidRDefault="00500E21" w:rsidP="00500E21">
      <w:pPr>
        <w:pStyle w:val="ListParagraph"/>
        <w:spacing w:after="120" w:line="276" w:lineRule="auto"/>
        <w:ind w:left="0"/>
        <w:jc w:val="center"/>
        <w:rPr>
          <w:rFonts w:cs="Tahoma"/>
          <w:b/>
          <w:bCs/>
          <w:sz w:val="24"/>
          <w:szCs w:val="24"/>
        </w:rPr>
      </w:pPr>
      <w:r w:rsidRPr="00C53F10">
        <w:rPr>
          <w:rFonts w:cs="Tahoma"/>
          <w:b/>
          <w:bCs/>
          <w:sz w:val="24"/>
          <w:szCs w:val="24"/>
        </w:rPr>
        <w:t>Structura veniturilor bugetare</w:t>
      </w:r>
    </w:p>
    <w:p w14:paraId="4A5C97C0" w14:textId="508E3C96" w:rsidR="00500E21" w:rsidRPr="00C53F10" w:rsidRDefault="004D6AD6" w:rsidP="00500E21">
      <w:pPr>
        <w:spacing w:line="276" w:lineRule="auto"/>
        <w:rPr>
          <w:b/>
          <w:bCs/>
        </w:rPr>
      </w:pPr>
      <w:r>
        <w:rPr>
          <w:b/>
          <w:bCs/>
          <w:noProof/>
          <w:lang w:val="en-US" w:eastAsia="en-US"/>
        </w:rPr>
        <w:pict w14:anchorId="2078ACE9">
          <v:shape id="_x0000_i1035" type="#_x0000_t75" style="width:264pt;height:208.5pt">
            <v:imagedata r:id="rId22" o:title=""/>
          </v:shape>
        </w:pict>
      </w:r>
      <w:r>
        <w:rPr>
          <w:b/>
          <w:bCs/>
          <w:noProof/>
          <w:lang w:val="en-US" w:eastAsia="en-US"/>
        </w:rPr>
        <w:pict w14:anchorId="36BEEE30">
          <v:shape id="_x0000_i1036" type="#_x0000_t75" style="width:215.5pt;height:209pt">
            <v:imagedata r:id="rId23" o:title=""/>
          </v:shape>
        </w:pict>
      </w:r>
    </w:p>
    <w:p w14:paraId="5D368813" w14:textId="77777777" w:rsidR="00500E21" w:rsidRPr="00C53F10" w:rsidRDefault="00500E21" w:rsidP="00500E21">
      <w:pPr>
        <w:spacing w:line="276" w:lineRule="auto"/>
        <w:jc w:val="both"/>
        <w:rPr>
          <w:color w:val="FF0000"/>
        </w:rPr>
      </w:pPr>
    </w:p>
    <w:p w14:paraId="100F2D40" w14:textId="502FF05F" w:rsidR="00500E21" w:rsidRPr="00C53F10" w:rsidRDefault="00500E21" w:rsidP="00A879FF">
      <w:pPr>
        <w:spacing w:after="120" w:line="276" w:lineRule="auto"/>
        <w:jc w:val="both"/>
      </w:pPr>
      <w:r w:rsidRPr="00C53F10">
        <w:t xml:space="preserve">Din punct de vedere al ponderii principalelor categorii de impozite în total venituri încasate, s-au înregistrat creșteri, comparativ cu anul anterior, în principal în cazul veniturilor din </w:t>
      </w:r>
      <w:r w:rsidR="0005314E">
        <w:t xml:space="preserve">impozitul pe profit și </w:t>
      </w:r>
      <w:r w:rsidRPr="00C53F10">
        <w:t>impozitul pe salarii și venit cu 0,</w:t>
      </w:r>
      <w:r w:rsidR="0005314E">
        <w:t>7</w:t>
      </w:r>
      <w:r w:rsidRPr="00C53F10">
        <w:t xml:space="preserve"> puncte procentuale, </w:t>
      </w:r>
      <w:r w:rsidR="0005314E">
        <w:t xml:space="preserve">din TVA cu 1,0 </w:t>
      </w:r>
      <w:r w:rsidR="0005314E">
        <w:lastRenderedPageBreak/>
        <w:t xml:space="preserve">punct procentual, accize cu 0,9 puncte procentuale, </w:t>
      </w:r>
      <w:r w:rsidRPr="00C53F10">
        <w:t xml:space="preserve">contribuții de asigurări cu </w:t>
      </w:r>
      <w:r w:rsidR="0005314E">
        <w:t>2,5</w:t>
      </w:r>
      <w:r w:rsidRPr="00C53F10">
        <w:t xml:space="preserve"> puncte procentuale și a </w:t>
      </w:r>
      <w:r w:rsidR="0005314E">
        <w:t>veniturilor nefiscale cu 0,6 puncte procentuale.</w:t>
      </w:r>
      <w:r w:rsidRPr="00C53F10">
        <w:t xml:space="preserve"> </w:t>
      </w:r>
    </w:p>
    <w:p w14:paraId="3147BCC1" w14:textId="1D62509B" w:rsidR="00500E21" w:rsidRPr="00C53F10" w:rsidRDefault="00500E21" w:rsidP="00A879FF">
      <w:pPr>
        <w:spacing w:after="120" w:line="276" w:lineRule="auto"/>
        <w:jc w:val="both"/>
      </w:pPr>
      <w:r w:rsidRPr="00C53F10">
        <w:t xml:space="preserve">În paralel, s-au înregistrat diminuări, în principal, în cazul </w:t>
      </w:r>
      <w:r w:rsidR="005A499F" w:rsidRPr="00C53F10">
        <w:t xml:space="preserve">sumele primite de la UE, donații și PNRR cu </w:t>
      </w:r>
      <w:r w:rsidR="005A499F">
        <w:t>5,</w:t>
      </w:r>
      <w:r w:rsidR="00A9471F">
        <w:t>6</w:t>
      </w:r>
      <w:r w:rsidR="005A499F" w:rsidRPr="00C53F10">
        <w:t xml:space="preserve"> puncte procentuale</w:t>
      </w:r>
      <w:r w:rsidR="005A499F">
        <w:t>.</w:t>
      </w:r>
      <w:r w:rsidR="005A499F" w:rsidRPr="00C53F10">
        <w:t xml:space="preserve"> </w:t>
      </w:r>
    </w:p>
    <w:p w14:paraId="2820FD0D" w14:textId="021D717B" w:rsidR="00500E21" w:rsidRDefault="00500E21" w:rsidP="00A879FF">
      <w:pPr>
        <w:spacing w:after="120" w:line="276" w:lineRule="auto"/>
        <w:jc w:val="both"/>
      </w:pPr>
      <w:r w:rsidRPr="00C53F10">
        <w:t xml:space="preserve">Comparativ cu anul anterior, </w:t>
      </w:r>
      <w:r w:rsidRPr="00C53F10">
        <w:rPr>
          <w:b/>
        </w:rPr>
        <w:t>veniturile bugetului general consolidat</w:t>
      </w:r>
      <w:r w:rsidRPr="00C53F10">
        <w:t>, în anul 202</w:t>
      </w:r>
      <w:r w:rsidR="005A499F">
        <w:t>4</w:t>
      </w:r>
      <w:r w:rsidRPr="00C53F10">
        <w:t xml:space="preserve">, au crescut cu </w:t>
      </w:r>
      <w:r w:rsidR="005A499F">
        <w:t>10,4</w:t>
      </w:r>
      <w:r w:rsidRPr="00C53F10">
        <w:t>%(+</w:t>
      </w:r>
      <w:r w:rsidR="00A9471F">
        <w:t>53,97</w:t>
      </w:r>
      <w:r w:rsidRPr="00C53F10">
        <w:t xml:space="preserve"> miliarde lei) iar ca procent în PIB </w:t>
      </w:r>
      <w:r w:rsidR="005A499F">
        <w:t xml:space="preserve">crescut cu </w:t>
      </w:r>
      <w:r w:rsidRPr="00C53F10">
        <w:t>0,</w:t>
      </w:r>
      <w:r w:rsidR="005A499F">
        <w:t>2</w:t>
      </w:r>
      <w:r w:rsidRPr="00C53F10">
        <w:t xml:space="preserve"> puncte procentuale de la </w:t>
      </w:r>
      <w:r w:rsidR="005A499F">
        <w:t>32,4</w:t>
      </w:r>
      <w:r w:rsidRPr="00C53F10">
        <w:t>% în 202</w:t>
      </w:r>
      <w:r w:rsidR="005A499F">
        <w:t>3</w:t>
      </w:r>
      <w:r w:rsidRPr="00C53F10">
        <w:t xml:space="preserve"> la 32,</w:t>
      </w:r>
      <w:r w:rsidR="005A499F">
        <w:t>6</w:t>
      </w:r>
      <w:r w:rsidRPr="00C53F10">
        <w:t>% în 202</w:t>
      </w:r>
      <w:r w:rsidR="005A499F">
        <w:t>4</w:t>
      </w:r>
      <w:r w:rsidRPr="00C53F10">
        <w:t>.</w:t>
      </w:r>
    </w:p>
    <w:p w14:paraId="7302B194" w14:textId="77777777" w:rsidR="005A499F" w:rsidRPr="005A499F" w:rsidRDefault="005A499F" w:rsidP="00B92EB9">
      <w:pPr>
        <w:autoSpaceDE w:val="0"/>
        <w:autoSpaceDN w:val="0"/>
        <w:adjustRightInd w:val="0"/>
        <w:spacing w:after="120" w:line="276" w:lineRule="auto"/>
        <w:jc w:val="both"/>
        <w:rPr>
          <w:bCs/>
          <w:noProof/>
        </w:rPr>
      </w:pPr>
      <w:r w:rsidRPr="005A499F">
        <w:rPr>
          <w:bCs/>
          <w:noProof/>
        </w:rPr>
        <w:t>Comparativ cu anul 2023, creșterea veniturilor bugetare a fost influențată și de instituirea uno</w:t>
      </w:r>
      <w:r w:rsidRPr="00B92EB9">
        <w:rPr>
          <w:bCs/>
          <w:noProof/>
        </w:rPr>
        <w:t xml:space="preserve">r </w:t>
      </w:r>
      <w:r w:rsidRPr="005A499F">
        <w:rPr>
          <w:bCs/>
          <w:noProof/>
        </w:rPr>
        <w:t>măsuri bugetare noi, și anume:</w:t>
      </w:r>
    </w:p>
    <w:p w14:paraId="49636B4F" w14:textId="77777777" w:rsidR="005A499F" w:rsidRPr="005A499F" w:rsidRDefault="005A499F" w:rsidP="00B92EB9">
      <w:pPr>
        <w:pStyle w:val="ListParagraph"/>
        <w:numPr>
          <w:ilvl w:val="0"/>
          <w:numId w:val="45"/>
        </w:numPr>
        <w:autoSpaceDE w:val="0"/>
        <w:autoSpaceDN w:val="0"/>
        <w:adjustRightInd w:val="0"/>
        <w:spacing w:after="240" w:line="276" w:lineRule="auto"/>
        <w:ind w:left="567" w:firstLine="0"/>
        <w:jc w:val="both"/>
        <w:rPr>
          <w:rFonts w:cs="Tahoma"/>
          <w:bCs/>
          <w:noProof/>
          <w:sz w:val="24"/>
          <w:szCs w:val="24"/>
        </w:rPr>
      </w:pPr>
      <w:r w:rsidRPr="005A499F">
        <w:rPr>
          <w:rFonts w:cs="Tahoma"/>
          <w:bCs/>
          <w:noProof/>
          <w:sz w:val="24"/>
          <w:szCs w:val="24"/>
        </w:rPr>
        <w:t>Măsuri instituite prin Legea nr. 296/2023:</w:t>
      </w:r>
    </w:p>
    <w:p w14:paraId="061888F3" w14:textId="77777777" w:rsidR="005A499F" w:rsidRPr="005A499F" w:rsidRDefault="005A499F" w:rsidP="00B92EB9">
      <w:pPr>
        <w:pStyle w:val="ListParagraph"/>
        <w:numPr>
          <w:ilvl w:val="0"/>
          <w:numId w:val="19"/>
        </w:numPr>
        <w:autoSpaceDE w:val="0"/>
        <w:autoSpaceDN w:val="0"/>
        <w:adjustRightInd w:val="0"/>
        <w:spacing w:after="120" w:line="276" w:lineRule="auto"/>
        <w:ind w:left="1475" w:hanging="624"/>
        <w:jc w:val="both"/>
        <w:rPr>
          <w:rFonts w:eastAsia="SimSun" w:cs="Tahoma"/>
          <w:bCs/>
          <w:noProof/>
          <w:kern w:val="1"/>
          <w:sz w:val="24"/>
          <w:szCs w:val="24"/>
        </w:rPr>
      </w:pPr>
      <w:r w:rsidRPr="005A499F">
        <w:rPr>
          <w:rFonts w:eastAsia="SimSun" w:cs="Tahoma"/>
          <w:bCs/>
          <w:noProof/>
          <w:kern w:val="1"/>
          <w:sz w:val="24"/>
          <w:szCs w:val="24"/>
        </w:rPr>
        <w:t>Instituirea impozitului minim pe cifra de afaceri,</w:t>
      </w:r>
      <w:r w:rsidRPr="005A499F">
        <w:rPr>
          <w:rFonts w:cs="Tahoma"/>
          <w:bCs/>
          <w:sz w:val="24"/>
          <w:szCs w:val="24"/>
        </w:rPr>
        <w:t xml:space="preserve"> impozitului specific pe cifra de afaceri realizat de operatorii economici din domeniul energiei electrice și a gazelor naturale și a impozitului specific pe cifra de afaceri realizat de instituțiile de credit.</w:t>
      </w:r>
    </w:p>
    <w:p w14:paraId="764A7E2F" w14:textId="77777777" w:rsidR="005A499F" w:rsidRPr="005A499F" w:rsidRDefault="005A499F" w:rsidP="00B92EB9">
      <w:pPr>
        <w:pStyle w:val="ListParagraph"/>
        <w:numPr>
          <w:ilvl w:val="0"/>
          <w:numId w:val="19"/>
        </w:numPr>
        <w:autoSpaceDE w:val="0"/>
        <w:autoSpaceDN w:val="0"/>
        <w:adjustRightInd w:val="0"/>
        <w:spacing w:after="120" w:line="276" w:lineRule="auto"/>
        <w:ind w:left="1475" w:hanging="624"/>
        <w:jc w:val="both"/>
        <w:rPr>
          <w:rFonts w:eastAsia="SimSun" w:cs="Tahoma"/>
          <w:bCs/>
          <w:noProof/>
          <w:kern w:val="1"/>
          <w:sz w:val="24"/>
          <w:szCs w:val="24"/>
        </w:rPr>
      </w:pPr>
      <w:r w:rsidRPr="005A499F">
        <w:rPr>
          <w:rFonts w:eastAsia="SimSun" w:cs="Tahoma"/>
          <w:bCs/>
          <w:noProof/>
          <w:kern w:val="1"/>
          <w:sz w:val="24"/>
          <w:szCs w:val="24"/>
        </w:rPr>
        <w:t>Instituirea impozitului special pe bunurile imobile și mobile de valoare mare pentru proprietățile reprezentând clădiri rezidențiale și autoturisme.</w:t>
      </w:r>
    </w:p>
    <w:p w14:paraId="22D7BBD9" w14:textId="4C821CEC" w:rsidR="005A499F" w:rsidRPr="005A499F" w:rsidRDefault="005A499F" w:rsidP="00B92EB9">
      <w:pPr>
        <w:pStyle w:val="ListParagraph"/>
        <w:numPr>
          <w:ilvl w:val="0"/>
          <w:numId w:val="19"/>
        </w:numPr>
        <w:autoSpaceDE w:val="0"/>
        <w:autoSpaceDN w:val="0"/>
        <w:adjustRightInd w:val="0"/>
        <w:spacing w:after="120" w:line="276" w:lineRule="auto"/>
        <w:ind w:left="1475" w:hanging="624"/>
        <w:jc w:val="both"/>
        <w:rPr>
          <w:rFonts w:eastAsia="SimSun" w:cs="Tahoma"/>
          <w:bCs/>
          <w:noProof/>
          <w:kern w:val="1"/>
          <w:sz w:val="24"/>
          <w:szCs w:val="24"/>
        </w:rPr>
      </w:pPr>
      <w:r w:rsidRPr="005A499F">
        <w:rPr>
          <w:rFonts w:eastAsia="SimSun" w:cs="Tahoma"/>
          <w:bCs/>
          <w:noProof/>
          <w:kern w:val="1"/>
          <w:sz w:val="24"/>
          <w:szCs w:val="24"/>
        </w:rPr>
        <w:t>Impozitul pe veniturile microîntreprinderilor</w:t>
      </w:r>
      <w:r w:rsidRPr="005A499F">
        <w:rPr>
          <w:rFonts w:cs="Tahoma"/>
          <w:bCs/>
          <w:noProof/>
          <w:sz w:val="24"/>
          <w:szCs w:val="24"/>
        </w:rPr>
        <w:t>:</w:t>
      </w:r>
      <w:r w:rsidRPr="005A499F">
        <w:rPr>
          <w:rFonts w:eastAsia="SimSun" w:cs="Tahoma"/>
          <w:bCs/>
          <w:noProof/>
          <w:kern w:val="1"/>
          <w:sz w:val="24"/>
          <w:szCs w:val="24"/>
        </w:rPr>
        <w:t xml:space="preserve"> introducer</w:t>
      </w:r>
      <w:r w:rsidR="00B23F48">
        <w:rPr>
          <w:rFonts w:eastAsia="SimSun" w:cs="Tahoma"/>
          <w:bCs/>
          <w:noProof/>
          <w:kern w:val="1"/>
          <w:sz w:val="24"/>
          <w:szCs w:val="24"/>
        </w:rPr>
        <w:t>e</w:t>
      </w:r>
      <w:r w:rsidRPr="005A499F">
        <w:rPr>
          <w:rFonts w:eastAsia="SimSun" w:cs="Tahoma"/>
          <w:bCs/>
          <w:noProof/>
          <w:kern w:val="1"/>
          <w:sz w:val="24"/>
          <w:szCs w:val="24"/>
        </w:rPr>
        <w:t>a cotelor diferențiate de impozitare pe veniturile microîntreprinderilor de 1% pentru microîntreprinderile care realizează venituri ce nu depășesc 60.000 euro inclusiv și 3% pentru microîntreprinderile care realizează venituri de peste 60.000 euro sau desfășoară activități corespunzătoare unor coduri CAEN.</w:t>
      </w:r>
    </w:p>
    <w:p w14:paraId="494E4787" w14:textId="77777777" w:rsidR="005A499F" w:rsidRPr="005A499F" w:rsidRDefault="005A499F" w:rsidP="00B92EB9">
      <w:pPr>
        <w:pStyle w:val="ListParagraph"/>
        <w:numPr>
          <w:ilvl w:val="0"/>
          <w:numId w:val="19"/>
        </w:numPr>
        <w:autoSpaceDE w:val="0"/>
        <w:autoSpaceDN w:val="0"/>
        <w:adjustRightInd w:val="0"/>
        <w:spacing w:after="120" w:line="276" w:lineRule="auto"/>
        <w:ind w:left="1475" w:hanging="624"/>
        <w:jc w:val="both"/>
        <w:rPr>
          <w:rFonts w:eastAsia="SimSun" w:cs="Tahoma"/>
          <w:bCs/>
          <w:noProof/>
          <w:kern w:val="1"/>
          <w:sz w:val="24"/>
          <w:szCs w:val="24"/>
        </w:rPr>
      </w:pPr>
      <w:r w:rsidRPr="005A499F">
        <w:rPr>
          <w:rFonts w:eastAsia="SimSun" w:cs="Tahoma"/>
          <w:bCs/>
          <w:noProof/>
          <w:kern w:val="1"/>
          <w:sz w:val="24"/>
          <w:szCs w:val="24"/>
        </w:rPr>
        <w:t>Impozitul pe venit și contribuții sociale revizuirea reglementărilor privind acordarea facilităților fiscale în sectorul construcții, sectorul agricol, industria alimentară și a activității de creare de programe pentru calculator; includerea sumelor reprezentând valoarea nominală a tichetelor de masă și a voucherelor de vacanță acordate potrivit legii, în baza lunară de calcul al contribuției de asigurări sociale de sănătate pentru persoanele fizice care obțin venituri din salarii şi asimilate salariilor; neimpozitarea și neincludeera  în baza lunară de calcul al contribuțiilor sociale obligatorii a sumei de 200 lei/lună, iar începând cu veniturile lunii iulie 2024 a sumei de 300 lei/lună pentru veniturile din salarii și asimilate salariilor (</w:t>
      </w:r>
      <w:r w:rsidRPr="005A499F">
        <w:rPr>
          <w:rFonts w:cs="Tahoma"/>
          <w:sz w:val="24"/>
          <w:szCs w:val="24"/>
          <w:lang w:eastAsia="en-US"/>
        </w:rPr>
        <w:t>O.U.G nr. 59/2024)</w:t>
      </w:r>
      <w:r w:rsidRPr="005A499F">
        <w:rPr>
          <w:rFonts w:eastAsia="SimSun" w:cs="Tahoma"/>
          <w:bCs/>
          <w:noProof/>
          <w:kern w:val="1"/>
          <w:sz w:val="24"/>
          <w:szCs w:val="24"/>
        </w:rPr>
        <w:t>.</w:t>
      </w:r>
    </w:p>
    <w:p w14:paraId="5B1ADBC2" w14:textId="51822A4E" w:rsidR="005A499F" w:rsidRPr="005A499F" w:rsidRDefault="005A499F" w:rsidP="00B92EB9">
      <w:pPr>
        <w:pStyle w:val="ListParagraph"/>
        <w:numPr>
          <w:ilvl w:val="0"/>
          <w:numId w:val="19"/>
        </w:numPr>
        <w:autoSpaceDE w:val="0"/>
        <w:autoSpaceDN w:val="0"/>
        <w:adjustRightInd w:val="0"/>
        <w:spacing w:after="120" w:line="276" w:lineRule="auto"/>
        <w:ind w:left="1475" w:hanging="624"/>
        <w:jc w:val="both"/>
        <w:rPr>
          <w:rFonts w:eastAsia="SimSun" w:cs="Tahoma"/>
          <w:bCs/>
          <w:noProof/>
          <w:kern w:val="1"/>
          <w:sz w:val="24"/>
          <w:szCs w:val="24"/>
        </w:rPr>
      </w:pPr>
      <w:r w:rsidRPr="005A499F">
        <w:rPr>
          <w:rFonts w:eastAsia="SimSun" w:cs="Tahoma"/>
          <w:bCs/>
          <w:noProof/>
          <w:kern w:val="1"/>
          <w:sz w:val="24"/>
          <w:szCs w:val="24"/>
        </w:rPr>
        <w:t>Accize</w:t>
      </w:r>
      <w:r w:rsidRPr="005A499F">
        <w:rPr>
          <w:rFonts w:cs="Tahoma"/>
          <w:bCs/>
          <w:noProof/>
          <w:sz w:val="24"/>
          <w:szCs w:val="24"/>
        </w:rPr>
        <w:t>: i</w:t>
      </w:r>
      <w:r w:rsidRPr="005A499F">
        <w:rPr>
          <w:rFonts w:eastAsia="SimSun" w:cs="Tahoma"/>
          <w:bCs/>
          <w:noProof/>
          <w:kern w:val="1"/>
          <w:sz w:val="24"/>
          <w:szCs w:val="24"/>
        </w:rPr>
        <w:t>ntroducerea unei noi accize pe băuturile nealcoolice cu zahăr adăugat pentru care nivelul total de zahăr este cuprins între 5g-8g/100 ml, 8g/100 ml;</w:t>
      </w:r>
      <w:r w:rsidR="00A9471F">
        <w:rPr>
          <w:rFonts w:eastAsia="SimSun" w:cs="Tahoma"/>
          <w:bCs/>
          <w:noProof/>
          <w:kern w:val="1"/>
          <w:sz w:val="24"/>
          <w:szCs w:val="24"/>
        </w:rPr>
        <w:t xml:space="preserve"> </w:t>
      </w:r>
      <w:r w:rsidRPr="005A499F">
        <w:rPr>
          <w:rFonts w:eastAsia="SimSun" w:cs="Tahoma"/>
          <w:bCs/>
          <w:noProof/>
          <w:kern w:val="1"/>
          <w:sz w:val="24"/>
          <w:szCs w:val="24"/>
        </w:rPr>
        <w:t>actualizarea accizelor pentru produsele de tutun cu 7,5% de la 1 ianuarie 2024 iar pentru produsele cu alcool cu 10% de la 1 ianuarie 2024.</w:t>
      </w:r>
    </w:p>
    <w:p w14:paraId="306D99E3" w14:textId="6B6D3BBF" w:rsidR="005A499F" w:rsidRPr="005A499F" w:rsidRDefault="005A499F" w:rsidP="00B92EB9">
      <w:pPr>
        <w:pStyle w:val="ListParagraph"/>
        <w:numPr>
          <w:ilvl w:val="0"/>
          <w:numId w:val="19"/>
        </w:numPr>
        <w:autoSpaceDE w:val="0"/>
        <w:autoSpaceDN w:val="0"/>
        <w:adjustRightInd w:val="0"/>
        <w:spacing w:after="120" w:line="276" w:lineRule="auto"/>
        <w:ind w:left="1475" w:hanging="624"/>
        <w:jc w:val="both"/>
        <w:rPr>
          <w:rFonts w:eastAsia="SimSun" w:cs="Tahoma"/>
          <w:bCs/>
          <w:noProof/>
          <w:kern w:val="1"/>
          <w:sz w:val="24"/>
          <w:szCs w:val="24"/>
        </w:rPr>
      </w:pPr>
      <w:r w:rsidRPr="005A499F">
        <w:rPr>
          <w:rFonts w:eastAsia="SimSun" w:cs="Tahoma"/>
          <w:bCs/>
          <w:noProof/>
          <w:kern w:val="1"/>
          <w:sz w:val="24"/>
          <w:szCs w:val="24"/>
        </w:rPr>
        <w:t>TVA</w:t>
      </w:r>
      <w:r w:rsidRPr="005A499F">
        <w:rPr>
          <w:rFonts w:cs="Tahoma"/>
          <w:bCs/>
          <w:noProof/>
          <w:sz w:val="24"/>
          <w:szCs w:val="24"/>
        </w:rPr>
        <w:t xml:space="preserve">:creșterea </w:t>
      </w:r>
      <w:r w:rsidRPr="005A499F">
        <w:rPr>
          <w:rFonts w:eastAsia="SimSun" w:cs="Tahoma"/>
          <w:bCs/>
          <w:noProof/>
          <w:kern w:val="1"/>
          <w:sz w:val="24"/>
          <w:szCs w:val="24"/>
        </w:rPr>
        <w:t>cotei de TVA de 5% la 9% pentru livrarea de locuințe sociale (cu păstrarea plafonului de 600.000 lei), livrarea alimentelor de înaltă valoare calitativă,  livrarea şi instalarea de panouri fotovoltaice, panouri solare termice, pompe de căldură şi alte sisteme de încălzire de înaltă eficiență, activități recreative (parcuri  de distracții /recreative, bâlciuri) și intrare evenimente sportive;</w:t>
      </w:r>
      <w:r w:rsidRPr="005A499F">
        <w:rPr>
          <w:rFonts w:eastAsia="SimSun" w:cs="Tahoma"/>
          <w:bCs/>
          <w:noProof/>
          <w:sz w:val="24"/>
          <w:szCs w:val="24"/>
        </w:rPr>
        <w:t xml:space="preserve"> majorarea cotei reduse de TVA de la 5% la 19% dreptul de utilizare </w:t>
      </w:r>
      <w:r w:rsidRPr="005A499F">
        <w:rPr>
          <w:rFonts w:eastAsia="SimSun" w:cs="Tahoma"/>
          <w:bCs/>
          <w:noProof/>
          <w:sz w:val="24"/>
          <w:szCs w:val="24"/>
        </w:rPr>
        <w:lastRenderedPageBreak/>
        <w:t>a facilităţilor sportive,</w:t>
      </w:r>
      <w:r w:rsidR="00B23F48">
        <w:rPr>
          <w:rFonts w:eastAsia="SimSun" w:cs="Tahoma"/>
          <w:bCs/>
          <w:noProof/>
          <w:sz w:val="24"/>
          <w:szCs w:val="24"/>
        </w:rPr>
        <w:t xml:space="preserve"> </w:t>
      </w:r>
      <w:r w:rsidRPr="005A499F">
        <w:rPr>
          <w:rFonts w:eastAsia="SimSun" w:cs="Tahoma"/>
          <w:bCs/>
          <w:noProof/>
          <w:sz w:val="24"/>
          <w:szCs w:val="24"/>
        </w:rPr>
        <w:t xml:space="preserve">altele decât cele scutite, pentru transportul de persoane în scop turistic sau de agrement și majorarea </w:t>
      </w:r>
      <w:r w:rsidRPr="005A499F">
        <w:rPr>
          <w:rFonts w:cs="Tahoma"/>
          <w:sz w:val="24"/>
          <w:szCs w:val="24"/>
          <w:lang w:eastAsia="en-US"/>
        </w:rPr>
        <w:t>cotei de TVA de la 9% la 19% pentru alimente cu zahăr adăugat</w:t>
      </w:r>
      <w:r w:rsidRPr="005A499F">
        <w:rPr>
          <w:rFonts w:cs="Tahoma"/>
          <w:bCs/>
          <w:noProof/>
          <w:sz w:val="24"/>
          <w:szCs w:val="24"/>
        </w:rPr>
        <w:t>.</w:t>
      </w:r>
    </w:p>
    <w:p w14:paraId="067CEFDE" w14:textId="108BC581" w:rsidR="005A499F" w:rsidRPr="00B92EB9" w:rsidRDefault="005A499F" w:rsidP="00B92EB9">
      <w:pPr>
        <w:pStyle w:val="ListParagraph"/>
        <w:numPr>
          <w:ilvl w:val="0"/>
          <w:numId w:val="45"/>
        </w:numPr>
        <w:autoSpaceDE w:val="0"/>
        <w:autoSpaceDN w:val="0"/>
        <w:adjustRightInd w:val="0"/>
        <w:spacing w:after="120" w:line="276" w:lineRule="auto"/>
        <w:ind w:left="1134" w:hanging="567"/>
        <w:jc w:val="both"/>
        <w:rPr>
          <w:rFonts w:cs="Tahoma"/>
          <w:bCs/>
          <w:noProof/>
          <w:sz w:val="24"/>
          <w:szCs w:val="24"/>
        </w:rPr>
      </w:pPr>
      <w:r w:rsidRPr="00B92EB9">
        <w:rPr>
          <w:rFonts w:cs="Tahoma"/>
          <w:bCs/>
          <w:noProof/>
          <w:sz w:val="24"/>
          <w:szCs w:val="24"/>
        </w:rPr>
        <w:t>Majorarea cotei de contribuție la Pilonul II de pensii de la 3,75% la 4,75 începând cu 1 ianuarie 2024</w:t>
      </w:r>
      <w:r w:rsidRPr="00B92EB9">
        <w:rPr>
          <w:rFonts w:cs="Tahoma"/>
          <w:sz w:val="24"/>
          <w:szCs w:val="24"/>
        </w:rPr>
        <w:t xml:space="preserve">, </w:t>
      </w:r>
      <w:r w:rsidRPr="00B92EB9">
        <w:rPr>
          <w:rFonts w:cs="Tahoma"/>
          <w:bCs/>
          <w:noProof/>
          <w:sz w:val="24"/>
          <w:szCs w:val="24"/>
        </w:rPr>
        <w:t>aprobată prin prin OUG nr. 23/2022</w:t>
      </w:r>
      <w:r w:rsidR="00B23F48">
        <w:rPr>
          <w:rFonts w:cs="Tahoma"/>
          <w:bCs/>
          <w:noProof/>
          <w:sz w:val="24"/>
          <w:szCs w:val="24"/>
        </w:rPr>
        <w:t>;</w:t>
      </w:r>
    </w:p>
    <w:p w14:paraId="714DB13F" w14:textId="1F60B7FA" w:rsidR="005A499F" w:rsidRPr="00B92EB9" w:rsidRDefault="005A499F" w:rsidP="00B92EB9">
      <w:pPr>
        <w:pStyle w:val="ListParagraph"/>
        <w:numPr>
          <w:ilvl w:val="0"/>
          <w:numId w:val="45"/>
        </w:numPr>
        <w:autoSpaceDE w:val="0"/>
        <w:autoSpaceDN w:val="0"/>
        <w:adjustRightInd w:val="0"/>
        <w:spacing w:after="120" w:line="276" w:lineRule="auto"/>
        <w:ind w:left="1134" w:hanging="567"/>
        <w:jc w:val="both"/>
        <w:rPr>
          <w:rFonts w:cs="Tahoma"/>
          <w:bCs/>
          <w:noProof/>
          <w:sz w:val="24"/>
          <w:szCs w:val="24"/>
        </w:rPr>
      </w:pPr>
      <w:r w:rsidRPr="00B92EB9">
        <w:rPr>
          <w:rFonts w:cs="Tahoma"/>
          <w:bCs/>
          <w:noProof/>
          <w:sz w:val="24"/>
          <w:szCs w:val="24"/>
        </w:rPr>
        <w:t>Măsura aprobată prin OUG nr. 107/2024 privind instituirea unor facilități fiscale de anulare a unor obligații bugetare</w:t>
      </w:r>
      <w:r w:rsidR="00B23F48">
        <w:rPr>
          <w:rFonts w:cs="Tahoma"/>
          <w:bCs/>
          <w:noProof/>
          <w:sz w:val="24"/>
          <w:szCs w:val="24"/>
        </w:rPr>
        <w:t>;</w:t>
      </w:r>
      <w:r w:rsidRPr="00B92EB9">
        <w:rPr>
          <w:rFonts w:cs="Tahoma"/>
          <w:bCs/>
          <w:noProof/>
          <w:sz w:val="24"/>
          <w:szCs w:val="24"/>
        </w:rPr>
        <w:t xml:space="preserve"> </w:t>
      </w:r>
    </w:p>
    <w:p w14:paraId="24298962" w14:textId="77777777" w:rsidR="005A499F" w:rsidRPr="00B92EB9" w:rsidRDefault="005A499F" w:rsidP="00B43D18">
      <w:pPr>
        <w:pStyle w:val="ListParagraph"/>
        <w:numPr>
          <w:ilvl w:val="0"/>
          <w:numId w:val="45"/>
        </w:numPr>
        <w:tabs>
          <w:tab w:val="left" w:pos="90"/>
          <w:tab w:val="left" w:pos="720"/>
        </w:tabs>
        <w:autoSpaceDE w:val="0"/>
        <w:autoSpaceDN w:val="0"/>
        <w:adjustRightInd w:val="0"/>
        <w:spacing w:after="240" w:line="276" w:lineRule="auto"/>
        <w:ind w:left="1134" w:hanging="567"/>
        <w:jc w:val="both"/>
        <w:rPr>
          <w:rFonts w:cs="Tahoma"/>
          <w:bCs/>
          <w:noProof/>
          <w:sz w:val="24"/>
          <w:szCs w:val="24"/>
        </w:rPr>
      </w:pPr>
      <w:r w:rsidRPr="00B92EB9">
        <w:rPr>
          <w:rFonts w:cs="Tahoma"/>
          <w:bCs/>
          <w:noProof/>
          <w:sz w:val="24"/>
          <w:szCs w:val="24"/>
        </w:rPr>
        <w:t>Actualizare nivel acciza cu IPC la produse energetice conform OUG nr. 115/2023.</w:t>
      </w:r>
    </w:p>
    <w:p w14:paraId="14989366" w14:textId="6A26200E" w:rsidR="00500E21" w:rsidRPr="00C53F10" w:rsidRDefault="00500E21" w:rsidP="00A879FF">
      <w:pPr>
        <w:shd w:val="clear" w:color="auto" w:fill="D2F8FA"/>
        <w:spacing w:before="120" w:after="120" w:line="276" w:lineRule="auto"/>
        <w:jc w:val="both"/>
        <w:rPr>
          <w:b/>
        </w:rPr>
      </w:pPr>
      <w:r w:rsidRPr="00C53F10">
        <w:rPr>
          <w:b/>
        </w:rPr>
        <w:t xml:space="preserve">Veniturile din economia internă (exclusiv fondurile externe nerambursabile și donațiile) </w:t>
      </w:r>
      <w:r w:rsidRPr="00C53F10">
        <w:t xml:space="preserve">au fost în sumă de </w:t>
      </w:r>
      <w:r w:rsidR="00B92EB9">
        <w:t>532,</w:t>
      </w:r>
      <w:r w:rsidR="00A9471F">
        <w:t>18</w:t>
      </w:r>
      <w:r w:rsidRPr="00C53F10">
        <w:t xml:space="preserve"> miliarde lei în creștere cu </w:t>
      </w:r>
      <w:r w:rsidR="00B92EB9">
        <w:t>17,5</w:t>
      </w:r>
      <w:r w:rsidRPr="00C53F10">
        <w:t>% comparativ cu cele încasate în anul 202</w:t>
      </w:r>
      <w:r w:rsidR="00B92EB9">
        <w:t>3</w:t>
      </w:r>
      <w:r w:rsidRPr="00C53F10">
        <w:t>.</w:t>
      </w:r>
    </w:p>
    <w:p w14:paraId="3C5B61F5" w14:textId="41265576" w:rsidR="00500E21" w:rsidRPr="00C53F10" w:rsidRDefault="00500E21" w:rsidP="00A879FF">
      <w:pPr>
        <w:shd w:val="clear" w:color="auto" w:fill="D2F8FA"/>
        <w:spacing w:before="120" w:after="120" w:line="276" w:lineRule="auto"/>
        <w:jc w:val="both"/>
      </w:pPr>
      <w:r w:rsidRPr="00C53F10">
        <w:rPr>
          <w:b/>
        </w:rPr>
        <w:t>Veniturile fiscale</w:t>
      </w:r>
      <w:r w:rsidRPr="00C53F10">
        <w:t xml:space="preserve"> au crescut, în termeni nominali, cu </w:t>
      </w:r>
      <w:r w:rsidR="00B92EB9">
        <w:t>16,2</w:t>
      </w:r>
      <w:r w:rsidRPr="00C53F10">
        <w:t xml:space="preserve">% față de anul precedent, iar ca procent în PIB cu </w:t>
      </w:r>
      <w:r w:rsidR="00B23F48">
        <w:t>un</w:t>
      </w:r>
      <w:r w:rsidRPr="00C53F10">
        <w:t xml:space="preserve"> punct procentual de la </w:t>
      </w:r>
      <w:r w:rsidR="00B92EB9">
        <w:t>15,6</w:t>
      </w:r>
      <w:r w:rsidRPr="00C53F10">
        <w:t>% din PIB în anul 202</w:t>
      </w:r>
      <w:r w:rsidR="00B92EB9">
        <w:t>3</w:t>
      </w:r>
      <w:r w:rsidRPr="00C53F10">
        <w:t xml:space="preserve"> la 1</w:t>
      </w:r>
      <w:r w:rsidR="00B92EB9">
        <w:t>6</w:t>
      </w:r>
      <w:r w:rsidRPr="00C53F10">
        <w:t>,6% din PIB în anul 202</w:t>
      </w:r>
      <w:r w:rsidR="00B92EB9">
        <w:t>4</w:t>
      </w:r>
      <w:r w:rsidRPr="00C53F10">
        <w:t>.</w:t>
      </w:r>
    </w:p>
    <w:p w14:paraId="56E837BC" w14:textId="34B1CB7B" w:rsidR="003C0279" w:rsidRDefault="00500E21" w:rsidP="003C0279">
      <w:pPr>
        <w:tabs>
          <w:tab w:val="left" w:pos="284"/>
        </w:tabs>
        <w:autoSpaceDE w:val="0"/>
        <w:autoSpaceDN w:val="0"/>
        <w:adjustRightInd w:val="0"/>
        <w:spacing w:before="120" w:after="120" w:line="276" w:lineRule="auto"/>
        <w:jc w:val="both"/>
        <w:rPr>
          <w:bCs/>
          <w:noProof/>
        </w:rPr>
      </w:pPr>
      <w:r w:rsidRPr="00C53F10">
        <w:rPr>
          <w:bCs/>
          <w:noProof/>
        </w:rPr>
        <w:t xml:space="preserve">Încasările din </w:t>
      </w:r>
      <w:r w:rsidRPr="00C53F10">
        <w:rPr>
          <w:b/>
          <w:bCs/>
          <w:noProof/>
        </w:rPr>
        <w:t>impozitul pe profit</w:t>
      </w:r>
      <w:r w:rsidRPr="00C53F10">
        <w:rPr>
          <w:bCs/>
          <w:noProof/>
        </w:rPr>
        <w:t xml:space="preserve"> de </w:t>
      </w:r>
      <w:r w:rsidR="003C0279" w:rsidRPr="003C0279">
        <w:rPr>
          <w:bCs/>
          <w:noProof/>
        </w:rPr>
        <w:t>35,9</w:t>
      </w:r>
      <w:r w:rsidR="003C0279">
        <w:rPr>
          <w:bCs/>
          <w:noProof/>
        </w:rPr>
        <w:t>8</w:t>
      </w:r>
      <w:r w:rsidR="003C0279" w:rsidRPr="003C0279">
        <w:rPr>
          <w:bCs/>
          <w:noProof/>
        </w:rPr>
        <w:t xml:space="preserve"> miliarde lei, înregistrează o evoluție pozitivă față de perioada similară a anului 2023 de 23,5% (+6,8</w:t>
      </w:r>
      <w:r w:rsidR="003C0279">
        <w:rPr>
          <w:bCs/>
          <w:noProof/>
        </w:rPr>
        <w:t>5</w:t>
      </w:r>
      <w:r w:rsidR="003C0279" w:rsidRPr="003C0279">
        <w:rPr>
          <w:bCs/>
          <w:noProof/>
        </w:rPr>
        <w:t xml:space="preserve"> miliarde lei), susținută de avansul încasărilor din impozitul pe profit de la agenții economici cu 23,6% (+6,5 miliarde lei) cât și de încasările din impozitul pe profit virat de băncile comerciale cu 32,7% (+0,74 miliarde lei). Gradul de realizare este de 98,7% (-0,</w:t>
      </w:r>
      <w:r w:rsidR="003C0279">
        <w:rPr>
          <w:bCs/>
          <w:noProof/>
        </w:rPr>
        <w:t>47</w:t>
      </w:r>
      <w:r w:rsidR="003C0279" w:rsidRPr="003C0279">
        <w:rPr>
          <w:bCs/>
          <w:noProof/>
        </w:rPr>
        <w:t xml:space="preserve"> miliarde lei) față de programul stabilit, fiind influențat de nerealizarea țintei stabilite pentru impozitul pe profit de la agenții economici.</w:t>
      </w:r>
    </w:p>
    <w:p w14:paraId="35A1988A" w14:textId="48A7B6FC" w:rsidR="001E71A8" w:rsidRPr="001E71A8" w:rsidRDefault="00500E21" w:rsidP="001E71A8">
      <w:pPr>
        <w:tabs>
          <w:tab w:val="left" w:pos="284"/>
        </w:tabs>
        <w:autoSpaceDE w:val="0"/>
        <w:autoSpaceDN w:val="0"/>
        <w:adjustRightInd w:val="0"/>
        <w:spacing w:before="120" w:after="120" w:line="276" w:lineRule="auto"/>
        <w:jc w:val="both"/>
        <w:rPr>
          <w:bCs/>
        </w:rPr>
      </w:pPr>
      <w:r w:rsidRPr="001E71A8">
        <w:rPr>
          <w:bCs/>
        </w:rPr>
        <w:t>Încasările din</w:t>
      </w:r>
      <w:r w:rsidRPr="001E71A8">
        <w:rPr>
          <w:b/>
          <w:bCs/>
        </w:rPr>
        <w:t xml:space="preserve"> alte impozite pe venit, profit și câștiguri din capital </w:t>
      </w:r>
      <w:r w:rsidR="001E71A8" w:rsidRPr="001E71A8">
        <w:rPr>
          <w:bCs/>
        </w:rPr>
        <w:t>în valoare de 5,75 miliarde lei, au înregistrat în perioada analizată o creștere de 4,9% față de aceeași perioadă a anului anterior, pe seama încasărilor din impozitul pe veniturile microîntreprinderilor. Gradul de realizare al programului anual este de 96,5%(-0,21 miliarde lei).</w:t>
      </w:r>
    </w:p>
    <w:p w14:paraId="0EC78F99" w14:textId="405F7225" w:rsidR="001E71A8" w:rsidRPr="001E71A8" w:rsidRDefault="001E71A8" w:rsidP="001E71A8">
      <w:pPr>
        <w:tabs>
          <w:tab w:val="left" w:pos="284"/>
        </w:tabs>
        <w:autoSpaceDE w:val="0"/>
        <w:autoSpaceDN w:val="0"/>
        <w:adjustRightInd w:val="0"/>
        <w:spacing w:before="120" w:after="120" w:line="276" w:lineRule="auto"/>
        <w:jc w:val="both"/>
        <w:rPr>
          <w:bCs/>
        </w:rPr>
      </w:pPr>
      <w:r w:rsidRPr="001E71A8">
        <w:rPr>
          <w:bCs/>
        </w:rPr>
        <w:t xml:space="preserve">În structură, încasările din impozitul pe venitul microîntreprinderilor de 3,5 miliarde lei, înregistrează o creștere față de perioada similară a anului 2023 de 10,9% (+0,3 miliarde lei), pe fondul modificării legislative aprobate prin Legea nr. 296/2023, de instituire a cotelor diferențiate de impozitare pe veniturile microîntreprinderilor de 1% pentru microîntreprinderile care realizează venituri ce nu depășesc 60.000 euro inclusiv și 3% pentru microîntreprinderile care realizează venituri de peste 60.000 euro sau desfășoară anumite activități. </w:t>
      </w:r>
    </w:p>
    <w:p w14:paraId="7973F0EA" w14:textId="2A2E04E8" w:rsidR="003C0279" w:rsidRPr="003C0279" w:rsidRDefault="003C0279" w:rsidP="003C0279">
      <w:pPr>
        <w:shd w:val="clear" w:color="auto" w:fill="FFFFFF"/>
        <w:tabs>
          <w:tab w:val="left" w:pos="720"/>
        </w:tabs>
        <w:spacing w:after="120" w:line="276" w:lineRule="auto"/>
        <w:jc w:val="both"/>
        <w:rPr>
          <w:bCs/>
          <w:noProof/>
        </w:rPr>
      </w:pPr>
      <w:r w:rsidRPr="003C0279">
        <w:rPr>
          <w:bCs/>
          <w:noProof/>
        </w:rPr>
        <w:t xml:space="preserve">Încasările din </w:t>
      </w:r>
      <w:r w:rsidRPr="003C0279">
        <w:rPr>
          <w:b/>
          <w:bCs/>
          <w:noProof/>
        </w:rPr>
        <w:t>impozitul pe venit</w:t>
      </w:r>
      <w:r w:rsidRPr="003C0279">
        <w:rPr>
          <w:bCs/>
          <w:noProof/>
        </w:rPr>
        <w:t xml:space="preserve"> în anul 2024 au totalizat </w:t>
      </w:r>
      <w:r>
        <w:rPr>
          <w:bCs/>
          <w:noProof/>
        </w:rPr>
        <w:t>49,04</w:t>
      </w:r>
      <w:r w:rsidRPr="003C0279">
        <w:rPr>
          <w:bCs/>
          <w:noProof/>
        </w:rPr>
        <w:t xml:space="preserve"> miliarde lei, în creștere cu 21,</w:t>
      </w:r>
      <w:r>
        <w:rPr>
          <w:bCs/>
          <w:noProof/>
        </w:rPr>
        <w:t>4</w:t>
      </w:r>
      <w:r w:rsidRPr="003C0279">
        <w:rPr>
          <w:bCs/>
          <w:noProof/>
        </w:rPr>
        <w:t xml:space="preserve">% comparativ cu </w:t>
      </w:r>
      <w:r w:rsidR="00855135">
        <w:rPr>
          <w:bCs/>
          <w:noProof/>
        </w:rPr>
        <w:t>anul</w:t>
      </w:r>
      <w:r w:rsidRPr="003C0279">
        <w:rPr>
          <w:bCs/>
          <w:noProof/>
        </w:rPr>
        <w:t xml:space="preserve"> precedent, cu un gradul de realizare de 97,8% (-1,1</w:t>
      </w:r>
      <w:r w:rsidR="0063184B">
        <w:rPr>
          <w:bCs/>
          <w:noProof/>
        </w:rPr>
        <w:t>3</w:t>
      </w:r>
      <w:r w:rsidRPr="003C0279">
        <w:rPr>
          <w:bCs/>
          <w:noProof/>
        </w:rPr>
        <w:t xml:space="preserve"> miliarde lei) față de programul stabilit.</w:t>
      </w:r>
    </w:p>
    <w:p w14:paraId="23A176D9" w14:textId="2AFB9409" w:rsidR="003C0279" w:rsidRPr="003C0279" w:rsidRDefault="003C0279" w:rsidP="003C0279">
      <w:pPr>
        <w:shd w:val="clear" w:color="auto" w:fill="FFFFFF"/>
        <w:tabs>
          <w:tab w:val="left" w:pos="720"/>
        </w:tabs>
        <w:spacing w:after="120" w:line="276" w:lineRule="auto"/>
        <w:jc w:val="both"/>
        <w:rPr>
          <w:bCs/>
          <w:noProof/>
        </w:rPr>
      </w:pPr>
      <w:r w:rsidRPr="003C0279">
        <w:rPr>
          <w:bCs/>
          <w:noProof/>
        </w:rPr>
        <w:t>În structură, încasările din impozitul pe venitul din salarii care dețin o pondere de aproximativ 62,3% din această categorie înregistrează față de aceeași perioadă a anului 2023 o dinamică de 20,0%, peste evoluția fondului brut de salarii de 16,8%</w:t>
      </w:r>
      <w:r w:rsidRPr="003C0279">
        <w:rPr>
          <w:bCs/>
          <w:noProof/>
          <w:vertAlign w:val="superscript"/>
        </w:rPr>
        <w:footnoteReference w:id="4"/>
      </w:r>
      <w:r w:rsidRPr="003C0279">
        <w:rPr>
          <w:bCs/>
          <w:noProof/>
        </w:rPr>
        <w:t xml:space="preserve">. Evoluția pozitivă a încasărilor din impozitul pe venitul din salarii a fost influențată pozitiv de modificarea reglementărilor privind facilitățile fiscale acordate salariaților din sectorul construcții, agricol, industria </w:t>
      </w:r>
      <w:r w:rsidRPr="003C0279">
        <w:rPr>
          <w:bCs/>
          <w:noProof/>
        </w:rPr>
        <w:lastRenderedPageBreak/>
        <w:t>alimentară și a activităților de creare de programe pentru calculator (O.U.G. nr. 93/2023</w:t>
      </w:r>
      <w:r w:rsidRPr="003C0279">
        <w:rPr>
          <w:bCs/>
          <w:noProof/>
          <w:vertAlign w:val="superscript"/>
        </w:rPr>
        <w:footnoteReference w:id="5"/>
      </w:r>
      <w:r w:rsidRPr="003C0279">
        <w:rPr>
          <w:bCs/>
          <w:noProof/>
        </w:rPr>
        <w:t xml:space="preserve"> și Legea nr. 296/2023</w:t>
      </w:r>
      <w:r w:rsidRPr="003C0279">
        <w:rPr>
          <w:bCs/>
          <w:noProof/>
          <w:vertAlign w:val="superscript"/>
        </w:rPr>
        <w:footnoteReference w:id="6"/>
      </w:r>
      <w:r w:rsidRPr="003C0279">
        <w:rPr>
          <w:bCs/>
          <w:noProof/>
        </w:rPr>
        <w:t>), precum și de majo</w:t>
      </w:r>
      <w:r w:rsidR="00A36D7D">
        <w:rPr>
          <w:bCs/>
          <w:noProof/>
        </w:rPr>
        <w:t>r</w:t>
      </w:r>
      <w:r w:rsidRPr="003C0279">
        <w:rPr>
          <w:bCs/>
          <w:noProof/>
        </w:rPr>
        <w:t>area salariului minim brut pe țară garantat în plată (H.G 900/2023</w:t>
      </w:r>
      <w:r w:rsidRPr="003C0279">
        <w:rPr>
          <w:bCs/>
          <w:noProof/>
          <w:vertAlign w:val="superscript"/>
        </w:rPr>
        <w:footnoteReference w:id="7"/>
      </w:r>
      <w:r w:rsidRPr="003C0279">
        <w:rPr>
          <w:bCs/>
          <w:noProof/>
        </w:rPr>
        <w:t xml:space="preserve"> și H.G. nr. 598/2024</w:t>
      </w:r>
      <w:r w:rsidRPr="003C0279">
        <w:rPr>
          <w:bCs/>
          <w:noProof/>
          <w:vertAlign w:val="superscript"/>
        </w:rPr>
        <w:footnoteReference w:id="8"/>
      </w:r>
      <w:r w:rsidRPr="003C0279">
        <w:rPr>
          <w:bCs/>
          <w:noProof/>
        </w:rPr>
        <w:t>) și majorarea salariului minim brut pe ţară garantat în plată pentru sectoarele construcţii, agricol şi industria alimentară ( O.U.G. nr. 93/2023</w:t>
      </w:r>
      <w:r w:rsidRPr="003C0279">
        <w:rPr>
          <w:bCs/>
          <w:noProof/>
          <w:vertAlign w:val="superscript"/>
        </w:rPr>
        <w:footnoteReference w:id="9"/>
      </w:r>
      <w:r w:rsidRPr="003C0279">
        <w:rPr>
          <w:bCs/>
          <w:noProof/>
        </w:rPr>
        <w:t xml:space="preserve">). </w:t>
      </w:r>
    </w:p>
    <w:p w14:paraId="6A5793BF" w14:textId="77777777" w:rsidR="003C0279" w:rsidRPr="003C0279" w:rsidRDefault="003C0279" w:rsidP="003C0279">
      <w:pPr>
        <w:shd w:val="clear" w:color="auto" w:fill="FFFFFF"/>
        <w:tabs>
          <w:tab w:val="left" w:pos="720"/>
        </w:tabs>
        <w:spacing w:after="120" w:line="276" w:lineRule="auto"/>
        <w:jc w:val="both"/>
        <w:rPr>
          <w:bCs/>
          <w:noProof/>
        </w:rPr>
      </w:pPr>
      <w:r w:rsidRPr="003C0279">
        <w:rPr>
          <w:bCs/>
          <w:noProof/>
        </w:rPr>
        <w:t>O evoluție pozitivă a veniturilor din această sursă a fost susținută în special de sporul încasărilor din impozitul pe veniturile din pensii (+60,3%, creștere în care este inclusă majorarea valorii punctului de pensie cu 13,8%</w:t>
      </w:r>
      <w:r w:rsidRPr="003C0279">
        <w:rPr>
          <w:bCs/>
          <w:noProof/>
          <w:vertAlign w:val="superscript"/>
        </w:rPr>
        <w:footnoteReference w:id="10"/>
      </w:r>
      <w:r w:rsidRPr="003C0279">
        <w:rPr>
          <w:bCs/>
          <w:noProof/>
        </w:rPr>
        <w:t>, recalcularea pensiilor din sistemul public conform Legii 360/2023 precum și majorarea plafonului neimpozabil de la 2000 lei la 3000 lei), din impozitul pe veniturile din dobânzi (+60,7%) și din jocuri de noroc (+32,1%).</w:t>
      </w:r>
    </w:p>
    <w:p w14:paraId="7722E87C" w14:textId="50182B5E" w:rsidR="00500E21" w:rsidRPr="001E71A8" w:rsidRDefault="00500E21" w:rsidP="00500E21">
      <w:pPr>
        <w:shd w:val="clear" w:color="auto" w:fill="FFFFFF"/>
        <w:tabs>
          <w:tab w:val="left" w:pos="720"/>
        </w:tabs>
        <w:spacing w:after="120" w:line="276" w:lineRule="auto"/>
        <w:jc w:val="both"/>
        <w:rPr>
          <w:color w:val="FF0000"/>
          <w:kern w:val="1"/>
        </w:rPr>
      </w:pPr>
      <w:r w:rsidRPr="00C53F10">
        <w:t xml:space="preserve">Încasările din </w:t>
      </w:r>
      <w:r w:rsidRPr="00C53F10">
        <w:rPr>
          <w:b/>
          <w:bCs/>
        </w:rPr>
        <w:t xml:space="preserve">impozitele și taxele pe proprietate </w:t>
      </w:r>
      <w:r w:rsidRPr="00C53F10">
        <w:rPr>
          <w:bCs/>
        </w:rPr>
        <w:t xml:space="preserve">au fost superioare </w:t>
      </w:r>
      <w:r w:rsidRPr="00C53F10">
        <w:t xml:space="preserve">cu </w:t>
      </w:r>
      <w:r w:rsidR="003C0279">
        <w:t>14,4</w:t>
      </w:r>
      <w:r w:rsidRPr="00C53F10">
        <w:t>%(+</w:t>
      </w:r>
      <w:r w:rsidR="003C0279">
        <w:t>1,04</w:t>
      </w:r>
      <w:r w:rsidRPr="00C53F10">
        <w:t xml:space="preserve"> miliarde lei) comparativ cu anul 202</w:t>
      </w:r>
      <w:r w:rsidR="001E71A8">
        <w:t>3</w:t>
      </w:r>
      <w:r w:rsidRPr="00C53F10">
        <w:t xml:space="preserve">, gradul de realizare al programului fiind de </w:t>
      </w:r>
      <w:r w:rsidR="001E71A8">
        <w:t>99,0</w:t>
      </w:r>
      <w:r w:rsidRPr="00C53F10">
        <w:t>%</w:t>
      </w:r>
      <w:r w:rsidRPr="00C53F10">
        <w:rPr>
          <w:kern w:val="1"/>
        </w:rPr>
        <w:t xml:space="preserve">. </w:t>
      </w:r>
    </w:p>
    <w:p w14:paraId="2A389383" w14:textId="1E87E692" w:rsidR="001E71A8" w:rsidRPr="001E71A8" w:rsidRDefault="001E71A8" w:rsidP="001E71A8">
      <w:pPr>
        <w:tabs>
          <w:tab w:val="left" w:pos="284"/>
        </w:tabs>
        <w:autoSpaceDE w:val="0"/>
        <w:autoSpaceDN w:val="0"/>
        <w:adjustRightInd w:val="0"/>
        <w:spacing w:before="120" w:after="120" w:line="276" w:lineRule="auto"/>
        <w:jc w:val="both"/>
        <w:rPr>
          <w:bCs/>
          <w:noProof/>
        </w:rPr>
      </w:pPr>
      <w:r w:rsidRPr="001E71A8">
        <w:rPr>
          <w:bCs/>
          <w:noProof/>
        </w:rPr>
        <w:t xml:space="preserve">Încasările din </w:t>
      </w:r>
      <w:r w:rsidRPr="001E71A8">
        <w:rPr>
          <w:b/>
          <w:bCs/>
          <w:noProof/>
        </w:rPr>
        <w:t>taxa pa valoarea adăugată</w:t>
      </w:r>
      <w:r w:rsidRPr="001E71A8">
        <w:rPr>
          <w:bCs/>
          <w:noProof/>
        </w:rPr>
        <w:t xml:space="preserve"> au înregistrat 120,9</w:t>
      </w:r>
      <w:r>
        <w:rPr>
          <w:bCs/>
          <w:noProof/>
        </w:rPr>
        <w:t>5</w:t>
      </w:r>
      <w:r w:rsidRPr="001E71A8">
        <w:rPr>
          <w:bCs/>
          <w:noProof/>
        </w:rPr>
        <w:t xml:space="preserve"> miliarde lei în anul 2024, în creștere cu 15,9% față de nivelul înregistrat în anul 2023, susținută și de modificările fiscal</w:t>
      </w:r>
      <w:r w:rsidR="00855135">
        <w:rPr>
          <w:bCs/>
          <w:noProof/>
        </w:rPr>
        <w:t>e aduse prin Legea nr.296/2023.</w:t>
      </w:r>
    </w:p>
    <w:p w14:paraId="577FC9ED" w14:textId="40B8CA92" w:rsidR="001E71A8" w:rsidRPr="001E71A8" w:rsidRDefault="001E71A8" w:rsidP="001E71A8">
      <w:pPr>
        <w:tabs>
          <w:tab w:val="left" w:pos="284"/>
        </w:tabs>
        <w:autoSpaceDE w:val="0"/>
        <w:autoSpaceDN w:val="0"/>
        <w:adjustRightInd w:val="0"/>
        <w:spacing w:before="120" w:after="120" w:line="276" w:lineRule="auto"/>
        <w:jc w:val="both"/>
        <w:rPr>
          <w:bCs/>
          <w:noProof/>
        </w:rPr>
      </w:pPr>
      <w:r w:rsidRPr="001E71A8">
        <w:rPr>
          <w:bCs/>
          <w:noProof/>
        </w:rPr>
        <w:t>În raport cu programul anual, veniturile din această sursă înregistrează un grad de realizare de 99,6% (-0,5</w:t>
      </w:r>
      <w:r w:rsidR="007109DB">
        <w:rPr>
          <w:bCs/>
          <w:noProof/>
        </w:rPr>
        <w:t>4</w:t>
      </w:r>
      <w:r w:rsidRPr="001E71A8">
        <w:rPr>
          <w:bCs/>
          <w:noProof/>
        </w:rPr>
        <w:t xml:space="preserve"> miliarde lei). </w:t>
      </w:r>
    </w:p>
    <w:p w14:paraId="1EEF5D4F" w14:textId="76A96FC6" w:rsidR="00D65315" w:rsidRPr="00D65315" w:rsidRDefault="00D65315" w:rsidP="00D65315">
      <w:pPr>
        <w:tabs>
          <w:tab w:val="left" w:pos="284"/>
        </w:tabs>
        <w:suppressAutoHyphens/>
        <w:autoSpaceDE w:val="0"/>
        <w:autoSpaceDN w:val="0"/>
        <w:adjustRightInd w:val="0"/>
        <w:spacing w:after="120" w:line="276" w:lineRule="auto"/>
        <w:jc w:val="both"/>
        <w:rPr>
          <w:bCs/>
          <w:noProof/>
        </w:rPr>
      </w:pPr>
      <w:r w:rsidRPr="00D65315">
        <w:rPr>
          <w:bCs/>
          <w:noProof/>
        </w:rPr>
        <w:t>În structură, TVA încasată</w:t>
      </w:r>
      <w:r w:rsidRPr="00D65315">
        <w:rPr>
          <w:bCs/>
          <w:noProof/>
          <w:vertAlign w:val="superscript"/>
        </w:rPr>
        <w:footnoteReference w:id="11"/>
      </w:r>
      <w:r w:rsidRPr="00D65315">
        <w:rPr>
          <w:bCs/>
          <w:noProof/>
        </w:rPr>
        <w:t xml:space="preserve"> s-a majorat cu 12,4% (+16,6 miliarde lei) față de anul 2023</w:t>
      </w:r>
      <w:r w:rsidRPr="00D65315">
        <w:rPr>
          <w:bCs/>
          <w:noProof/>
          <w:vertAlign w:val="superscript"/>
        </w:rPr>
        <w:footnoteReference w:id="12"/>
      </w:r>
      <w:r w:rsidRPr="00D65315">
        <w:rPr>
          <w:bCs/>
          <w:noProof/>
          <w:vertAlign w:val="superscript"/>
        </w:rPr>
        <w:t>,</w:t>
      </w:r>
      <w:r w:rsidRPr="00D65315">
        <w:rPr>
          <w:bCs/>
          <w:noProof/>
        </w:rPr>
        <w:t xml:space="preserve"> iar valoarea restituirilor de taxă pe valoare</w:t>
      </w:r>
      <w:r w:rsidR="00A36D7D">
        <w:rPr>
          <w:bCs/>
          <w:noProof/>
        </w:rPr>
        <w:t>a</w:t>
      </w:r>
      <w:r w:rsidRPr="00D65315">
        <w:rPr>
          <w:bCs/>
          <w:noProof/>
        </w:rPr>
        <w:t xml:space="preserve"> adăugată s-au diminuat cu 0,3% (-0,1 miliarde lei). Media anuală a TVA restituită a fost de 2,5 miliarde lei, similară cu media  înregistrată în aceeași perioada a anului precedent.</w:t>
      </w:r>
    </w:p>
    <w:p w14:paraId="5FDB64C8" w14:textId="77777777" w:rsidR="00D65315" w:rsidRPr="00D65315" w:rsidRDefault="00D65315" w:rsidP="00D65315">
      <w:pPr>
        <w:tabs>
          <w:tab w:val="left" w:pos="284"/>
        </w:tabs>
        <w:suppressAutoHyphens/>
        <w:autoSpaceDE w:val="0"/>
        <w:autoSpaceDN w:val="0"/>
        <w:adjustRightInd w:val="0"/>
        <w:spacing w:after="120" w:line="276" w:lineRule="auto"/>
        <w:jc w:val="both"/>
        <w:rPr>
          <w:bCs/>
          <w:noProof/>
          <w:lang w:val="en-US"/>
        </w:rPr>
      </w:pPr>
      <w:r w:rsidRPr="00D65315">
        <w:rPr>
          <w:bCs/>
          <w:noProof/>
        </w:rPr>
        <w:t>Evoluția volumului cifrei de afaceri din comerțul cu amănuntul</w:t>
      </w:r>
      <w:r w:rsidRPr="00D65315">
        <w:rPr>
          <w:bCs/>
          <w:noProof/>
          <w:vertAlign w:val="superscript"/>
        </w:rPr>
        <w:footnoteReference w:id="13"/>
      </w:r>
      <w:r w:rsidRPr="00D65315">
        <w:rPr>
          <w:bCs/>
          <w:noProof/>
          <w:vertAlign w:val="superscript"/>
        </w:rPr>
        <w:t xml:space="preserve"> </w:t>
      </w:r>
      <w:r w:rsidRPr="00D65315">
        <w:rPr>
          <w:bCs/>
          <w:noProof/>
        </w:rPr>
        <w:t xml:space="preserve">(cu excepția comerțului cu autovehicule și motociclete), serie brută, în anul 2024, comparativ cu anul 2023, a înregistrat o creștere pe ansamblu, cu 8,6%, datorită creşterii vânzărilor de produse nealimentare (+14,8%) şi a vânzărilor de produse alimentare, băuturi şi tutun (+3,8%). Comerţul cu amănuntul al carburanţilor pentru autovehicule în magazine specializate a crescut cu 3,6%. Valoarea schimburilor extra comunitare de bunuri </w:t>
      </w:r>
      <w:r w:rsidRPr="00D65315">
        <w:rPr>
          <w:bCs/>
          <w:noProof/>
          <w:vertAlign w:val="superscript"/>
        </w:rPr>
        <w:footnoteReference w:id="14"/>
      </w:r>
      <w:r w:rsidRPr="00D65315">
        <w:rPr>
          <w:bCs/>
          <w:noProof/>
          <w:vertAlign w:val="superscript"/>
        </w:rPr>
        <w:t xml:space="preserve"> </w:t>
      </w:r>
      <w:r w:rsidRPr="00D65315">
        <w:rPr>
          <w:bCs/>
          <w:noProof/>
        </w:rPr>
        <w:t>(Extra-UE27) a crescut cu 8,8% la importuri și cu 2,4% la exporturi (la valori exprimate în lei) în anul 2024 comparativ cu anul precedent.</w:t>
      </w:r>
      <w:r w:rsidRPr="00D65315">
        <w:rPr>
          <w:bCs/>
          <w:noProof/>
          <w:lang w:val="en-US"/>
        </w:rPr>
        <w:t xml:space="preserve"> </w:t>
      </w:r>
    </w:p>
    <w:p w14:paraId="157B2455" w14:textId="5D31EBF3" w:rsidR="001E71A8" w:rsidRDefault="001E71A8" w:rsidP="001E71A8">
      <w:pPr>
        <w:tabs>
          <w:tab w:val="left" w:pos="284"/>
        </w:tabs>
        <w:suppressAutoHyphens/>
        <w:autoSpaceDE w:val="0"/>
        <w:autoSpaceDN w:val="0"/>
        <w:adjustRightInd w:val="0"/>
        <w:spacing w:after="120" w:line="276" w:lineRule="auto"/>
        <w:jc w:val="both"/>
      </w:pPr>
      <w:r>
        <w:t xml:space="preserve">Veniturile din </w:t>
      </w:r>
      <w:r w:rsidRPr="001E71A8">
        <w:rPr>
          <w:b/>
        </w:rPr>
        <w:t>accize</w:t>
      </w:r>
      <w:r>
        <w:t xml:space="preserve"> au însumat 46,33 miliarde lei, în creștere cu 24,3% (+9,07 miliarde lei), comparativ cu anul precedent, influențată de creșterea încasărilor la accizele pentru produsele energetice +27,0% (+4,8 miliarde lei, pe fondul unui nivel majorat al accizei la </w:t>
      </w:r>
      <w:r>
        <w:lastRenderedPageBreak/>
        <w:t>motorină cu 33,8% iar la benzină fără plumb cu 34,2% de la 1 iulie 2024) și la accizele pentru produsele din tutun de +19,2%</w:t>
      </w:r>
      <w:r w:rsidR="00A36D7D">
        <w:t xml:space="preserve"> </w:t>
      </w:r>
      <w:r>
        <w:t>(+3,4 miliarde lei, pe fondul unui nivel majorat al accizei la țigarete de 8%). De asemenea, începând cu 1 ianuarie 2024 au fost introduse în sfera accizelor nearmonizate, băuturile nealcoolice cu zahăr adăugat/conținut de zahar între 5-8 g/100 ml 0,4 lei/litru și peste 8g/100 ml 0,6 lei/litru.</w:t>
      </w:r>
    </w:p>
    <w:p w14:paraId="789C9891" w14:textId="7D5E7470" w:rsidR="001E71A8" w:rsidRDefault="001E71A8" w:rsidP="001E71A8">
      <w:pPr>
        <w:tabs>
          <w:tab w:val="left" w:pos="284"/>
        </w:tabs>
        <w:suppressAutoHyphens/>
        <w:autoSpaceDE w:val="0"/>
        <w:autoSpaceDN w:val="0"/>
        <w:adjustRightInd w:val="0"/>
        <w:spacing w:after="120" w:line="276" w:lineRule="auto"/>
        <w:jc w:val="both"/>
      </w:pPr>
      <w:r>
        <w:t>Gradul de realizare față de programul stabilit pentru această perioadă este de 107,1% (+3,</w:t>
      </w:r>
      <w:r w:rsidR="00FF1A3F">
        <w:t>06</w:t>
      </w:r>
      <w:r>
        <w:t xml:space="preserve"> miliarde lei). Încasările lunare din accize prezintă în general o volatilitate mai ridicată, determinată de politica operatorilor economici de antrepozitare fiscală a produselor accizabile.</w:t>
      </w:r>
    </w:p>
    <w:p w14:paraId="1638F395" w14:textId="2968F46F" w:rsidR="00181475" w:rsidRPr="00181475" w:rsidRDefault="00500E21" w:rsidP="00181475">
      <w:pPr>
        <w:tabs>
          <w:tab w:val="left" w:pos="284"/>
        </w:tabs>
        <w:suppressAutoHyphens/>
        <w:autoSpaceDE w:val="0"/>
        <w:autoSpaceDN w:val="0"/>
        <w:adjustRightInd w:val="0"/>
        <w:spacing w:after="120" w:line="276" w:lineRule="auto"/>
        <w:jc w:val="both"/>
        <w:rPr>
          <w:bCs/>
          <w:lang w:val="en-US"/>
        </w:rPr>
      </w:pPr>
      <w:r w:rsidRPr="00181475">
        <w:t xml:space="preserve">Încasările din </w:t>
      </w:r>
      <w:r w:rsidRPr="00181475">
        <w:rPr>
          <w:b/>
        </w:rPr>
        <w:t>alte impozite și taxe generale pe bunuri și servicii</w:t>
      </w:r>
      <w:r w:rsidRPr="00181475">
        <w:t xml:space="preserve"> au totalizat </w:t>
      </w:r>
      <w:r w:rsidR="002D4BD9" w:rsidRPr="00181475">
        <w:t>13,41</w:t>
      </w:r>
      <w:r w:rsidRPr="00181475">
        <w:t xml:space="preserve"> </w:t>
      </w:r>
      <w:r w:rsidRPr="00C53F10">
        <w:t xml:space="preserve">miliarde lei </w:t>
      </w:r>
      <w:r w:rsidRPr="00C53F10">
        <w:rPr>
          <w:bCs/>
        </w:rPr>
        <w:t xml:space="preserve">înregistrând o scădere în perioada analizată de </w:t>
      </w:r>
      <w:r w:rsidR="002D4BD9">
        <w:rPr>
          <w:bCs/>
        </w:rPr>
        <w:t>21,5</w:t>
      </w:r>
      <w:r w:rsidRPr="00C53F10">
        <w:rPr>
          <w:bCs/>
        </w:rPr>
        <w:t>%(</w:t>
      </w:r>
      <w:r w:rsidR="002D4BD9">
        <w:rPr>
          <w:bCs/>
        </w:rPr>
        <w:t>3,68</w:t>
      </w:r>
      <w:r w:rsidRPr="00C53F10">
        <w:rPr>
          <w:bCs/>
        </w:rPr>
        <w:t xml:space="preserve"> miliarde lei) față de </w:t>
      </w:r>
      <w:r w:rsidR="00FF1A3F">
        <w:rPr>
          <w:bCs/>
        </w:rPr>
        <w:t>anul</w:t>
      </w:r>
      <w:r w:rsidRPr="00C53F10">
        <w:rPr>
          <w:bCs/>
        </w:rPr>
        <w:t xml:space="preserve"> 202</w:t>
      </w:r>
      <w:r w:rsidR="002D4BD9">
        <w:rPr>
          <w:bCs/>
        </w:rPr>
        <w:t>3</w:t>
      </w:r>
      <w:r w:rsidRPr="00C53F10">
        <w:rPr>
          <w:bCs/>
        </w:rPr>
        <w:t xml:space="preserve">, pe seama evoluției încasărilor la bugetul de stat pe fondul </w:t>
      </w:r>
      <w:r w:rsidR="002D4BD9">
        <w:rPr>
          <w:bCs/>
        </w:rPr>
        <w:t>diminuarii v</w:t>
      </w:r>
      <w:r w:rsidR="002D4BD9" w:rsidRPr="002D4BD9">
        <w:rPr>
          <w:bCs/>
          <w:lang w:val="en-US"/>
        </w:rPr>
        <w:t>enituri</w:t>
      </w:r>
      <w:r w:rsidR="002D4BD9">
        <w:rPr>
          <w:bCs/>
          <w:lang w:val="en-US"/>
        </w:rPr>
        <w:t>lor</w:t>
      </w:r>
      <w:r w:rsidR="002D4BD9" w:rsidRPr="002D4BD9">
        <w:rPr>
          <w:bCs/>
          <w:lang w:val="en-US"/>
        </w:rPr>
        <w:t xml:space="preserve"> din contributia la Fondul de</w:t>
      </w:r>
      <w:r w:rsidR="002D4BD9">
        <w:rPr>
          <w:bCs/>
          <w:lang w:val="en-US"/>
        </w:rPr>
        <w:t xml:space="preserve"> </w:t>
      </w:r>
      <w:r w:rsidR="00A36D7D" w:rsidRPr="002D4BD9">
        <w:rPr>
          <w:bCs/>
          <w:lang w:val="en-US"/>
        </w:rPr>
        <w:t>Tranzi</w:t>
      </w:r>
      <w:r w:rsidR="00A36D7D">
        <w:rPr>
          <w:bCs/>
          <w:lang w:val="en-US"/>
        </w:rPr>
        <w:t>ț</w:t>
      </w:r>
      <w:r w:rsidR="00A36D7D" w:rsidRPr="002D4BD9">
        <w:rPr>
          <w:bCs/>
          <w:lang w:val="en-US"/>
        </w:rPr>
        <w:t>ie Energetic</w:t>
      </w:r>
      <w:r w:rsidR="00A36D7D">
        <w:rPr>
          <w:bCs/>
          <w:lang w:val="en-US"/>
        </w:rPr>
        <w:t>ă</w:t>
      </w:r>
      <w:r w:rsidR="002D4BD9">
        <w:rPr>
          <w:bCs/>
          <w:lang w:val="en-US"/>
        </w:rPr>
        <w:t>(-5,21 miliarde lei)</w:t>
      </w:r>
      <w:r w:rsidR="00181475">
        <w:rPr>
          <w:bCs/>
          <w:lang w:val="en-US"/>
        </w:rPr>
        <w:t>. Încasările la bugetul d</w:t>
      </w:r>
      <w:r w:rsidR="00FF1A3F">
        <w:rPr>
          <w:bCs/>
          <w:lang w:val="en-US"/>
        </w:rPr>
        <w:t>e</w:t>
      </w:r>
      <w:r w:rsidR="00181475">
        <w:rPr>
          <w:bCs/>
          <w:lang w:val="en-US"/>
        </w:rPr>
        <w:t xml:space="preserve"> </w:t>
      </w:r>
      <w:r w:rsidR="00FF1A3F">
        <w:rPr>
          <w:bCs/>
          <w:lang w:val="en-US"/>
        </w:rPr>
        <w:t>stat</w:t>
      </w:r>
      <w:r w:rsidR="00181475">
        <w:rPr>
          <w:bCs/>
          <w:lang w:val="en-US"/>
        </w:rPr>
        <w:t xml:space="preserve"> au fost influențate pozitiv de </w:t>
      </w:r>
      <w:r w:rsidR="00181475" w:rsidRPr="00181475">
        <w:rPr>
          <w:bCs/>
          <w:lang w:val="en-US"/>
        </w:rPr>
        <w:t>instituir</w:t>
      </w:r>
      <w:r w:rsidR="00181475">
        <w:rPr>
          <w:bCs/>
          <w:lang w:val="en-US"/>
        </w:rPr>
        <w:t>ea</w:t>
      </w:r>
      <w:r w:rsidR="00181475" w:rsidRPr="00181475">
        <w:rPr>
          <w:bCs/>
          <w:lang w:val="en-US"/>
        </w:rPr>
        <w:t xml:space="preserve"> impozitului specific pe cifra de afaceri realizată de instituțiile de credit și a impozitului specific pe cifra de afaceri realizat de operatorii economici din domeniul energiei electrice și a gazelor naturale.</w:t>
      </w:r>
    </w:p>
    <w:p w14:paraId="1C2FFE38" w14:textId="3A75FD3F" w:rsidR="004C23BE" w:rsidRPr="004C23BE" w:rsidRDefault="00500E21" w:rsidP="004C23BE">
      <w:pPr>
        <w:tabs>
          <w:tab w:val="left" w:pos="284"/>
        </w:tabs>
        <w:suppressAutoHyphens/>
        <w:autoSpaceDE w:val="0"/>
        <w:autoSpaceDN w:val="0"/>
        <w:adjustRightInd w:val="0"/>
        <w:spacing w:after="120" w:line="276" w:lineRule="auto"/>
        <w:jc w:val="both"/>
        <w:rPr>
          <w:bCs/>
        </w:rPr>
      </w:pPr>
      <w:r w:rsidRPr="00C53F10">
        <w:rPr>
          <w:bCs/>
        </w:rPr>
        <w:t xml:space="preserve">Gradul de realizare a programului este de </w:t>
      </w:r>
      <w:r w:rsidR="00181475">
        <w:rPr>
          <w:bCs/>
        </w:rPr>
        <w:t>105,2</w:t>
      </w:r>
      <w:r w:rsidRPr="00C53F10">
        <w:rPr>
          <w:bCs/>
        </w:rPr>
        <w:t xml:space="preserve">% </w:t>
      </w:r>
      <w:r w:rsidR="00181475">
        <w:rPr>
          <w:bCs/>
        </w:rPr>
        <w:t>(+0,66</w:t>
      </w:r>
      <w:r w:rsidRPr="00C53F10">
        <w:rPr>
          <w:bCs/>
        </w:rPr>
        <w:t xml:space="preserve"> miliarde lei), </w:t>
      </w:r>
      <w:r w:rsidR="00181475">
        <w:rPr>
          <w:bCs/>
        </w:rPr>
        <w:t xml:space="preserve">această depășire fiind influențată în principal de încasările la bugetul de stat, pe fondul evolutiei </w:t>
      </w:r>
      <w:r w:rsidR="00181475" w:rsidRPr="00181475">
        <w:rPr>
          <w:bCs/>
        </w:rPr>
        <w:t>încasăril</w:t>
      </w:r>
      <w:r w:rsidR="00181475">
        <w:rPr>
          <w:bCs/>
        </w:rPr>
        <w:t>or</w:t>
      </w:r>
      <w:r w:rsidR="00181475" w:rsidRPr="00181475">
        <w:rPr>
          <w:bCs/>
        </w:rPr>
        <w:t xml:space="preserve"> la impozitul pe venitul suplimentar din sectorul gazelor naturale (impozit reglementat prin O.G. nr. 7/2013)</w:t>
      </w:r>
      <w:r w:rsidR="00181475">
        <w:rPr>
          <w:bCs/>
        </w:rPr>
        <w:t xml:space="preserve">, și de încasările la Fondul național unic de asigurări de sănătate </w:t>
      </w:r>
      <w:r w:rsidR="004C23BE">
        <w:rPr>
          <w:bCs/>
        </w:rPr>
        <w:t>ca urmare a evoluției v</w:t>
      </w:r>
      <w:r w:rsidR="004C23BE" w:rsidRPr="004C23BE">
        <w:rPr>
          <w:bCs/>
        </w:rPr>
        <w:t>enituri</w:t>
      </w:r>
      <w:r w:rsidR="004C23BE">
        <w:rPr>
          <w:bCs/>
        </w:rPr>
        <w:t>lor</w:t>
      </w:r>
      <w:r w:rsidR="004C23BE" w:rsidRPr="004C23BE">
        <w:rPr>
          <w:bCs/>
        </w:rPr>
        <w:t xml:space="preserve"> din contribuţia datorată pentru medicamente finanţate din Fondul </w:t>
      </w:r>
      <w:r w:rsidR="00A36D7D">
        <w:rPr>
          <w:bCs/>
        </w:rPr>
        <w:t>n</w:t>
      </w:r>
      <w:r w:rsidR="00A36D7D" w:rsidRPr="004C23BE">
        <w:rPr>
          <w:bCs/>
        </w:rPr>
        <w:t xml:space="preserve">aţional </w:t>
      </w:r>
      <w:r w:rsidR="004C23BE" w:rsidRPr="004C23BE">
        <w:rPr>
          <w:bCs/>
        </w:rPr>
        <w:t>unic de asigurări sociale de sănătate si din bugetul Ministerului Sănătăţii</w:t>
      </w:r>
      <w:r w:rsidR="004C23BE">
        <w:rPr>
          <w:bCs/>
        </w:rPr>
        <w:t xml:space="preserve"> și a </w:t>
      </w:r>
      <w:r w:rsidR="004C23BE" w:rsidRPr="004C23BE">
        <w:rPr>
          <w:rFonts w:ascii="Arial" w:hAnsi="Arial" w:cs="Arial"/>
        </w:rPr>
        <w:t xml:space="preserve"> </w:t>
      </w:r>
      <w:r w:rsidR="004C23BE">
        <w:rPr>
          <w:rFonts w:ascii="Arial" w:hAnsi="Arial" w:cs="Arial"/>
        </w:rPr>
        <w:t>v</w:t>
      </w:r>
      <w:r w:rsidR="004C23BE" w:rsidRPr="004C23BE">
        <w:rPr>
          <w:bCs/>
        </w:rPr>
        <w:t>enituri</w:t>
      </w:r>
      <w:r w:rsidR="004C23BE">
        <w:rPr>
          <w:bCs/>
        </w:rPr>
        <w:t>lor</w:t>
      </w:r>
      <w:r w:rsidR="004C23BE" w:rsidRPr="004C23BE">
        <w:rPr>
          <w:bCs/>
        </w:rPr>
        <w:t xml:space="preserve"> din contribuția datorată pentru volume de medicamente consumate care depășesc volumele stabilite prin contracte</w:t>
      </w:r>
      <w:r w:rsidR="004C23BE">
        <w:rPr>
          <w:bCs/>
        </w:rPr>
        <w:t>.</w:t>
      </w:r>
    </w:p>
    <w:p w14:paraId="679DA0D9" w14:textId="70A73967" w:rsidR="00500E21" w:rsidRPr="00C53F10" w:rsidRDefault="00500E21" w:rsidP="00181475">
      <w:pPr>
        <w:tabs>
          <w:tab w:val="left" w:pos="284"/>
        </w:tabs>
        <w:suppressAutoHyphens/>
        <w:autoSpaceDE w:val="0"/>
        <w:autoSpaceDN w:val="0"/>
        <w:adjustRightInd w:val="0"/>
        <w:spacing w:after="120" w:line="276" w:lineRule="auto"/>
        <w:jc w:val="both"/>
      </w:pPr>
      <w:r w:rsidRPr="00434D21">
        <w:t xml:space="preserve">Încasările din </w:t>
      </w:r>
      <w:r w:rsidRPr="00434D21">
        <w:rPr>
          <w:b/>
          <w:bCs/>
        </w:rPr>
        <w:t>taxele pe utilizarea bunurilor, autorizarea utilizării bunurilor sau pe desfășurarea de activități</w:t>
      </w:r>
      <w:r w:rsidRPr="00434D21">
        <w:t xml:space="preserve"> </w:t>
      </w:r>
      <w:r w:rsidRPr="00C53F10">
        <w:t xml:space="preserve">au totalizat </w:t>
      </w:r>
      <w:r w:rsidR="004C23BE">
        <w:t>8,37</w:t>
      </w:r>
      <w:r w:rsidRPr="00C53F10">
        <w:t xml:space="preserve"> miliarde lei, cu </w:t>
      </w:r>
      <w:r w:rsidR="004C23BE">
        <w:t>19,0</w:t>
      </w:r>
      <w:r w:rsidRPr="00C53F10">
        <w:t>% peste nivelul înregistrat în anul 202</w:t>
      </w:r>
      <w:r w:rsidR="004C23BE">
        <w:t>3</w:t>
      </w:r>
      <w:r w:rsidRPr="00C53F10">
        <w:t xml:space="preserve">. Gradul de realizare al programului anual a fost de </w:t>
      </w:r>
      <w:r w:rsidR="004C23BE">
        <w:t>101,1</w:t>
      </w:r>
      <w:r w:rsidRPr="00C53F10">
        <w:t>%</w:t>
      </w:r>
      <w:r w:rsidR="00434D21">
        <w:t>, fiind determinat în principal de evoluția încasărilor la bugetele locale</w:t>
      </w:r>
      <w:r w:rsidRPr="00C53F10">
        <w:t>.</w:t>
      </w:r>
    </w:p>
    <w:p w14:paraId="17DA73AF" w14:textId="7268C40A" w:rsidR="004C23BE" w:rsidRDefault="00500E21" w:rsidP="004C23BE">
      <w:pPr>
        <w:widowControl w:val="0"/>
        <w:autoSpaceDE w:val="0"/>
        <w:autoSpaceDN w:val="0"/>
        <w:adjustRightInd w:val="0"/>
        <w:spacing w:after="120" w:line="276" w:lineRule="auto"/>
        <w:jc w:val="both"/>
        <w:rPr>
          <w:rFonts w:eastAsia="SimSun"/>
          <w:bCs/>
          <w:color w:val="00000A"/>
          <w:kern w:val="1"/>
          <w:lang w:eastAsia="zh-CN"/>
        </w:rPr>
      </w:pPr>
      <w:r w:rsidRPr="00C53F10">
        <w:rPr>
          <w:rFonts w:eastAsia="SimSun"/>
          <w:bCs/>
          <w:color w:val="00000A"/>
          <w:kern w:val="1"/>
          <w:lang w:eastAsia="zh-CN"/>
        </w:rPr>
        <w:t xml:space="preserve">Evoluția pozitivă a încasărilor comparativ cu anul anterior a fost determinată în principal de dinamica încasărilor la bugetul de stat, </w:t>
      </w:r>
      <w:r w:rsidR="004C23BE" w:rsidRPr="004C23BE">
        <w:rPr>
          <w:rFonts w:eastAsia="SimSun"/>
          <w:bCs/>
          <w:color w:val="00000A"/>
          <w:kern w:val="1"/>
          <w:lang w:eastAsia="zh-CN"/>
        </w:rPr>
        <w:t>cu o creștere de 18,1% (+0,8 miliarde lei) față de aceeași perioadă a anului 2023, ca urmare a evoluției pozitive a încasărilor aferente taxelor pentru jocurile de noroc (</w:t>
      </w:r>
      <w:r w:rsidR="004C23BE">
        <w:rPr>
          <w:rFonts w:eastAsia="SimSun"/>
          <w:bCs/>
          <w:color w:val="00000A"/>
          <w:kern w:val="1"/>
          <w:lang w:eastAsia="zh-CN"/>
        </w:rPr>
        <w:t>+</w:t>
      </w:r>
      <w:r w:rsidR="004C23BE" w:rsidRPr="004C23BE">
        <w:rPr>
          <w:rFonts w:eastAsia="SimSun"/>
          <w:bCs/>
          <w:color w:val="00000A"/>
          <w:kern w:val="1"/>
          <w:lang w:eastAsia="zh-CN"/>
        </w:rPr>
        <w:t>0,8 miliarde lei) și a încasării la termen a taxei de licență pentru utilizarea frecvențelor radio (plata taxei de licență 5G conform H.G. nr. 1139/2022)</w:t>
      </w:r>
      <w:r w:rsidR="004C23BE">
        <w:rPr>
          <w:rFonts w:eastAsia="SimSun"/>
          <w:bCs/>
          <w:color w:val="00000A"/>
          <w:kern w:val="1"/>
          <w:lang w:eastAsia="zh-CN"/>
        </w:rPr>
        <w:t>,</w:t>
      </w:r>
      <w:r w:rsidR="004C23BE" w:rsidRPr="004C23BE">
        <w:rPr>
          <w:rFonts w:eastAsiaTheme="minorHAnsi"/>
          <w:bCs/>
          <w:lang w:eastAsia="en-US"/>
        </w:rPr>
        <w:t xml:space="preserve"> </w:t>
      </w:r>
      <w:r w:rsidR="004C23BE" w:rsidRPr="004C23BE">
        <w:rPr>
          <w:rFonts w:eastAsia="SimSun"/>
          <w:bCs/>
          <w:color w:val="00000A"/>
          <w:kern w:val="1"/>
          <w:lang w:eastAsia="zh-CN"/>
        </w:rPr>
        <w:t>dar și la bugetele locale</w:t>
      </w:r>
      <w:r w:rsidR="00434D21">
        <w:rPr>
          <w:rFonts w:eastAsia="SimSun"/>
          <w:bCs/>
          <w:color w:val="00000A"/>
          <w:kern w:val="1"/>
          <w:lang w:eastAsia="zh-CN"/>
        </w:rPr>
        <w:t>(+16,7%)</w:t>
      </w:r>
      <w:r w:rsidR="004C23BE" w:rsidRPr="004C23BE">
        <w:rPr>
          <w:rFonts w:eastAsia="SimSun"/>
          <w:bCs/>
          <w:color w:val="00000A"/>
          <w:kern w:val="1"/>
          <w:lang w:eastAsia="zh-CN"/>
        </w:rPr>
        <w:t xml:space="preserve">, pe seama evoluției încasărilor din impozitele pe mijloacele de transport. </w:t>
      </w:r>
    </w:p>
    <w:p w14:paraId="30D36B7A" w14:textId="2190B49E" w:rsidR="005D0911" w:rsidRDefault="00500E21" w:rsidP="004C23BE">
      <w:pPr>
        <w:widowControl w:val="0"/>
        <w:autoSpaceDE w:val="0"/>
        <w:autoSpaceDN w:val="0"/>
        <w:adjustRightInd w:val="0"/>
        <w:spacing w:after="120" w:line="276" w:lineRule="auto"/>
        <w:jc w:val="both"/>
        <w:rPr>
          <w:bCs/>
        </w:rPr>
      </w:pPr>
      <w:r w:rsidRPr="00C53F10">
        <w:t xml:space="preserve">Încasările din </w:t>
      </w:r>
      <w:r w:rsidRPr="00C53F10">
        <w:rPr>
          <w:b/>
        </w:rPr>
        <w:t>impozitul pe comerțul exterior şi tranzacțiile internaționale</w:t>
      </w:r>
      <w:r w:rsidRPr="00C53F10">
        <w:t xml:space="preserve"> </w:t>
      </w:r>
      <w:r w:rsidR="005D0911" w:rsidRPr="005D0911">
        <w:rPr>
          <w:bCs/>
        </w:rPr>
        <w:t>în valoare de 1,9</w:t>
      </w:r>
      <w:r w:rsidR="005D0911">
        <w:rPr>
          <w:bCs/>
        </w:rPr>
        <w:t>3</w:t>
      </w:r>
      <w:r w:rsidR="005D0911" w:rsidRPr="005D0911">
        <w:rPr>
          <w:bCs/>
        </w:rPr>
        <w:t xml:space="preserve"> miliarde lei au înregistrat în perioada analizată o creștere cu 12,5% (+0,2</w:t>
      </w:r>
      <w:r w:rsidR="005D0911">
        <w:rPr>
          <w:bCs/>
        </w:rPr>
        <w:t>1</w:t>
      </w:r>
      <w:r w:rsidR="005D0911" w:rsidRPr="005D0911">
        <w:rPr>
          <w:bCs/>
        </w:rPr>
        <w:t xml:space="preserve"> miliarde lei), comparativ cu </w:t>
      </w:r>
      <w:r w:rsidR="00D65315">
        <w:rPr>
          <w:bCs/>
        </w:rPr>
        <w:t>anul</w:t>
      </w:r>
      <w:r w:rsidR="005D0911" w:rsidRPr="005D0911">
        <w:rPr>
          <w:bCs/>
        </w:rPr>
        <w:t xml:space="preserve"> </w:t>
      </w:r>
      <w:r w:rsidR="00D65315">
        <w:rPr>
          <w:bCs/>
        </w:rPr>
        <w:t>anterior</w:t>
      </w:r>
      <w:r w:rsidR="005D0911" w:rsidRPr="005D0911">
        <w:rPr>
          <w:bCs/>
        </w:rPr>
        <w:t>, influențată fiind de creșterea importurilor (Extra-UE27</w:t>
      </w:r>
      <w:r w:rsidR="00D65315" w:rsidRPr="00D65315">
        <w:rPr>
          <w:bCs/>
          <w:vertAlign w:val="superscript"/>
        </w:rPr>
        <w:footnoteReference w:id="15"/>
      </w:r>
      <w:r w:rsidR="005D0911" w:rsidRPr="005D0911">
        <w:rPr>
          <w:bCs/>
        </w:rPr>
        <w:t>) cu 8,8%. Gradul de realizare al acestor venituri este de 105,0% (+0,</w:t>
      </w:r>
      <w:r w:rsidR="00B339BE">
        <w:rPr>
          <w:bCs/>
        </w:rPr>
        <w:t>09</w:t>
      </w:r>
      <w:r w:rsidR="005D0911" w:rsidRPr="005D0911">
        <w:rPr>
          <w:bCs/>
        </w:rPr>
        <w:t xml:space="preserve"> miliarde lei).</w:t>
      </w:r>
    </w:p>
    <w:p w14:paraId="14E6E18A" w14:textId="10EA63A7" w:rsidR="005D0911" w:rsidRDefault="00500E21" w:rsidP="005D0911">
      <w:pPr>
        <w:autoSpaceDE w:val="0"/>
        <w:autoSpaceDN w:val="0"/>
        <w:adjustRightInd w:val="0"/>
        <w:spacing w:after="120" w:line="276" w:lineRule="auto"/>
        <w:jc w:val="both"/>
      </w:pPr>
      <w:r w:rsidRPr="00C53F10">
        <w:rPr>
          <w:b/>
        </w:rPr>
        <w:t>Contribuțiile sociale</w:t>
      </w:r>
      <w:r w:rsidRPr="00C53F10">
        <w:t xml:space="preserve"> încasate în anul 202</w:t>
      </w:r>
      <w:r w:rsidR="005D0911">
        <w:t>4</w:t>
      </w:r>
      <w:r w:rsidRPr="00C53F10">
        <w:t xml:space="preserve"> în sumă de </w:t>
      </w:r>
      <w:r w:rsidR="005D0911">
        <w:t>189,51</w:t>
      </w:r>
      <w:r w:rsidRPr="00C53F10">
        <w:t xml:space="preserve"> miliarde lei, </w:t>
      </w:r>
      <w:r w:rsidR="005D0911">
        <w:t xml:space="preserve">înregistrează, comparativ cu </w:t>
      </w:r>
      <w:r w:rsidR="00B339BE">
        <w:t>anul</w:t>
      </w:r>
      <w:r w:rsidR="005D0911">
        <w:t xml:space="preserve"> precedent, o creștere de 19,4% (+30,85 miliarde lei), superioară </w:t>
      </w:r>
      <w:r w:rsidR="005D0911">
        <w:lastRenderedPageBreak/>
        <w:t xml:space="preserve">evoluției fondului brut de salarii la nivel de economie de </w:t>
      </w:r>
      <w:r w:rsidR="005D0911" w:rsidRPr="005D0911">
        <w:rPr>
          <w:lang w:eastAsia="en-US"/>
        </w:rPr>
        <w:t>16,8%</w:t>
      </w:r>
      <w:r w:rsidR="005D0911" w:rsidRPr="00D90327">
        <w:rPr>
          <w:rStyle w:val="FootnoteReference"/>
          <w:rFonts w:asciiTheme="minorHAnsi" w:hAnsiTheme="minorHAnsi"/>
          <w:lang w:eastAsia="en-US"/>
        </w:rPr>
        <w:footnoteReference w:id="16"/>
      </w:r>
      <w:r w:rsidR="005D0911">
        <w:t>, iar gradul de realizare a programului a fost de 97,2% (-5,54 miliarde lei).</w:t>
      </w:r>
    </w:p>
    <w:p w14:paraId="7DB857EE" w14:textId="77777777" w:rsidR="005D0911" w:rsidRPr="005D0911" w:rsidRDefault="005D0911" w:rsidP="005D0911">
      <w:pPr>
        <w:spacing w:after="120" w:line="276" w:lineRule="auto"/>
        <w:jc w:val="both"/>
        <w:rPr>
          <w:lang w:eastAsia="en-US"/>
        </w:rPr>
      </w:pPr>
      <w:r w:rsidRPr="005D0911">
        <w:rPr>
          <w:lang w:eastAsia="en-US"/>
        </w:rPr>
        <w:t xml:space="preserve">Evoluția încasărilor din contribuții sociale în perioada analizată a fost influențată pozitiv de modificarea reglementărilor privind facilitățile fiscale acordate salariaților din sectorul construcții, agricol, industria alimentară și </w:t>
      </w:r>
      <w:r w:rsidRPr="005D0911">
        <w:rPr>
          <w:rFonts w:eastAsia="SimSun"/>
          <w:bCs/>
          <w:noProof/>
        </w:rPr>
        <w:t xml:space="preserve">plata CASS pentru tichete de masă și vouchere de vacanță </w:t>
      </w:r>
      <w:r w:rsidRPr="005D0911">
        <w:rPr>
          <w:lang w:eastAsia="en-US"/>
        </w:rPr>
        <w:t xml:space="preserve">(Legea nr. 296/2023), </w:t>
      </w:r>
      <w:r w:rsidRPr="005D0911">
        <w:rPr>
          <w:rFonts w:eastAsia="SimSun"/>
          <w:bCs/>
          <w:noProof/>
        </w:rPr>
        <w:t>majoarea salari</w:t>
      </w:r>
      <w:r w:rsidRPr="005D0911">
        <w:rPr>
          <w:bCs/>
          <w:noProof/>
        </w:rPr>
        <w:t xml:space="preserve">ului minim brut pe țară garantat în plată (H.G. nr. 900/2023 și HG nr. 598/2024), </w:t>
      </w:r>
      <w:r w:rsidRPr="005D0911">
        <w:rPr>
          <w:rFonts w:eastAsia="SimSun"/>
          <w:bCs/>
          <w:noProof/>
        </w:rPr>
        <w:t xml:space="preserve">majorarea salariului minim brut pe ţară garantat în plată pentru sectoarele construcţii, agricol şi industria alimentară ( O.U.G. nr. 93/2023, iar negativ de restituirea </w:t>
      </w:r>
      <w:r w:rsidRPr="005D0911">
        <w:rPr>
          <w:lang w:eastAsia="en-US"/>
        </w:rPr>
        <w:t>sumelor reținute cu titlul de CASS din veniturile din pensii (O.U.G. nr.  4/2023</w:t>
      </w:r>
      <w:r w:rsidRPr="005D0911">
        <w:rPr>
          <w:vertAlign w:val="superscript"/>
          <w:lang w:eastAsia="en-US"/>
        </w:rPr>
        <w:footnoteReference w:id="17"/>
      </w:r>
      <w:r w:rsidRPr="005D0911">
        <w:rPr>
          <w:lang w:eastAsia="en-US"/>
        </w:rPr>
        <w:t xml:space="preserve">) și </w:t>
      </w:r>
      <w:r w:rsidRPr="005D0911">
        <w:rPr>
          <w:rFonts w:eastAsia="SimSun"/>
          <w:bCs/>
          <w:noProof/>
        </w:rPr>
        <w:t>din neincluderea</w:t>
      </w:r>
      <w:r w:rsidRPr="005D0911">
        <w:rPr>
          <w:lang w:val="en-GB" w:eastAsia="en-US"/>
        </w:rPr>
        <w:t xml:space="preserve"> în baza lunară de calcul pentru contribuţiile sociale obligatorii a sumei de 200 lei, respectiv de 300 lei de la 1 iulie 2024 (conform </w:t>
      </w:r>
      <w:r w:rsidRPr="005D0911">
        <w:rPr>
          <w:lang w:eastAsia="en-US"/>
        </w:rPr>
        <w:t>O.U.G nr. 59/2024</w:t>
      </w:r>
      <w:r w:rsidRPr="005D0911">
        <w:rPr>
          <w:vertAlign w:val="superscript"/>
          <w:lang w:eastAsia="en-US"/>
        </w:rPr>
        <w:footnoteReference w:id="18"/>
      </w:r>
      <w:r w:rsidRPr="005D0911">
        <w:rPr>
          <w:lang w:eastAsia="en-US"/>
        </w:rPr>
        <w:t>).</w:t>
      </w:r>
    </w:p>
    <w:p w14:paraId="6C29DAF3" w14:textId="77777777" w:rsidR="005D0911" w:rsidRPr="005D0911" w:rsidRDefault="005D0911" w:rsidP="005D0911">
      <w:pPr>
        <w:tabs>
          <w:tab w:val="left" w:pos="284"/>
        </w:tabs>
        <w:suppressAutoHyphens/>
        <w:autoSpaceDE w:val="0"/>
        <w:autoSpaceDN w:val="0"/>
        <w:adjustRightInd w:val="0"/>
        <w:spacing w:after="120" w:line="276" w:lineRule="auto"/>
        <w:jc w:val="both"/>
        <w:rPr>
          <w:kern w:val="1"/>
          <w:lang w:eastAsia="en-US"/>
        </w:rPr>
      </w:pPr>
      <w:r w:rsidRPr="005D0911">
        <w:rPr>
          <w:kern w:val="1"/>
          <w:lang w:eastAsia="en-US"/>
        </w:rPr>
        <w:t xml:space="preserve">Pe bugete, gradul de realizare a programului de încasări, se prezintă astfel: bugetul asigurărilor pentru șomaj (98,3%), bugetul asigurărilor sociale de stat (97,4%), bugetul fondului național unic de asigurări sociale de sănătate (97,4%) și bugetul de stat (94,5%). </w:t>
      </w:r>
    </w:p>
    <w:p w14:paraId="49ED9465" w14:textId="457D4557" w:rsidR="005D0911" w:rsidRPr="005D0911" w:rsidRDefault="005D0911" w:rsidP="005D0911">
      <w:pPr>
        <w:tabs>
          <w:tab w:val="left" w:pos="284"/>
        </w:tabs>
        <w:suppressAutoHyphens/>
        <w:autoSpaceDE w:val="0"/>
        <w:autoSpaceDN w:val="0"/>
        <w:adjustRightInd w:val="0"/>
        <w:spacing w:after="120" w:line="276" w:lineRule="auto"/>
        <w:jc w:val="both"/>
        <w:rPr>
          <w:kern w:val="1"/>
          <w:lang w:eastAsia="en-US"/>
        </w:rPr>
      </w:pPr>
      <w:r w:rsidRPr="005D0911">
        <w:rPr>
          <w:kern w:val="1"/>
          <w:lang w:eastAsia="en-US"/>
        </w:rPr>
        <w:t xml:space="preserve">Comparativ cu </w:t>
      </w:r>
      <w:r w:rsidR="00855135">
        <w:rPr>
          <w:kern w:val="1"/>
          <w:lang w:eastAsia="en-US"/>
        </w:rPr>
        <w:t>anul</w:t>
      </w:r>
      <w:r w:rsidRPr="005D0911">
        <w:rPr>
          <w:kern w:val="1"/>
          <w:lang w:eastAsia="en-US"/>
        </w:rPr>
        <w:t xml:space="preserve"> precedent, evoluția veniturilor din contribuții sociale, pe bugete componente, se prezintă astfel: bugetul Fondului național unic de asigurări sociale de sănătate (+37,7%), bugetul de stat (+24,5%), bugetul asigurărilor sociale de stat (+12,1%), și bugetul asigurărilor pentru șomaj (-27,9%</w:t>
      </w:r>
      <w:r w:rsidRPr="005D0911">
        <w:rPr>
          <w:color w:val="00000A"/>
          <w:kern w:val="1"/>
          <w:lang w:val="en-US" w:eastAsia="en-US"/>
        </w:rPr>
        <w:t>, scădere datorată modificării cotei de distribuire a contribuției asiguratorii pentru muncă la 1% în anul 2024 față de 12% pentru anul 2023</w:t>
      </w:r>
      <w:r w:rsidRPr="005D0911">
        <w:rPr>
          <w:kern w:val="1"/>
          <w:lang w:eastAsia="en-US"/>
        </w:rPr>
        <w:t>).</w:t>
      </w:r>
    </w:p>
    <w:p w14:paraId="6EEFCA7D" w14:textId="58312426" w:rsidR="00500E21" w:rsidRPr="00C53F10" w:rsidRDefault="00500E21" w:rsidP="00500E21">
      <w:pPr>
        <w:spacing w:before="120" w:after="120" w:line="276" w:lineRule="auto"/>
        <w:jc w:val="both"/>
      </w:pPr>
      <w:r w:rsidRPr="00C53F10">
        <w:rPr>
          <w:b/>
        </w:rPr>
        <w:t>Veniturile nefiscale</w:t>
      </w:r>
      <w:r w:rsidRPr="00C53F10">
        <w:t xml:space="preserve"> au fost de </w:t>
      </w:r>
      <w:r w:rsidR="00EC5F6B">
        <w:t>49,</w:t>
      </w:r>
      <w:r w:rsidR="00B339BE">
        <w:t>27</w:t>
      </w:r>
      <w:r w:rsidRPr="00C53F10">
        <w:t xml:space="preserve"> miliarde lei în 202</w:t>
      </w:r>
      <w:r w:rsidR="00EC5F6B">
        <w:t>4</w:t>
      </w:r>
      <w:r w:rsidRPr="00C53F10">
        <w:t xml:space="preserve"> în creștere cu </w:t>
      </w:r>
      <w:r w:rsidR="00EC5F6B">
        <w:t>17,</w:t>
      </w:r>
      <w:r w:rsidR="008E12A3">
        <w:t>7</w:t>
      </w:r>
      <w:r w:rsidRPr="00C53F10">
        <w:t>% față de încasările înregistrate în anul precedent.</w:t>
      </w:r>
    </w:p>
    <w:p w14:paraId="003807D0" w14:textId="60A14C50" w:rsidR="00500E21" w:rsidRPr="00C53F10" w:rsidRDefault="00500E21" w:rsidP="00500E21">
      <w:pPr>
        <w:autoSpaceDE w:val="0"/>
        <w:autoSpaceDN w:val="0"/>
        <w:adjustRightInd w:val="0"/>
        <w:spacing w:before="120" w:after="120" w:line="276" w:lineRule="auto"/>
        <w:jc w:val="both"/>
      </w:pPr>
      <w:r w:rsidRPr="00C53F10">
        <w:t xml:space="preserve">Creșterea încasărilor a fost determinată de evoluția înregistrată </w:t>
      </w:r>
      <w:r w:rsidR="00EC5F6B">
        <w:t>la b</w:t>
      </w:r>
      <w:r w:rsidR="00EC5F6B" w:rsidRPr="00EC5F6B">
        <w:t xml:space="preserve">ugetul institutiilor publice finantate integral sau partial din venituri proprii </w:t>
      </w:r>
      <w:r w:rsidR="00EC5F6B">
        <w:t>unde încasările au crescut cu 41%</w:t>
      </w:r>
      <w:r w:rsidR="009B6DCB">
        <w:t xml:space="preserve"> </w:t>
      </w:r>
      <w:r w:rsidR="00EC5F6B">
        <w:t xml:space="preserve">(+6,27 miliarde lei), </w:t>
      </w:r>
      <w:r w:rsidRPr="00C53F10">
        <w:t xml:space="preserve">la bugetul de stat unde încasările au crescut cu </w:t>
      </w:r>
      <w:r w:rsidR="00EC5F6B">
        <w:rPr>
          <w:bCs/>
        </w:rPr>
        <w:t>6,7</w:t>
      </w:r>
      <w:r w:rsidRPr="00C53F10">
        <w:rPr>
          <w:bCs/>
        </w:rPr>
        <w:t>% (+</w:t>
      </w:r>
      <w:r w:rsidR="00EC5F6B">
        <w:rPr>
          <w:bCs/>
        </w:rPr>
        <w:t>1,49</w:t>
      </w:r>
      <w:r w:rsidRPr="00C53F10">
        <w:rPr>
          <w:bCs/>
        </w:rPr>
        <w:t xml:space="preserve"> miliarde lei) </w:t>
      </w:r>
      <w:r w:rsidRPr="00C53F10">
        <w:t xml:space="preserve">și bugetele locale unde încasările au crescut cu </w:t>
      </w:r>
      <w:r w:rsidR="00EC5F6B">
        <w:t>10,8</w:t>
      </w:r>
      <w:r w:rsidRPr="00C53F10">
        <w:t>%</w:t>
      </w:r>
      <w:r w:rsidR="009B6DCB">
        <w:t xml:space="preserve"> </w:t>
      </w:r>
      <w:r w:rsidRPr="00C53F10">
        <w:t>(+</w:t>
      </w:r>
      <w:r w:rsidR="00EC5F6B">
        <w:t>2,42</w:t>
      </w:r>
      <w:r w:rsidRPr="00C53F10">
        <w:t xml:space="preserve"> miliarde lei). Gradul de realizare al programului de încasări a fost de </w:t>
      </w:r>
      <w:r w:rsidR="00EC5F6B">
        <w:t>106,</w:t>
      </w:r>
      <w:r w:rsidR="008E12A3">
        <w:t>4</w:t>
      </w:r>
      <w:r w:rsidRPr="00C53F10">
        <w:t>%.</w:t>
      </w:r>
    </w:p>
    <w:p w14:paraId="00906758" w14:textId="22010738" w:rsidR="00500E21" w:rsidRPr="00C53F10" w:rsidRDefault="00500E21" w:rsidP="00500E21">
      <w:pPr>
        <w:autoSpaceDE w:val="0"/>
        <w:autoSpaceDN w:val="0"/>
        <w:adjustRightInd w:val="0"/>
        <w:spacing w:before="120" w:after="120" w:line="276" w:lineRule="auto"/>
        <w:jc w:val="both"/>
        <w:rPr>
          <w:color w:val="00000A"/>
          <w:kern w:val="1"/>
        </w:rPr>
      </w:pPr>
      <w:r w:rsidRPr="00C53F10">
        <w:rPr>
          <w:b/>
        </w:rPr>
        <w:t>Sumele primite de la Uniunea Europeană</w:t>
      </w:r>
      <w:r w:rsidRPr="00C53F10">
        <w:t xml:space="preserve"> în contul plăților efectuate (inclusiv donațiile și sume aferente PNRR), în anul 202</w:t>
      </w:r>
      <w:r w:rsidR="00EC5F6B">
        <w:t>4</w:t>
      </w:r>
      <w:r w:rsidRPr="00C53F10">
        <w:t xml:space="preserve">, au fost în valoare de </w:t>
      </w:r>
      <w:r w:rsidR="00EC5F6B">
        <w:t>42,39</w:t>
      </w:r>
      <w:r w:rsidRPr="00C53F10">
        <w:t xml:space="preserve"> miliarde lei, cu </w:t>
      </w:r>
      <w:r w:rsidR="00EC5F6B">
        <w:t>37,3</w:t>
      </w:r>
      <w:r w:rsidRPr="00C53F10">
        <w:t xml:space="preserve">% </w:t>
      </w:r>
      <w:r w:rsidR="00EC5F6B">
        <w:t>sub</w:t>
      </w:r>
      <w:r w:rsidRPr="00C53F10">
        <w:t xml:space="preserve"> nivelul înregistrat în anul 202</w:t>
      </w:r>
      <w:r w:rsidR="00EC5F6B">
        <w:t>3</w:t>
      </w:r>
      <w:r w:rsidRPr="00C53F10">
        <w:t xml:space="preserve">. </w:t>
      </w:r>
    </w:p>
    <w:p w14:paraId="3ED957F6" w14:textId="01C24019" w:rsidR="00500E21" w:rsidRPr="00C53F10" w:rsidRDefault="00500E21" w:rsidP="00500E21">
      <w:pPr>
        <w:autoSpaceDE w:val="0"/>
        <w:autoSpaceDN w:val="0"/>
        <w:adjustRightInd w:val="0"/>
        <w:spacing w:before="120" w:after="120" w:line="276" w:lineRule="auto"/>
        <w:jc w:val="both"/>
        <w:rPr>
          <w:color w:val="00000A"/>
          <w:kern w:val="1"/>
        </w:rPr>
      </w:pPr>
      <w:r w:rsidRPr="00C53F10">
        <w:t xml:space="preserve">De asemenea, ca raport în PIB, acestea </w:t>
      </w:r>
      <w:r w:rsidR="00EC5F6B">
        <w:t>s-</w:t>
      </w:r>
      <w:r w:rsidRPr="00C53F10">
        <w:t xml:space="preserve">au </w:t>
      </w:r>
      <w:r w:rsidR="00EC5F6B">
        <w:t>diminuat</w:t>
      </w:r>
      <w:r w:rsidRPr="00C53F10">
        <w:t xml:space="preserve"> cu </w:t>
      </w:r>
      <w:r w:rsidR="00EC5F6B">
        <w:t>1,8</w:t>
      </w:r>
      <w:r w:rsidR="008E12A3">
        <w:t xml:space="preserve"> </w:t>
      </w:r>
      <w:r w:rsidRPr="00C53F10">
        <w:t xml:space="preserve">puncte procentuale de la </w:t>
      </w:r>
      <w:r w:rsidR="00EC5F6B">
        <w:t>4,2</w:t>
      </w:r>
      <w:r w:rsidRPr="00C53F10">
        <w:t>% în anul 202</w:t>
      </w:r>
      <w:r w:rsidR="00EC5F6B">
        <w:t>3</w:t>
      </w:r>
      <w:r w:rsidRPr="00C53F10">
        <w:t xml:space="preserve"> la </w:t>
      </w:r>
      <w:r w:rsidR="00EC5F6B">
        <w:t>2,4</w:t>
      </w:r>
      <w:r w:rsidRPr="00C53F10">
        <w:t>% în anul 202</w:t>
      </w:r>
      <w:r w:rsidR="008E12A3">
        <w:t>4</w:t>
      </w:r>
      <w:r w:rsidRPr="00C53F10">
        <w:t>.</w:t>
      </w:r>
    </w:p>
    <w:p w14:paraId="33105B09" w14:textId="6A8AB2B4" w:rsidR="00500E21" w:rsidRDefault="00500E21" w:rsidP="00500E21">
      <w:pPr>
        <w:autoSpaceDE w:val="0"/>
        <w:autoSpaceDN w:val="0"/>
        <w:adjustRightInd w:val="0"/>
        <w:spacing w:before="120" w:after="120" w:line="276" w:lineRule="auto"/>
        <w:jc w:val="both"/>
      </w:pPr>
      <w:r w:rsidRPr="00C53F10">
        <w:t xml:space="preserve">Din totalul </w:t>
      </w:r>
      <w:r w:rsidRPr="00C53F10">
        <w:rPr>
          <w:b/>
        </w:rPr>
        <w:t>sumelor primite de la Uniunea Europeană</w:t>
      </w:r>
      <w:r w:rsidRPr="00C53F10">
        <w:t xml:space="preserve"> în contul plăților efectuate (inclusiv donațiile) cea mai mare pondere o dețin sumele aferente cadrului financiar </w:t>
      </w:r>
      <w:r w:rsidR="00F51E90" w:rsidRPr="00C53F10">
        <w:t xml:space="preserve">2021-2027 </w:t>
      </w:r>
      <w:r w:rsidRPr="00C53F10">
        <w:t>(</w:t>
      </w:r>
      <w:r w:rsidR="00F51E90">
        <w:t>54,2</w:t>
      </w:r>
      <w:r w:rsidRPr="00C53F10">
        <w:t>%) urmate de cele aferente cadru</w:t>
      </w:r>
      <w:r w:rsidR="00F51E90">
        <w:t>lui</w:t>
      </w:r>
      <w:r w:rsidRPr="00C53F10">
        <w:t xml:space="preserve"> </w:t>
      </w:r>
      <w:r w:rsidR="00F51E90" w:rsidRPr="00F51E90">
        <w:t xml:space="preserve">financiar </w:t>
      </w:r>
      <w:r w:rsidR="00F51E90" w:rsidRPr="00C53F10">
        <w:t xml:space="preserve">2014-2020 </w:t>
      </w:r>
      <w:r w:rsidRPr="00C53F10">
        <w:t>(</w:t>
      </w:r>
      <w:r w:rsidR="00F51E90">
        <w:t>24,2</w:t>
      </w:r>
      <w:r w:rsidRPr="00C53F10">
        <w:t xml:space="preserve">%) în timp ce sumele atrase din asistența nerambursabilă aferentă PNRR au reprezentat </w:t>
      </w:r>
      <w:r w:rsidR="00F51E90">
        <w:t>19</w:t>
      </w:r>
      <w:r w:rsidRPr="00C53F10">
        <w:t>,9% în total fonduri nerambursabile.</w:t>
      </w:r>
    </w:p>
    <w:p w14:paraId="3E99AA92" w14:textId="5B813932" w:rsidR="006C6746" w:rsidRDefault="00F51E90" w:rsidP="00500E21">
      <w:pPr>
        <w:autoSpaceDE w:val="0"/>
        <w:autoSpaceDN w:val="0"/>
        <w:adjustRightInd w:val="0"/>
        <w:spacing w:before="120" w:after="120" w:line="276" w:lineRule="auto"/>
        <w:jc w:val="both"/>
        <w:rPr>
          <w:color w:val="00000A"/>
          <w:kern w:val="1"/>
        </w:rPr>
      </w:pPr>
      <w:r>
        <w:rPr>
          <w:color w:val="00000A"/>
          <w:kern w:val="1"/>
        </w:rPr>
        <w:lastRenderedPageBreak/>
        <w:t xml:space="preserve">Comparativ cu anul anterior se observă o creștere semnificativă a sumelor atrase din noul cadru financiar 2021-2027(+14,3 miliarde lei) cât si a celor din asistența financiară nerambursabilă aferentă PNRR(+6,5 miliarde lei) având în vedere </w:t>
      </w:r>
      <w:r w:rsidR="006C6746">
        <w:rPr>
          <w:color w:val="00000A"/>
          <w:kern w:val="1"/>
        </w:rPr>
        <w:t xml:space="preserve">trecerea </w:t>
      </w:r>
      <w:r>
        <w:rPr>
          <w:color w:val="00000A"/>
          <w:kern w:val="1"/>
        </w:rPr>
        <w:t xml:space="preserve">la o fază superioara </w:t>
      </w:r>
      <w:r w:rsidR="006C6746">
        <w:rPr>
          <w:color w:val="00000A"/>
          <w:kern w:val="1"/>
        </w:rPr>
        <w:t xml:space="preserve">de execuție </w:t>
      </w:r>
      <w:r>
        <w:rPr>
          <w:color w:val="00000A"/>
          <w:kern w:val="1"/>
        </w:rPr>
        <w:t>a proiectelor finanțate din aceste fonduri și o diminuare a sum</w:t>
      </w:r>
      <w:r w:rsidR="003C08DB">
        <w:rPr>
          <w:color w:val="00000A"/>
          <w:kern w:val="1"/>
        </w:rPr>
        <w:t>elor atrase din cadrul financ</w:t>
      </w:r>
      <w:r>
        <w:rPr>
          <w:color w:val="00000A"/>
          <w:kern w:val="1"/>
        </w:rPr>
        <w:t>iar 20</w:t>
      </w:r>
      <w:r w:rsidR="006C6746">
        <w:rPr>
          <w:color w:val="00000A"/>
          <w:kern w:val="1"/>
        </w:rPr>
        <w:t>14</w:t>
      </w:r>
      <w:r>
        <w:rPr>
          <w:color w:val="00000A"/>
          <w:kern w:val="1"/>
        </w:rPr>
        <w:t>-202</w:t>
      </w:r>
      <w:r w:rsidR="006C6746">
        <w:rPr>
          <w:color w:val="00000A"/>
          <w:kern w:val="1"/>
        </w:rPr>
        <w:t>0</w:t>
      </w:r>
      <w:r>
        <w:rPr>
          <w:color w:val="00000A"/>
          <w:kern w:val="1"/>
        </w:rPr>
        <w:t xml:space="preserve"> </w:t>
      </w:r>
      <w:r w:rsidR="003C08DB">
        <w:rPr>
          <w:color w:val="00000A"/>
          <w:kern w:val="1"/>
        </w:rPr>
        <w:t xml:space="preserve">(-44,7 miliarde lei) </w:t>
      </w:r>
      <w:r>
        <w:rPr>
          <w:color w:val="00000A"/>
          <w:kern w:val="1"/>
        </w:rPr>
        <w:t xml:space="preserve">în condițiile în care </w:t>
      </w:r>
      <w:r w:rsidR="003C08DB">
        <w:rPr>
          <w:color w:val="00000A"/>
          <w:kern w:val="1"/>
        </w:rPr>
        <w:t>proiectele finanțate din acest cadru financiar s-au finalizat sau sunt în faza finală de execuție.</w:t>
      </w:r>
      <w:r>
        <w:rPr>
          <w:color w:val="00000A"/>
          <w:kern w:val="1"/>
        </w:rPr>
        <w:t xml:space="preserve"> </w:t>
      </w:r>
    </w:p>
    <w:p w14:paraId="69B46562" w14:textId="77777777" w:rsidR="006C6746" w:rsidRDefault="006C6746">
      <w:pPr>
        <w:rPr>
          <w:color w:val="00000A"/>
          <w:kern w:val="1"/>
        </w:rPr>
      </w:pPr>
      <w:r>
        <w:rPr>
          <w:color w:val="00000A"/>
          <w:kern w:val="1"/>
        </w:rPr>
        <w:br w:type="page"/>
      </w:r>
    </w:p>
    <w:p w14:paraId="15813F30" w14:textId="77777777" w:rsidR="00500E21" w:rsidRPr="00C53F10" w:rsidRDefault="00500E21" w:rsidP="00CC602A">
      <w:pPr>
        <w:pStyle w:val="ListParagraph"/>
        <w:numPr>
          <w:ilvl w:val="2"/>
          <w:numId w:val="22"/>
        </w:numPr>
        <w:spacing w:after="480" w:line="276" w:lineRule="auto"/>
        <w:ind w:left="1225" w:hanging="505"/>
        <w:jc w:val="both"/>
        <w:rPr>
          <w:rFonts w:cs="Tahoma"/>
          <w:b/>
          <w:bCs/>
          <w:sz w:val="24"/>
          <w:szCs w:val="24"/>
        </w:rPr>
      </w:pPr>
      <w:r w:rsidRPr="00C53F10">
        <w:rPr>
          <w:rFonts w:cs="Tahoma"/>
          <w:b/>
          <w:bCs/>
          <w:sz w:val="24"/>
          <w:szCs w:val="24"/>
        </w:rPr>
        <w:lastRenderedPageBreak/>
        <w:t>Cheltuielile bugetului general consolidat</w:t>
      </w:r>
    </w:p>
    <w:p w14:paraId="1A61E2E4" w14:textId="4524303B" w:rsidR="00500E21" w:rsidRPr="00C53F10" w:rsidRDefault="00500E21" w:rsidP="00A879FF">
      <w:pPr>
        <w:shd w:val="clear" w:color="auto" w:fill="D2F8FA"/>
        <w:spacing w:before="120" w:line="276" w:lineRule="auto"/>
        <w:jc w:val="both"/>
        <w:rPr>
          <w:bCs/>
        </w:rPr>
      </w:pPr>
      <w:r w:rsidRPr="00C53F10">
        <w:rPr>
          <w:b/>
          <w:bCs/>
        </w:rPr>
        <w:t>Cheltuielile bugetului general consolidat</w:t>
      </w:r>
      <w:r w:rsidRPr="00C53F10">
        <w:rPr>
          <w:bCs/>
        </w:rPr>
        <w:t xml:space="preserve"> au totalizat, în anul 202</w:t>
      </w:r>
      <w:r w:rsidR="00CC602A">
        <w:rPr>
          <w:bCs/>
        </w:rPr>
        <w:t>4</w:t>
      </w:r>
      <w:r w:rsidRPr="00C53F10">
        <w:rPr>
          <w:bCs/>
        </w:rPr>
        <w:t xml:space="preserve">, </w:t>
      </w:r>
      <w:r w:rsidR="00CC602A">
        <w:rPr>
          <w:b/>
          <w:bCs/>
        </w:rPr>
        <w:t>727,</w:t>
      </w:r>
      <w:r w:rsidR="00785389">
        <w:rPr>
          <w:b/>
          <w:bCs/>
        </w:rPr>
        <w:t>07</w:t>
      </w:r>
      <w:r w:rsidRPr="00C53F10">
        <w:rPr>
          <w:b/>
          <w:bCs/>
        </w:rPr>
        <w:t xml:space="preserve"> miliarde lei</w:t>
      </w:r>
      <w:r w:rsidRPr="00C53F10">
        <w:rPr>
          <w:bCs/>
        </w:rPr>
        <w:t xml:space="preserve">, ceea ce reprezintă </w:t>
      </w:r>
      <w:r w:rsidR="00CC602A">
        <w:rPr>
          <w:bCs/>
        </w:rPr>
        <w:t>41,3</w:t>
      </w:r>
      <w:r w:rsidRPr="00C53F10">
        <w:rPr>
          <w:bCs/>
        </w:rPr>
        <w:t xml:space="preserve">% din PIB și un grad de realizare față de nivelul prevăzut de </w:t>
      </w:r>
      <w:r w:rsidR="00CC602A">
        <w:rPr>
          <w:bCs/>
        </w:rPr>
        <w:t>97,6</w:t>
      </w:r>
      <w:r w:rsidRPr="00C53F10">
        <w:rPr>
          <w:bCs/>
        </w:rPr>
        <w:t>%.</w:t>
      </w:r>
    </w:p>
    <w:p w14:paraId="3849FF20" w14:textId="2ACBC0FA" w:rsidR="00500E21" w:rsidRPr="00C53F10" w:rsidRDefault="00500E21" w:rsidP="00CC602A">
      <w:pPr>
        <w:shd w:val="clear" w:color="auto" w:fill="D2F8FA"/>
        <w:spacing w:after="480" w:line="276" w:lineRule="auto"/>
        <w:jc w:val="both"/>
        <w:rPr>
          <w:bCs/>
        </w:rPr>
      </w:pPr>
      <w:r w:rsidRPr="00C53F10">
        <w:rPr>
          <w:bCs/>
        </w:rPr>
        <w:t xml:space="preserve">Comparativ cu anul precedent, cheltuielile bugetului general consolidat s-au majorat cu </w:t>
      </w:r>
      <w:r w:rsidR="00CC602A">
        <w:rPr>
          <w:bCs/>
        </w:rPr>
        <w:t xml:space="preserve">19,1%, iar ca procent în PIB </w:t>
      </w:r>
      <w:r w:rsidRPr="00C53F10">
        <w:rPr>
          <w:bCs/>
        </w:rPr>
        <w:t xml:space="preserve">au </w:t>
      </w:r>
      <w:r w:rsidR="00CC602A">
        <w:rPr>
          <w:bCs/>
        </w:rPr>
        <w:t>crescut</w:t>
      </w:r>
      <w:r w:rsidRPr="00C53F10">
        <w:rPr>
          <w:bCs/>
        </w:rPr>
        <w:t xml:space="preserve"> cu </w:t>
      </w:r>
      <w:r w:rsidR="00CC602A">
        <w:rPr>
          <w:bCs/>
        </w:rPr>
        <w:t>3,2</w:t>
      </w:r>
      <w:r w:rsidRPr="00C53F10">
        <w:rPr>
          <w:bCs/>
        </w:rPr>
        <w:t xml:space="preserve"> puncte procentuale de la 38,</w:t>
      </w:r>
      <w:r w:rsidR="00CC602A">
        <w:rPr>
          <w:bCs/>
        </w:rPr>
        <w:t>1</w:t>
      </w:r>
      <w:r w:rsidRPr="00C53F10">
        <w:rPr>
          <w:bCs/>
        </w:rPr>
        <w:t>% cât au fost în anul 202</w:t>
      </w:r>
      <w:r w:rsidR="00CC602A">
        <w:rPr>
          <w:bCs/>
        </w:rPr>
        <w:t>3</w:t>
      </w:r>
      <w:r w:rsidRPr="00C53F10">
        <w:rPr>
          <w:bCs/>
        </w:rPr>
        <w:t xml:space="preserve"> la </w:t>
      </w:r>
      <w:r w:rsidR="00CC602A">
        <w:rPr>
          <w:bCs/>
        </w:rPr>
        <w:t>41,3</w:t>
      </w:r>
      <w:r w:rsidRPr="00C53F10">
        <w:rPr>
          <w:bCs/>
        </w:rPr>
        <w:t>% în anul 202</w:t>
      </w:r>
      <w:r w:rsidR="00CC602A">
        <w:rPr>
          <w:bCs/>
        </w:rPr>
        <w:t>4</w:t>
      </w:r>
      <w:r w:rsidRPr="00C53F10">
        <w:rPr>
          <w:bCs/>
        </w:rPr>
        <w:t>.</w:t>
      </w:r>
    </w:p>
    <w:p w14:paraId="09CD2E3E" w14:textId="357BC523" w:rsidR="00500E21" w:rsidRPr="00C53F10" w:rsidRDefault="004D6AD6" w:rsidP="00CC602A">
      <w:pPr>
        <w:spacing w:before="120" w:after="480" w:line="276" w:lineRule="auto"/>
        <w:jc w:val="both"/>
      </w:pPr>
      <w:r>
        <w:rPr>
          <w:noProof/>
          <w:lang w:val="en-US" w:eastAsia="en-US"/>
        </w:rPr>
        <w:pict w14:anchorId="73F5BDB5">
          <v:shape id="_x0000_i1037" type="#_x0000_t75" style="width:484.5pt;height:252pt">
            <v:imagedata r:id="rId24" o:title=""/>
          </v:shape>
        </w:pict>
      </w:r>
    </w:p>
    <w:p w14:paraId="1F73BC2B" w14:textId="54D6C550" w:rsidR="00CC602A" w:rsidRDefault="00500E21" w:rsidP="00500E21">
      <w:pPr>
        <w:spacing w:before="120" w:after="240" w:line="276" w:lineRule="auto"/>
        <w:jc w:val="both"/>
      </w:pPr>
      <w:r w:rsidRPr="00C53F10">
        <w:t xml:space="preserve">Din punct de vedere al gradului de realizare al programului anual, principalele categorii de cheltuieli bugetare au înregistrat următoarele evoluții: </w:t>
      </w:r>
      <w:r w:rsidRPr="00C53F10">
        <w:rPr>
          <w:bCs/>
        </w:rPr>
        <w:t>cheltuielile de personal 99,</w:t>
      </w:r>
      <w:r w:rsidR="004B6B75">
        <w:rPr>
          <w:bCs/>
        </w:rPr>
        <w:t>2</w:t>
      </w:r>
      <w:r w:rsidRPr="00C53F10">
        <w:rPr>
          <w:bCs/>
        </w:rPr>
        <w:t xml:space="preserve">%, cheltuielile cu bunuri şi servicii </w:t>
      </w:r>
      <w:r w:rsidR="004B6B75">
        <w:rPr>
          <w:bCs/>
        </w:rPr>
        <w:t>101,</w:t>
      </w:r>
      <w:r w:rsidR="00785389">
        <w:rPr>
          <w:bCs/>
        </w:rPr>
        <w:t>2</w:t>
      </w:r>
      <w:r w:rsidRPr="00C53F10">
        <w:rPr>
          <w:bCs/>
        </w:rPr>
        <w:t xml:space="preserve">%, cheltuielile cu dobânzile </w:t>
      </w:r>
      <w:r w:rsidR="004B6B75">
        <w:rPr>
          <w:bCs/>
        </w:rPr>
        <w:t>96,6</w:t>
      </w:r>
      <w:r w:rsidRPr="00C53F10">
        <w:rPr>
          <w:bCs/>
        </w:rPr>
        <w:t xml:space="preserve">%, cheltuielile cu subvențiile </w:t>
      </w:r>
      <w:r w:rsidR="004B6B75">
        <w:rPr>
          <w:bCs/>
        </w:rPr>
        <w:t>99,8</w:t>
      </w:r>
      <w:r w:rsidRPr="00C53F10">
        <w:rPr>
          <w:bCs/>
        </w:rPr>
        <w:t xml:space="preserve">%, cheltuielile cu proiectele finanțate din fonduri externe nerambursabile </w:t>
      </w:r>
      <w:r w:rsidR="004B6B75">
        <w:rPr>
          <w:bCs/>
        </w:rPr>
        <w:t>86,0</w:t>
      </w:r>
      <w:r w:rsidRPr="00C53F10">
        <w:rPr>
          <w:bCs/>
        </w:rPr>
        <w:t>%, cheltuielile cu asistența socială 100,</w:t>
      </w:r>
      <w:r w:rsidR="004B6B75">
        <w:rPr>
          <w:bCs/>
        </w:rPr>
        <w:t>6</w:t>
      </w:r>
      <w:r w:rsidRPr="00C53F10">
        <w:rPr>
          <w:bCs/>
        </w:rPr>
        <w:t xml:space="preserve">%, cheltuielile de capital </w:t>
      </w:r>
      <w:r w:rsidR="004B6B75">
        <w:rPr>
          <w:bCs/>
        </w:rPr>
        <w:t>98,9</w:t>
      </w:r>
      <w:r w:rsidRPr="00C53F10">
        <w:rPr>
          <w:bCs/>
        </w:rPr>
        <w:t>%.</w:t>
      </w:r>
      <w:r w:rsidRPr="00C53F10">
        <w:t xml:space="preserve"> </w:t>
      </w:r>
    </w:p>
    <w:p w14:paraId="2C716AD0" w14:textId="77777777" w:rsidR="00CC602A" w:rsidRDefault="00CC602A">
      <w:r>
        <w:br w:type="page"/>
      </w:r>
    </w:p>
    <w:p w14:paraId="36068794" w14:textId="77777777" w:rsidR="00500E21" w:rsidRPr="00C53F10" w:rsidRDefault="00500E21" w:rsidP="00500E21">
      <w:pPr>
        <w:spacing w:before="120" w:after="240" w:line="276" w:lineRule="auto"/>
        <w:ind w:right="6"/>
        <w:jc w:val="center"/>
        <w:rPr>
          <w:b/>
          <w:bCs/>
          <w:noProof/>
        </w:rPr>
      </w:pPr>
      <w:r w:rsidRPr="00C53F10">
        <w:rPr>
          <w:b/>
          <w:bCs/>
        </w:rPr>
        <w:lastRenderedPageBreak/>
        <w:t>Structura cheltuielilor bugetare</w:t>
      </w:r>
    </w:p>
    <w:p w14:paraId="338BF6F5" w14:textId="38FE8FA4" w:rsidR="00500E21" w:rsidRPr="00C53F10" w:rsidRDefault="004D6AD6" w:rsidP="004B6B75">
      <w:pPr>
        <w:spacing w:before="120" w:after="480" w:line="276" w:lineRule="auto"/>
        <w:ind w:right="6"/>
        <w:jc w:val="both"/>
        <w:rPr>
          <w:bCs/>
          <w:noProof/>
        </w:rPr>
      </w:pPr>
      <w:r>
        <w:rPr>
          <w:bCs/>
          <w:noProof/>
          <w:lang w:val="en-US" w:eastAsia="en-US"/>
        </w:rPr>
        <w:pict w14:anchorId="4AF1CAD1">
          <v:shape id="_x0000_i1038" type="#_x0000_t75" style="width:257pt;height:255.5pt">
            <v:imagedata r:id="rId25" o:title=""/>
          </v:shape>
        </w:pict>
      </w:r>
      <w:r>
        <w:rPr>
          <w:bCs/>
          <w:noProof/>
          <w:lang w:val="en-US" w:eastAsia="en-US"/>
        </w:rPr>
        <w:pict w14:anchorId="346839D1">
          <v:shape id="_x0000_i1039" type="#_x0000_t75" style="width:224.5pt;height:256pt">
            <v:imagedata r:id="rId26" o:title=""/>
          </v:shape>
        </w:pict>
      </w:r>
    </w:p>
    <w:p w14:paraId="1B8DE5B4" w14:textId="077C0ECE" w:rsidR="00500E21" w:rsidRPr="00C53F10" w:rsidRDefault="00500E21" w:rsidP="00500E21">
      <w:pPr>
        <w:spacing w:before="120" w:after="120" w:line="276" w:lineRule="auto"/>
        <w:jc w:val="both"/>
        <w:rPr>
          <w:bCs/>
          <w:noProof/>
        </w:rPr>
      </w:pPr>
      <w:r w:rsidRPr="00C53F10">
        <w:t>Comparativ cu anul 202</w:t>
      </w:r>
      <w:r w:rsidR="004B6B75">
        <w:t>3</w:t>
      </w:r>
      <w:r w:rsidRPr="00C53F10">
        <w:t xml:space="preserve">, în structura economică a cheltuielilor </w:t>
      </w:r>
      <w:r w:rsidR="004B6B75">
        <w:t xml:space="preserve">se constată </w:t>
      </w:r>
      <w:r w:rsidRPr="00C53F10">
        <w:t xml:space="preserve">o creștere a ponderii în total cheltuieli a cheltuielilor </w:t>
      </w:r>
      <w:r w:rsidR="004B6B75">
        <w:t>de personal cu 0,9 puncte procentuale, a cheltuielilor cu bunuri si servicii cu 0,</w:t>
      </w:r>
      <w:r w:rsidR="00785389">
        <w:t>2 puncte proc</w:t>
      </w:r>
      <w:r w:rsidR="004B6B75">
        <w:t>entuale , a cheltuielilor cu dobânzile cu 0,1 puncte procentuale</w:t>
      </w:r>
      <w:r w:rsidR="00E111D2">
        <w:t>,</w:t>
      </w:r>
      <w:r w:rsidR="004B6B75">
        <w:t xml:space="preserve"> a cheltuielilor de capital cu 2,6 puncte procentuale </w:t>
      </w:r>
      <w:r w:rsidRPr="00C53F10">
        <w:t xml:space="preserve">și a celor din categoria alte cheltuieli cu </w:t>
      </w:r>
      <w:r w:rsidR="004B6B75">
        <w:t>2,2</w:t>
      </w:r>
      <w:r w:rsidRPr="00C53F10">
        <w:t xml:space="preserve"> puncte procentuale și diminuări ale ponderii în cazul cheltuieli</w:t>
      </w:r>
      <w:r w:rsidR="00C01BDA">
        <w:t>lor</w:t>
      </w:r>
      <w:r w:rsidR="004B6B75" w:rsidRPr="004B6B75">
        <w:t xml:space="preserve"> </w:t>
      </w:r>
      <w:r w:rsidR="004B6B75" w:rsidRPr="00C53F10">
        <w:t xml:space="preserve">cu proiectele finanțate din fonduri externe nerambursabile inclusiv PNRR cu </w:t>
      </w:r>
      <w:r w:rsidR="00C01BDA">
        <w:t>4,9</w:t>
      </w:r>
      <w:r w:rsidR="004B6B75" w:rsidRPr="00C53F10">
        <w:t xml:space="preserve"> puncte procentuale</w:t>
      </w:r>
      <w:r w:rsidR="00C01BDA">
        <w:t>, a cheltuielilor cu subvențiile cu 0,6 puncte procentuale și a cheltuielilor cu asistența socială cu 0,5 puncte procentuale</w:t>
      </w:r>
      <w:r w:rsidRPr="00C53F10">
        <w:t xml:space="preserve">. </w:t>
      </w:r>
    </w:p>
    <w:p w14:paraId="2DB1F5EB" w14:textId="3D0A0D6D" w:rsidR="00500E21" w:rsidRPr="00C53F10" w:rsidRDefault="00500E21" w:rsidP="00500E21">
      <w:pPr>
        <w:spacing w:before="120" w:after="120" w:line="276" w:lineRule="auto"/>
        <w:jc w:val="both"/>
        <w:rPr>
          <w:bCs/>
          <w:noProof/>
        </w:rPr>
      </w:pPr>
      <w:r w:rsidRPr="00C53F10">
        <w:rPr>
          <w:b/>
          <w:bCs/>
        </w:rPr>
        <w:t>Cheltuielile de personal ale bugetului general consolidat,</w:t>
      </w:r>
      <w:r w:rsidRPr="00C53F10">
        <w:t xml:space="preserve"> în anul 202</w:t>
      </w:r>
      <w:r w:rsidR="00C01BDA">
        <w:t>4</w:t>
      </w:r>
      <w:r w:rsidRPr="00C53F10">
        <w:t xml:space="preserve">, au crescut cu </w:t>
      </w:r>
      <w:r w:rsidR="00C01BDA">
        <w:t>24,0</w:t>
      </w:r>
      <w:r w:rsidRPr="00C53F10">
        <w:t xml:space="preserve">% față de anul precedent, iar ca procent în PIB </w:t>
      </w:r>
      <w:r w:rsidR="00C01BDA">
        <w:t>au crescut</w:t>
      </w:r>
      <w:r w:rsidRPr="00C53F10">
        <w:t xml:space="preserve"> cu </w:t>
      </w:r>
      <w:r w:rsidR="00C01BDA">
        <w:t>1</w:t>
      </w:r>
      <w:r w:rsidRPr="00C53F10">
        <w:t>,1 puncte procentuale de la 8,</w:t>
      </w:r>
      <w:r w:rsidR="00C01BDA">
        <w:t>3</w:t>
      </w:r>
      <w:r w:rsidRPr="00C53F10">
        <w:t>% din PIB în 202</w:t>
      </w:r>
      <w:r w:rsidR="00C01BDA">
        <w:t>3</w:t>
      </w:r>
      <w:r w:rsidRPr="00C53F10">
        <w:t xml:space="preserve"> la </w:t>
      </w:r>
      <w:r w:rsidR="00C01BDA">
        <w:t>9,4</w:t>
      </w:r>
      <w:r w:rsidRPr="00C53F10">
        <w:t>% din PIB în anul 202</w:t>
      </w:r>
      <w:r w:rsidR="00C01BDA">
        <w:t>4</w:t>
      </w:r>
      <w:r w:rsidRPr="00C53F10">
        <w:t>.</w:t>
      </w:r>
    </w:p>
    <w:p w14:paraId="5E6EA587" w14:textId="40DF9728" w:rsidR="00C01BDA" w:rsidRPr="009B6803" w:rsidRDefault="00500E21" w:rsidP="00C01BDA">
      <w:pPr>
        <w:spacing w:after="120" w:line="276" w:lineRule="auto"/>
        <w:jc w:val="both"/>
        <w:rPr>
          <w:bCs/>
        </w:rPr>
      </w:pPr>
      <w:r w:rsidRPr="009B6803">
        <w:rPr>
          <w:rFonts w:eastAsia="Times New Roman"/>
        </w:rPr>
        <w:t xml:space="preserve">Creșterea în termeni nominali a cheltuielilor de personal, comparativ cu </w:t>
      </w:r>
      <w:r w:rsidR="00C01BDA" w:rsidRPr="009B6803">
        <w:rPr>
          <w:rFonts w:eastAsia="Times New Roman"/>
        </w:rPr>
        <w:t>202</w:t>
      </w:r>
      <w:r w:rsidR="00FF3AAC" w:rsidRPr="009B6803">
        <w:rPr>
          <w:rFonts w:eastAsia="Times New Roman"/>
        </w:rPr>
        <w:t>3</w:t>
      </w:r>
      <w:r w:rsidRPr="009B6803">
        <w:rPr>
          <w:rFonts w:eastAsia="Times New Roman"/>
        </w:rPr>
        <w:t xml:space="preserve">, a fost determinată, în principal, </w:t>
      </w:r>
      <w:r w:rsidRPr="009B6803">
        <w:rPr>
          <w:bCs/>
        </w:rPr>
        <w:t xml:space="preserve">de creșterile salariale din sectorul bugetar acordate </w:t>
      </w:r>
      <w:r w:rsidR="009B6803" w:rsidRPr="009B6803">
        <w:rPr>
          <w:bCs/>
        </w:rPr>
        <w:t>pe parcursul anului 2023</w:t>
      </w:r>
      <w:r w:rsidR="00FF3AAC" w:rsidRPr="009B6803">
        <w:rPr>
          <w:bCs/>
        </w:rPr>
        <w:t xml:space="preserve"> cât și </w:t>
      </w:r>
      <w:r w:rsidR="00C01BDA" w:rsidRPr="009B6803">
        <w:rPr>
          <w:bCs/>
        </w:rPr>
        <w:t>începând cu anul 2024</w:t>
      </w:r>
      <w:r w:rsidR="009B6DCB">
        <w:rPr>
          <w:bCs/>
        </w:rPr>
        <w:t>,</w:t>
      </w:r>
      <w:r w:rsidR="00C01BDA" w:rsidRPr="009B6803">
        <w:rPr>
          <w:bCs/>
        </w:rPr>
        <w:t xml:space="preserve"> </w:t>
      </w:r>
      <w:r w:rsidR="009B6803" w:rsidRPr="009B6803">
        <w:rPr>
          <w:bCs/>
        </w:rPr>
        <w:t>conform prevederilor Ordonanței de urgență a Guvernului nr.115/2023</w:t>
      </w:r>
      <w:r w:rsidR="009B6803" w:rsidRPr="009B6803">
        <w:rPr>
          <w:bCs/>
          <w:vertAlign w:val="superscript"/>
        </w:rPr>
        <w:footnoteReference w:id="19"/>
      </w:r>
      <w:r w:rsidR="009B6DCB">
        <w:rPr>
          <w:bCs/>
        </w:rPr>
        <w:t>,</w:t>
      </w:r>
      <w:r w:rsidR="009B6803" w:rsidRPr="009B6803">
        <w:rPr>
          <w:bCs/>
        </w:rPr>
        <w:t xml:space="preserve"> și pe parcursul anului bugetar pentru unele categorii de personal bugetar</w:t>
      </w:r>
      <w:r w:rsidR="009B6803" w:rsidRPr="009B6803">
        <w:rPr>
          <w:rFonts w:eastAsiaTheme="minorHAnsi"/>
          <w:bCs/>
        </w:rPr>
        <w:t xml:space="preserve"> precum </w:t>
      </w:r>
      <w:r w:rsidR="009B6803" w:rsidRPr="009B6803">
        <w:rPr>
          <w:bCs/>
        </w:rPr>
        <w:t>și de plata unor drepturi salariale acordate în urma unor hotărâri judecătorești.</w:t>
      </w:r>
    </w:p>
    <w:p w14:paraId="2C356D15" w14:textId="2FC73B79" w:rsidR="00500E21" w:rsidRPr="00C53F10" w:rsidRDefault="00500E21" w:rsidP="00500E21">
      <w:pPr>
        <w:spacing w:before="120" w:after="120" w:line="276" w:lineRule="auto"/>
        <w:jc w:val="both"/>
        <w:rPr>
          <w:bCs/>
          <w:noProof/>
        </w:rPr>
      </w:pPr>
      <w:r w:rsidRPr="00C53F10">
        <w:rPr>
          <w:bCs/>
        </w:rPr>
        <w:t>Comparativ cu programul anual cheltuielile de personal s-au efectuat în proporție de 99,</w:t>
      </w:r>
      <w:r w:rsidR="00C01BDA">
        <w:rPr>
          <w:bCs/>
        </w:rPr>
        <w:t>2</w:t>
      </w:r>
      <w:r w:rsidRPr="00C53F10">
        <w:rPr>
          <w:bCs/>
        </w:rPr>
        <w:t xml:space="preserve">%. </w:t>
      </w:r>
    </w:p>
    <w:p w14:paraId="18A69207" w14:textId="6F57F609" w:rsidR="00500E21" w:rsidRPr="00C53F10" w:rsidRDefault="00500E21" w:rsidP="00500E21">
      <w:pPr>
        <w:spacing w:before="120" w:after="120" w:line="276" w:lineRule="auto"/>
        <w:jc w:val="both"/>
        <w:rPr>
          <w:bCs/>
          <w:noProof/>
        </w:rPr>
      </w:pPr>
      <w:r w:rsidRPr="00C53F10">
        <w:rPr>
          <w:b/>
          <w:bCs/>
        </w:rPr>
        <w:t>Cheltuielile cu bunuri și servicii</w:t>
      </w:r>
      <w:r w:rsidRPr="00C53F10">
        <w:t xml:space="preserve"> au înregistrat o creștere cu </w:t>
      </w:r>
      <w:r w:rsidR="00017E71">
        <w:t>21,</w:t>
      </w:r>
      <w:r w:rsidR="00785389">
        <w:t>0</w:t>
      </w:r>
      <w:r w:rsidRPr="00C53F10">
        <w:t>% față de anul pre</w:t>
      </w:r>
      <w:r w:rsidR="00017E71">
        <w:t xml:space="preserve">cedent, iar ca pondere în PIB </w:t>
      </w:r>
      <w:r w:rsidRPr="00C53F10">
        <w:t xml:space="preserve">au </w:t>
      </w:r>
      <w:r w:rsidR="00017E71">
        <w:t>crescut</w:t>
      </w:r>
      <w:r w:rsidRPr="00C53F10">
        <w:t xml:space="preserve"> cu 0,</w:t>
      </w:r>
      <w:r w:rsidR="00017E71">
        <w:t>5</w:t>
      </w:r>
      <w:r w:rsidRPr="00C53F10">
        <w:t xml:space="preserve"> puncte procentuale de la </w:t>
      </w:r>
      <w:r w:rsidR="00017E71">
        <w:t>4,8</w:t>
      </w:r>
      <w:r w:rsidRPr="00C53F10">
        <w:t>% din PIB în anul 202</w:t>
      </w:r>
      <w:r w:rsidR="00017E71">
        <w:t>3</w:t>
      </w:r>
      <w:r w:rsidRPr="00C53F10">
        <w:t xml:space="preserve"> la </w:t>
      </w:r>
      <w:r w:rsidR="00017E71">
        <w:t>5,3</w:t>
      </w:r>
      <w:r w:rsidRPr="00C53F10">
        <w:t>% din PIB în perioada analizată.</w:t>
      </w:r>
    </w:p>
    <w:p w14:paraId="493CD063" w14:textId="0CFAAB67" w:rsidR="00500E21" w:rsidRPr="00C53F10" w:rsidRDefault="00500E21" w:rsidP="00500E21">
      <w:pPr>
        <w:spacing w:before="120" w:after="120" w:line="276" w:lineRule="auto"/>
        <w:jc w:val="both"/>
        <w:rPr>
          <w:rFonts w:eastAsiaTheme="minorHAnsi"/>
          <w:bCs/>
        </w:rPr>
      </w:pPr>
      <w:r w:rsidRPr="00C53F10">
        <w:rPr>
          <w:rFonts w:eastAsiaTheme="minorHAnsi"/>
          <w:bCs/>
        </w:rPr>
        <w:lastRenderedPageBreak/>
        <w:t xml:space="preserve">Creșterea cheltuielilor cu bunuri și servicii s-a manifestat în cazul </w:t>
      </w:r>
      <w:r w:rsidR="00E21816">
        <w:rPr>
          <w:rFonts w:eastAsiaTheme="minorHAnsi"/>
          <w:bCs/>
        </w:rPr>
        <w:t>tuturor</w:t>
      </w:r>
      <w:r w:rsidRPr="00C53F10">
        <w:rPr>
          <w:rFonts w:eastAsiaTheme="minorHAnsi"/>
          <w:bCs/>
        </w:rPr>
        <w:t xml:space="preserve"> bugetelor componente ale bugetului general consolidat pe fondul presiunilor inflaționiste înregistrate în anul </w:t>
      </w:r>
      <w:r w:rsidR="00E21816">
        <w:rPr>
          <w:rFonts w:eastAsiaTheme="minorHAnsi"/>
          <w:bCs/>
        </w:rPr>
        <w:t>2023</w:t>
      </w:r>
      <w:r w:rsidRPr="00C53F10">
        <w:rPr>
          <w:rFonts w:eastAsiaTheme="minorHAnsi"/>
          <w:bCs/>
        </w:rPr>
        <w:t xml:space="preserve"> și 202</w:t>
      </w:r>
      <w:r w:rsidR="00E21816">
        <w:rPr>
          <w:rFonts w:eastAsiaTheme="minorHAnsi"/>
          <w:bCs/>
        </w:rPr>
        <w:t xml:space="preserve">4 fiind mai pronunțată în cazul </w:t>
      </w:r>
      <w:r w:rsidRPr="00C53F10">
        <w:rPr>
          <w:rFonts w:eastAsiaTheme="minorHAnsi"/>
          <w:bCs/>
        </w:rPr>
        <w:t>bugetului de stat</w:t>
      </w:r>
      <w:r w:rsidR="009B6DCB">
        <w:rPr>
          <w:rFonts w:eastAsiaTheme="minorHAnsi"/>
          <w:bCs/>
        </w:rPr>
        <w:t xml:space="preserve"> </w:t>
      </w:r>
      <w:r w:rsidR="00E21816">
        <w:rPr>
          <w:rFonts w:eastAsiaTheme="minorHAnsi"/>
          <w:bCs/>
        </w:rPr>
        <w:t xml:space="preserve">(+23,9%), </w:t>
      </w:r>
      <w:r w:rsidR="00785389">
        <w:rPr>
          <w:rFonts w:eastAsiaTheme="minorHAnsi"/>
          <w:bCs/>
        </w:rPr>
        <w:t>a bugetelor locale (+15,</w:t>
      </w:r>
      <w:r w:rsidR="00615636">
        <w:rPr>
          <w:rFonts w:eastAsiaTheme="minorHAnsi"/>
          <w:bCs/>
        </w:rPr>
        <w:t>4</w:t>
      </w:r>
      <w:r w:rsidR="00785389">
        <w:rPr>
          <w:rFonts w:eastAsiaTheme="minorHAnsi"/>
          <w:bCs/>
        </w:rPr>
        <w:t xml:space="preserve">%) </w:t>
      </w:r>
      <w:r w:rsidRPr="00C53F10">
        <w:rPr>
          <w:rFonts w:eastAsiaTheme="minorHAnsi"/>
          <w:bCs/>
        </w:rPr>
        <w:t xml:space="preserve">și a </w:t>
      </w:r>
      <w:r w:rsidR="00E21816">
        <w:rPr>
          <w:rFonts w:eastAsiaTheme="minorHAnsi"/>
          <w:bCs/>
        </w:rPr>
        <w:t>bugetului Fondului național unic de asigurări de sănătate</w:t>
      </w:r>
      <w:r w:rsidR="009B6DCB">
        <w:rPr>
          <w:rFonts w:eastAsiaTheme="minorHAnsi"/>
          <w:bCs/>
        </w:rPr>
        <w:t xml:space="preserve"> </w:t>
      </w:r>
      <w:r w:rsidR="00E21816">
        <w:rPr>
          <w:rFonts w:eastAsiaTheme="minorHAnsi"/>
          <w:bCs/>
        </w:rPr>
        <w:t>(+23,8%).</w:t>
      </w:r>
      <w:r w:rsidR="00E21816" w:rsidRPr="00C53F10">
        <w:rPr>
          <w:rFonts w:eastAsiaTheme="minorHAnsi"/>
          <w:bCs/>
        </w:rPr>
        <w:t xml:space="preserve"> </w:t>
      </w:r>
    </w:p>
    <w:p w14:paraId="3D13487F" w14:textId="31C49242" w:rsidR="00500E21" w:rsidRPr="00C53F10" w:rsidRDefault="00500E21" w:rsidP="00500E21">
      <w:pPr>
        <w:spacing w:before="120" w:after="120" w:line="276" w:lineRule="auto"/>
        <w:jc w:val="both"/>
        <w:rPr>
          <w:bCs/>
        </w:rPr>
      </w:pPr>
      <w:r w:rsidRPr="00C53F10">
        <w:rPr>
          <w:bCs/>
        </w:rPr>
        <w:t xml:space="preserve">Comparativ cu programul anual cheltuielile cu bunuri şi servicii s-au efectuat în proporție de </w:t>
      </w:r>
      <w:r w:rsidR="00E21816">
        <w:rPr>
          <w:bCs/>
        </w:rPr>
        <w:t>101,</w:t>
      </w:r>
      <w:r w:rsidR="00785389">
        <w:rPr>
          <w:bCs/>
        </w:rPr>
        <w:t>2</w:t>
      </w:r>
      <w:r w:rsidRPr="00C53F10">
        <w:rPr>
          <w:bCs/>
        </w:rPr>
        <w:t xml:space="preserve">%. </w:t>
      </w:r>
    </w:p>
    <w:p w14:paraId="56A4849A" w14:textId="008AB4C1" w:rsidR="00B4408C" w:rsidRPr="00B4408C" w:rsidRDefault="00500E21" w:rsidP="00B4408C">
      <w:pPr>
        <w:spacing w:before="120" w:after="120" w:line="276" w:lineRule="auto"/>
        <w:jc w:val="both"/>
        <w:rPr>
          <w:b/>
          <w:bCs/>
          <w:color w:val="000000"/>
          <w:lang w:bidi="si-LK"/>
        </w:rPr>
      </w:pPr>
      <w:r w:rsidRPr="00C53F10">
        <w:rPr>
          <w:b/>
          <w:bCs/>
        </w:rPr>
        <w:t>Cheltuielile cu dobânzile</w:t>
      </w:r>
      <w:r w:rsidRPr="00C53F10">
        <w:t xml:space="preserve"> au avansat cu </w:t>
      </w:r>
      <w:r w:rsidR="00B4408C">
        <w:t>21,3</w:t>
      </w:r>
      <w:r w:rsidRPr="00C53F10">
        <w:t xml:space="preserve">% comparativ cu anul precedent, iar ca pondere în PIB </w:t>
      </w:r>
      <w:r w:rsidR="00B4408C">
        <w:t>au crescut</w:t>
      </w:r>
      <w:r w:rsidRPr="00C53F10">
        <w:t xml:space="preserve"> cu 0,</w:t>
      </w:r>
      <w:r w:rsidR="00B4408C">
        <w:t>2</w:t>
      </w:r>
      <w:r w:rsidRPr="00C53F10">
        <w:t xml:space="preserve"> puncte procentuale, de la </w:t>
      </w:r>
      <w:r w:rsidR="00B4408C">
        <w:t>1,9</w:t>
      </w:r>
      <w:r w:rsidRPr="00C53F10">
        <w:t>% din PIB în 202</w:t>
      </w:r>
      <w:r w:rsidR="00B4408C">
        <w:t>3</w:t>
      </w:r>
      <w:r w:rsidRPr="00C53F10">
        <w:t xml:space="preserve"> la </w:t>
      </w:r>
      <w:r w:rsidR="00B4408C">
        <w:t>2,1</w:t>
      </w:r>
      <w:r w:rsidRPr="00C53F10">
        <w:t>% din PIB în anul 202</w:t>
      </w:r>
      <w:r w:rsidR="00B4408C">
        <w:t>4</w:t>
      </w:r>
      <w:r w:rsidRPr="00C53F10">
        <w:t xml:space="preserve">. </w:t>
      </w:r>
      <w:r w:rsidR="00B4408C">
        <w:rPr>
          <w:color w:val="000000"/>
          <w:lang w:bidi="si-LK"/>
        </w:rPr>
        <w:t>Din totalul cheltuielilor cu dobânzile 95,6% o reprezintă plățile de dobândă la bugetul de stat</w:t>
      </w:r>
      <w:r w:rsidR="00EA6326">
        <w:rPr>
          <w:color w:val="000000"/>
          <w:lang w:bidi="si-LK"/>
        </w:rPr>
        <w:t>,</w:t>
      </w:r>
      <w:r w:rsidR="00B4408C">
        <w:rPr>
          <w:color w:val="000000"/>
          <w:lang w:bidi="si-LK"/>
        </w:rPr>
        <w:t xml:space="preserve"> </w:t>
      </w:r>
      <w:r w:rsidR="00B4408C" w:rsidRPr="00B4408C">
        <w:rPr>
          <w:bCs/>
          <w:color w:val="000000"/>
          <w:lang w:bidi="si-LK"/>
        </w:rPr>
        <w:t>în sumă de 34</w:t>
      </w:r>
      <w:r w:rsidR="00E111D2">
        <w:rPr>
          <w:bCs/>
          <w:color w:val="000000"/>
          <w:lang w:bidi="si-LK"/>
        </w:rPr>
        <w:t>,79 miliarde</w:t>
      </w:r>
      <w:r w:rsidR="00B4408C" w:rsidRPr="00B4408C">
        <w:rPr>
          <w:bCs/>
          <w:color w:val="000000"/>
          <w:lang w:bidi="si-LK"/>
        </w:rPr>
        <w:t xml:space="preserve"> lei, </w:t>
      </w:r>
      <w:r w:rsidR="00B4408C">
        <w:rPr>
          <w:bCs/>
          <w:color w:val="000000"/>
          <w:lang w:bidi="si-LK"/>
        </w:rPr>
        <w:t>iar</w:t>
      </w:r>
      <w:r w:rsidR="00EA6326">
        <w:rPr>
          <w:bCs/>
          <w:color w:val="000000"/>
          <w:lang w:bidi="si-LK"/>
        </w:rPr>
        <w:t xml:space="preserve"> </w:t>
      </w:r>
      <w:r w:rsidR="00E111D2">
        <w:rPr>
          <w:bCs/>
          <w:color w:val="000000"/>
          <w:lang w:bidi="si-LK"/>
        </w:rPr>
        <w:t xml:space="preserve">în </w:t>
      </w:r>
      <w:r w:rsidR="00EA6326">
        <w:rPr>
          <w:bCs/>
          <w:color w:val="000000"/>
          <w:lang w:bidi="si-LK"/>
        </w:rPr>
        <w:t>cadrul acestora</w:t>
      </w:r>
      <w:r w:rsidR="00B4408C" w:rsidRPr="00B4408C">
        <w:rPr>
          <w:bCs/>
          <w:color w:val="000000"/>
          <w:lang w:bidi="si-LK"/>
        </w:rPr>
        <w:t xml:space="preserve"> </w:t>
      </w:r>
      <w:r w:rsidR="00B4408C">
        <w:rPr>
          <w:bCs/>
          <w:color w:val="000000"/>
          <w:lang w:bidi="si-LK"/>
        </w:rPr>
        <w:t xml:space="preserve">cea mai mare pondere </w:t>
      </w:r>
      <w:r w:rsidR="00EA6326">
        <w:rPr>
          <w:bCs/>
          <w:color w:val="000000"/>
          <w:lang w:bidi="si-LK"/>
        </w:rPr>
        <w:t>fiind</w:t>
      </w:r>
      <w:r w:rsidR="00B4408C" w:rsidRPr="00B4408C">
        <w:rPr>
          <w:bCs/>
          <w:color w:val="000000"/>
          <w:lang w:bidi="si-LK"/>
        </w:rPr>
        <w:t xml:space="preserve"> dețin</w:t>
      </w:r>
      <w:r w:rsidR="00EA6326">
        <w:rPr>
          <w:bCs/>
          <w:color w:val="000000"/>
          <w:lang w:bidi="si-LK"/>
        </w:rPr>
        <w:t>ută de</w:t>
      </w:r>
      <w:r w:rsidR="00B4408C" w:rsidRPr="00B4408C">
        <w:rPr>
          <w:bCs/>
          <w:color w:val="000000"/>
          <w:lang w:bidi="si-LK"/>
        </w:rPr>
        <w:t xml:space="preserve"> </w:t>
      </w:r>
      <w:r w:rsidR="00B4408C">
        <w:rPr>
          <w:bCs/>
          <w:color w:val="000000"/>
          <w:lang w:bidi="si-LK"/>
        </w:rPr>
        <w:t xml:space="preserve">cheltuielile cu </w:t>
      </w:r>
      <w:r w:rsidR="00B4408C" w:rsidRPr="00B4408C">
        <w:rPr>
          <w:bCs/>
          <w:color w:val="000000"/>
          <w:lang w:bidi="si-LK"/>
        </w:rPr>
        <w:t>dobânzile aferente datoriei publice interne 60</w:t>
      </w:r>
      <w:r w:rsidR="00B4408C">
        <w:rPr>
          <w:bCs/>
          <w:color w:val="000000"/>
          <w:lang w:bidi="si-LK"/>
        </w:rPr>
        <w:t>,</w:t>
      </w:r>
      <w:r w:rsidR="00B4408C" w:rsidRPr="00B4408C">
        <w:rPr>
          <w:bCs/>
          <w:color w:val="000000"/>
          <w:lang w:bidi="si-LK"/>
        </w:rPr>
        <w:t>78% (21</w:t>
      </w:r>
      <w:r w:rsidR="00EA6326">
        <w:rPr>
          <w:bCs/>
          <w:color w:val="000000"/>
          <w:lang w:bidi="si-LK"/>
        </w:rPr>
        <w:t>,15 miliarde</w:t>
      </w:r>
      <w:r w:rsidR="00B4408C" w:rsidRPr="00B4408C">
        <w:rPr>
          <w:bCs/>
          <w:color w:val="000000"/>
          <w:lang w:bidi="si-LK"/>
        </w:rPr>
        <w:t xml:space="preserve"> lei) </w:t>
      </w:r>
      <w:r w:rsidR="00EA6326">
        <w:rPr>
          <w:bCs/>
          <w:color w:val="000000"/>
          <w:lang w:bidi="si-LK"/>
        </w:rPr>
        <w:t xml:space="preserve">urmate de </w:t>
      </w:r>
      <w:r w:rsidR="00B4408C">
        <w:rPr>
          <w:bCs/>
          <w:color w:val="000000"/>
          <w:lang w:bidi="si-LK"/>
        </w:rPr>
        <w:t xml:space="preserve">cheltuielile cu </w:t>
      </w:r>
      <w:r w:rsidR="00B4408C" w:rsidRPr="00B4408C">
        <w:rPr>
          <w:bCs/>
          <w:color w:val="000000"/>
          <w:lang w:bidi="si-LK"/>
        </w:rPr>
        <w:t>dobânzile aferente datoriei publice externe 38,73% (13</w:t>
      </w:r>
      <w:r w:rsidR="00EA6326">
        <w:rPr>
          <w:bCs/>
          <w:color w:val="000000"/>
          <w:lang w:bidi="si-LK"/>
        </w:rPr>
        <w:t>,48 miliarde</w:t>
      </w:r>
      <w:r w:rsidR="00B4408C" w:rsidRPr="00B4408C">
        <w:rPr>
          <w:bCs/>
          <w:color w:val="000000"/>
          <w:lang w:bidi="si-LK"/>
        </w:rPr>
        <w:t xml:space="preserve"> lei).</w:t>
      </w:r>
    </w:p>
    <w:p w14:paraId="2BA5885C" w14:textId="2C71BF5F" w:rsidR="00B4408C" w:rsidRPr="00B4408C" w:rsidRDefault="00500E21" w:rsidP="00B4408C">
      <w:pPr>
        <w:spacing w:before="120" w:after="120" w:line="276" w:lineRule="auto"/>
        <w:jc w:val="both"/>
        <w:rPr>
          <w:b/>
          <w:bCs/>
          <w:color w:val="000000"/>
          <w:lang w:bidi="si-LK"/>
        </w:rPr>
      </w:pPr>
      <w:r w:rsidRPr="00C53F10">
        <w:t>Acestea nu au reușit să atingă nivelul prevăzut a se efectua în anul 202</w:t>
      </w:r>
      <w:r w:rsidR="00B4408C">
        <w:t>4</w:t>
      </w:r>
      <w:r w:rsidRPr="00C53F10">
        <w:t xml:space="preserve">, efectuând-se în proporție de </w:t>
      </w:r>
      <w:r w:rsidR="00B4408C">
        <w:t>96,6</w:t>
      </w:r>
      <w:r w:rsidRPr="00C53F10">
        <w:t>%.</w:t>
      </w:r>
      <w:r w:rsidRPr="00C53F10">
        <w:rPr>
          <w:color w:val="000000"/>
          <w:lang w:bidi="si-LK"/>
        </w:rPr>
        <w:t xml:space="preserve"> </w:t>
      </w:r>
    </w:p>
    <w:p w14:paraId="18A6B6F0" w14:textId="06931D33" w:rsidR="00500E21" w:rsidRPr="00C53F10" w:rsidRDefault="00500E21" w:rsidP="00500E21">
      <w:pPr>
        <w:spacing w:before="120" w:after="120" w:line="276" w:lineRule="auto"/>
        <w:jc w:val="both"/>
        <w:rPr>
          <w:bCs/>
          <w:noProof/>
        </w:rPr>
      </w:pPr>
      <w:r w:rsidRPr="00C53F10">
        <w:rPr>
          <w:b/>
          <w:bCs/>
        </w:rPr>
        <w:t xml:space="preserve">Cheltuielile cu subvențiile </w:t>
      </w:r>
      <w:r w:rsidRPr="00C53F10">
        <w:rPr>
          <w:bCs/>
        </w:rPr>
        <w:t xml:space="preserve">au fost, în termeni nominali, </w:t>
      </w:r>
      <w:r w:rsidR="00CB7A5F">
        <w:rPr>
          <w:bCs/>
        </w:rPr>
        <w:t>de 17,1 miliarde lei cu 5,1% mai reduse comparativ cu anul anterior</w:t>
      </w:r>
      <w:r w:rsidRPr="00C53F10">
        <w:rPr>
          <w:bCs/>
        </w:rPr>
        <w:t>, iar ca pondere în PIB s-au redus cu 0,</w:t>
      </w:r>
      <w:r w:rsidR="00CB7A5F">
        <w:rPr>
          <w:bCs/>
        </w:rPr>
        <w:t>1</w:t>
      </w:r>
      <w:r w:rsidRPr="00C53F10">
        <w:rPr>
          <w:bCs/>
        </w:rPr>
        <w:t xml:space="preserve"> puncte procentuale de la 1,</w:t>
      </w:r>
      <w:r w:rsidR="00CB7A5F">
        <w:rPr>
          <w:bCs/>
        </w:rPr>
        <w:t>1</w:t>
      </w:r>
      <w:r w:rsidRPr="00C53F10">
        <w:rPr>
          <w:bCs/>
        </w:rPr>
        <w:t>% din PIB în anul 202</w:t>
      </w:r>
      <w:r w:rsidR="00CB7A5F">
        <w:rPr>
          <w:bCs/>
        </w:rPr>
        <w:t>3</w:t>
      </w:r>
      <w:r w:rsidRPr="00C53F10">
        <w:rPr>
          <w:bCs/>
        </w:rPr>
        <w:t xml:space="preserve"> la 1,</w:t>
      </w:r>
      <w:r w:rsidR="00CB7A5F">
        <w:rPr>
          <w:bCs/>
        </w:rPr>
        <w:t>0</w:t>
      </w:r>
      <w:r w:rsidRPr="00C53F10">
        <w:rPr>
          <w:bCs/>
        </w:rPr>
        <w:t>% din PIB în anul 202</w:t>
      </w:r>
      <w:r w:rsidR="00CB7A5F">
        <w:rPr>
          <w:bCs/>
        </w:rPr>
        <w:t>4</w:t>
      </w:r>
      <w:r w:rsidRPr="00C53F10">
        <w:t xml:space="preserve">, gradul de efectuare a acestora fiind de </w:t>
      </w:r>
      <w:r w:rsidR="00CB7A5F">
        <w:t>99,8</w:t>
      </w:r>
      <w:r w:rsidRPr="00C53F10">
        <w:t>%.</w:t>
      </w:r>
    </w:p>
    <w:p w14:paraId="3CA50228" w14:textId="78BCC97C" w:rsidR="00CB7A5F" w:rsidRPr="00CB7A5F" w:rsidRDefault="00500E21" w:rsidP="00CB7A5F">
      <w:pPr>
        <w:spacing w:before="120" w:after="120" w:line="276" w:lineRule="auto"/>
        <w:jc w:val="both"/>
        <w:rPr>
          <w:rFonts w:eastAsia="Times New Roman"/>
          <w:bCs/>
          <w:lang w:eastAsia="zh-CN"/>
        </w:rPr>
      </w:pPr>
      <w:r w:rsidRPr="00CB7A5F">
        <w:rPr>
          <w:bCs/>
        </w:rPr>
        <w:t xml:space="preserve">Cea mai mare parte dintre aceste cheltuieli </w:t>
      </w:r>
      <w:r w:rsidR="00CB7A5F" w:rsidRPr="00CB7A5F">
        <w:rPr>
          <w:bCs/>
        </w:rPr>
        <w:t>s-</w:t>
      </w:r>
      <w:r w:rsidRPr="00CB7A5F">
        <w:rPr>
          <w:bCs/>
        </w:rPr>
        <w:t xml:space="preserve">au </w:t>
      </w:r>
      <w:r w:rsidR="00CB7A5F" w:rsidRPr="00CB7A5F">
        <w:rPr>
          <w:bCs/>
        </w:rPr>
        <w:t xml:space="preserve">înregistrat la bugetul de stat (64,4%) unde o pondere semnificativă a fost direcționată către plata </w:t>
      </w:r>
      <w:r w:rsidR="00CB7A5F" w:rsidRPr="00CB7A5F">
        <w:rPr>
          <w:rFonts w:eastAsia="Times New Roman"/>
          <w:bCs/>
          <w:lang w:eastAsia="zh-CN"/>
        </w:rPr>
        <w:t>subvențiilor pentru susținerea transportului feroviar public de călători 25</w:t>
      </w:r>
      <w:r w:rsidR="0055449C">
        <w:rPr>
          <w:rFonts w:eastAsia="Times New Roman"/>
          <w:bCs/>
          <w:lang w:eastAsia="zh-CN"/>
        </w:rPr>
        <w:t>,</w:t>
      </w:r>
      <w:r w:rsidR="00CB7A5F" w:rsidRPr="00CB7A5F">
        <w:rPr>
          <w:rFonts w:eastAsia="Times New Roman"/>
          <w:bCs/>
          <w:lang w:eastAsia="zh-CN"/>
        </w:rPr>
        <w:t>2% (2,78 miliarde lei), sprijinirea producătorilor agricoli 32</w:t>
      </w:r>
      <w:r w:rsidR="0055449C">
        <w:rPr>
          <w:rFonts w:eastAsia="Times New Roman"/>
          <w:bCs/>
          <w:lang w:eastAsia="zh-CN"/>
        </w:rPr>
        <w:t>,</w:t>
      </w:r>
      <w:r w:rsidR="00CB7A5F" w:rsidRPr="00CB7A5F">
        <w:rPr>
          <w:rFonts w:eastAsia="Times New Roman"/>
          <w:bCs/>
          <w:lang w:eastAsia="zh-CN"/>
        </w:rPr>
        <w:t>6% (33,60 miliarde lei), schema de compensare pentru consumul de energie electrică și gaze naturale al consumatorilor noncasnici 30</w:t>
      </w:r>
      <w:r w:rsidR="0055449C">
        <w:rPr>
          <w:rFonts w:eastAsia="Times New Roman"/>
          <w:bCs/>
          <w:lang w:eastAsia="zh-CN"/>
        </w:rPr>
        <w:t>,</w:t>
      </w:r>
      <w:r w:rsidR="00CB7A5F" w:rsidRPr="00CB7A5F">
        <w:rPr>
          <w:rFonts w:eastAsia="Times New Roman"/>
          <w:bCs/>
          <w:lang w:eastAsia="zh-CN"/>
        </w:rPr>
        <w:t>8% (3,4 miliarde lei).</w:t>
      </w:r>
    </w:p>
    <w:p w14:paraId="6D58DEAE" w14:textId="7A8B17F7" w:rsidR="00500E21" w:rsidRPr="00C53F10" w:rsidRDefault="00500E21" w:rsidP="00500E21">
      <w:pPr>
        <w:spacing w:before="120" w:after="120" w:line="276" w:lineRule="auto"/>
        <w:jc w:val="both"/>
        <w:rPr>
          <w:bCs/>
          <w:noProof/>
        </w:rPr>
      </w:pPr>
      <w:r w:rsidRPr="00285545">
        <w:rPr>
          <w:b/>
          <w:bCs/>
        </w:rPr>
        <w:t xml:space="preserve">Cheltuielile cu asistența socială </w:t>
      </w:r>
      <w:r w:rsidRPr="00285545">
        <w:t xml:space="preserve">au crescut în termeni nominali cu </w:t>
      </w:r>
      <w:r w:rsidR="007D4CA5" w:rsidRPr="00285545">
        <w:t>17,2</w:t>
      </w:r>
      <w:r w:rsidRPr="00285545">
        <w:t>%</w:t>
      </w:r>
      <w:r w:rsidR="009B6DCB">
        <w:t xml:space="preserve"> </w:t>
      </w:r>
      <w:r w:rsidRPr="00285545">
        <w:t>(+</w:t>
      </w:r>
      <w:r w:rsidR="007D4CA5" w:rsidRPr="00285545">
        <w:t>32,92</w:t>
      </w:r>
      <w:r w:rsidRPr="00285545">
        <w:t xml:space="preserve"> </w:t>
      </w:r>
      <w:r w:rsidRPr="00C53F10">
        <w:rPr>
          <w:color w:val="000000"/>
        </w:rPr>
        <w:t xml:space="preserve">miliarde lei) comparativ cu anul anterior, iar ca pondere în PIB </w:t>
      </w:r>
      <w:r w:rsidR="007D4CA5">
        <w:rPr>
          <w:color w:val="000000"/>
        </w:rPr>
        <w:t xml:space="preserve">au crescut </w:t>
      </w:r>
      <w:r w:rsidRPr="00C53F10">
        <w:rPr>
          <w:color w:val="000000"/>
        </w:rPr>
        <w:t>cu 0,</w:t>
      </w:r>
      <w:r w:rsidR="007D4CA5">
        <w:rPr>
          <w:color w:val="000000"/>
        </w:rPr>
        <w:t>8</w:t>
      </w:r>
      <w:r w:rsidRPr="00C53F10">
        <w:rPr>
          <w:color w:val="000000"/>
        </w:rPr>
        <w:t xml:space="preserve"> puncte procentuale de la </w:t>
      </w:r>
      <w:r w:rsidR="007D4CA5">
        <w:rPr>
          <w:color w:val="000000"/>
        </w:rPr>
        <w:t>11,9</w:t>
      </w:r>
      <w:r w:rsidRPr="00C53F10">
        <w:rPr>
          <w:color w:val="000000"/>
        </w:rPr>
        <w:t>% din PIB în anul 202</w:t>
      </w:r>
      <w:r w:rsidR="007D4CA5">
        <w:rPr>
          <w:color w:val="000000"/>
        </w:rPr>
        <w:t>3</w:t>
      </w:r>
      <w:r w:rsidRPr="00C53F10">
        <w:rPr>
          <w:color w:val="000000"/>
        </w:rPr>
        <w:t xml:space="preserve"> la </w:t>
      </w:r>
      <w:r w:rsidR="007D4CA5">
        <w:rPr>
          <w:color w:val="000000"/>
        </w:rPr>
        <w:t>12,7</w:t>
      </w:r>
      <w:r w:rsidRPr="00C53F10">
        <w:rPr>
          <w:color w:val="000000"/>
        </w:rPr>
        <w:t xml:space="preserve">% din PIB în anul </w:t>
      </w:r>
      <w:r w:rsidR="007D4CA5">
        <w:rPr>
          <w:color w:val="000000"/>
        </w:rPr>
        <w:t>2024</w:t>
      </w:r>
      <w:r w:rsidRPr="00C53F10">
        <w:rPr>
          <w:color w:val="000000"/>
        </w:rPr>
        <w:t>.</w:t>
      </w:r>
    </w:p>
    <w:p w14:paraId="09704F98" w14:textId="7D8A845E" w:rsidR="007D4CA5" w:rsidRPr="007D4CA5" w:rsidRDefault="007D4CA5" w:rsidP="007D4CA5">
      <w:pPr>
        <w:spacing w:after="120" w:line="276" w:lineRule="auto"/>
        <w:jc w:val="both"/>
        <w:rPr>
          <w:bCs/>
          <w:color w:val="000000"/>
          <w:lang w:val="es-ES" w:eastAsia="en-US" w:bidi="si-LK"/>
        </w:rPr>
      </w:pPr>
      <w:r w:rsidRPr="007D4CA5">
        <w:rPr>
          <w:lang w:eastAsia="en-US"/>
        </w:rPr>
        <w:t>Evoluția cheltuielilor cu asistența socială a fost influențată, în principal, de majorarea</w:t>
      </w:r>
      <w:r w:rsidR="009D08E9">
        <w:rPr>
          <w:lang w:eastAsia="en-US"/>
        </w:rPr>
        <w:t>,</w:t>
      </w:r>
      <w:r w:rsidRPr="007D4CA5">
        <w:rPr>
          <w:lang w:eastAsia="en-US"/>
        </w:rPr>
        <w:t xml:space="preserve"> de la 1 ianuarie 2024, cu 13,8% a punctului de pensie, respectiv de la 1.785 lei la 2.032 lei, a îndemnizației sociale pentru pensionari (pensia minimă) de la 1.125 lei la 1.281 lei, respectiv de implementarea măsurilor de recalculare a pensiilor din sistemul public cu începere de la 1 septembrie </w:t>
      </w:r>
      <w:r w:rsidR="00285545">
        <w:rPr>
          <w:lang w:eastAsia="en-US"/>
        </w:rPr>
        <w:t>2024</w:t>
      </w:r>
      <w:r w:rsidRPr="007D4CA5">
        <w:rPr>
          <w:lang w:eastAsia="en-US"/>
        </w:rPr>
        <w:t>, în conformitate cu prevederile Legii nr. 360/2023 din 29 noiembrie 2023 privind sistemul public de pensii.</w:t>
      </w:r>
    </w:p>
    <w:p w14:paraId="34AA3723" w14:textId="19882F04" w:rsidR="007D4CA5" w:rsidRPr="007D4CA5" w:rsidRDefault="007D4CA5" w:rsidP="007D4CA5">
      <w:pPr>
        <w:spacing w:after="120" w:line="276" w:lineRule="auto"/>
        <w:jc w:val="both"/>
        <w:rPr>
          <w:bCs/>
          <w:lang w:eastAsia="en-US" w:bidi="si-LK"/>
        </w:rPr>
      </w:pPr>
      <w:r w:rsidRPr="007D4CA5">
        <w:rPr>
          <w:bCs/>
          <w:lang w:val="es-ES" w:eastAsia="en-US" w:bidi="si-LK"/>
        </w:rPr>
        <w:t xml:space="preserve">Cheltuielile cu asistența socială au fost influențate și de plățile suportate de la bugetul de stat pentru compensarea facturilor aferente consumului de energie electrică și gaze naturale </w:t>
      </w:r>
      <w:r>
        <w:rPr>
          <w:bCs/>
          <w:lang w:val="es-ES" w:eastAsia="en-US" w:bidi="si-LK"/>
        </w:rPr>
        <w:t>care în</w:t>
      </w:r>
      <w:r w:rsidRPr="007D4CA5">
        <w:rPr>
          <w:bCs/>
          <w:lang w:val="es-ES" w:eastAsia="en-US" w:bidi="si-LK"/>
        </w:rPr>
        <w:t xml:space="preserve"> </w:t>
      </w:r>
      <w:r w:rsidRPr="007D4CA5">
        <w:rPr>
          <w:lang w:eastAsia="en-US"/>
        </w:rPr>
        <w:t xml:space="preserve">anul </w:t>
      </w:r>
      <w:r w:rsidRPr="007D4CA5">
        <w:rPr>
          <w:bCs/>
          <w:lang w:val="es-ES" w:eastAsia="en-US" w:bidi="si-LK"/>
        </w:rPr>
        <w:t xml:space="preserve">2024 au fost în sumă de 3,46 </w:t>
      </w:r>
      <w:r w:rsidR="00285545">
        <w:rPr>
          <w:bCs/>
          <w:lang w:val="es-ES" w:eastAsia="en-US" w:bidi="si-LK"/>
        </w:rPr>
        <w:t>miliarde</w:t>
      </w:r>
      <w:r w:rsidRPr="007D4CA5">
        <w:rPr>
          <w:bCs/>
          <w:lang w:val="es-ES" w:eastAsia="en-US" w:bidi="si-LK"/>
        </w:rPr>
        <w:t xml:space="preserve"> lei.</w:t>
      </w:r>
    </w:p>
    <w:p w14:paraId="1C3EA950" w14:textId="11E0032B" w:rsidR="00500E21" w:rsidRPr="00C53F10" w:rsidRDefault="00500E21" w:rsidP="00500E21">
      <w:pPr>
        <w:autoSpaceDE w:val="0"/>
        <w:autoSpaceDN w:val="0"/>
        <w:adjustRightInd w:val="0"/>
        <w:spacing w:before="120" w:after="120" w:line="276" w:lineRule="auto"/>
        <w:jc w:val="both"/>
        <w:rPr>
          <w:rFonts w:eastAsia="Times New Roman"/>
          <w:lang w:eastAsia="zh-CN"/>
        </w:rPr>
      </w:pPr>
      <w:r w:rsidRPr="00C53F10">
        <w:rPr>
          <w:bCs/>
          <w:color w:val="000000"/>
        </w:rPr>
        <w:t>Comparativ cu programul anual cheltuielile cu asistența socială s-au efectuat în proporție de 100,</w:t>
      </w:r>
      <w:r w:rsidR="00B43769">
        <w:rPr>
          <w:bCs/>
          <w:color w:val="000000"/>
        </w:rPr>
        <w:t>6</w:t>
      </w:r>
      <w:r w:rsidRPr="00C53F10">
        <w:rPr>
          <w:bCs/>
          <w:color w:val="000000"/>
        </w:rPr>
        <w:t>%.</w:t>
      </w:r>
    </w:p>
    <w:p w14:paraId="2AF213D1" w14:textId="042BD69A" w:rsidR="00500E21" w:rsidRPr="00C53F10" w:rsidRDefault="00500E21" w:rsidP="00500E21">
      <w:pPr>
        <w:spacing w:before="120" w:after="120" w:line="276" w:lineRule="auto"/>
        <w:jc w:val="both"/>
        <w:rPr>
          <w:rFonts w:eastAsia="Arial"/>
          <w:shd w:val="clear" w:color="auto" w:fill="FFFFFF"/>
        </w:rPr>
      </w:pPr>
      <w:r w:rsidRPr="00591EE9">
        <w:rPr>
          <w:rFonts w:eastAsia="Arial"/>
          <w:b/>
          <w:shd w:val="clear" w:color="auto" w:fill="FFFFFF"/>
        </w:rPr>
        <w:t>Cheltuielile privind proiectele finanțate din fonduri externe nerambursabile</w:t>
      </w:r>
      <w:r w:rsidRPr="00591EE9">
        <w:rPr>
          <w:rFonts w:eastAsia="Arial"/>
          <w:shd w:val="clear" w:color="auto" w:fill="FFFFFF"/>
        </w:rPr>
        <w:t xml:space="preserve"> </w:t>
      </w:r>
      <w:r w:rsidRPr="00C53F10">
        <w:rPr>
          <w:rFonts w:eastAsia="Arial"/>
          <w:shd w:val="clear" w:color="auto" w:fill="FFFFFF"/>
        </w:rPr>
        <w:t xml:space="preserve">(inclusiv subvențiile de la Uniunea Europeană aferente agriculturii și cheltuielile cu proiectele cu finanțare din sumele reprezentând asistenta financiara nerambursabilă aferenta PNRR) </w:t>
      </w:r>
      <w:r w:rsidRPr="00C53F10">
        <w:rPr>
          <w:rFonts w:eastAsia="Arial"/>
          <w:shd w:val="clear" w:color="auto" w:fill="FFFFFF"/>
        </w:rPr>
        <w:lastRenderedPageBreak/>
        <w:t xml:space="preserve">au fost de </w:t>
      </w:r>
      <w:r w:rsidR="00EC3709">
        <w:rPr>
          <w:rFonts w:eastAsia="Arial"/>
          <w:shd w:val="clear" w:color="auto" w:fill="FFFFFF"/>
        </w:rPr>
        <w:t>57,43</w:t>
      </w:r>
      <w:r w:rsidRPr="00C53F10">
        <w:rPr>
          <w:rFonts w:eastAsia="Arial"/>
          <w:shd w:val="clear" w:color="auto" w:fill="FFFFFF"/>
        </w:rPr>
        <w:t xml:space="preserve"> miliarde lei (</w:t>
      </w:r>
      <w:r w:rsidR="00EC3709">
        <w:rPr>
          <w:rFonts w:eastAsia="Arial"/>
          <w:shd w:val="clear" w:color="auto" w:fill="FFFFFF"/>
        </w:rPr>
        <w:t>3,26</w:t>
      </w:r>
      <w:r w:rsidRPr="00C53F10">
        <w:rPr>
          <w:rFonts w:eastAsia="Arial"/>
          <w:shd w:val="clear" w:color="auto" w:fill="FFFFFF"/>
        </w:rPr>
        <w:t xml:space="preserve">% din PIB), cu </w:t>
      </w:r>
      <w:r w:rsidR="00EC3709">
        <w:rPr>
          <w:rFonts w:eastAsia="Arial"/>
          <w:shd w:val="clear" w:color="auto" w:fill="FFFFFF"/>
        </w:rPr>
        <w:t>26,</w:t>
      </w:r>
      <w:r w:rsidR="00285545">
        <w:rPr>
          <w:rFonts w:eastAsia="Arial"/>
          <w:shd w:val="clear" w:color="auto" w:fill="FFFFFF"/>
        </w:rPr>
        <w:t>8</w:t>
      </w:r>
      <w:r w:rsidRPr="00C53F10">
        <w:rPr>
          <w:rFonts w:eastAsia="Arial"/>
          <w:shd w:val="clear" w:color="auto" w:fill="FFFFFF"/>
        </w:rPr>
        <w:t xml:space="preserve">% mai </w:t>
      </w:r>
      <w:r w:rsidR="00EC3709">
        <w:rPr>
          <w:rFonts w:eastAsia="Arial"/>
          <w:shd w:val="clear" w:color="auto" w:fill="FFFFFF"/>
        </w:rPr>
        <w:t>mici</w:t>
      </w:r>
      <w:r w:rsidRPr="00C53F10">
        <w:rPr>
          <w:rFonts w:eastAsia="Arial"/>
          <w:shd w:val="clear" w:color="auto" w:fill="FFFFFF"/>
        </w:rPr>
        <w:t xml:space="preserve"> comparativ cu aceeași perioadă a anului precedent. Cheltuielile privind proiectele finanțate din fonduri externe nerambursabile s-au efectuat în proporție de </w:t>
      </w:r>
      <w:r w:rsidR="00EC3709">
        <w:rPr>
          <w:rFonts w:eastAsia="Arial"/>
          <w:shd w:val="clear" w:color="auto" w:fill="FFFFFF"/>
        </w:rPr>
        <w:t>86,0</w:t>
      </w:r>
      <w:r w:rsidRPr="00C53F10">
        <w:rPr>
          <w:rFonts w:eastAsia="Arial"/>
          <w:shd w:val="clear" w:color="auto" w:fill="FFFFFF"/>
        </w:rPr>
        <w:t>% din nivelul programat pentru perioada analizată.</w:t>
      </w:r>
    </w:p>
    <w:p w14:paraId="23EF03C8" w14:textId="1B313987" w:rsidR="00500E21" w:rsidRDefault="00500E21" w:rsidP="00500E21">
      <w:pPr>
        <w:autoSpaceDE w:val="0"/>
        <w:autoSpaceDN w:val="0"/>
        <w:adjustRightInd w:val="0"/>
        <w:spacing w:after="120" w:line="276" w:lineRule="auto"/>
        <w:jc w:val="both"/>
        <w:rPr>
          <w:bCs/>
          <w:color w:val="000000"/>
        </w:rPr>
      </w:pPr>
      <w:r w:rsidRPr="00C53F10">
        <w:rPr>
          <w:bCs/>
          <w:color w:val="000000"/>
        </w:rPr>
        <w:t>În totalul cheltuielilor cu proiectele finanțate din fonduri externe nerambursabile ponderea cea mai ridicată au avut-o cheltuielile cu proiectele finanțate din fondurile aferente perioadei de programare 20</w:t>
      </w:r>
      <w:r w:rsidR="00EC3709">
        <w:rPr>
          <w:bCs/>
          <w:color w:val="000000"/>
        </w:rPr>
        <w:t>21</w:t>
      </w:r>
      <w:r w:rsidRPr="00C53F10">
        <w:rPr>
          <w:bCs/>
          <w:color w:val="000000"/>
        </w:rPr>
        <w:t>-202</w:t>
      </w:r>
      <w:r w:rsidR="00EC3709">
        <w:rPr>
          <w:bCs/>
          <w:color w:val="000000"/>
        </w:rPr>
        <w:t>7</w:t>
      </w:r>
      <w:r w:rsidRPr="00C53F10">
        <w:rPr>
          <w:bCs/>
          <w:color w:val="000000"/>
        </w:rPr>
        <w:t xml:space="preserve"> cu o pondere de </w:t>
      </w:r>
      <w:r w:rsidR="00EC3709">
        <w:rPr>
          <w:bCs/>
          <w:color w:val="000000"/>
        </w:rPr>
        <w:t>51,0</w:t>
      </w:r>
      <w:r w:rsidRPr="00C53F10">
        <w:rPr>
          <w:bCs/>
          <w:color w:val="000000"/>
        </w:rPr>
        <w:t>%, cele alocate proiectelor finanțate din fonduri aferente perioade</w:t>
      </w:r>
      <w:r w:rsidR="00285545">
        <w:rPr>
          <w:bCs/>
          <w:color w:val="000000"/>
        </w:rPr>
        <w:t>i</w:t>
      </w:r>
      <w:r w:rsidRPr="00C53F10">
        <w:rPr>
          <w:bCs/>
          <w:color w:val="000000"/>
        </w:rPr>
        <w:t xml:space="preserve"> de programare 20</w:t>
      </w:r>
      <w:r w:rsidR="00EC3709">
        <w:rPr>
          <w:bCs/>
          <w:color w:val="000000"/>
        </w:rPr>
        <w:t>14</w:t>
      </w:r>
      <w:r w:rsidRPr="00C53F10">
        <w:rPr>
          <w:bCs/>
          <w:color w:val="000000"/>
        </w:rPr>
        <w:t>-20</w:t>
      </w:r>
      <w:r w:rsidR="00EC3709">
        <w:rPr>
          <w:bCs/>
          <w:color w:val="000000"/>
        </w:rPr>
        <w:t>20</w:t>
      </w:r>
      <w:r w:rsidRPr="00C53F10">
        <w:rPr>
          <w:bCs/>
          <w:color w:val="000000"/>
        </w:rPr>
        <w:t xml:space="preserve"> cu o pondere de </w:t>
      </w:r>
      <w:r w:rsidR="00EC3709">
        <w:rPr>
          <w:bCs/>
          <w:color w:val="000000"/>
        </w:rPr>
        <w:t>30,4</w:t>
      </w:r>
      <w:r w:rsidRPr="00C53F10">
        <w:rPr>
          <w:bCs/>
          <w:color w:val="000000"/>
        </w:rPr>
        <w:t xml:space="preserve">% și respectiv cele alocate proiectelor finanțate din fonduri aferente asistenței financiare nerambursabile a PNRR cu o pondere de </w:t>
      </w:r>
      <w:r w:rsidR="00EC3709">
        <w:rPr>
          <w:bCs/>
          <w:color w:val="000000"/>
        </w:rPr>
        <w:t>18,6</w:t>
      </w:r>
      <w:r w:rsidRPr="00C53F10">
        <w:rPr>
          <w:bCs/>
          <w:color w:val="000000"/>
        </w:rPr>
        <w:t>%.</w:t>
      </w:r>
    </w:p>
    <w:p w14:paraId="54F7570F" w14:textId="5D622179" w:rsidR="00CC3959" w:rsidRPr="00CC3959" w:rsidRDefault="00EC3709" w:rsidP="00CC3959">
      <w:pPr>
        <w:autoSpaceDE w:val="0"/>
        <w:autoSpaceDN w:val="0"/>
        <w:adjustRightInd w:val="0"/>
        <w:spacing w:after="120" w:line="276" w:lineRule="auto"/>
        <w:jc w:val="both"/>
        <w:rPr>
          <w:bCs/>
          <w:color w:val="000000"/>
        </w:rPr>
      </w:pPr>
      <w:r>
        <w:rPr>
          <w:bCs/>
          <w:color w:val="000000"/>
        </w:rPr>
        <w:t>De remarcat că</w:t>
      </w:r>
      <w:r w:rsidR="00285545">
        <w:rPr>
          <w:bCs/>
          <w:color w:val="000000"/>
        </w:rPr>
        <w:t>,</w:t>
      </w:r>
      <w:r>
        <w:rPr>
          <w:bCs/>
          <w:color w:val="000000"/>
        </w:rPr>
        <w:t xml:space="preserve"> comparativ cu anul anterior</w:t>
      </w:r>
      <w:r w:rsidR="00285545">
        <w:rPr>
          <w:bCs/>
          <w:color w:val="000000"/>
        </w:rPr>
        <w:t>,</w:t>
      </w:r>
      <w:r>
        <w:rPr>
          <w:bCs/>
          <w:color w:val="000000"/>
        </w:rPr>
        <w:t xml:space="preserve"> au cr</w:t>
      </w:r>
      <w:r w:rsidR="00CC3959">
        <w:rPr>
          <w:bCs/>
          <w:color w:val="000000"/>
        </w:rPr>
        <w:t>e</w:t>
      </w:r>
      <w:r>
        <w:rPr>
          <w:bCs/>
          <w:color w:val="000000"/>
        </w:rPr>
        <w:t>scut semnificativ cheltuielile cu proiectele finanțate din noul cadru financiar 2021-2027</w:t>
      </w:r>
      <w:r w:rsidR="00CC3959">
        <w:rPr>
          <w:bCs/>
          <w:color w:val="000000"/>
        </w:rPr>
        <w:t>(+19,18 miliarde lei)</w:t>
      </w:r>
      <w:r>
        <w:rPr>
          <w:bCs/>
          <w:color w:val="000000"/>
        </w:rPr>
        <w:t xml:space="preserve"> și </w:t>
      </w:r>
      <w:r w:rsidR="00CC3959">
        <w:rPr>
          <w:bCs/>
          <w:color w:val="000000"/>
        </w:rPr>
        <w:t>proiectele finanțate din asistența financiară nerambursabilă a PNRR(+8,</w:t>
      </w:r>
      <w:r w:rsidR="00285545">
        <w:rPr>
          <w:bCs/>
          <w:color w:val="000000"/>
        </w:rPr>
        <w:t>29</w:t>
      </w:r>
      <w:r w:rsidR="00CC3959">
        <w:rPr>
          <w:bCs/>
          <w:color w:val="000000"/>
        </w:rPr>
        <w:t xml:space="preserve"> miliarde lei) pe fondul avansului implementării p</w:t>
      </w:r>
      <w:r w:rsidR="00CC3959" w:rsidRPr="00CC3959">
        <w:rPr>
          <w:bCs/>
          <w:color w:val="000000"/>
        </w:rPr>
        <w:t xml:space="preserve">roiectelor finanțate din aceste fonduri și </w:t>
      </w:r>
      <w:r w:rsidR="00CC3959">
        <w:rPr>
          <w:bCs/>
          <w:color w:val="000000"/>
        </w:rPr>
        <w:t>s-au</w:t>
      </w:r>
      <w:r w:rsidR="00CC3959" w:rsidRPr="00CC3959">
        <w:rPr>
          <w:bCs/>
          <w:color w:val="000000"/>
        </w:rPr>
        <w:t xml:space="preserve"> diminua</w:t>
      </w:r>
      <w:r w:rsidR="00CC3959">
        <w:rPr>
          <w:bCs/>
          <w:color w:val="000000"/>
        </w:rPr>
        <w:t>t</w:t>
      </w:r>
      <w:r w:rsidR="00CC3959" w:rsidRPr="00CC3959">
        <w:rPr>
          <w:bCs/>
          <w:color w:val="000000"/>
        </w:rPr>
        <w:t xml:space="preserve"> </w:t>
      </w:r>
      <w:r w:rsidR="00CC3959">
        <w:rPr>
          <w:bCs/>
          <w:color w:val="000000"/>
        </w:rPr>
        <w:t>cheltuielile aferente proiectelor finanțate</w:t>
      </w:r>
      <w:r w:rsidR="00CC3959" w:rsidRPr="00CC3959">
        <w:rPr>
          <w:bCs/>
          <w:color w:val="000000"/>
        </w:rPr>
        <w:t xml:space="preserve"> cadrul financiar 2014-2020 (-4</w:t>
      </w:r>
      <w:r w:rsidR="00CC3959">
        <w:rPr>
          <w:bCs/>
          <w:color w:val="000000"/>
        </w:rPr>
        <w:t>8</w:t>
      </w:r>
      <w:r w:rsidR="00CC3959" w:rsidRPr="00CC3959">
        <w:rPr>
          <w:bCs/>
          <w:color w:val="000000"/>
        </w:rPr>
        <w:t>,</w:t>
      </w:r>
      <w:r w:rsidR="00CC3959">
        <w:rPr>
          <w:bCs/>
          <w:color w:val="000000"/>
        </w:rPr>
        <w:t>44</w:t>
      </w:r>
      <w:r w:rsidR="00CC3959" w:rsidRPr="00CC3959">
        <w:rPr>
          <w:bCs/>
          <w:color w:val="000000"/>
        </w:rPr>
        <w:t xml:space="preserve"> miliarde lei) în condițiile în care proiectele finanțate din acest cadru financiar s-au finalizat sau sunt în faza finală de execuție. </w:t>
      </w:r>
    </w:p>
    <w:p w14:paraId="2370D4BE" w14:textId="57E5E317" w:rsidR="00500E21" w:rsidRPr="00D3012B" w:rsidRDefault="00500E21" w:rsidP="00D3012B">
      <w:pPr>
        <w:spacing w:before="120" w:after="120" w:line="276" w:lineRule="auto"/>
        <w:jc w:val="both"/>
        <w:rPr>
          <w:rFonts w:eastAsia="Times New Roman"/>
          <w:bCs/>
          <w:lang w:eastAsia="zh-CN"/>
        </w:rPr>
      </w:pPr>
      <w:r w:rsidRPr="00D3012B">
        <w:rPr>
          <w:b/>
          <w:bCs/>
          <w:color w:val="000000"/>
        </w:rPr>
        <w:t>La bugetul de stat</w:t>
      </w:r>
      <w:r w:rsidRPr="00D3012B">
        <w:rPr>
          <w:bCs/>
          <w:color w:val="000000"/>
        </w:rPr>
        <w:t xml:space="preserve"> cheltuielile aferente proiectelor cu finanțare externă nerambursabilă aferente cadrului financiar 20</w:t>
      </w:r>
      <w:r w:rsidR="00E7515C" w:rsidRPr="00D3012B">
        <w:rPr>
          <w:bCs/>
          <w:color w:val="000000"/>
        </w:rPr>
        <w:t>21</w:t>
      </w:r>
      <w:r w:rsidRPr="00D3012B">
        <w:rPr>
          <w:bCs/>
          <w:color w:val="000000"/>
        </w:rPr>
        <w:t>-202</w:t>
      </w:r>
      <w:r w:rsidR="00E7515C" w:rsidRPr="00D3012B">
        <w:rPr>
          <w:bCs/>
          <w:color w:val="000000"/>
        </w:rPr>
        <w:t>7</w:t>
      </w:r>
      <w:r w:rsidR="00CC3959" w:rsidRPr="00D3012B">
        <w:rPr>
          <w:bCs/>
          <w:color w:val="000000"/>
        </w:rPr>
        <w:t xml:space="preserve"> </w:t>
      </w:r>
      <w:r w:rsidRPr="00D3012B">
        <w:rPr>
          <w:rFonts w:eastAsia="Times New Roman"/>
          <w:bCs/>
          <w:lang w:eastAsia="zh-CN"/>
        </w:rPr>
        <w:t>au fost</w:t>
      </w:r>
      <w:r w:rsidR="00CC3959" w:rsidRPr="00D3012B">
        <w:rPr>
          <w:bCs/>
        </w:rPr>
        <w:t xml:space="preserve"> în sumă de 33,60 miliarde lei. Din această sumă 6,50 miliarde lei (19,3%) au fost utilizați de Ministerul Investițiilor și Proiectelor Europene, 11,62 miliarde lei (34,</w:t>
      </w:r>
      <w:r w:rsidR="00285545">
        <w:rPr>
          <w:bCs/>
        </w:rPr>
        <w:t>6</w:t>
      </w:r>
      <w:r w:rsidR="00CC3959" w:rsidRPr="00D3012B">
        <w:rPr>
          <w:bCs/>
        </w:rPr>
        <w:t>%) de Ministerul Transporturilor și Infrastructurii, 12,53 miliarde lei (37,</w:t>
      </w:r>
      <w:r w:rsidR="00285545">
        <w:rPr>
          <w:bCs/>
        </w:rPr>
        <w:t>3</w:t>
      </w:r>
      <w:r w:rsidR="00CC3959" w:rsidRPr="00D3012B">
        <w:rPr>
          <w:bCs/>
        </w:rPr>
        <w:t>9%) de Ministerul Agriculturii și Dezvoltării Rurale. În cadrul acestor cheltuieli, o pondere</w:t>
      </w:r>
      <w:r w:rsidR="00285545">
        <w:rPr>
          <w:bCs/>
        </w:rPr>
        <w:t xml:space="preserve"> </w:t>
      </w:r>
      <w:r w:rsidR="00CC3959" w:rsidRPr="00D3012B">
        <w:rPr>
          <w:bCs/>
        </w:rPr>
        <w:t xml:space="preserve">mai însemnată </w:t>
      </w:r>
      <w:r w:rsidR="00285545">
        <w:rPr>
          <w:bCs/>
        </w:rPr>
        <w:t xml:space="preserve">(29,8%) </w:t>
      </w:r>
      <w:r w:rsidR="00CC3959" w:rsidRPr="00D3012B">
        <w:rPr>
          <w:bCs/>
        </w:rPr>
        <w:t>au programele din Fondul European de Garantare Agricola (FEGA) aferent cadrului financiar 2023-2027 (</w:t>
      </w:r>
      <w:r w:rsidR="00E7515C" w:rsidRPr="00D3012B">
        <w:rPr>
          <w:bCs/>
        </w:rPr>
        <w:t>10,03 miliarde</w:t>
      </w:r>
      <w:r w:rsidR="00CC3959" w:rsidRPr="00D3012B">
        <w:rPr>
          <w:bCs/>
        </w:rPr>
        <w:t xml:space="preserve"> lei).</w:t>
      </w:r>
      <w:r w:rsidRPr="00D3012B">
        <w:rPr>
          <w:rFonts w:eastAsia="Times New Roman"/>
          <w:bCs/>
          <w:lang w:eastAsia="zh-CN"/>
        </w:rPr>
        <w:t xml:space="preserve"> </w:t>
      </w:r>
    </w:p>
    <w:p w14:paraId="031FADB8" w14:textId="3EB71D95" w:rsidR="00E7515C" w:rsidRPr="00D3012B" w:rsidRDefault="00500E21" w:rsidP="00D3012B">
      <w:pPr>
        <w:autoSpaceDE w:val="0"/>
        <w:autoSpaceDN w:val="0"/>
        <w:adjustRightInd w:val="0"/>
        <w:spacing w:after="120" w:line="276" w:lineRule="auto"/>
        <w:jc w:val="both"/>
        <w:rPr>
          <w:rFonts w:eastAsia="Times New Roman"/>
          <w:bCs/>
          <w:lang w:eastAsia="zh-CN"/>
        </w:rPr>
      </w:pPr>
      <w:r w:rsidRPr="00D3012B">
        <w:rPr>
          <w:rFonts w:eastAsia="Times New Roman"/>
          <w:bCs/>
          <w:lang w:eastAsia="zh-CN"/>
        </w:rPr>
        <w:t xml:space="preserve">Cheltuielile cu </w:t>
      </w:r>
      <w:r w:rsidR="00E7515C" w:rsidRPr="00D3012B">
        <w:rPr>
          <w:rFonts w:eastAsia="Times New Roman"/>
          <w:bCs/>
          <w:lang w:eastAsia="zh-CN"/>
        </w:rPr>
        <w:t>proiectele cu finanțare din fonduri externe nerambursabile aferente cadrului financiar 2014 – 2020 și din Fondul de Modernizare</w:t>
      </w:r>
      <w:r w:rsidR="009D08E9">
        <w:rPr>
          <w:rFonts w:eastAsia="Times New Roman"/>
          <w:bCs/>
          <w:lang w:eastAsia="zh-CN"/>
        </w:rPr>
        <w:t>,</w:t>
      </w:r>
      <w:r w:rsidR="00E7515C" w:rsidRPr="00D3012B">
        <w:rPr>
          <w:rFonts w:eastAsia="Times New Roman"/>
          <w:b/>
          <w:bCs/>
          <w:lang w:eastAsia="zh-CN"/>
        </w:rPr>
        <w:t xml:space="preserve"> </w:t>
      </w:r>
      <w:r w:rsidR="00E7515C" w:rsidRPr="00D3012B">
        <w:rPr>
          <w:rFonts w:eastAsia="Times New Roman"/>
          <w:bCs/>
          <w:lang w:eastAsia="zh-CN"/>
        </w:rPr>
        <w:t>la bugetul de stat</w:t>
      </w:r>
      <w:r w:rsidR="009D08E9">
        <w:rPr>
          <w:rFonts w:eastAsia="Times New Roman"/>
          <w:bCs/>
          <w:lang w:eastAsia="zh-CN"/>
        </w:rPr>
        <w:t>,</w:t>
      </w:r>
      <w:r w:rsidR="00E7515C" w:rsidRPr="00D3012B">
        <w:rPr>
          <w:rFonts w:eastAsia="Times New Roman"/>
          <w:b/>
          <w:bCs/>
          <w:lang w:eastAsia="zh-CN"/>
        </w:rPr>
        <w:t xml:space="preserve"> </w:t>
      </w:r>
      <w:r w:rsidR="00E7515C" w:rsidRPr="00D3012B">
        <w:rPr>
          <w:rFonts w:eastAsia="Times New Roman"/>
          <w:bCs/>
          <w:lang w:eastAsia="zh-CN"/>
        </w:rPr>
        <w:t>au fost sumă de 16,68 miliarde lei.</w:t>
      </w:r>
    </w:p>
    <w:p w14:paraId="7A04163C" w14:textId="6884BB74" w:rsidR="00E7515C" w:rsidRPr="00D3012B" w:rsidRDefault="00E7515C" w:rsidP="00D3012B">
      <w:pPr>
        <w:autoSpaceDE w:val="0"/>
        <w:autoSpaceDN w:val="0"/>
        <w:adjustRightInd w:val="0"/>
        <w:spacing w:after="120" w:line="276" w:lineRule="auto"/>
        <w:jc w:val="both"/>
        <w:rPr>
          <w:rFonts w:eastAsia="Times New Roman"/>
          <w:bCs/>
          <w:lang w:eastAsia="zh-CN"/>
        </w:rPr>
      </w:pPr>
      <w:r w:rsidRPr="00D3012B">
        <w:rPr>
          <w:rFonts w:eastAsia="Times New Roman"/>
          <w:bCs/>
          <w:lang w:eastAsia="zh-CN"/>
        </w:rPr>
        <w:t xml:space="preserve">În cadrul acestor cheltuieli, o pondere mai însemnată </w:t>
      </w:r>
      <w:r w:rsidR="009D08E9">
        <w:rPr>
          <w:rFonts w:eastAsia="Times New Roman"/>
          <w:bCs/>
          <w:lang w:eastAsia="zh-CN"/>
        </w:rPr>
        <w:t xml:space="preserve">o </w:t>
      </w:r>
      <w:r w:rsidRPr="00D3012B">
        <w:rPr>
          <w:rFonts w:eastAsia="Times New Roman"/>
          <w:bCs/>
          <w:lang w:eastAsia="zh-CN"/>
        </w:rPr>
        <w:t xml:space="preserve">au sumele aferente asistenței financiare nerambursabile alocată de Uniunea Europeană în perioada de programare 2014-2020 respectiv </w:t>
      </w:r>
      <w:r w:rsidR="00764877">
        <w:rPr>
          <w:rFonts w:eastAsia="Times New Roman"/>
          <w:bCs/>
          <w:lang w:eastAsia="zh-CN"/>
        </w:rPr>
        <w:t>33,0</w:t>
      </w:r>
      <w:r w:rsidRPr="00D3012B">
        <w:rPr>
          <w:rFonts w:eastAsia="Times New Roman"/>
          <w:bCs/>
          <w:lang w:eastAsia="zh-CN"/>
        </w:rPr>
        <w:t>% (5,5 miliarde lei lei) și transferurile din bugetul de stat către AFIR pentru susținerea proiectelor din PNDR 2014-2020, respectiv 20,4% (3,41 miliarde lei).</w:t>
      </w:r>
    </w:p>
    <w:p w14:paraId="71DAF630" w14:textId="2A03CC3C" w:rsidR="00E7515C" w:rsidRPr="00D3012B" w:rsidRDefault="00E7515C" w:rsidP="00D3012B">
      <w:pPr>
        <w:autoSpaceDE w:val="0"/>
        <w:autoSpaceDN w:val="0"/>
        <w:adjustRightInd w:val="0"/>
        <w:spacing w:after="120" w:line="276" w:lineRule="auto"/>
        <w:jc w:val="both"/>
        <w:rPr>
          <w:rFonts w:eastAsia="Times New Roman"/>
          <w:bCs/>
          <w:lang w:eastAsia="zh-CN"/>
        </w:rPr>
      </w:pPr>
      <w:r w:rsidRPr="00D3012B">
        <w:rPr>
          <w:rFonts w:eastAsia="Times New Roman"/>
          <w:bCs/>
          <w:lang w:eastAsia="zh-CN"/>
        </w:rPr>
        <w:t>Din această sumă, 4,33 miliarde lei, reprezentând 25,9% din totalul sumei, au fost utilizați de către Ministerul Agriculturii și Dezvoltării Rurale, 3,74 miliarde lei (22,4%) de către Ministerul Investițiilor și Proiectelor Europene, 2,67 miliarde lei (</w:t>
      </w:r>
      <w:r w:rsidR="00764877">
        <w:rPr>
          <w:rFonts w:eastAsia="Times New Roman"/>
          <w:bCs/>
          <w:lang w:eastAsia="zh-CN"/>
        </w:rPr>
        <w:t>16,0</w:t>
      </w:r>
      <w:r w:rsidRPr="00D3012B">
        <w:rPr>
          <w:rFonts w:eastAsia="Times New Roman"/>
          <w:bCs/>
          <w:lang w:eastAsia="zh-CN"/>
        </w:rPr>
        <w:t>%) de către Ministerul Transporturilor și Infrastructurii, 5,5 miliarde lei (</w:t>
      </w:r>
      <w:r w:rsidR="00764877">
        <w:rPr>
          <w:rFonts w:eastAsia="Times New Roman"/>
          <w:bCs/>
          <w:lang w:eastAsia="zh-CN"/>
        </w:rPr>
        <w:t>33,0</w:t>
      </w:r>
      <w:r w:rsidRPr="00D3012B">
        <w:rPr>
          <w:rFonts w:eastAsia="Times New Roman"/>
          <w:bCs/>
          <w:lang w:eastAsia="zh-CN"/>
        </w:rPr>
        <w:t>%) de către Ministerul Finanțelor -Acțiuni Generale.</w:t>
      </w:r>
    </w:p>
    <w:p w14:paraId="682E6319" w14:textId="5A8D4EAA" w:rsidR="00E7515C" w:rsidRPr="00D3012B" w:rsidRDefault="00500E21" w:rsidP="00D3012B">
      <w:pPr>
        <w:autoSpaceDE w:val="0"/>
        <w:autoSpaceDN w:val="0"/>
        <w:adjustRightInd w:val="0"/>
        <w:spacing w:after="120" w:line="276" w:lineRule="auto"/>
        <w:jc w:val="both"/>
        <w:rPr>
          <w:rFonts w:eastAsia="Times New Roman"/>
          <w:bCs/>
          <w:lang w:eastAsia="zh-CN"/>
        </w:rPr>
      </w:pPr>
      <w:r w:rsidRPr="00D3012B">
        <w:rPr>
          <w:rFonts w:eastAsia="Times New Roman"/>
          <w:bCs/>
          <w:lang w:eastAsia="zh-CN"/>
        </w:rPr>
        <w:t xml:space="preserve">Cheltuielile cu proiectele cu finanțare din sumele reprezentând asistență financiară nerambursabilă aferentă PNRR, </w:t>
      </w:r>
      <w:r w:rsidRPr="00D3012B">
        <w:rPr>
          <w:rFonts w:eastAsia="Times New Roman"/>
          <w:b/>
          <w:bCs/>
          <w:lang w:eastAsia="zh-CN"/>
        </w:rPr>
        <w:t>la bugetul de stat</w:t>
      </w:r>
      <w:r w:rsidRPr="00D3012B">
        <w:rPr>
          <w:rFonts w:eastAsia="Times New Roman"/>
          <w:bCs/>
          <w:lang w:eastAsia="zh-CN"/>
        </w:rPr>
        <w:t xml:space="preserve">, </w:t>
      </w:r>
      <w:r w:rsidR="009D08E9">
        <w:rPr>
          <w:rFonts w:eastAsia="Times New Roman"/>
          <w:bCs/>
          <w:lang w:eastAsia="zh-CN"/>
        </w:rPr>
        <w:t>s-au efectuat în</w:t>
      </w:r>
      <w:r w:rsidR="00E7515C" w:rsidRPr="00D3012B">
        <w:rPr>
          <w:rFonts w:eastAsia="Times New Roman"/>
          <w:bCs/>
          <w:lang w:eastAsia="zh-CN"/>
        </w:rPr>
        <w:t xml:space="preserve"> sumă de 10,31 miliarde lei.</w:t>
      </w:r>
    </w:p>
    <w:p w14:paraId="569C99CF" w14:textId="1E3B97A0" w:rsidR="00E7515C" w:rsidRPr="00D3012B" w:rsidRDefault="00E7515C" w:rsidP="00D3012B">
      <w:pPr>
        <w:autoSpaceDE w:val="0"/>
        <w:autoSpaceDN w:val="0"/>
        <w:adjustRightInd w:val="0"/>
        <w:spacing w:after="120" w:line="276" w:lineRule="auto"/>
        <w:jc w:val="both"/>
        <w:rPr>
          <w:rFonts w:eastAsia="Times New Roman"/>
          <w:bCs/>
          <w:lang w:eastAsia="zh-CN"/>
        </w:rPr>
      </w:pPr>
      <w:r w:rsidRPr="00D3012B">
        <w:rPr>
          <w:rFonts w:eastAsia="Times New Roman"/>
          <w:bCs/>
          <w:lang w:eastAsia="zh-CN"/>
        </w:rPr>
        <w:t>Din această sumă, 3,53 miliarde lei (34,</w:t>
      </w:r>
      <w:r w:rsidR="00764877">
        <w:rPr>
          <w:rFonts w:eastAsia="Times New Roman"/>
          <w:bCs/>
          <w:lang w:eastAsia="zh-CN"/>
        </w:rPr>
        <w:t>3</w:t>
      </w:r>
      <w:r w:rsidRPr="00D3012B">
        <w:rPr>
          <w:rFonts w:eastAsia="Times New Roman"/>
          <w:bCs/>
          <w:lang w:eastAsia="zh-CN"/>
        </w:rPr>
        <w:t xml:space="preserve">%) a fost utilizată de către Ministerul Transporturilor și Infrastructurii, Ministerul Educației a utilizat </w:t>
      </w:r>
      <w:r w:rsidR="00D3012B" w:rsidRPr="00D3012B">
        <w:rPr>
          <w:rFonts w:eastAsia="Times New Roman"/>
          <w:bCs/>
          <w:lang w:eastAsia="zh-CN"/>
        </w:rPr>
        <w:t>2,65 miliarde lei</w:t>
      </w:r>
      <w:r w:rsidRPr="00D3012B">
        <w:rPr>
          <w:rFonts w:eastAsia="Times New Roman"/>
          <w:bCs/>
          <w:lang w:eastAsia="zh-CN"/>
        </w:rPr>
        <w:t xml:space="preserve"> (25,</w:t>
      </w:r>
      <w:r w:rsidR="00764877">
        <w:rPr>
          <w:rFonts w:eastAsia="Times New Roman"/>
          <w:bCs/>
          <w:lang w:eastAsia="zh-CN"/>
        </w:rPr>
        <w:t>7</w:t>
      </w:r>
      <w:r w:rsidRPr="00D3012B">
        <w:rPr>
          <w:rFonts w:eastAsia="Times New Roman"/>
          <w:bCs/>
          <w:lang w:eastAsia="zh-CN"/>
        </w:rPr>
        <w:t xml:space="preserve">%) și Ministerul Dezvoltării Lucrărilor Publice și Administrației </w:t>
      </w:r>
      <w:r w:rsidR="00D3012B" w:rsidRPr="00D3012B">
        <w:rPr>
          <w:rFonts w:eastAsia="Times New Roman"/>
          <w:bCs/>
          <w:lang w:eastAsia="zh-CN"/>
        </w:rPr>
        <w:t>1,15 miliarde</w:t>
      </w:r>
      <w:r w:rsidRPr="00D3012B">
        <w:rPr>
          <w:rFonts w:eastAsia="Times New Roman"/>
          <w:bCs/>
          <w:lang w:eastAsia="zh-CN"/>
        </w:rPr>
        <w:t xml:space="preserve"> lei (11,</w:t>
      </w:r>
      <w:r w:rsidR="00764877">
        <w:rPr>
          <w:rFonts w:eastAsia="Times New Roman"/>
          <w:bCs/>
          <w:lang w:eastAsia="zh-CN"/>
        </w:rPr>
        <w:t>2</w:t>
      </w:r>
      <w:r w:rsidRPr="00D3012B">
        <w:rPr>
          <w:rFonts w:eastAsia="Times New Roman"/>
          <w:bCs/>
          <w:lang w:eastAsia="zh-CN"/>
        </w:rPr>
        <w:t>%).</w:t>
      </w:r>
    </w:p>
    <w:p w14:paraId="00E13ABC" w14:textId="10FE0E3B" w:rsidR="00D3012B" w:rsidRPr="00D3012B" w:rsidRDefault="00D3012B" w:rsidP="00D3012B">
      <w:pPr>
        <w:autoSpaceDE w:val="0"/>
        <w:autoSpaceDN w:val="0"/>
        <w:adjustRightInd w:val="0"/>
        <w:spacing w:after="120" w:line="276" w:lineRule="auto"/>
        <w:jc w:val="both"/>
        <w:rPr>
          <w:rFonts w:eastAsia="Times New Roman"/>
          <w:bCs/>
          <w:lang w:eastAsia="zh-CN"/>
        </w:rPr>
      </w:pPr>
      <w:r w:rsidRPr="00D3012B">
        <w:rPr>
          <w:rFonts w:eastAsia="Times New Roman"/>
          <w:b/>
          <w:bCs/>
          <w:lang w:eastAsia="zh-CN"/>
        </w:rPr>
        <w:lastRenderedPageBreak/>
        <w:t xml:space="preserve">Cheltuielile cu proiectele finantate din sumele aferente componentei de </w:t>
      </w:r>
      <w:r w:rsidR="00764877">
        <w:rPr>
          <w:rFonts w:eastAsia="Times New Roman"/>
          <w:b/>
          <w:bCs/>
          <w:lang w:eastAsia="zh-CN"/>
        </w:rPr>
        <w:t>î</w:t>
      </w:r>
      <w:r w:rsidRPr="00D3012B">
        <w:rPr>
          <w:rFonts w:eastAsia="Times New Roman"/>
          <w:b/>
          <w:bCs/>
          <w:lang w:eastAsia="zh-CN"/>
        </w:rPr>
        <w:t>mprumut a PNRR</w:t>
      </w:r>
      <w:r w:rsidRPr="00D3012B">
        <w:rPr>
          <w:rFonts w:eastAsia="Times New Roman"/>
          <w:bCs/>
          <w:lang w:eastAsia="zh-CN"/>
        </w:rPr>
        <w:t xml:space="preserve"> au fost în sumă de 12,8</w:t>
      </w:r>
      <w:r w:rsidR="00764877">
        <w:rPr>
          <w:rFonts w:eastAsia="Times New Roman"/>
          <w:bCs/>
          <w:lang w:eastAsia="zh-CN"/>
        </w:rPr>
        <w:t>4</w:t>
      </w:r>
      <w:r w:rsidRPr="00D3012B">
        <w:rPr>
          <w:rFonts w:eastAsia="Times New Roman"/>
          <w:bCs/>
          <w:lang w:eastAsia="zh-CN"/>
        </w:rPr>
        <w:t xml:space="preserve"> miliarde lei (0,7% din PIB) și au înregistrat o creștere comparativ cu anul anterior cu 267,</w:t>
      </w:r>
      <w:r w:rsidR="00764877">
        <w:rPr>
          <w:rFonts w:eastAsia="Times New Roman"/>
          <w:bCs/>
          <w:lang w:eastAsia="zh-CN"/>
        </w:rPr>
        <w:t>8</w:t>
      </w:r>
      <w:r w:rsidRPr="00D3012B">
        <w:rPr>
          <w:rFonts w:eastAsia="Times New Roman"/>
          <w:bCs/>
          <w:lang w:eastAsia="zh-CN"/>
        </w:rPr>
        <w:t>%(+9,3</w:t>
      </w:r>
      <w:r w:rsidR="00764877">
        <w:rPr>
          <w:rFonts w:eastAsia="Times New Roman"/>
          <w:bCs/>
          <w:lang w:eastAsia="zh-CN"/>
        </w:rPr>
        <w:t>5</w:t>
      </w:r>
      <w:r w:rsidRPr="00D3012B">
        <w:rPr>
          <w:rFonts w:eastAsia="Times New Roman"/>
          <w:bCs/>
          <w:lang w:eastAsia="zh-CN"/>
        </w:rPr>
        <w:t xml:space="preserve"> miliarde lei).</w:t>
      </w:r>
    </w:p>
    <w:p w14:paraId="47699B4B" w14:textId="68428594" w:rsidR="00D3012B" w:rsidRPr="00D3012B" w:rsidRDefault="00D3012B" w:rsidP="00D3012B">
      <w:pPr>
        <w:autoSpaceDE w:val="0"/>
        <w:autoSpaceDN w:val="0"/>
        <w:adjustRightInd w:val="0"/>
        <w:spacing w:after="120" w:line="276" w:lineRule="auto"/>
        <w:jc w:val="both"/>
        <w:rPr>
          <w:rFonts w:eastAsia="Times New Roman"/>
          <w:bCs/>
          <w:lang w:eastAsia="zh-CN"/>
        </w:rPr>
      </w:pPr>
      <w:r w:rsidRPr="00D3012B">
        <w:rPr>
          <w:rFonts w:eastAsia="Times New Roman"/>
          <w:bCs/>
          <w:lang w:eastAsia="zh-CN"/>
        </w:rPr>
        <w:t xml:space="preserve">La bugetul de stat cheltuielile cu proiectele finantate din sumele aferente componentei de imprumut a PNRR </w:t>
      </w:r>
      <w:r w:rsidR="009D08E9">
        <w:rPr>
          <w:rFonts w:eastAsia="Times New Roman"/>
          <w:bCs/>
          <w:lang w:eastAsia="zh-CN"/>
        </w:rPr>
        <w:t xml:space="preserve">s-au efectuat </w:t>
      </w:r>
      <w:r w:rsidRPr="00D3012B">
        <w:rPr>
          <w:rFonts w:eastAsia="Times New Roman"/>
          <w:bCs/>
          <w:lang w:eastAsia="zh-CN"/>
        </w:rPr>
        <w:t>în sumă de 14,1 mili</w:t>
      </w:r>
      <w:r w:rsidR="00764877">
        <w:rPr>
          <w:rFonts w:eastAsia="Times New Roman"/>
          <w:bCs/>
          <w:lang w:eastAsia="zh-CN"/>
        </w:rPr>
        <w:t>arde</w:t>
      </w:r>
      <w:r w:rsidRPr="00D3012B">
        <w:rPr>
          <w:rFonts w:eastAsia="Times New Roman"/>
          <w:bCs/>
          <w:lang w:eastAsia="zh-CN"/>
        </w:rPr>
        <w:t xml:space="preserve"> lei.</w:t>
      </w:r>
    </w:p>
    <w:p w14:paraId="39776B55" w14:textId="0CF990C6" w:rsidR="00D3012B" w:rsidRPr="00D3012B" w:rsidRDefault="00D3012B" w:rsidP="00D3012B">
      <w:pPr>
        <w:autoSpaceDE w:val="0"/>
        <w:autoSpaceDN w:val="0"/>
        <w:adjustRightInd w:val="0"/>
        <w:spacing w:after="120" w:line="276" w:lineRule="auto"/>
        <w:jc w:val="both"/>
        <w:rPr>
          <w:rFonts w:eastAsia="Times New Roman"/>
          <w:bCs/>
          <w:lang w:eastAsia="zh-CN"/>
        </w:rPr>
      </w:pPr>
      <w:r w:rsidRPr="00D3012B">
        <w:rPr>
          <w:rFonts w:eastAsia="Times New Roman"/>
          <w:bCs/>
          <w:lang w:eastAsia="zh-CN"/>
        </w:rPr>
        <w:t>Din această sumă, 7,67 miliarde lei (54,</w:t>
      </w:r>
      <w:r w:rsidR="00764877">
        <w:rPr>
          <w:rFonts w:eastAsia="Times New Roman"/>
          <w:bCs/>
          <w:lang w:eastAsia="zh-CN"/>
        </w:rPr>
        <w:t>4</w:t>
      </w:r>
      <w:r w:rsidRPr="00D3012B">
        <w:rPr>
          <w:rFonts w:eastAsia="Times New Roman"/>
          <w:bCs/>
          <w:lang w:eastAsia="zh-CN"/>
        </w:rPr>
        <w:t>%) a fost utilizată de către Ministerul Transporturilor și Infrastructurii, Ministerul Dezvoltării, Lucrărilor Publice și Administrației a utilizat 2,88 miliarde lei (20,</w:t>
      </w:r>
      <w:r w:rsidR="00764877">
        <w:rPr>
          <w:rFonts w:eastAsia="Times New Roman"/>
          <w:bCs/>
          <w:lang w:eastAsia="zh-CN"/>
        </w:rPr>
        <w:t>5</w:t>
      </w:r>
      <w:r w:rsidRPr="00D3012B">
        <w:rPr>
          <w:rFonts w:eastAsia="Times New Roman"/>
          <w:bCs/>
          <w:lang w:eastAsia="zh-CN"/>
        </w:rPr>
        <w:t>%) și Ministerul Investițiilor și Proiectelor Europene 1,74 miliarde lei (12,3%).</w:t>
      </w:r>
    </w:p>
    <w:p w14:paraId="35181ADD" w14:textId="5203263B" w:rsidR="00500E21" w:rsidRPr="00C53F10" w:rsidRDefault="00500E21" w:rsidP="00764877">
      <w:pPr>
        <w:autoSpaceDE w:val="0"/>
        <w:autoSpaceDN w:val="0"/>
        <w:adjustRightInd w:val="0"/>
        <w:spacing w:after="120" w:line="276" w:lineRule="auto"/>
        <w:jc w:val="both"/>
        <w:rPr>
          <w:bCs/>
        </w:rPr>
      </w:pPr>
      <w:r w:rsidRPr="00591EE9">
        <w:rPr>
          <w:bCs/>
        </w:rPr>
        <w:t>Plățile din categoria</w:t>
      </w:r>
      <w:r w:rsidRPr="00591EE9">
        <w:rPr>
          <w:b/>
          <w:bCs/>
        </w:rPr>
        <w:t xml:space="preserve"> Alte cheltuieli</w:t>
      </w:r>
      <w:r w:rsidRPr="00591EE9">
        <w:rPr>
          <w:bCs/>
        </w:rPr>
        <w:t xml:space="preserve"> (reprezentând, în principal, sume aferente titlurilor de plată emise de Autoritatea Națională pentru Restituirea Proprietăților, conform legislației în </w:t>
      </w:r>
      <w:r w:rsidRPr="00C53F10">
        <w:rPr>
          <w:bCs/>
        </w:rPr>
        <w:t>vigoare, burse pentru elevi și studenți, precum și alte despăgubiri civile) în anul 202</w:t>
      </w:r>
      <w:r w:rsidR="00591EE9">
        <w:rPr>
          <w:bCs/>
        </w:rPr>
        <w:t>4</w:t>
      </w:r>
      <w:r w:rsidRPr="00C53F10">
        <w:rPr>
          <w:bCs/>
        </w:rPr>
        <w:t xml:space="preserve"> au însumat </w:t>
      </w:r>
      <w:r w:rsidR="00591EE9">
        <w:rPr>
          <w:bCs/>
        </w:rPr>
        <w:t>19,56</w:t>
      </w:r>
      <w:r w:rsidRPr="00C53F10">
        <w:rPr>
          <w:bCs/>
        </w:rPr>
        <w:t xml:space="preserve"> miliarde lei</w:t>
      </w:r>
      <w:r w:rsidR="00764877">
        <w:rPr>
          <w:bCs/>
        </w:rPr>
        <w:t xml:space="preserve"> </w:t>
      </w:r>
      <w:r w:rsidRPr="00C53F10">
        <w:rPr>
          <w:bCs/>
        </w:rPr>
        <w:t>(</w:t>
      </w:r>
      <w:r w:rsidR="00591EE9">
        <w:rPr>
          <w:bCs/>
        </w:rPr>
        <w:t>1,1</w:t>
      </w:r>
      <w:r w:rsidRPr="00C53F10">
        <w:rPr>
          <w:bCs/>
        </w:rPr>
        <w:t xml:space="preserve">% din PIB). Acestea au fost cu </w:t>
      </w:r>
      <w:r w:rsidR="00591EE9">
        <w:rPr>
          <w:bCs/>
        </w:rPr>
        <w:t>79,3</w:t>
      </w:r>
      <w:r w:rsidRPr="00C53F10">
        <w:rPr>
          <w:bCs/>
        </w:rPr>
        <w:t xml:space="preserve">% mai mari comparativ cu </w:t>
      </w:r>
      <w:r w:rsidR="00591EE9">
        <w:rPr>
          <w:bCs/>
        </w:rPr>
        <w:t xml:space="preserve">plățile </w:t>
      </w:r>
      <w:r w:rsidRPr="00C53F10">
        <w:rPr>
          <w:bCs/>
        </w:rPr>
        <w:t>anului 202</w:t>
      </w:r>
      <w:r w:rsidR="00591EE9">
        <w:rPr>
          <w:bCs/>
        </w:rPr>
        <w:t>3</w:t>
      </w:r>
      <w:r w:rsidRPr="00C53F10">
        <w:rPr>
          <w:bCs/>
        </w:rPr>
        <w:t xml:space="preserve"> această evoluție fiind determinată în principal de creșterea plăților la bugetul de stat (+</w:t>
      </w:r>
      <w:r w:rsidR="00591EE9">
        <w:rPr>
          <w:bCs/>
        </w:rPr>
        <w:t>97,8</w:t>
      </w:r>
      <w:r w:rsidRPr="00C53F10">
        <w:rPr>
          <w:bCs/>
        </w:rPr>
        <w:t>%) și la bugetul instituțiilor publice finanțate integral sau parțial din venituri proprii(+</w:t>
      </w:r>
      <w:r w:rsidR="00591EE9">
        <w:rPr>
          <w:bCs/>
        </w:rPr>
        <w:t>146,4%</w:t>
      </w:r>
      <w:r w:rsidRPr="00C53F10">
        <w:rPr>
          <w:bCs/>
        </w:rPr>
        <w:t>).</w:t>
      </w:r>
    </w:p>
    <w:p w14:paraId="78CB6A1F" w14:textId="6141B2EE" w:rsidR="00500E21" w:rsidRPr="00C53F10" w:rsidRDefault="00500E21" w:rsidP="00500E21">
      <w:pPr>
        <w:spacing w:before="120" w:after="120" w:line="276" w:lineRule="auto"/>
        <w:jc w:val="both"/>
        <w:rPr>
          <w:bCs/>
        </w:rPr>
      </w:pPr>
      <w:r w:rsidRPr="00C53F10">
        <w:rPr>
          <w:bCs/>
        </w:rPr>
        <w:t xml:space="preserve">Plățile la bugetul de stat au fost în sumă de </w:t>
      </w:r>
      <w:r w:rsidR="00591EE9">
        <w:rPr>
          <w:bCs/>
        </w:rPr>
        <w:t>13,82</w:t>
      </w:r>
      <w:r w:rsidRPr="00C53F10">
        <w:rPr>
          <w:bCs/>
        </w:rPr>
        <w:t xml:space="preserve"> miliarde lei, reprezintă </w:t>
      </w:r>
      <w:r w:rsidR="00591EE9">
        <w:rPr>
          <w:bCs/>
        </w:rPr>
        <w:t>3,18</w:t>
      </w:r>
      <w:r w:rsidRPr="00C53F10">
        <w:rPr>
          <w:bCs/>
        </w:rPr>
        <w:t>% din totalul cheltuielilor bugetului de stat, şi sunt formate în principal din:</w:t>
      </w:r>
    </w:p>
    <w:p w14:paraId="6BC02A99" w14:textId="57E3D6E9" w:rsidR="00591EE9" w:rsidRPr="006A1F50" w:rsidRDefault="00591EE9" w:rsidP="00591EE9">
      <w:pPr>
        <w:numPr>
          <w:ilvl w:val="0"/>
          <w:numId w:val="8"/>
        </w:numPr>
        <w:tabs>
          <w:tab w:val="left" w:pos="1084"/>
        </w:tabs>
        <w:suppressAutoHyphens/>
        <w:spacing w:before="120"/>
        <w:ind w:left="1084"/>
        <w:jc w:val="both"/>
        <w:rPr>
          <w:rFonts w:ascii="Trebuchet MS" w:hAnsi="Trebuchet MS" w:cs="Arial"/>
          <w:bCs/>
        </w:rPr>
      </w:pPr>
      <w:r w:rsidRPr="006A1F50">
        <w:rPr>
          <w:rFonts w:ascii="Trebuchet MS" w:hAnsi="Trebuchet MS" w:cs="Arial"/>
          <w:bCs/>
        </w:rPr>
        <w:t xml:space="preserve">burse </w:t>
      </w:r>
      <w:r>
        <w:rPr>
          <w:rFonts w:ascii="Trebuchet MS" w:hAnsi="Trebuchet MS" w:cs="Arial"/>
          <w:bCs/>
        </w:rPr>
        <w:t>6,38 miliarde</w:t>
      </w:r>
      <w:r w:rsidRPr="006A1F50">
        <w:rPr>
          <w:rFonts w:ascii="Trebuchet MS" w:hAnsi="Trebuchet MS" w:cs="Arial"/>
          <w:bCs/>
        </w:rPr>
        <w:t xml:space="preserve"> lei (46</w:t>
      </w:r>
      <w:r w:rsidR="007071C6">
        <w:rPr>
          <w:rFonts w:ascii="Trebuchet MS" w:hAnsi="Trebuchet MS" w:cs="Arial"/>
          <w:bCs/>
        </w:rPr>
        <w:t>,</w:t>
      </w:r>
      <w:r w:rsidRPr="006A1F50">
        <w:rPr>
          <w:rFonts w:ascii="Trebuchet MS" w:hAnsi="Trebuchet MS" w:cs="Arial"/>
          <w:bCs/>
        </w:rPr>
        <w:t>17%);</w:t>
      </w:r>
    </w:p>
    <w:p w14:paraId="462F3089" w14:textId="18A58814" w:rsidR="00591EE9" w:rsidRPr="006A1F50" w:rsidRDefault="00591EE9" w:rsidP="00591EE9">
      <w:pPr>
        <w:numPr>
          <w:ilvl w:val="0"/>
          <w:numId w:val="8"/>
        </w:numPr>
        <w:tabs>
          <w:tab w:val="left" w:pos="1084"/>
        </w:tabs>
        <w:suppressAutoHyphens/>
        <w:spacing w:before="120"/>
        <w:ind w:left="1084"/>
        <w:jc w:val="both"/>
        <w:rPr>
          <w:rFonts w:ascii="Trebuchet MS" w:hAnsi="Trebuchet MS" w:cs="Arial"/>
          <w:bCs/>
        </w:rPr>
      </w:pPr>
      <w:r w:rsidRPr="006A1F50">
        <w:rPr>
          <w:rFonts w:ascii="Trebuchet MS" w:hAnsi="Trebuchet MS" w:cs="Arial"/>
          <w:bCs/>
        </w:rPr>
        <w:t xml:space="preserve">susținerea cultelor </w:t>
      </w:r>
      <w:r>
        <w:rPr>
          <w:rFonts w:ascii="Trebuchet MS" w:hAnsi="Trebuchet MS" w:cs="Arial"/>
          <w:bCs/>
        </w:rPr>
        <w:t>0,57 miliarde</w:t>
      </w:r>
      <w:r w:rsidRPr="006A1F50">
        <w:rPr>
          <w:rFonts w:ascii="Trebuchet MS" w:hAnsi="Trebuchet MS" w:cs="Arial"/>
          <w:bCs/>
        </w:rPr>
        <w:t xml:space="preserve"> lei (4</w:t>
      </w:r>
      <w:r w:rsidR="007071C6">
        <w:rPr>
          <w:rFonts w:ascii="Trebuchet MS" w:hAnsi="Trebuchet MS" w:cs="Arial"/>
          <w:bCs/>
        </w:rPr>
        <w:t>,</w:t>
      </w:r>
      <w:r w:rsidRPr="006A1F50">
        <w:rPr>
          <w:rFonts w:ascii="Trebuchet MS" w:hAnsi="Trebuchet MS" w:cs="Arial"/>
          <w:bCs/>
        </w:rPr>
        <w:t>15%);</w:t>
      </w:r>
    </w:p>
    <w:p w14:paraId="1B65C27A" w14:textId="3FCD1B35" w:rsidR="00591EE9" w:rsidRPr="006A1F50" w:rsidRDefault="00591EE9" w:rsidP="00591EE9">
      <w:pPr>
        <w:numPr>
          <w:ilvl w:val="0"/>
          <w:numId w:val="8"/>
        </w:numPr>
        <w:tabs>
          <w:tab w:val="left" w:pos="1084"/>
        </w:tabs>
        <w:suppressAutoHyphens/>
        <w:spacing w:before="120"/>
        <w:ind w:left="1084"/>
        <w:jc w:val="both"/>
        <w:rPr>
          <w:rFonts w:ascii="Trebuchet MS" w:hAnsi="Trebuchet MS" w:cs="Arial"/>
          <w:bCs/>
        </w:rPr>
      </w:pPr>
      <w:r w:rsidRPr="006A1F50">
        <w:rPr>
          <w:rFonts w:ascii="Trebuchet MS" w:hAnsi="Trebuchet MS" w:cs="Arial"/>
          <w:bCs/>
        </w:rPr>
        <w:t xml:space="preserve">contribuția statului la salarizarea personalului de cult </w:t>
      </w:r>
      <w:r>
        <w:rPr>
          <w:rFonts w:ascii="Trebuchet MS" w:hAnsi="Trebuchet MS" w:cs="Arial"/>
          <w:bCs/>
        </w:rPr>
        <w:t>1,38 miliarde</w:t>
      </w:r>
      <w:r w:rsidRPr="006A1F50">
        <w:rPr>
          <w:rFonts w:ascii="Trebuchet MS" w:hAnsi="Trebuchet MS" w:cs="Arial"/>
          <w:bCs/>
        </w:rPr>
        <w:t xml:space="preserve"> lei (9</w:t>
      </w:r>
      <w:r w:rsidR="007071C6">
        <w:rPr>
          <w:rFonts w:ascii="Trebuchet MS" w:hAnsi="Trebuchet MS" w:cs="Arial"/>
          <w:bCs/>
        </w:rPr>
        <w:t>,</w:t>
      </w:r>
      <w:r w:rsidRPr="006A1F50">
        <w:rPr>
          <w:rFonts w:ascii="Trebuchet MS" w:hAnsi="Trebuchet MS" w:cs="Arial"/>
          <w:bCs/>
        </w:rPr>
        <w:t>98%);</w:t>
      </w:r>
    </w:p>
    <w:p w14:paraId="29E27978" w14:textId="218BC08C" w:rsidR="00591EE9" w:rsidRPr="006A1F50" w:rsidRDefault="00591EE9" w:rsidP="00591EE9">
      <w:pPr>
        <w:numPr>
          <w:ilvl w:val="0"/>
          <w:numId w:val="8"/>
        </w:numPr>
        <w:tabs>
          <w:tab w:val="left" w:pos="1084"/>
        </w:tabs>
        <w:suppressAutoHyphens/>
        <w:spacing w:before="120" w:after="240"/>
        <w:ind w:left="1083" w:hanging="357"/>
        <w:jc w:val="both"/>
        <w:rPr>
          <w:rFonts w:ascii="Trebuchet MS" w:hAnsi="Trebuchet MS" w:cs="Arial"/>
          <w:bCs/>
        </w:rPr>
      </w:pPr>
      <w:r w:rsidRPr="006A1F50">
        <w:rPr>
          <w:rFonts w:ascii="Trebuchet MS" w:hAnsi="Trebuchet MS" w:cs="Arial"/>
          <w:bCs/>
        </w:rPr>
        <w:t xml:space="preserve">despăgubiri civile </w:t>
      </w:r>
      <w:r>
        <w:rPr>
          <w:rFonts w:ascii="Trebuchet MS" w:hAnsi="Trebuchet MS" w:cs="Arial"/>
          <w:bCs/>
        </w:rPr>
        <w:t>3,27 miliarde</w:t>
      </w:r>
      <w:r w:rsidRPr="006A1F50">
        <w:rPr>
          <w:rFonts w:ascii="Trebuchet MS" w:hAnsi="Trebuchet MS" w:cs="Arial"/>
          <w:bCs/>
        </w:rPr>
        <w:t xml:space="preserve"> lei (23</w:t>
      </w:r>
      <w:r w:rsidR="007071C6">
        <w:rPr>
          <w:rFonts w:ascii="Trebuchet MS" w:hAnsi="Trebuchet MS" w:cs="Arial"/>
          <w:bCs/>
        </w:rPr>
        <w:t>,</w:t>
      </w:r>
      <w:r w:rsidRPr="006A1F50">
        <w:rPr>
          <w:rFonts w:ascii="Trebuchet MS" w:hAnsi="Trebuchet MS" w:cs="Arial"/>
          <w:bCs/>
        </w:rPr>
        <w:t>68%)</w:t>
      </w:r>
      <w:r>
        <w:rPr>
          <w:rFonts w:ascii="Trebuchet MS" w:hAnsi="Trebuchet MS" w:cs="Arial"/>
          <w:bCs/>
        </w:rPr>
        <w:t>.</w:t>
      </w:r>
    </w:p>
    <w:p w14:paraId="2240D39E" w14:textId="38D8A163" w:rsidR="00591EE9" w:rsidRDefault="00591EE9" w:rsidP="00500E21">
      <w:pPr>
        <w:spacing w:after="120" w:line="276" w:lineRule="auto"/>
        <w:jc w:val="both"/>
        <w:rPr>
          <w:bCs/>
        </w:rPr>
      </w:pPr>
      <w:r w:rsidRPr="00591EE9">
        <w:rPr>
          <w:bCs/>
        </w:rPr>
        <w:t xml:space="preserve">Din totalul plăților cu despăgubirile civile, suma de </w:t>
      </w:r>
      <w:r>
        <w:rPr>
          <w:bCs/>
        </w:rPr>
        <w:t xml:space="preserve">2,98 miliarde </w:t>
      </w:r>
      <w:r w:rsidRPr="00591EE9">
        <w:rPr>
          <w:bCs/>
        </w:rPr>
        <w:t>lei, respectiv 91</w:t>
      </w:r>
      <w:r w:rsidR="007071C6">
        <w:rPr>
          <w:bCs/>
        </w:rPr>
        <w:t>,</w:t>
      </w:r>
      <w:r w:rsidR="00764877">
        <w:rPr>
          <w:bCs/>
        </w:rPr>
        <w:t>0</w:t>
      </w:r>
      <w:r w:rsidRPr="00591EE9">
        <w:rPr>
          <w:bCs/>
        </w:rPr>
        <w:t xml:space="preserve">% a fost utilizată de Ministerul Finanțelor, în principal pentru: achitarea de despăgubiri în baza legilor de restituire a proprietăților; despăgubiri provenite din aplicarea legislației privind creanțele fiscale administrate de Ministerul Finanțelor și Agenția Națională de Administrare Fiscală; alte daune stabilite ca fiind datorate de Ministerul Finanțelor și de Agenția Națională de Administrare Fiscală, în nume propriu sau în reprezentarea intereselor statului, pe baza hotărârilor executorii ale instanțelor judecătorești sau arbitrale, precum și obligațiile bănești ale statului român, născute din aplicarea Convenției europene a drepturilor omului și constatate prin acorduri de soluționare amiabilă, prin decizii ale Comitetului Miniștrilor Consiliului Europei și hotărâri ale Curții Europene a Drepturilor Omului. </w:t>
      </w:r>
    </w:p>
    <w:p w14:paraId="6DCC141B" w14:textId="72894E89" w:rsidR="00500E21" w:rsidRPr="00B767EB" w:rsidRDefault="00500E21" w:rsidP="00B767EB">
      <w:pPr>
        <w:spacing w:after="120" w:line="276" w:lineRule="auto"/>
        <w:jc w:val="both"/>
      </w:pPr>
      <w:r w:rsidRPr="00B767EB">
        <w:rPr>
          <w:b/>
        </w:rPr>
        <w:t>Cheltuielile pentru investiții</w:t>
      </w:r>
      <w:r w:rsidRPr="00B767EB">
        <w:t xml:space="preserve">, care includ cheltuielile de capital, precum și cele aferente programelor de dezvoltare finanțate din surse interne și externe, au însumat </w:t>
      </w:r>
      <w:r w:rsidR="00B767EB" w:rsidRPr="00B767EB">
        <w:rPr>
          <w:bCs/>
        </w:rPr>
        <w:t>119,45</w:t>
      </w:r>
      <w:r w:rsidRPr="00B767EB">
        <w:t xml:space="preserve"> miliarde lei (6,</w:t>
      </w:r>
      <w:r w:rsidR="00B767EB" w:rsidRPr="00B767EB">
        <w:t>79</w:t>
      </w:r>
      <w:r w:rsidRPr="00B767EB">
        <w:t xml:space="preserve">% din PIB) și prezintă o creștere de </w:t>
      </w:r>
      <w:r w:rsidR="00B767EB" w:rsidRPr="00B767EB">
        <w:t>18,7</w:t>
      </w:r>
      <w:r w:rsidRPr="00B767EB">
        <w:t>% față cele înregistrate în anul 202</w:t>
      </w:r>
      <w:r w:rsidR="00B767EB" w:rsidRPr="00B767EB">
        <w:t>3</w:t>
      </w:r>
      <w:r w:rsidRPr="00B767EB">
        <w:t xml:space="preserve">. </w:t>
      </w:r>
    </w:p>
    <w:p w14:paraId="492C47D8" w14:textId="2F2554CD" w:rsidR="00B767EB" w:rsidRDefault="00500E21" w:rsidP="00B767EB">
      <w:pPr>
        <w:spacing w:after="120" w:line="276" w:lineRule="auto"/>
        <w:jc w:val="both"/>
      </w:pPr>
      <w:r w:rsidRPr="00B767EB">
        <w:t xml:space="preserve">Cheltuielile pentru investiții au crescut ca pondere în PIB cu </w:t>
      </w:r>
      <w:r w:rsidR="00B767EB">
        <w:t>0,5</w:t>
      </w:r>
      <w:r w:rsidRPr="00B767EB">
        <w:t xml:space="preserve"> puncte procentuale de la </w:t>
      </w:r>
      <w:r w:rsidR="00B767EB">
        <w:t>6,3</w:t>
      </w:r>
      <w:r w:rsidRPr="00B767EB">
        <w:t>% din PIB în anul 202</w:t>
      </w:r>
      <w:r w:rsidR="00B767EB">
        <w:t>3</w:t>
      </w:r>
      <w:r w:rsidRPr="00B767EB">
        <w:t xml:space="preserve"> la 6,</w:t>
      </w:r>
      <w:r w:rsidR="00B767EB">
        <w:t>8</w:t>
      </w:r>
      <w:r w:rsidRPr="00B767EB">
        <w:t>% din PIB în 202</w:t>
      </w:r>
      <w:r w:rsidR="00B767EB">
        <w:t>4</w:t>
      </w:r>
      <w:r w:rsidRPr="00B767EB">
        <w:t>.</w:t>
      </w:r>
      <w:r w:rsidRPr="00B767EB">
        <w:tab/>
        <w:t xml:space="preserve"> </w:t>
      </w:r>
    </w:p>
    <w:p w14:paraId="46330D9F" w14:textId="77777777" w:rsidR="00B767EB" w:rsidRDefault="00B767EB">
      <w:r>
        <w:br w:type="page"/>
      </w:r>
    </w:p>
    <w:p w14:paraId="2FAFC355" w14:textId="77777777" w:rsidR="00500E21" w:rsidRPr="00C53F10" w:rsidRDefault="00500E21" w:rsidP="00500E21">
      <w:pPr>
        <w:spacing w:after="120" w:line="276" w:lineRule="auto"/>
        <w:jc w:val="center"/>
        <w:rPr>
          <w:b/>
          <w:bCs/>
        </w:rPr>
      </w:pPr>
      <w:r w:rsidRPr="00C53F10">
        <w:rPr>
          <w:b/>
          <w:bCs/>
        </w:rPr>
        <w:lastRenderedPageBreak/>
        <w:t>Evoluția principalelor domenii finanțate din bugetul general consolidat</w:t>
      </w:r>
    </w:p>
    <w:p w14:paraId="04E56DB9" w14:textId="460500C3" w:rsidR="00500E21" w:rsidRPr="00C53F10" w:rsidRDefault="00B15461" w:rsidP="00500E21">
      <w:pPr>
        <w:spacing w:after="240" w:line="276" w:lineRule="auto"/>
        <w:jc w:val="center"/>
        <w:rPr>
          <w:b/>
          <w:bCs/>
          <w:color w:val="FF0000"/>
        </w:rPr>
      </w:pPr>
      <w:r w:rsidRPr="00B15461">
        <w:rPr>
          <w:noProof/>
          <w:lang w:val="en-US" w:eastAsia="en-US"/>
        </w:rPr>
        <w:drawing>
          <wp:inline distT="0" distB="0" distL="0" distR="0" wp14:anchorId="53D36458" wp14:editId="090E120E">
            <wp:extent cx="6125210" cy="4081171"/>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5210" cy="4081171"/>
                    </a:xfrm>
                    <a:prstGeom prst="rect">
                      <a:avLst/>
                    </a:prstGeom>
                    <a:noFill/>
                    <a:ln>
                      <a:noFill/>
                    </a:ln>
                  </pic:spPr>
                </pic:pic>
              </a:graphicData>
            </a:graphic>
          </wp:inline>
        </w:drawing>
      </w:r>
    </w:p>
    <w:p w14:paraId="4F632D54" w14:textId="6AA4E36B" w:rsidR="00030350" w:rsidRDefault="00500E21" w:rsidP="00500E21">
      <w:pPr>
        <w:spacing w:after="240" w:line="276" w:lineRule="auto"/>
        <w:jc w:val="both"/>
        <w:rPr>
          <w:bCs/>
        </w:rPr>
      </w:pPr>
      <w:r w:rsidRPr="00C53F10">
        <w:rPr>
          <w:bCs/>
        </w:rPr>
        <w:t>În ceea ce privește cheltuielile pe principalele domenii în anul 202</w:t>
      </w:r>
      <w:r w:rsidR="00030350">
        <w:rPr>
          <w:bCs/>
        </w:rPr>
        <w:t>4</w:t>
      </w:r>
      <w:r w:rsidRPr="00C53F10">
        <w:rPr>
          <w:bCs/>
        </w:rPr>
        <w:t xml:space="preserve"> comparativ cu 202</w:t>
      </w:r>
      <w:r w:rsidR="00030350">
        <w:rPr>
          <w:bCs/>
        </w:rPr>
        <w:t>3</w:t>
      </w:r>
      <w:r w:rsidRPr="00C53F10">
        <w:rPr>
          <w:bCs/>
        </w:rPr>
        <w:t xml:space="preserve"> se constată creșteri în cazul majorității domeniilor, cele mai semnificative înregistrându-se în domeniul </w:t>
      </w:r>
      <w:r w:rsidR="00030350">
        <w:rPr>
          <w:bCs/>
        </w:rPr>
        <w:t>apărării</w:t>
      </w:r>
      <w:r w:rsidR="00B15461">
        <w:rPr>
          <w:bCs/>
        </w:rPr>
        <w:t xml:space="preserve"> </w:t>
      </w:r>
      <w:r w:rsidR="00030350">
        <w:rPr>
          <w:bCs/>
        </w:rPr>
        <w:t>(+63,8%), în domeniul învățământ</w:t>
      </w:r>
      <w:r w:rsidR="00B15461">
        <w:rPr>
          <w:bCs/>
        </w:rPr>
        <w:t xml:space="preserve"> </w:t>
      </w:r>
      <w:r w:rsidR="00030350">
        <w:rPr>
          <w:bCs/>
        </w:rPr>
        <w:t xml:space="preserve">(+32,5%), în domeniul </w:t>
      </w:r>
      <w:r w:rsidRPr="00C53F10">
        <w:rPr>
          <w:bCs/>
        </w:rPr>
        <w:t>protecției mediului (+</w:t>
      </w:r>
      <w:r w:rsidR="00030350">
        <w:rPr>
          <w:bCs/>
        </w:rPr>
        <w:t>25,1</w:t>
      </w:r>
      <w:r w:rsidRPr="00C53F10">
        <w:rPr>
          <w:bCs/>
        </w:rPr>
        <w:t>%);</w:t>
      </w:r>
      <w:r w:rsidR="00030350">
        <w:rPr>
          <w:bCs/>
        </w:rPr>
        <w:t xml:space="preserve"> în domeniul transporturi</w:t>
      </w:r>
      <w:r w:rsidR="00764877">
        <w:rPr>
          <w:bCs/>
        </w:rPr>
        <w:t>lor</w:t>
      </w:r>
      <w:r w:rsidR="00030350">
        <w:rPr>
          <w:bCs/>
        </w:rPr>
        <w:t xml:space="preserve"> (+29,</w:t>
      </w:r>
      <w:r w:rsidR="00764877">
        <w:rPr>
          <w:bCs/>
        </w:rPr>
        <w:t>3</w:t>
      </w:r>
      <w:r w:rsidR="00030350">
        <w:rPr>
          <w:bCs/>
        </w:rPr>
        <w:t>%),</w:t>
      </w:r>
      <w:r w:rsidR="00030350" w:rsidRPr="00030350">
        <w:rPr>
          <w:bCs/>
        </w:rPr>
        <w:t xml:space="preserve"> </w:t>
      </w:r>
      <w:r w:rsidR="00030350" w:rsidRPr="00C53F10">
        <w:rPr>
          <w:bCs/>
        </w:rPr>
        <w:t>în domeniul agriculturii (+</w:t>
      </w:r>
      <w:r w:rsidR="00030350">
        <w:rPr>
          <w:bCs/>
        </w:rPr>
        <w:t>22,2</w:t>
      </w:r>
      <w:r w:rsidR="00030350" w:rsidRPr="00C53F10">
        <w:rPr>
          <w:bCs/>
        </w:rPr>
        <w:t>%)</w:t>
      </w:r>
      <w:r w:rsidR="00764877">
        <w:rPr>
          <w:bCs/>
        </w:rPr>
        <w:t>;</w:t>
      </w:r>
      <w:r w:rsidR="00030350">
        <w:rPr>
          <w:bCs/>
        </w:rPr>
        <w:t xml:space="preserve"> în domeniul tranzacțiilor privind datoria publică și împrumuturi (+21,3%), </w:t>
      </w:r>
      <w:r w:rsidRPr="00C53F10">
        <w:rPr>
          <w:bCs/>
        </w:rPr>
        <w:t>în domeniul locuințe, servicii și dezvoltare publică (+</w:t>
      </w:r>
      <w:r w:rsidR="00030350">
        <w:rPr>
          <w:bCs/>
        </w:rPr>
        <w:t>19,4</w:t>
      </w:r>
      <w:r w:rsidRPr="00C53F10">
        <w:rPr>
          <w:bCs/>
        </w:rPr>
        <w:t>%)</w:t>
      </w:r>
      <w:r w:rsidR="00030350">
        <w:rPr>
          <w:bCs/>
        </w:rPr>
        <w:t>. Diminuări ale cheltuielilor se înregistrează în principal în domeniul combustibil și energie(-9,0%).</w:t>
      </w:r>
    </w:p>
    <w:p w14:paraId="04408A59" w14:textId="77777777" w:rsidR="00500E21" w:rsidRPr="00C53F10" w:rsidRDefault="00500E21" w:rsidP="00500E21">
      <w:pPr>
        <w:pStyle w:val="ListParagraph"/>
        <w:numPr>
          <w:ilvl w:val="2"/>
          <w:numId w:val="22"/>
        </w:numPr>
        <w:spacing w:after="120" w:line="276" w:lineRule="auto"/>
        <w:jc w:val="both"/>
        <w:rPr>
          <w:rFonts w:cs="Tahoma"/>
          <w:b/>
          <w:bCs/>
          <w:color w:val="000000"/>
          <w:sz w:val="24"/>
          <w:szCs w:val="24"/>
        </w:rPr>
      </w:pPr>
      <w:r w:rsidRPr="00C53F10">
        <w:rPr>
          <w:rFonts w:cs="Tahoma"/>
          <w:b/>
          <w:bCs/>
          <w:color w:val="000000"/>
          <w:sz w:val="24"/>
          <w:szCs w:val="24"/>
        </w:rPr>
        <w:t>Arieratele înregistrate de administrația centrală și locală</w:t>
      </w:r>
    </w:p>
    <w:p w14:paraId="3B082045" w14:textId="77777777" w:rsidR="00500E21" w:rsidRPr="00C53F10" w:rsidRDefault="00500E21" w:rsidP="00500E21">
      <w:pPr>
        <w:pStyle w:val="BodyText2"/>
        <w:spacing w:after="240" w:line="276" w:lineRule="auto"/>
        <w:jc w:val="both"/>
        <w:rPr>
          <w:rFonts w:ascii="Tahoma" w:hAnsi="Tahoma" w:cs="Tahoma"/>
          <w:sz w:val="24"/>
          <w:szCs w:val="24"/>
          <w:lang w:val="ro-RO"/>
        </w:rPr>
      </w:pPr>
      <w:r w:rsidRPr="00C53F10">
        <w:rPr>
          <w:rFonts w:ascii="Tahoma" w:hAnsi="Tahoma" w:cs="Tahoma"/>
          <w:bCs/>
          <w:sz w:val="24"/>
          <w:szCs w:val="24"/>
          <w:lang w:val="ro-RO"/>
        </w:rPr>
        <w:t xml:space="preserve">Arieratele </w:t>
      </w:r>
      <w:r w:rsidRPr="00C53F10">
        <w:rPr>
          <w:rFonts w:ascii="Tahoma" w:hAnsi="Tahoma" w:cs="Tahoma"/>
          <w:sz w:val="24"/>
          <w:szCs w:val="24"/>
          <w:lang w:val="ro-RO"/>
        </w:rPr>
        <w:t xml:space="preserve">rămân o problemă sensibilă în economia românească, principalul obstacol în promovarea reformei economice, </w:t>
      </w:r>
      <w:r w:rsidRPr="00C53F10">
        <w:rPr>
          <w:rFonts w:ascii="Tahoma" w:hAnsi="Tahoma" w:cs="Tahoma"/>
          <w:bCs/>
          <w:sz w:val="24"/>
          <w:szCs w:val="24"/>
          <w:lang w:val="ro-RO"/>
        </w:rPr>
        <w:t>prin menținerea unei presiuni constante asupra cererii agregate, inflației și contului curent</w:t>
      </w:r>
      <w:r w:rsidRPr="00C53F10">
        <w:rPr>
          <w:rFonts w:ascii="Tahoma" w:hAnsi="Tahoma" w:cs="Tahoma"/>
          <w:sz w:val="24"/>
          <w:szCs w:val="24"/>
          <w:lang w:val="ro-RO"/>
        </w:rPr>
        <w:t xml:space="preserve">. </w:t>
      </w:r>
    </w:p>
    <w:p w14:paraId="41CAC9CA" w14:textId="5A667E5B" w:rsidR="00500E21" w:rsidRPr="00C53F10" w:rsidRDefault="004D6AD6" w:rsidP="00500E21">
      <w:pPr>
        <w:pStyle w:val="BodyText2"/>
        <w:spacing w:after="240" w:line="276" w:lineRule="auto"/>
        <w:jc w:val="both"/>
        <w:rPr>
          <w:rFonts w:ascii="Tahoma" w:hAnsi="Tahoma" w:cs="Tahoma"/>
          <w:sz w:val="24"/>
          <w:szCs w:val="24"/>
          <w:lang w:val="ro-RO"/>
        </w:rPr>
      </w:pPr>
      <w:r>
        <w:rPr>
          <w:rFonts w:ascii="Tahoma" w:hAnsi="Tahoma" w:cs="Tahoma"/>
          <w:noProof/>
          <w:lang w:val="en-US" w:eastAsia="en-US"/>
        </w:rPr>
        <w:pict w14:anchorId="67BD0B47">
          <v:shape id="_x0000_i1040" type="#_x0000_t75" style="width:481pt;height:114pt">
            <v:imagedata r:id="rId28" o:title=""/>
          </v:shape>
        </w:pict>
      </w:r>
    </w:p>
    <w:p w14:paraId="1BAC123E" w14:textId="45FF5F38" w:rsidR="00500E21" w:rsidRPr="00C53F10" w:rsidRDefault="00500E21" w:rsidP="00500E21">
      <w:pPr>
        <w:spacing w:before="240" w:line="276" w:lineRule="auto"/>
        <w:jc w:val="both"/>
      </w:pPr>
      <w:r w:rsidRPr="00C53F10">
        <w:t>Arieratele înregistrate de către principalele bugete componente ale bugetului general consolidat la finele anului 202</w:t>
      </w:r>
      <w:r w:rsidR="008E51E2">
        <w:t>4</w:t>
      </w:r>
      <w:r w:rsidRPr="00C53F10">
        <w:t xml:space="preserve"> au fost în sumă de </w:t>
      </w:r>
      <w:r w:rsidR="008E51E2">
        <w:t>519,96</w:t>
      </w:r>
      <w:r w:rsidRPr="00C53F10">
        <w:t xml:space="preserve"> milioane lei (0,0</w:t>
      </w:r>
      <w:r w:rsidR="008E51E2">
        <w:t>3</w:t>
      </w:r>
      <w:r w:rsidRPr="00C53F10">
        <w:t xml:space="preserve">% din PIB) cu </w:t>
      </w:r>
      <w:r w:rsidR="008E51E2">
        <w:t>233,49</w:t>
      </w:r>
      <w:r w:rsidRPr="00C53F10">
        <w:t xml:space="preserve"> milioane lei peste nivelul înregistrat la sfârșitul anului 202</w:t>
      </w:r>
      <w:r w:rsidR="008E51E2">
        <w:t>3</w:t>
      </w:r>
      <w:r w:rsidRPr="00C53F10">
        <w:t>.</w:t>
      </w:r>
    </w:p>
    <w:p w14:paraId="33448F6B" w14:textId="4DA69D31" w:rsidR="00500E21" w:rsidRPr="00C53F10" w:rsidRDefault="00500E21" w:rsidP="00500E21">
      <w:pPr>
        <w:spacing w:after="240" w:line="276" w:lineRule="auto"/>
        <w:jc w:val="both"/>
      </w:pPr>
      <w:r w:rsidRPr="00C53F10">
        <w:lastRenderedPageBreak/>
        <w:t xml:space="preserve">Această evoluție a fost determinată </w:t>
      </w:r>
      <w:r w:rsidR="008E51E2">
        <w:t xml:space="preserve">în principal </w:t>
      </w:r>
      <w:r w:rsidRPr="00C53F10">
        <w:t xml:space="preserve">de creșterea arieratelor înregistrate la nivelul </w:t>
      </w:r>
      <w:r w:rsidR="008E51E2" w:rsidRPr="00C53F10">
        <w:t>unitățil</w:t>
      </w:r>
      <w:r w:rsidR="008E51E2">
        <w:t>or</w:t>
      </w:r>
      <w:r w:rsidR="008E51E2" w:rsidRPr="00C53F10">
        <w:t xml:space="preserve"> administrativ-teritoriale</w:t>
      </w:r>
      <w:r w:rsidR="008E51E2">
        <w:t xml:space="preserve"> cu 201,77 milioane lei dar si la nivelul </w:t>
      </w:r>
      <w:r w:rsidRPr="00C53F10">
        <w:t xml:space="preserve">administrației centrale, cu </w:t>
      </w:r>
      <w:r w:rsidR="008E51E2">
        <w:t>31,72</w:t>
      </w:r>
      <w:r w:rsidRPr="00C53F10">
        <w:t xml:space="preserve"> milioane lei</w:t>
      </w:r>
      <w:r w:rsidR="008E51E2">
        <w:t>.</w:t>
      </w:r>
      <w:r w:rsidRPr="00C53F10">
        <w:t xml:space="preserve"> </w:t>
      </w:r>
    </w:p>
    <w:p w14:paraId="683ECCDE" w14:textId="1DF30F7E" w:rsidR="00500E21" w:rsidRPr="00C53F10" w:rsidRDefault="004D6AD6" w:rsidP="00500E21">
      <w:pPr>
        <w:pStyle w:val="NormalWeb"/>
        <w:spacing w:before="0" w:after="0" w:line="276" w:lineRule="auto"/>
        <w:ind w:left="1080" w:hanging="1080"/>
        <w:rPr>
          <w:rFonts w:ascii="Tahoma" w:hAnsi="Tahoma" w:cs="Tahoma"/>
        </w:rPr>
      </w:pPr>
      <w:r>
        <w:rPr>
          <w:rFonts w:ascii="Tahoma" w:hAnsi="Tahoma" w:cs="Tahoma"/>
          <w:noProof/>
          <w:shd w:val="clear" w:color="auto" w:fill="E2EFD9" w:themeFill="accent6" w:themeFillTint="33"/>
          <w:lang w:val="en-US" w:eastAsia="en-US"/>
        </w:rPr>
        <w:pict w14:anchorId="488B2ABA">
          <v:shape id="_x0000_i1041" type="#_x0000_t75" style="width:480.5pt;height:218pt">
            <v:imagedata r:id="rId29" o:title=""/>
          </v:shape>
        </w:pict>
      </w:r>
    </w:p>
    <w:p w14:paraId="4C46480D" w14:textId="77777777" w:rsidR="00500E21" w:rsidRPr="00C53F10" w:rsidRDefault="00500E21" w:rsidP="00500E21">
      <w:pPr>
        <w:pStyle w:val="NormalWeb"/>
        <w:spacing w:before="0" w:after="0" w:line="276" w:lineRule="auto"/>
        <w:ind w:left="1080" w:hanging="360"/>
        <w:rPr>
          <w:rFonts w:ascii="Tahoma" w:hAnsi="Tahoma" w:cs="Tahoma"/>
        </w:rPr>
      </w:pPr>
    </w:p>
    <w:p w14:paraId="6D3127A1" w14:textId="77777777" w:rsidR="008231B5" w:rsidRPr="008231B5" w:rsidRDefault="008231B5" w:rsidP="008231B5">
      <w:pPr>
        <w:suppressAutoHyphens/>
        <w:spacing w:after="120" w:line="276" w:lineRule="auto"/>
        <w:jc w:val="both"/>
        <w:rPr>
          <w:rFonts w:eastAsia="Times New Roman"/>
          <w:lang w:eastAsia="zh-CN"/>
        </w:rPr>
      </w:pPr>
      <w:r w:rsidRPr="008231B5">
        <w:rPr>
          <w:rFonts w:eastAsia="Times New Roman"/>
          <w:bCs/>
          <w:lang w:eastAsia="zh-CN"/>
        </w:rPr>
        <w:t>Comparativ cu anul 2023,</w:t>
      </w:r>
      <w:r w:rsidRPr="008231B5">
        <w:rPr>
          <w:rFonts w:eastAsia="Times New Roman"/>
          <w:b/>
          <w:bCs/>
          <w:lang w:eastAsia="zh-CN"/>
        </w:rPr>
        <w:t xml:space="preserve"> </w:t>
      </w:r>
      <w:r w:rsidRPr="008231B5">
        <w:rPr>
          <w:rFonts w:eastAsia="Times New Roman"/>
          <w:lang w:eastAsia="zh-CN"/>
        </w:rPr>
        <w:t xml:space="preserve">în anul 2024 </w:t>
      </w:r>
      <w:r w:rsidRPr="008231B5">
        <w:rPr>
          <w:rFonts w:eastAsia="Times New Roman"/>
          <w:b/>
          <w:lang w:eastAsia="zh-CN"/>
        </w:rPr>
        <w:t>pe baza datelor preliminate</w:t>
      </w:r>
      <w:r w:rsidRPr="008231B5">
        <w:rPr>
          <w:rFonts w:eastAsia="Times New Roman"/>
          <w:lang w:eastAsia="zh-CN"/>
        </w:rPr>
        <w:t xml:space="preserve"> centralizate, se constată următoarele:</w:t>
      </w:r>
    </w:p>
    <w:p w14:paraId="11CA46C0" w14:textId="77777777" w:rsidR="008231B5" w:rsidRPr="008231B5" w:rsidRDefault="008231B5" w:rsidP="008231B5">
      <w:pPr>
        <w:numPr>
          <w:ilvl w:val="0"/>
          <w:numId w:val="49"/>
        </w:numPr>
        <w:suppressAutoHyphens/>
        <w:spacing w:after="120" w:line="276" w:lineRule="auto"/>
        <w:jc w:val="both"/>
        <w:rPr>
          <w:rFonts w:eastAsia="Times New Roman"/>
          <w:lang w:eastAsia="zh-CN"/>
        </w:rPr>
      </w:pPr>
      <w:r w:rsidRPr="008231B5">
        <w:rPr>
          <w:rFonts w:eastAsia="Times New Roman"/>
          <w:u w:val="single"/>
          <w:lang w:eastAsia="zh-CN"/>
        </w:rPr>
        <w:t>plățile restante ale operatorilor economici de subordonare centrală aflați în stare de activitate</w:t>
      </w:r>
      <w:r w:rsidRPr="008231B5">
        <w:rPr>
          <w:rFonts w:eastAsia="Times New Roman"/>
          <w:lang w:eastAsia="zh-CN"/>
        </w:rPr>
        <w:t xml:space="preserve"> au scăzut cu 1.296.319 mii lei, de la 7.965.571 mii lei în anul 2023 date finale, la 6.669.252 mii lei în anul 2024 date preliminate;</w:t>
      </w:r>
    </w:p>
    <w:p w14:paraId="1808DF96" w14:textId="77777777" w:rsidR="008231B5" w:rsidRPr="008231B5" w:rsidRDefault="008231B5" w:rsidP="008231B5">
      <w:pPr>
        <w:pStyle w:val="ListParagraph"/>
        <w:suppressAutoHyphens/>
        <w:spacing w:after="120" w:line="276" w:lineRule="auto"/>
        <w:jc w:val="both"/>
        <w:rPr>
          <w:sz w:val="24"/>
          <w:szCs w:val="24"/>
          <w:lang w:eastAsia="zh-CN"/>
        </w:rPr>
      </w:pPr>
      <w:r w:rsidRPr="008231B5">
        <w:rPr>
          <w:sz w:val="24"/>
          <w:szCs w:val="24"/>
          <w:lang w:eastAsia="zh-CN"/>
        </w:rPr>
        <w:t>Operatorii economici de subordonare centrală aflați în stare de activitate, care au înregistrat cele mai semnificative scăderi ale plăților restante în anul 2024 față de anul 2023 au fost:</w:t>
      </w:r>
    </w:p>
    <w:p w14:paraId="27763AEF" w14:textId="77777777" w:rsidR="008231B5" w:rsidRPr="008231B5" w:rsidRDefault="008231B5" w:rsidP="008231B5">
      <w:pPr>
        <w:numPr>
          <w:ilvl w:val="0"/>
          <w:numId w:val="50"/>
        </w:numPr>
        <w:suppressAutoHyphens/>
        <w:spacing w:after="120" w:line="276" w:lineRule="auto"/>
        <w:ind w:left="1474" w:hanging="340"/>
        <w:jc w:val="both"/>
        <w:rPr>
          <w:rFonts w:eastAsia="Times New Roman"/>
          <w:lang w:eastAsia="zh-CN"/>
        </w:rPr>
      </w:pPr>
      <w:r w:rsidRPr="008231B5">
        <w:rPr>
          <w:rFonts w:eastAsia="Times New Roman"/>
          <w:lang w:eastAsia="zh-CN"/>
        </w:rPr>
        <w:t>COMPANIA NATIONALA UNIFARM SA de la 1.330.707 mii lei în anul 2023 la 0 mii lei în anul 2024;</w:t>
      </w:r>
    </w:p>
    <w:p w14:paraId="7DBFBA90" w14:textId="77777777" w:rsidR="008231B5" w:rsidRPr="008231B5" w:rsidRDefault="008231B5" w:rsidP="008231B5">
      <w:pPr>
        <w:numPr>
          <w:ilvl w:val="0"/>
          <w:numId w:val="50"/>
        </w:numPr>
        <w:suppressAutoHyphens/>
        <w:spacing w:after="120" w:line="276" w:lineRule="auto"/>
        <w:ind w:left="1474" w:hanging="340"/>
        <w:jc w:val="both"/>
        <w:rPr>
          <w:rFonts w:eastAsia="Times New Roman"/>
          <w:lang w:eastAsia="zh-CN"/>
        </w:rPr>
      </w:pPr>
      <w:r w:rsidRPr="008231B5">
        <w:rPr>
          <w:rFonts w:eastAsia="Times New Roman"/>
          <w:lang w:eastAsia="zh-CN"/>
        </w:rPr>
        <w:t>COMPANIA NATIONALA DE TRANSPORTURI AERIENE ROMANE TAROM SA- cu suma de 105.298 mii lei, de la 257.236 mii lei în anul 2023 la 151.938 mii lei în anul 2024;</w:t>
      </w:r>
    </w:p>
    <w:p w14:paraId="24CB9B90" w14:textId="77777777" w:rsidR="008231B5" w:rsidRPr="008231B5" w:rsidRDefault="008231B5" w:rsidP="008231B5">
      <w:pPr>
        <w:numPr>
          <w:ilvl w:val="0"/>
          <w:numId w:val="49"/>
        </w:numPr>
        <w:suppressAutoHyphens/>
        <w:spacing w:after="120" w:line="276" w:lineRule="auto"/>
        <w:jc w:val="both"/>
        <w:rPr>
          <w:rFonts w:eastAsia="Times New Roman"/>
          <w:lang w:eastAsia="zh-CN"/>
        </w:rPr>
      </w:pPr>
      <w:r w:rsidRPr="008231B5">
        <w:rPr>
          <w:rFonts w:eastAsia="Times New Roman"/>
          <w:u w:val="single"/>
          <w:lang w:eastAsia="zh-CN"/>
        </w:rPr>
        <w:t>plățile restante ale operatorilor economici de subordonare centrală aflați în stare de inactivitate</w:t>
      </w:r>
      <w:r w:rsidRPr="008231B5">
        <w:rPr>
          <w:rFonts w:eastAsia="Times New Roman"/>
          <w:lang w:eastAsia="zh-CN"/>
        </w:rPr>
        <w:t xml:space="preserve"> (insolvență și reorganizare) au crescut cu 949.694 mii lei de la 4.242.542 mii lei în anul 2023 date finale, la 5.192.236 mii lei în anul 2024 date preliminate;</w:t>
      </w:r>
    </w:p>
    <w:p w14:paraId="321BB4FC" w14:textId="77777777" w:rsidR="008231B5" w:rsidRPr="008231B5" w:rsidRDefault="008231B5" w:rsidP="008231B5">
      <w:pPr>
        <w:tabs>
          <w:tab w:val="left" w:pos="851"/>
        </w:tabs>
        <w:suppressAutoHyphens/>
        <w:spacing w:after="120" w:line="276" w:lineRule="auto"/>
        <w:ind w:left="737" w:hanging="28"/>
        <w:jc w:val="both"/>
        <w:rPr>
          <w:rFonts w:eastAsia="Times New Roman"/>
          <w:lang w:eastAsia="zh-CN"/>
        </w:rPr>
      </w:pPr>
      <w:r w:rsidRPr="008231B5">
        <w:rPr>
          <w:rFonts w:eastAsia="Times New Roman"/>
          <w:lang w:eastAsia="zh-CN"/>
        </w:rPr>
        <w:t>Operatorii economici de subordonare centrală aflați în stare de inactivitate, care au înregistrat cea mai importantă creștere a plăților restante în anul 2024 față de anul 2023 au fost:</w:t>
      </w:r>
    </w:p>
    <w:p w14:paraId="6BFB00EF" w14:textId="77777777" w:rsidR="008231B5" w:rsidRPr="008231B5" w:rsidRDefault="008231B5" w:rsidP="008231B5">
      <w:pPr>
        <w:numPr>
          <w:ilvl w:val="0"/>
          <w:numId w:val="7"/>
        </w:numPr>
        <w:suppressAutoHyphens/>
        <w:spacing w:after="120" w:line="276" w:lineRule="auto"/>
        <w:ind w:left="1491" w:hanging="357"/>
        <w:jc w:val="both"/>
        <w:rPr>
          <w:rFonts w:eastAsia="Times New Roman"/>
          <w:lang w:eastAsia="zh-CN"/>
        </w:rPr>
      </w:pPr>
      <w:r w:rsidRPr="008231B5">
        <w:rPr>
          <w:rFonts w:eastAsia="Times New Roman"/>
          <w:lang w:eastAsia="zh-CN"/>
        </w:rPr>
        <w:t xml:space="preserve">ROMAERO SA cu suma de 533.681 mii lei, de la 274.792 mii lei în anul 2023 la 808.473 mii lei în anul 2024 </w:t>
      </w:r>
      <w:bookmarkStart w:id="12" w:name="_Hlk197945338"/>
      <w:r w:rsidRPr="008231B5">
        <w:rPr>
          <w:rFonts w:eastAsia="Times New Roman"/>
          <w:lang w:eastAsia="zh-CN"/>
        </w:rPr>
        <w:t>(când a intrat în starea de insolvență);</w:t>
      </w:r>
      <w:bookmarkEnd w:id="12"/>
    </w:p>
    <w:p w14:paraId="175FC56A" w14:textId="77777777" w:rsidR="008231B5" w:rsidRPr="008231B5" w:rsidRDefault="008231B5" w:rsidP="008231B5">
      <w:pPr>
        <w:numPr>
          <w:ilvl w:val="0"/>
          <w:numId w:val="7"/>
        </w:numPr>
        <w:suppressAutoHyphens/>
        <w:spacing w:after="120" w:line="276" w:lineRule="auto"/>
        <w:ind w:left="1491" w:hanging="357"/>
        <w:jc w:val="both"/>
        <w:rPr>
          <w:rFonts w:eastAsia="Times New Roman"/>
          <w:lang w:eastAsia="zh-CN"/>
        </w:rPr>
      </w:pPr>
      <w:r w:rsidRPr="008231B5">
        <w:rPr>
          <w:rFonts w:eastAsia="Times New Roman"/>
          <w:lang w:eastAsia="zh-CN"/>
        </w:rPr>
        <w:t>DAMEN SHIPYARDS MANGALIA SA cu suma de 92.035 mii lei, de la 57.935 mii lei în anul 2023 la 149.970 mii lei în anul 2024 (când a intrat în starea de insolvență);</w:t>
      </w:r>
    </w:p>
    <w:p w14:paraId="50253F42" w14:textId="77777777" w:rsidR="008231B5" w:rsidRPr="008231B5" w:rsidRDefault="008231B5" w:rsidP="008231B5">
      <w:pPr>
        <w:suppressAutoHyphens/>
        <w:spacing w:after="120" w:line="276" w:lineRule="auto"/>
        <w:jc w:val="both"/>
        <w:rPr>
          <w:rFonts w:eastAsia="Times New Roman"/>
          <w:lang w:eastAsia="zh-CN"/>
        </w:rPr>
      </w:pPr>
      <w:r w:rsidRPr="008231B5">
        <w:rPr>
          <w:rFonts w:eastAsia="Times New Roman"/>
          <w:b/>
          <w:lang w:eastAsia="zh-CN"/>
        </w:rPr>
        <w:lastRenderedPageBreak/>
        <w:t>Pe baza datelor preliminate</w:t>
      </w:r>
      <w:r w:rsidRPr="008231B5">
        <w:rPr>
          <w:rFonts w:eastAsia="Times New Roman"/>
          <w:lang w:eastAsia="zh-CN"/>
        </w:rPr>
        <w:t xml:space="preserve"> raportate de operatorii economici de subordonare centrală </w:t>
      </w:r>
      <w:r w:rsidRPr="008231B5">
        <w:rPr>
          <w:rFonts w:eastAsia="Times New Roman"/>
          <w:u w:val="single"/>
          <w:lang w:eastAsia="zh-CN"/>
        </w:rPr>
        <w:t>aflați în stare de activitate</w:t>
      </w:r>
      <w:r w:rsidRPr="008231B5">
        <w:rPr>
          <w:rFonts w:eastAsia="Times New Roman"/>
          <w:lang w:eastAsia="zh-CN"/>
        </w:rPr>
        <w:t xml:space="preserve">, se constată o scădere a </w:t>
      </w:r>
      <w:r w:rsidRPr="008231B5">
        <w:rPr>
          <w:rFonts w:eastAsia="Times New Roman"/>
          <w:b/>
          <w:u w:val="single"/>
          <w:lang w:eastAsia="zh-CN"/>
        </w:rPr>
        <w:t>rezultatului brut (profit)</w:t>
      </w:r>
      <w:r w:rsidRPr="008231B5">
        <w:rPr>
          <w:rFonts w:eastAsia="Times New Roman"/>
          <w:lang w:eastAsia="zh-CN"/>
        </w:rPr>
        <w:t xml:space="preserve"> cu 1.946.001 mii lei, de la 16.067.510 mii lei în anul 2023 date finale, la 14.121.509 mii lei în anul 2024 date preliminate.  </w:t>
      </w:r>
    </w:p>
    <w:p w14:paraId="3FF8B951" w14:textId="77777777" w:rsidR="008231B5" w:rsidRPr="008231B5" w:rsidRDefault="008231B5" w:rsidP="008231B5">
      <w:pPr>
        <w:suppressAutoHyphens/>
        <w:spacing w:after="120" w:line="276" w:lineRule="auto"/>
        <w:jc w:val="both"/>
        <w:rPr>
          <w:rFonts w:eastAsia="Times New Roman"/>
          <w:lang w:eastAsia="zh-CN"/>
        </w:rPr>
      </w:pPr>
      <w:r w:rsidRPr="008231B5">
        <w:rPr>
          <w:rFonts w:eastAsia="Times New Roman"/>
          <w:lang w:eastAsia="zh-CN"/>
        </w:rPr>
        <w:t>Operatorii economici de subordonare centrală aflați în stare de activitate care au înregistrat cele mai importante scăderi ale rezultatului brut în anul 2024 față de anul 2023 au fost:</w:t>
      </w:r>
    </w:p>
    <w:p w14:paraId="43EA394F" w14:textId="77777777" w:rsidR="008231B5" w:rsidRPr="008231B5" w:rsidRDefault="008231B5" w:rsidP="008231B5">
      <w:pPr>
        <w:numPr>
          <w:ilvl w:val="0"/>
          <w:numId w:val="5"/>
        </w:numPr>
        <w:shd w:val="clear" w:color="auto" w:fill="FFFFFF"/>
        <w:suppressAutoHyphens/>
        <w:spacing w:after="120" w:line="276" w:lineRule="auto"/>
        <w:jc w:val="both"/>
        <w:rPr>
          <w:rFonts w:eastAsia="Times New Roman"/>
          <w:lang w:eastAsia="zh-CN"/>
        </w:rPr>
      </w:pPr>
      <w:r w:rsidRPr="008231B5">
        <w:rPr>
          <w:rFonts w:eastAsia="Times New Roman"/>
          <w:lang w:eastAsia="zh-CN"/>
        </w:rPr>
        <w:t>SOCIETATEA DE PRODUCERE A ENERGIEI ELECTRICE IN HIDROCENTRALE "HIDROELECTRICA" S.A. cu suma de 2.663.052 mii lei de la 7.442.949 mii lei în anul 2023 la 4.779.897 mii lei în anul 2024;</w:t>
      </w:r>
    </w:p>
    <w:p w14:paraId="0BA56039" w14:textId="74567D05" w:rsidR="008231B5" w:rsidRPr="008231B5" w:rsidRDefault="008231B5" w:rsidP="008231B5">
      <w:pPr>
        <w:numPr>
          <w:ilvl w:val="0"/>
          <w:numId w:val="5"/>
        </w:numPr>
        <w:shd w:val="clear" w:color="auto" w:fill="FFFFFF"/>
        <w:suppressAutoHyphens/>
        <w:spacing w:after="120" w:line="276" w:lineRule="auto"/>
        <w:jc w:val="both"/>
        <w:rPr>
          <w:rFonts w:eastAsia="Times New Roman"/>
          <w:lang w:eastAsia="zh-CN"/>
        </w:rPr>
      </w:pPr>
      <w:r w:rsidRPr="008231B5">
        <w:rPr>
          <w:rFonts w:eastAsia="Times New Roman"/>
          <w:lang w:eastAsia="zh-CN"/>
        </w:rPr>
        <w:t>SOCIETATEA NATIONALA "NUCLEARELECTRICA" SA. cu suma de 867.356 mii lei, de la 2.860.133 mii lei în anul 2023 la 1.992.777 mii lei în anul 2024;</w:t>
      </w:r>
    </w:p>
    <w:p w14:paraId="626919FC" w14:textId="77777777" w:rsidR="008231B5" w:rsidRPr="008231B5" w:rsidRDefault="008231B5" w:rsidP="008231B5">
      <w:pPr>
        <w:numPr>
          <w:ilvl w:val="0"/>
          <w:numId w:val="5"/>
        </w:numPr>
        <w:suppressAutoHyphens/>
        <w:spacing w:after="120" w:line="276" w:lineRule="auto"/>
        <w:jc w:val="both"/>
        <w:rPr>
          <w:rFonts w:eastAsia="Times New Roman"/>
          <w:lang w:eastAsia="zh-CN"/>
        </w:rPr>
      </w:pPr>
      <w:r w:rsidRPr="008231B5">
        <w:rPr>
          <w:rFonts w:eastAsia="Times New Roman"/>
          <w:lang w:eastAsia="zh-CN"/>
        </w:rPr>
        <w:t>SOCIETATEA COMPLEXUL ENERGETIC OLTENIA S.A., cu suma de 838.608 mii lei, de la 1.245.887 mii lei în anul 2023 la 407.279 mii lei în anul 2024;</w:t>
      </w:r>
    </w:p>
    <w:p w14:paraId="5AE4CA93" w14:textId="77777777" w:rsidR="00500E21" w:rsidRPr="00C53F10" w:rsidRDefault="00500E21" w:rsidP="00500E21">
      <w:pPr>
        <w:rPr>
          <w:rFonts w:eastAsia="Times New Roman"/>
          <w:lang w:eastAsia="zh-CN"/>
        </w:rPr>
      </w:pPr>
      <w:r w:rsidRPr="00C53F10">
        <w:rPr>
          <w:rFonts w:eastAsia="Times New Roman"/>
          <w:lang w:eastAsia="zh-CN"/>
        </w:rPr>
        <w:br w:type="page"/>
      </w:r>
    </w:p>
    <w:p w14:paraId="6B344B14" w14:textId="4405ADA7" w:rsidR="00BA5E33" w:rsidRPr="00C53F10" w:rsidRDefault="00BA5E33" w:rsidP="00F65867">
      <w:pPr>
        <w:pStyle w:val="Heading1"/>
        <w:keepLines w:val="0"/>
        <w:pageBreakBefore/>
        <w:numPr>
          <w:ilvl w:val="0"/>
          <w:numId w:val="22"/>
        </w:numPr>
        <w:spacing w:after="240" w:line="276" w:lineRule="auto"/>
        <w:ind w:left="357" w:hanging="357"/>
        <w:rPr>
          <w:rFonts w:ascii="Tahoma" w:hAnsi="Tahoma" w:cs="Tahoma"/>
          <w:b/>
          <w:bCs/>
          <w:color w:val="auto"/>
          <w:sz w:val="24"/>
          <w:szCs w:val="24"/>
        </w:rPr>
      </w:pPr>
      <w:bookmarkStart w:id="13" w:name="_Toc199406231"/>
      <w:r w:rsidRPr="00C53F10">
        <w:rPr>
          <w:rFonts w:ascii="Tahoma" w:hAnsi="Tahoma" w:cs="Tahoma"/>
          <w:b/>
          <w:bCs/>
          <w:color w:val="auto"/>
          <w:sz w:val="24"/>
          <w:szCs w:val="24"/>
        </w:rPr>
        <w:lastRenderedPageBreak/>
        <w:t xml:space="preserve">Cheltuielile de natura investițiilor în anul </w:t>
      </w:r>
      <w:r w:rsidR="004050AD" w:rsidRPr="00C53F10">
        <w:rPr>
          <w:rFonts w:ascii="Tahoma" w:hAnsi="Tahoma" w:cs="Tahoma"/>
          <w:b/>
          <w:bCs/>
          <w:color w:val="auto"/>
          <w:sz w:val="24"/>
          <w:szCs w:val="24"/>
        </w:rPr>
        <w:t>20</w:t>
      </w:r>
      <w:r w:rsidR="00ED4962" w:rsidRPr="00C53F10">
        <w:rPr>
          <w:rFonts w:ascii="Tahoma" w:hAnsi="Tahoma" w:cs="Tahoma"/>
          <w:b/>
          <w:bCs/>
          <w:color w:val="auto"/>
          <w:sz w:val="24"/>
          <w:szCs w:val="24"/>
        </w:rPr>
        <w:t>2</w:t>
      </w:r>
      <w:bookmarkEnd w:id="11"/>
      <w:r w:rsidR="001535EC">
        <w:rPr>
          <w:rFonts w:ascii="Tahoma" w:hAnsi="Tahoma" w:cs="Tahoma"/>
          <w:b/>
          <w:bCs/>
          <w:color w:val="auto"/>
          <w:sz w:val="24"/>
          <w:szCs w:val="24"/>
        </w:rPr>
        <w:t>4</w:t>
      </w:r>
      <w:bookmarkEnd w:id="13"/>
    </w:p>
    <w:p w14:paraId="6442679D" w14:textId="33EBB42F" w:rsidR="00F65867" w:rsidRPr="00F65867" w:rsidRDefault="00F65867" w:rsidP="00F65867">
      <w:pPr>
        <w:spacing w:before="120" w:after="240" w:line="276" w:lineRule="auto"/>
        <w:jc w:val="both"/>
      </w:pPr>
      <w:r w:rsidRPr="00F65867">
        <w:t>Potrivit programului de investiţii publice aprobat ca anexă la bugetele ordonatorilor principali de credite ai bugetului de stat prin Legea nr. 421/2023 a bugetului de stat pe anul 2024, cu modificările și completările ulterioare, creditele bugetare alocate pentru cheltuielile de investiţii în anul 2024, actualizate la data de 31 decembrie 2024, au fost în sumă de 55.441</w:t>
      </w:r>
      <w:r w:rsidR="00B15461">
        <w:t>,0</w:t>
      </w:r>
      <w:r w:rsidRPr="00F65867">
        <w:t xml:space="preserve"> milioane lei pe total surse de finanţare, din care suma de 51.790</w:t>
      </w:r>
      <w:r w:rsidR="00B15461">
        <w:t>,0</w:t>
      </w:r>
      <w:r w:rsidRPr="00F65867">
        <w:t xml:space="preserve"> milioane lei de la bugetul de stat. </w:t>
      </w:r>
    </w:p>
    <w:p w14:paraId="32A283B5" w14:textId="31692C58" w:rsidR="00576169" w:rsidRPr="00F65867" w:rsidRDefault="00154903" w:rsidP="00F65867">
      <w:pPr>
        <w:autoSpaceDE w:val="0"/>
        <w:spacing w:after="240" w:line="276" w:lineRule="auto"/>
        <w:ind w:right="-130"/>
        <w:jc w:val="center"/>
        <w:rPr>
          <w:b/>
          <w:color w:val="000000"/>
        </w:rPr>
      </w:pPr>
      <w:r w:rsidRPr="00F65867">
        <w:rPr>
          <w:b/>
          <w:color w:val="000000"/>
        </w:rPr>
        <w:t>Situația cheltuielilor de investiții structurate pe categorii de investiții</w:t>
      </w:r>
    </w:p>
    <w:p w14:paraId="1E4D3BC6" w14:textId="39C213D0" w:rsidR="00074141" w:rsidRPr="00C53F10" w:rsidRDefault="00576169" w:rsidP="009D1E36">
      <w:pPr>
        <w:spacing w:line="276" w:lineRule="auto"/>
        <w:ind w:left="-288" w:right="187"/>
        <w:jc w:val="right"/>
        <w:rPr>
          <w:color w:val="000000"/>
          <w:sz w:val="20"/>
          <w:szCs w:val="20"/>
        </w:rPr>
      </w:pPr>
      <w:r w:rsidRPr="00C53F10">
        <w:rPr>
          <w:color w:val="000000"/>
          <w:sz w:val="20"/>
          <w:szCs w:val="20"/>
        </w:rPr>
        <w:t xml:space="preserve">- </w:t>
      </w:r>
      <w:r w:rsidR="00154903" w:rsidRPr="00C53F10">
        <w:rPr>
          <w:color w:val="000000"/>
          <w:sz w:val="20"/>
          <w:szCs w:val="20"/>
        </w:rPr>
        <w:t xml:space="preserve">milioane lei </w:t>
      </w:r>
      <w:r w:rsidR="00074141" w:rsidRPr="00C53F10">
        <w:rPr>
          <w:color w:val="000000"/>
          <w:sz w:val="20"/>
          <w:szCs w:val="20"/>
        </w:rPr>
        <w:t>–</w:t>
      </w:r>
    </w:p>
    <w:p w14:paraId="5BD9C6AC" w14:textId="25EC6B9B" w:rsidR="00074141" w:rsidRPr="00C53F10" w:rsidRDefault="004D6AD6" w:rsidP="00016D6C">
      <w:pPr>
        <w:spacing w:line="276" w:lineRule="auto"/>
        <w:ind w:left="-288" w:right="7"/>
        <w:jc w:val="right"/>
        <w:rPr>
          <w:color w:val="000000"/>
          <w:sz w:val="20"/>
          <w:szCs w:val="20"/>
        </w:rPr>
      </w:pPr>
      <w:r>
        <w:rPr>
          <w:color w:val="000000"/>
          <w:sz w:val="20"/>
          <w:szCs w:val="20"/>
        </w:rPr>
        <w:pict w14:anchorId="519D9866">
          <v:shape id="_x0000_i1042" type="#_x0000_t75" style="width:482.5pt;height:232.5pt">
            <v:imagedata r:id="rId30" o:title=""/>
          </v:shape>
        </w:pict>
      </w:r>
    </w:p>
    <w:p w14:paraId="0423AD9B" w14:textId="2355071E" w:rsidR="00F65867" w:rsidRPr="00F65867" w:rsidRDefault="00F65867" w:rsidP="00F65867">
      <w:pPr>
        <w:suppressAutoHyphens/>
        <w:spacing w:before="120" w:after="120" w:line="276" w:lineRule="auto"/>
        <w:jc w:val="both"/>
        <w:rPr>
          <w:rFonts w:eastAsia="Times New Roman"/>
          <w:lang w:eastAsia="zh-CN"/>
        </w:rPr>
      </w:pPr>
      <w:r w:rsidRPr="00F65867">
        <w:rPr>
          <w:rFonts w:eastAsia="Times New Roman"/>
          <w:lang w:eastAsia="zh-CN"/>
        </w:rPr>
        <w:t>Conform rapoartelor de monitorizare a programului de investiții publice transmise de ordonatorii principali de credite ai bugetului de stat potrivit alin. (1) al art. 44 din Legea  nr. 500/2002 privind finanțele publice, cu modificările și completările ulterioare, la data de 31 decembrie 2024, pentru obiectivele/proiectele/categoriile de investiții au fost efectuate plăți în sumă de 49.778</w:t>
      </w:r>
      <w:r w:rsidR="00B15461">
        <w:rPr>
          <w:rFonts w:eastAsia="Times New Roman"/>
          <w:lang w:eastAsia="zh-CN"/>
        </w:rPr>
        <w:t>,0</w:t>
      </w:r>
      <w:r w:rsidRPr="00F65867">
        <w:rPr>
          <w:rFonts w:eastAsia="Times New Roman"/>
          <w:lang w:eastAsia="zh-CN"/>
        </w:rPr>
        <w:t xml:space="preserve"> milioane lei pe total surse (reprezentând 89,78% din programul anual), din care 48.319</w:t>
      </w:r>
      <w:r w:rsidR="00B15461">
        <w:rPr>
          <w:rFonts w:eastAsia="Times New Roman"/>
          <w:lang w:eastAsia="zh-CN"/>
        </w:rPr>
        <w:t>,0</w:t>
      </w:r>
      <w:r w:rsidRPr="00F65867">
        <w:rPr>
          <w:rFonts w:eastAsia="Times New Roman"/>
          <w:lang w:eastAsia="zh-CN"/>
        </w:rPr>
        <w:t xml:space="preserve"> milioane lei de la bugetul de stat (reprezentând 93,29% din programul anual).</w:t>
      </w:r>
    </w:p>
    <w:p w14:paraId="11125850" w14:textId="17D7E91D" w:rsidR="00016D6C" w:rsidRPr="00C53F10" w:rsidRDefault="004D6AD6" w:rsidP="00016D6C">
      <w:pPr>
        <w:autoSpaceDE w:val="0"/>
        <w:spacing w:line="276" w:lineRule="auto"/>
        <w:ind w:right="-130"/>
        <w:jc w:val="both"/>
      </w:pPr>
      <w:r>
        <w:pict w14:anchorId="41A2A670">
          <v:shape id="_x0000_i1043" type="#_x0000_t75" style="width:260.5pt;height:195pt">
            <v:imagedata r:id="rId31" o:title=""/>
          </v:shape>
        </w:pict>
      </w:r>
      <w:r>
        <w:pict w14:anchorId="46A382EE">
          <v:shape id="_x0000_i1044" type="#_x0000_t75" style="width:224pt;height:195pt">
            <v:imagedata r:id="rId32" o:title=""/>
          </v:shape>
        </w:pict>
      </w:r>
    </w:p>
    <w:p w14:paraId="6082C7FC" w14:textId="77777777" w:rsidR="00F65867" w:rsidRPr="00F65867" w:rsidRDefault="00F65867" w:rsidP="00F65867">
      <w:pPr>
        <w:suppressAutoHyphens/>
        <w:spacing w:before="120" w:after="120" w:line="276" w:lineRule="auto"/>
        <w:jc w:val="both"/>
        <w:rPr>
          <w:rFonts w:eastAsia="Times New Roman"/>
          <w:lang w:eastAsia="zh-CN"/>
        </w:rPr>
      </w:pPr>
      <w:r w:rsidRPr="00F65867">
        <w:rPr>
          <w:rFonts w:eastAsia="Times New Roman"/>
          <w:lang w:eastAsia="zh-CN"/>
        </w:rPr>
        <w:lastRenderedPageBreak/>
        <w:t xml:space="preserve">Potrivit programului de investiții publice aprobat ca anexă la bugetul Casei Naționale de Asigurări de Sănătate prin Legea nr. 421/2023 a bugetului de stat pe anul 2024, cu modificările și completările ulterioare, creditele bugetare alocate pentru cheltuielile de investiții, actualizate la data de 31 decembrie 2024, au fost în sumă de 102,7 milioane lei, integral din bugetul Fondului național unic de asigurări sociale de sănătate (FNUASS), iar potrivit rapoartelor de monitorizare transmise de ordonatorul principal de credite s-au efectuat plăți în sumă de 2,5 milioane lei. </w:t>
      </w:r>
    </w:p>
    <w:p w14:paraId="143EFAF9" w14:textId="77777777" w:rsidR="00F65867" w:rsidRPr="00F65867" w:rsidRDefault="00F65867" w:rsidP="00F65867">
      <w:pPr>
        <w:suppressAutoHyphens/>
        <w:spacing w:before="120" w:after="120" w:line="276" w:lineRule="auto"/>
        <w:jc w:val="both"/>
        <w:rPr>
          <w:rFonts w:eastAsia="Times New Roman"/>
          <w:lang w:eastAsia="zh-CN"/>
        </w:rPr>
      </w:pPr>
      <w:r w:rsidRPr="00F65867">
        <w:rPr>
          <w:rFonts w:eastAsia="Times New Roman"/>
          <w:lang w:eastAsia="zh-CN"/>
        </w:rPr>
        <w:t>De asemenea, potrivit programului de investiții publice aprobat ca anexă la bugetul Ministerului Muncii și Protecției Sociale pentru Casa Națională de Pensii Publice, prin Legea nr. 422/2023 a bugetului asigurărilor sociale de stat pe anul 2024, cu modificările și completările ulterioare, creditele bugetare alocate pentru cheltuielile de investiții, actualizate la data de 31 decembrie 2024, au fost în sumă de 68 milioane lei, integral de la bugetul asigurărilor sociale de stat, iar potrivit rapoartelor de monitorizare transmise de ordonatorul principal de credite s-au efectuat plăți în sumă de 58,2 milioane lei.</w:t>
      </w:r>
    </w:p>
    <w:p w14:paraId="51DDAE7D" w14:textId="77777777" w:rsidR="00F65867" w:rsidRPr="00F65867" w:rsidRDefault="00F65867" w:rsidP="00F65867">
      <w:pPr>
        <w:suppressAutoHyphens/>
        <w:spacing w:before="120" w:after="120" w:line="276" w:lineRule="auto"/>
        <w:jc w:val="both"/>
        <w:rPr>
          <w:rFonts w:eastAsia="Times New Roman"/>
          <w:lang w:eastAsia="zh-CN"/>
        </w:rPr>
      </w:pPr>
      <w:r w:rsidRPr="00F65867">
        <w:rPr>
          <w:rFonts w:eastAsia="Times New Roman"/>
          <w:lang w:eastAsia="zh-CN"/>
        </w:rPr>
        <w:t>Totodată, potrivit programului de investiții publice aprobat ca anexă la bugetul Ministerului Muncii și Protecției Sociale pentru Agenția Națională pentru Ocuparea Forței de Muncă, prin Legea nr. 422/2023 a bugetului asigurărilor sociale de stat pe anul 2024, cu modificările și completările ulterioare, creditele bugetare alocate pentru cheltuielile de investiții, actualizate la data de 31 decembrie 2024, au fost în sumă de 5,3 milioane lei, integral de la bugetul asigurărilor pentru șomaj, iar potrivit rapoartelor de monitorizare transmise de ordonatorul principal de credite s-au efectuat plăți în sumă de 4 milioane lei.</w:t>
      </w:r>
    </w:p>
    <w:p w14:paraId="38747F3A" w14:textId="13D26187" w:rsidR="003E43EA" w:rsidRPr="00E00B9A" w:rsidRDefault="003E43EA" w:rsidP="003E43EA">
      <w:pPr>
        <w:spacing w:after="120" w:line="276" w:lineRule="auto"/>
        <w:jc w:val="both"/>
        <w:rPr>
          <w:rFonts w:ascii="Trebuchet MS" w:hAnsi="Trebuchet MS" w:cs="Arial"/>
        </w:rPr>
      </w:pPr>
      <w:r w:rsidRPr="009B4CE6">
        <w:rPr>
          <w:rFonts w:ascii="Trebuchet MS" w:hAnsi="Trebuchet MS" w:cs="Arial"/>
        </w:rPr>
        <w:t xml:space="preserve">Proiectele de investiții publice semnificative prioritizate aflate în finanțare au avut alocate în anul 2024 credite bugetare în valoare de </w:t>
      </w:r>
      <w:r>
        <w:rPr>
          <w:rFonts w:ascii="Trebuchet MS" w:hAnsi="Trebuchet MS" w:cs="Arial"/>
        </w:rPr>
        <w:t>25.587</w:t>
      </w:r>
      <w:r w:rsidR="00B15461">
        <w:rPr>
          <w:rFonts w:ascii="Trebuchet MS" w:hAnsi="Trebuchet MS" w:cs="Arial"/>
        </w:rPr>
        <w:t>,0</w:t>
      </w:r>
      <w:r w:rsidRPr="009B4CE6">
        <w:rPr>
          <w:rFonts w:ascii="Trebuchet MS" w:hAnsi="Trebuchet MS" w:cs="Arial"/>
        </w:rPr>
        <w:t xml:space="preserve"> </w:t>
      </w:r>
      <w:r w:rsidRPr="0032174F">
        <w:rPr>
          <w:rFonts w:ascii="Trebuchet MS" w:hAnsi="Trebuchet MS" w:cs="Arial"/>
        </w:rPr>
        <w:t>milioane lei. Potrivit informațiilor transmise de ordonatorii principali de credite ai bugetului de stat, în perioada 01.01.2024 – 31.12.2024, pentru aceste proiecte de investiții au fost efectuate plăți în valoare de 24</w:t>
      </w:r>
      <w:r>
        <w:rPr>
          <w:rFonts w:ascii="Trebuchet MS" w:hAnsi="Trebuchet MS" w:cs="Arial"/>
        </w:rPr>
        <w:t>.</w:t>
      </w:r>
      <w:r w:rsidRPr="0032174F">
        <w:rPr>
          <w:rFonts w:ascii="Trebuchet MS" w:hAnsi="Trebuchet MS" w:cs="Arial"/>
        </w:rPr>
        <w:t>694</w:t>
      </w:r>
      <w:r w:rsidR="00B15461">
        <w:rPr>
          <w:rFonts w:ascii="Trebuchet MS" w:hAnsi="Trebuchet MS" w:cs="Arial"/>
        </w:rPr>
        <w:t>,0</w:t>
      </w:r>
      <w:r w:rsidRPr="0032174F">
        <w:rPr>
          <w:rFonts w:ascii="Trebuchet MS" w:hAnsi="Trebuchet MS" w:cs="Arial"/>
        </w:rPr>
        <w:t xml:space="preserve"> milioane lei pe total surse de finanțare, ceea ce reprezintă 96,51% din programul anual aprobat aferent proiectelor de investiții publice semnificative.</w:t>
      </w:r>
      <w:r w:rsidRPr="00E00B9A">
        <w:rPr>
          <w:rFonts w:ascii="Trebuchet MS" w:hAnsi="Trebuchet MS" w:cs="Arial"/>
        </w:rPr>
        <w:t xml:space="preserve"> </w:t>
      </w:r>
    </w:p>
    <w:p w14:paraId="12C5F067" w14:textId="3B5141D1" w:rsidR="005A2C5C" w:rsidRPr="00C53F10" w:rsidRDefault="005A2C5C" w:rsidP="003E43EA">
      <w:pPr>
        <w:autoSpaceDE w:val="0"/>
        <w:spacing w:after="240" w:line="276" w:lineRule="auto"/>
        <w:jc w:val="both"/>
        <w:rPr>
          <w:color w:val="000000"/>
        </w:rPr>
      </w:pPr>
      <w:r w:rsidRPr="00C53F10">
        <w:rPr>
          <w:color w:val="000000"/>
        </w:rPr>
        <w:t>Principalele obiective de investiții distincte pentru care s-au efectuat plăți în anul 202</w:t>
      </w:r>
      <w:r w:rsidR="003E43EA">
        <w:rPr>
          <w:color w:val="000000"/>
        </w:rPr>
        <w:t>4</w:t>
      </w:r>
      <w:r w:rsidRPr="00C53F10">
        <w:rPr>
          <w:color w:val="000000"/>
        </w:rPr>
        <w:t xml:space="preserve"> sunt:</w:t>
      </w:r>
    </w:p>
    <w:p w14:paraId="7A0199F2" w14:textId="4B962050" w:rsidR="003E43EA" w:rsidRPr="003E43EA" w:rsidRDefault="003E43EA" w:rsidP="003E43EA">
      <w:pPr>
        <w:pStyle w:val="ListParagraph"/>
        <w:numPr>
          <w:ilvl w:val="0"/>
          <w:numId w:val="47"/>
        </w:numPr>
        <w:suppressAutoHyphens/>
        <w:spacing w:before="120" w:line="276" w:lineRule="auto"/>
        <w:jc w:val="both"/>
        <w:rPr>
          <w:rFonts w:cs="Tahoma"/>
          <w:sz w:val="24"/>
          <w:szCs w:val="24"/>
          <w:lang w:eastAsia="zh-CN"/>
        </w:rPr>
      </w:pPr>
      <w:r w:rsidRPr="003E43EA">
        <w:rPr>
          <w:rFonts w:cs="Tahoma"/>
          <w:sz w:val="24"/>
          <w:szCs w:val="24"/>
          <w:lang w:eastAsia="zh-CN"/>
        </w:rPr>
        <w:t>Autostrada Sibiu - Pitesti - cu o alocare bugetară de 2.681,73 milioane lei din care au fost efectuate plăți în valoare de 2.681,72 milioane</w:t>
      </w:r>
      <w:r w:rsidRPr="003E43EA" w:rsidDel="00775342">
        <w:rPr>
          <w:rFonts w:cs="Tahoma"/>
          <w:sz w:val="24"/>
          <w:szCs w:val="24"/>
          <w:lang w:eastAsia="zh-CN"/>
        </w:rPr>
        <w:t xml:space="preserve"> </w:t>
      </w:r>
      <w:r w:rsidRPr="003E43EA">
        <w:rPr>
          <w:rFonts w:cs="Tahoma"/>
          <w:sz w:val="24"/>
          <w:szCs w:val="24"/>
          <w:lang w:eastAsia="zh-CN"/>
        </w:rPr>
        <w:t>lei (100% din program);</w:t>
      </w:r>
    </w:p>
    <w:p w14:paraId="2A7BD5E5" w14:textId="100488CF" w:rsidR="003E43EA" w:rsidRPr="003E43EA" w:rsidRDefault="003E43EA" w:rsidP="003E43EA">
      <w:pPr>
        <w:pStyle w:val="ListParagraph"/>
        <w:numPr>
          <w:ilvl w:val="0"/>
          <w:numId w:val="47"/>
        </w:numPr>
        <w:suppressAutoHyphens/>
        <w:spacing w:before="120" w:line="276" w:lineRule="auto"/>
        <w:jc w:val="both"/>
        <w:rPr>
          <w:rFonts w:cs="Tahoma"/>
          <w:sz w:val="24"/>
          <w:szCs w:val="24"/>
          <w:lang w:eastAsia="zh-CN"/>
        </w:rPr>
      </w:pPr>
      <w:r w:rsidRPr="003E43EA">
        <w:rPr>
          <w:rFonts w:cs="Tahoma"/>
          <w:sz w:val="24"/>
          <w:szCs w:val="24"/>
          <w:lang w:eastAsia="zh-CN"/>
        </w:rPr>
        <w:t>Autostrada Buzău - Focșani - cu o alocare bugetară de 2.212,74 milioane lei din care au fost efectuate plăți în valoare de 2.212,74 milioane lei (100 % din program);</w:t>
      </w:r>
    </w:p>
    <w:p w14:paraId="6BC98B21" w14:textId="2DF1A264" w:rsidR="003E43EA" w:rsidRPr="003E43EA" w:rsidRDefault="003E43EA" w:rsidP="003E43EA">
      <w:pPr>
        <w:pStyle w:val="ListParagraph"/>
        <w:numPr>
          <w:ilvl w:val="0"/>
          <w:numId w:val="47"/>
        </w:numPr>
        <w:suppressAutoHyphens/>
        <w:spacing w:before="120" w:line="276" w:lineRule="auto"/>
        <w:jc w:val="both"/>
        <w:rPr>
          <w:rFonts w:cs="Tahoma"/>
          <w:sz w:val="24"/>
          <w:szCs w:val="24"/>
          <w:lang w:eastAsia="zh-CN"/>
        </w:rPr>
      </w:pPr>
      <w:r w:rsidRPr="003E43EA">
        <w:rPr>
          <w:rFonts w:cs="Tahoma"/>
          <w:sz w:val="24"/>
          <w:szCs w:val="24"/>
          <w:lang w:eastAsia="zh-CN"/>
        </w:rPr>
        <w:t>Autostrada Ploiești – Buzău - cu o alocare bugetară de 1.884,37</w:t>
      </w:r>
      <w:r w:rsidRPr="003E43EA" w:rsidDel="003320D2">
        <w:rPr>
          <w:rFonts w:cs="Tahoma"/>
          <w:sz w:val="24"/>
          <w:szCs w:val="24"/>
          <w:lang w:eastAsia="zh-CN"/>
        </w:rPr>
        <w:t xml:space="preserve"> </w:t>
      </w:r>
      <w:r w:rsidRPr="003E43EA">
        <w:rPr>
          <w:rFonts w:cs="Tahoma"/>
          <w:sz w:val="24"/>
          <w:szCs w:val="24"/>
          <w:lang w:eastAsia="zh-CN"/>
        </w:rPr>
        <w:t>milioane lei din care au fost efectuate plăți în valoare de 1.884,36</w:t>
      </w:r>
      <w:r w:rsidRPr="003E43EA" w:rsidDel="003320D2">
        <w:rPr>
          <w:rFonts w:cs="Tahoma"/>
          <w:sz w:val="24"/>
          <w:szCs w:val="24"/>
          <w:lang w:eastAsia="zh-CN"/>
        </w:rPr>
        <w:t xml:space="preserve"> </w:t>
      </w:r>
      <w:r w:rsidRPr="003E43EA">
        <w:rPr>
          <w:rFonts w:cs="Tahoma"/>
          <w:sz w:val="24"/>
          <w:szCs w:val="24"/>
          <w:lang w:eastAsia="zh-CN"/>
        </w:rPr>
        <w:t>milioane</w:t>
      </w:r>
      <w:r w:rsidRPr="003E43EA" w:rsidDel="00775342">
        <w:rPr>
          <w:rFonts w:cs="Tahoma"/>
          <w:sz w:val="24"/>
          <w:szCs w:val="24"/>
          <w:lang w:eastAsia="zh-CN"/>
        </w:rPr>
        <w:t xml:space="preserve"> </w:t>
      </w:r>
      <w:r>
        <w:rPr>
          <w:rFonts w:cs="Tahoma"/>
          <w:sz w:val="24"/>
          <w:szCs w:val="24"/>
          <w:lang w:eastAsia="zh-CN"/>
        </w:rPr>
        <w:t xml:space="preserve"> lei (100 % din program);</w:t>
      </w:r>
    </w:p>
    <w:p w14:paraId="2DEB6222" w14:textId="45B0F1C4" w:rsidR="003E43EA" w:rsidRPr="003E43EA" w:rsidRDefault="003E43EA" w:rsidP="003E43EA">
      <w:pPr>
        <w:pStyle w:val="ListParagraph"/>
        <w:numPr>
          <w:ilvl w:val="0"/>
          <w:numId w:val="47"/>
        </w:numPr>
        <w:suppressAutoHyphens/>
        <w:spacing w:before="120" w:line="276" w:lineRule="auto"/>
        <w:jc w:val="both"/>
        <w:rPr>
          <w:rFonts w:cs="Tahoma"/>
          <w:sz w:val="24"/>
          <w:szCs w:val="24"/>
          <w:lang w:eastAsia="zh-CN"/>
        </w:rPr>
      </w:pPr>
      <w:r w:rsidRPr="003E43EA">
        <w:rPr>
          <w:rFonts w:cs="Tahoma"/>
          <w:sz w:val="24"/>
          <w:szCs w:val="24"/>
          <w:lang w:eastAsia="zh-CN"/>
        </w:rPr>
        <w:t>Magistrala I de Metrou Cluj - cu o alocare bugetară de 1.397,09 milioane lei din care au fost efectuate plăți în valoare de 1.396,71 milioane</w:t>
      </w:r>
      <w:r w:rsidRPr="003E43EA" w:rsidDel="00775342">
        <w:rPr>
          <w:rFonts w:cs="Tahoma"/>
          <w:sz w:val="24"/>
          <w:szCs w:val="24"/>
          <w:lang w:eastAsia="zh-CN"/>
        </w:rPr>
        <w:t xml:space="preserve"> </w:t>
      </w:r>
      <w:r>
        <w:rPr>
          <w:rFonts w:cs="Tahoma"/>
          <w:sz w:val="24"/>
          <w:szCs w:val="24"/>
          <w:lang w:eastAsia="zh-CN"/>
        </w:rPr>
        <w:t xml:space="preserve"> lei (99,97% din program);</w:t>
      </w:r>
    </w:p>
    <w:p w14:paraId="3A20709E" w14:textId="55510176" w:rsidR="003E43EA" w:rsidRPr="003E43EA" w:rsidRDefault="003E43EA" w:rsidP="003E43EA">
      <w:pPr>
        <w:pStyle w:val="ListParagraph"/>
        <w:numPr>
          <w:ilvl w:val="0"/>
          <w:numId w:val="47"/>
        </w:numPr>
        <w:suppressAutoHyphens/>
        <w:spacing w:before="120" w:line="276" w:lineRule="auto"/>
        <w:jc w:val="both"/>
        <w:rPr>
          <w:rFonts w:cs="Tahoma"/>
          <w:sz w:val="24"/>
          <w:szCs w:val="24"/>
          <w:lang w:eastAsia="zh-CN"/>
        </w:rPr>
      </w:pPr>
      <w:r w:rsidRPr="003E43EA">
        <w:rPr>
          <w:rFonts w:cs="Tahoma"/>
          <w:sz w:val="24"/>
          <w:szCs w:val="24"/>
          <w:lang w:eastAsia="zh-CN"/>
        </w:rPr>
        <w:lastRenderedPageBreak/>
        <w:t>Autostrada de Centură a Municipiului București - Sector Centură Sud km 52+770 - 100+900 - cu o alocare bugetară de 1.389,82 milioane lei din care au fost efectuate plăți în valoare de 1.389,78 milioane</w:t>
      </w:r>
      <w:r w:rsidRPr="003E43EA" w:rsidDel="00775342">
        <w:rPr>
          <w:rFonts w:cs="Tahoma"/>
          <w:sz w:val="24"/>
          <w:szCs w:val="24"/>
          <w:lang w:eastAsia="zh-CN"/>
        </w:rPr>
        <w:t xml:space="preserve"> </w:t>
      </w:r>
      <w:r w:rsidRPr="003E43EA">
        <w:rPr>
          <w:rFonts w:cs="Tahoma"/>
          <w:sz w:val="24"/>
          <w:szCs w:val="24"/>
          <w:lang w:eastAsia="zh-CN"/>
        </w:rPr>
        <w:t>lei (100% din program);</w:t>
      </w:r>
    </w:p>
    <w:p w14:paraId="098D3511" w14:textId="1DF99444" w:rsidR="003E43EA" w:rsidRPr="003E43EA" w:rsidRDefault="003E43EA" w:rsidP="003E43EA">
      <w:pPr>
        <w:pStyle w:val="ListParagraph"/>
        <w:numPr>
          <w:ilvl w:val="0"/>
          <w:numId w:val="47"/>
        </w:numPr>
        <w:suppressAutoHyphens/>
        <w:spacing w:before="120" w:line="276" w:lineRule="auto"/>
        <w:jc w:val="both"/>
        <w:rPr>
          <w:rFonts w:cs="Tahoma"/>
          <w:sz w:val="24"/>
          <w:szCs w:val="24"/>
          <w:lang w:eastAsia="zh-CN"/>
        </w:rPr>
      </w:pPr>
      <w:r w:rsidRPr="003E43EA">
        <w:rPr>
          <w:rFonts w:cs="Tahoma"/>
          <w:sz w:val="24"/>
          <w:szCs w:val="24"/>
          <w:lang w:eastAsia="zh-CN"/>
        </w:rPr>
        <w:t>Drum expres Craiova-Pitești și legăturile la drumurile existente - cu o alocare bugetară de 1.204,06 milioane lei din care au fost efectuate plăți în valoare de 1.204,05 milioane lei (100 % din program);</w:t>
      </w:r>
    </w:p>
    <w:p w14:paraId="09399496" w14:textId="0564DF67" w:rsidR="003E43EA" w:rsidRPr="003E43EA" w:rsidRDefault="003E43EA" w:rsidP="003E43EA">
      <w:pPr>
        <w:pStyle w:val="ListParagraph"/>
        <w:numPr>
          <w:ilvl w:val="0"/>
          <w:numId w:val="47"/>
        </w:numPr>
        <w:suppressAutoHyphens/>
        <w:spacing w:before="120" w:line="276" w:lineRule="auto"/>
        <w:jc w:val="both"/>
        <w:rPr>
          <w:rFonts w:cs="Tahoma"/>
          <w:sz w:val="24"/>
          <w:szCs w:val="24"/>
          <w:lang w:eastAsia="zh-CN"/>
        </w:rPr>
      </w:pPr>
      <w:r w:rsidRPr="003E43EA">
        <w:rPr>
          <w:rFonts w:cs="Tahoma"/>
          <w:sz w:val="24"/>
          <w:szCs w:val="24"/>
          <w:lang w:eastAsia="zh-CN"/>
        </w:rPr>
        <w:t>Electrificarea şi reabilitarea liniei de cale ferată Cluj-Napoca-Oradea-Episcopia Bihor - (finanțat din PNRR) cu o alocare bugetară de 1.131,02 milioane lei din care au fost efectuate plăți în valoare de 1.131,02 milioane lei (100 % din program);</w:t>
      </w:r>
    </w:p>
    <w:p w14:paraId="0105F5F1" w14:textId="33B8A22D" w:rsidR="003E43EA" w:rsidRPr="003E43EA" w:rsidRDefault="003E43EA" w:rsidP="003E43EA">
      <w:pPr>
        <w:pStyle w:val="ListParagraph"/>
        <w:numPr>
          <w:ilvl w:val="0"/>
          <w:numId w:val="47"/>
        </w:numPr>
        <w:suppressAutoHyphens/>
        <w:spacing w:before="120" w:line="276" w:lineRule="auto"/>
        <w:jc w:val="both"/>
        <w:rPr>
          <w:rFonts w:cs="Tahoma"/>
          <w:sz w:val="24"/>
          <w:szCs w:val="24"/>
          <w:lang w:eastAsia="zh-CN"/>
        </w:rPr>
      </w:pPr>
      <w:r w:rsidRPr="003E43EA">
        <w:rPr>
          <w:rFonts w:cs="Tahoma"/>
          <w:sz w:val="24"/>
          <w:szCs w:val="24"/>
          <w:lang w:eastAsia="zh-CN"/>
        </w:rPr>
        <w:t>Reabilitarea liniei de cale ferată Braşov-Simeria, componentă a Coridorului Rin - Dunăre, pentru circulaţia trenurilor cu viteza maximă de 160 km/h, tronsonul Braşov – Sighişoara - cu o alocare bugetară de 1.073,50 milioane lei din care au fost efectuate plăți în valoare de 1.069,49 milioane</w:t>
      </w:r>
      <w:r w:rsidRPr="003E43EA" w:rsidDel="00387F12">
        <w:rPr>
          <w:rFonts w:cs="Tahoma"/>
          <w:sz w:val="24"/>
          <w:szCs w:val="24"/>
          <w:lang w:eastAsia="zh-CN"/>
        </w:rPr>
        <w:t xml:space="preserve"> </w:t>
      </w:r>
      <w:r w:rsidRPr="003E43EA">
        <w:rPr>
          <w:rFonts w:cs="Tahoma"/>
          <w:sz w:val="24"/>
          <w:szCs w:val="24"/>
          <w:lang w:eastAsia="zh-CN"/>
        </w:rPr>
        <w:t>lei (99,63% din program);</w:t>
      </w:r>
    </w:p>
    <w:p w14:paraId="5CB8E1E9" w14:textId="7E6DA039" w:rsidR="003E43EA" w:rsidRPr="003E43EA" w:rsidRDefault="003E43EA" w:rsidP="003E43EA">
      <w:pPr>
        <w:pStyle w:val="ListParagraph"/>
        <w:numPr>
          <w:ilvl w:val="0"/>
          <w:numId w:val="47"/>
        </w:numPr>
        <w:suppressAutoHyphens/>
        <w:spacing w:before="120" w:line="276" w:lineRule="auto"/>
        <w:jc w:val="both"/>
        <w:rPr>
          <w:rFonts w:cs="Tahoma"/>
          <w:sz w:val="24"/>
          <w:szCs w:val="24"/>
          <w:lang w:eastAsia="zh-CN"/>
        </w:rPr>
      </w:pPr>
      <w:r w:rsidRPr="003E43EA">
        <w:rPr>
          <w:rFonts w:cs="Tahoma"/>
          <w:sz w:val="24"/>
          <w:szCs w:val="24"/>
          <w:lang w:eastAsia="zh-CN"/>
        </w:rPr>
        <w:t>Autostrada Focșani – Bacău - cu o alocare bugetară de 941,78 milioane lei din care au fost efectuate plăți în valoare de 941,78</w:t>
      </w:r>
      <w:r w:rsidRPr="003E43EA" w:rsidDel="00387F12">
        <w:rPr>
          <w:rFonts w:cs="Tahoma"/>
          <w:sz w:val="24"/>
          <w:szCs w:val="24"/>
          <w:lang w:eastAsia="zh-CN"/>
        </w:rPr>
        <w:t xml:space="preserve"> </w:t>
      </w:r>
      <w:r w:rsidRPr="003E43EA">
        <w:rPr>
          <w:rFonts w:cs="Tahoma"/>
          <w:sz w:val="24"/>
          <w:szCs w:val="24"/>
          <w:lang w:eastAsia="zh-CN"/>
        </w:rPr>
        <w:t>milioane lei (100 % din program);</w:t>
      </w:r>
    </w:p>
    <w:p w14:paraId="3BBF8CCD" w14:textId="7A5D0B87" w:rsidR="003E43EA" w:rsidRPr="003E43EA" w:rsidRDefault="003E43EA" w:rsidP="003E43EA">
      <w:pPr>
        <w:pStyle w:val="ListParagraph"/>
        <w:numPr>
          <w:ilvl w:val="0"/>
          <w:numId w:val="47"/>
        </w:numPr>
        <w:suppressAutoHyphens/>
        <w:spacing w:before="120" w:line="276" w:lineRule="auto"/>
        <w:jc w:val="both"/>
        <w:rPr>
          <w:rFonts w:cs="Tahoma"/>
          <w:sz w:val="24"/>
          <w:szCs w:val="24"/>
          <w:lang w:eastAsia="zh-CN"/>
        </w:rPr>
      </w:pPr>
      <w:r w:rsidRPr="003E43EA">
        <w:rPr>
          <w:rFonts w:cs="Tahoma"/>
          <w:sz w:val="24"/>
          <w:szCs w:val="24"/>
          <w:lang w:eastAsia="zh-CN"/>
        </w:rPr>
        <w:t>Reabilitarea liniei CF frontieră Curtici - Simeria parte componenta a Coridorului IV Pan-European pentru circulaţia trenurilor cu viteză maximă de 160 km/h, Tronsonul 2: km 614 - Gurasada şi Tronsonul 3: Gurasada-Simeria - cu o alocare bugetară de 878,57 milioane</w:t>
      </w:r>
      <w:r w:rsidRPr="003E43EA" w:rsidDel="00387F12">
        <w:rPr>
          <w:rFonts w:cs="Tahoma"/>
          <w:sz w:val="24"/>
          <w:szCs w:val="24"/>
          <w:lang w:eastAsia="zh-CN"/>
        </w:rPr>
        <w:t xml:space="preserve"> </w:t>
      </w:r>
      <w:r w:rsidRPr="003E43EA">
        <w:rPr>
          <w:rFonts w:cs="Tahoma"/>
          <w:sz w:val="24"/>
          <w:szCs w:val="24"/>
          <w:lang w:eastAsia="zh-CN"/>
        </w:rPr>
        <w:t>lei din care au fost efectuate plăți în valoare de 878,49</w:t>
      </w:r>
      <w:r w:rsidRPr="003E43EA" w:rsidDel="00387F12">
        <w:rPr>
          <w:rFonts w:cs="Tahoma"/>
          <w:sz w:val="24"/>
          <w:szCs w:val="24"/>
          <w:lang w:eastAsia="zh-CN"/>
        </w:rPr>
        <w:t xml:space="preserve"> </w:t>
      </w:r>
      <w:r w:rsidRPr="003E43EA">
        <w:rPr>
          <w:rFonts w:cs="Tahoma"/>
          <w:sz w:val="24"/>
          <w:szCs w:val="24"/>
          <w:lang w:eastAsia="zh-CN"/>
        </w:rPr>
        <w:t>milioane lei</w:t>
      </w:r>
      <w:r w:rsidRPr="003E43EA" w:rsidDel="00775342">
        <w:rPr>
          <w:rFonts w:cs="Tahoma"/>
          <w:sz w:val="24"/>
          <w:szCs w:val="24"/>
          <w:lang w:eastAsia="zh-CN"/>
        </w:rPr>
        <w:t xml:space="preserve"> </w:t>
      </w:r>
      <w:r w:rsidRPr="003E43EA">
        <w:rPr>
          <w:rFonts w:cs="Tahoma"/>
          <w:sz w:val="24"/>
          <w:szCs w:val="24"/>
          <w:lang w:eastAsia="zh-CN"/>
        </w:rPr>
        <w:t xml:space="preserve">(99,99 % din program). </w:t>
      </w:r>
    </w:p>
    <w:p w14:paraId="1DC0ACB9" w14:textId="7D6FB232" w:rsidR="009A38F0" w:rsidRPr="00C53F10" w:rsidRDefault="009A38F0">
      <w:pPr>
        <w:rPr>
          <w:color w:val="000000"/>
        </w:rPr>
      </w:pPr>
      <w:r w:rsidRPr="00C53F10">
        <w:rPr>
          <w:color w:val="000000"/>
        </w:rPr>
        <w:br w:type="page"/>
      </w:r>
    </w:p>
    <w:p w14:paraId="16D83910" w14:textId="7E791C4E" w:rsidR="00BA5E33" w:rsidRPr="00C53F10" w:rsidRDefault="00BA5E33" w:rsidP="001E07A7">
      <w:pPr>
        <w:pStyle w:val="Heading1"/>
        <w:keepLines w:val="0"/>
        <w:pageBreakBefore/>
        <w:numPr>
          <w:ilvl w:val="0"/>
          <w:numId w:val="22"/>
        </w:numPr>
        <w:spacing w:line="276" w:lineRule="auto"/>
        <w:rPr>
          <w:rFonts w:ascii="Tahoma" w:hAnsi="Tahoma" w:cs="Tahoma"/>
          <w:b/>
          <w:bCs/>
          <w:color w:val="000000"/>
          <w:sz w:val="24"/>
          <w:szCs w:val="24"/>
        </w:rPr>
      </w:pPr>
      <w:bookmarkStart w:id="14" w:name="_Toc198290366"/>
      <w:bookmarkStart w:id="15" w:name="_Toc199406232"/>
      <w:r w:rsidRPr="00C53F10">
        <w:rPr>
          <w:rFonts w:ascii="Tahoma" w:hAnsi="Tahoma" w:cs="Tahoma"/>
          <w:b/>
          <w:bCs/>
          <w:color w:val="000000"/>
          <w:sz w:val="24"/>
          <w:szCs w:val="24"/>
        </w:rPr>
        <w:lastRenderedPageBreak/>
        <w:t xml:space="preserve">Activele financiare </w:t>
      </w:r>
      <w:r w:rsidR="00977242" w:rsidRPr="00C53F10">
        <w:rPr>
          <w:rFonts w:ascii="Tahoma" w:hAnsi="Tahoma" w:cs="Tahoma"/>
          <w:b/>
          <w:bCs/>
          <w:color w:val="000000"/>
          <w:sz w:val="24"/>
          <w:szCs w:val="24"/>
        </w:rPr>
        <w:t>și</w:t>
      </w:r>
      <w:r w:rsidRPr="00C53F10">
        <w:rPr>
          <w:rFonts w:ascii="Tahoma" w:hAnsi="Tahoma" w:cs="Tahoma"/>
          <w:b/>
          <w:bCs/>
          <w:color w:val="000000"/>
          <w:sz w:val="24"/>
          <w:szCs w:val="24"/>
        </w:rPr>
        <w:t xml:space="preserve"> nefinanciare guvernamentale</w:t>
      </w:r>
      <w:bookmarkEnd w:id="14"/>
      <w:bookmarkEnd w:id="15"/>
      <w:r w:rsidRPr="00C53F10">
        <w:rPr>
          <w:rFonts w:ascii="Tahoma" w:hAnsi="Tahoma" w:cs="Tahoma"/>
          <w:b/>
          <w:bCs/>
          <w:color w:val="000000"/>
          <w:sz w:val="24"/>
          <w:szCs w:val="24"/>
        </w:rPr>
        <w:t xml:space="preserve"> </w:t>
      </w:r>
    </w:p>
    <w:p w14:paraId="21EA06E5" w14:textId="06F79D73" w:rsidR="002E149A" w:rsidRDefault="002E149A" w:rsidP="002E149A"/>
    <w:p w14:paraId="75A544BB" w14:textId="77777777" w:rsidR="00862C06" w:rsidRPr="00862C06" w:rsidRDefault="00862C06" w:rsidP="00862C06">
      <w:pPr>
        <w:spacing w:line="276" w:lineRule="auto"/>
        <w:ind w:right="283"/>
        <w:jc w:val="right"/>
        <w:rPr>
          <w:sz w:val="20"/>
          <w:szCs w:val="20"/>
        </w:rPr>
      </w:pPr>
      <w:r w:rsidRPr="00862C06">
        <w:rPr>
          <w:sz w:val="20"/>
          <w:szCs w:val="20"/>
        </w:rPr>
        <w:t>-milioane lei-</w:t>
      </w:r>
    </w:p>
    <w:tbl>
      <w:tblPr>
        <w:tblW w:w="9781" w:type="dxa"/>
        <w:tblBorders>
          <w:top w:val="double" w:sz="4" w:space="0" w:color="auto"/>
          <w:bottom w:val="double" w:sz="4" w:space="0" w:color="auto"/>
        </w:tblBorders>
        <w:tblLook w:val="0000" w:firstRow="0" w:lastRow="0" w:firstColumn="0" w:lastColumn="0" w:noHBand="0" w:noVBand="0"/>
      </w:tblPr>
      <w:tblGrid>
        <w:gridCol w:w="3422"/>
        <w:gridCol w:w="6359"/>
      </w:tblGrid>
      <w:tr w:rsidR="00862C06" w14:paraId="2D2FC9E9" w14:textId="77777777" w:rsidTr="00010DB3">
        <w:trPr>
          <w:trHeight w:val="440"/>
        </w:trPr>
        <w:tc>
          <w:tcPr>
            <w:tcW w:w="9780" w:type="dxa"/>
            <w:gridSpan w:val="2"/>
            <w:shd w:val="clear" w:color="auto" w:fill="D7FDF9"/>
            <w:vAlign w:val="bottom"/>
          </w:tcPr>
          <w:p w14:paraId="604AB5DD" w14:textId="77777777" w:rsidR="00862C06" w:rsidRDefault="00862C06" w:rsidP="00067E77">
            <w:pPr>
              <w:spacing w:line="276" w:lineRule="auto"/>
              <w:jc w:val="right"/>
            </w:pPr>
            <w:r>
              <w:rPr>
                <w:color w:val="000000"/>
              </w:rPr>
              <w:t xml:space="preserve">- sold la sfârșitul perioadei                                                                      </w:t>
            </w:r>
            <w:r>
              <w:rPr>
                <w:b/>
                <w:bCs/>
                <w:color w:val="000000"/>
              </w:rPr>
              <w:t>31.12.2024</w:t>
            </w:r>
          </w:p>
        </w:tc>
      </w:tr>
      <w:tr w:rsidR="00862C06" w14:paraId="78E306A4" w14:textId="77777777" w:rsidTr="00862C06">
        <w:trPr>
          <w:trHeight w:val="454"/>
        </w:trPr>
        <w:tc>
          <w:tcPr>
            <w:tcW w:w="3422" w:type="dxa"/>
            <w:shd w:val="clear" w:color="auto" w:fill="D9D9D9" w:themeFill="background1" w:themeFillShade="D9"/>
            <w:vAlign w:val="center"/>
          </w:tcPr>
          <w:p w14:paraId="1D61B555" w14:textId="77777777" w:rsidR="00862C06" w:rsidRDefault="00862C06" w:rsidP="00067E77">
            <w:pPr>
              <w:spacing w:line="276" w:lineRule="auto"/>
              <w:rPr>
                <w:b/>
                <w:bCs/>
                <w:color w:val="000000"/>
              </w:rPr>
            </w:pPr>
            <w:r>
              <w:rPr>
                <w:b/>
                <w:bCs/>
                <w:color w:val="000000"/>
              </w:rPr>
              <w:t xml:space="preserve"> Active nefinanciare -Total</w:t>
            </w:r>
          </w:p>
        </w:tc>
        <w:tc>
          <w:tcPr>
            <w:tcW w:w="6358" w:type="dxa"/>
            <w:shd w:val="clear" w:color="auto" w:fill="D9D9D9" w:themeFill="background1" w:themeFillShade="D9"/>
            <w:vAlign w:val="bottom"/>
          </w:tcPr>
          <w:p w14:paraId="48762E82" w14:textId="77777777" w:rsidR="00862C06" w:rsidRPr="00492123" w:rsidRDefault="00862C06" w:rsidP="00067E77">
            <w:pPr>
              <w:spacing w:line="276" w:lineRule="auto"/>
              <w:jc w:val="right"/>
              <w:rPr>
                <w:b/>
                <w:bCs/>
                <w:highlight w:val="yellow"/>
              </w:rPr>
            </w:pPr>
            <w:r w:rsidRPr="00C74737">
              <w:rPr>
                <w:b/>
                <w:bCs/>
              </w:rPr>
              <w:t>1.350.645,47</w:t>
            </w:r>
          </w:p>
        </w:tc>
      </w:tr>
      <w:tr w:rsidR="00862C06" w:rsidRPr="002B17CC" w14:paraId="3BB11ED7" w14:textId="77777777" w:rsidTr="00862C06">
        <w:trPr>
          <w:trHeight w:val="333"/>
        </w:trPr>
        <w:tc>
          <w:tcPr>
            <w:tcW w:w="3422" w:type="dxa"/>
            <w:shd w:val="clear" w:color="FFFFCC" w:fill="FFFFFF"/>
            <w:vAlign w:val="bottom"/>
          </w:tcPr>
          <w:p w14:paraId="3882C47B" w14:textId="77777777" w:rsidR="00862C06" w:rsidRPr="002B17CC" w:rsidRDefault="00862C06" w:rsidP="00067E77">
            <w:pPr>
              <w:tabs>
                <w:tab w:val="left" w:pos="1109"/>
              </w:tabs>
              <w:spacing w:line="276" w:lineRule="auto"/>
              <w:rPr>
                <w:color w:val="000000"/>
              </w:rPr>
            </w:pPr>
            <w:r>
              <w:rPr>
                <w:color w:val="000000"/>
              </w:rPr>
              <w:t xml:space="preserve">     </w:t>
            </w:r>
            <w:r w:rsidRPr="002B17CC">
              <w:rPr>
                <w:color w:val="000000"/>
              </w:rPr>
              <w:t>din care:</w:t>
            </w:r>
          </w:p>
        </w:tc>
        <w:tc>
          <w:tcPr>
            <w:tcW w:w="6358" w:type="dxa"/>
            <w:shd w:val="clear" w:color="auto" w:fill="FFFFFF"/>
            <w:vAlign w:val="bottom"/>
          </w:tcPr>
          <w:p w14:paraId="0BB862C0" w14:textId="77777777" w:rsidR="00862C06" w:rsidRPr="00492123" w:rsidRDefault="00862C06" w:rsidP="00067E77">
            <w:pPr>
              <w:spacing w:line="276" w:lineRule="auto"/>
              <w:rPr>
                <w:highlight w:val="yellow"/>
              </w:rPr>
            </w:pPr>
          </w:p>
        </w:tc>
      </w:tr>
      <w:tr w:rsidR="00862C06" w:rsidRPr="002B17CC" w14:paraId="67AA7B29" w14:textId="77777777" w:rsidTr="00862C06">
        <w:trPr>
          <w:trHeight w:val="387"/>
        </w:trPr>
        <w:tc>
          <w:tcPr>
            <w:tcW w:w="3422" w:type="dxa"/>
            <w:shd w:val="clear" w:color="FFFFCC" w:fill="FFFFFF"/>
            <w:vAlign w:val="center"/>
          </w:tcPr>
          <w:p w14:paraId="14F8F5B3" w14:textId="77777777" w:rsidR="00862C06" w:rsidRPr="002B17CC" w:rsidRDefault="00862C06" w:rsidP="00067E77">
            <w:pPr>
              <w:spacing w:line="276" w:lineRule="auto"/>
              <w:rPr>
                <w:color w:val="000000"/>
              </w:rPr>
            </w:pPr>
            <w:r w:rsidRPr="002B17CC">
              <w:rPr>
                <w:color w:val="000000"/>
              </w:rPr>
              <w:t xml:space="preserve">  Active fixe corporale</w:t>
            </w:r>
          </w:p>
        </w:tc>
        <w:tc>
          <w:tcPr>
            <w:tcW w:w="6358" w:type="dxa"/>
            <w:shd w:val="clear" w:color="auto" w:fill="FFFFFF"/>
            <w:vAlign w:val="bottom"/>
          </w:tcPr>
          <w:p w14:paraId="2DF69478" w14:textId="77777777" w:rsidR="00862C06" w:rsidRPr="00C74737" w:rsidRDefault="00862C06" w:rsidP="00067E77">
            <w:pPr>
              <w:spacing w:line="276" w:lineRule="auto"/>
              <w:jc w:val="right"/>
            </w:pPr>
            <w:r w:rsidRPr="00C74737">
              <w:t>1.303.836,64</w:t>
            </w:r>
          </w:p>
        </w:tc>
      </w:tr>
      <w:tr w:rsidR="00862C06" w:rsidRPr="002B17CC" w14:paraId="1A6F60DA" w14:textId="77777777" w:rsidTr="00862C06">
        <w:trPr>
          <w:trHeight w:val="387"/>
        </w:trPr>
        <w:tc>
          <w:tcPr>
            <w:tcW w:w="3422" w:type="dxa"/>
            <w:shd w:val="clear" w:color="FFFFCC" w:fill="FFFFFF"/>
            <w:vAlign w:val="center"/>
          </w:tcPr>
          <w:p w14:paraId="1243BD3F" w14:textId="77777777" w:rsidR="00862C06" w:rsidRPr="002B17CC" w:rsidRDefault="00862C06" w:rsidP="00067E77">
            <w:pPr>
              <w:spacing w:line="276" w:lineRule="auto"/>
              <w:rPr>
                <w:color w:val="000000"/>
              </w:rPr>
            </w:pPr>
            <w:r w:rsidRPr="002B17CC">
              <w:rPr>
                <w:color w:val="000000"/>
              </w:rPr>
              <w:t xml:space="preserve">  Active fixe necorporale</w:t>
            </w:r>
          </w:p>
        </w:tc>
        <w:tc>
          <w:tcPr>
            <w:tcW w:w="6358" w:type="dxa"/>
            <w:shd w:val="clear" w:color="auto" w:fill="FFFFFF"/>
            <w:vAlign w:val="bottom"/>
          </w:tcPr>
          <w:p w14:paraId="4BBFDC33" w14:textId="77777777" w:rsidR="00862C06" w:rsidRPr="00C74737" w:rsidRDefault="00862C06" w:rsidP="00067E77">
            <w:pPr>
              <w:spacing w:line="276" w:lineRule="auto"/>
              <w:jc w:val="right"/>
            </w:pPr>
            <w:r w:rsidRPr="00C74737">
              <w:t>5.588,00</w:t>
            </w:r>
          </w:p>
        </w:tc>
      </w:tr>
      <w:tr w:rsidR="00862C06" w:rsidRPr="002B17CC" w14:paraId="5611F5AF" w14:textId="77777777" w:rsidTr="00862C06">
        <w:trPr>
          <w:trHeight w:val="387"/>
        </w:trPr>
        <w:tc>
          <w:tcPr>
            <w:tcW w:w="3422" w:type="dxa"/>
            <w:shd w:val="clear" w:color="FFFFCC" w:fill="FFFFFF"/>
            <w:vAlign w:val="center"/>
          </w:tcPr>
          <w:p w14:paraId="3DE35A3F" w14:textId="77777777" w:rsidR="00862C06" w:rsidRPr="002B17CC" w:rsidRDefault="00862C06" w:rsidP="00067E77">
            <w:pPr>
              <w:spacing w:line="276" w:lineRule="auto"/>
              <w:rPr>
                <w:color w:val="000000"/>
              </w:rPr>
            </w:pPr>
            <w:r w:rsidRPr="002B17CC">
              <w:rPr>
                <w:b/>
                <w:bCs/>
                <w:color w:val="000000"/>
              </w:rPr>
              <w:t xml:space="preserve">  </w:t>
            </w:r>
            <w:r w:rsidRPr="002B17CC">
              <w:rPr>
                <w:bCs/>
                <w:color w:val="000000"/>
              </w:rPr>
              <w:t xml:space="preserve">Stocuri </w:t>
            </w:r>
          </w:p>
        </w:tc>
        <w:tc>
          <w:tcPr>
            <w:tcW w:w="6358" w:type="dxa"/>
            <w:shd w:val="clear" w:color="auto" w:fill="FFFFFF"/>
            <w:vAlign w:val="bottom"/>
          </w:tcPr>
          <w:p w14:paraId="5609EE90" w14:textId="77777777" w:rsidR="00862C06" w:rsidRPr="00A34BAB" w:rsidRDefault="00862C06" w:rsidP="00067E77">
            <w:pPr>
              <w:spacing w:line="276" w:lineRule="auto"/>
              <w:jc w:val="right"/>
            </w:pPr>
            <w:r w:rsidRPr="00A34BAB">
              <w:t>41.220,83</w:t>
            </w:r>
          </w:p>
        </w:tc>
      </w:tr>
      <w:tr w:rsidR="00862C06" w:rsidRPr="002B17CC" w14:paraId="62AB77CF" w14:textId="77777777" w:rsidTr="00862C06">
        <w:trPr>
          <w:trHeight w:val="333"/>
        </w:trPr>
        <w:tc>
          <w:tcPr>
            <w:tcW w:w="3422" w:type="dxa"/>
            <w:shd w:val="clear" w:color="auto" w:fill="D9D9D9" w:themeFill="background1" w:themeFillShade="D9"/>
            <w:vAlign w:val="bottom"/>
          </w:tcPr>
          <w:p w14:paraId="0A0B1F95" w14:textId="77777777" w:rsidR="00862C06" w:rsidRPr="002B17CC" w:rsidRDefault="00862C06" w:rsidP="00067E77">
            <w:pPr>
              <w:spacing w:line="276" w:lineRule="auto"/>
              <w:rPr>
                <w:color w:val="000000"/>
              </w:rPr>
            </w:pPr>
            <w:r w:rsidRPr="002B17CC">
              <w:rPr>
                <w:b/>
                <w:bCs/>
                <w:color w:val="000000"/>
              </w:rPr>
              <w:t>Active financiare-Total</w:t>
            </w:r>
          </w:p>
        </w:tc>
        <w:tc>
          <w:tcPr>
            <w:tcW w:w="6358" w:type="dxa"/>
            <w:shd w:val="clear" w:color="auto" w:fill="D9D9D9" w:themeFill="background1" w:themeFillShade="D9"/>
            <w:vAlign w:val="bottom"/>
          </w:tcPr>
          <w:p w14:paraId="67C744E8" w14:textId="77777777" w:rsidR="00862C06" w:rsidRPr="00A34BAB" w:rsidRDefault="00862C06" w:rsidP="00067E77">
            <w:pPr>
              <w:spacing w:line="276" w:lineRule="auto"/>
              <w:jc w:val="right"/>
            </w:pPr>
            <w:r w:rsidRPr="00A34BAB">
              <w:rPr>
                <w:b/>
                <w:bCs/>
              </w:rPr>
              <w:t>1.001.905,88</w:t>
            </w:r>
            <w:r w:rsidRPr="00A34BAB">
              <w:t xml:space="preserve">                                                   </w:t>
            </w:r>
          </w:p>
        </w:tc>
      </w:tr>
      <w:tr w:rsidR="00862C06" w:rsidRPr="002B17CC" w14:paraId="5DA3FD9C" w14:textId="77777777" w:rsidTr="00862C06">
        <w:trPr>
          <w:trHeight w:val="413"/>
        </w:trPr>
        <w:tc>
          <w:tcPr>
            <w:tcW w:w="3422" w:type="dxa"/>
            <w:shd w:val="clear" w:color="FFFFCC" w:fill="FFFFFF"/>
            <w:vAlign w:val="center"/>
          </w:tcPr>
          <w:p w14:paraId="67201FE1" w14:textId="77777777" w:rsidR="00862C06" w:rsidRPr="002B17CC" w:rsidRDefault="00862C06" w:rsidP="00067E77">
            <w:pPr>
              <w:spacing w:line="276" w:lineRule="auto"/>
              <w:rPr>
                <w:color w:val="000000"/>
              </w:rPr>
            </w:pPr>
            <w:r w:rsidRPr="002B17CC">
              <w:rPr>
                <w:color w:val="000000"/>
              </w:rPr>
              <w:t xml:space="preserve">   din care:  </w:t>
            </w:r>
          </w:p>
          <w:p w14:paraId="5673F937" w14:textId="77777777" w:rsidR="00862C06" w:rsidRPr="002B17CC" w:rsidRDefault="00862C06" w:rsidP="00067E77">
            <w:pPr>
              <w:spacing w:line="276" w:lineRule="auto"/>
              <w:rPr>
                <w:color w:val="000000"/>
              </w:rPr>
            </w:pPr>
            <w:r w:rsidRPr="002B17CC">
              <w:rPr>
                <w:color w:val="000000"/>
              </w:rPr>
              <w:t xml:space="preserve">  Titluri de participare</w:t>
            </w:r>
          </w:p>
        </w:tc>
        <w:tc>
          <w:tcPr>
            <w:tcW w:w="6358" w:type="dxa"/>
            <w:shd w:val="clear" w:color="auto" w:fill="FFFFFF"/>
            <w:vAlign w:val="bottom"/>
          </w:tcPr>
          <w:p w14:paraId="3A2CA433" w14:textId="77777777" w:rsidR="00862C06" w:rsidRPr="00492123" w:rsidRDefault="00862C06" w:rsidP="00067E77">
            <w:pPr>
              <w:spacing w:line="276" w:lineRule="auto"/>
              <w:jc w:val="right"/>
              <w:rPr>
                <w:highlight w:val="yellow"/>
              </w:rPr>
            </w:pPr>
            <w:r w:rsidRPr="00596C0E">
              <w:t>44.</w:t>
            </w:r>
            <w:r>
              <w:t>433</w:t>
            </w:r>
            <w:r w:rsidRPr="00596C0E">
              <w:t>,</w:t>
            </w:r>
            <w:r>
              <w:t>15</w:t>
            </w:r>
          </w:p>
        </w:tc>
      </w:tr>
      <w:tr w:rsidR="00862C06" w:rsidRPr="002B17CC" w14:paraId="52A23F45" w14:textId="77777777" w:rsidTr="00862C06">
        <w:trPr>
          <w:trHeight w:val="70"/>
        </w:trPr>
        <w:tc>
          <w:tcPr>
            <w:tcW w:w="3422" w:type="dxa"/>
            <w:shd w:val="clear" w:color="FFFFCC" w:fill="FFFFFF"/>
            <w:vAlign w:val="center"/>
          </w:tcPr>
          <w:p w14:paraId="774535A4" w14:textId="77777777" w:rsidR="00862C06" w:rsidRPr="002B17CC" w:rsidRDefault="00862C06" w:rsidP="00067E77">
            <w:pPr>
              <w:spacing w:line="276" w:lineRule="auto"/>
              <w:rPr>
                <w:color w:val="000000"/>
              </w:rPr>
            </w:pPr>
            <w:r w:rsidRPr="002B17CC">
              <w:rPr>
                <w:color w:val="000000"/>
              </w:rPr>
              <w:t xml:space="preserve">  Creanțe necurente</w:t>
            </w:r>
          </w:p>
        </w:tc>
        <w:tc>
          <w:tcPr>
            <w:tcW w:w="6358" w:type="dxa"/>
            <w:shd w:val="clear" w:color="auto" w:fill="FFFFFF"/>
            <w:vAlign w:val="bottom"/>
          </w:tcPr>
          <w:p w14:paraId="3527CAF7" w14:textId="77777777" w:rsidR="00862C06" w:rsidRPr="00492123" w:rsidRDefault="00862C06" w:rsidP="00067E77">
            <w:pPr>
              <w:spacing w:line="276" w:lineRule="auto"/>
              <w:jc w:val="right"/>
              <w:rPr>
                <w:highlight w:val="yellow"/>
              </w:rPr>
            </w:pPr>
            <w:r w:rsidRPr="00A34BAB">
              <w:t>16.558,33</w:t>
            </w:r>
          </w:p>
        </w:tc>
      </w:tr>
    </w:tbl>
    <w:p w14:paraId="32415458" w14:textId="0F4D8F16" w:rsidR="00862C06" w:rsidRDefault="00862C06" w:rsidP="002E149A"/>
    <w:p w14:paraId="07C01B94" w14:textId="77777777" w:rsidR="00862C06" w:rsidRPr="00862C06" w:rsidRDefault="00862C06" w:rsidP="00862C06">
      <w:pPr>
        <w:spacing w:line="276" w:lineRule="auto"/>
        <w:jc w:val="both"/>
        <w:textAlignment w:val="baseline"/>
        <w:rPr>
          <w:color w:val="000000"/>
          <w:lang w:eastAsia="en-US"/>
        </w:rPr>
      </w:pPr>
      <w:r w:rsidRPr="00862C06">
        <w:rPr>
          <w:b/>
          <w:bCs/>
          <w:color w:val="000000"/>
          <w:lang w:eastAsia="en-US"/>
        </w:rPr>
        <w:t>Activele fixe necorporale</w:t>
      </w:r>
      <w:r w:rsidRPr="00862C06">
        <w:rPr>
          <w:color w:val="000000"/>
          <w:lang w:eastAsia="en-US"/>
        </w:rPr>
        <w:t xml:space="preserve"> sunt active fără substanță fizică, care se utilizează pe o perioadă mai mare de un an.  </w:t>
      </w:r>
    </w:p>
    <w:p w14:paraId="6FEEB7CE" w14:textId="77777777" w:rsidR="00862C06" w:rsidRPr="00862C06" w:rsidRDefault="00862C06" w:rsidP="00862C06">
      <w:pPr>
        <w:spacing w:line="276" w:lineRule="auto"/>
        <w:jc w:val="both"/>
        <w:textAlignment w:val="baseline"/>
        <w:rPr>
          <w:rFonts w:ascii="Calibri" w:hAnsi="Calibri" w:cs="Calibri"/>
          <w:sz w:val="22"/>
          <w:szCs w:val="22"/>
          <w:lang w:val="en-US" w:eastAsia="en-US"/>
        </w:rPr>
      </w:pPr>
      <w:r w:rsidRPr="00862C06">
        <w:rPr>
          <w:b/>
          <w:bCs/>
          <w:color w:val="000000"/>
          <w:lang w:eastAsia="en-US"/>
        </w:rPr>
        <w:t xml:space="preserve">Activele fixe necorporale </w:t>
      </w:r>
      <w:r w:rsidRPr="00862C06">
        <w:rPr>
          <w:bCs/>
          <w:color w:val="000000"/>
          <w:lang w:eastAsia="en-US"/>
        </w:rPr>
        <w:t xml:space="preserve">sunt în sumă </w:t>
      </w:r>
      <w:r w:rsidRPr="00862C06">
        <w:rPr>
          <w:bCs/>
          <w:lang w:eastAsia="en-US"/>
        </w:rPr>
        <w:t xml:space="preserve">de </w:t>
      </w:r>
      <w:r w:rsidRPr="00862C06">
        <w:rPr>
          <w:b/>
          <w:bCs/>
          <w:lang w:eastAsia="en-US"/>
        </w:rPr>
        <w:t xml:space="preserve">5.588,00 </w:t>
      </w:r>
      <w:r w:rsidRPr="00862C06">
        <w:rPr>
          <w:b/>
          <w:bCs/>
          <w:color w:val="000000"/>
          <w:lang w:eastAsia="en-US"/>
        </w:rPr>
        <w:t>milioane lei</w:t>
      </w:r>
      <w:r w:rsidRPr="00862C06">
        <w:rPr>
          <w:color w:val="000000"/>
          <w:lang w:eastAsia="en-US"/>
        </w:rPr>
        <w:t xml:space="preserve"> şi reprezintă contravaloarea programelor informatice, licențelor, brevetelor, cheltuielilor de dezvoltare etc. deținute de instituțiile publice din care: </w:t>
      </w:r>
    </w:p>
    <w:p w14:paraId="340E5F22" w14:textId="77777777" w:rsidR="00862C06" w:rsidRPr="00862C06" w:rsidRDefault="00862C06" w:rsidP="00862C06">
      <w:pPr>
        <w:spacing w:line="276" w:lineRule="auto"/>
        <w:ind w:firstLine="570"/>
        <w:jc w:val="both"/>
        <w:textAlignment w:val="baseline"/>
        <w:rPr>
          <w:color w:val="000000"/>
          <w:lang w:eastAsia="en-US"/>
        </w:rPr>
      </w:pPr>
    </w:p>
    <w:p w14:paraId="26647A96" w14:textId="77777777" w:rsidR="00862C06" w:rsidRPr="00862C06" w:rsidRDefault="00862C06" w:rsidP="00862C06">
      <w:pPr>
        <w:numPr>
          <w:ilvl w:val="0"/>
          <w:numId w:val="9"/>
        </w:numPr>
        <w:spacing w:after="160" w:line="276" w:lineRule="auto"/>
        <w:ind w:left="1080"/>
        <w:jc w:val="both"/>
        <w:textAlignment w:val="baseline"/>
        <w:rPr>
          <w:rFonts w:ascii="Calibri" w:eastAsia="Times New Roman" w:hAnsi="Calibri" w:cs="Times New Roman"/>
          <w:sz w:val="20"/>
          <w:szCs w:val="20"/>
          <w:lang w:val="en-US" w:eastAsia="en-US"/>
        </w:rPr>
      </w:pPr>
      <w:r w:rsidRPr="00862C06">
        <w:rPr>
          <w:rFonts w:eastAsia="Times New Roman"/>
          <w:b/>
          <w:bCs/>
          <w:lang w:eastAsia="en-US"/>
        </w:rPr>
        <w:t xml:space="preserve">3.628,00 milioane lei </w:t>
      </w:r>
      <w:r w:rsidRPr="00862C06">
        <w:rPr>
          <w:rFonts w:eastAsia="Times New Roman"/>
          <w:lang w:eastAsia="en-US"/>
        </w:rPr>
        <w:t xml:space="preserve">(64,93 % din total active fixe necorporale) reprezentând </w:t>
      </w:r>
      <w:r w:rsidRPr="00862C06">
        <w:rPr>
          <w:rFonts w:eastAsia="Times New Roman"/>
          <w:bCs/>
          <w:lang w:eastAsia="en-US"/>
        </w:rPr>
        <w:t>active fixe necorporale</w:t>
      </w:r>
      <w:r w:rsidRPr="00862C06">
        <w:rPr>
          <w:rFonts w:eastAsia="Times New Roman"/>
          <w:lang w:eastAsia="en-US"/>
        </w:rPr>
        <w:t xml:space="preserve"> raportate în situațiile financiare anuale centralizate ale ordonatorilor principali de credite ai bugetului de stat;</w:t>
      </w:r>
    </w:p>
    <w:p w14:paraId="77BFA128" w14:textId="77777777" w:rsidR="00862C06" w:rsidRPr="00862C06" w:rsidRDefault="00862C06" w:rsidP="00862C06">
      <w:pPr>
        <w:numPr>
          <w:ilvl w:val="0"/>
          <w:numId w:val="9"/>
        </w:numPr>
        <w:spacing w:after="160" w:line="276" w:lineRule="auto"/>
        <w:ind w:left="1080"/>
        <w:jc w:val="both"/>
        <w:textAlignment w:val="baseline"/>
        <w:rPr>
          <w:rFonts w:ascii="Calibri" w:eastAsia="Times New Roman" w:hAnsi="Calibri" w:cs="Times New Roman"/>
          <w:sz w:val="20"/>
          <w:szCs w:val="20"/>
          <w:lang w:val="en-US" w:eastAsia="en-US"/>
        </w:rPr>
      </w:pPr>
      <w:r w:rsidRPr="00862C06">
        <w:rPr>
          <w:rFonts w:eastAsia="Times New Roman"/>
          <w:b/>
          <w:bCs/>
          <w:lang w:eastAsia="en-US"/>
        </w:rPr>
        <w:t>1.794,02 milioane lei</w:t>
      </w:r>
      <w:r w:rsidRPr="00862C06">
        <w:rPr>
          <w:rFonts w:eastAsia="Times New Roman"/>
          <w:lang w:eastAsia="en-US"/>
        </w:rPr>
        <w:t xml:space="preserve"> (32,10 % din total active fixe necorporale) reprezentând active fixe necorporale raportate în situațiile financiare anuale centralizate privind execuția bugetelor locale pe ansamblul județelor și al municipiului București;</w:t>
      </w:r>
    </w:p>
    <w:p w14:paraId="0D96857A" w14:textId="77777777" w:rsidR="00862C06" w:rsidRPr="00862C06" w:rsidRDefault="00862C06" w:rsidP="00862C06">
      <w:pPr>
        <w:numPr>
          <w:ilvl w:val="0"/>
          <w:numId w:val="9"/>
        </w:numPr>
        <w:spacing w:after="160" w:line="276" w:lineRule="auto"/>
        <w:ind w:left="1080"/>
        <w:jc w:val="both"/>
        <w:textAlignment w:val="baseline"/>
        <w:rPr>
          <w:rFonts w:ascii="Calibri" w:eastAsia="Times New Roman" w:hAnsi="Calibri" w:cs="Times New Roman"/>
          <w:sz w:val="20"/>
          <w:szCs w:val="20"/>
          <w:lang w:val="en-US" w:eastAsia="en-US"/>
        </w:rPr>
      </w:pPr>
      <w:r w:rsidRPr="00862C06">
        <w:rPr>
          <w:rFonts w:eastAsia="Times New Roman"/>
          <w:b/>
          <w:bCs/>
          <w:lang w:eastAsia="en-US"/>
        </w:rPr>
        <w:t>135,14 milioane lei</w:t>
      </w:r>
      <w:r w:rsidRPr="00862C06">
        <w:rPr>
          <w:rFonts w:eastAsia="Times New Roman"/>
          <w:lang w:eastAsia="en-US"/>
        </w:rPr>
        <w:t xml:space="preserve"> (2,42 % din total active fixe necorporale) reprezentând </w:t>
      </w:r>
      <w:r w:rsidRPr="00862C06">
        <w:rPr>
          <w:rFonts w:eastAsia="Times New Roman"/>
          <w:bCs/>
          <w:lang w:eastAsia="en-US"/>
        </w:rPr>
        <w:t xml:space="preserve">active fixe necorporale </w:t>
      </w:r>
      <w:r w:rsidRPr="00862C06">
        <w:rPr>
          <w:rFonts w:eastAsia="Times New Roman"/>
          <w:lang w:eastAsia="en-US"/>
        </w:rPr>
        <w:t>raportate în situațiile financiare anuale centralizate ale ordonatorilor principali de credite ai bugetului asigurărilor sociale  de stat, bugetului asigurărilor pentru șomaj şi bugetului Fondului național unic de asigurări sociale de sănătate;</w:t>
      </w:r>
    </w:p>
    <w:p w14:paraId="628B5C3B" w14:textId="77777777" w:rsidR="00862C06" w:rsidRPr="00862C06" w:rsidRDefault="00862C06" w:rsidP="00862C06">
      <w:pPr>
        <w:numPr>
          <w:ilvl w:val="0"/>
          <w:numId w:val="9"/>
        </w:numPr>
        <w:spacing w:after="120" w:line="276" w:lineRule="auto"/>
        <w:ind w:left="1080"/>
        <w:jc w:val="both"/>
        <w:textAlignment w:val="baseline"/>
        <w:rPr>
          <w:rFonts w:ascii="Calibri" w:eastAsia="Times New Roman" w:hAnsi="Calibri" w:cs="Times New Roman"/>
          <w:sz w:val="20"/>
          <w:szCs w:val="20"/>
          <w:lang w:val="en-US" w:eastAsia="en-US"/>
        </w:rPr>
      </w:pPr>
      <w:r w:rsidRPr="00862C06">
        <w:rPr>
          <w:rFonts w:eastAsia="Times New Roman"/>
          <w:b/>
          <w:bCs/>
          <w:lang w:eastAsia="en-US"/>
        </w:rPr>
        <w:t>30,84 milioane lei</w:t>
      </w:r>
      <w:r w:rsidRPr="00862C06">
        <w:rPr>
          <w:rFonts w:eastAsia="Times New Roman"/>
          <w:lang w:eastAsia="en-US"/>
        </w:rPr>
        <w:t xml:space="preserve"> (0,55 % din total active fixe necorporale) reprezentând </w:t>
      </w:r>
      <w:r w:rsidRPr="00862C06">
        <w:rPr>
          <w:rFonts w:eastAsia="Times New Roman"/>
          <w:bCs/>
          <w:lang w:eastAsia="en-US"/>
        </w:rPr>
        <w:t xml:space="preserve">active fixe necorporale </w:t>
      </w:r>
      <w:r w:rsidRPr="00862C06">
        <w:rPr>
          <w:rFonts w:eastAsia="Times New Roman"/>
          <w:lang w:eastAsia="en-US"/>
        </w:rPr>
        <w:t xml:space="preserve">raportate în situațiile financiare anuale centralizate ale instituțiilor publice finanțate integral din venituri proprii. </w:t>
      </w:r>
    </w:p>
    <w:p w14:paraId="175E2525" w14:textId="76AD6319" w:rsidR="00862C06" w:rsidRPr="00862C06" w:rsidRDefault="00862C06" w:rsidP="00862C06">
      <w:pPr>
        <w:spacing w:after="120" w:line="276" w:lineRule="auto"/>
        <w:jc w:val="both"/>
        <w:textAlignment w:val="baseline"/>
        <w:rPr>
          <w:rFonts w:ascii="Calibri" w:hAnsi="Calibri" w:cs="Calibri"/>
          <w:sz w:val="22"/>
          <w:szCs w:val="22"/>
          <w:lang w:val="en-US" w:eastAsia="en-US"/>
        </w:rPr>
      </w:pPr>
      <w:r w:rsidRPr="00862C06">
        <w:rPr>
          <w:b/>
          <w:bCs/>
          <w:lang w:eastAsia="en-US"/>
        </w:rPr>
        <w:t>Activele fixe corporale</w:t>
      </w:r>
      <w:r w:rsidRPr="00862C06">
        <w:rPr>
          <w:lang w:eastAsia="en-US"/>
        </w:rPr>
        <w:t xml:space="preserve"> cuprind: terenuri şi clădiri, instalații tehnice, mijloace de transport, animale şi plantații, mobilier, aparatură b</w:t>
      </w:r>
      <w:r w:rsidR="003777BB">
        <w:rPr>
          <w:lang w:eastAsia="en-US"/>
        </w:rPr>
        <w:t xml:space="preserve">irotică, alte active corporale </w:t>
      </w:r>
      <w:r w:rsidRPr="00862C06">
        <w:rPr>
          <w:lang w:eastAsia="en-US"/>
        </w:rPr>
        <w:t xml:space="preserve">deținute de instituțiile publice. Acestea prezintă un sold la sfârșitul anului de </w:t>
      </w:r>
      <w:r w:rsidRPr="00862C06">
        <w:rPr>
          <w:b/>
          <w:bCs/>
          <w:lang w:eastAsia="en-US"/>
        </w:rPr>
        <w:t>1.303.836,64 milioane lei</w:t>
      </w:r>
      <w:r w:rsidRPr="00862C06">
        <w:rPr>
          <w:bCs/>
          <w:lang w:eastAsia="en-US"/>
        </w:rPr>
        <w:t xml:space="preserve">. </w:t>
      </w:r>
    </w:p>
    <w:p w14:paraId="11C3AA87" w14:textId="77777777" w:rsidR="00862C06" w:rsidRPr="00862C06" w:rsidRDefault="00862C06" w:rsidP="00862C06">
      <w:pPr>
        <w:spacing w:after="120" w:line="276" w:lineRule="auto"/>
        <w:jc w:val="both"/>
        <w:textAlignment w:val="baseline"/>
        <w:rPr>
          <w:color w:val="000000"/>
          <w:lang w:eastAsia="en-US"/>
        </w:rPr>
      </w:pPr>
      <w:r w:rsidRPr="00862C06">
        <w:rPr>
          <w:b/>
          <w:bCs/>
          <w:color w:val="000000"/>
          <w:lang w:eastAsia="en-US"/>
        </w:rPr>
        <w:t>Stocurile</w:t>
      </w:r>
      <w:r w:rsidRPr="00862C06">
        <w:rPr>
          <w:color w:val="000000"/>
          <w:lang w:eastAsia="en-US"/>
        </w:rPr>
        <w:t xml:space="preserve"> sunt active circulante deținute pentru a fi vândute pe parcursul desfășurării normale a activității sau materii prime, materiale şi alte consumabile ce urmează a fi folosite în desfășurarea activității instituției. </w:t>
      </w:r>
    </w:p>
    <w:p w14:paraId="11BEB6AD" w14:textId="5F791B95" w:rsidR="002E149A" w:rsidRPr="00C53F10" w:rsidRDefault="00862C06" w:rsidP="004E25D6">
      <w:pPr>
        <w:spacing w:after="120" w:line="276" w:lineRule="auto"/>
        <w:jc w:val="both"/>
        <w:textAlignment w:val="baseline"/>
      </w:pPr>
      <w:r w:rsidRPr="00862C06">
        <w:rPr>
          <w:color w:val="000000"/>
          <w:lang w:eastAsia="en-US"/>
        </w:rPr>
        <w:t xml:space="preserve">La data de 31 decembrie 2024 stocurile sunt </w:t>
      </w:r>
      <w:r w:rsidRPr="00862C06">
        <w:rPr>
          <w:bCs/>
          <w:color w:val="000000"/>
          <w:lang w:eastAsia="en-US"/>
        </w:rPr>
        <w:t xml:space="preserve">în sumă </w:t>
      </w:r>
      <w:r w:rsidRPr="00862C06">
        <w:rPr>
          <w:bCs/>
          <w:lang w:eastAsia="en-US"/>
        </w:rPr>
        <w:t xml:space="preserve">de </w:t>
      </w:r>
      <w:r w:rsidRPr="00862C06">
        <w:rPr>
          <w:b/>
          <w:bCs/>
          <w:lang w:eastAsia="en-US"/>
        </w:rPr>
        <w:t xml:space="preserve">41.220,83 </w:t>
      </w:r>
      <w:r w:rsidRPr="00862C06">
        <w:rPr>
          <w:b/>
          <w:bCs/>
          <w:color w:val="000000"/>
          <w:lang w:eastAsia="en-US"/>
        </w:rPr>
        <w:t>milioane lei</w:t>
      </w:r>
      <w:r w:rsidRPr="00862C06">
        <w:rPr>
          <w:b/>
          <w:color w:val="000000"/>
          <w:lang w:eastAsia="en-US"/>
        </w:rPr>
        <w:t xml:space="preserve">. </w:t>
      </w:r>
      <w:r w:rsidR="002E149A" w:rsidRPr="00C53F10">
        <w:br w:type="page"/>
      </w:r>
    </w:p>
    <w:p w14:paraId="57D37AB0" w14:textId="58E54FD0" w:rsidR="00BA5E33" w:rsidRPr="00C53F10" w:rsidRDefault="00141977" w:rsidP="001E07A7">
      <w:pPr>
        <w:pStyle w:val="Heading1"/>
        <w:numPr>
          <w:ilvl w:val="0"/>
          <w:numId w:val="22"/>
        </w:numPr>
        <w:spacing w:line="276" w:lineRule="auto"/>
        <w:rPr>
          <w:rFonts w:ascii="Tahoma" w:hAnsi="Tahoma" w:cs="Tahoma"/>
          <w:b/>
          <w:bCs/>
          <w:color w:val="auto"/>
          <w:sz w:val="24"/>
          <w:szCs w:val="24"/>
        </w:rPr>
      </w:pPr>
      <w:bookmarkStart w:id="16" w:name="_Toc198290367"/>
      <w:bookmarkStart w:id="17" w:name="_Toc199406233"/>
      <w:r w:rsidRPr="00C53F10">
        <w:rPr>
          <w:rFonts w:ascii="Tahoma" w:hAnsi="Tahoma" w:cs="Tahoma"/>
          <w:b/>
          <w:bCs/>
          <w:color w:val="auto"/>
          <w:sz w:val="24"/>
          <w:szCs w:val="24"/>
        </w:rPr>
        <w:lastRenderedPageBreak/>
        <w:t>Finanțarea</w:t>
      </w:r>
      <w:r w:rsidR="00BA5E33" w:rsidRPr="00C53F10">
        <w:rPr>
          <w:rFonts w:ascii="Tahoma" w:hAnsi="Tahoma" w:cs="Tahoma"/>
          <w:b/>
          <w:bCs/>
          <w:color w:val="auto"/>
          <w:sz w:val="24"/>
          <w:szCs w:val="24"/>
        </w:rPr>
        <w:t xml:space="preserve"> deficitului bugetar </w:t>
      </w:r>
      <w:r w:rsidR="00977242" w:rsidRPr="00C53F10">
        <w:rPr>
          <w:rFonts w:ascii="Tahoma" w:hAnsi="Tahoma" w:cs="Tahoma"/>
          <w:b/>
          <w:bCs/>
          <w:color w:val="auto"/>
          <w:sz w:val="24"/>
          <w:szCs w:val="24"/>
        </w:rPr>
        <w:t>și</w:t>
      </w:r>
      <w:r w:rsidR="00BA5E33" w:rsidRPr="00C53F10">
        <w:rPr>
          <w:rFonts w:ascii="Tahoma" w:hAnsi="Tahoma" w:cs="Tahoma"/>
          <w:b/>
          <w:bCs/>
          <w:color w:val="auto"/>
          <w:sz w:val="24"/>
          <w:szCs w:val="24"/>
        </w:rPr>
        <w:t xml:space="preserve"> datoria publică</w:t>
      </w:r>
      <w:bookmarkEnd w:id="16"/>
      <w:bookmarkEnd w:id="17"/>
    </w:p>
    <w:p w14:paraId="7B87D27C" w14:textId="77777777" w:rsidR="001E1C0F" w:rsidRPr="00C53F10" w:rsidRDefault="001E1C0F" w:rsidP="001E1C0F">
      <w:pPr>
        <w:widowControl w:val="0"/>
        <w:spacing w:after="120" w:line="276" w:lineRule="auto"/>
        <w:ind w:left="1070" w:firstLine="720"/>
        <w:jc w:val="both"/>
        <w:rPr>
          <w:b/>
          <w:bCs/>
        </w:rPr>
      </w:pPr>
    </w:p>
    <w:p w14:paraId="72BA09BA" w14:textId="68EF6D64" w:rsidR="00BA5E33" w:rsidRPr="00C53F10" w:rsidRDefault="00BA5E33" w:rsidP="00090126">
      <w:pPr>
        <w:pStyle w:val="ListParagraph"/>
        <w:widowControl w:val="0"/>
        <w:numPr>
          <w:ilvl w:val="1"/>
          <w:numId w:val="22"/>
        </w:numPr>
        <w:spacing w:after="120" w:line="276" w:lineRule="auto"/>
        <w:ind w:left="788" w:hanging="431"/>
        <w:jc w:val="both"/>
        <w:rPr>
          <w:rFonts w:cs="Tahoma"/>
          <w:b/>
          <w:bCs/>
          <w:sz w:val="24"/>
          <w:szCs w:val="24"/>
        </w:rPr>
      </w:pPr>
      <w:r w:rsidRPr="00C53F10">
        <w:rPr>
          <w:rFonts w:cs="Tahoma"/>
          <w:b/>
          <w:bCs/>
          <w:sz w:val="24"/>
          <w:szCs w:val="24"/>
        </w:rPr>
        <w:t>Datoria publică</w:t>
      </w:r>
    </w:p>
    <w:p w14:paraId="12DD53DF" w14:textId="15076B2A" w:rsidR="00090126" w:rsidRPr="001159A2" w:rsidRDefault="00090126" w:rsidP="001159A2">
      <w:pPr>
        <w:widowControl w:val="0"/>
        <w:spacing w:after="120" w:line="276" w:lineRule="auto"/>
        <w:jc w:val="both"/>
        <w:rPr>
          <w:rFonts w:eastAsia="MS Mincho"/>
          <w:color w:val="000000"/>
          <w:lang w:eastAsia="ja-JP"/>
        </w:rPr>
      </w:pPr>
      <w:r w:rsidRPr="001159A2">
        <w:t>La sfârșitul anului 2024, ca urmare a contractării de datorie pentru acoperirea necesităților de finanțare a deficitului bugetului general consolidat de 8,6</w:t>
      </w:r>
      <w:r w:rsidR="001159A2">
        <w:t>6</w:t>
      </w:r>
      <w:r w:rsidRPr="001159A2">
        <w:t xml:space="preserve">% din PIB, pentru refinanțarea datoriei publice scadente, precum și pentru menținerea și consolidarea rezervei în valută la dispoziția Trezoreriei Statului, </w:t>
      </w:r>
      <w:r w:rsidRPr="001159A2">
        <w:rPr>
          <w:rFonts w:eastAsia="MS Mincho"/>
          <w:color w:val="000000"/>
          <w:lang w:eastAsia="ja-JP"/>
        </w:rPr>
        <w:t>România s-a situat pe locul 16 între statele membre UE cu un nivel de îndatorare de 54,8%</w:t>
      </w:r>
      <w:r w:rsidRPr="001159A2">
        <w:rPr>
          <w:rStyle w:val="FootnoteReference"/>
          <w:rFonts w:eastAsia="MS Mincho" w:cs="Tahoma"/>
          <w:color w:val="000000"/>
          <w:lang w:eastAsia="ja-JP"/>
        </w:rPr>
        <w:footnoteReference w:id="20"/>
      </w:r>
      <w:r w:rsidRPr="001159A2">
        <w:rPr>
          <w:rFonts w:eastAsia="MS Mincho"/>
          <w:color w:val="000000"/>
          <w:lang w:eastAsia="ja-JP"/>
        </w:rPr>
        <w:t xml:space="preserve"> din PIB, media datoriei guvernamentale pentru zona euro (EA 20) fiind de 87,4% din PIB, iar cea pentru UE27 de 81,0% din PIB.</w:t>
      </w:r>
    </w:p>
    <w:p w14:paraId="4FE75778" w14:textId="77777777" w:rsidR="00090126" w:rsidRPr="001159A2" w:rsidRDefault="00090126" w:rsidP="001159A2">
      <w:pPr>
        <w:spacing w:after="120" w:line="276" w:lineRule="auto"/>
        <w:jc w:val="both"/>
        <w:rPr>
          <w:rFonts w:eastAsia="MS Mincho"/>
          <w:lang w:eastAsia="ja-JP"/>
        </w:rPr>
      </w:pPr>
      <w:r w:rsidRPr="001159A2">
        <w:rPr>
          <w:rFonts w:eastAsia="MS Mincho"/>
          <w:lang w:eastAsia="ja-JP"/>
        </w:rPr>
        <w:t xml:space="preserve">Un număr de 12 state membre au înregistrat, la finele trimestrului IV 2024, un nivel al datoriei publice guvernamentale PIB de peste 60% din PIB, cele mai ridicate niveluri înregistrându-se în Grecia (153,6%), Italia (135,3%), Franța (113,0%), Belgia (104,7%), Spania (101,8%) și Portugalia (94,9%). </w:t>
      </w:r>
    </w:p>
    <w:p w14:paraId="0356AB64" w14:textId="35707E99" w:rsidR="001E1C0F" w:rsidRPr="001159A2" w:rsidRDefault="001E1C0F" w:rsidP="001159A2">
      <w:pPr>
        <w:pStyle w:val="ListParagraph"/>
        <w:widowControl w:val="0"/>
        <w:numPr>
          <w:ilvl w:val="1"/>
          <w:numId w:val="22"/>
        </w:numPr>
        <w:spacing w:after="120" w:line="276" w:lineRule="auto"/>
        <w:jc w:val="both"/>
        <w:rPr>
          <w:rFonts w:cs="Tahoma"/>
          <w:b/>
          <w:bCs/>
          <w:sz w:val="24"/>
          <w:szCs w:val="24"/>
        </w:rPr>
      </w:pPr>
      <w:r w:rsidRPr="001159A2">
        <w:rPr>
          <w:rFonts w:cs="Tahoma"/>
          <w:b/>
          <w:bCs/>
          <w:sz w:val="24"/>
          <w:szCs w:val="24"/>
        </w:rPr>
        <w:t xml:space="preserve">Finanțarea deficitului bugetar </w:t>
      </w:r>
    </w:p>
    <w:p w14:paraId="4389AEC6" w14:textId="3693BEAC" w:rsidR="00090126" w:rsidRPr="001159A2" w:rsidRDefault="00090126" w:rsidP="001159A2">
      <w:pPr>
        <w:pStyle w:val="ListParagraph"/>
        <w:numPr>
          <w:ilvl w:val="2"/>
          <w:numId w:val="22"/>
        </w:numPr>
        <w:spacing w:line="276" w:lineRule="auto"/>
        <w:rPr>
          <w:rFonts w:cs="Tahoma"/>
          <w:bCs/>
          <w:sz w:val="24"/>
          <w:szCs w:val="24"/>
        </w:rPr>
      </w:pPr>
      <w:r w:rsidRPr="001159A2">
        <w:rPr>
          <w:rFonts w:cs="Tahoma"/>
          <w:b/>
          <w:bCs/>
          <w:sz w:val="24"/>
          <w:szCs w:val="24"/>
        </w:rPr>
        <w:t xml:space="preserve">Piața internă </w:t>
      </w:r>
      <w:r w:rsidRPr="001159A2">
        <w:rPr>
          <w:rFonts w:cs="Tahoma"/>
          <w:bCs/>
          <w:sz w:val="24"/>
          <w:szCs w:val="24"/>
        </w:rPr>
        <w:t xml:space="preserve">- total atras cca 148,3 </w:t>
      </w:r>
      <w:r w:rsidR="00B15461">
        <w:rPr>
          <w:rFonts w:cs="Tahoma"/>
          <w:bCs/>
          <w:sz w:val="24"/>
          <w:szCs w:val="24"/>
        </w:rPr>
        <w:t>miliarde</w:t>
      </w:r>
      <w:r w:rsidRPr="001159A2">
        <w:rPr>
          <w:rFonts w:cs="Tahoma"/>
          <w:bCs/>
          <w:sz w:val="24"/>
          <w:szCs w:val="24"/>
        </w:rPr>
        <w:t xml:space="preserve"> echivalent lei, din care 2,6 </w:t>
      </w:r>
      <w:r w:rsidR="00B15461">
        <w:rPr>
          <w:rFonts w:cs="Tahoma"/>
          <w:bCs/>
          <w:sz w:val="24"/>
          <w:szCs w:val="24"/>
        </w:rPr>
        <w:t>miliarde</w:t>
      </w:r>
      <w:r w:rsidRPr="001159A2">
        <w:rPr>
          <w:rFonts w:cs="Tahoma"/>
          <w:bCs/>
          <w:sz w:val="24"/>
          <w:szCs w:val="24"/>
        </w:rPr>
        <w:t xml:space="preserve"> EUR și 135,5 </w:t>
      </w:r>
      <w:r w:rsidR="00B15461">
        <w:rPr>
          <w:rFonts w:cs="Tahoma"/>
          <w:bCs/>
          <w:sz w:val="24"/>
          <w:szCs w:val="24"/>
        </w:rPr>
        <w:t>miliarde</w:t>
      </w:r>
      <w:r w:rsidRPr="001159A2">
        <w:rPr>
          <w:rFonts w:cs="Tahoma"/>
          <w:bCs/>
          <w:sz w:val="24"/>
          <w:szCs w:val="24"/>
        </w:rPr>
        <w:t xml:space="preserve"> lei, prin:</w:t>
      </w:r>
    </w:p>
    <w:p w14:paraId="20B145BE" w14:textId="60D48A98" w:rsidR="00090126" w:rsidRPr="001159A2" w:rsidRDefault="00090126" w:rsidP="001159A2">
      <w:pPr>
        <w:numPr>
          <w:ilvl w:val="0"/>
          <w:numId w:val="39"/>
        </w:numPr>
        <w:spacing w:before="120" w:after="120" w:line="276" w:lineRule="auto"/>
        <w:ind w:left="1418"/>
        <w:jc w:val="both"/>
      </w:pPr>
      <w:r w:rsidRPr="001159A2">
        <w:rPr>
          <w:u w:val="single"/>
        </w:rPr>
        <w:t>Licitații de titluri de stat pe piața interbancară</w:t>
      </w:r>
      <w:r w:rsidRPr="001159A2">
        <w:t xml:space="preserve">: 102,8 </w:t>
      </w:r>
      <w:r w:rsidR="00B15461">
        <w:t>miliarde</w:t>
      </w:r>
      <w:r w:rsidRPr="001159A2">
        <w:t xml:space="preserve"> lei și 0,35 </w:t>
      </w:r>
      <w:r w:rsidR="00B15461">
        <w:t>miliarde</w:t>
      </w:r>
      <w:r w:rsidRPr="001159A2">
        <w:t xml:space="preserve"> EUR, cu următoarea structură de maturități:</w:t>
      </w:r>
    </w:p>
    <w:p w14:paraId="4BCD4092" w14:textId="77777777" w:rsidR="00090126" w:rsidRPr="001159A2" w:rsidRDefault="00090126" w:rsidP="001159A2">
      <w:pPr>
        <w:numPr>
          <w:ilvl w:val="1"/>
          <w:numId w:val="43"/>
        </w:numPr>
        <w:spacing w:before="120" w:after="120" w:line="276" w:lineRule="auto"/>
        <w:jc w:val="both"/>
      </w:pPr>
      <w:r w:rsidRPr="001159A2">
        <w:t>19,4% emisiuni de certificate de trezorerie cu discont cu maturitate de până la 12 luni și emisiuni de obligațiuni de tip benchmark cu maturități reziduale până la 1 an;</w:t>
      </w:r>
    </w:p>
    <w:p w14:paraId="1C3303DF" w14:textId="77777777" w:rsidR="00090126" w:rsidRPr="001159A2" w:rsidRDefault="00090126" w:rsidP="001159A2">
      <w:pPr>
        <w:numPr>
          <w:ilvl w:val="1"/>
          <w:numId w:val="43"/>
        </w:numPr>
        <w:spacing w:before="120" w:after="120" w:line="276" w:lineRule="auto"/>
        <w:jc w:val="both"/>
      </w:pPr>
      <w:r w:rsidRPr="001159A2">
        <w:t xml:space="preserve">42,6% emisiuni de obligațiuni de tip benchmark cu maturități reziduale între 1 și 5 ani; </w:t>
      </w:r>
    </w:p>
    <w:p w14:paraId="6C284BE3" w14:textId="77777777" w:rsidR="00090126" w:rsidRPr="001159A2" w:rsidRDefault="00090126" w:rsidP="001159A2">
      <w:pPr>
        <w:numPr>
          <w:ilvl w:val="1"/>
          <w:numId w:val="43"/>
        </w:numPr>
        <w:spacing w:before="120" w:after="120" w:line="276" w:lineRule="auto"/>
        <w:jc w:val="both"/>
      </w:pPr>
      <w:r w:rsidRPr="001159A2">
        <w:t>38,0% emisiuni de obligațiuni de tip benchmark cu maturități reziduale între 5 și 15 ani.</w:t>
      </w:r>
    </w:p>
    <w:p w14:paraId="60F44769" w14:textId="54D5CBAC" w:rsidR="00090126" w:rsidRPr="001159A2" w:rsidRDefault="00090126" w:rsidP="001159A2">
      <w:pPr>
        <w:numPr>
          <w:ilvl w:val="0"/>
          <w:numId w:val="39"/>
        </w:numPr>
        <w:spacing w:before="120" w:after="120" w:line="276" w:lineRule="auto"/>
        <w:ind w:left="1418"/>
        <w:jc w:val="both"/>
      </w:pPr>
      <w:r w:rsidRPr="001159A2">
        <w:rPr>
          <w:u w:val="single"/>
        </w:rPr>
        <w:t>Plasamente private</w:t>
      </w:r>
      <w:r w:rsidRPr="001159A2">
        <w:t xml:space="preserve">: 5,5 </w:t>
      </w:r>
      <w:r w:rsidR="00B15461">
        <w:t>miliarde</w:t>
      </w:r>
      <w:r w:rsidRPr="001159A2">
        <w:t xml:space="preserve"> EUR. </w:t>
      </w:r>
    </w:p>
    <w:p w14:paraId="16648268" w14:textId="28F37940" w:rsidR="00090126" w:rsidRPr="001159A2" w:rsidRDefault="00090126" w:rsidP="001159A2">
      <w:pPr>
        <w:numPr>
          <w:ilvl w:val="0"/>
          <w:numId w:val="39"/>
        </w:numPr>
        <w:spacing w:before="120" w:after="120" w:line="276" w:lineRule="auto"/>
        <w:ind w:left="1418"/>
        <w:jc w:val="both"/>
      </w:pPr>
      <w:r w:rsidRPr="001159A2">
        <w:rPr>
          <w:u w:val="single"/>
        </w:rPr>
        <w:t>Operațiuni de preschimbare</w:t>
      </w:r>
      <w:r w:rsidRPr="001159A2">
        <w:t xml:space="preserve">: titluri de stat emise pe piața internă scadente în 2024 și 2025 au fost preschimbate cu titluri de stat cu maturități mai lungi în sumă de 6 </w:t>
      </w:r>
      <w:r w:rsidR="00B15461">
        <w:t>miliarde</w:t>
      </w:r>
      <w:r w:rsidRPr="001159A2">
        <w:t xml:space="preserve"> lei.</w:t>
      </w:r>
    </w:p>
    <w:p w14:paraId="28EB7B8B" w14:textId="49C25093" w:rsidR="00090126" w:rsidRPr="001159A2" w:rsidRDefault="00090126" w:rsidP="001159A2">
      <w:pPr>
        <w:numPr>
          <w:ilvl w:val="0"/>
          <w:numId w:val="39"/>
        </w:numPr>
        <w:spacing w:before="120" w:after="120" w:line="276" w:lineRule="auto"/>
        <w:ind w:left="1418"/>
        <w:jc w:val="both"/>
      </w:pPr>
      <w:r w:rsidRPr="001159A2">
        <w:rPr>
          <w:u w:val="single"/>
        </w:rPr>
        <w:t>Titluri de stat pentru populație</w:t>
      </w:r>
      <w:r w:rsidRPr="001159A2">
        <w:t xml:space="preserve">: </w:t>
      </w:r>
      <w:r w:rsidRPr="001159A2">
        <w:rPr>
          <w:bCs/>
        </w:rPr>
        <w:t xml:space="preserve">32,7 </w:t>
      </w:r>
      <w:r w:rsidR="00B15461">
        <w:rPr>
          <w:bCs/>
        </w:rPr>
        <w:t>miliarde</w:t>
      </w:r>
      <w:r w:rsidRPr="001159A2">
        <w:rPr>
          <w:bCs/>
        </w:rPr>
        <w:t xml:space="preserve"> echivalent lei (respectiv 24 </w:t>
      </w:r>
      <w:r w:rsidR="00B15461">
        <w:rPr>
          <w:bCs/>
        </w:rPr>
        <w:t>miliarde</w:t>
      </w:r>
      <w:r w:rsidRPr="001159A2">
        <w:rPr>
          <w:bCs/>
        </w:rPr>
        <w:t xml:space="preserve"> lei și 1,74 </w:t>
      </w:r>
      <w:r w:rsidR="00B15461">
        <w:rPr>
          <w:bCs/>
        </w:rPr>
        <w:t>miliarde</w:t>
      </w:r>
      <w:r w:rsidRPr="001159A2">
        <w:rPr>
          <w:bCs/>
        </w:rPr>
        <w:t xml:space="preserve"> EUR), prin intermediul programelor TEZAUR și FIDELIS. P</w:t>
      </w:r>
      <w:r w:rsidRPr="001159A2">
        <w:t xml:space="preserve">rin programul TEZAUR au fost realizate emisiuni lunare, cu maturități de 1, 2, 3 și 5 ani, cu un volum atras de 16,2 </w:t>
      </w:r>
      <w:r w:rsidR="00B15461">
        <w:t>miliarde</w:t>
      </w:r>
      <w:r w:rsidRPr="001159A2">
        <w:t xml:space="preserve"> lei. Prin programul FIDELIS au fost lansate 6 emisiuni, prin intermediul </w:t>
      </w:r>
      <w:r w:rsidRPr="001159A2">
        <w:rPr>
          <w:bCs/>
        </w:rPr>
        <w:t xml:space="preserve">sindicatului de bănci format din Banca Transilvania/BT Capital Partners, BCR, BRD și Alpha Bank. Emisiunile au fost denominate atât în lei (maturități de 1, 3 și 5 ani), cât și în EUR (maturități de 1, 2, 5  și 7 ani), cu un volum atras de 16,5 </w:t>
      </w:r>
      <w:r w:rsidR="00B15461">
        <w:rPr>
          <w:bCs/>
        </w:rPr>
        <w:t>miliarde</w:t>
      </w:r>
      <w:r w:rsidRPr="001159A2">
        <w:rPr>
          <w:bCs/>
        </w:rPr>
        <w:t xml:space="preserve"> echivalent lei. În cursul anului 2024 prin programul FIDELIS au fost lansate tranșe dedicate donatorilor, care au beneficiat de o dobândă preferențială, </w:t>
      </w:r>
      <w:r w:rsidRPr="001159A2">
        <w:rPr>
          <w:bCs/>
        </w:rPr>
        <w:lastRenderedPageBreak/>
        <w:t xml:space="preserve">fiind atrasă suma de 1,36 </w:t>
      </w:r>
      <w:r w:rsidR="00B15461">
        <w:rPr>
          <w:bCs/>
        </w:rPr>
        <w:t>miliarde</w:t>
      </w:r>
      <w:r w:rsidRPr="001159A2">
        <w:rPr>
          <w:bCs/>
        </w:rPr>
        <w:t xml:space="preserve"> lei. În funcție de maturitate, cca 60% din suma totală atrasă  a fost pentru maturitatea de 1 an și cca 40% pentru instrumente cu maturități mai lungi.</w:t>
      </w:r>
    </w:p>
    <w:p w14:paraId="05AA2AA2" w14:textId="3A44B55D" w:rsidR="00090126" w:rsidRPr="001159A2" w:rsidRDefault="00090126" w:rsidP="001159A2">
      <w:pPr>
        <w:spacing w:line="276" w:lineRule="auto"/>
        <w:rPr>
          <w:bCs/>
        </w:rPr>
      </w:pPr>
    </w:p>
    <w:p w14:paraId="5C6424C9" w14:textId="77777777" w:rsidR="00090126" w:rsidRPr="001159A2" w:rsidRDefault="00090126" w:rsidP="001159A2">
      <w:pPr>
        <w:pStyle w:val="ListParagraph"/>
        <w:numPr>
          <w:ilvl w:val="2"/>
          <w:numId w:val="22"/>
        </w:numPr>
        <w:spacing w:before="120" w:after="120" w:line="276" w:lineRule="auto"/>
        <w:ind w:left="360" w:firstLine="349"/>
        <w:jc w:val="both"/>
        <w:rPr>
          <w:rFonts w:cs="Tahoma"/>
          <w:lang w:eastAsia="zh-CN"/>
        </w:rPr>
      </w:pPr>
      <w:r w:rsidRPr="001159A2">
        <w:rPr>
          <w:rFonts w:cs="Tahoma"/>
          <w:b/>
          <w:sz w:val="24"/>
          <w:szCs w:val="24"/>
          <w:lang w:eastAsia="zh-CN"/>
        </w:rPr>
        <w:t>Piața externă</w:t>
      </w:r>
      <w:r w:rsidRPr="001159A2">
        <w:rPr>
          <w:rFonts w:cs="Tahoma"/>
          <w:sz w:val="24"/>
          <w:szCs w:val="24"/>
          <w:lang w:eastAsia="zh-CN"/>
        </w:rPr>
        <w:t xml:space="preserve">: – s-a avut în vedere asigurarea unei prezențe constante pe piețele externe de capital în condiții de cost avantajoase pentru România, precum și diversificarea bazei de investitori și consolidarea rezervei financiare în valută la dispoziția Trezoreriei Statului la un nivel care să acopere până la aproximativ 4 luni din necesarul brut de finanțare. </w:t>
      </w:r>
    </w:p>
    <w:p w14:paraId="208DC834" w14:textId="3E99F404" w:rsidR="00090126" w:rsidRPr="001159A2" w:rsidRDefault="00090126" w:rsidP="001159A2">
      <w:pPr>
        <w:pStyle w:val="ListParagraph"/>
        <w:spacing w:before="120" w:after="120" w:line="276" w:lineRule="auto"/>
        <w:ind w:left="360"/>
        <w:jc w:val="both"/>
        <w:rPr>
          <w:rFonts w:cs="Tahoma"/>
          <w:sz w:val="24"/>
          <w:szCs w:val="24"/>
          <w:lang w:eastAsia="zh-CN"/>
        </w:rPr>
      </w:pPr>
      <w:r w:rsidRPr="001159A2">
        <w:rPr>
          <w:rFonts w:cs="Tahoma"/>
          <w:sz w:val="24"/>
          <w:szCs w:val="24"/>
          <w:lang w:eastAsia="zh-CN"/>
        </w:rPr>
        <w:t xml:space="preserve">Au fost realizate 4 emisiuni de euroobligațiuni și 13 plasamente private în sumă de 17,8 </w:t>
      </w:r>
      <w:r w:rsidR="00B15461">
        <w:rPr>
          <w:rFonts w:cs="Tahoma"/>
          <w:sz w:val="24"/>
          <w:szCs w:val="24"/>
          <w:lang w:eastAsia="zh-CN"/>
        </w:rPr>
        <w:t>miliarde</w:t>
      </w:r>
      <w:r w:rsidRPr="001159A2">
        <w:rPr>
          <w:rFonts w:cs="Tahoma"/>
          <w:sz w:val="24"/>
          <w:szCs w:val="24"/>
          <w:lang w:eastAsia="zh-CN"/>
        </w:rPr>
        <w:t xml:space="preserve"> EUR echivalent în cadrul programului MTN. </w:t>
      </w:r>
    </w:p>
    <w:p w14:paraId="09059273" w14:textId="54B353B5" w:rsidR="004C1073" w:rsidRPr="001159A2" w:rsidRDefault="004C1073" w:rsidP="001159A2">
      <w:pPr>
        <w:spacing w:before="120" w:after="120" w:line="276" w:lineRule="auto"/>
        <w:ind w:left="340"/>
        <w:jc w:val="both"/>
      </w:pPr>
      <w:r w:rsidRPr="001159A2">
        <w:t>Termenii financiari ai emisiunilor de euroobligațiuni se prezintă astfel:</w:t>
      </w:r>
    </w:p>
    <w:tbl>
      <w:tblPr>
        <w:tblW w:w="45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2328"/>
        <w:gridCol w:w="1871"/>
        <w:gridCol w:w="1955"/>
        <w:gridCol w:w="1216"/>
      </w:tblGrid>
      <w:tr w:rsidR="001E770F" w:rsidRPr="001159A2" w14:paraId="661231A2" w14:textId="77777777" w:rsidTr="002D4BD9">
        <w:trPr>
          <w:trHeight w:val="440"/>
          <w:jc w:val="center"/>
        </w:trPr>
        <w:tc>
          <w:tcPr>
            <w:tcW w:w="805" w:type="pct"/>
            <w:shd w:val="clear" w:color="auto" w:fill="D7FBFD"/>
            <w:vAlign w:val="center"/>
          </w:tcPr>
          <w:p w14:paraId="1F3658D7" w14:textId="77777777" w:rsidR="001E770F" w:rsidRPr="001159A2" w:rsidRDefault="001E770F" w:rsidP="001159A2">
            <w:pPr>
              <w:spacing w:line="276" w:lineRule="auto"/>
              <w:jc w:val="both"/>
              <w:rPr>
                <w:b/>
                <w:color w:val="000000"/>
              </w:rPr>
            </w:pPr>
            <w:r w:rsidRPr="001159A2">
              <w:rPr>
                <w:b/>
                <w:color w:val="000000"/>
              </w:rPr>
              <w:t>Luna</w:t>
            </w:r>
          </w:p>
        </w:tc>
        <w:tc>
          <w:tcPr>
            <w:tcW w:w="1325" w:type="pct"/>
            <w:shd w:val="clear" w:color="auto" w:fill="D7FBFD"/>
            <w:vAlign w:val="center"/>
          </w:tcPr>
          <w:p w14:paraId="02FAE9E1" w14:textId="77777777" w:rsidR="001E770F" w:rsidRPr="001159A2" w:rsidRDefault="001E770F" w:rsidP="001159A2">
            <w:pPr>
              <w:spacing w:line="276" w:lineRule="auto"/>
              <w:jc w:val="center"/>
              <w:rPr>
                <w:b/>
                <w:color w:val="000000"/>
              </w:rPr>
            </w:pPr>
            <w:r w:rsidRPr="001159A2">
              <w:rPr>
                <w:b/>
                <w:color w:val="000000"/>
              </w:rPr>
              <w:t>Valoare totală</w:t>
            </w:r>
          </w:p>
        </w:tc>
        <w:tc>
          <w:tcPr>
            <w:tcW w:w="1065" w:type="pct"/>
            <w:shd w:val="clear" w:color="auto" w:fill="D7FBFD"/>
            <w:vAlign w:val="center"/>
          </w:tcPr>
          <w:p w14:paraId="6EEB11EF" w14:textId="77777777" w:rsidR="001E770F" w:rsidRPr="001159A2" w:rsidRDefault="001E770F" w:rsidP="001159A2">
            <w:pPr>
              <w:spacing w:line="276" w:lineRule="auto"/>
              <w:jc w:val="center"/>
              <w:rPr>
                <w:b/>
                <w:color w:val="000000"/>
              </w:rPr>
            </w:pPr>
            <w:r w:rsidRPr="001159A2">
              <w:rPr>
                <w:b/>
                <w:color w:val="000000"/>
              </w:rPr>
              <w:t>Maturitate</w:t>
            </w:r>
          </w:p>
        </w:tc>
        <w:tc>
          <w:tcPr>
            <w:tcW w:w="1113" w:type="pct"/>
            <w:shd w:val="clear" w:color="auto" w:fill="D7FBFD"/>
            <w:vAlign w:val="center"/>
          </w:tcPr>
          <w:p w14:paraId="4B1BFCAE" w14:textId="77777777" w:rsidR="001E770F" w:rsidRPr="001159A2" w:rsidRDefault="001E770F" w:rsidP="001159A2">
            <w:pPr>
              <w:spacing w:line="276" w:lineRule="auto"/>
              <w:jc w:val="center"/>
              <w:rPr>
                <w:b/>
                <w:color w:val="000000"/>
              </w:rPr>
            </w:pPr>
            <w:r w:rsidRPr="001159A2">
              <w:rPr>
                <w:b/>
                <w:color w:val="000000"/>
              </w:rPr>
              <w:t>Valoare</w:t>
            </w:r>
          </w:p>
        </w:tc>
        <w:tc>
          <w:tcPr>
            <w:tcW w:w="692" w:type="pct"/>
            <w:shd w:val="clear" w:color="auto" w:fill="D7FBFD"/>
            <w:vAlign w:val="center"/>
          </w:tcPr>
          <w:p w14:paraId="0BB97D8D" w14:textId="77777777" w:rsidR="001E770F" w:rsidRPr="001159A2" w:rsidRDefault="001E770F" w:rsidP="001159A2">
            <w:pPr>
              <w:spacing w:line="276" w:lineRule="auto"/>
              <w:jc w:val="center"/>
              <w:rPr>
                <w:b/>
                <w:color w:val="000000"/>
              </w:rPr>
            </w:pPr>
            <w:r w:rsidRPr="001159A2">
              <w:rPr>
                <w:b/>
                <w:color w:val="000000"/>
              </w:rPr>
              <w:t>Cupon</w:t>
            </w:r>
          </w:p>
        </w:tc>
      </w:tr>
      <w:tr w:rsidR="001E770F" w:rsidRPr="001159A2" w14:paraId="2A209958" w14:textId="77777777" w:rsidTr="001E770F">
        <w:trPr>
          <w:trHeight w:val="283"/>
          <w:jc w:val="center"/>
        </w:trPr>
        <w:tc>
          <w:tcPr>
            <w:tcW w:w="805" w:type="pct"/>
            <w:vMerge w:val="restart"/>
            <w:tcBorders>
              <w:top w:val="single" w:sz="4" w:space="0" w:color="auto"/>
              <w:left w:val="single" w:sz="4" w:space="0" w:color="auto"/>
              <w:right w:val="single" w:sz="4" w:space="0" w:color="auto"/>
            </w:tcBorders>
            <w:shd w:val="clear" w:color="auto" w:fill="auto"/>
            <w:vAlign w:val="center"/>
          </w:tcPr>
          <w:p w14:paraId="63070285" w14:textId="77777777" w:rsidR="001E770F" w:rsidRPr="001159A2" w:rsidRDefault="001E770F" w:rsidP="001159A2">
            <w:pPr>
              <w:spacing w:line="276" w:lineRule="auto"/>
              <w:jc w:val="both"/>
              <w:rPr>
                <w:color w:val="000000"/>
                <w:sz w:val="20"/>
                <w:szCs w:val="20"/>
              </w:rPr>
            </w:pPr>
            <w:r w:rsidRPr="001159A2">
              <w:rPr>
                <w:color w:val="000000"/>
                <w:sz w:val="20"/>
                <w:szCs w:val="20"/>
              </w:rPr>
              <w:t xml:space="preserve">Ianuarie </w:t>
            </w:r>
          </w:p>
        </w:tc>
        <w:tc>
          <w:tcPr>
            <w:tcW w:w="1325" w:type="pct"/>
            <w:vMerge w:val="restart"/>
            <w:tcBorders>
              <w:top w:val="single" w:sz="4" w:space="0" w:color="auto"/>
              <w:left w:val="single" w:sz="4" w:space="0" w:color="auto"/>
              <w:right w:val="single" w:sz="4" w:space="0" w:color="auto"/>
            </w:tcBorders>
            <w:shd w:val="clear" w:color="auto" w:fill="auto"/>
            <w:vAlign w:val="center"/>
          </w:tcPr>
          <w:p w14:paraId="4046D773" w14:textId="77777777" w:rsidR="001E770F" w:rsidRPr="001159A2" w:rsidRDefault="001E770F" w:rsidP="001159A2">
            <w:pPr>
              <w:spacing w:line="276" w:lineRule="auto"/>
              <w:jc w:val="center"/>
              <w:rPr>
                <w:b/>
                <w:color w:val="000000"/>
                <w:sz w:val="20"/>
                <w:szCs w:val="20"/>
              </w:rPr>
            </w:pPr>
            <w:r w:rsidRPr="001159A2">
              <w:rPr>
                <w:b/>
                <w:color w:val="000000"/>
                <w:sz w:val="20"/>
                <w:szCs w:val="20"/>
              </w:rPr>
              <w:t>4 mld. USD</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center"/>
          </w:tcPr>
          <w:p w14:paraId="78C4406C" w14:textId="77777777" w:rsidR="001E770F" w:rsidRPr="001159A2" w:rsidRDefault="001E770F" w:rsidP="001159A2">
            <w:pPr>
              <w:spacing w:line="276" w:lineRule="auto"/>
              <w:jc w:val="center"/>
              <w:rPr>
                <w:color w:val="000000"/>
                <w:sz w:val="20"/>
                <w:szCs w:val="20"/>
              </w:rPr>
            </w:pPr>
            <w:r w:rsidRPr="001159A2">
              <w:rPr>
                <w:color w:val="000000"/>
                <w:sz w:val="20"/>
                <w:szCs w:val="20"/>
              </w:rPr>
              <w:t>5 ani</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tcPr>
          <w:p w14:paraId="1BE873C9" w14:textId="77777777" w:rsidR="001E770F" w:rsidRPr="001159A2" w:rsidRDefault="001E770F" w:rsidP="001159A2">
            <w:pPr>
              <w:spacing w:line="276" w:lineRule="auto"/>
              <w:jc w:val="center"/>
              <w:rPr>
                <w:color w:val="000000"/>
                <w:sz w:val="20"/>
                <w:szCs w:val="20"/>
              </w:rPr>
            </w:pPr>
            <w:r w:rsidRPr="001159A2">
              <w:rPr>
                <w:color w:val="000000"/>
                <w:sz w:val="20"/>
                <w:szCs w:val="20"/>
              </w:rPr>
              <w:t>2,0 mld. USD</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3FAEA5EF" w14:textId="77777777" w:rsidR="001E770F" w:rsidRPr="001159A2" w:rsidRDefault="001E770F" w:rsidP="001159A2">
            <w:pPr>
              <w:spacing w:line="276" w:lineRule="auto"/>
              <w:jc w:val="center"/>
              <w:rPr>
                <w:color w:val="000000"/>
                <w:sz w:val="20"/>
                <w:szCs w:val="20"/>
              </w:rPr>
            </w:pPr>
            <w:r w:rsidRPr="001159A2">
              <w:rPr>
                <w:color w:val="000000"/>
                <w:sz w:val="20"/>
                <w:szCs w:val="20"/>
              </w:rPr>
              <w:t>5,875%</w:t>
            </w:r>
          </w:p>
        </w:tc>
      </w:tr>
      <w:tr w:rsidR="001E770F" w:rsidRPr="001159A2" w14:paraId="374B2290" w14:textId="77777777" w:rsidTr="001E770F">
        <w:trPr>
          <w:trHeight w:val="283"/>
          <w:jc w:val="center"/>
        </w:trPr>
        <w:tc>
          <w:tcPr>
            <w:tcW w:w="805" w:type="pct"/>
            <w:vMerge/>
            <w:tcBorders>
              <w:left w:val="single" w:sz="4" w:space="0" w:color="auto"/>
              <w:right w:val="single" w:sz="4" w:space="0" w:color="auto"/>
            </w:tcBorders>
            <w:shd w:val="clear" w:color="auto" w:fill="auto"/>
            <w:vAlign w:val="center"/>
          </w:tcPr>
          <w:p w14:paraId="3FA77E70" w14:textId="77777777" w:rsidR="001E770F" w:rsidRPr="001159A2" w:rsidRDefault="001E770F" w:rsidP="001159A2">
            <w:pPr>
              <w:spacing w:line="276" w:lineRule="auto"/>
              <w:jc w:val="both"/>
              <w:rPr>
                <w:color w:val="000000"/>
                <w:sz w:val="20"/>
                <w:szCs w:val="20"/>
              </w:rPr>
            </w:pPr>
          </w:p>
        </w:tc>
        <w:tc>
          <w:tcPr>
            <w:tcW w:w="1325" w:type="pct"/>
            <w:vMerge/>
            <w:tcBorders>
              <w:left w:val="single" w:sz="4" w:space="0" w:color="auto"/>
              <w:right w:val="single" w:sz="4" w:space="0" w:color="auto"/>
            </w:tcBorders>
            <w:shd w:val="clear" w:color="auto" w:fill="auto"/>
            <w:vAlign w:val="center"/>
          </w:tcPr>
          <w:p w14:paraId="17AA74BE" w14:textId="77777777" w:rsidR="001E770F" w:rsidRPr="001159A2" w:rsidRDefault="001E770F" w:rsidP="001159A2">
            <w:pPr>
              <w:spacing w:line="276" w:lineRule="auto"/>
              <w:jc w:val="center"/>
              <w:rPr>
                <w:b/>
                <w:color w:val="000000"/>
                <w:sz w:val="20"/>
                <w:szCs w:val="20"/>
              </w:rPr>
            </w:pPr>
          </w:p>
        </w:tc>
        <w:tc>
          <w:tcPr>
            <w:tcW w:w="1065" w:type="pct"/>
            <w:tcBorders>
              <w:top w:val="single" w:sz="4" w:space="0" w:color="auto"/>
              <w:left w:val="single" w:sz="4" w:space="0" w:color="auto"/>
              <w:bottom w:val="single" w:sz="4" w:space="0" w:color="auto"/>
              <w:right w:val="single" w:sz="4" w:space="0" w:color="auto"/>
            </w:tcBorders>
            <w:shd w:val="clear" w:color="auto" w:fill="auto"/>
            <w:vAlign w:val="center"/>
          </w:tcPr>
          <w:p w14:paraId="014D5FA4" w14:textId="77777777" w:rsidR="001E770F" w:rsidRPr="001159A2" w:rsidRDefault="001E770F" w:rsidP="001159A2">
            <w:pPr>
              <w:spacing w:line="276" w:lineRule="auto"/>
              <w:jc w:val="center"/>
              <w:rPr>
                <w:color w:val="000000"/>
                <w:sz w:val="20"/>
                <w:szCs w:val="20"/>
              </w:rPr>
            </w:pPr>
            <w:r w:rsidRPr="001159A2">
              <w:rPr>
                <w:color w:val="000000"/>
                <w:sz w:val="20"/>
                <w:szCs w:val="20"/>
              </w:rPr>
              <w:t>10 ani</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tcPr>
          <w:p w14:paraId="105AB60D" w14:textId="77777777" w:rsidR="001E770F" w:rsidRPr="001159A2" w:rsidRDefault="001E770F" w:rsidP="001159A2">
            <w:pPr>
              <w:spacing w:line="276" w:lineRule="auto"/>
              <w:jc w:val="center"/>
              <w:rPr>
                <w:color w:val="000000"/>
                <w:sz w:val="20"/>
                <w:szCs w:val="20"/>
              </w:rPr>
            </w:pPr>
            <w:r w:rsidRPr="001159A2">
              <w:rPr>
                <w:color w:val="000000"/>
                <w:sz w:val="20"/>
                <w:szCs w:val="20"/>
              </w:rPr>
              <w:t>2,0 mld. USD</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0306CF4B" w14:textId="77777777" w:rsidR="001E770F" w:rsidRPr="001159A2" w:rsidRDefault="001E770F" w:rsidP="001159A2">
            <w:pPr>
              <w:spacing w:line="276" w:lineRule="auto"/>
              <w:jc w:val="center"/>
              <w:rPr>
                <w:color w:val="000000"/>
                <w:sz w:val="20"/>
                <w:szCs w:val="20"/>
              </w:rPr>
            </w:pPr>
            <w:r w:rsidRPr="001159A2">
              <w:rPr>
                <w:color w:val="000000"/>
                <w:sz w:val="20"/>
                <w:szCs w:val="20"/>
              </w:rPr>
              <w:t>6,375%</w:t>
            </w:r>
          </w:p>
        </w:tc>
      </w:tr>
      <w:tr w:rsidR="001E770F" w:rsidRPr="001159A2" w14:paraId="161D0D85" w14:textId="77777777" w:rsidTr="001E770F">
        <w:trPr>
          <w:trHeight w:val="283"/>
          <w:jc w:val="center"/>
        </w:trPr>
        <w:tc>
          <w:tcPr>
            <w:tcW w:w="805" w:type="pct"/>
            <w:vMerge w:val="restart"/>
            <w:tcBorders>
              <w:top w:val="single" w:sz="4" w:space="0" w:color="auto"/>
              <w:left w:val="single" w:sz="4" w:space="0" w:color="auto"/>
              <w:right w:val="single" w:sz="4" w:space="0" w:color="auto"/>
            </w:tcBorders>
            <w:shd w:val="clear" w:color="auto" w:fill="auto"/>
            <w:vAlign w:val="center"/>
          </w:tcPr>
          <w:p w14:paraId="5879B3E2" w14:textId="77777777" w:rsidR="001E770F" w:rsidRPr="001159A2" w:rsidRDefault="001E770F" w:rsidP="001159A2">
            <w:pPr>
              <w:spacing w:line="276" w:lineRule="auto"/>
              <w:jc w:val="both"/>
              <w:rPr>
                <w:color w:val="000000"/>
                <w:sz w:val="20"/>
                <w:szCs w:val="20"/>
              </w:rPr>
            </w:pPr>
            <w:r w:rsidRPr="001159A2">
              <w:rPr>
                <w:color w:val="000000"/>
                <w:sz w:val="20"/>
                <w:szCs w:val="20"/>
              </w:rPr>
              <w:t xml:space="preserve">Februarie  </w:t>
            </w:r>
          </w:p>
        </w:tc>
        <w:tc>
          <w:tcPr>
            <w:tcW w:w="1325" w:type="pct"/>
            <w:vMerge w:val="restart"/>
            <w:tcBorders>
              <w:top w:val="single" w:sz="4" w:space="0" w:color="auto"/>
              <w:left w:val="single" w:sz="4" w:space="0" w:color="auto"/>
              <w:right w:val="single" w:sz="4" w:space="0" w:color="auto"/>
            </w:tcBorders>
            <w:shd w:val="clear" w:color="auto" w:fill="auto"/>
            <w:vAlign w:val="center"/>
          </w:tcPr>
          <w:p w14:paraId="4FF6DBCA" w14:textId="77777777" w:rsidR="001E770F" w:rsidRPr="001159A2" w:rsidRDefault="001E770F" w:rsidP="001159A2">
            <w:pPr>
              <w:spacing w:line="276" w:lineRule="auto"/>
              <w:jc w:val="center"/>
              <w:rPr>
                <w:b/>
                <w:color w:val="000000"/>
                <w:sz w:val="20"/>
                <w:szCs w:val="20"/>
              </w:rPr>
            </w:pPr>
            <w:r w:rsidRPr="001159A2">
              <w:rPr>
                <w:b/>
                <w:color w:val="000000"/>
                <w:sz w:val="20"/>
                <w:szCs w:val="20"/>
              </w:rPr>
              <w:t>4,0 mld EUR</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center"/>
          </w:tcPr>
          <w:p w14:paraId="4C5AA36F" w14:textId="2E77E6D4" w:rsidR="001E770F" w:rsidRPr="001159A2" w:rsidRDefault="001E770F" w:rsidP="001159A2">
            <w:pPr>
              <w:spacing w:line="276" w:lineRule="auto"/>
              <w:jc w:val="center"/>
              <w:rPr>
                <w:color w:val="000000"/>
                <w:sz w:val="20"/>
                <w:szCs w:val="20"/>
              </w:rPr>
            </w:pPr>
            <w:r w:rsidRPr="001159A2">
              <w:rPr>
                <w:color w:val="000000"/>
                <w:sz w:val="20"/>
                <w:szCs w:val="20"/>
              </w:rPr>
              <w:t>7 ani</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tcPr>
          <w:p w14:paraId="4C3CA500" w14:textId="77777777" w:rsidR="001E770F" w:rsidRPr="001159A2" w:rsidRDefault="001E770F" w:rsidP="001159A2">
            <w:pPr>
              <w:spacing w:line="276" w:lineRule="auto"/>
              <w:jc w:val="center"/>
              <w:rPr>
                <w:color w:val="000000"/>
                <w:sz w:val="20"/>
                <w:szCs w:val="20"/>
              </w:rPr>
            </w:pPr>
            <w:r w:rsidRPr="001159A2">
              <w:rPr>
                <w:color w:val="000000"/>
                <w:sz w:val="20"/>
                <w:szCs w:val="20"/>
              </w:rPr>
              <w:t>2,0 mld. EUR</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4D92DC5F" w14:textId="77777777" w:rsidR="001E770F" w:rsidRPr="001159A2" w:rsidRDefault="001E770F" w:rsidP="001159A2">
            <w:pPr>
              <w:spacing w:line="276" w:lineRule="auto"/>
              <w:jc w:val="center"/>
              <w:rPr>
                <w:color w:val="000000"/>
                <w:sz w:val="20"/>
                <w:szCs w:val="20"/>
              </w:rPr>
            </w:pPr>
            <w:r w:rsidRPr="001159A2">
              <w:rPr>
                <w:color w:val="000000"/>
                <w:sz w:val="20"/>
                <w:szCs w:val="20"/>
              </w:rPr>
              <w:t>5,375%</w:t>
            </w:r>
          </w:p>
        </w:tc>
      </w:tr>
      <w:tr w:rsidR="001E770F" w:rsidRPr="001159A2" w14:paraId="00FFF176" w14:textId="77777777" w:rsidTr="001E770F">
        <w:trPr>
          <w:trHeight w:val="283"/>
          <w:jc w:val="center"/>
        </w:trPr>
        <w:tc>
          <w:tcPr>
            <w:tcW w:w="805" w:type="pct"/>
            <w:vMerge/>
            <w:tcBorders>
              <w:left w:val="single" w:sz="4" w:space="0" w:color="auto"/>
              <w:right w:val="single" w:sz="4" w:space="0" w:color="auto"/>
            </w:tcBorders>
            <w:shd w:val="clear" w:color="auto" w:fill="auto"/>
            <w:vAlign w:val="center"/>
          </w:tcPr>
          <w:p w14:paraId="739C5518" w14:textId="77777777" w:rsidR="001E770F" w:rsidRPr="001159A2" w:rsidRDefault="001E770F" w:rsidP="001159A2">
            <w:pPr>
              <w:spacing w:line="276" w:lineRule="auto"/>
              <w:jc w:val="both"/>
              <w:rPr>
                <w:color w:val="000000"/>
                <w:sz w:val="20"/>
                <w:szCs w:val="20"/>
              </w:rPr>
            </w:pPr>
          </w:p>
        </w:tc>
        <w:tc>
          <w:tcPr>
            <w:tcW w:w="1325" w:type="pct"/>
            <w:vMerge/>
            <w:tcBorders>
              <w:left w:val="single" w:sz="4" w:space="0" w:color="auto"/>
              <w:right w:val="single" w:sz="4" w:space="0" w:color="auto"/>
            </w:tcBorders>
            <w:shd w:val="clear" w:color="auto" w:fill="auto"/>
            <w:vAlign w:val="center"/>
          </w:tcPr>
          <w:p w14:paraId="4F79793F" w14:textId="77777777" w:rsidR="001E770F" w:rsidRPr="001159A2" w:rsidRDefault="001E770F" w:rsidP="001159A2">
            <w:pPr>
              <w:spacing w:line="276" w:lineRule="auto"/>
              <w:jc w:val="center"/>
              <w:rPr>
                <w:b/>
                <w:color w:val="000000"/>
                <w:sz w:val="20"/>
                <w:szCs w:val="20"/>
              </w:rPr>
            </w:pPr>
          </w:p>
        </w:tc>
        <w:tc>
          <w:tcPr>
            <w:tcW w:w="1065" w:type="pct"/>
            <w:tcBorders>
              <w:top w:val="single" w:sz="4" w:space="0" w:color="auto"/>
              <w:left w:val="single" w:sz="4" w:space="0" w:color="auto"/>
              <w:bottom w:val="single" w:sz="4" w:space="0" w:color="auto"/>
              <w:right w:val="single" w:sz="4" w:space="0" w:color="auto"/>
            </w:tcBorders>
            <w:shd w:val="clear" w:color="auto" w:fill="auto"/>
            <w:vAlign w:val="center"/>
          </w:tcPr>
          <w:p w14:paraId="022D45B9" w14:textId="77777777" w:rsidR="001E770F" w:rsidRPr="001159A2" w:rsidRDefault="001E770F" w:rsidP="001159A2">
            <w:pPr>
              <w:spacing w:line="276" w:lineRule="auto"/>
              <w:jc w:val="center"/>
              <w:rPr>
                <w:color w:val="000000"/>
                <w:sz w:val="20"/>
                <w:szCs w:val="20"/>
              </w:rPr>
            </w:pPr>
            <w:r w:rsidRPr="001159A2">
              <w:rPr>
                <w:color w:val="000000"/>
                <w:sz w:val="20"/>
                <w:szCs w:val="20"/>
              </w:rPr>
              <w:t>12 ani</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tcPr>
          <w:p w14:paraId="1DD889E6" w14:textId="77777777" w:rsidR="001E770F" w:rsidRPr="001159A2" w:rsidRDefault="001E770F" w:rsidP="001159A2">
            <w:pPr>
              <w:spacing w:line="276" w:lineRule="auto"/>
              <w:jc w:val="center"/>
              <w:rPr>
                <w:color w:val="000000"/>
                <w:sz w:val="20"/>
                <w:szCs w:val="20"/>
              </w:rPr>
            </w:pPr>
            <w:r w:rsidRPr="001159A2">
              <w:rPr>
                <w:color w:val="000000"/>
                <w:sz w:val="20"/>
                <w:szCs w:val="20"/>
              </w:rPr>
              <w:t>2,0 mld. EUR</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172EFF2C" w14:textId="77777777" w:rsidR="001E770F" w:rsidRPr="001159A2" w:rsidRDefault="001E770F" w:rsidP="001159A2">
            <w:pPr>
              <w:spacing w:line="276" w:lineRule="auto"/>
              <w:jc w:val="center"/>
              <w:rPr>
                <w:color w:val="000000"/>
                <w:sz w:val="20"/>
                <w:szCs w:val="20"/>
              </w:rPr>
            </w:pPr>
            <w:r w:rsidRPr="001159A2">
              <w:rPr>
                <w:color w:val="000000"/>
                <w:sz w:val="20"/>
                <w:szCs w:val="20"/>
              </w:rPr>
              <w:t>5,625%</w:t>
            </w:r>
          </w:p>
        </w:tc>
      </w:tr>
      <w:tr w:rsidR="001E770F" w:rsidRPr="001159A2" w14:paraId="5C51C760" w14:textId="77777777" w:rsidTr="001E770F">
        <w:trPr>
          <w:trHeight w:val="283"/>
          <w:jc w:val="center"/>
        </w:trPr>
        <w:tc>
          <w:tcPr>
            <w:tcW w:w="805" w:type="pct"/>
            <w:vMerge w:val="restart"/>
            <w:tcBorders>
              <w:left w:val="single" w:sz="4" w:space="0" w:color="auto"/>
              <w:right w:val="single" w:sz="4" w:space="0" w:color="auto"/>
            </w:tcBorders>
            <w:shd w:val="clear" w:color="auto" w:fill="auto"/>
            <w:vAlign w:val="center"/>
          </w:tcPr>
          <w:p w14:paraId="75DEF15D" w14:textId="77777777" w:rsidR="001E770F" w:rsidRPr="001159A2" w:rsidRDefault="001E770F" w:rsidP="001159A2">
            <w:pPr>
              <w:spacing w:line="276" w:lineRule="auto"/>
              <w:jc w:val="both"/>
              <w:rPr>
                <w:color w:val="000000"/>
                <w:sz w:val="20"/>
                <w:szCs w:val="20"/>
              </w:rPr>
            </w:pPr>
            <w:r w:rsidRPr="001159A2">
              <w:rPr>
                <w:color w:val="000000"/>
                <w:sz w:val="20"/>
                <w:szCs w:val="20"/>
              </w:rPr>
              <w:t xml:space="preserve">Mai </w:t>
            </w:r>
          </w:p>
        </w:tc>
        <w:tc>
          <w:tcPr>
            <w:tcW w:w="1325" w:type="pct"/>
            <w:vMerge w:val="restart"/>
            <w:tcBorders>
              <w:left w:val="single" w:sz="4" w:space="0" w:color="auto"/>
              <w:right w:val="single" w:sz="4" w:space="0" w:color="auto"/>
            </w:tcBorders>
            <w:shd w:val="clear" w:color="auto" w:fill="auto"/>
            <w:vAlign w:val="center"/>
          </w:tcPr>
          <w:p w14:paraId="04DE7127" w14:textId="77777777" w:rsidR="001E770F" w:rsidRPr="001159A2" w:rsidRDefault="001E770F" w:rsidP="001159A2">
            <w:pPr>
              <w:spacing w:line="276" w:lineRule="auto"/>
              <w:jc w:val="center"/>
              <w:rPr>
                <w:b/>
                <w:color w:val="000000"/>
                <w:sz w:val="20"/>
                <w:szCs w:val="20"/>
              </w:rPr>
            </w:pPr>
            <w:r w:rsidRPr="001159A2">
              <w:rPr>
                <w:b/>
                <w:color w:val="000000"/>
                <w:sz w:val="20"/>
                <w:szCs w:val="20"/>
              </w:rPr>
              <w:t>3,24 mld EUR</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center"/>
          </w:tcPr>
          <w:p w14:paraId="64A7A7A1" w14:textId="77777777" w:rsidR="001E770F" w:rsidRPr="001159A2" w:rsidRDefault="001E770F" w:rsidP="001159A2">
            <w:pPr>
              <w:spacing w:line="276" w:lineRule="auto"/>
              <w:jc w:val="center"/>
              <w:rPr>
                <w:color w:val="000000"/>
                <w:sz w:val="20"/>
                <w:szCs w:val="20"/>
              </w:rPr>
            </w:pPr>
            <w:r w:rsidRPr="001159A2">
              <w:rPr>
                <w:color w:val="000000"/>
                <w:sz w:val="20"/>
                <w:szCs w:val="20"/>
              </w:rPr>
              <w:t>8 ani</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tcPr>
          <w:p w14:paraId="0ED6A9C0" w14:textId="77777777" w:rsidR="001E770F" w:rsidRPr="001159A2" w:rsidRDefault="001E770F" w:rsidP="001159A2">
            <w:pPr>
              <w:spacing w:line="276" w:lineRule="auto"/>
              <w:jc w:val="center"/>
              <w:rPr>
                <w:color w:val="000000"/>
                <w:sz w:val="20"/>
                <w:szCs w:val="20"/>
              </w:rPr>
            </w:pPr>
            <w:r w:rsidRPr="001159A2">
              <w:rPr>
                <w:color w:val="000000"/>
                <w:sz w:val="20"/>
                <w:szCs w:val="20"/>
              </w:rPr>
              <w:t>1,84 mld. EUR</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5C3AF18E" w14:textId="77777777" w:rsidR="001E770F" w:rsidRPr="001159A2" w:rsidRDefault="001E770F" w:rsidP="001159A2">
            <w:pPr>
              <w:spacing w:line="276" w:lineRule="auto"/>
              <w:jc w:val="center"/>
              <w:rPr>
                <w:color w:val="000000"/>
                <w:sz w:val="20"/>
                <w:szCs w:val="20"/>
              </w:rPr>
            </w:pPr>
            <w:r w:rsidRPr="001159A2">
              <w:rPr>
                <w:color w:val="000000"/>
                <w:sz w:val="20"/>
                <w:szCs w:val="20"/>
              </w:rPr>
              <w:t>5,250%</w:t>
            </w:r>
          </w:p>
        </w:tc>
      </w:tr>
      <w:tr w:rsidR="001E770F" w:rsidRPr="001159A2" w14:paraId="22249454" w14:textId="77777777" w:rsidTr="001E770F">
        <w:trPr>
          <w:trHeight w:val="283"/>
          <w:jc w:val="center"/>
        </w:trPr>
        <w:tc>
          <w:tcPr>
            <w:tcW w:w="805" w:type="pct"/>
            <w:vMerge/>
            <w:tcBorders>
              <w:left w:val="single" w:sz="4" w:space="0" w:color="auto"/>
              <w:right w:val="single" w:sz="4" w:space="0" w:color="auto"/>
            </w:tcBorders>
            <w:shd w:val="clear" w:color="auto" w:fill="auto"/>
            <w:vAlign w:val="center"/>
          </w:tcPr>
          <w:p w14:paraId="485A9234" w14:textId="77777777" w:rsidR="001E770F" w:rsidRPr="001159A2" w:rsidRDefault="001E770F" w:rsidP="001159A2">
            <w:pPr>
              <w:spacing w:line="276" w:lineRule="auto"/>
              <w:jc w:val="both"/>
              <w:rPr>
                <w:color w:val="000000"/>
                <w:sz w:val="20"/>
                <w:szCs w:val="20"/>
              </w:rPr>
            </w:pPr>
          </w:p>
        </w:tc>
        <w:tc>
          <w:tcPr>
            <w:tcW w:w="1325" w:type="pct"/>
            <w:vMerge/>
            <w:tcBorders>
              <w:left w:val="single" w:sz="4" w:space="0" w:color="auto"/>
              <w:right w:val="single" w:sz="4" w:space="0" w:color="auto"/>
            </w:tcBorders>
            <w:shd w:val="clear" w:color="auto" w:fill="auto"/>
            <w:vAlign w:val="center"/>
          </w:tcPr>
          <w:p w14:paraId="55A7B70C" w14:textId="77777777" w:rsidR="001E770F" w:rsidRPr="001159A2" w:rsidRDefault="001E770F" w:rsidP="001159A2">
            <w:pPr>
              <w:spacing w:line="276" w:lineRule="auto"/>
              <w:jc w:val="center"/>
              <w:rPr>
                <w:b/>
                <w:color w:val="000000"/>
                <w:sz w:val="20"/>
                <w:szCs w:val="20"/>
              </w:rPr>
            </w:pPr>
          </w:p>
        </w:tc>
        <w:tc>
          <w:tcPr>
            <w:tcW w:w="1065" w:type="pct"/>
            <w:tcBorders>
              <w:top w:val="single" w:sz="4" w:space="0" w:color="auto"/>
              <w:left w:val="single" w:sz="4" w:space="0" w:color="auto"/>
              <w:bottom w:val="single" w:sz="4" w:space="0" w:color="auto"/>
              <w:right w:val="single" w:sz="4" w:space="0" w:color="auto"/>
            </w:tcBorders>
            <w:shd w:val="clear" w:color="auto" w:fill="auto"/>
            <w:vAlign w:val="center"/>
          </w:tcPr>
          <w:p w14:paraId="1E261F41" w14:textId="77777777" w:rsidR="001E770F" w:rsidRPr="001159A2" w:rsidRDefault="001E770F" w:rsidP="001159A2">
            <w:pPr>
              <w:spacing w:line="276" w:lineRule="auto"/>
              <w:jc w:val="center"/>
              <w:rPr>
                <w:color w:val="000000"/>
                <w:sz w:val="20"/>
                <w:szCs w:val="20"/>
              </w:rPr>
            </w:pPr>
            <w:r w:rsidRPr="001159A2">
              <w:rPr>
                <w:color w:val="000000"/>
                <w:sz w:val="20"/>
                <w:szCs w:val="20"/>
              </w:rPr>
              <w:t>13 ani</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tcPr>
          <w:p w14:paraId="3789B690" w14:textId="77777777" w:rsidR="001E770F" w:rsidRPr="001159A2" w:rsidRDefault="001E770F" w:rsidP="001159A2">
            <w:pPr>
              <w:spacing w:line="276" w:lineRule="auto"/>
              <w:jc w:val="center"/>
              <w:rPr>
                <w:color w:val="000000"/>
                <w:sz w:val="20"/>
                <w:szCs w:val="20"/>
              </w:rPr>
            </w:pPr>
            <w:r w:rsidRPr="001159A2">
              <w:rPr>
                <w:color w:val="000000"/>
                <w:sz w:val="20"/>
                <w:szCs w:val="20"/>
              </w:rPr>
              <w:t>1,4 mld. EUR</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392D83C3" w14:textId="77777777" w:rsidR="001E770F" w:rsidRPr="001159A2" w:rsidRDefault="001E770F" w:rsidP="001159A2">
            <w:pPr>
              <w:spacing w:line="276" w:lineRule="auto"/>
              <w:jc w:val="center"/>
              <w:rPr>
                <w:color w:val="000000"/>
                <w:sz w:val="20"/>
                <w:szCs w:val="20"/>
              </w:rPr>
            </w:pPr>
            <w:r w:rsidRPr="001159A2">
              <w:rPr>
                <w:color w:val="000000"/>
                <w:sz w:val="20"/>
                <w:szCs w:val="20"/>
              </w:rPr>
              <w:t>5,625%</w:t>
            </w:r>
          </w:p>
        </w:tc>
      </w:tr>
      <w:tr w:rsidR="001E770F" w:rsidRPr="001159A2" w14:paraId="02DA57FC" w14:textId="77777777" w:rsidTr="001E770F">
        <w:trPr>
          <w:trHeight w:val="283"/>
          <w:jc w:val="center"/>
        </w:trPr>
        <w:tc>
          <w:tcPr>
            <w:tcW w:w="805" w:type="pct"/>
            <w:vMerge w:val="restart"/>
            <w:tcBorders>
              <w:left w:val="single" w:sz="4" w:space="0" w:color="auto"/>
              <w:right w:val="single" w:sz="4" w:space="0" w:color="auto"/>
            </w:tcBorders>
            <w:shd w:val="clear" w:color="auto" w:fill="auto"/>
            <w:vAlign w:val="center"/>
          </w:tcPr>
          <w:p w14:paraId="705B0EBD" w14:textId="77777777" w:rsidR="001E770F" w:rsidRPr="001159A2" w:rsidRDefault="001E770F" w:rsidP="001159A2">
            <w:pPr>
              <w:spacing w:line="276" w:lineRule="auto"/>
              <w:jc w:val="both"/>
              <w:rPr>
                <w:color w:val="000000"/>
                <w:sz w:val="20"/>
                <w:szCs w:val="20"/>
              </w:rPr>
            </w:pPr>
            <w:r w:rsidRPr="001159A2">
              <w:rPr>
                <w:color w:val="000000"/>
                <w:sz w:val="20"/>
                <w:szCs w:val="20"/>
              </w:rPr>
              <w:t xml:space="preserve">Septembrie </w:t>
            </w:r>
          </w:p>
        </w:tc>
        <w:tc>
          <w:tcPr>
            <w:tcW w:w="1325" w:type="pct"/>
            <w:tcBorders>
              <w:left w:val="single" w:sz="4" w:space="0" w:color="auto"/>
              <w:right w:val="single" w:sz="4" w:space="0" w:color="auto"/>
            </w:tcBorders>
            <w:shd w:val="clear" w:color="auto" w:fill="auto"/>
            <w:vAlign w:val="center"/>
          </w:tcPr>
          <w:p w14:paraId="705159A6" w14:textId="77777777" w:rsidR="001E770F" w:rsidRPr="001159A2" w:rsidRDefault="001E770F" w:rsidP="001159A2">
            <w:pPr>
              <w:spacing w:line="276" w:lineRule="auto"/>
              <w:jc w:val="center"/>
              <w:rPr>
                <w:b/>
                <w:color w:val="000000"/>
                <w:sz w:val="20"/>
                <w:szCs w:val="20"/>
              </w:rPr>
            </w:pPr>
            <w:r w:rsidRPr="001159A2">
              <w:rPr>
                <w:b/>
                <w:color w:val="000000"/>
                <w:sz w:val="20"/>
                <w:szCs w:val="20"/>
              </w:rPr>
              <w:t>2,1 mld USD</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center"/>
          </w:tcPr>
          <w:p w14:paraId="7BE93235" w14:textId="77777777" w:rsidR="001E770F" w:rsidRPr="001159A2" w:rsidRDefault="001E770F" w:rsidP="001159A2">
            <w:pPr>
              <w:spacing w:line="276" w:lineRule="auto"/>
              <w:jc w:val="center"/>
              <w:rPr>
                <w:color w:val="000000"/>
                <w:sz w:val="20"/>
                <w:szCs w:val="20"/>
              </w:rPr>
            </w:pPr>
            <w:r w:rsidRPr="001159A2">
              <w:rPr>
                <w:color w:val="000000"/>
                <w:sz w:val="20"/>
                <w:szCs w:val="20"/>
              </w:rPr>
              <w:t>10 ani</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tcPr>
          <w:p w14:paraId="3C3813AA" w14:textId="77777777" w:rsidR="001E770F" w:rsidRPr="001159A2" w:rsidRDefault="001E770F" w:rsidP="001159A2">
            <w:pPr>
              <w:spacing w:line="276" w:lineRule="auto"/>
              <w:jc w:val="center"/>
              <w:rPr>
                <w:color w:val="000000"/>
                <w:sz w:val="20"/>
                <w:szCs w:val="20"/>
              </w:rPr>
            </w:pPr>
            <w:r w:rsidRPr="001159A2">
              <w:rPr>
                <w:color w:val="000000"/>
                <w:sz w:val="20"/>
                <w:szCs w:val="20"/>
              </w:rPr>
              <w:t>2,1 mld. USD</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4E5736B3" w14:textId="77777777" w:rsidR="001E770F" w:rsidRPr="001159A2" w:rsidRDefault="001E770F" w:rsidP="001159A2">
            <w:pPr>
              <w:spacing w:line="276" w:lineRule="auto"/>
              <w:jc w:val="center"/>
              <w:rPr>
                <w:color w:val="000000"/>
                <w:sz w:val="20"/>
                <w:szCs w:val="20"/>
              </w:rPr>
            </w:pPr>
            <w:r w:rsidRPr="001159A2">
              <w:rPr>
                <w:color w:val="000000"/>
                <w:sz w:val="20"/>
                <w:szCs w:val="20"/>
              </w:rPr>
              <w:t>5,750%</w:t>
            </w:r>
          </w:p>
        </w:tc>
      </w:tr>
      <w:tr w:rsidR="001E770F" w:rsidRPr="001159A2" w14:paraId="35024135" w14:textId="77777777" w:rsidTr="001E770F">
        <w:trPr>
          <w:trHeight w:val="283"/>
          <w:jc w:val="center"/>
        </w:trPr>
        <w:tc>
          <w:tcPr>
            <w:tcW w:w="805" w:type="pct"/>
            <w:vMerge/>
            <w:tcBorders>
              <w:left w:val="single" w:sz="4" w:space="0" w:color="auto"/>
              <w:right w:val="single" w:sz="4" w:space="0" w:color="auto"/>
            </w:tcBorders>
            <w:shd w:val="clear" w:color="auto" w:fill="auto"/>
          </w:tcPr>
          <w:p w14:paraId="0D6E01B1" w14:textId="77777777" w:rsidR="001E770F" w:rsidRPr="001159A2" w:rsidRDefault="001E770F" w:rsidP="001159A2">
            <w:pPr>
              <w:spacing w:line="276" w:lineRule="auto"/>
              <w:jc w:val="both"/>
              <w:rPr>
                <w:color w:val="000000"/>
                <w:sz w:val="20"/>
                <w:szCs w:val="20"/>
              </w:rPr>
            </w:pPr>
          </w:p>
        </w:tc>
        <w:tc>
          <w:tcPr>
            <w:tcW w:w="1325" w:type="pct"/>
            <w:vMerge w:val="restart"/>
            <w:tcBorders>
              <w:left w:val="single" w:sz="4" w:space="0" w:color="auto"/>
              <w:right w:val="single" w:sz="4" w:space="0" w:color="auto"/>
            </w:tcBorders>
            <w:shd w:val="clear" w:color="auto" w:fill="auto"/>
            <w:vAlign w:val="center"/>
          </w:tcPr>
          <w:p w14:paraId="50439E0C" w14:textId="77777777" w:rsidR="001E770F" w:rsidRPr="001159A2" w:rsidRDefault="001E770F" w:rsidP="001159A2">
            <w:pPr>
              <w:spacing w:line="276" w:lineRule="auto"/>
              <w:jc w:val="center"/>
              <w:rPr>
                <w:b/>
                <w:color w:val="000000"/>
                <w:sz w:val="20"/>
                <w:szCs w:val="20"/>
              </w:rPr>
            </w:pPr>
            <w:r w:rsidRPr="001159A2">
              <w:rPr>
                <w:b/>
                <w:color w:val="000000"/>
                <w:sz w:val="20"/>
                <w:szCs w:val="20"/>
              </w:rPr>
              <w:t>3,0 mld EUR</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center"/>
          </w:tcPr>
          <w:p w14:paraId="4D130C6C" w14:textId="77777777" w:rsidR="001E770F" w:rsidRPr="001159A2" w:rsidRDefault="001E770F" w:rsidP="001159A2">
            <w:pPr>
              <w:spacing w:line="276" w:lineRule="auto"/>
              <w:jc w:val="center"/>
              <w:rPr>
                <w:color w:val="000000"/>
                <w:sz w:val="20"/>
                <w:szCs w:val="20"/>
              </w:rPr>
            </w:pPr>
            <w:r w:rsidRPr="001159A2">
              <w:rPr>
                <w:color w:val="000000"/>
                <w:sz w:val="20"/>
                <w:szCs w:val="20"/>
              </w:rPr>
              <w:t>7 ani</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tcPr>
          <w:p w14:paraId="6ED071CF" w14:textId="77777777" w:rsidR="001E770F" w:rsidRPr="001159A2" w:rsidRDefault="001E770F" w:rsidP="001159A2">
            <w:pPr>
              <w:spacing w:line="276" w:lineRule="auto"/>
              <w:jc w:val="center"/>
              <w:rPr>
                <w:color w:val="000000"/>
                <w:sz w:val="20"/>
                <w:szCs w:val="20"/>
              </w:rPr>
            </w:pPr>
            <w:r w:rsidRPr="001159A2">
              <w:rPr>
                <w:color w:val="000000"/>
                <w:sz w:val="20"/>
                <w:szCs w:val="20"/>
              </w:rPr>
              <w:t>2,25 mld EUR</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4DAB0597" w14:textId="77777777" w:rsidR="001E770F" w:rsidRPr="001159A2" w:rsidRDefault="001E770F" w:rsidP="001159A2">
            <w:pPr>
              <w:spacing w:line="276" w:lineRule="auto"/>
              <w:jc w:val="center"/>
              <w:rPr>
                <w:color w:val="000000"/>
                <w:sz w:val="20"/>
                <w:szCs w:val="20"/>
              </w:rPr>
            </w:pPr>
            <w:r w:rsidRPr="001159A2">
              <w:rPr>
                <w:color w:val="000000"/>
                <w:sz w:val="20"/>
                <w:szCs w:val="20"/>
              </w:rPr>
              <w:t>5,125%</w:t>
            </w:r>
          </w:p>
        </w:tc>
      </w:tr>
      <w:tr w:rsidR="001E770F" w:rsidRPr="001159A2" w14:paraId="12ADF702" w14:textId="77777777" w:rsidTr="001E770F">
        <w:trPr>
          <w:trHeight w:val="283"/>
          <w:jc w:val="center"/>
        </w:trPr>
        <w:tc>
          <w:tcPr>
            <w:tcW w:w="805" w:type="pct"/>
            <w:vMerge/>
            <w:tcBorders>
              <w:left w:val="single" w:sz="4" w:space="0" w:color="auto"/>
              <w:bottom w:val="single" w:sz="4" w:space="0" w:color="auto"/>
              <w:right w:val="single" w:sz="4" w:space="0" w:color="auto"/>
            </w:tcBorders>
            <w:shd w:val="clear" w:color="auto" w:fill="auto"/>
          </w:tcPr>
          <w:p w14:paraId="328C4F71" w14:textId="77777777" w:rsidR="001E770F" w:rsidRPr="001159A2" w:rsidRDefault="001E770F" w:rsidP="001159A2">
            <w:pPr>
              <w:spacing w:line="276" w:lineRule="auto"/>
              <w:jc w:val="both"/>
              <w:rPr>
                <w:color w:val="000000"/>
                <w:sz w:val="20"/>
                <w:szCs w:val="20"/>
              </w:rPr>
            </w:pPr>
          </w:p>
        </w:tc>
        <w:tc>
          <w:tcPr>
            <w:tcW w:w="1325" w:type="pct"/>
            <w:vMerge/>
            <w:tcBorders>
              <w:left w:val="single" w:sz="4" w:space="0" w:color="auto"/>
              <w:bottom w:val="single" w:sz="4" w:space="0" w:color="auto"/>
              <w:right w:val="single" w:sz="4" w:space="0" w:color="auto"/>
            </w:tcBorders>
            <w:shd w:val="clear" w:color="auto" w:fill="auto"/>
            <w:vAlign w:val="center"/>
          </w:tcPr>
          <w:p w14:paraId="4BD07CF0" w14:textId="77777777" w:rsidR="001E770F" w:rsidRPr="001159A2" w:rsidRDefault="001E770F" w:rsidP="001159A2">
            <w:pPr>
              <w:spacing w:line="276" w:lineRule="auto"/>
              <w:jc w:val="center"/>
              <w:rPr>
                <w:b/>
                <w:color w:val="000000"/>
                <w:sz w:val="20"/>
                <w:szCs w:val="20"/>
              </w:rPr>
            </w:pPr>
          </w:p>
        </w:tc>
        <w:tc>
          <w:tcPr>
            <w:tcW w:w="1065" w:type="pct"/>
            <w:tcBorders>
              <w:top w:val="single" w:sz="4" w:space="0" w:color="auto"/>
              <w:left w:val="single" w:sz="4" w:space="0" w:color="auto"/>
              <w:bottom w:val="single" w:sz="4" w:space="0" w:color="auto"/>
              <w:right w:val="single" w:sz="4" w:space="0" w:color="auto"/>
            </w:tcBorders>
            <w:shd w:val="clear" w:color="auto" w:fill="auto"/>
            <w:vAlign w:val="center"/>
          </w:tcPr>
          <w:p w14:paraId="1855E9B1" w14:textId="77777777" w:rsidR="001E770F" w:rsidRPr="001159A2" w:rsidRDefault="001E770F" w:rsidP="001159A2">
            <w:pPr>
              <w:spacing w:line="276" w:lineRule="auto"/>
              <w:jc w:val="center"/>
              <w:rPr>
                <w:color w:val="000000"/>
                <w:sz w:val="20"/>
                <w:szCs w:val="20"/>
              </w:rPr>
            </w:pPr>
            <w:r w:rsidRPr="001159A2">
              <w:rPr>
                <w:color w:val="000000"/>
                <w:sz w:val="20"/>
                <w:szCs w:val="20"/>
              </w:rPr>
              <w:t>20 ani</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tcPr>
          <w:p w14:paraId="32F2F15C" w14:textId="77777777" w:rsidR="001E770F" w:rsidRPr="001159A2" w:rsidRDefault="001E770F" w:rsidP="001159A2">
            <w:pPr>
              <w:spacing w:line="276" w:lineRule="auto"/>
              <w:jc w:val="center"/>
              <w:rPr>
                <w:color w:val="000000"/>
                <w:sz w:val="20"/>
                <w:szCs w:val="20"/>
              </w:rPr>
            </w:pPr>
            <w:r w:rsidRPr="001159A2">
              <w:rPr>
                <w:color w:val="000000"/>
                <w:sz w:val="20"/>
                <w:szCs w:val="20"/>
              </w:rPr>
              <w:t>0,75 mld. EUR</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2D2229E5" w14:textId="77777777" w:rsidR="001E770F" w:rsidRPr="001159A2" w:rsidRDefault="001E770F" w:rsidP="001159A2">
            <w:pPr>
              <w:spacing w:line="276" w:lineRule="auto"/>
              <w:jc w:val="center"/>
              <w:rPr>
                <w:color w:val="000000"/>
                <w:sz w:val="20"/>
                <w:szCs w:val="20"/>
              </w:rPr>
            </w:pPr>
            <w:r w:rsidRPr="001159A2">
              <w:rPr>
                <w:color w:val="000000"/>
                <w:sz w:val="20"/>
                <w:szCs w:val="20"/>
              </w:rPr>
              <w:t>6,000%</w:t>
            </w:r>
          </w:p>
        </w:tc>
      </w:tr>
      <w:tr w:rsidR="001E770F" w:rsidRPr="001159A2" w14:paraId="64FCC3A2" w14:textId="77777777" w:rsidTr="001E770F">
        <w:trPr>
          <w:trHeight w:val="283"/>
          <w:jc w:val="center"/>
        </w:trPr>
        <w:tc>
          <w:tcPr>
            <w:tcW w:w="805" w:type="pct"/>
            <w:vMerge w:val="restart"/>
            <w:tcBorders>
              <w:left w:val="single" w:sz="4" w:space="0" w:color="auto"/>
              <w:right w:val="single" w:sz="4" w:space="0" w:color="auto"/>
            </w:tcBorders>
            <w:shd w:val="clear" w:color="auto" w:fill="auto"/>
            <w:vAlign w:val="center"/>
          </w:tcPr>
          <w:p w14:paraId="36E9BFC6" w14:textId="77777777" w:rsidR="001E770F" w:rsidRPr="001159A2" w:rsidRDefault="001E770F" w:rsidP="001159A2">
            <w:pPr>
              <w:spacing w:line="276" w:lineRule="auto"/>
              <w:jc w:val="both"/>
              <w:rPr>
                <w:color w:val="000000"/>
                <w:sz w:val="20"/>
                <w:szCs w:val="20"/>
              </w:rPr>
            </w:pPr>
            <w:r w:rsidRPr="001159A2">
              <w:rPr>
                <w:color w:val="000000"/>
                <w:sz w:val="20"/>
                <w:szCs w:val="20"/>
              </w:rPr>
              <w:t>Octombrie</w:t>
            </w:r>
          </w:p>
        </w:tc>
        <w:tc>
          <w:tcPr>
            <w:tcW w:w="1325" w:type="pct"/>
            <w:vMerge w:val="restart"/>
            <w:tcBorders>
              <w:left w:val="single" w:sz="4" w:space="0" w:color="auto"/>
              <w:right w:val="single" w:sz="4" w:space="0" w:color="auto"/>
            </w:tcBorders>
            <w:shd w:val="clear" w:color="auto" w:fill="auto"/>
            <w:vAlign w:val="center"/>
          </w:tcPr>
          <w:p w14:paraId="406EE3AD" w14:textId="77777777" w:rsidR="001E770F" w:rsidRPr="001159A2" w:rsidRDefault="001E770F" w:rsidP="001159A2">
            <w:pPr>
              <w:spacing w:line="276" w:lineRule="auto"/>
              <w:jc w:val="center"/>
              <w:rPr>
                <w:b/>
                <w:color w:val="000000"/>
                <w:sz w:val="20"/>
                <w:szCs w:val="20"/>
              </w:rPr>
            </w:pPr>
            <w:r w:rsidRPr="001159A2">
              <w:rPr>
                <w:b/>
                <w:color w:val="000000"/>
                <w:sz w:val="20"/>
                <w:szCs w:val="20"/>
              </w:rPr>
              <w:t>33 mld. JPY</w:t>
            </w:r>
          </w:p>
          <w:p w14:paraId="79212807" w14:textId="77777777" w:rsidR="001E770F" w:rsidRPr="001159A2" w:rsidRDefault="001E770F" w:rsidP="001159A2">
            <w:pPr>
              <w:spacing w:line="276" w:lineRule="auto"/>
              <w:jc w:val="center"/>
              <w:rPr>
                <w:b/>
                <w:color w:val="000000"/>
                <w:sz w:val="20"/>
                <w:szCs w:val="20"/>
              </w:rPr>
            </w:pPr>
            <w:r w:rsidRPr="001159A2">
              <w:rPr>
                <w:b/>
                <w:color w:val="000000"/>
                <w:sz w:val="20"/>
                <w:szCs w:val="20"/>
              </w:rPr>
              <w:t>(200 mln. echiv.EUR)</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center"/>
          </w:tcPr>
          <w:p w14:paraId="08099FFD" w14:textId="77777777" w:rsidR="001E770F" w:rsidRPr="001159A2" w:rsidRDefault="001E770F" w:rsidP="001159A2">
            <w:pPr>
              <w:spacing w:line="276" w:lineRule="auto"/>
              <w:jc w:val="center"/>
              <w:rPr>
                <w:color w:val="000000"/>
                <w:sz w:val="20"/>
                <w:szCs w:val="20"/>
              </w:rPr>
            </w:pPr>
            <w:r w:rsidRPr="001159A2">
              <w:rPr>
                <w:color w:val="000000"/>
                <w:sz w:val="20"/>
                <w:szCs w:val="20"/>
              </w:rPr>
              <w:t>3 ani</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tcPr>
          <w:p w14:paraId="744B61BB" w14:textId="77777777" w:rsidR="001E770F" w:rsidRPr="001159A2" w:rsidRDefault="001E770F" w:rsidP="001159A2">
            <w:pPr>
              <w:spacing w:line="276" w:lineRule="auto"/>
              <w:jc w:val="center"/>
              <w:rPr>
                <w:color w:val="000000"/>
                <w:sz w:val="20"/>
                <w:szCs w:val="20"/>
              </w:rPr>
            </w:pPr>
            <w:r w:rsidRPr="001159A2">
              <w:rPr>
                <w:color w:val="000000"/>
                <w:sz w:val="20"/>
                <w:szCs w:val="20"/>
              </w:rPr>
              <w:t>22 mld. JPY</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0AF14550" w14:textId="77777777" w:rsidR="001E770F" w:rsidRPr="001159A2" w:rsidRDefault="001E770F" w:rsidP="001159A2">
            <w:pPr>
              <w:spacing w:line="276" w:lineRule="auto"/>
              <w:jc w:val="center"/>
              <w:rPr>
                <w:color w:val="000000"/>
                <w:sz w:val="20"/>
                <w:szCs w:val="20"/>
              </w:rPr>
            </w:pPr>
            <w:r w:rsidRPr="001159A2">
              <w:rPr>
                <w:color w:val="000000"/>
                <w:sz w:val="20"/>
                <w:szCs w:val="20"/>
              </w:rPr>
              <w:t>2,1%</w:t>
            </w:r>
          </w:p>
        </w:tc>
      </w:tr>
      <w:tr w:rsidR="001E770F" w:rsidRPr="001159A2" w14:paraId="60B9130C" w14:textId="77777777" w:rsidTr="001E770F">
        <w:trPr>
          <w:trHeight w:val="251"/>
          <w:jc w:val="center"/>
        </w:trPr>
        <w:tc>
          <w:tcPr>
            <w:tcW w:w="805" w:type="pct"/>
            <w:vMerge/>
            <w:tcBorders>
              <w:left w:val="single" w:sz="4" w:space="0" w:color="auto"/>
              <w:right w:val="single" w:sz="4" w:space="0" w:color="auto"/>
            </w:tcBorders>
            <w:shd w:val="clear" w:color="auto" w:fill="auto"/>
          </w:tcPr>
          <w:p w14:paraId="4FEA192F" w14:textId="77777777" w:rsidR="001E770F" w:rsidRPr="001159A2" w:rsidRDefault="001E770F" w:rsidP="001159A2">
            <w:pPr>
              <w:spacing w:line="276" w:lineRule="auto"/>
              <w:jc w:val="both"/>
              <w:rPr>
                <w:color w:val="000000"/>
                <w:sz w:val="20"/>
                <w:szCs w:val="20"/>
              </w:rPr>
            </w:pPr>
          </w:p>
        </w:tc>
        <w:tc>
          <w:tcPr>
            <w:tcW w:w="1325" w:type="pct"/>
            <w:vMerge/>
            <w:tcBorders>
              <w:left w:val="single" w:sz="4" w:space="0" w:color="auto"/>
              <w:right w:val="single" w:sz="4" w:space="0" w:color="auto"/>
            </w:tcBorders>
            <w:shd w:val="clear" w:color="auto" w:fill="auto"/>
          </w:tcPr>
          <w:p w14:paraId="62D4F92A" w14:textId="77777777" w:rsidR="001E770F" w:rsidRPr="001159A2" w:rsidRDefault="001E770F" w:rsidP="001159A2">
            <w:pPr>
              <w:spacing w:line="276" w:lineRule="auto"/>
              <w:jc w:val="center"/>
              <w:rPr>
                <w:b/>
                <w:color w:val="000000"/>
                <w:sz w:val="20"/>
                <w:szCs w:val="20"/>
              </w:rPr>
            </w:pPr>
          </w:p>
        </w:tc>
        <w:tc>
          <w:tcPr>
            <w:tcW w:w="1065" w:type="pct"/>
            <w:tcBorders>
              <w:top w:val="single" w:sz="4" w:space="0" w:color="auto"/>
              <w:left w:val="single" w:sz="4" w:space="0" w:color="auto"/>
              <w:bottom w:val="single" w:sz="4" w:space="0" w:color="auto"/>
              <w:right w:val="single" w:sz="4" w:space="0" w:color="auto"/>
            </w:tcBorders>
            <w:shd w:val="clear" w:color="auto" w:fill="auto"/>
            <w:vAlign w:val="center"/>
          </w:tcPr>
          <w:p w14:paraId="1F6798FA" w14:textId="77777777" w:rsidR="001E770F" w:rsidRPr="001159A2" w:rsidRDefault="001E770F" w:rsidP="001159A2">
            <w:pPr>
              <w:spacing w:line="276" w:lineRule="auto"/>
              <w:jc w:val="center"/>
              <w:rPr>
                <w:color w:val="000000"/>
                <w:sz w:val="20"/>
                <w:szCs w:val="20"/>
              </w:rPr>
            </w:pPr>
            <w:r w:rsidRPr="001159A2">
              <w:rPr>
                <w:color w:val="000000"/>
                <w:sz w:val="20"/>
                <w:szCs w:val="20"/>
              </w:rPr>
              <w:t>5 ani</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tcPr>
          <w:p w14:paraId="646464B1" w14:textId="77777777" w:rsidR="001E770F" w:rsidRPr="001159A2" w:rsidRDefault="001E770F" w:rsidP="001159A2">
            <w:pPr>
              <w:spacing w:line="276" w:lineRule="auto"/>
              <w:jc w:val="center"/>
              <w:rPr>
                <w:color w:val="000000"/>
                <w:sz w:val="20"/>
                <w:szCs w:val="20"/>
              </w:rPr>
            </w:pPr>
            <w:r w:rsidRPr="001159A2">
              <w:rPr>
                <w:color w:val="000000"/>
                <w:sz w:val="20"/>
                <w:szCs w:val="20"/>
              </w:rPr>
              <w:t>3,6 mld. JPY</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7A77CB24" w14:textId="77777777" w:rsidR="001E770F" w:rsidRPr="001159A2" w:rsidRDefault="001E770F" w:rsidP="001159A2">
            <w:pPr>
              <w:spacing w:line="276" w:lineRule="auto"/>
              <w:jc w:val="center"/>
              <w:rPr>
                <w:color w:val="000000"/>
                <w:sz w:val="20"/>
                <w:szCs w:val="20"/>
              </w:rPr>
            </w:pPr>
            <w:r w:rsidRPr="001159A2">
              <w:rPr>
                <w:color w:val="000000"/>
                <w:sz w:val="20"/>
                <w:szCs w:val="20"/>
              </w:rPr>
              <w:t>2,63%</w:t>
            </w:r>
          </w:p>
        </w:tc>
      </w:tr>
      <w:tr w:rsidR="001E770F" w:rsidRPr="001159A2" w14:paraId="788BB2A8" w14:textId="77777777" w:rsidTr="001E770F">
        <w:trPr>
          <w:trHeight w:val="251"/>
          <w:jc w:val="center"/>
        </w:trPr>
        <w:tc>
          <w:tcPr>
            <w:tcW w:w="805" w:type="pct"/>
            <w:vMerge/>
            <w:tcBorders>
              <w:left w:val="single" w:sz="4" w:space="0" w:color="auto"/>
              <w:bottom w:val="single" w:sz="4" w:space="0" w:color="auto"/>
              <w:right w:val="single" w:sz="4" w:space="0" w:color="auto"/>
            </w:tcBorders>
            <w:shd w:val="clear" w:color="auto" w:fill="auto"/>
          </w:tcPr>
          <w:p w14:paraId="371C8DA6" w14:textId="77777777" w:rsidR="001E770F" w:rsidRPr="001159A2" w:rsidRDefault="001E770F" w:rsidP="001159A2">
            <w:pPr>
              <w:spacing w:line="276" w:lineRule="auto"/>
              <w:jc w:val="both"/>
              <w:rPr>
                <w:color w:val="000000"/>
                <w:sz w:val="20"/>
                <w:szCs w:val="20"/>
              </w:rPr>
            </w:pPr>
          </w:p>
        </w:tc>
        <w:tc>
          <w:tcPr>
            <w:tcW w:w="1325" w:type="pct"/>
            <w:vMerge/>
            <w:tcBorders>
              <w:left w:val="single" w:sz="4" w:space="0" w:color="auto"/>
              <w:bottom w:val="single" w:sz="4" w:space="0" w:color="auto"/>
              <w:right w:val="single" w:sz="4" w:space="0" w:color="auto"/>
            </w:tcBorders>
            <w:shd w:val="clear" w:color="auto" w:fill="auto"/>
          </w:tcPr>
          <w:p w14:paraId="5D72EE6C" w14:textId="77777777" w:rsidR="001E770F" w:rsidRPr="001159A2" w:rsidRDefault="001E770F" w:rsidP="001159A2">
            <w:pPr>
              <w:spacing w:line="276" w:lineRule="auto"/>
              <w:jc w:val="center"/>
              <w:rPr>
                <w:b/>
                <w:color w:val="000000"/>
                <w:sz w:val="20"/>
                <w:szCs w:val="20"/>
              </w:rPr>
            </w:pPr>
          </w:p>
        </w:tc>
        <w:tc>
          <w:tcPr>
            <w:tcW w:w="1065" w:type="pct"/>
            <w:tcBorders>
              <w:top w:val="single" w:sz="4" w:space="0" w:color="auto"/>
              <w:left w:val="single" w:sz="4" w:space="0" w:color="auto"/>
              <w:bottom w:val="single" w:sz="4" w:space="0" w:color="auto"/>
              <w:right w:val="single" w:sz="4" w:space="0" w:color="auto"/>
            </w:tcBorders>
            <w:shd w:val="clear" w:color="auto" w:fill="auto"/>
            <w:vAlign w:val="center"/>
          </w:tcPr>
          <w:p w14:paraId="1D318C43" w14:textId="77777777" w:rsidR="001E770F" w:rsidRPr="001159A2" w:rsidRDefault="001E770F" w:rsidP="001159A2">
            <w:pPr>
              <w:spacing w:line="276" w:lineRule="auto"/>
              <w:jc w:val="center"/>
              <w:rPr>
                <w:color w:val="000000"/>
                <w:sz w:val="20"/>
                <w:szCs w:val="20"/>
              </w:rPr>
            </w:pPr>
            <w:r w:rsidRPr="001159A2">
              <w:rPr>
                <w:color w:val="000000"/>
                <w:sz w:val="20"/>
                <w:szCs w:val="20"/>
              </w:rPr>
              <w:t>7 ani</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tcPr>
          <w:p w14:paraId="10DEB6D1" w14:textId="77777777" w:rsidR="001E770F" w:rsidRPr="001159A2" w:rsidRDefault="001E770F" w:rsidP="001159A2">
            <w:pPr>
              <w:spacing w:line="276" w:lineRule="auto"/>
              <w:jc w:val="center"/>
              <w:rPr>
                <w:color w:val="000000"/>
                <w:sz w:val="20"/>
                <w:szCs w:val="20"/>
              </w:rPr>
            </w:pPr>
            <w:r w:rsidRPr="001159A2">
              <w:rPr>
                <w:color w:val="000000"/>
                <w:sz w:val="20"/>
                <w:szCs w:val="20"/>
              </w:rPr>
              <w:t>7,4 mld. JPY</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4B18268C" w14:textId="77777777" w:rsidR="001E770F" w:rsidRPr="001159A2" w:rsidRDefault="001E770F" w:rsidP="001159A2">
            <w:pPr>
              <w:spacing w:line="276" w:lineRule="auto"/>
              <w:jc w:val="center"/>
              <w:rPr>
                <w:color w:val="000000"/>
                <w:sz w:val="20"/>
                <w:szCs w:val="20"/>
              </w:rPr>
            </w:pPr>
            <w:r w:rsidRPr="001159A2">
              <w:rPr>
                <w:color w:val="000000"/>
                <w:sz w:val="20"/>
                <w:szCs w:val="20"/>
              </w:rPr>
              <w:t>3,14%</w:t>
            </w:r>
          </w:p>
        </w:tc>
      </w:tr>
    </w:tbl>
    <w:p w14:paraId="2AB425CA" w14:textId="5C1A77CB" w:rsidR="001E770F" w:rsidRPr="001159A2" w:rsidRDefault="001E770F" w:rsidP="001159A2">
      <w:pPr>
        <w:spacing w:before="120" w:after="120" w:line="276" w:lineRule="auto"/>
        <w:jc w:val="both"/>
      </w:pPr>
    </w:p>
    <w:p w14:paraId="6C727267" w14:textId="77777777" w:rsidR="001E770F" w:rsidRPr="001159A2" w:rsidRDefault="001E770F" w:rsidP="001159A2">
      <w:pPr>
        <w:spacing w:before="120" w:after="120" w:line="276" w:lineRule="auto"/>
        <w:ind w:left="340"/>
        <w:jc w:val="both"/>
      </w:pPr>
      <w:r w:rsidRPr="001159A2">
        <w:rPr>
          <w:lang w:val="it-IT"/>
        </w:rPr>
        <w:t>Prin utilizarea unor împrumuturi sub forma plasamentelor private s-a avut în vedere completarea finanțării de pe piețele financiare internaționale.</w:t>
      </w:r>
      <w:r w:rsidRPr="001159A2">
        <w:t xml:space="preserve"> </w:t>
      </w:r>
    </w:p>
    <w:p w14:paraId="5D632CD1" w14:textId="33330469" w:rsidR="001E770F" w:rsidRPr="001159A2" w:rsidRDefault="001E770F" w:rsidP="001159A2">
      <w:pPr>
        <w:spacing w:before="120" w:after="120" w:line="276" w:lineRule="auto"/>
        <w:ind w:left="340"/>
        <w:jc w:val="both"/>
      </w:pPr>
      <w:r w:rsidRPr="001159A2">
        <w:t xml:space="preserve">În anul 2024 au fost efectuate trageri din împrumuturi IFI  în sumă de 2,2 </w:t>
      </w:r>
      <w:r w:rsidR="00B15461">
        <w:t>miliarde</w:t>
      </w:r>
      <w:r w:rsidRPr="001159A2">
        <w:t xml:space="preserve"> EUR, iar sumele disponibilizate din cadrul componentei de împrumut pentru implementarea Planului Național de Redresare și Reziliență (PNRR) au fost în valoare de 38 mln. EUR.</w:t>
      </w:r>
    </w:p>
    <w:p w14:paraId="69D13AC4" w14:textId="0BC8F951" w:rsidR="001E770F" w:rsidRPr="001159A2" w:rsidRDefault="001E770F" w:rsidP="001159A2">
      <w:pPr>
        <w:spacing w:before="120" w:after="120" w:line="276" w:lineRule="auto"/>
        <w:ind w:left="340"/>
        <w:jc w:val="both"/>
        <w:rPr>
          <w:bCs/>
        </w:rPr>
      </w:pPr>
      <w:r w:rsidRPr="001159A2">
        <w:rPr>
          <w:b/>
          <w:bCs/>
        </w:rPr>
        <w:t xml:space="preserve">Garanțiile de stat acordate în cadrul programelor guvernamentale </w:t>
      </w:r>
      <w:r w:rsidRPr="001159A2">
        <w:rPr>
          <w:bCs/>
        </w:rPr>
        <w:t xml:space="preserve">IMM PLUS (OUG 18/2024), Noua casă (OUG 60/2009), ”StudentInvest” și ”FamilyStart” (OUG nr.95/2022) au fost în sumă de cca 13,3 </w:t>
      </w:r>
      <w:r w:rsidR="00B15461">
        <w:rPr>
          <w:bCs/>
        </w:rPr>
        <w:t>miliarde</w:t>
      </w:r>
      <w:r w:rsidRPr="001159A2">
        <w:rPr>
          <w:bCs/>
        </w:rPr>
        <w:t xml:space="preserve"> lei, în limita plafonului de 40 </w:t>
      </w:r>
      <w:r w:rsidR="00B15461">
        <w:rPr>
          <w:bCs/>
        </w:rPr>
        <w:t>miliarde</w:t>
      </w:r>
      <w:r w:rsidRPr="001159A2">
        <w:rPr>
          <w:bCs/>
        </w:rPr>
        <w:t xml:space="preserve"> lei stabilit prin Legea nr.417/2023 pentru aprobarea plafoanelor unor indicatori specificați în cadrul fiscal-bugetar pe anul 2024. </w:t>
      </w:r>
    </w:p>
    <w:p w14:paraId="7A82D5A3" w14:textId="5430D219" w:rsidR="001E1C0F" w:rsidRPr="001159A2" w:rsidRDefault="001E1C0F" w:rsidP="001159A2">
      <w:pPr>
        <w:pStyle w:val="ListParagraph"/>
        <w:numPr>
          <w:ilvl w:val="1"/>
          <w:numId w:val="22"/>
        </w:numPr>
        <w:suppressAutoHyphens/>
        <w:spacing w:before="100" w:beforeAutospacing="1" w:after="100" w:afterAutospacing="1" w:line="276" w:lineRule="auto"/>
        <w:jc w:val="both"/>
        <w:rPr>
          <w:rFonts w:eastAsia="MS Mincho" w:cs="Tahoma"/>
          <w:sz w:val="24"/>
          <w:szCs w:val="24"/>
          <w:lang w:eastAsia="ja-JP"/>
        </w:rPr>
      </w:pPr>
      <w:r w:rsidRPr="001159A2">
        <w:rPr>
          <w:rFonts w:cs="Tahoma"/>
          <w:b/>
          <w:bCs/>
          <w:sz w:val="24"/>
          <w:szCs w:val="24"/>
        </w:rPr>
        <w:t>Datoria publică locală</w:t>
      </w:r>
    </w:p>
    <w:p w14:paraId="60E35074" w14:textId="0BF57EF2" w:rsidR="001E770F" w:rsidRPr="001159A2" w:rsidRDefault="001E770F" w:rsidP="001159A2">
      <w:pPr>
        <w:suppressAutoHyphens/>
        <w:spacing w:before="120" w:after="120" w:line="276" w:lineRule="auto"/>
        <w:jc w:val="both"/>
        <w:rPr>
          <w:rFonts w:eastAsia="Times New Roman"/>
          <w:bCs/>
        </w:rPr>
      </w:pPr>
      <w:r w:rsidRPr="001159A2">
        <w:rPr>
          <w:rFonts w:eastAsia="Times New Roman"/>
          <w:bCs/>
        </w:rPr>
        <w:t xml:space="preserve">În anul 2024, tragerile autorizate din finanțările rambursabile contractate sau care urmau să fie contractate de către unitățile/subdiviziunile administrativ-teritoriale au fost în sumă de 3.153,9 </w:t>
      </w:r>
      <w:r w:rsidR="00B15461">
        <w:rPr>
          <w:rFonts w:eastAsia="Times New Roman"/>
          <w:bCs/>
        </w:rPr>
        <w:t>milioane</w:t>
      </w:r>
      <w:r w:rsidRPr="001159A2">
        <w:rPr>
          <w:rFonts w:eastAsia="Times New Roman"/>
          <w:bCs/>
        </w:rPr>
        <w:t xml:space="preserve">. lei, iar finanțările rambursabile autorizate pentru a fi contractate de unitățile/subdiviziunile administrativ-teritoriale pentru realizarea de investiții publice de </w:t>
      </w:r>
      <w:r w:rsidRPr="001159A2">
        <w:rPr>
          <w:rFonts w:eastAsia="Times New Roman"/>
          <w:bCs/>
        </w:rPr>
        <w:lastRenderedPageBreak/>
        <w:t xml:space="preserve">interes local au fost în valoare de cca. 2.591,4 </w:t>
      </w:r>
      <w:r w:rsidR="00B15461">
        <w:rPr>
          <w:rFonts w:eastAsia="Times New Roman"/>
          <w:bCs/>
        </w:rPr>
        <w:t>milioane</w:t>
      </w:r>
      <w:r w:rsidRPr="001159A2">
        <w:rPr>
          <w:rFonts w:eastAsia="Times New Roman"/>
          <w:bCs/>
        </w:rPr>
        <w:t>. lei, în limita plafoanelor anuale aprobate conform art. 3 alin. (2) - (3) din Legea nr. 417/2023 pentru aprobarea plafoanelor unor indicatori specificați în cadrul fiscal-bugetar pe anul 2024, coroborat cu prevederile art.XXXVII, alin. 3 din Ordonanța de urgență a Guvernului nr.107/2024 pentru reglementarea unor măsuri fiscal-bugetare în domeniul gestionării creanțelor bugetare și a deficitului bugetar pentru bugetul general consolidat al României în anul 2024, precum și pentru modificarea și completarea unor acte normative</w:t>
      </w:r>
    </w:p>
    <w:p w14:paraId="0B925353" w14:textId="166302F0" w:rsidR="001E770F" w:rsidRPr="001159A2" w:rsidRDefault="001E770F" w:rsidP="001159A2">
      <w:pPr>
        <w:suppressAutoHyphens/>
        <w:spacing w:before="120" w:after="120" w:line="276" w:lineRule="auto"/>
        <w:jc w:val="both"/>
        <w:rPr>
          <w:rFonts w:eastAsia="Times New Roman"/>
          <w:bCs/>
        </w:rPr>
      </w:pPr>
      <w:r w:rsidRPr="001159A2">
        <w:rPr>
          <w:rFonts w:eastAsia="Times New Roman"/>
          <w:bCs/>
        </w:rPr>
        <w:t xml:space="preserve">De asemenea, au fost autorizate finanțări rambursabile, în sumă totală de cca. 2.014,6 </w:t>
      </w:r>
      <w:r w:rsidR="00B15461">
        <w:rPr>
          <w:rFonts w:eastAsia="Times New Roman"/>
          <w:bCs/>
        </w:rPr>
        <w:t>milioane</w:t>
      </w:r>
      <w:r w:rsidRPr="001159A2">
        <w:rPr>
          <w:rFonts w:eastAsia="Times New Roman"/>
          <w:bCs/>
        </w:rPr>
        <w:t xml:space="preserve">. lei, pentru a fi contractate de unitățile/subdiviziunile administrativ-teritoriale în vederea prefinanțării și/sau cofinanțării de proiecte care beneficiază de fonduri externe nerambursabile de la Uniunea Europeană, iar în baza art. 1 din Ordonanța de urgență a Guvernului nr. 35/2024 pentru asigurarea unor împrumuturi din Trezoreria Statului, precum şi pentru modificarea şi completarea unor acte normative aferente reprezentării statului în litigiile arbitrale şi judiciare internaţionale şi concesionării proprietăţii publice a statului şi pentru modificarea şi completarea unor acte normative, au fost autorizate împrumuturi în sumă totală de cca.370,9 </w:t>
      </w:r>
      <w:r w:rsidR="00B15461">
        <w:rPr>
          <w:rFonts w:eastAsia="Times New Roman"/>
          <w:bCs/>
        </w:rPr>
        <w:t>milioane</w:t>
      </w:r>
      <w:r w:rsidRPr="001159A2">
        <w:rPr>
          <w:rFonts w:eastAsia="Times New Roman"/>
          <w:bCs/>
        </w:rPr>
        <w:t xml:space="preserve">. lei destinate cofinanțării proiectelor finanțate din fonduri externe nerambursabile de la Uniunea Europeană și de la donatori europeni în cadrul programelor interguvernamentale, inclusiv pentru cheltuielile neeligibile asociate proiectelor, precum și în baza art.1 din OUG nr. 133/2024 pentru asigurarea unor împrumuturi din Trezoreria Statului, prin care au fost autorizate împrumuturi în sumă totală de 43,4 </w:t>
      </w:r>
      <w:r w:rsidR="00B15461">
        <w:rPr>
          <w:rFonts w:eastAsia="Times New Roman"/>
          <w:bCs/>
        </w:rPr>
        <w:t>milioane</w:t>
      </w:r>
      <w:r w:rsidRPr="001159A2">
        <w:rPr>
          <w:rFonts w:eastAsia="Times New Roman"/>
          <w:bCs/>
        </w:rPr>
        <w:t>. lei, destinate cofinanțării proiectelor finanțate din fonduri externe nerambursabile de la Uniunea Europeană și de la donatori europeni în cadrul programelor interguvernamentale, inclusiv pentru cheltuielile neeligibile asociate proiectelor.</w:t>
      </w:r>
    </w:p>
    <w:p w14:paraId="51254539" w14:textId="7E70F5DF" w:rsidR="009A38F0" w:rsidRPr="00C53F10" w:rsidRDefault="009A38F0">
      <w:pPr>
        <w:rPr>
          <w:rFonts w:eastAsia="MS Mincho"/>
          <w:lang w:eastAsia="ja-JP"/>
        </w:rPr>
      </w:pPr>
      <w:r w:rsidRPr="00C53F10">
        <w:rPr>
          <w:rFonts w:eastAsia="MS Mincho"/>
          <w:lang w:eastAsia="ja-JP"/>
        </w:rPr>
        <w:br w:type="page"/>
      </w:r>
    </w:p>
    <w:p w14:paraId="12FA68A4" w14:textId="3A4600A5" w:rsidR="00217D2C" w:rsidRPr="00C53F10" w:rsidRDefault="00BA5E33" w:rsidP="003B47F7">
      <w:pPr>
        <w:pStyle w:val="Heading1"/>
        <w:spacing w:line="276" w:lineRule="auto"/>
        <w:rPr>
          <w:rFonts w:ascii="Tahoma" w:hAnsi="Tahoma" w:cs="Tahoma"/>
        </w:rPr>
      </w:pPr>
      <w:bookmarkStart w:id="18" w:name="_Toc198290368"/>
      <w:bookmarkStart w:id="19" w:name="_Toc199406234"/>
      <w:r w:rsidRPr="00C53F10">
        <w:rPr>
          <w:rFonts w:ascii="Tahoma" w:eastAsia="MS Mincho" w:hAnsi="Tahoma" w:cs="Tahoma"/>
          <w:b/>
          <w:color w:val="000000"/>
          <w:sz w:val="24"/>
          <w:szCs w:val="24"/>
          <w:lang w:eastAsia="ja-JP"/>
        </w:rPr>
        <w:lastRenderedPageBreak/>
        <w:t>Anexa nr.1 -Execuția bugetului general consolidat în anul 20</w:t>
      </w:r>
      <w:bookmarkStart w:id="20" w:name="_Toc516046462"/>
      <w:r w:rsidR="007D52C8" w:rsidRPr="00C53F10">
        <w:rPr>
          <w:rFonts w:ascii="Tahoma" w:eastAsia="MS Mincho" w:hAnsi="Tahoma" w:cs="Tahoma"/>
          <w:b/>
          <w:color w:val="000000"/>
          <w:sz w:val="24"/>
          <w:szCs w:val="24"/>
          <w:lang w:eastAsia="ja-JP"/>
        </w:rPr>
        <w:t>2</w:t>
      </w:r>
      <w:r w:rsidR="00AC1D40">
        <w:rPr>
          <w:rFonts w:ascii="Tahoma" w:eastAsia="MS Mincho" w:hAnsi="Tahoma" w:cs="Tahoma"/>
          <w:b/>
          <w:color w:val="000000"/>
          <w:sz w:val="24"/>
          <w:szCs w:val="24"/>
          <w:lang w:eastAsia="ja-JP"/>
        </w:rPr>
        <w:t>4</w:t>
      </w:r>
      <w:r w:rsidR="007D52C8" w:rsidRPr="00C53F10">
        <w:rPr>
          <w:rFonts w:ascii="Tahoma" w:hAnsi="Tahoma" w:cs="Tahoma"/>
          <w:noProof/>
        </w:rPr>
        <w:t xml:space="preserve"> </w:t>
      </w:r>
      <w:bookmarkEnd w:id="18"/>
      <w:bookmarkEnd w:id="19"/>
      <w:r w:rsidR="004D6AD6">
        <w:rPr>
          <w:rFonts w:ascii="Tahoma" w:hAnsi="Tahoma" w:cs="Tahoma"/>
        </w:rPr>
        <w:pict w14:anchorId="0AFD80E1">
          <v:shape id="_x0000_i1045" type="#_x0000_t75" style="width:481.5pt;height:732.5pt">
            <v:imagedata r:id="rId33" o:title=""/>
          </v:shape>
        </w:pict>
      </w:r>
    </w:p>
    <w:p w14:paraId="40DB16D7" w14:textId="32E132A1" w:rsidR="00BA5E33" w:rsidRPr="00C53F10" w:rsidRDefault="00BA5E33" w:rsidP="0039084A">
      <w:pPr>
        <w:pStyle w:val="Heading1"/>
        <w:rPr>
          <w:rFonts w:ascii="Tahoma" w:eastAsia="MS Mincho" w:hAnsi="Tahoma" w:cs="Tahoma"/>
          <w:color w:val="auto"/>
          <w:sz w:val="24"/>
          <w:szCs w:val="24"/>
          <w:lang w:eastAsia="ja-JP"/>
        </w:rPr>
      </w:pPr>
      <w:bookmarkStart w:id="21" w:name="_Toc198290369"/>
      <w:bookmarkStart w:id="22" w:name="_Toc199406235"/>
      <w:bookmarkEnd w:id="20"/>
      <w:r w:rsidRPr="00C53F10">
        <w:rPr>
          <w:rFonts w:ascii="Tahoma" w:eastAsia="MS Mincho" w:hAnsi="Tahoma" w:cs="Tahoma"/>
          <w:b/>
          <w:color w:val="auto"/>
          <w:sz w:val="24"/>
          <w:szCs w:val="24"/>
          <w:lang w:eastAsia="ja-JP"/>
        </w:rPr>
        <w:lastRenderedPageBreak/>
        <w:t xml:space="preserve">Anexa nr.2 - Tabelul de </w:t>
      </w:r>
      <w:r w:rsidR="00F0617D" w:rsidRPr="00C53F10">
        <w:rPr>
          <w:rFonts w:ascii="Tahoma" w:eastAsia="MS Mincho" w:hAnsi="Tahoma" w:cs="Tahoma"/>
          <w:b/>
          <w:color w:val="auto"/>
          <w:sz w:val="24"/>
          <w:szCs w:val="24"/>
          <w:lang w:eastAsia="ja-JP"/>
        </w:rPr>
        <w:t>corespondență</w:t>
      </w:r>
      <w:r w:rsidRPr="00C53F10">
        <w:rPr>
          <w:rFonts w:ascii="Tahoma" w:eastAsia="MS Mincho" w:hAnsi="Tahoma" w:cs="Tahoma"/>
          <w:b/>
          <w:color w:val="auto"/>
          <w:sz w:val="24"/>
          <w:szCs w:val="24"/>
          <w:lang w:eastAsia="ja-JP"/>
        </w:rPr>
        <w:t xml:space="preserve"> privind metodologia de </w:t>
      </w:r>
      <w:r w:rsidR="00F0617D" w:rsidRPr="00C53F10">
        <w:rPr>
          <w:rFonts w:ascii="Tahoma" w:eastAsia="MS Mincho" w:hAnsi="Tahoma" w:cs="Tahoma"/>
          <w:b/>
          <w:color w:val="auto"/>
          <w:sz w:val="24"/>
          <w:szCs w:val="24"/>
          <w:lang w:eastAsia="ja-JP"/>
        </w:rPr>
        <w:t>tranziție</w:t>
      </w:r>
      <w:r w:rsidRPr="00C53F10">
        <w:rPr>
          <w:rFonts w:ascii="Tahoma" w:eastAsia="MS Mincho" w:hAnsi="Tahoma" w:cs="Tahoma"/>
          <w:b/>
          <w:color w:val="auto"/>
          <w:sz w:val="24"/>
          <w:szCs w:val="24"/>
          <w:lang w:eastAsia="ja-JP"/>
        </w:rPr>
        <w:t xml:space="preserve"> între d</w:t>
      </w:r>
      <w:r w:rsidR="00F874EE" w:rsidRPr="00C53F10">
        <w:rPr>
          <w:rFonts w:ascii="Tahoma" w:eastAsia="MS Mincho" w:hAnsi="Tahoma" w:cs="Tahoma"/>
          <w:b/>
          <w:color w:val="auto"/>
          <w:sz w:val="24"/>
          <w:szCs w:val="24"/>
          <w:lang w:eastAsia="ja-JP"/>
        </w:rPr>
        <w:t>atele bazate pe contabilitatea î</w:t>
      </w:r>
      <w:r w:rsidRPr="00C53F10">
        <w:rPr>
          <w:rFonts w:ascii="Tahoma" w:eastAsia="MS Mincho" w:hAnsi="Tahoma" w:cs="Tahoma"/>
          <w:b/>
          <w:color w:val="auto"/>
          <w:sz w:val="24"/>
          <w:szCs w:val="24"/>
          <w:lang w:eastAsia="ja-JP"/>
        </w:rPr>
        <w:t xml:space="preserve">n numerar </w:t>
      </w:r>
      <w:r w:rsidR="00F874EE" w:rsidRPr="00C53F10">
        <w:rPr>
          <w:rFonts w:ascii="Tahoma" w:eastAsia="MS Mincho" w:hAnsi="Tahoma" w:cs="Tahoma"/>
          <w:b/>
          <w:color w:val="auto"/>
          <w:sz w:val="24"/>
          <w:szCs w:val="24"/>
          <w:lang w:eastAsia="ja-JP"/>
        </w:rPr>
        <w:t>și</w:t>
      </w:r>
      <w:r w:rsidRPr="00C53F10">
        <w:rPr>
          <w:rFonts w:ascii="Tahoma" w:eastAsia="MS Mincho" w:hAnsi="Tahoma" w:cs="Tahoma"/>
          <w:b/>
          <w:color w:val="auto"/>
          <w:sz w:val="24"/>
          <w:szCs w:val="24"/>
          <w:lang w:eastAsia="ja-JP"/>
        </w:rPr>
        <w:t xml:space="preserve"> datele bazate pe standardele sistemului european de conturi 20</w:t>
      </w:r>
      <w:r w:rsidR="00536BB6" w:rsidRPr="00C53F10">
        <w:rPr>
          <w:rFonts w:ascii="Tahoma" w:eastAsia="MS Mincho" w:hAnsi="Tahoma" w:cs="Tahoma"/>
          <w:b/>
          <w:color w:val="auto"/>
          <w:sz w:val="24"/>
          <w:szCs w:val="24"/>
          <w:lang w:eastAsia="ja-JP"/>
        </w:rPr>
        <w:t>2</w:t>
      </w:r>
      <w:r w:rsidR="002A6290" w:rsidRPr="00C53F10">
        <w:rPr>
          <w:rFonts w:ascii="Tahoma" w:eastAsia="MS Mincho" w:hAnsi="Tahoma" w:cs="Tahoma"/>
          <w:b/>
          <w:color w:val="auto"/>
          <w:sz w:val="24"/>
          <w:szCs w:val="24"/>
          <w:lang w:eastAsia="ja-JP"/>
        </w:rPr>
        <w:t>1</w:t>
      </w:r>
      <w:bookmarkEnd w:id="21"/>
      <w:bookmarkEnd w:id="22"/>
    </w:p>
    <w:p w14:paraId="30080A8D" w14:textId="77777777" w:rsidR="00BA5E33" w:rsidRPr="00C53F10" w:rsidRDefault="00BA5E33" w:rsidP="000F5753">
      <w:pPr>
        <w:spacing w:line="276" w:lineRule="auto"/>
        <w:ind w:left="-426"/>
        <w:rPr>
          <w:rFonts w:eastAsia="MS Mincho"/>
          <w:lang w:eastAsia="ja-JP"/>
        </w:rPr>
      </w:pPr>
    </w:p>
    <w:p w14:paraId="2C419EC8" w14:textId="77777777" w:rsidR="00BA5E33" w:rsidRPr="00C53F10" w:rsidRDefault="00BA5E33" w:rsidP="000F5753">
      <w:pPr>
        <w:spacing w:line="276" w:lineRule="auto"/>
        <w:ind w:left="-426"/>
        <w:rPr>
          <w:rFonts w:eastAsia="MS Mincho"/>
          <w:lang w:eastAsia="ja-JP"/>
        </w:rPr>
      </w:pPr>
    </w:p>
    <w:p w14:paraId="6C752BC1" w14:textId="4BFBB107" w:rsidR="00BA5E33" w:rsidRPr="00C53F10" w:rsidRDefault="00BA5E33" w:rsidP="000F5753">
      <w:pPr>
        <w:tabs>
          <w:tab w:val="left" w:pos="709"/>
          <w:tab w:val="left" w:pos="3255"/>
        </w:tabs>
        <w:spacing w:line="276" w:lineRule="auto"/>
        <w:jc w:val="both"/>
        <w:rPr>
          <w:rFonts w:eastAsia="MS Mincho"/>
          <w:lang w:eastAsia="ja-JP"/>
        </w:rPr>
      </w:pPr>
      <w:r w:rsidRPr="00C53F10">
        <w:rPr>
          <w:rFonts w:eastAsia="MS Mincho"/>
          <w:lang w:eastAsia="ja-JP"/>
        </w:rPr>
        <w:tab/>
        <w:t xml:space="preserve">Prin Directiva nr.85/2011 privind </w:t>
      </w:r>
      <w:r w:rsidR="00F0617D" w:rsidRPr="00C53F10">
        <w:rPr>
          <w:rFonts w:eastAsia="MS Mincho"/>
          <w:lang w:eastAsia="ja-JP"/>
        </w:rPr>
        <w:t>cerințele</w:t>
      </w:r>
      <w:r w:rsidRPr="00C53F10">
        <w:rPr>
          <w:rFonts w:eastAsia="MS Mincho"/>
          <w:lang w:eastAsia="ja-JP"/>
        </w:rPr>
        <w:t xml:space="preserve"> referitoare la cadrele bugetare ale statelor membre, Consiliul Uniunii Euro</w:t>
      </w:r>
      <w:r w:rsidR="00AA7481" w:rsidRPr="00C53F10">
        <w:rPr>
          <w:rFonts w:eastAsia="MS Mincho"/>
          <w:lang w:eastAsia="ja-JP"/>
        </w:rPr>
        <w:t>pene solicită conform art.3.(2)</w:t>
      </w:r>
      <w:r w:rsidRPr="00C53F10">
        <w:rPr>
          <w:rFonts w:eastAsia="MS Mincho"/>
          <w:lang w:eastAsia="ja-JP"/>
        </w:rPr>
        <w:t xml:space="preserve">, publicarea unui tabel de </w:t>
      </w:r>
      <w:r w:rsidR="00F0617D" w:rsidRPr="00C53F10">
        <w:rPr>
          <w:rFonts w:eastAsia="MS Mincho"/>
          <w:lang w:eastAsia="ja-JP"/>
        </w:rPr>
        <w:t>corespondență</w:t>
      </w:r>
      <w:r w:rsidRPr="00C53F10">
        <w:rPr>
          <w:rFonts w:eastAsia="MS Mincho"/>
          <w:lang w:eastAsia="ja-JP"/>
        </w:rPr>
        <w:t xml:space="preserve"> detaliat, care indică metodologia de </w:t>
      </w:r>
      <w:r w:rsidR="00F0617D" w:rsidRPr="00C53F10">
        <w:rPr>
          <w:rFonts w:eastAsia="MS Mincho"/>
          <w:lang w:eastAsia="ja-JP"/>
        </w:rPr>
        <w:t>tranziție</w:t>
      </w:r>
      <w:r w:rsidRPr="00C53F10">
        <w:rPr>
          <w:rFonts w:eastAsia="MS Mincho"/>
          <w:lang w:eastAsia="ja-JP"/>
        </w:rPr>
        <w:t xml:space="preserve"> de la datele bazate pe contabilitatea de casă la datele bazate pe standardele Sistemului European de Conturi - SEC.</w:t>
      </w:r>
    </w:p>
    <w:p w14:paraId="661C87CB" w14:textId="77777777" w:rsidR="00BA5E33" w:rsidRPr="00C53F10" w:rsidRDefault="00BA5E33" w:rsidP="000F5753">
      <w:pPr>
        <w:tabs>
          <w:tab w:val="left" w:pos="1320"/>
          <w:tab w:val="left" w:pos="3255"/>
        </w:tabs>
        <w:spacing w:line="276" w:lineRule="auto"/>
        <w:jc w:val="both"/>
        <w:rPr>
          <w:rFonts w:eastAsia="MS Mincho"/>
          <w:lang w:eastAsia="ja-JP"/>
        </w:rPr>
      </w:pPr>
    </w:p>
    <w:p w14:paraId="6F925A2C" w14:textId="77777777" w:rsidR="00BA5E33" w:rsidRPr="00C53F10" w:rsidRDefault="00BA5E33" w:rsidP="000F5753">
      <w:pPr>
        <w:tabs>
          <w:tab w:val="left" w:pos="1320"/>
          <w:tab w:val="left" w:pos="3255"/>
        </w:tabs>
        <w:spacing w:line="276" w:lineRule="auto"/>
        <w:jc w:val="both"/>
        <w:rPr>
          <w:rFonts w:eastAsia="MS Mincho"/>
          <w:lang w:eastAsia="ja-JP"/>
        </w:rPr>
      </w:pPr>
    </w:p>
    <w:p w14:paraId="5C9A4B9C" w14:textId="77777777" w:rsidR="00BA5E33" w:rsidRPr="00C53F10" w:rsidRDefault="00BA5E33" w:rsidP="000F5753">
      <w:pPr>
        <w:tabs>
          <w:tab w:val="left" w:pos="3060"/>
          <w:tab w:val="left" w:pos="3255"/>
        </w:tabs>
        <w:spacing w:line="276" w:lineRule="auto"/>
        <w:rPr>
          <w:rFonts w:eastAsia="MS Mincho"/>
          <w:b/>
          <w:lang w:eastAsia="ja-JP"/>
        </w:rPr>
      </w:pPr>
      <w:r w:rsidRPr="00C53F10">
        <w:rPr>
          <w:rFonts w:eastAsia="MS Mincho"/>
          <w:b/>
          <w:lang w:eastAsia="ja-JP"/>
        </w:rPr>
        <w:tab/>
      </w:r>
      <w:r w:rsidRPr="00C53F10">
        <w:rPr>
          <w:rFonts w:eastAsia="MS Mincho"/>
          <w:b/>
          <w:lang w:eastAsia="ja-JP"/>
        </w:rPr>
        <w:tab/>
      </w:r>
    </w:p>
    <w:p w14:paraId="265382CE" w14:textId="77777777" w:rsidR="00BA5E33" w:rsidRPr="00C53F10" w:rsidRDefault="00BA5E33" w:rsidP="000F5753">
      <w:pPr>
        <w:tabs>
          <w:tab w:val="left" w:pos="3255"/>
        </w:tabs>
        <w:spacing w:line="276" w:lineRule="auto"/>
        <w:jc w:val="center"/>
        <w:rPr>
          <w:rFonts w:eastAsia="MS Mincho"/>
          <w:b/>
          <w:lang w:eastAsia="ja-JP"/>
        </w:rPr>
        <w:sectPr w:rsidR="00BA5E33" w:rsidRPr="00C53F10" w:rsidSect="00D33D3E">
          <w:footerReference w:type="default" r:id="rId34"/>
          <w:footerReference w:type="first" r:id="rId35"/>
          <w:pgSz w:w="11907" w:h="16840" w:code="9"/>
          <w:pgMar w:top="576" w:right="850" w:bottom="576" w:left="1411" w:header="720" w:footer="720" w:gutter="0"/>
          <w:pgNumType w:start="1"/>
          <w:cols w:space="720"/>
          <w:docGrid w:linePitch="360"/>
        </w:sectPr>
      </w:pPr>
    </w:p>
    <w:p w14:paraId="6CCDD839" w14:textId="71E0DC41" w:rsidR="00BA5E33" w:rsidRPr="00C53F10" w:rsidRDefault="00167D7C" w:rsidP="000F5753">
      <w:pPr>
        <w:tabs>
          <w:tab w:val="left" w:pos="114"/>
          <w:tab w:val="left" w:pos="3255"/>
          <w:tab w:val="center" w:pos="7569"/>
        </w:tabs>
        <w:spacing w:line="276" w:lineRule="auto"/>
        <w:rPr>
          <w:rFonts w:eastAsia="MS Mincho"/>
          <w:b/>
          <w:lang w:eastAsia="ja-JP"/>
        </w:rPr>
      </w:pPr>
      <w:r w:rsidRPr="00C53F10">
        <w:rPr>
          <w:noProof/>
          <w:lang w:val="en-US" w:eastAsia="en-US"/>
        </w:rPr>
        <w:lastRenderedPageBreak/>
        <mc:AlternateContent>
          <mc:Choice Requires="wps">
            <w:drawing>
              <wp:anchor distT="0" distB="0" distL="114300" distR="114300" simplePos="0" relativeHeight="251682304" behindDoc="0" locked="0" layoutInCell="1" allowOverlap="1" wp14:anchorId="178BC32A" wp14:editId="075F0554">
                <wp:simplePos x="0" y="0"/>
                <wp:positionH relativeFrom="column">
                  <wp:posOffset>4974590</wp:posOffset>
                </wp:positionH>
                <wp:positionV relativeFrom="paragraph">
                  <wp:posOffset>-652780</wp:posOffset>
                </wp:positionV>
                <wp:extent cx="1304925" cy="342900"/>
                <wp:effectExtent l="0" t="0" r="28575" b="19050"/>
                <wp:wrapNone/>
                <wp:docPr id="76"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342900"/>
                        </a:xfrm>
                        <a:prstGeom prst="rect">
                          <a:avLst/>
                        </a:prstGeom>
                        <a:solidFill>
                          <a:srgbClr val="FFFFFF"/>
                        </a:solidFill>
                        <a:ln w="9525">
                          <a:solidFill>
                            <a:srgbClr val="000000"/>
                          </a:solidFill>
                          <a:miter lim="800000"/>
                          <a:headEnd/>
                          <a:tailEnd/>
                        </a:ln>
                      </wps:spPr>
                      <wps:txbx>
                        <w:txbxContent>
                          <w:p w14:paraId="5DB57694" w14:textId="77777777" w:rsidR="00B23F48" w:rsidRPr="00CB1B24" w:rsidRDefault="00B23F48" w:rsidP="000B76FB">
                            <w:r>
                              <w:t>Raportare SEC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BC32A" id="Rectangle 78" o:spid="_x0000_s1026" style="position:absolute;margin-left:391.7pt;margin-top:-51.4pt;width:102.75pt;height:2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">
                <v:textbox>
                  <w:txbxContent>
                    <w:p w14:paraId="5DB57694" w14:textId="77777777" w:rsidR="00B23F48" w:rsidRPr="00CB1B24" w:rsidRDefault="00B23F48" w:rsidP="000B76FB">
                      <w:r>
                        <w:t>Raportare SEC</w:t>
                      </w:r>
                    </w:p>
                  </w:txbxContent>
                </v:textbox>
              </v:rect>
            </w:pict>
          </mc:Fallback>
        </mc:AlternateContent>
      </w:r>
      <w:r w:rsidR="00C96C7E" w:rsidRPr="00C53F10">
        <w:rPr>
          <w:noProof/>
          <w:lang w:val="en-US" w:eastAsia="en-US"/>
        </w:rPr>
        <mc:AlternateContent>
          <mc:Choice Requires="wps">
            <w:drawing>
              <wp:anchor distT="0" distB="0" distL="114300" distR="114300" simplePos="0" relativeHeight="251674112" behindDoc="0" locked="0" layoutInCell="1" allowOverlap="1" wp14:anchorId="69A6D250" wp14:editId="3988E299">
                <wp:simplePos x="0" y="0"/>
                <wp:positionH relativeFrom="column">
                  <wp:posOffset>1012190</wp:posOffset>
                </wp:positionH>
                <wp:positionV relativeFrom="paragraph">
                  <wp:posOffset>-519430</wp:posOffset>
                </wp:positionV>
                <wp:extent cx="1943100" cy="495300"/>
                <wp:effectExtent l="0" t="0" r="19050" b="19050"/>
                <wp:wrapNone/>
                <wp:docPr id="75" name="Rounded 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95300"/>
                        </a:xfrm>
                        <a:prstGeom prst="roundRect">
                          <a:avLst>
                            <a:gd name="adj" fmla="val 16667"/>
                          </a:avLst>
                        </a:prstGeom>
                        <a:solidFill>
                          <a:srgbClr val="FFFFFF"/>
                        </a:solidFill>
                        <a:ln w="9525">
                          <a:solidFill>
                            <a:srgbClr val="000000"/>
                          </a:solidFill>
                          <a:round/>
                          <a:headEnd/>
                          <a:tailEnd/>
                        </a:ln>
                      </wps:spPr>
                      <wps:txbx>
                        <w:txbxContent>
                          <w:p w14:paraId="43B52C7C" w14:textId="63EDF9FF" w:rsidR="00B23F48" w:rsidRPr="00783633" w:rsidRDefault="00B23F48" w:rsidP="000B76FB">
                            <w:pPr>
                              <w:jc w:val="center"/>
                              <w:rPr>
                                <w:rFonts w:ascii="Arial (W1)" w:hAnsi="Arial (W1)"/>
                                <w:b/>
                              </w:rPr>
                            </w:pPr>
                            <w:r w:rsidRPr="00783633">
                              <w:rPr>
                                <w:rFonts w:ascii="Arial (W1)" w:hAnsi="Arial (W1)"/>
                                <w:b/>
                              </w:rPr>
                              <w:t>Administrația publică centrală -S1311-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A6D250" id="Rounded Rectangle 77" o:spid="_x0000_s1027" style="position:absolute;margin-left:79.7pt;margin-top:-40.9pt;width:153pt;height:3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">
                <v:textbox>
                  <w:txbxContent>
                    <w:p w14:paraId="43B52C7C" w14:textId="63EDF9FF" w:rsidR="00B23F48" w:rsidRPr="00783633" w:rsidRDefault="00B23F48" w:rsidP="000B76FB">
                      <w:pPr>
                        <w:jc w:val="center"/>
                        <w:rPr>
                          <w:rFonts w:ascii="Arial (W1)" w:hAnsi="Arial (W1)"/>
                          <w:b/>
                        </w:rPr>
                      </w:pPr>
                      <w:r w:rsidRPr="00783633">
                        <w:rPr>
                          <w:rFonts w:ascii="Arial (W1)" w:hAnsi="Arial (W1)"/>
                          <w:b/>
                        </w:rPr>
                        <w:t>Administrația publică centrală -S1311-</w:t>
                      </w:r>
                    </w:p>
                  </w:txbxContent>
                </v:textbox>
              </v:roundrect>
            </w:pict>
          </mc:Fallback>
        </mc:AlternateContent>
      </w:r>
      <w:r w:rsidR="00465243" w:rsidRPr="00C53F10">
        <w:rPr>
          <w:noProof/>
          <w:lang w:val="en-US" w:eastAsia="en-US"/>
        </w:rPr>
        <mc:AlternateContent>
          <mc:Choice Requires="wps">
            <w:drawing>
              <wp:anchor distT="0" distB="0" distL="114300" distR="114300" simplePos="0" relativeHeight="251684352" behindDoc="0" locked="0" layoutInCell="1" allowOverlap="1" wp14:anchorId="4B43A39C" wp14:editId="50DCB3EE">
                <wp:simplePos x="0" y="0"/>
                <wp:positionH relativeFrom="column">
                  <wp:posOffset>4991735</wp:posOffset>
                </wp:positionH>
                <wp:positionV relativeFrom="paragraph">
                  <wp:posOffset>-146050</wp:posOffset>
                </wp:positionV>
                <wp:extent cx="1104900" cy="342900"/>
                <wp:effectExtent l="0" t="0" r="19050" b="19050"/>
                <wp:wrapNone/>
                <wp:docPr id="79"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342900"/>
                        </a:xfrm>
                        <a:prstGeom prst="rect">
                          <a:avLst/>
                        </a:prstGeom>
                        <a:solidFill>
                          <a:srgbClr val="FFFFFF"/>
                        </a:solidFill>
                        <a:ln w="9525">
                          <a:solidFill>
                            <a:srgbClr val="000000"/>
                          </a:solidFill>
                          <a:miter lim="800000"/>
                          <a:headEnd/>
                          <a:tailEnd/>
                        </a:ln>
                      </wps:spPr>
                      <wps:txbx>
                        <w:txbxContent>
                          <w:p w14:paraId="70CF62FE" w14:textId="77777777" w:rsidR="00B23F48" w:rsidRPr="00CB1B24" w:rsidRDefault="00B23F48" w:rsidP="000B76FB">
                            <w:r>
                              <w:t>Baza accrual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3A39C" id="Rectangle 81" o:spid="_x0000_s1028" style="position:absolute;margin-left:393.05pt;margin-top:-11.5pt;width:87pt;height:27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">
                <v:textbox>
                  <w:txbxContent>
                    <w:p w14:paraId="70CF62FE" w14:textId="77777777" w:rsidR="00B23F48" w:rsidRPr="00CB1B24" w:rsidRDefault="00B23F48" w:rsidP="000B76FB">
                      <w:r>
                        <w:t>Baza accrual</w:t>
                      </w:r>
                    </w:p>
                  </w:txbxContent>
                </v:textbox>
              </v:rect>
            </w:pict>
          </mc:Fallback>
        </mc:AlternateContent>
      </w:r>
      <w:r w:rsidR="00363D22" w:rsidRPr="00C53F10">
        <w:rPr>
          <w:noProof/>
          <w:lang w:val="en-US" w:eastAsia="en-US"/>
        </w:rPr>
        <mc:AlternateContent>
          <mc:Choice Requires="wps">
            <w:drawing>
              <wp:anchor distT="0" distB="0" distL="114300" distR="114300" simplePos="0" relativeHeight="251685376" behindDoc="0" locked="0" layoutInCell="1" allowOverlap="1" wp14:anchorId="5FB8E9F2" wp14:editId="4E57EF57">
                <wp:simplePos x="0" y="0"/>
                <wp:positionH relativeFrom="column">
                  <wp:posOffset>5679440</wp:posOffset>
                </wp:positionH>
                <wp:positionV relativeFrom="paragraph">
                  <wp:posOffset>204470</wp:posOffset>
                </wp:positionV>
                <wp:extent cx="0" cy="142875"/>
                <wp:effectExtent l="76200" t="0" r="57150" b="47625"/>
                <wp:wrapNone/>
                <wp:docPr id="73"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04D90" id="Straight Connector 75"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2pt,16.1pt" to="447.2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">
                <v:stroke endarrow="block"/>
              </v:line>
            </w:pict>
          </mc:Fallback>
        </mc:AlternateContent>
      </w:r>
      <w:r w:rsidR="00363D22" w:rsidRPr="00C53F10">
        <w:rPr>
          <w:noProof/>
          <w:lang w:val="en-US" w:eastAsia="en-US"/>
        </w:rPr>
        <mc:AlternateContent>
          <mc:Choice Requires="wps">
            <w:drawing>
              <wp:anchor distT="0" distB="0" distL="114300" distR="114300" simplePos="0" relativeHeight="251683328" behindDoc="0" locked="0" layoutInCell="1" allowOverlap="1" wp14:anchorId="7DAAB0FF" wp14:editId="4CC8BED4">
                <wp:simplePos x="0" y="0"/>
                <wp:positionH relativeFrom="column">
                  <wp:posOffset>5650865</wp:posOffset>
                </wp:positionH>
                <wp:positionV relativeFrom="paragraph">
                  <wp:posOffset>-300355</wp:posOffset>
                </wp:positionV>
                <wp:extent cx="0" cy="161925"/>
                <wp:effectExtent l="76200" t="0" r="57150" b="47625"/>
                <wp:wrapNone/>
                <wp:docPr id="78"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C5FAA" id="Straight Connector 80" o:spid="_x0000_s1026" style="position:absolute;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95pt,-23.65pt" to="444.9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">
                <v:stroke endarrow="block"/>
              </v:line>
            </w:pict>
          </mc:Fallback>
        </mc:AlternateContent>
      </w:r>
      <w:r w:rsidR="00363D22" w:rsidRPr="00C53F10">
        <w:rPr>
          <w:noProof/>
          <w:lang w:val="en-US" w:eastAsia="en-US"/>
        </w:rPr>
        <mc:AlternateContent>
          <mc:Choice Requires="wps">
            <w:drawing>
              <wp:anchor distT="0" distB="0" distL="114300" distR="114300" simplePos="0" relativeHeight="251680256" behindDoc="0" locked="0" layoutInCell="1" allowOverlap="1" wp14:anchorId="6B5C8021" wp14:editId="56AC7077">
                <wp:simplePos x="0" y="0"/>
                <wp:positionH relativeFrom="column">
                  <wp:posOffset>1160145</wp:posOffset>
                </wp:positionH>
                <wp:positionV relativeFrom="paragraph">
                  <wp:posOffset>176530</wp:posOffset>
                </wp:positionV>
                <wp:extent cx="0" cy="114300"/>
                <wp:effectExtent l="5080" t="7620" r="13970" b="11430"/>
                <wp:wrapNone/>
                <wp:docPr id="71"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8C61F" id="Straight Connector 73"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35pt,13.9pt" to="91.3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"/>
            </w:pict>
          </mc:Fallback>
        </mc:AlternateContent>
      </w:r>
      <w:r w:rsidR="00363D22" w:rsidRPr="00C53F10">
        <w:rPr>
          <w:noProof/>
          <w:lang w:val="en-US" w:eastAsia="en-US"/>
        </w:rPr>
        <mc:AlternateContent>
          <mc:Choice Requires="wps">
            <w:drawing>
              <wp:anchor distT="0" distB="0" distL="114300" distR="114300" simplePos="0" relativeHeight="251681280" behindDoc="0" locked="0" layoutInCell="1" allowOverlap="1" wp14:anchorId="30637673" wp14:editId="72C3DEDC">
                <wp:simplePos x="0" y="0"/>
                <wp:positionH relativeFrom="column">
                  <wp:posOffset>2865754</wp:posOffset>
                </wp:positionH>
                <wp:positionV relativeFrom="paragraph">
                  <wp:posOffset>175895</wp:posOffset>
                </wp:positionV>
                <wp:extent cx="0" cy="104775"/>
                <wp:effectExtent l="0" t="0" r="19050" b="28575"/>
                <wp:wrapNone/>
                <wp:docPr id="72"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4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527BC" id="Straight Connector 74" o:spid="_x0000_s1026" style="position:absolute;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65pt,13.85pt" to="225.6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"/>
            </w:pict>
          </mc:Fallback>
        </mc:AlternateContent>
      </w:r>
      <w:r w:rsidR="00363D22" w:rsidRPr="00C53F10">
        <w:rPr>
          <w:noProof/>
          <w:lang w:val="en-US" w:eastAsia="en-US"/>
        </w:rPr>
        <mc:AlternateContent>
          <mc:Choice Requires="wps">
            <w:drawing>
              <wp:anchor distT="0" distB="0" distL="114300" distR="114300" simplePos="0" relativeHeight="251679232" behindDoc="0" locked="0" layoutInCell="1" allowOverlap="1" wp14:anchorId="5F4989E4" wp14:editId="233BE64B">
                <wp:simplePos x="0" y="0"/>
                <wp:positionH relativeFrom="column">
                  <wp:posOffset>1162050</wp:posOffset>
                </wp:positionH>
                <wp:positionV relativeFrom="paragraph">
                  <wp:posOffset>176530</wp:posOffset>
                </wp:positionV>
                <wp:extent cx="1701165" cy="0"/>
                <wp:effectExtent l="6985" t="7620" r="6350" b="11430"/>
                <wp:wrapNone/>
                <wp:docPr id="70"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A1ABF" id="Straight Connector 72"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13.9pt" to="225.4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"/>
            </w:pict>
          </mc:Fallback>
        </mc:AlternateContent>
      </w:r>
      <w:r w:rsidR="00363D22" w:rsidRPr="00C53F10">
        <w:rPr>
          <w:noProof/>
          <w:lang w:val="en-US" w:eastAsia="en-US"/>
        </w:rPr>
        <mc:AlternateContent>
          <mc:Choice Requires="wps">
            <w:drawing>
              <wp:anchor distT="0" distB="0" distL="114300" distR="114300" simplePos="0" relativeHeight="251677184" behindDoc="0" locked="0" layoutInCell="1" allowOverlap="1" wp14:anchorId="4BFE8564" wp14:editId="7E50255E">
                <wp:simplePos x="0" y="0"/>
                <wp:positionH relativeFrom="column">
                  <wp:posOffset>1993266</wp:posOffset>
                </wp:positionH>
                <wp:positionV relativeFrom="paragraph">
                  <wp:posOffset>-71755</wp:posOffset>
                </wp:positionV>
                <wp:extent cx="0" cy="247650"/>
                <wp:effectExtent l="0" t="0" r="19050" b="19050"/>
                <wp:wrapNone/>
                <wp:docPr id="68"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D6735" id="Straight Connector 70"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95pt,-5.65pt" to="156.9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"/>
            </w:pict>
          </mc:Fallback>
        </mc:AlternateContent>
      </w:r>
      <w:r w:rsidR="00657E1D" w:rsidRPr="00C53F10">
        <w:rPr>
          <w:noProof/>
          <w:lang w:val="en-US" w:eastAsia="en-US"/>
        </w:rPr>
        <mc:AlternateContent>
          <mc:Choice Requires="wps">
            <w:drawing>
              <wp:anchor distT="0" distB="0" distL="114300" distR="114300" simplePos="0" relativeHeight="251673088" behindDoc="0" locked="0" layoutInCell="1" allowOverlap="1" wp14:anchorId="63B67165" wp14:editId="5BBB0F5C">
                <wp:simplePos x="0" y="0"/>
                <wp:positionH relativeFrom="column">
                  <wp:posOffset>3450590</wp:posOffset>
                </wp:positionH>
                <wp:positionV relativeFrom="paragraph">
                  <wp:posOffset>-290831</wp:posOffset>
                </wp:positionV>
                <wp:extent cx="1524000" cy="819150"/>
                <wp:effectExtent l="0" t="38100" r="57150" b="19050"/>
                <wp:wrapNone/>
                <wp:docPr id="77"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0" cy="819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E4ACC" id="Straight Connector 79" o:spid="_x0000_s1026" style="position:absolute;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7pt,-22.9pt" to="391.7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">
                <v:stroke endarrow="block"/>
              </v:line>
            </w:pict>
          </mc:Fallback>
        </mc:AlternateContent>
      </w:r>
      <w:r w:rsidR="00BA5E33" w:rsidRPr="00C53F10">
        <w:rPr>
          <w:rFonts w:eastAsia="MS Mincho"/>
          <w:b/>
          <w:lang w:eastAsia="ja-JP"/>
        </w:rPr>
        <w:tab/>
      </w:r>
    </w:p>
    <w:p w14:paraId="2FECF62C" w14:textId="3FF3B327" w:rsidR="00BA5E33" w:rsidRPr="00C53F10" w:rsidRDefault="001F25AA" w:rsidP="000F5753">
      <w:pPr>
        <w:tabs>
          <w:tab w:val="left" w:pos="3255"/>
        </w:tabs>
        <w:spacing w:line="276" w:lineRule="auto"/>
        <w:jc w:val="center"/>
        <w:rPr>
          <w:rFonts w:eastAsia="MS Mincho"/>
          <w:b/>
          <w:lang w:eastAsia="ja-JP"/>
        </w:rPr>
      </w:pPr>
      <w:r w:rsidRPr="00C53F10">
        <w:rPr>
          <w:noProof/>
          <w:lang w:val="en-US" w:eastAsia="en-US"/>
        </w:rPr>
        <mc:AlternateContent>
          <mc:Choice Requires="wps">
            <w:drawing>
              <wp:anchor distT="0" distB="0" distL="114300" distR="114300" simplePos="0" relativeHeight="251676160" behindDoc="0" locked="0" layoutInCell="1" allowOverlap="1" wp14:anchorId="71902676" wp14:editId="0110D3C9">
                <wp:simplePos x="0" y="0"/>
                <wp:positionH relativeFrom="column">
                  <wp:posOffset>2356485</wp:posOffset>
                </wp:positionH>
                <wp:positionV relativeFrom="paragraph">
                  <wp:posOffset>116840</wp:posOffset>
                </wp:positionV>
                <wp:extent cx="1028700" cy="314325"/>
                <wp:effectExtent l="0" t="0" r="19050" b="28575"/>
                <wp:wrapNone/>
                <wp:docPr id="66" name="Rounded 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14325"/>
                        </a:xfrm>
                        <a:prstGeom prst="roundRect">
                          <a:avLst>
                            <a:gd name="adj" fmla="val 16667"/>
                          </a:avLst>
                        </a:prstGeom>
                        <a:solidFill>
                          <a:srgbClr val="FFFFFF"/>
                        </a:solidFill>
                        <a:ln w="9525">
                          <a:solidFill>
                            <a:srgbClr val="000000"/>
                          </a:solidFill>
                          <a:round/>
                          <a:headEnd/>
                          <a:tailEnd/>
                        </a:ln>
                      </wps:spPr>
                      <wps:txbx>
                        <w:txbxContent>
                          <w:p w14:paraId="5CF74BAA" w14:textId="77777777" w:rsidR="00B23F48" w:rsidRPr="00783633" w:rsidRDefault="00B23F48" w:rsidP="000B76FB">
                            <w:pPr>
                              <w:rPr>
                                <w:rFonts w:ascii="Arial (W1)" w:hAnsi="Arial (W1)"/>
                              </w:rPr>
                            </w:pPr>
                            <w:r w:rsidRPr="00783633">
                              <w:rPr>
                                <w:rFonts w:ascii="Arial (W1)" w:hAnsi="Arial (W1)"/>
                              </w:rPr>
                              <w:t>Trimestrial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902676" id="Rounded Rectangle 68" o:spid="_x0000_s1029" style="position:absolute;left:0;text-align:left;margin-left:185.55pt;margin-top:9.2pt;width:81pt;height:24.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">
                <v:textbox>
                  <w:txbxContent>
                    <w:p w14:paraId="5CF74BAA" w14:textId="77777777" w:rsidR="00B23F48" w:rsidRPr="00783633" w:rsidRDefault="00B23F48" w:rsidP="000B76FB">
                      <w:pPr>
                        <w:rPr>
                          <w:rFonts w:ascii="Arial (W1)" w:hAnsi="Arial (W1)"/>
                        </w:rPr>
                      </w:pPr>
                      <w:r w:rsidRPr="00783633">
                        <w:rPr>
                          <w:rFonts w:ascii="Arial (W1)" w:hAnsi="Arial (W1)"/>
                        </w:rPr>
                        <w:t>Trimestrial</w:t>
                      </w:r>
                    </w:p>
                  </w:txbxContent>
                </v:textbox>
              </v:roundrect>
            </w:pict>
          </mc:Fallback>
        </mc:AlternateContent>
      </w:r>
      <w:r w:rsidR="00465243" w:rsidRPr="00C53F10">
        <w:rPr>
          <w:noProof/>
          <w:lang w:val="en-US" w:eastAsia="en-US"/>
        </w:rPr>
        <mc:AlternateContent>
          <mc:Choice Requires="wps">
            <w:drawing>
              <wp:anchor distT="0" distB="0" distL="114300" distR="114300" simplePos="0" relativeHeight="251686400" behindDoc="0" locked="0" layoutInCell="1" allowOverlap="1" wp14:anchorId="726DF8AA" wp14:editId="6A7CEEA7">
                <wp:simplePos x="0" y="0"/>
                <wp:positionH relativeFrom="column">
                  <wp:posOffset>4774565</wp:posOffset>
                </wp:positionH>
                <wp:positionV relativeFrom="paragraph">
                  <wp:posOffset>145416</wp:posOffset>
                </wp:positionV>
                <wp:extent cx="5135880" cy="4838700"/>
                <wp:effectExtent l="0" t="0" r="26670" b="19050"/>
                <wp:wrapNone/>
                <wp:docPr id="74"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5880" cy="4838700"/>
                        </a:xfrm>
                        <a:prstGeom prst="rect">
                          <a:avLst/>
                        </a:prstGeom>
                        <a:solidFill>
                          <a:srgbClr val="FFFFFF"/>
                        </a:solidFill>
                        <a:ln w="9525">
                          <a:solidFill>
                            <a:srgbClr val="000000"/>
                          </a:solidFill>
                          <a:miter lim="800000"/>
                          <a:headEnd/>
                          <a:tailEnd/>
                        </a:ln>
                      </wps:spPr>
                      <wps:txbx>
                        <w:txbxContent>
                          <w:p w14:paraId="2F1E5B6B" w14:textId="1CF370D1" w:rsidR="00B23F48" w:rsidRPr="002C5540" w:rsidRDefault="00B23F48" w:rsidP="00875EBA">
                            <w:pPr>
                              <w:rPr>
                                <w:sz w:val="20"/>
                                <w:szCs w:val="20"/>
                              </w:rPr>
                            </w:pPr>
                            <w:r w:rsidRPr="002C5540">
                              <w:rPr>
                                <w:sz w:val="20"/>
                                <w:szCs w:val="20"/>
                              </w:rPr>
                              <w:t xml:space="preserve">-Soldul bugetului de stat ca diferență dintre venituri şi cheltuieli este cel aprobat de Parlament si prezentat in prima linie (working balance) din tabel. Tranzacțiile aferente acestui sold sunt calculate atât pe partea de venituri, cât şi pe partea de cheltuieli.  </w:t>
                            </w:r>
                          </w:p>
                          <w:p w14:paraId="3AA5DE4E" w14:textId="04C6DE84" w:rsidR="00B23F48" w:rsidRPr="002C5540" w:rsidRDefault="00B23F48" w:rsidP="00875EBA">
                            <w:pPr>
                              <w:rPr>
                                <w:sz w:val="20"/>
                                <w:szCs w:val="20"/>
                              </w:rPr>
                            </w:pPr>
                            <w:r w:rsidRPr="002C5540">
                              <w:rPr>
                                <w:sz w:val="20"/>
                                <w:szCs w:val="20"/>
                              </w:rPr>
                              <w:t xml:space="preserve">Veniturile în accrual, respectiv veniturile fiscale cash sunt ajustate conform metodei simple de ajustare temporala cu o perioada de o luna, cu excepția impozitului pe profit care are o marjă de 3 luni. Astfel, tranzacțiile sunt înregistrate atunci când a avut loc activitatea care generează obligația fiscală. Creanțele din tranzacții comerciale, precum şi cheltuielile militare sunt înregistrate în sistem accrual. </w:t>
                            </w:r>
                          </w:p>
                          <w:p w14:paraId="084E264A" w14:textId="7733367C" w:rsidR="00B23F48" w:rsidRPr="002C5540" w:rsidRDefault="00B23F48" w:rsidP="00875EBA">
                            <w:pPr>
                              <w:rPr>
                                <w:sz w:val="20"/>
                                <w:szCs w:val="20"/>
                              </w:rPr>
                            </w:pPr>
                            <w:r w:rsidRPr="002C5540">
                              <w:rPr>
                                <w:sz w:val="20"/>
                                <w:szCs w:val="20"/>
                              </w:rPr>
                              <w:t xml:space="preserve">  -Cheltuielile în accrual, respectiv la cheltuieli  se adaugă </w:t>
                            </w:r>
                            <w:r w:rsidRPr="002C5540">
                              <w:rPr>
                                <w:b/>
                                <w:sz w:val="20"/>
                                <w:szCs w:val="20"/>
                              </w:rPr>
                              <w:t>sume de plătit</w:t>
                            </w:r>
                            <w:r w:rsidRPr="002C5540">
                              <w:rPr>
                                <w:sz w:val="20"/>
                                <w:szCs w:val="20"/>
                              </w:rPr>
                              <w:t xml:space="preserve"> aferente datoriilor comerciale, salarii, contribuții, alte drepturi, din bilanțul instituțiilor publice.  Tranzacțiile financiare cum ar fi rambursările, împrumuturile,  sunt eliminate. Din transferurile de la UE sunt eliminate cele pentru sectorul privat, fermieri. Diferența dintre venituri şi cheltuieli aferente fondurilor UE se înregistrează la sume de primit/de plătit, pentru a nu avea impact pe deficit.</w:t>
                            </w:r>
                          </w:p>
                          <w:p w14:paraId="391F9117" w14:textId="43DA5CAF" w:rsidR="00B23F48" w:rsidRPr="002C5540" w:rsidRDefault="00B23F48" w:rsidP="00875EBA">
                            <w:pPr>
                              <w:rPr>
                                <w:sz w:val="20"/>
                                <w:szCs w:val="20"/>
                              </w:rPr>
                            </w:pPr>
                            <w:r w:rsidRPr="002C5540">
                              <w:rPr>
                                <w:sz w:val="20"/>
                                <w:szCs w:val="20"/>
                              </w:rPr>
                              <w:t xml:space="preserve">Se include diferența dintre dobânda plătita si accruata. </w:t>
                            </w:r>
                          </w:p>
                          <w:p w14:paraId="0B0DFFA4" w14:textId="7544A537" w:rsidR="00B23F48" w:rsidRPr="002C5540" w:rsidRDefault="00B23F48" w:rsidP="00875EBA">
                            <w:pPr>
                              <w:rPr>
                                <w:sz w:val="20"/>
                                <w:szCs w:val="20"/>
                              </w:rPr>
                            </w:pPr>
                            <w:r w:rsidRPr="002C5540">
                              <w:rPr>
                                <w:sz w:val="20"/>
                                <w:szCs w:val="20"/>
                              </w:rPr>
                              <w:t>-Conform criteriului de 50% și a criteriilor calitative se stabilește dacă unitățile au sau nu activitate de piață. Sunt incluse companiile publice de stat ale căror încasări din vânzări acoperă mai puțin de 50% din costurile de producție, aplicându-se și testul calitativ. Datele operative sunt transmise de companii electronic prin formularul S1001. La  trimestre se estimează soldul companiilor.</w:t>
                            </w:r>
                          </w:p>
                          <w:p w14:paraId="3314F9B7" w14:textId="70CABD07" w:rsidR="00B23F48" w:rsidRPr="002C5540" w:rsidRDefault="00B23F48" w:rsidP="00875EBA">
                            <w:pPr>
                              <w:rPr>
                                <w:sz w:val="20"/>
                                <w:szCs w:val="20"/>
                              </w:rPr>
                            </w:pPr>
                            <w:r w:rsidRPr="002C5540">
                              <w:rPr>
                                <w:sz w:val="20"/>
                                <w:szCs w:val="20"/>
                              </w:rPr>
                              <w:t>-La ajustări se includ: titlurile de despăgubire; transferul de la buget de stat la fond de risc; influențe din garanții repetate; anulari de datorii din creanțe externe; creșteri de capital; ajutoare externe ale MFP; superdividende; dobânzi şi garanții executate aferente fondurilor de garantare; corecții aferente fondurilor UE. Totodată s-au inclus: licențele de telefonie mobilă  înregistrate eșalonat pe toată durata contractului; ajustări contribuția României la bugetul UE; contribuția României la instrumentul de asistență pentru refugiați; fondul pentru garantarea depozitelor populației; împrumuturi nete Eximbank, diferențe salariale pentru învățământ (legea nr.85/2016), eliminarea sumelor care tranzitează conturile guvernamentale aferente fluxurilor dintre Comisia Europeană și alte sectoare (S11,S14).</w:t>
                            </w:r>
                          </w:p>
                          <w:p w14:paraId="46BCB1BB" w14:textId="77777777" w:rsidR="00B23F48" w:rsidRPr="00006966" w:rsidRDefault="00B23F48" w:rsidP="000B76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DF8AA" id="Rectangle 76" o:spid="_x0000_s1030" style="position:absolute;left:0;text-align:left;margin-left:375.95pt;margin-top:11.45pt;width:404.4pt;height:381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">
                <v:textbox>
                  <w:txbxContent>
                    <w:p w14:paraId="2F1E5B6B" w14:textId="1CF370D1" w:rsidR="00B23F48" w:rsidRPr="002C5540" w:rsidRDefault="00B23F48" w:rsidP="00875EBA">
                      <w:pPr>
                        <w:rPr>
                          <w:sz w:val="20"/>
                          <w:szCs w:val="20"/>
                        </w:rPr>
                      </w:pPr>
                      <w:r w:rsidRPr="002C5540">
                        <w:rPr>
                          <w:sz w:val="20"/>
                          <w:szCs w:val="20"/>
                        </w:rPr>
                        <w:t xml:space="preserve">-Soldul bugetului de stat ca diferență dintre venituri şi cheltuieli este cel aprobat de Parlament si prezentat in prima linie (working balance) din tabel. Tranzacțiile aferente acestui sold sunt calculate atât pe partea de venituri, cât şi pe partea de cheltuieli.  </w:t>
                      </w:r>
                    </w:p>
                    <w:p w14:paraId="3AA5DE4E" w14:textId="04C6DE84" w:rsidR="00B23F48" w:rsidRPr="002C5540" w:rsidRDefault="00B23F48" w:rsidP="00875EBA">
                      <w:pPr>
                        <w:rPr>
                          <w:sz w:val="20"/>
                          <w:szCs w:val="20"/>
                        </w:rPr>
                      </w:pPr>
                      <w:r w:rsidRPr="002C5540">
                        <w:rPr>
                          <w:sz w:val="20"/>
                          <w:szCs w:val="20"/>
                        </w:rPr>
                        <w:t xml:space="preserve">Veniturile în accrual, respectiv veniturile fiscale cash sunt ajustate conform metodei simple de ajustare temporala cu o perioada de o luna, cu excepția impozitului pe profit care are o marjă de 3 luni. Astfel, tranzacțiile sunt înregistrate atunci când a avut loc activitatea care generează obligația fiscală. Creanțele din tranzacții comerciale, precum şi cheltuielile militare sunt înregistrate în sistem accrual. </w:t>
                      </w:r>
                    </w:p>
                    <w:p w14:paraId="084E264A" w14:textId="7733367C" w:rsidR="00B23F48" w:rsidRPr="002C5540" w:rsidRDefault="00B23F48" w:rsidP="00875EBA">
                      <w:pPr>
                        <w:rPr>
                          <w:sz w:val="20"/>
                          <w:szCs w:val="20"/>
                        </w:rPr>
                      </w:pPr>
                      <w:r w:rsidRPr="002C5540">
                        <w:rPr>
                          <w:sz w:val="20"/>
                          <w:szCs w:val="20"/>
                        </w:rPr>
                        <w:t xml:space="preserve">  -Cheltuielile în accrual, respectiv la cheltuieli  se adaugă </w:t>
                      </w:r>
                      <w:r w:rsidRPr="002C5540">
                        <w:rPr>
                          <w:b/>
                          <w:sz w:val="20"/>
                          <w:szCs w:val="20"/>
                        </w:rPr>
                        <w:t>sume de plătit</w:t>
                      </w:r>
                      <w:r w:rsidRPr="002C5540">
                        <w:rPr>
                          <w:sz w:val="20"/>
                          <w:szCs w:val="20"/>
                        </w:rPr>
                        <w:t xml:space="preserve"> aferente datoriilor comerciale, salarii, contribuții, alte drepturi, din bilanțul instituțiilor publice.  Tranzacțiile financiare cum ar fi rambursările, împrumuturile,  sunt eliminate. Din transferurile de la UE sunt eliminate cele pentru sectorul privat, fermieri. Diferența dintre venituri şi cheltuieli aferente fondurilor UE se înregistrează la sume de primit/de plătit, pentru a nu avea impact pe deficit.</w:t>
                      </w:r>
                    </w:p>
                    <w:p w14:paraId="391F9117" w14:textId="43DA5CAF" w:rsidR="00B23F48" w:rsidRPr="002C5540" w:rsidRDefault="00B23F48" w:rsidP="00875EBA">
                      <w:pPr>
                        <w:rPr>
                          <w:sz w:val="20"/>
                          <w:szCs w:val="20"/>
                        </w:rPr>
                      </w:pPr>
                      <w:r w:rsidRPr="002C5540">
                        <w:rPr>
                          <w:sz w:val="20"/>
                          <w:szCs w:val="20"/>
                        </w:rPr>
                        <w:t xml:space="preserve">Se include diferența dintre dobânda plătita si accruata. </w:t>
                      </w:r>
                    </w:p>
                    <w:p w14:paraId="0B0DFFA4" w14:textId="7544A537" w:rsidR="00B23F48" w:rsidRPr="002C5540" w:rsidRDefault="00B23F48" w:rsidP="00875EBA">
                      <w:pPr>
                        <w:rPr>
                          <w:sz w:val="20"/>
                          <w:szCs w:val="20"/>
                        </w:rPr>
                      </w:pPr>
                      <w:r w:rsidRPr="002C5540">
                        <w:rPr>
                          <w:sz w:val="20"/>
                          <w:szCs w:val="20"/>
                        </w:rPr>
                        <w:t>-Conform criteriului de 50% și a criteriilor calitative se stabilește dacă unitățile au sau nu activitate de piață. Sunt incluse companiile publice de stat ale căror încasări din vânzări acoperă mai puțin de 50% din costurile de producție, aplicându-se și testul calitativ. Datele operative sunt transmise de companii electronic prin formularul S1001. La  trimestre se estimează soldul companiilor.</w:t>
                      </w:r>
                    </w:p>
                    <w:p w14:paraId="3314F9B7" w14:textId="70CABD07" w:rsidR="00B23F48" w:rsidRPr="002C5540" w:rsidRDefault="00B23F48" w:rsidP="00875EBA">
                      <w:pPr>
                        <w:rPr>
                          <w:sz w:val="20"/>
                          <w:szCs w:val="20"/>
                        </w:rPr>
                      </w:pPr>
                      <w:r w:rsidRPr="002C5540">
                        <w:rPr>
                          <w:sz w:val="20"/>
                          <w:szCs w:val="20"/>
                        </w:rPr>
                        <w:t>-La ajustări se includ: titlurile de despăgubire; transferul de la buget de stat la fond de risc; influențe din garanții repetate; anulari de datorii din creanțe externe; creșteri de capital; ajutoare externe ale MFP; superdividende; dobânzi şi garanții executate aferente fondurilor de garantare; corecții aferente fondurilor UE. Totodată s-au inclus: licențele de telefonie mobilă  înregistrate eșalonat pe toată durata contractului; ajustări contribuția României la bugetul UE; contribuția României la instrumentul de asistență pentru refugiați; fondul pentru garantarea depozitelor populației; împrumuturi nete Eximbank, diferențe salariale pentru învățământ (legea nr.85/2016), eliminarea sumelor care tranzitează conturile guvernamentale aferente fluxurilor dintre Comisia Europeană și alte sectoare (S11,S14).</w:t>
                      </w:r>
                    </w:p>
                    <w:p w14:paraId="46BCB1BB" w14:textId="77777777" w:rsidR="00B23F48" w:rsidRPr="00006966" w:rsidRDefault="00B23F48" w:rsidP="000B76FB"/>
                  </w:txbxContent>
                </v:textbox>
              </v:rect>
            </w:pict>
          </mc:Fallback>
        </mc:AlternateContent>
      </w:r>
      <w:r w:rsidR="001170D5" w:rsidRPr="00C53F10">
        <w:rPr>
          <w:noProof/>
          <w:lang w:val="en-US" w:eastAsia="en-US"/>
        </w:rPr>
        <mc:AlternateContent>
          <mc:Choice Requires="wps">
            <w:drawing>
              <wp:anchor distT="0" distB="0" distL="114300" distR="114300" simplePos="0" relativeHeight="251675136" behindDoc="0" locked="0" layoutInCell="1" allowOverlap="1" wp14:anchorId="3C669526" wp14:editId="4674AFF1">
                <wp:simplePos x="0" y="0"/>
                <wp:positionH relativeFrom="column">
                  <wp:posOffset>107315</wp:posOffset>
                </wp:positionH>
                <wp:positionV relativeFrom="paragraph">
                  <wp:posOffset>79375</wp:posOffset>
                </wp:positionV>
                <wp:extent cx="1371600" cy="352425"/>
                <wp:effectExtent l="0" t="0" r="19050" b="28575"/>
                <wp:wrapNone/>
                <wp:docPr id="67" name="Rounded 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52425"/>
                        </a:xfrm>
                        <a:prstGeom prst="roundRect">
                          <a:avLst>
                            <a:gd name="adj" fmla="val 16667"/>
                          </a:avLst>
                        </a:prstGeom>
                        <a:solidFill>
                          <a:srgbClr val="FFFFFF"/>
                        </a:solidFill>
                        <a:ln w="9525">
                          <a:solidFill>
                            <a:srgbClr val="000000"/>
                          </a:solidFill>
                          <a:round/>
                          <a:headEnd/>
                          <a:tailEnd/>
                        </a:ln>
                      </wps:spPr>
                      <wps:txbx>
                        <w:txbxContent>
                          <w:p w14:paraId="6F483840" w14:textId="77777777" w:rsidR="00B23F48" w:rsidRPr="004B3882" w:rsidRDefault="00B23F48" w:rsidP="000B76FB">
                            <w:pPr>
                              <w:jc w:val="center"/>
                              <w:rPr>
                                <w:rFonts w:ascii="Arial (W1)" w:hAnsi="Arial (W1)"/>
                              </w:rPr>
                            </w:pPr>
                            <w:r w:rsidRPr="004B3882">
                              <w:rPr>
                                <w:rFonts w:ascii="Arial (W1)" w:hAnsi="Arial (W1)"/>
                              </w:rPr>
                              <w:t>Lunar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669526" id="Rounded Rectangle 69" o:spid="_x0000_s1031" style="position:absolute;left:0;text-align:left;margin-left:8.45pt;margin-top:6.25pt;width:108pt;height:27.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">
                <v:textbox>
                  <w:txbxContent>
                    <w:p w14:paraId="6F483840" w14:textId="77777777" w:rsidR="00B23F48" w:rsidRPr="004B3882" w:rsidRDefault="00B23F48" w:rsidP="000B76FB">
                      <w:pPr>
                        <w:jc w:val="center"/>
                        <w:rPr>
                          <w:rFonts w:ascii="Arial (W1)" w:hAnsi="Arial (W1)"/>
                        </w:rPr>
                      </w:pPr>
                      <w:r w:rsidRPr="004B3882">
                        <w:rPr>
                          <w:rFonts w:ascii="Arial (W1)" w:hAnsi="Arial (W1)"/>
                        </w:rPr>
                        <w:t>Lunar</w:t>
                      </w:r>
                    </w:p>
                  </w:txbxContent>
                </v:textbox>
              </v:roundrect>
            </w:pict>
          </mc:Fallback>
        </mc:AlternateContent>
      </w:r>
      <w:r w:rsidR="00B54EB1" w:rsidRPr="00C53F10">
        <w:rPr>
          <w:noProof/>
          <w:lang w:val="en-US" w:eastAsia="en-US"/>
        </w:rPr>
        <mc:AlternateContent>
          <mc:Choice Requires="wps">
            <w:drawing>
              <wp:anchor distT="0" distB="0" distL="114300" distR="114300" simplePos="0" relativeHeight="251678208" behindDoc="0" locked="0" layoutInCell="1" allowOverlap="1" wp14:anchorId="058E81ED" wp14:editId="471B1E9D">
                <wp:simplePos x="0" y="0"/>
                <wp:positionH relativeFrom="column">
                  <wp:posOffset>1319530</wp:posOffset>
                </wp:positionH>
                <wp:positionV relativeFrom="paragraph">
                  <wp:posOffset>-1385570</wp:posOffset>
                </wp:positionV>
                <wp:extent cx="1714500" cy="0"/>
                <wp:effectExtent l="12065" t="8890" r="6985" b="10160"/>
                <wp:wrapNone/>
                <wp:docPr id="69"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B9882" id="Straight Connector 71"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9pt,-109.1pt" to="238.9pt,-10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"/>
            </w:pict>
          </mc:Fallback>
        </mc:AlternateContent>
      </w:r>
    </w:p>
    <w:p w14:paraId="30ACCC61" w14:textId="77777777" w:rsidR="00BA5E33" w:rsidRPr="00C53F10" w:rsidRDefault="00B54EB1" w:rsidP="000F5753">
      <w:pPr>
        <w:tabs>
          <w:tab w:val="left" w:pos="3255"/>
          <w:tab w:val="center" w:pos="7569"/>
          <w:tab w:val="left" w:pos="11655"/>
        </w:tabs>
        <w:spacing w:line="276" w:lineRule="auto"/>
        <w:rPr>
          <w:rFonts w:eastAsia="MS Mincho"/>
          <w:b/>
          <w:lang w:eastAsia="ja-JP"/>
        </w:rPr>
      </w:pPr>
      <w:r w:rsidRPr="00C53F10">
        <w:rPr>
          <w:noProof/>
          <w:lang w:val="en-US" w:eastAsia="en-US"/>
        </w:rPr>
        <mc:AlternateContent>
          <mc:Choice Requires="wps">
            <w:drawing>
              <wp:anchor distT="0" distB="0" distL="114300" distR="114300" simplePos="0" relativeHeight="251668992" behindDoc="0" locked="0" layoutInCell="1" allowOverlap="1" wp14:anchorId="76724BBE" wp14:editId="19D0A8A5">
                <wp:simplePos x="0" y="0"/>
                <wp:positionH relativeFrom="column">
                  <wp:posOffset>3040380</wp:posOffset>
                </wp:positionH>
                <wp:positionV relativeFrom="paragraph">
                  <wp:posOffset>407670</wp:posOffset>
                </wp:positionV>
                <wp:extent cx="0" cy="342900"/>
                <wp:effectExtent l="56515" t="7620" r="57785" b="20955"/>
                <wp:wrapNone/>
                <wp:docPr id="65"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F9A7D" id="Straight Connector 67"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4pt,32.1pt" to="239.4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">
                <v:stroke endarrow="block"/>
              </v:line>
            </w:pict>
          </mc:Fallback>
        </mc:AlternateContent>
      </w:r>
      <w:r w:rsidR="00BA5E33" w:rsidRPr="00C53F10">
        <w:rPr>
          <w:rFonts w:eastAsia="MS Mincho"/>
          <w:b/>
          <w:lang w:eastAsia="ja-JP"/>
        </w:rPr>
        <w:tab/>
      </w:r>
      <w:r w:rsidR="00BA5E33" w:rsidRPr="00C53F10">
        <w:rPr>
          <w:rFonts w:eastAsia="MS Mincho"/>
          <w:b/>
          <w:lang w:eastAsia="ja-JP"/>
        </w:rPr>
        <w:tab/>
      </w:r>
      <w:r w:rsidR="00BA5E33" w:rsidRPr="00C53F10">
        <w:rPr>
          <w:rFonts w:eastAsia="MS Mincho"/>
          <w:b/>
          <w:lang w:eastAsia="ja-JP"/>
        </w:rPr>
        <w:tab/>
      </w:r>
    </w:p>
    <w:p w14:paraId="70296945" w14:textId="5499D955" w:rsidR="00BA5E33" w:rsidRPr="00C53F10" w:rsidRDefault="00465243" w:rsidP="000F5753">
      <w:pPr>
        <w:tabs>
          <w:tab w:val="left" w:pos="3255"/>
        </w:tabs>
        <w:spacing w:line="276" w:lineRule="auto"/>
        <w:jc w:val="center"/>
        <w:rPr>
          <w:rFonts w:eastAsia="MS Mincho"/>
          <w:b/>
          <w:lang w:eastAsia="ja-JP"/>
        </w:rPr>
      </w:pPr>
      <w:r w:rsidRPr="00C53F10">
        <w:rPr>
          <w:noProof/>
          <w:lang w:val="en-US" w:eastAsia="en-US"/>
        </w:rPr>
        <mc:AlternateContent>
          <mc:Choice Requires="wps">
            <w:drawing>
              <wp:anchor distT="0" distB="0" distL="114300" distR="114300" simplePos="0" relativeHeight="251665920" behindDoc="0" locked="0" layoutInCell="1" allowOverlap="1" wp14:anchorId="0C646950" wp14:editId="302CAC9A">
                <wp:simplePos x="0" y="0"/>
                <wp:positionH relativeFrom="column">
                  <wp:posOffset>-35560</wp:posOffset>
                </wp:positionH>
                <wp:positionV relativeFrom="paragraph">
                  <wp:posOffset>217804</wp:posOffset>
                </wp:positionV>
                <wp:extent cx="2209800" cy="485775"/>
                <wp:effectExtent l="0" t="0" r="19050" b="28575"/>
                <wp:wrapNone/>
                <wp:docPr id="60"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485775"/>
                        </a:xfrm>
                        <a:prstGeom prst="rect">
                          <a:avLst/>
                        </a:prstGeom>
                        <a:solidFill>
                          <a:srgbClr val="FFFFFF"/>
                        </a:solidFill>
                        <a:ln w="9525">
                          <a:solidFill>
                            <a:srgbClr val="000000"/>
                          </a:solidFill>
                          <a:miter lim="800000"/>
                          <a:headEnd/>
                          <a:tailEnd/>
                        </a:ln>
                      </wps:spPr>
                      <wps:txbx>
                        <w:txbxContent>
                          <w:p w14:paraId="429B8B69" w14:textId="77777777" w:rsidR="00B23F48" w:rsidRDefault="00B23F48" w:rsidP="000B76FB">
                            <w:pPr>
                              <w:jc w:val="center"/>
                            </w:pPr>
                            <w:r>
                              <w:t>Baza cash</w:t>
                            </w:r>
                          </w:p>
                          <w:p w14:paraId="644023E4" w14:textId="78D09C92" w:rsidR="00B23F48" w:rsidRPr="0032759E" w:rsidRDefault="00B23F48" w:rsidP="000B76FB">
                            <w:r>
                              <w:t xml:space="preserve">Ministerul Finanțelor Publice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46950" id="Rectangle 62" o:spid="_x0000_s1032" style="position:absolute;left:0;text-align:left;margin-left:-2.8pt;margin-top:17.15pt;width:174pt;height:3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">
                <v:textbox>
                  <w:txbxContent>
                    <w:p w14:paraId="429B8B69" w14:textId="77777777" w:rsidR="00B23F48" w:rsidRDefault="00B23F48" w:rsidP="000B76FB">
                      <w:pPr>
                        <w:jc w:val="center"/>
                      </w:pPr>
                      <w:r>
                        <w:t>Baza cash</w:t>
                      </w:r>
                    </w:p>
                    <w:p w14:paraId="644023E4" w14:textId="78D09C92" w:rsidR="00B23F48" w:rsidRPr="0032759E" w:rsidRDefault="00B23F48" w:rsidP="000B76FB">
                      <w:r>
                        <w:t xml:space="preserve">Ministerul Finanțelor Publice </w:t>
                      </w:r>
                    </w:p>
                  </w:txbxContent>
                </v:textbox>
              </v:rect>
            </w:pict>
          </mc:Fallback>
        </mc:AlternateContent>
      </w:r>
      <w:r w:rsidR="00B54EB1" w:rsidRPr="00C53F10">
        <w:rPr>
          <w:noProof/>
          <w:lang w:val="en-US" w:eastAsia="en-US"/>
        </w:rPr>
        <mc:AlternateContent>
          <mc:Choice Requires="wps">
            <w:drawing>
              <wp:anchor distT="0" distB="0" distL="114300" distR="114300" simplePos="0" relativeHeight="251670016" behindDoc="0" locked="0" layoutInCell="1" allowOverlap="1" wp14:anchorId="74E275B7" wp14:editId="2ECADB07">
                <wp:simplePos x="0" y="0"/>
                <wp:positionH relativeFrom="column">
                  <wp:posOffset>869315</wp:posOffset>
                </wp:positionH>
                <wp:positionV relativeFrom="paragraph">
                  <wp:posOffset>38100</wp:posOffset>
                </wp:positionV>
                <wp:extent cx="0" cy="171450"/>
                <wp:effectExtent l="76200" t="0" r="57150" b="57150"/>
                <wp:wrapNone/>
                <wp:docPr id="63"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84054" id="Straight Connector 65"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5pt,3pt" to="68.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">
                <v:stroke endarrow="block"/>
              </v:line>
            </w:pict>
          </mc:Fallback>
        </mc:AlternateContent>
      </w:r>
    </w:p>
    <w:p w14:paraId="7FB87991" w14:textId="67F246FA" w:rsidR="00BA5E33" w:rsidRPr="00C53F10" w:rsidRDefault="00B54EB1" w:rsidP="000F5753">
      <w:pPr>
        <w:tabs>
          <w:tab w:val="left" w:pos="3255"/>
        </w:tabs>
        <w:spacing w:line="276" w:lineRule="auto"/>
        <w:jc w:val="center"/>
        <w:rPr>
          <w:rFonts w:eastAsia="MS Mincho"/>
          <w:b/>
          <w:lang w:eastAsia="ja-JP"/>
        </w:rPr>
      </w:pPr>
      <w:r w:rsidRPr="00C53F10">
        <w:rPr>
          <w:noProof/>
          <w:lang w:val="en-US" w:eastAsia="en-US"/>
        </w:rPr>
        <mc:AlternateContent>
          <mc:Choice Requires="wps">
            <w:drawing>
              <wp:anchor distT="0" distB="0" distL="114300" distR="114300" simplePos="0" relativeHeight="251667968" behindDoc="0" locked="0" layoutInCell="1" allowOverlap="1" wp14:anchorId="37416499" wp14:editId="2D337D07">
                <wp:simplePos x="0" y="0"/>
                <wp:positionH relativeFrom="column">
                  <wp:posOffset>941070</wp:posOffset>
                </wp:positionH>
                <wp:positionV relativeFrom="paragraph">
                  <wp:posOffset>472440</wp:posOffset>
                </wp:positionV>
                <wp:extent cx="0" cy="342900"/>
                <wp:effectExtent l="52705" t="7620" r="61595" b="20955"/>
                <wp:wrapNone/>
                <wp:docPr id="62"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706DC" id="Straight Connector 64"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37.2pt" to="74.1pt,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">
                <v:stroke endarrow="block"/>
              </v:line>
            </w:pict>
          </mc:Fallback>
        </mc:AlternateContent>
      </w:r>
    </w:p>
    <w:p w14:paraId="631CB978" w14:textId="77777777" w:rsidR="00BA5E33" w:rsidRPr="00C53F10" w:rsidRDefault="00BA5E33" w:rsidP="000F5753">
      <w:pPr>
        <w:tabs>
          <w:tab w:val="left" w:pos="3255"/>
          <w:tab w:val="left" w:pos="11745"/>
        </w:tabs>
        <w:spacing w:line="276" w:lineRule="auto"/>
        <w:rPr>
          <w:rFonts w:eastAsia="MS Mincho"/>
          <w:b/>
          <w:lang w:eastAsia="ja-JP"/>
        </w:rPr>
      </w:pPr>
      <w:r w:rsidRPr="00C53F10">
        <w:rPr>
          <w:rFonts w:eastAsia="MS Mincho"/>
          <w:b/>
          <w:lang w:eastAsia="ja-JP"/>
        </w:rPr>
        <w:tab/>
      </w:r>
      <w:r w:rsidRPr="00C53F10">
        <w:rPr>
          <w:rFonts w:eastAsia="MS Mincho"/>
          <w:b/>
          <w:lang w:eastAsia="ja-JP"/>
        </w:rPr>
        <w:tab/>
      </w:r>
    </w:p>
    <w:p w14:paraId="60040BEE" w14:textId="77777777" w:rsidR="00BA5E33" w:rsidRPr="00C53F10" w:rsidRDefault="001170D5" w:rsidP="000F5753">
      <w:pPr>
        <w:spacing w:line="276" w:lineRule="auto"/>
        <w:rPr>
          <w:rFonts w:eastAsia="MS Mincho"/>
          <w:lang w:eastAsia="ja-JP"/>
        </w:rPr>
      </w:pPr>
      <w:r w:rsidRPr="00C53F10">
        <w:rPr>
          <w:noProof/>
          <w:lang w:val="en-US" w:eastAsia="en-US"/>
        </w:rPr>
        <mc:AlternateContent>
          <mc:Choice Requires="wps">
            <w:drawing>
              <wp:anchor distT="0" distB="0" distL="114300" distR="114300" simplePos="0" relativeHeight="251666944" behindDoc="0" locked="0" layoutInCell="1" allowOverlap="1" wp14:anchorId="53831F0D" wp14:editId="684B0DB0">
                <wp:simplePos x="0" y="0"/>
                <wp:positionH relativeFrom="column">
                  <wp:posOffset>2388870</wp:posOffset>
                </wp:positionH>
                <wp:positionV relativeFrom="paragraph">
                  <wp:posOffset>16510</wp:posOffset>
                </wp:positionV>
                <wp:extent cx="2063115" cy="457200"/>
                <wp:effectExtent l="5080" t="7620" r="8255" b="11430"/>
                <wp:wrapNone/>
                <wp:docPr id="64"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115" cy="457200"/>
                        </a:xfrm>
                        <a:prstGeom prst="rect">
                          <a:avLst/>
                        </a:prstGeom>
                        <a:solidFill>
                          <a:srgbClr val="FFFFFF"/>
                        </a:solidFill>
                        <a:ln w="9525">
                          <a:solidFill>
                            <a:srgbClr val="000000"/>
                          </a:solidFill>
                          <a:miter lim="800000"/>
                          <a:headEnd/>
                          <a:tailEnd/>
                        </a:ln>
                      </wps:spPr>
                      <wps:txbx>
                        <w:txbxContent>
                          <w:p w14:paraId="286362FA" w14:textId="77777777" w:rsidR="00B23F48" w:rsidRDefault="00B23F48" w:rsidP="000B76FB">
                            <w:pPr>
                              <w:jc w:val="center"/>
                            </w:pPr>
                            <w:r>
                              <w:t>Baza cash</w:t>
                            </w:r>
                          </w:p>
                          <w:p w14:paraId="07D8DCE0" w14:textId="02D9F4C7" w:rsidR="00B23F48" w:rsidRPr="0032759E" w:rsidRDefault="00B23F48" w:rsidP="000B76FB">
                            <w:r>
                              <w:t>Ministerul Finanțelor Publice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31F0D" id="Rectangle 66" o:spid="_x0000_s1033" style="position:absolute;margin-left:188.1pt;margin-top:1.3pt;width:162.45pt;height:3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">
                <v:textbox>
                  <w:txbxContent>
                    <w:p w14:paraId="286362FA" w14:textId="77777777" w:rsidR="00B23F48" w:rsidRDefault="00B23F48" w:rsidP="000B76FB">
                      <w:pPr>
                        <w:jc w:val="center"/>
                      </w:pPr>
                      <w:r>
                        <w:t>Baza cash</w:t>
                      </w:r>
                    </w:p>
                    <w:p w14:paraId="07D8DCE0" w14:textId="02D9F4C7" w:rsidR="00B23F48" w:rsidRPr="0032759E" w:rsidRDefault="00B23F48" w:rsidP="000B76FB">
                      <w:r>
                        <w:t>Ministerul Finanțelor Publice</w:t>
                      </w:r>
                    </w:p>
                  </w:txbxContent>
                </v:textbox>
              </v:rect>
            </w:pict>
          </mc:Fallback>
        </mc:AlternateContent>
      </w:r>
    </w:p>
    <w:p w14:paraId="164A936A" w14:textId="77777777" w:rsidR="00BA5E33" w:rsidRPr="00C53F10" w:rsidRDefault="00BA5E33" w:rsidP="000F5753">
      <w:pPr>
        <w:spacing w:line="276" w:lineRule="auto"/>
        <w:rPr>
          <w:rFonts w:eastAsia="MS Mincho"/>
          <w:lang w:eastAsia="ja-JP"/>
        </w:rPr>
      </w:pPr>
    </w:p>
    <w:p w14:paraId="4605F6D7" w14:textId="32EF98D1" w:rsidR="00BA5E33" w:rsidRPr="00C53F10" w:rsidRDefault="00167D7C" w:rsidP="000F5753">
      <w:pPr>
        <w:spacing w:line="276" w:lineRule="auto"/>
        <w:rPr>
          <w:rFonts w:eastAsia="MS Mincho"/>
          <w:lang w:eastAsia="ja-JP"/>
        </w:rPr>
      </w:pPr>
      <w:r w:rsidRPr="00C53F10">
        <w:rPr>
          <w:noProof/>
          <w:lang w:val="en-US" w:eastAsia="en-US"/>
        </w:rPr>
        <mc:AlternateContent>
          <mc:Choice Requires="wps">
            <w:drawing>
              <wp:anchor distT="0" distB="0" distL="114300" distR="114300" simplePos="0" relativeHeight="251629056" behindDoc="0" locked="0" layoutInCell="1" allowOverlap="1" wp14:anchorId="037A30C8" wp14:editId="17AD2069">
                <wp:simplePos x="0" y="0"/>
                <wp:positionH relativeFrom="column">
                  <wp:posOffset>2536190</wp:posOffset>
                </wp:positionH>
                <wp:positionV relativeFrom="paragraph">
                  <wp:posOffset>112395</wp:posOffset>
                </wp:positionV>
                <wp:extent cx="2057400" cy="2152650"/>
                <wp:effectExtent l="0" t="0" r="19050" b="19050"/>
                <wp:wrapNone/>
                <wp:docPr id="58" name="Flowchart: Process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152650"/>
                        </a:xfrm>
                        <a:prstGeom prst="flowChartProcess">
                          <a:avLst/>
                        </a:prstGeom>
                        <a:solidFill>
                          <a:srgbClr val="FFFFFF"/>
                        </a:solidFill>
                        <a:ln w="9525">
                          <a:solidFill>
                            <a:srgbClr val="000000"/>
                          </a:solidFill>
                          <a:miter lim="800000"/>
                          <a:headEnd/>
                          <a:tailEnd/>
                        </a:ln>
                      </wps:spPr>
                      <wps:txbx>
                        <w:txbxContent>
                          <w:p w14:paraId="2CADAE01" w14:textId="77777777" w:rsidR="00B23F48" w:rsidRPr="00841EAA" w:rsidRDefault="00B23F48" w:rsidP="000B76FB">
                            <w:pPr>
                              <w:rPr>
                                <w:b/>
                                <w:lang w:val="fr-FR"/>
                              </w:rPr>
                            </w:pPr>
                            <w:r w:rsidRPr="00FE4FEA">
                              <w:rPr>
                                <w:b/>
                              </w:rPr>
                              <w:t>Sursa de date primare</w:t>
                            </w:r>
                            <w:r w:rsidRPr="00841EAA">
                              <w:rPr>
                                <w:b/>
                                <w:lang w:val="fr-FR"/>
                              </w:rPr>
                              <w:t>:</w:t>
                            </w:r>
                          </w:p>
                          <w:p w14:paraId="1DF91E01" w14:textId="77777777" w:rsidR="00B23F48" w:rsidRPr="001900CF" w:rsidRDefault="00B23F48" w:rsidP="000B76FB">
                            <w:r w:rsidRPr="001900CF">
                              <w:t>-Buget de stat</w:t>
                            </w:r>
                          </w:p>
                          <w:p w14:paraId="7900C455" w14:textId="77777777" w:rsidR="00B23F48" w:rsidRPr="006632C1" w:rsidRDefault="00B23F48" w:rsidP="000B76FB">
                            <w:r w:rsidRPr="006632C1">
                              <w:t>-Trezoreria Statului</w:t>
                            </w:r>
                          </w:p>
                          <w:p w14:paraId="2D78E505" w14:textId="7B42A35E" w:rsidR="00B23F48" w:rsidRDefault="00B23F48" w:rsidP="000B76FB">
                            <w:r w:rsidRPr="006632C1">
                              <w:t>-Instituțiile finanțate integral sau parțial din venituri proprii</w:t>
                            </w:r>
                          </w:p>
                          <w:p w14:paraId="11F6B946" w14:textId="2DF8FA10" w:rsidR="00B23F48" w:rsidRDefault="00B23F48" w:rsidP="000B76FB">
                            <w:r>
                              <w:t>-Bugetul Companiei Naționale de Autostrăzi şi Drumuri Naționale</w:t>
                            </w:r>
                          </w:p>
                          <w:p w14:paraId="412E7EB5" w14:textId="77777777" w:rsidR="00B23F48" w:rsidRDefault="00B23F48" w:rsidP="000B76FB">
                            <w:r>
                              <w:t>-Fonduri externe nerambursabile</w:t>
                            </w:r>
                          </w:p>
                          <w:p w14:paraId="2FBFBC26" w14:textId="77777777" w:rsidR="00B23F48" w:rsidRDefault="00B23F48" w:rsidP="000B76FB">
                            <w:r>
                              <w:t>-Credite externe</w:t>
                            </w:r>
                          </w:p>
                          <w:p w14:paraId="69A1C1D6" w14:textId="77777777" w:rsidR="00B23F48" w:rsidRDefault="00B23F48" w:rsidP="000B76FB"/>
                          <w:p w14:paraId="7D962C3E" w14:textId="77777777" w:rsidR="00B23F48" w:rsidRPr="002B553C" w:rsidRDefault="00B23F48" w:rsidP="000B76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A30C8" id="_x0000_t109" coordsize="21600,21600" o:spt="109" path="m,l,21600r21600,l21600,xe">
                <v:stroke joinstyle="miter"/>
                <v:path gradientshapeok="t" o:connecttype="rect"/>
              </v:shapetype>
              <v:shape id="Flowchart: Process 60" o:spid="_x0000_s1034" type="#_x0000_t109" style="position:absolute;margin-left:199.7pt;margin-top:8.85pt;width:162pt;height:169.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">
                <v:textbox>
                  <w:txbxContent>
                    <w:p w14:paraId="2CADAE01" w14:textId="77777777" w:rsidR="00B23F48" w:rsidRPr="00841EAA" w:rsidRDefault="00B23F48" w:rsidP="000B76FB">
                      <w:pPr>
                        <w:rPr>
                          <w:b/>
                          <w:lang w:val="fr-FR"/>
                        </w:rPr>
                      </w:pPr>
                      <w:r w:rsidRPr="00FE4FEA">
                        <w:rPr>
                          <w:b/>
                        </w:rPr>
                        <w:t>Sursa de date primare</w:t>
                      </w:r>
                      <w:r w:rsidRPr="00841EAA">
                        <w:rPr>
                          <w:b/>
                          <w:lang w:val="fr-FR"/>
                        </w:rPr>
                        <w:t>:</w:t>
                      </w:r>
                    </w:p>
                    <w:p w14:paraId="1DF91E01" w14:textId="77777777" w:rsidR="00B23F48" w:rsidRPr="001900CF" w:rsidRDefault="00B23F48" w:rsidP="000B76FB">
                      <w:r w:rsidRPr="001900CF">
                        <w:t>-Buget de stat</w:t>
                      </w:r>
                    </w:p>
                    <w:p w14:paraId="7900C455" w14:textId="77777777" w:rsidR="00B23F48" w:rsidRPr="006632C1" w:rsidRDefault="00B23F48" w:rsidP="000B76FB">
                      <w:r w:rsidRPr="006632C1">
                        <w:t>-Trezoreria Statului</w:t>
                      </w:r>
                    </w:p>
                    <w:p w14:paraId="2D78E505" w14:textId="7B42A35E" w:rsidR="00B23F48" w:rsidRDefault="00B23F48" w:rsidP="000B76FB">
                      <w:r w:rsidRPr="006632C1">
                        <w:t>-Instituțiile finanțate integral sau parțial din venituri proprii</w:t>
                      </w:r>
                    </w:p>
                    <w:p w14:paraId="11F6B946" w14:textId="2DF8FA10" w:rsidR="00B23F48" w:rsidRDefault="00B23F48" w:rsidP="000B76FB">
                      <w:r>
                        <w:t>-Bugetul Companiei Naționale de Autostrăzi şi Drumuri Naționale</w:t>
                      </w:r>
                    </w:p>
                    <w:p w14:paraId="412E7EB5" w14:textId="77777777" w:rsidR="00B23F48" w:rsidRDefault="00B23F48" w:rsidP="000B76FB">
                      <w:r>
                        <w:t>-Fonduri externe nerambursabile</w:t>
                      </w:r>
                    </w:p>
                    <w:p w14:paraId="2FBFBC26" w14:textId="77777777" w:rsidR="00B23F48" w:rsidRDefault="00B23F48" w:rsidP="000B76FB">
                      <w:r>
                        <w:t>-Credite externe</w:t>
                      </w:r>
                    </w:p>
                    <w:p w14:paraId="69A1C1D6" w14:textId="77777777" w:rsidR="00B23F48" w:rsidRDefault="00B23F48" w:rsidP="000B76FB"/>
                    <w:p w14:paraId="7D962C3E" w14:textId="77777777" w:rsidR="00B23F48" w:rsidRPr="002B553C" w:rsidRDefault="00B23F48" w:rsidP="000B76FB"/>
                  </w:txbxContent>
                </v:textbox>
              </v:shape>
            </w:pict>
          </mc:Fallback>
        </mc:AlternateContent>
      </w:r>
      <w:r w:rsidRPr="00C53F10">
        <w:rPr>
          <w:noProof/>
          <w:lang w:val="en-US" w:eastAsia="en-US"/>
        </w:rPr>
        <mc:AlternateContent>
          <mc:Choice Requires="wps">
            <w:drawing>
              <wp:anchor distT="0" distB="0" distL="114300" distR="114300" simplePos="0" relativeHeight="251628032" behindDoc="0" locked="0" layoutInCell="1" allowOverlap="1" wp14:anchorId="22591339" wp14:editId="7A2C6CD5">
                <wp:simplePos x="0" y="0"/>
                <wp:positionH relativeFrom="column">
                  <wp:posOffset>-45085</wp:posOffset>
                </wp:positionH>
                <wp:positionV relativeFrom="paragraph">
                  <wp:posOffset>93345</wp:posOffset>
                </wp:positionV>
                <wp:extent cx="2280285" cy="2095500"/>
                <wp:effectExtent l="0" t="0" r="24765" b="19050"/>
                <wp:wrapNone/>
                <wp:docPr id="59" name="Flowchart: Process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285" cy="2095500"/>
                        </a:xfrm>
                        <a:prstGeom prst="flowChartProcess">
                          <a:avLst/>
                        </a:prstGeom>
                        <a:solidFill>
                          <a:srgbClr val="FFFFFF"/>
                        </a:solidFill>
                        <a:ln w="9525">
                          <a:solidFill>
                            <a:srgbClr val="000000"/>
                          </a:solidFill>
                          <a:miter lim="800000"/>
                          <a:headEnd/>
                          <a:tailEnd/>
                        </a:ln>
                      </wps:spPr>
                      <wps:txbx>
                        <w:txbxContent>
                          <w:p w14:paraId="42DE74AF" w14:textId="77777777" w:rsidR="00B23F48" w:rsidRPr="00841EAA" w:rsidRDefault="00B23F48" w:rsidP="000B76FB">
                            <w:pPr>
                              <w:rPr>
                                <w:b/>
                                <w:lang w:val="fr-FR"/>
                              </w:rPr>
                            </w:pPr>
                            <w:r w:rsidRPr="00FE4FEA">
                              <w:rPr>
                                <w:b/>
                              </w:rPr>
                              <w:t>Sursa de date primare</w:t>
                            </w:r>
                            <w:r w:rsidRPr="00841EAA">
                              <w:rPr>
                                <w:b/>
                                <w:lang w:val="fr-FR"/>
                              </w:rPr>
                              <w:t>:</w:t>
                            </w:r>
                          </w:p>
                          <w:p w14:paraId="6B2F3397" w14:textId="77777777" w:rsidR="00B23F48" w:rsidRPr="006632C1" w:rsidRDefault="00B23F48" w:rsidP="000B76FB">
                            <w:r w:rsidRPr="006632C1">
                              <w:t>-Buget de stat</w:t>
                            </w:r>
                          </w:p>
                          <w:p w14:paraId="0CDB15C7" w14:textId="77777777" w:rsidR="00B23F48" w:rsidRPr="006632C1" w:rsidRDefault="00B23F48" w:rsidP="000B76FB">
                            <w:r w:rsidRPr="006632C1">
                              <w:t>-Trezoreria Statului</w:t>
                            </w:r>
                          </w:p>
                          <w:p w14:paraId="4BDF38C0" w14:textId="499D2316" w:rsidR="00B23F48" w:rsidRPr="006632C1" w:rsidRDefault="00B23F48" w:rsidP="000B76FB">
                            <w:r w:rsidRPr="006632C1">
                              <w:t>-Instituțiile finanțate integral sau parțial din venituri proprii</w:t>
                            </w:r>
                            <w:r>
                              <w:t xml:space="preserve"> + estimări</w:t>
                            </w:r>
                          </w:p>
                          <w:p w14:paraId="4D910633" w14:textId="4D74CB3E" w:rsidR="00B23F48" w:rsidRDefault="00B23F48" w:rsidP="000B76FB">
                            <w:r>
                              <w:t>-Bugetul Companiei Naționale de Autostrăzi şi Drumuri Naționale</w:t>
                            </w:r>
                          </w:p>
                          <w:p w14:paraId="4FA7B44F" w14:textId="77777777" w:rsidR="00B23F48" w:rsidRDefault="00B23F48" w:rsidP="000B76FB">
                            <w:r>
                              <w:t>-Fonduri externe nerambursabile</w:t>
                            </w:r>
                          </w:p>
                          <w:p w14:paraId="6FBD161C" w14:textId="3DDED820" w:rsidR="00B23F48" w:rsidRDefault="00B23F48" w:rsidP="000B76FB">
                            <w:r>
                              <w:t>-Credite externe + estimări</w:t>
                            </w:r>
                          </w:p>
                          <w:p w14:paraId="44062117" w14:textId="77777777" w:rsidR="00B23F48" w:rsidRDefault="00B23F48" w:rsidP="000B76FB"/>
                          <w:p w14:paraId="3A303F01" w14:textId="77777777" w:rsidR="00B23F48" w:rsidRPr="002B553C" w:rsidRDefault="00B23F48" w:rsidP="000B76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91339" id="Flowchart: Process 61" o:spid="_x0000_s1035" type="#_x0000_t109" style="position:absolute;margin-left:-3.55pt;margin-top:7.35pt;width:179.55pt;height:16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">
                <v:textbox>
                  <w:txbxContent>
                    <w:p w14:paraId="42DE74AF" w14:textId="77777777" w:rsidR="00B23F48" w:rsidRPr="00841EAA" w:rsidRDefault="00B23F48" w:rsidP="000B76FB">
                      <w:pPr>
                        <w:rPr>
                          <w:b/>
                          <w:lang w:val="fr-FR"/>
                        </w:rPr>
                      </w:pPr>
                      <w:r w:rsidRPr="00FE4FEA">
                        <w:rPr>
                          <w:b/>
                        </w:rPr>
                        <w:t>Sursa de date primare</w:t>
                      </w:r>
                      <w:r w:rsidRPr="00841EAA">
                        <w:rPr>
                          <w:b/>
                          <w:lang w:val="fr-FR"/>
                        </w:rPr>
                        <w:t>:</w:t>
                      </w:r>
                    </w:p>
                    <w:p w14:paraId="6B2F3397" w14:textId="77777777" w:rsidR="00B23F48" w:rsidRPr="006632C1" w:rsidRDefault="00B23F48" w:rsidP="000B76FB">
                      <w:r w:rsidRPr="006632C1">
                        <w:t>-Buget de stat</w:t>
                      </w:r>
                    </w:p>
                    <w:p w14:paraId="0CDB15C7" w14:textId="77777777" w:rsidR="00B23F48" w:rsidRPr="006632C1" w:rsidRDefault="00B23F48" w:rsidP="000B76FB">
                      <w:r w:rsidRPr="006632C1">
                        <w:t>-Trezoreria Statului</w:t>
                      </w:r>
                    </w:p>
                    <w:p w14:paraId="4BDF38C0" w14:textId="499D2316" w:rsidR="00B23F48" w:rsidRPr="006632C1" w:rsidRDefault="00B23F48" w:rsidP="000B76FB">
                      <w:r w:rsidRPr="006632C1">
                        <w:t>-Instituțiile finanțate integral sau parțial din venituri proprii</w:t>
                      </w:r>
                      <w:r>
                        <w:t xml:space="preserve"> + estimări</w:t>
                      </w:r>
                    </w:p>
                    <w:p w14:paraId="4D910633" w14:textId="4D74CB3E" w:rsidR="00B23F48" w:rsidRDefault="00B23F48" w:rsidP="000B76FB">
                      <w:r>
                        <w:t>-Bugetul Companiei Naționale de Autostrăzi şi Drumuri Naționale</w:t>
                      </w:r>
                    </w:p>
                    <w:p w14:paraId="4FA7B44F" w14:textId="77777777" w:rsidR="00B23F48" w:rsidRDefault="00B23F48" w:rsidP="000B76FB">
                      <w:r>
                        <w:t>-Fonduri externe nerambursabile</w:t>
                      </w:r>
                    </w:p>
                    <w:p w14:paraId="6FBD161C" w14:textId="3DDED820" w:rsidR="00B23F48" w:rsidRDefault="00B23F48" w:rsidP="000B76FB">
                      <w:r>
                        <w:t>-Credite externe + estimări</w:t>
                      </w:r>
                    </w:p>
                    <w:p w14:paraId="44062117" w14:textId="77777777" w:rsidR="00B23F48" w:rsidRDefault="00B23F48" w:rsidP="000B76FB"/>
                    <w:p w14:paraId="3A303F01" w14:textId="77777777" w:rsidR="00B23F48" w:rsidRPr="002B553C" w:rsidRDefault="00B23F48" w:rsidP="000B76FB"/>
                  </w:txbxContent>
                </v:textbox>
              </v:shape>
            </w:pict>
          </mc:Fallback>
        </mc:AlternateContent>
      </w:r>
    </w:p>
    <w:p w14:paraId="6DDB6BD2" w14:textId="77777777" w:rsidR="00BA5E33" w:rsidRPr="00C53F10" w:rsidRDefault="00BA5E33" w:rsidP="000F5753">
      <w:pPr>
        <w:spacing w:line="276" w:lineRule="auto"/>
        <w:rPr>
          <w:rFonts w:eastAsia="MS Mincho"/>
          <w:lang w:eastAsia="ja-JP"/>
        </w:rPr>
      </w:pPr>
    </w:p>
    <w:p w14:paraId="15C44FB4" w14:textId="77777777" w:rsidR="00BA5E33" w:rsidRPr="00C53F10" w:rsidRDefault="00BA5E33" w:rsidP="000F5753">
      <w:pPr>
        <w:spacing w:line="276" w:lineRule="auto"/>
        <w:rPr>
          <w:rFonts w:eastAsia="MS Mincho"/>
          <w:lang w:eastAsia="ja-JP"/>
        </w:rPr>
      </w:pPr>
      <w:r w:rsidRPr="00C53F10">
        <w:rPr>
          <w:rFonts w:eastAsia="MS Mincho"/>
          <w:lang w:eastAsia="ja-JP"/>
        </w:rPr>
        <w:t xml:space="preserve">                                                                                                                                   </w:t>
      </w:r>
    </w:p>
    <w:p w14:paraId="27325BF9" w14:textId="77777777" w:rsidR="00BA5E33" w:rsidRPr="00C53F10" w:rsidRDefault="00BA5E33" w:rsidP="000F5753">
      <w:pPr>
        <w:spacing w:line="276" w:lineRule="auto"/>
        <w:rPr>
          <w:rFonts w:eastAsia="MS Mincho"/>
          <w:lang w:eastAsia="ja-JP"/>
        </w:rPr>
      </w:pPr>
    </w:p>
    <w:p w14:paraId="51FF200B" w14:textId="77777777" w:rsidR="00BA5E33" w:rsidRPr="00C53F10" w:rsidRDefault="00BA5E33" w:rsidP="000F5753">
      <w:pPr>
        <w:spacing w:line="276" w:lineRule="auto"/>
        <w:rPr>
          <w:rFonts w:eastAsia="MS Mincho"/>
          <w:lang w:eastAsia="ja-JP"/>
        </w:rPr>
      </w:pPr>
    </w:p>
    <w:p w14:paraId="437D35DD" w14:textId="77777777" w:rsidR="00BA5E33" w:rsidRPr="00C53F10" w:rsidRDefault="00BA5E33" w:rsidP="000F5753">
      <w:pPr>
        <w:spacing w:line="276" w:lineRule="auto"/>
        <w:rPr>
          <w:rFonts w:eastAsia="MS Mincho"/>
          <w:lang w:eastAsia="ja-JP"/>
        </w:rPr>
      </w:pPr>
    </w:p>
    <w:p w14:paraId="35884065" w14:textId="77777777" w:rsidR="00BA5E33" w:rsidRPr="00C53F10" w:rsidRDefault="00BA5E33" w:rsidP="000F5753">
      <w:pPr>
        <w:spacing w:line="276" w:lineRule="auto"/>
        <w:rPr>
          <w:rFonts w:eastAsia="MS Mincho"/>
          <w:lang w:eastAsia="ja-JP"/>
        </w:rPr>
      </w:pPr>
    </w:p>
    <w:p w14:paraId="471B25C1" w14:textId="77777777" w:rsidR="00BA5E33" w:rsidRPr="00C53F10" w:rsidRDefault="00BA5E33" w:rsidP="000F5753">
      <w:pPr>
        <w:spacing w:line="276" w:lineRule="auto"/>
        <w:rPr>
          <w:rFonts w:eastAsia="MS Mincho"/>
          <w:lang w:eastAsia="ja-JP"/>
        </w:rPr>
      </w:pPr>
    </w:p>
    <w:p w14:paraId="77842664" w14:textId="77777777" w:rsidR="00BA5E33" w:rsidRPr="00C53F10" w:rsidRDefault="00BA5E33" w:rsidP="000F5753">
      <w:pPr>
        <w:spacing w:line="276" w:lineRule="auto"/>
        <w:rPr>
          <w:rFonts w:eastAsia="MS Mincho"/>
          <w:lang w:eastAsia="ja-JP"/>
        </w:rPr>
      </w:pPr>
    </w:p>
    <w:p w14:paraId="23C1BCE5" w14:textId="77777777" w:rsidR="00BA5E33" w:rsidRPr="00C53F10" w:rsidRDefault="00BA5E33" w:rsidP="000F5753">
      <w:pPr>
        <w:spacing w:line="276" w:lineRule="auto"/>
        <w:rPr>
          <w:rFonts w:eastAsia="MS Mincho"/>
          <w:lang w:eastAsia="ja-JP"/>
        </w:rPr>
      </w:pPr>
    </w:p>
    <w:p w14:paraId="5A786CB0" w14:textId="77777777" w:rsidR="00BA5E33" w:rsidRPr="00C53F10" w:rsidRDefault="00363D22" w:rsidP="000F5753">
      <w:pPr>
        <w:spacing w:line="276" w:lineRule="auto"/>
        <w:rPr>
          <w:rFonts w:eastAsia="MS Mincho"/>
          <w:lang w:eastAsia="ja-JP"/>
        </w:rPr>
      </w:pPr>
      <w:r w:rsidRPr="00C53F10">
        <w:rPr>
          <w:noProof/>
          <w:lang w:val="en-US" w:eastAsia="en-US"/>
        </w:rPr>
        <mc:AlternateContent>
          <mc:Choice Requires="wps">
            <w:drawing>
              <wp:anchor distT="0" distB="0" distL="114300" distR="114300" simplePos="0" relativeHeight="251671040" behindDoc="0" locked="0" layoutInCell="1" allowOverlap="1" wp14:anchorId="0F0CDAF1" wp14:editId="7B3805B9">
                <wp:simplePos x="0" y="0"/>
                <wp:positionH relativeFrom="column">
                  <wp:posOffset>3707765</wp:posOffset>
                </wp:positionH>
                <wp:positionV relativeFrom="paragraph">
                  <wp:posOffset>158114</wp:posOffset>
                </wp:positionV>
                <wp:extent cx="0" cy="276225"/>
                <wp:effectExtent l="76200" t="0" r="57150" b="47625"/>
                <wp:wrapNone/>
                <wp:docPr id="55"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68F18" id="Straight Connector 57"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95pt,12.45pt" to="291.9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">
                <v:stroke endarrow="block"/>
              </v:line>
            </w:pict>
          </mc:Fallback>
        </mc:AlternateContent>
      </w:r>
      <w:r w:rsidRPr="00C53F10">
        <w:rPr>
          <w:noProof/>
          <w:lang w:val="en-US" w:eastAsia="en-US"/>
        </w:rPr>
        <mc:AlternateContent>
          <mc:Choice Requires="wps">
            <w:drawing>
              <wp:anchor distT="0" distB="0" distL="114300" distR="114300" simplePos="0" relativeHeight="251672064" behindDoc="0" locked="0" layoutInCell="1" allowOverlap="1" wp14:anchorId="2F408790" wp14:editId="599D74CE">
                <wp:simplePos x="0" y="0"/>
                <wp:positionH relativeFrom="column">
                  <wp:posOffset>945515</wp:posOffset>
                </wp:positionH>
                <wp:positionV relativeFrom="paragraph">
                  <wp:posOffset>148590</wp:posOffset>
                </wp:positionV>
                <wp:extent cx="0" cy="285750"/>
                <wp:effectExtent l="76200" t="0" r="57150" b="57150"/>
                <wp:wrapNone/>
                <wp:docPr id="57"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8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BB469" id="Straight Connector 59" o:spid="_x0000_s1026" style="position:absolute;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5pt,11.7pt" to="74.4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">
                <v:stroke endarrow="block"/>
              </v:line>
            </w:pict>
          </mc:Fallback>
        </mc:AlternateContent>
      </w:r>
    </w:p>
    <w:p w14:paraId="58EE916D" w14:textId="77777777" w:rsidR="00BA5E33" w:rsidRPr="00C53F10" w:rsidRDefault="00363D22" w:rsidP="000F5753">
      <w:pPr>
        <w:spacing w:line="276" w:lineRule="auto"/>
        <w:rPr>
          <w:rFonts w:eastAsia="MS Mincho"/>
          <w:lang w:eastAsia="ja-JP"/>
        </w:rPr>
      </w:pPr>
      <w:r w:rsidRPr="00C53F10">
        <w:rPr>
          <w:noProof/>
          <w:lang w:val="en-US" w:eastAsia="en-US"/>
        </w:rPr>
        <mc:AlternateContent>
          <mc:Choice Requires="wps">
            <w:drawing>
              <wp:anchor distT="0" distB="0" distL="114300" distR="114300" simplePos="0" relativeHeight="251630080" behindDoc="0" locked="0" layoutInCell="1" allowOverlap="1" wp14:anchorId="0896E658" wp14:editId="5551E6DD">
                <wp:simplePos x="0" y="0"/>
                <wp:positionH relativeFrom="column">
                  <wp:posOffset>-167005</wp:posOffset>
                </wp:positionH>
                <wp:positionV relativeFrom="paragraph">
                  <wp:posOffset>231140</wp:posOffset>
                </wp:positionV>
                <wp:extent cx="2202180" cy="457200"/>
                <wp:effectExtent l="0" t="0" r="26670" b="19050"/>
                <wp:wrapNone/>
                <wp:docPr id="56" name="Flowchart: Process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2180" cy="457200"/>
                        </a:xfrm>
                        <a:prstGeom prst="flowChartProcess">
                          <a:avLst/>
                        </a:prstGeom>
                        <a:solidFill>
                          <a:srgbClr val="FFFFFF"/>
                        </a:solidFill>
                        <a:ln w="9525">
                          <a:solidFill>
                            <a:srgbClr val="000000"/>
                          </a:solidFill>
                          <a:miter lim="800000"/>
                          <a:headEnd/>
                          <a:tailEnd/>
                        </a:ln>
                      </wps:spPr>
                      <wps:txbx>
                        <w:txbxContent>
                          <w:p w14:paraId="100F2EF9" w14:textId="77777777" w:rsidR="00B23F48" w:rsidRDefault="00B23F48" w:rsidP="000B76FB">
                            <w:r>
                              <w:t>Standarde utilizate:</w:t>
                            </w:r>
                          </w:p>
                          <w:p w14:paraId="3189AEC5" w14:textId="2276E113" w:rsidR="00B23F48" w:rsidRPr="006632C1" w:rsidRDefault="00B23F48" w:rsidP="000B76FB">
                            <w:r>
                              <w:t>-</w:t>
                            </w:r>
                            <w:r w:rsidRPr="006632C1">
                              <w:t>metodologie națională</w:t>
                            </w:r>
                          </w:p>
                          <w:p w14:paraId="0A028AC5" w14:textId="77777777" w:rsidR="00B23F48" w:rsidRPr="000D6F49" w:rsidRDefault="00B23F48" w:rsidP="000B76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6E658" id="Flowchart: Process 58" o:spid="_x0000_s1036" type="#_x0000_t109" style="position:absolute;margin-left:-13.15pt;margin-top:18.2pt;width:173.4pt;height:36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">
                <v:textbox>
                  <w:txbxContent>
                    <w:p w14:paraId="100F2EF9" w14:textId="77777777" w:rsidR="00B23F48" w:rsidRDefault="00B23F48" w:rsidP="000B76FB">
                      <w:r>
                        <w:t>Standarde utilizate:</w:t>
                      </w:r>
                    </w:p>
                    <w:p w14:paraId="3189AEC5" w14:textId="2276E113" w:rsidR="00B23F48" w:rsidRPr="006632C1" w:rsidRDefault="00B23F48" w:rsidP="000B76FB">
                      <w:r>
                        <w:t>-</w:t>
                      </w:r>
                      <w:r w:rsidRPr="006632C1">
                        <w:t>metodologie națională</w:t>
                      </w:r>
                    </w:p>
                    <w:p w14:paraId="0A028AC5" w14:textId="77777777" w:rsidR="00B23F48" w:rsidRPr="000D6F49" w:rsidRDefault="00B23F48" w:rsidP="000B76FB"/>
                  </w:txbxContent>
                </v:textbox>
              </v:shape>
            </w:pict>
          </mc:Fallback>
        </mc:AlternateContent>
      </w:r>
    </w:p>
    <w:p w14:paraId="534DD53E" w14:textId="3F02B477" w:rsidR="00BA5E33" w:rsidRPr="00C53F10" w:rsidRDefault="00167D7C" w:rsidP="000F5753">
      <w:pPr>
        <w:tabs>
          <w:tab w:val="left" w:pos="11400"/>
        </w:tabs>
        <w:spacing w:line="276" w:lineRule="auto"/>
        <w:rPr>
          <w:rFonts w:eastAsia="MS Mincho"/>
          <w:lang w:eastAsia="ja-JP"/>
        </w:rPr>
      </w:pPr>
      <w:r w:rsidRPr="00C53F10">
        <w:rPr>
          <w:noProof/>
          <w:lang w:val="en-US" w:eastAsia="en-US"/>
        </w:rPr>
        <mc:AlternateContent>
          <mc:Choice Requires="wps">
            <w:drawing>
              <wp:anchor distT="0" distB="0" distL="114300" distR="114300" simplePos="0" relativeHeight="251687424" behindDoc="0" locked="0" layoutInCell="1" allowOverlap="1" wp14:anchorId="51749989" wp14:editId="4FB7A506">
                <wp:simplePos x="0" y="0"/>
                <wp:positionH relativeFrom="column">
                  <wp:posOffset>7508240</wp:posOffset>
                </wp:positionH>
                <wp:positionV relativeFrom="paragraph">
                  <wp:posOffset>897890</wp:posOffset>
                </wp:positionV>
                <wp:extent cx="9525" cy="352425"/>
                <wp:effectExtent l="76200" t="0" r="66675" b="47625"/>
                <wp:wrapNone/>
                <wp:docPr id="54"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524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8047C" id="Straight Connector 56" o:spid="_x0000_s1026" style="position:absolute;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2pt,70.7pt" to="591.95pt,9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">
                <v:stroke endarrow="block"/>
              </v:line>
            </w:pict>
          </mc:Fallback>
        </mc:AlternateContent>
      </w:r>
      <w:r w:rsidR="00363D22" w:rsidRPr="00C53F10">
        <w:rPr>
          <w:noProof/>
          <w:lang w:val="en-US" w:eastAsia="en-US"/>
        </w:rPr>
        <mc:AlternateContent>
          <mc:Choice Requires="wps">
            <w:drawing>
              <wp:anchor distT="0" distB="0" distL="114300" distR="114300" simplePos="0" relativeHeight="251631104" behindDoc="0" locked="0" layoutInCell="1" allowOverlap="1" wp14:anchorId="0CC1E59B" wp14:editId="6ACC5740">
                <wp:simplePos x="0" y="0"/>
                <wp:positionH relativeFrom="column">
                  <wp:posOffset>2317116</wp:posOffset>
                </wp:positionH>
                <wp:positionV relativeFrom="paragraph">
                  <wp:posOffset>29845</wp:posOffset>
                </wp:positionV>
                <wp:extent cx="2278380" cy="457200"/>
                <wp:effectExtent l="0" t="0" r="26670" b="19050"/>
                <wp:wrapNone/>
                <wp:docPr id="53" name="Flowchart: Process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8380" cy="457200"/>
                        </a:xfrm>
                        <a:prstGeom prst="flowChartProcess">
                          <a:avLst/>
                        </a:prstGeom>
                        <a:solidFill>
                          <a:srgbClr val="FFFFFF"/>
                        </a:solidFill>
                        <a:ln w="9525">
                          <a:solidFill>
                            <a:srgbClr val="000000"/>
                          </a:solidFill>
                          <a:miter lim="800000"/>
                          <a:headEnd/>
                          <a:tailEnd/>
                        </a:ln>
                      </wps:spPr>
                      <wps:txbx>
                        <w:txbxContent>
                          <w:p w14:paraId="6FB2E70E" w14:textId="77777777" w:rsidR="00B23F48" w:rsidRDefault="00B23F48" w:rsidP="000B76FB">
                            <w:r>
                              <w:t>Standarde utilizate:</w:t>
                            </w:r>
                          </w:p>
                          <w:p w14:paraId="3D56E9D7" w14:textId="5FB1ECFD" w:rsidR="00B23F48" w:rsidRPr="006632C1" w:rsidRDefault="00B23F48" w:rsidP="000B76FB">
                            <w:r w:rsidRPr="006632C1">
                              <w:t xml:space="preserve">-metodologie </w:t>
                            </w:r>
                            <w:r>
                              <w:t>națională</w:t>
                            </w:r>
                          </w:p>
                          <w:p w14:paraId="4A55AA5B" w14:textId="77777777" w:rsidR="00B23F48" w:rsidRPr="000D6F49" w:rsidRDefault="00B23F48" w:rsidP="000B76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1E59B" id="Flowchart: Process 55" o:spid="_x0000_s1037" type="#_x0000_t109" style="position:absolute;margin-left:182.45pt;margin-top:2.35pt;width:179.4pt;height:36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">
                <v:textbox>
                  <w:txbxContent>
                    <w:p w14:paraId="6FB2E70E" w14:textId="77777777" w:rsidR="00B23F48" w:rsidRDefault="00B23F48" w:rsidP="000B76FB">
                      <w:r>
                        <w:t>Standarde utilizate:</w:t>
                      </w:r>
                    </w:p>
                    <w:p w14:paraId="3D56E9D7" w14:textId="5FB1ECFD" w:rsidR="00B23F48" w:rsidRPr="006632C1" w:rsidRDefault="00B23F48" w:rsidP="000B76FB">
                      <w:r w:rsidRPr="006632C1">
                        <w:t xml:space="preserve">-metodologie </w:t>
                      </w:r>
                      <w:r>
                        <w:t>națională</w:t>
                      </w:r>
                    </w:p>
                    <w:p w14:paraId="4A55AA5B" w14:textId="77777777" w:rsidR="00B23F48" w:rsidRPr="000D6F49" w:rsidRDefault="00B23F48" w:rsidP="000B76FB"/>
                  </w:txbxContent>
                </v:textbox>
              </v:shape>
            </w:pict>
          </mc:Fallback>
        </mc:AlternateContent>
      </w:r>
      <w:r w:rsidR="00BA5E33" w:rsidRPr="00C53F10">
        <w:rPr>
          <w:rFonts w:eastAsia="MS Mincho"/>
          <w:lang w:eastAsia="ja-JP"/>
        </w:rPr>
        <w:tab/>
      </w:r>
      <w:r w:rsidR="001170D5" w:rsidRPr="00C53F10">
        <w:rPr>
          <w:noProof/>
          <w:lang w:val="en-US" w:eastAsia="en-US"/>
        </w:rPr>
        <mc:AlternateContent>
          <mc:Choice Requires="wps">
            <w:drawing>
              <wp:anchor distT="0" distB="0" distL="114300" distR="114300" simplePos="0" relativeHeight="251689472" behindDoc="0" locked="1" layoutInCell="1" allowOverlap="1" wp14:anchorId="77D17DA8" wp14:editId="4690D8D4">
                <wp:simplePos x="0" y="0"/>
                <wp:positionH relativeFrom="column">
                  <wp:posOffset>6650990</wp:posOffset>
                </wp:positionH>
                <wp:positionV relativeFrom="paragraph">
                  <wp:posOffset>1250315</wp:posOffset>
                </wp:positionV>
                <wp:extent cx="1809750" cy="495300"/>
                <wp:effectExtent l="0" t="0" r="19050" b="19050"/>
                <wp:wrapNone/>
                <wp:docPr id="2" name="Flowchart: Process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495300"/>
                        </a:xfrm>
                        <a:prstGeom prst="flowChartProcess">
                          <a:avLst/>
                        </a:prstGeom>
                        <a:solidFill>
                          <a:srgbClr val="FFFFFF"/>
                        </a:solidFill>
                        <a:ln w="9525">
                          <a:solidFill>
                            <a:srgbClr val="000000"/>
                          </a:solidFill>
                          <a:miter lim="800000"/>
                          <a:headEnd/>
                          <a:tailEnd/>
                        </a:ln>
                      </wps:spPr>
                      <wps:txbx>
                        <w:txbxContent>
                          <w:p w14:paraId="30F26C15" w14:textId="77777777" w:rsidR="00B23F48" w:rsidRDefault="00B23F48" w:rsidP="001170D5">
                            <w:r>
                              <w:t>Standarde utilizate:</w:t>
                            </w:r>
                          </w:p>
                          <w:p w14:paraId="5F2921EA" w14:textId="77777777" w:rsidR="00B23F48" w:rsidRPr="004129FE" w:rsidRDefault="00B23F48" w:rsidP="001170D5">
                            <w:r w:rsidRPr="004129FE">
                              <w:t>-</w:t>
                            </w:r>
                            <w:r>
                              <w:t xml:space="preserve">Standard SEC </w:t>
                            </w:r>
                          </w:p>
                          <w:p w14:paraId="4807085E" w14:textId="77777777" w:rsidR="00B23F48" w:rsidRPr="000D6F49" w:rsidRDefault="00B23F48" w:rsidP="001170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17DA8" id="Flowchart: Process 39" o:spid="_x0000_s1038" type="#_x0000_t109" style="position:absolute;margin-left:523.7pt;margin-top:98.45pt;width:142.5pt;height:39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">
                <v:textbox>
                  <w:txbxContent>
                    <w:p w14:paraId="30F26C15" w14:textId="77777777" w:rsidR="00B23F48" w:rsidRDefault="00B23F48" w:rsidP="001170D5">
                      <w:r>
                        <w:t>Standarde utilizate:</w:t>
                      </w:r>
                    </w:p>
                    <w:p w14:paraId="5F2921EA" w14:textId="77777777" w:rsidR="00B23F48" w:rsidRPr="004129FE" w:rsidRDefault="00B23F48" w:rsidP="001170D5">
                      <w:r w:rsidRPr="004129FE">
                        <w:t>-</w:t>
                      </w:r>
                      <w:r>
                        <w:t xml:space="preserve">Standard SEC </w:t>
                      </w:r>
                    </w:p>
                    <w:p w14:paraId="4807085E" w14:textId="77777777" w:rsidR="00B23F48" w:rsidRPr="000D6F49" w:rsidRDefault="00B23F48" w:rsidP="001170D5"/>
                  </w:txbxContent>
                </v:textbox>
                <w10:anchorlock/>
              </v:shape>
            </w:pict>
          </mc:Fallback>
        </mc:AlternateContent>
      </w:r>
    </w:p>
    <w:p w14:paraId="6BFA92C6" w14:textId="5CFBD5B3" w:rsidR="00BA5E33" w:rsidRPr="00C53F10" w:rsidRDefault="002715EA" w:rsidP="000F5753">
      <w:pPr>
        <w:tabs>
          <w:tab w:val="left" w:pos="6750"/>
        </w:tabs>
        <w:spacing w:line="276" w:lineRule="auto"/>
        <w:rPr>
          <w:rFonts w:eastAsia="MS Mincho"/>
          <w:lang w:eastAsia="ja-JP"/>
        </w:rPr>
      </w:pPr>
      <w:r w:rsidRPr="00C53F10">
        <w:rPr>
          <w:noProof/>
          <w:lang w:val="en-US" w:eastAsia="en-US"/>
        </w:rPr>
        <w:lastRenderedPageBreak/>
        <mc:AlternateContent>
          <mc:Choice Requires="wps">
            <w:drawing>
              <wp:anchor distT="0" distB="0" distL="114300" distR="114300" simplePos="0" relativeHeight="251695616" behindDoc="0" locked="0" layoutInCell="1" allowOverlap="1" wp14:anchorId="58CB6221" wp14:editId="3EEB0DBF">
                <wp:simplePos x="0" y="0"/>
                <wp:positionH relativeFrom="column">
                  <wp:posOffset>6785610</wp:posOffset>
                </wp:positionH>
                <wp:positionV relativeFrom="paragraph">
                  <wp:posOffset>280669</wp:posOffset>
                </wp:positionV>
                <wp:extent cx="1303020" cy="409575"/>
                <wp:effectExtent l="0" t="0" r="11430" b="28575"/>
                <wp:wrapNone/>
                <wp:docPr id="8"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3020" cy="409575"/>
                        </a:xfrm>
                        <a:prstGeom prst="rect">
                          <a:avLst/>
                        </a:prstGeom>
                        <a:solidFill>
                          <a:srgbClr val="FFFFFF"/>
                        </a:solidFill>
                        <a:ln w="9525">
                          <a:solidFill>
                            <a:srgbClr val="000000"/>
                          </a:solidFill>
                          <a:miter lim="800000"/>
                          <a:headEnd/>
                          <a:tailEnd/>
                        </a:ln>
                      </wps:spPr>
                      <wps:txbx>
                        <w:txbxContent>
                          <w:p w14:paraId="318D0401" w14:textId="77777777" w:rsidR="00B23F48" w:rsidRPr="00CB1B24" w:rsidRDefault="00B23F48" w:rsidP="002715EA">
                            <w:pPr>
                              <w:jc w:val="center"/>
                            </w:pPr>
                            <w:r>
                              <w:t>Baza accrual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B6221" id="_x0000_s1039" style="position:absolute;margin-left:534.3pt;margin-top:22.1pt;width:102.6pt;height:32.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">
                <v:textbox>
                  <w:txbxContent>
                    <w:p w14:paraId="318D0401" w14:textId="77777777" w:rsidR="00B23F48" w:rsidRPr="00CB1B24" w:rsidRDefault="00B23F48" w:rsidP="002715EA">
                      <w:pPr>
                        <w:jc w:val="center"/>
                      </w:pPr>
                      <w:r>
                        <w:t>Baza accrual</w:t>
                      </w:r>
                    </w:p>
                  </w:txbxContent>
                </v:textbox>
              </v:rect>
            </w:pict>
          </mc:Fallback>
        </mc:AlternateContent>
      </w:r>
      <w:r w:rsidRPr="00C53F10">
        <w:rPr>
          <w:noProof/>
          <w:lang w:val="en-US" w:eastAsia="en-US"/>
        </w:rPr>
        <mc:AlternateContent>
          <mc:Choice Requires="wps">
            <w:drawing>
              <wp:anchor distT="0" distB="0" distL="114300" distR="114300" simplePos="0" relativeHeight="251699712" behindDoc="0" locked="0" layoutInCell="1" allowOverlap="1" wp14:anchorId="3434EC49" wp14:editId="13CED518">
                <wp:simplePos x="0" y="0"/>
                <wp:positionH relativeFrom="column">
                  <wp:posOffset>6566535</wp:posOffset>
                </wp:positionH>
                <wp:positionV relativeFrom="paragraph">
                  <wp:posOffset>-405130</wp:posOffset>
                </wp:positionV>
                <wp:extent cx="1556385" cy="419100"/>
                <wp:effectExtent l="0" t="0" r="24765" b="19050"/>
                <wp:wrapNone/>
                <wp:docPr id="11"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6385" cy="419100"/>
                        </a:xfrm>
                        <a:prstGeom prst="rect">
                          <a:avLst/>
                        </a:prstGeom>
                        <a:solidFill>
                          <a:srgbClr val="FFFFFF"/>
                        </a:solidFill>
                        <a:ln w="9525">
                          <a:solidFill>
                            <a:srgbClr val="000000"/>
                          </a:solidFill>
                          <a:miter lim="800000"/>
                          <a:headEnd/>
                          <a:tailEnd/>
                        </a:ln>
                      </wps:spPr>
                      <wps:txbx>
                        <w:txbxContent>
                          <w:p w14:paraId="27B24FCD" w14:textId="77777777" w:rsidR="00B23F48" w:rsidRPr="00CB1B24" w:rsidRDefault="00B23F48" w:rsidP="002715EA">
                            <w:pPr>
                              <w:jc w:val="center"/>
                            </w:pPr>
                            <w:r>
                              <w:t>Raportare SEC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4EC49" id="_x0000_s1040" style="position:absolute;margin-left:517.05pt;margin-top:-31.9pt;width:122.55pt;height:33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">
                <v:textbox>
                  <w:txbxContent>
                    <w:p w14:paraId="27B24FCD" w14:textId="77777777" w:rsidR="00B23F48" w:rsidRPr="00CB1B24" w:rsidRDefault="00B23F48" w:rsidP="002715EA">
                      <w:pPr>
                        <w:jc w:val="center"/>
                      </w:pPr>
                      <w:r>
                        <w:t>Raportare SEC</w:t>
                      </w:r>
                    </w:p>
                  </w:txbxContent>
                </v:textbox>
              </v:rect>
            </w:pict>
          </mc:Fallback>
        </mc:AlternateContent>
      </w:r>
      <w:r w:rsidR="00DA2707" w:rsidRPr="00C53F10">
        <w:rPr>
          <w:noProof/>
          <w:lang w:val="en-US" w:eastAsia="en-US"/>
        </w:rPr>
        <mc:AlternateContent>
          <mc:Choice Requires="wps">
            <w:drawing>
              <wp:anchor distT="0" distB="0" distL="114300" distR="114300" simplePos="0" relativeHeight="251703808" behindDoc="0" locked="0" layoutInCell="1" allowOverlap="1" wp14:anchorId="2080837A" wp14:editId="01D19DEF">
                <wp:simplePos x="0" y="0"/>
                <wp:positionH relativeFrom="column">
                  <wp:posOffset>4603115</wp:posOffset>
                </wp:positionH>
                <wp:positionV relativeFrom="paragraph">
                  <wp:posOffset>33019</wp:posOffset>
                </wp:positionV>
                <wp:extent cx="2047875" cy="1343025"/>
                <wp:effectExtent l="0" t="38100" r="47625" b="28575"/>
                <wp:wrapNone/>
                <wp:docPr id="13"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7875" cy="1343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BA322" id="Straight Connector 79" o:spid="_x0000_s1026" style="position:absolute;flip:y;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45pt,2.6pt" to="523.7pt,1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">
                <v:stroke endarrow="block"/>
              </v:line>
            </w:pict>
          </mc:Fallback>
        </mc:AlternateContent>
      </w:r>
      <w:r w:rsidR="002C5540" w:rsidRPr="00C53F10">
        <w:rPr>
          <w:noProof/>
          <w:lang w:val="en-US" w:eastAsia="en-US"/>
        </w:rPr>
        <mc:AlternateContent>
          <mc:Choice Requires="wps">
            <w:drawing>
              <wp:anchor distT="0" distB="0" distL="114300" distR="114300" simplePos="0" relativeHeight="251660800" behindDoc="0" locked="0" layoutInCell="1" allowOverlap="1" wp14:anchorId="1402AE58" wp14:editId="669B31B8">
                <wp:simplePos x="0" y="0"/>
                <wp:positionH relativeFrom="column">
                  <wp:posOffset>5584190</wp:posOffset>
                </wp:positionH>
                <wp:positionV relativeFrom="paragraph">
                  <wp:posOffset>909320</wp:posOffset>
                </wp:positionV>
                <wp:extent cx="3609975" cy="3114675"/>
                <wp:effectExtent l="0" t="0" r="28575" b="28575"/>
                <wp:wrapNone/>
                <wp:docPr id="52" name="Flowchart: Process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9975" cy="3114675"/>
                        </a:xfrm>
                        <a:prstGeom prst="flowChartProcess">
                          <a:avLst/>
                        </a:prstGeom>
                        <a:solidFill>
                          <a:srgbClr val="FFFFFF"/>
                        </a:solidFill>
                        <a:ln w="9525">
                          <a:solidFill>
                            <a:srgbClr val="000000"/>
                          </a:solidFill>
                          <a:miter lim="800000"/>
                          <a:headEnd/>
                          <a:tailEnd/>
                        </a:ln>
                      </wps:spPr>
                      <wps:txbx>
                        <w:txbxContent>
                          <w:p w14:paraId="59CD9F57" w14:textId="54464367" w:rsidR="00B23F48" w:rsidRPr="002C5540" w:rsidRDefault="00B23F48" w:rsidP="000B76FB">
                            <w:pPr>
                              <w:jc w:val="both"/>
                              <w:rPr>
                                <w:sz w:val="20"/>
                                <w:szCs w:val="20"/>
                              </w:rPr>
                            </w:pPr>
                            <w:r w:rsidRPr="002C5540">
                              <w:rPr>
                                <w:sz w:val="20"/>
                                <w:szCs w:val="20"/>
                              </w:rPr>
                              <w:t>-Veniturile fiscale in baza cash sunt ajustate conform metodei simple de ajustare temporală cu o perioadă de o lună, cu excepția impozitului pe profit care are o marjă de 3 luni. Astfel, tranzacțiile sunt înregistrate atunci când a avut loc activitatea care generează obligația fiscală.</w:t>
                            </w:r>
                          </w:p>
                          <w:p w14:paraId="4066BBB9" w14:textId="1245F836" w:rsidR="00B23F48" w:rsidRPr="002C5540" w:rsidRDefault="00B23F48" w:rsidP="000B76FB">
                            <w:pPr>
                              <w:jc w:val="both"/>
                              <w:rPr>
                                <w:sz w:val="20"/>
                                <w:szCs w:val="20"/>
                              </w:rPr>
                            </w:pPr>
                            <w:r w:rsidRPr="002C5540">
                              <w:rPr>
                                <w:sz w:val="20"/>
                                <w:szCs w:val="20"/>
                              </w:rPr>
                              <w:t>-La cheltuielile bugetelor locale  se adaugă sume de plătit aferente datoriilor comerciale, salarii, contribuții, alte drepturi, din bilanțul instituțiilor publice.</w:t>
                            </w:r>
                          </w:p>
                          <w:p w14:paraId="403C905C" w14:textId="409A636A" w:rsidR="00B23F48" w:rsidRPr="002C5540" w:rsidRDefault="00B23F48" w:rsidP="000B76FB">
                            <w:pPr>
                              <w:jc w:val="both"/>
                              <w:rPr>
                                <w:sz w:val="20"/>
                                <w:szCs w:val="20"/>
                              </w:rPr>
                            </w:pPr>
                            <w:r w:rsidRPr="002C5540">
                              <w:rPr>
                                <w:sz w:val="20"/>
                                <w:szCs w:val="20"/>
                              </w:rPr>
                              <w:t>-Conform criteriului de 50% sunt incluse companiile publice locale ale căror încasări din vânzări acoperă mai puțin de 50% din costurile de producție. Sunt grupate în trei categorii: aeroporturi, centrale termice şi alte unități. Datele operative sunt transmise de companii electronic prin formularul S1001. La trimestre se estimează soldul companiilor.</w:t>
                            </w:r>
                          </w:p>
                          <w:p w14:paraId="6E7ADF54" w14:textId="77777777" w:rsidR="00B23F48" w:rsidRPr="002C5540" w:rsidRDefault="00B23F48" w:rsidP="000B76FB">
                            <w:pPr>
                              <w:jc w:val="both"/>
                              <w:rPr>
                                <w:sz w:val="20"/>
                                <w:szCs w:val="20"/>
                              </w:rPr>
                            </w:pPr>
                            <w:r w:rsidRPr="002C5540">
                              <w:rPr>
                                <w:sz w:val="20"/>
                                <w:szCs w:val="20"/>
                              </w:rPr>
                              <w:t>-Sunt efectuate ajustări privind:</w:t>
                            </w:r>
                          </w:p>
                          <w:p w14:paraId="7AD68569" w14:textId="48E3D8F6" w:rsidR="00B23F48" w:rsidRPr="002C5540" w:rsidRDefault="00B23F48" w:rsidP="000B76FB">
                            <w:pPr>
                              <w:rPr>
                                <w:sz w:val="20"/>
                                <w:szCs w:val="20"/>
                              </w:rPr>
                            </w:pPr>
                            <w:r w:rsidRPr="002C5540">
                              <w:rPr>
                                <w:sz w:val="20"/>
                                <w:szCs w:val="20"/>
                              </w:rPr>
                              <w:sym w:font="Wingdings" w:char="F09F"/>
                            </w:r>
                            <w:r w:rsidRPr="002C5540">
                              <w:rPr>
                                <w:sz w:val="20"/>
                                <w:szCs w:val="20"/>
                              </w:rPr>
                              <w:t xml:space="preserve"> diferența dintre dobânda plătită şi cea accruată;</w:t>
                            </w:r>
                          </w:p>
                          <w:p w14:paraId="12C8FC91" w14:textId="782C0498" w:rsidR="00B23F48" w:rsidRPr="002C5540" w:rsidRDefault="00B23F48" w:rsidP="000B76FB">
                            <w:pPr>
                              <w:rPr>
                                <w:sz w:val="20"/>
                                <w:szCs w:val="20"/>
                              </w:rPr>
                            </w:pPr>
                            <w:r w:rsidRPr="002C5540">
                              <w:rPr>
                                <w:sz w:val="20"/>
                                <w:szCs w:val="20"/>
                              </w:rPr>
                              <w:sym w:font="Wingdings" w:char="F09F"/>
                            </w:r>
                            <w:r w:rsidRPr="002C5540">
                              <w:rPr>
                                <w:sz w:val="20"/>
                                <w:szCs w:val="20"/>
                              </w:rPr>
                              <w:t xml:space="preserve"> diferențe aferente sumelor din tva şi impozitul pe venit defalcate de la bugetul de stat;</w:t>
                            </w:r>
                          </w:p>
                          <w:p w14:paraId="438DFE0C" w14:textId="19D38AE2" w:rsidR="00B23F48" w:rsidRPr="002C5540" w:rsidRDefault="00B23F48" w:rsidP="000B76FB">
                            <w:pPr>
                              <w:rPr>
                                <w:sz w:val="20"/>
                                <w:szCs w:val="20"/>
                              </w:rPr>
                            </w:pPr>
                            <w:r w:rsidRPr="002C5540">
                              <w:rPr>
                                <w:sz w:val="20"/>
                                <w:szCs w:val="20"/>
                              </w:rPr>
                              <w:sym w:font="Wingdings" w:char="F09F"/>
                            </w:r>
                            <w:r w:rsidRPr="002C5540">
                              <w:rPr>
                                <w:sz w:val="20"/>
                                <w:szCs w:val="20"/>
                              </w:rPr>
                              <w:t>garanțiile executate.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2AE58" id="Flowchart: Process 54" o:spid="_x0000_s1041" type="#_x0000_t109" style="position:absolute;margin-left:439.7pt;margin-top:71.6pt;width:284.25pt;height:245.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">
                <v:textbox>
                  <w:txbxContent>
                    <w:p w14:paraId="59CD9F57" w14:textId="54464367" w:rsidR="00B23F48" w:rsidRPr="002C5540" w:rsidRDefault="00B23F48" w:rsidP="000B76FB">
                      <w:pPr>
                        <w:jc w:val="both"/>
                        <w:rPr>
                          <w:sz w:val="20"/>
                          <w:szCs w:val="20"/>
                        </w:rPr>
                      </w:pPr>
                      <w:r w:rsidRPr="002C5540">
                        <w:rPr>
                          <w:sz w:val="20"/>
                          <w:szCs w:val="20"/>
                        </w:rPr>
                        <w:t>-Veniturile fiscale in baza cash sunt ajustate conform metodei simple de ajustare temporală cu o perioadă de o lună, cu excepția impozitului pe profit care are o marjă de 3 luni. Astfel, tranzacțiile sunt înregistrate atunci când a avut loc activitatea care generează obligația fiscală.</w:t>
                      </w:r>
                    </w:p>
                    <w:p w14:paraId="4066BBB9" w14:textId="1245F836" w:rsidR="00B23F48" w:rsidRPr="002C5540" w:rsidRDefault="00B23F48" w:rsidP="000B76FB">
                      <w:pPr>
                        <w:jc w:val="both"/>
                        <w:rPr>
                          <w:sz w:val="20"/>
                          <w:szCs w:val="20"/>
                        </w:rPr>
                      </w:pPr>
                      <w:r w:rsidRPr="002C5540">
                        <w:rPr>
                          <w:sz w:val="20"/>
                          <w:szCs w:val="20"/>
                        </w:rPr>
                        <w:t>-La cheltuielile bugetelor locale  se adaugă sume de plătit aferente datoriilor comerciale, salarii, contribuții, alte drepturi, din bilanțul instituțiilor publice.</w:t>
                      </w:r>
                    </w:p>
                    <w:p w14:paraId="403C905C" w14:textId="409A636A" w:rsidR="00B23F48" w:rsidRPr="002C5540" w:rsidRDefault="00B23F48" w:rsidP="000B76FB">
                      <w:pPr>
                        <w:jc w:val="both"/>
                        <w:rPr>
                          <w:sz w:val="20"/>
                          <w:szCs w:val="20"/>
                        </w:rPr>
                      </w:pPr>
                      <w:r w:rsidRPr="002C5540">
                        <w:rPr>
                          <w:sz w:val="20"/>
                          <w:szCs w:val="20"/>
                        </w:rPr>
                        <w:t>-Conform criteriului de 50% sunt incluse companiile publice locale ale căror încasări din vânzări acoperă mai puțin de 50% din costurile de producție. Sunt grupate în trei categorii: aeroporturi, centrale termice şi alte unități. Datele operative sunt transmise de companii electronic prin formularul S1001. La trimestre se estimează soldul companiilor.</w:t>
                      </w:r>
                    </w:p>
                    <w:p w14:paraId="6E7ADF54" w14:textId="77777777" w:rsidR="00B23F48" w:rsidRPr="002C5540" w:rsidRDefault="00B23F48" w:rsidP="000B76FB">
                      <w:pPr>
                        <w:jc w:val="both"/>
                        <w:rPr>
                          <w:sz w:val="20"/>
                          <w:szCs w:val="20"/>
                        </w:rPr>
                      </w:pPr>
                      <w:r w:rsidRPr="002C5540">
                        <w:rPr>
                          <w:sz w:val="20"/>
                          <w:szCs w:val="20"/>
                        </w:rPr>
                        <w:t>-Sunt efectuate ajustări privind:</w:t>
                      </w:r>
                    </w:p>
                    <w:p w14:paraId="7AD68569" w14:textId="48E3D8F6" w:rsidR="00B23F48" w:rsidRPr="002C5540" w:rsidRDefault="00B23F48" w:rsidP="000B76FB">
                      <w:pPr>
                        <w:rPr>
                          <w:sz w:val="20"/>
                          <w:szCs w:val="20"/>
                        </w:rPr>
                      </w:pPr>
                      <w:r w:rsidRPr="002C5540">
                        <w:rPr>
                          <w:sz w:val="20"/>
                          <w:szCs w:val="20"/>
                        </w:rPr>
                        <w:sym w:font="Wingdings" w:char="F09F"/>
                      </w:r>
                      <w:r w:rsidRPr="002C5540">
                        <w:rPr>
                          <w:sz w:val="20"/>
                          <w:szCs w:val="20"/>
                        </w:rPr>
                        <w:t xml:space="preserve"> diferența dintre dobânda plătită şi cea accruată;</w:t>
                      </w:r>
                    </w:p>
                    <w:p w14:paraId="12C8FC91" w14:textId="782C0498" w:rsidR="00B23F48" w:rsidRPr="002C5540" w:rsidRDefault="00B23F48" w:rsidP="000B76FB">
                      <w:pPr>
                        <w:rPr>
                          <w:sz w:val="20"/>
                          <w:szCs w:val="20"/>
                        </w:rPr>
                      </w:pPr>
                      <w:r w:rsidRPr="002C5540">
                        <w:rPr>
                          <w:sz w:val="20"/>
                          <w:szCs w:val="20"/>
                        </w:rPr>
                        <w:sym w:font="Wingdings" w:char="F09F"/>
                      </w:r>
                      <w:r w:rsidRPr="002C5540">
                        <w:rPr>
                          <w:sz w:val="20"/>
                          <w:szCs w:val="20"/>
                        </w:rPr>
                        <w:t xml:space="preserve"> diferențe aferente sumelor din tva şi impozitul pe venit defalcate de la bugetul de stat;</w:t>
                      </w:r>
                    </w:p>
                    <w:p w14:paraId="438DFE0C" w14:textId="19D38AE2" w:rsidR="00B23F48" w:rsidRPr="002C5540" w:rsidRDefault="00B23F48" w:rsidP="000B76FB">
                      <w:pPr>
                        <w:rPr>
                          <w:sz w:val="20"/>
                          <w:szCs w:val="20"/>
                        </w:rPr>
                      </w:pPr>
                      <w:r w:rsidRPr="002C5540">
                        <w:rPr>
                          <w:sz w:val="20"/>
                          <w:szCs w:val="20"/>
                        </w:rPr>
                        <w:sym w:font="Wingdings" w:char="F09F"/>
                      </w:r>
                      <w:r w:rsidRPr="002C5540">
                        <w:rPr>
                          <w:sz w:val="20"/>
                          <w:szCs w:val="20"/>
                        </w:rPr>
                        <w:t>garanțiile executate.</w:t>
                      </w:r>
                    </w:p>
                  </w:txbxContent>
                </v:textbox>
              </v:shape>
            </w:pict>
          </mc:Fallback>
        </mc:AlternateContent>
      </w:r>
      <w:r w:rsidR="002C5540" w:rsidRPr="00C53F10">
        <w:rPr>
          <w:noProof/>
          <w:lang w:val="en-US" w:eastAsia="en-US"/>
        </w:rPr>
        <mc:AlternateContent>
          <mc:Choice Requires="wps">
            <w:drawing>
              <wp:anchor distT="0" distB="0" distL="114300" distR="114300" simplePos="0" relativeHeight="251697664" behindDoc="0" locked="0" layoutInCell="1" allowOverlap="1" wp14:anchorId="135BACD7" wp14:editId="6109F1E8">
                <wp:simplePos x="0" y="0"/>
                <wp:positionH relativeFrom="column">
                  <wp:posOffset>7381875</wp:posOffset>
                </wp:positionH>
                <wp:positionV relativeFrom="paragraph">
                  <wp:posOffset>608965</wp:posOffset>
                </wp:positionV>
                <wp:extent cx="9525" cy="266700"/>
                <wp:effectExtent l="76200" t="0" r="66675" b="57150"/>
                <wp:wrapNone/>
                <wp:docPr id="10"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636BB" id="Straight Connector 47" o:spid="_x0000_s1026" style="position:absolute;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25pt,47.95pt" to="582pt,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">
                <v:stroke endarrow="block"/>
              </v:line>
            </w:pict>
          </mc:Fallback>
        </mc:AlternateContent>
      </w:r>
      <w:r w:rsidR="002C5540" w:rsidRPr="00C53F10">
        <w:rPr>
          <w:noProof/>
          <w:lang w:val="en-US" w:eastAsia="en-US"/>
        </w:rPr>
        <mc:AlternateContent>
          <mc:Choice Requires="wps">
            <w:drawing>
              <wp:anchor distT="0" distB="0" distL="114300" distR="114300" simplePos="0" relativeHeight="251701760" behindDoc="0" locked="0" layoutInCell="1" allowOverlap="1" wp14:anchorId="1F7B7DF9" wp14:editId="65FD4180">
                <wp:simplePos x="0" y="0"/>
                <wp:positionH relativeFrom="column">
                  <wp:posOffset>7315200</wp:posOffset>
                </wp:positionH>
                <wp:positionV relativeFrom="paragraph">
                  <wp:posOffset>18415</wp:posOffset>
                </wp:positionV>
                <wp:extent cx="9525" cy="266700"/>
                <wp:effectExtent l="76200" t="0" r="66675" b="57150"/>
                <wp:wrapNone/>
                <wp:docPr id="12"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3C347" id="Straight Connector 47" o:spid="_x0000_s1026" style="position:absolute;flip:x;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in,1.45pt" to="576.7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">
                <v:stroke endarrow="block"/>
              </v:line>
            </w:pict>
          </mc:Fallback>
        </mc:AlternateContent>
      </w:r>
      <w:r w:rsidR="001170D5" w:rsidRPr="00C53F10">
        <w:rPr>
          <w:noProof/>
          <w:lang w:val="en-US" w:eastAsia="en-US"/>
        </w:rPr>
        <mc:AlternateContent>
          <mc:Choice Requires="wps">
            <w:drawing>
              <wp:anchor distT="0" distB="0" distL="114300" distR="114300" simplePos="0" relativeHeight="251693568" behindDoc="0" locked="0" layoutInCell="1" allowOverlap="1" wp14:anchorId="4D66407C" wp14:editId="66C4A119">
                <wp:simplePos x="0" y="0"/>
                <wp:positionH relativeFrom="column">
                  <wp:posOffset>4076700</wp:posOffset>
                </wp:positionH>
                <wp:positionV relativeFrom="paragraph">
                  <wp:posOffset>2032635</wp:posOffset>
                </wp:positionV>
                <wp:extent cx="9525" cy="266700"/>
                <wp:effectExtent l="76200" t="0" r="66675" b="57150"/>
                <wp:wrapNone/>
                <wp:docPr id="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8FA7D" id="Straight Connector 47" o:spid="_x0000_s1026" style="position:absolute;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pt,160.05pt" to="321.75pt,1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">
                <v:stroke endarrow="block"/>
              </v:line>
            </w:pict>
          </mc:Fallback>
        </mc:AlternateContent>
      </w:r>
      <w:r w:rsidR="001170D5" w:rsidRPr="00C53F10">
        <w:rPr>
          <w:noProof/>
          <w:lang w:val="en-US" w:eastAsia="en-US"/>
        </w:rPr>
        <mc:AlternateContent>
          <mc:Choice Requires="wps">
            <w:drawing>
              <wp:anchor distT="0" distB="0" distL="114300" distR="114300" simplePos="0" relativeHeight="251653632" behindDoc="0" locked="0" layoutInCell="1" allowOverlap="1" wp14:anchorId="206523EF" wp14:editId="63205838">
                <wp:simplePos x="0" y="0"/>
                <wp:positionH relativeFrom="column">
                  <wp:posOffset>1488440</wp:posOffset>
                </wp:positionH>
                <wp:positionV relativeFrom="paragraph">
                  <wp:posOffset>2032000</wp:posOffset>
                </wp:positionV>
                <wp:extent cx="9525" cy="266700"/>
                <wp:effectExtent l="76200" t="0" r="66675" b="57150"/>
                <wp:wrapNone/>
                <wp:docPr id="45"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3338B" id="Straight Connector 47"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2pt,160pt" to="117.9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">
                <v:stroke endarrow="block"/>
              </v:line>
            </w:pict>
          </mc:Fallback>
        </mc:AlternateContent>
      </w:r>
      <w:r w:rsidR="00000000">
        <w:rPr>
          <w:rFonts w:eastAsia="MS Mincho"/>
          <w:lang w:eastAsia="ja-JP"/>
        </w:rPr>
      </w:r>
      <w:r w:rsidR="00000000">
        <w:rPr>
          <w:rFonts w:eastAsia="MS Mincho"/>
          <w:lang w:eastAsia="ja-JP"/>
        </w:rPr>
        <w:pict w14:anchorId="7B899F20">
          <v:group id="_x0000_s2137" editas="orgchart" style="width:401.85pt;height:162.45pt;mso-position-horizontal-relative:char;mso-position-vertical-relative:line" coordorigin="2843,1139" coordsize="7200,1844">
            <o:lock v:ext="edit" aspectratio="t"/>
            <o:diagram v:ext="edit" dgmstyle="0" dgmscalex="73155" dgmscaley="115451" dgmfontsize="13" constrainbounds="0,0,0,0" autolayout="f">
              <o:relationtable v:ext="edit">
                <o:rel v:ext="edit" idsrc="#_s2141" iddest="#_s2141"/>
                <o:rel v:ext="edit" idsrc="#_s2142" iddest="#_s2141" idcntr="#_s2140"/>
                <o:rel v:ext="edit" idsrc="#_s2143" iddest="#_s2141" idcntr="#_s2139"/>
              </o:relationtable>
            </o:diagram>
            <v:shape id="_x0000_s2138" type="#_x0000_t75" style="position:absolute;left:2843;top:1139;width:7200;height:1844"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2139" o:spid="_x0000_s2139" type="#_x0000_t34" style="position:absolute;left:7632;top:1157;width:483;height:1525;rotation:270;flip:x" o:connectortype="elbow" adj="4569,41043,-185719" strokeweight="2.25pt"/>
            <v:shape id="_s2140" o:spid="_x0000_s2140" type="#_x0000_t34" style="position:absolute;left:6305;top:1356;width:483;height:1128;rotation:270" o:connectortype="elbow" adj="4569,-55484,-110564" strokeweight="2.25pt"/>
            <v:roundrect id="_s2141" o:spid="_x0000_s2141" style="position:absolute;left:5830;top:1139;width:2562;height:539;v-text-anchor:middle" arcsize="10923f" o:dgmlayout="0" o:dgmnodekind="1" filled="f" fillcolor="#bbe0e3">
              <v:textbox style="mso-next-textbox:#_s2141" inset="0,0,0,0">
                <w:txbxContent>
                  <w:p w14:paraId="7E6342CE" w14:textId="1FF1C0D0" w:rsidR="00B23F48" w:rsidRDefault="00B23F48" w:rsidP="001170D5">
                    <w:pPr>
                      <w:ind w:left="-5245" w:firstLine="5245"/>
                      <w:jc w:val="center"/>
                      <w:rPr>
                        <w:b/>
                        <w:sz w:val="26"/>
                      </w:rPr>
                    </w:pPr>
                    <w:r w:rsidRPr="00783633">
                      <w:rPr>
                        <w:b/>
                        <w:sz w:val="26"/>
                      </w:rPr>
                      <w:t>Administrați</w:t>
                    </w:r>
                    <w:r>
                      <w:rPr>
                        <w:b/>
                        <w:sz w:val="26"/>
                      </w:rPr>
                      <w:t>a</w:t>
                    </w:r>
                  </w:p>
                  <w:p w14:paraId="4106E0E8" w14:textId="77777777" w:rsidR="00B23F48" w:rsidRPr="00783633" w:rsidRDefault="00B23F48" w:rsidP="001170D5">
                    <w:pPr>
                      <w:ind w:left="-5245" w:firstLine="5245"/>
                      <w:jc w:val="center"/>
                      <w:rPr>
                        <w:b/>
                        <w:sz w:val="26"/>
                      </w:rPr>
                    </w:pPr>
                    <w:r>
                      <w:rPr>
                        <w:b/>
                        <w:sz w:val="26"/>
                      </w:rPr>
                      <w:t>Locală –S1313</w:t>
                    </w:r>
                  </w:p>
                </w:txbxContent>
              </v:textbox>
            </v:roundrect>
            <v:roundrect id="_s2142" o:spid="_x0000_s2142" style="position:absolute;left:5387;top:2161;width:1191;height:306;v-text-anchor:middle" arcsize="10923f" o:dgmlayout="0" o:dgmnodekind="0" filled="f" fillcolor="#bbe0e3">
              <v:textbox style="mso-next-textbox:#_s2142" inset="0,0,0,0">
                <w:txbxContent>
                  <w:p w14:paraId="4DC8C63F" w14:textId="77777777" w:rsidR="00B23F48" w:rsidRPr="00163462" w:rsidRDefault="00B23F48" w:rsidP="001170D5">
                    <w:pPr>
                      <w:jc w:val="center"/>
                      <w:rPr>
                        <w:sz w:val="26"/>
                      </w:rPr>
                    </w:pPr>
                    <w:r w:rsidRPr="00163462">
                      <w:rPr>
                        <w:sz w:val="26"/>
                      </w:rPr>
                      <w:t>Lunar</w:t>
                    </w:r>
                  </w:p>
                  <w:p w14:paraId="2A6A2E16" w14:textId="77777777" w:rsidR="00B23F48" w:rsidRPr="00163462" w:rsidRDefault="00B23F48" w:rsidP="001170D5">
                    <w:pPr>
                      <w:jc w:val="center"/>
                      <w:rPr>
                        <w:sz w:val="26"/>
                      </w:rPr>
                    </w:pPr>
                  </w:p>
                  <w:p w14:paraId="4676DB9B" w14:textId="77777777" w:rsidR="00B23F48" w:rsidRPr="00163462" w:rsidRDefault="00B23F48" w:rsidP="001170D5">
                    <w:pPr>
                      <w:jc w:val="center"/>
                      <w:rPr>
                        <w:sz w:val="26"/>
                      </w:rPr>
                    </w:pPr>
                  </w:p>
                  <w:p w14:paraId="58D3AC70" w14:textId="77777777" w:rsidR="00B23F48" w:rsidRPr="00163462" w:rsidRDefault="00B23F48" w:rsidP="001170D5">
                    <w:pPr>
                      <w:jc w:val="center"/>
                      <w:rPr>
                        <w:sz w:val="26"/>
                      </w:rPr>
                    </w:pPr>
                  </w:p>
                  <w:p w14:paraId="4B8B2A71" w14:textId="77777777" w:rsidR="00B23F48" w:rsidRPr="00163462" w:rsidRDefault="00B23F48" w:rsidP="001170D5">
                    <w:pPr>
                      <w:jc w:val="center"/>
                      <w:rPr>
                        <w:sz w:val="26"/>
                      </w:rPr>
                    </w:pPr>
                  </w:p>
                  <w:p w14:paraId="34E7FE27" w14:textId="77777777" w:rsidR="00B23F48" w:rsidRPr="00163462" w:rsidRDefault="00B23F48" w:rsidP="001170D5">
                    <w:pPr>
                      <w:jc w:val="center"/>
                      <w:rPr>
                        <w:sz w:val="26"/>
                      </w:rPr>
                    </w:pPr>
                  </w:p>
                  <w:p w14:paraId="430DF47C" w14:textId="77777777" w:rsidR="00B23F48" w:rsidRPr="00163462" w:rsidRDefault="00B23F48" w:rsidP="001170D5">
                    <w:pPr>
                      <w:jc w:val="center"/>
                      <w:rPr>
                        <w:sz w:val="26"/>
                      </w:rPr>
                    </w:pPr>
                  </w:p>
                  <w:p w14:paraId="09691C7B" w14:textId="77777777" w:rsidR="00B23F48" w:rsidRPr="00163462" w:rsidRDefault="00B23F48" w:rsidP="001170D5">
                    <w:pPr>
                      <w:jc w:val="center"/>
                      <w:rPr>
                        <w:sz w:val="26"/>
                      </w:rPr>
                    </w:pPr>
                  </w:p>
                  <w:p w14:paraId="20764F96" w14:textId="77777777" w:rsidR="00B23F48" w:rsidRPr="00163462" w:rsidRDefault="00B23F48" w:rsidP="001170D5">
                    <w:pPr>
                      <w:jc w:val="center"/>
                      <w:rPr>
                        <w:sz w:val="26"/>
                      </w:rPr>
                    </w:pPr>
                  </w:p>
                  <w:p w14:paraId="75D7EA1B" w14:textId="77777777" w:rsidR="00B23F48" w:rsidRPr="00163462" w:rsidRDefault="00B23F48" w:rsidP="001170D5">
                    <w:pPr>
                      <w:jc w:val="center"/>
                      <w:rPr>
                        <w:sz w:val="26"/>
                      </w:rPr>
                    </w:pPr>
                  </w:p>
                </w:txbxContent>
              </v:textbox>
            </v:roundrect>
            <v:roundrect id="_s2143" o:spid="_x0000_s2143" style="position:absolute;left:7878;top:2161;width:1515;height:306;v-text-anchor:middle" arcsize="10923f" o:dgmlayout="0" o:dgmnodekind="0" filled="f" fillcolor="#bbe0e3">
              <v:textbox style="mso-next-textbox:#_s2143" inset="0,0,0,0">
                <w:txbxContent>
                  <w:p w14:paraId="7C01BE40" w14:textId="77777777" w:rsidR="00B23F48" w:rsidRPr="00163462" w:rsidRDefault="00B23F48" w:rsidP="001170D5">
                    <w:pPr>
                      <w:jc w:val="center"/>
                      <w:rPr>
                        <w:sz w:val="26"/>
                      </w:rPr>
                    </w:pPr>
                    <w:r w:rsidRPr="00163462">
                      <w:rPr>
                        <w:sz w:val="26"/>
                      </w:rPr>
                      <w:t>Trimestrial</w:t>
                    </w:r>
                  </w:p>
                </w:txbxContent>
              </v:textbox>
            </v:roundrect>
            <v:line id="_x0000_s2144" style="position:absolute" from="6456,2156" to="6510,2156"/>
            <v:line id="_x0000_s2145" style="position:absolute" from="5958,2467" to="5959,2569">
              <v:stroke endarrow="block"/>
            </v:line>
            <v:line id="_x0000_s2146" style="position:absolute" from="8664,2467" to="8676,2603">
              <v:stroke endarrow="block"/>
            </v:line>
            <v:rect id="_x0000_s2094" style="position:absolute;left:3803;top:2575;width:3032;height:408">
              <v:textbox style="mso-next-textbox:#_x0000_s2094">
                <w:txbxContent>
                  <w:p w14:paraId="34C04421" w14:textId="77777777" w:rsidR="00B23F48" w:rsidRDefault="00B23F48" w:rsidP="000B76FB">
                    <w:pPr>
                      <w:jc w:val="center"/>
                    </w:pPr>
                    <w:r>
                      <w:t>Baza cash</w:t>
                    </w:r>
                  </w:p>
                  <w:p w14:paraId="4F0286F2" w14:textId="52FCF1A4" w:rsidR="00B23F48" w:rsidRPr="0032759E" w:rsidRDefault="00B23F48" w:rsidP="000B76FB">
                    <w:r>
                      <w:t xml:space="preserve">Ministerul Finanțelor Publice </w:t>
                    </w:r>
                  </w:p>
                </w:txbxContent>
              </v:textbox>
            </v:rect>
            <v:rect id="_x0000_s2095" style="position:absolute;left:7120;top:2575;width:2923;height:408">
              <v:textbox style="mso-next-textbox:#_x0000_s2095">
                <w:txbxContent>
                  <w:p w14:paraId="2677B9F1" w14:textId="77777777" w:rsidR="00B23F48" w:rsidRDefault="00B23F48" w:rsidP="000B76FB">
                    <w:pPr>
                      <w:jc w:val="center"/>
                    </w:pPr>
                    <w:r>
                      <w:t>Baza cash</w:t>
                    </w:r>
                  </w:p>
                  <w:p w14:paraId="5A251E01" w14:textId="3A0AFC52" w:rsidR="00B23F48" w:rsidRPr="0032759E" w:rsidRDefault="00B23F48" w:rsidP="000B76FB">
                    <w:r>
                      <w:t>Ministerul Finanțelor Publice</w:t>
                    </w:r>
                  </w:p>
                </w:txbxContent>
              </v:textbox>
            </v:rect>
            <w10:wrap type="none"/>
            <w10:anchorlock/>
          </v:group>
        </w:pict>
      </w:r>
      <w:r w:rsidR="00BA5E33" w:rsidRPr="00C53F10">
        <w:rPr>
          <w:rFonts w:eastAsia="MS Mincho"/>
          <w:lang w:eastAsia="ja-JP"/>
        </w:rPr>
        <w:tab/>
      </w:r>
    </w:p>
    <w:p w14:paraId="06DD9B50" w14:textId="77777777" w:rsidR="00BA5E33" w:rsidRPr="00C53F10" w:rsidRDefault="00BA5E33" w:rsidP="000F5753">
      <w:pPr>
        <w:spacing w:line="276" w:lineRule="auto"/>
        <w:rPr>
          <w:rFonts w:eastAsia="MS Mincho"/>
          <w:lang w:eastAsia="ja-JP"/>
        </w:rPr>
      </w:pPr>
    </w:p>
    <w:p w14:paraId="7E9BF665" w14:textId="77777777" w:rsidR="00BA5E33" w:rsidRPr="00C53F10" w:rsidRDefault="00B54EB1" w:rsidP="000F5753">
      <w:pPr>
        <w:spacing w:line="276" w:lineRule="auto"/>
        <w:rPr>
          <w:rFonts w:eastAsia="MS Mincho"/>
          <w:lang w:eastAsia="ja-JP"/>
        </w:rPr>
      </w:pPr>
      <w:r w:rsidRPr="00C53F10">
        <w:rPr>
          <w:noProof/>
          <w:lang w:val="en-US" w:eastAsia="en-US"/>
        </w:rPr>
        <mc:AlternateContent>
          <mc:Choice Requires="wps">
            <w:drawing>
              <wp:anchor distT="0" distB="0" distL="114300" distR="114300" simplePos="0" relativeHeight="251633152" behindDoc="0" locked="1" layoutInCell="1" allowOverlap="1" wp14:anchorId="69AA7A72" wp14:editId="4C284FF0">
                <wp:simplePos x="0" y="0"/>
                <wp:positionH relativeFrom="column">
                  <wp:posOffset>2985135</wp:posOffset>
                </wp:positionH>
                <wp:positionV relativeFrom="paragraph">
                  <wp:posOffset>-3810</wp:posOffset>
                </wp:positionV>
                <wp:extent cx="2280285" cy="1371600"/>
                <wp:effectExtent l="10795" t="5715" r="13970" b="13335"/>
                <wp:wrapNone/>
                <wp:docPr id="44" name="Flowchart: Process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285" cy="1371600"/>
                        </a:xfrm>
                        <a:prstGeom prst="flowChartProcess">
                          <a:avLst/>
                        </a:prstGeom>
                        <a:solidFill>
                          <a:srgbClr val="FFFFFF"/>
                        </a:solidFill>
                        <a:ln w="9525">
                          <a:solidFill>
                            <a:srgbClr val="000000"/>
                          </a:solidFill>
                          <a:miter lim="800000"/>
                          <a:headEnd/>
                          <a:tailEnd/>
                        </a:ln>
                      </wps:spPr>
                      <wps:txbx>
                        <w:txbxContent>
                          <w:p w14:paraId="6C96D061" w14:textId="77777777" w:rsidR="00B23F48" w:rsidRPr="00841EAA" w:rsidRDefault="00B23F48" w:rsidP="000B76FB">
                            <w:pPr>
                              <w:rPr>
                                <w:b/>
                                <w:lang w:val="fr-FR"/>
                              </w:rPr>
                            </w:pPr>
                            <w:r w:rsidRPr="00FE4FEA">
                              <w:rPr>
                                <w:b/>
                              </w:rPr>
                              <w:t>Sursa de date primare</w:t>
                            </w:r>
                            <w:r w:rsidRPr="00841EAA">
                              <w:rPr>
                                <w:b/>
                                <w:lang w:val="fr-FR"/>
                              </w:rPr>
                              <w:t>:</w:t>
                            </w:r>
                          </w:p>
                          <w:p w14:paraId="70C5129F" w14:textId="77777777" w:rsidR="00B23F48" w:rsidRPr="006632C1" w:rsidRDefault="00B23F48" w:rsidP="000B76FB">
                            <w:r w:rsidRPr="006632C1">
                              <w:t>-Bugetul local</w:t>
                            </w:r>
                          </w:p>
                          <w:p w14:paraId="5368417E" w14:textId="1B4C8B76" w:rsidR="00B23F48" w:rsidRPr="006632C1" w:rsidRDefault="00B23F48" w:rsidP="000B76FB">
                            <w:r w:rsidRPr="006632C1">
                              <w:t>-Bugetul activităților finanțate din venituri proprii şi subvenții</w:t>
                            </w:r>
                          </w:p>
                          <w:p w14:paraId="61A54F9F" w14:textId="20BDA3BE" w:rsidR="00B23F48" w:rsidRDefault="00B23F48" w:rsidP="000B76FB">
                            <w:r w:rsidRPr="006632C1">
                              <w:t>-Buget</w:t>
                            </w:r>
                            <w:r>
                              <w:t>ele</w:t>
                            </w:r>
                            <w:r w:rsidRPr="006632C1">
                              <w:t xml:space="preserve"> împrumuturilor interne </w:t>
                            </w:r>
                            <w:r>
                              <w:t>ş</w:t>
                            </w:r>
                            <w:r w:rsidRPr="006632C1">
                              <w:t>i externe</w:t>
                            </w:r>
                          </w:p>
                          <w:p w14:paraId="1DEC603A" w14:textId="77777777" w:rsidR="00B23F48" w:rsidRDefault="00B23F48" w:rsidP="000B76FB"/>
                          <w:p w14:paraId="10346644" w14:textId="77777777" w:rsidR="00B23F48" w:rsidRPr="002B553C" w:rsidRDefault="00B23F48" w:rsidP="000B76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A7A72" id="Flowchart: Process 46" o:spid="_x0000_s1042" type="#_x0000_t109" style="position:absolute;margin-left:235.05pt;margin-top:-.3pt;width:179.55pt;height:108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">
                <v:textbox>
                  <w:txbxContent>
                    <w:p w14:paraId="6C96D061" w14:textId="77777777" w:rsidR="00B23F48" w:rsidRPr="00841EAA" w:rsidRDefault="00B23F48" w:rsidP="000B76FB">
                      <w:pPr>
                        <w:rPr>
                          <w:b/>
                          <w:lang w:val="fr-FR"/>
                        </w:rPr>
                      </w:pPr>
                      <w:r w:rsidRPr="00FE4FEA">
                        <w:rPr>
                          <w:b/>
                        </w:rPr>
                        <w:t>Sursa de date primare</w:t>
                      </w:r>
                      <w:r w:rsidRPr="00841EAA">
                        <w:rPr>
                          <w:b/>
                          <w:lang w:val="fr-FR"/>
                        </w:rPr>
                        <w:t>:</w:t>
                      </w:r>
                    </w:p>
                    <w:p w14:paraId="70C5129F" w14:textId="77777777" w:rsidR="00B23F48" w:rsidRPr="006632C1" w:rsidRDefault="00B23F48" w:rsidP="000B76FB">
                      <w:r w:rsidRPr="006632C1">
                        <w:t>-Bugetul local</w:t>
                      </w:r>
                    </w:p>
                    <w:p w14:paraId="5368417E" w14:textId="1B4C8B76" w:rsidR="00B23F48" w:rsidRPr="006632C1" w:rsidRDefault="00B23F48" w:rsidP="000B76FB">
                      <w:r w:rsidRPr="006632C1">
                        <w:t>-Bugetul activităților finanțate din venituri proprii şi subvenții</w:t>
                      </w:r>
                    </w:p>
                    <w:p w14:paraId="61A54F9F" w14:textId="20BDA3BE" w:rsidR="00B23F48" w:rsidRDefault="00B23F48" w:rsidP="000B76FB">
                      <w:r w:rsidRPr="006632C1">
                        <w:t>-Buget</w:t>
                      </w:r>
                      <w:r>
                        <w:t>ele</w:t>
                      </w:r>
                      <w:r w:rsidRPr="006632C1">
                        <w:t xml:space="preserve"> împrumuturilor interne </w:t>
                      </w:r>
                      <w:r>
                        <w:t>ş</w:t>
                      </w:r>
                      <w:r w:rsidRPr="006632C1">
                        <w:t>i externe</w:t>
                      </w:r>
                    </w:p>
                    <w:p w14:paraId="1DEC603A" w14:textId="77777777" w:rsidR="00B23F48" w:rsidRDefault="00B23F48" w:rsidP="000B76FB"/>
                    <w:p w14:paraId="10346644" w14:textId="77777777" w:rsidR="00B23F48" w:rsidRPr="002B553C" w:rsidRDefault="00B23F48" w:rsidP="000B76FB"/>
                  </w:txbxContent>
                </v:textbox>
                <w10:anchorlock/>
              </v:shape>
            </w:pict>
          </mc:Fallback>
        </mc:AlternateContent>
      </w:r>
      <w:r w:rsidRPr="00C53F10">
        <w:rPr>
          <w:noProof/>
          <w:lang w:val="en-US" w:eastAsia="en-US"/>
        </w:rPr>
        <mc:AlternateContent>
          <mc:Choice Requires="wps">
            <w:drawing>
              <wp:anchor distT="0" distB="0" distL="114300" distR="114300" simplePos="0" relativeHeight="251632128" behindDoc="0" locked="1" layoutInCell="1" allowOverlap="1" wp14:anchorId="418F92F0" wp14:editId="3C04D87B">
                <wp:simplePos x="0" y="0"/>
                <wp:positionH relativeFrom="column">
                  <wp:posOffset>495300</wp:posOffset>
                </wp:positionH>
                <wp:positionV relativeFrom="paragraph">
                  <wp:posOffset>3175</wp:posOffset>
                </wp:positionV>
                <wp:extent cx="2280285" cy="1374140"/>
                <wp:effectExtent l="6985" t="5715" r="8255" b="10795"/>
                <wp:wrapNone/>
                <wp:docPr id="43" name="Flowchart: Process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285" cy="1374140"/>
                        </a:xfrm>
                        <a:prstGeom prst="flowChartProcess">
                          <a:avLst/>
                        </a:prstGeom>
                        <a:solidFill>
                          <a:srgbClr val="FFFFFF"/>
                        </a:solidFill>
                        <a:ln w="9525">
                          <a:solidFill>
                            <a:srgbClr val="000000"/>
                          </a:solidFill>
                          <a:miter lim="800000"/>
                          <a:headEnd/>
                          <a:tailEnd/>
                        </a:ln>
                      </wps:spPr>
                      <wps:txbx>
                        <w:txbxContent>
                          <w:p w14:paraId="5DB3DD98" w14:textId="77777777" w:rsidR="00B23F48" w:rsidRPr="00841EAA" w:rsidRDefault="00B23F48" w:rsidP="000B76FB">
                            <w:pPr>
                              <w:rPr>
                                <w:b/>
                                <w:lang w:val="fr-FR"/>
                              </w:rPr>
                            </w:pPr>
                            <w:r w:rsidRPr="00FE4FEA">
                              <w:rPr>
                                <w:b/>
                              </w:rPr>
                              <w:t>Sursa de date primare</w:t>
                            </w:r>
                            <w:r w:rsidRPr="00841EAA">
                              <w:rPr>
                                <w:b/>
                                <w:lang w:val="fr-FR"/>
                              </w:rPr>
                              <w:t>:</w:t>
                            </w:r>
                          </w:p>
                          <w:p w14:paraId="5848ED94" w14:textId="77777777" w:rsidR="00B23F48" w:rsidRPr="006632C1" w:rsidRDefault="00B23F48" w:rsidP="000B76FB">
                            <w:r w:rsidRPr="006632C1">
                              <w:t>-Bugetul local</w:t>
                            </w:r>
                          </w:p>
                          <w:p w14:paraId="00CF2D0C" w14:textId="62F7B0EC" w:rsidR="00B23F48" w:rsidRPr="006632C1" w:rsidRDefault="00B23F48" w:rsidP="000B76FB">
                            <w:r w:rsidRPr="006632C1">
                              <w:t>-Bugetul activităților finanțați din venituri proprii şi subvenții</w:t>
                            </w:r>
                            <w:r>
                              <w:t xml:space="preserve"> + estimări</w:t>
                            </w:r>
                          </w:p>
                          <w:p w14:paraId="26FFD684" w14:textId="77777777" w:rsidR="00B23F48" w:rsidRPr="006632C1" w:rsidRDefault="00B23F48" w:rsidP="000B76FB">
                            <w:r w:rsidRPr="006632C1">
                              <w:t>-Buget</w:t>
                            </w:r>
                            <w:r>
                              <w:t>ele</w:t>
                            </w:r>
                            <w:r w:rsidRPr="006632C1">
                              <w:t xml:space="preserve"> </w:t>
                            </w:r>
                            <w:r>
                              <w:t>î</w:t>
                            </w:r>
                            <w:r w:rsidRPr="006632C1">
                              <w:t>mprumuturilor interne</w:t>
                            </w:r>
                            <w:r>
                              <w:t xml:space="preserve"> ş</w:t>
                            </w:r>
                            <w:r w:rsidRPr="006632C1">
                              <w:t>i externe</w:t>
                            </w:r>
                            <w:r>
                              <w:t xml:space="preserve"> +estimări</w:t>
                            </w:r>
                          </w:p>
                          <w:p w14:paraId="3FD53F6D" w14:textId="77777777" w:rsidR="00B23F48" w:rsidRDefault="00B23F48" w:rsidP="000B76FB"/>
                          <w:p w14:paraId="72EF03C9" w14:textId="77777777" w:rsidR="00B23F48" w:rsidRDefault="00B23F48" w:rsidP="000B76FB"/>
                          <w:p w14:paraId="56712D9B" w14:textId="77777777" w:rsidR="00B23F48" w:rsidRPr="002B553C" w:rsidRDefault="00B23F48" w:rsidP="000B76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F92F0" id="Flowchart: Process 45" o:spid="_x0000_s1043" type="#_x0000_t109" style="position:absolute;margin-left:39pt;margin-top:.25pt;width:179.55pt;height:108.2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">
                <v:textbox>
                  <w:txbxContent>
                    <w:p w14:paraId="5DB3DD98" w14:textId="77777777" w:rsidR="00B23F48" w:rsidRPr="00841EAA" w:rsidRDefault="00B23F48" w:rsidP="000B76FB">
                      <w:pPr>
                        <w:rPr>
                          <w:b/>
                          <w:lang w:val="fr-FR"/>
                        </w:rPr>
                      </w:pPr>
                      <w:r w:rsidRPr="00FE4FEA">
                        <w:rPr>
                          <w:b/>
                        </w:rPr>
                        <w:t>Sursa de date primare</w:t>
                      </w:r>
                      <w:r w:rsidRPr="00841EAA">
                        <w:rPr>
                          <w:b/>
                          <w:lang w:val="fr-FR"/>
                        </w:rPr>
                        <w:t>:</w:t>
                      </w:r>
                    </w:p>
                    <w:p w14:paraId="5848ED94" w14:textId="77777777" w:rsidR="00B23F48" w:rsidRPr="006632C1" w:rsidRDefault="00B23F48" w:rsidP="000B76FB">
                      <w:r w:rsidRPr="006632C1">
                        <w:t>-Bugetul local</w:t>
                      </w:r>
                    </w:p>
                    <w:p w14:paraId="00CF2D0C" w14:textId="62F7B0EC" w:rsidR="00B23F48" w:rsidRPr="006632C1" w:rsidRDefault="00B23F48" w:rsidP="000B76FB">
                      <w:r w:rsidRPr="006632C1">
                        <w:t>-Bugetul activităților finanțați din venituri proprii şi subvenții</w:t>
                      </w:r>
                      <w:r>
                        <w:t xml:space="preserve"> + estimări</w:t>
                      </w:r>
                    </w:p>
                    <w:p w14:paraId="26FFD684" w14:textId="77777777" w:rsidR="00B23F48" w:rsidRPr="006632C1" w:rsidRDefault="00B23F48" w:rsidP="000B76FB">
                      <w:r w:rsidRPr="006632C1">
                        <w:t>-Buget</w:t>
                      </w:r>
                      <w:r>
                        <w:t>ele</w:t>
                      </w:r>
                      <w:r w:rsidRPr="006632C1">
                        <w:t xml:space="preserve"> </w:t>
                      </w:r>
                      <w:r>
                        <w:t>î</w:t>
                      </w:r>
                      <w:r w:rsidRPr="006632C1">
                        <w:t>mprumuturilor interne</w:t>
                      </w:r>
                      <w:r>
                        <w:t xml:space="preserve"> ş</w:t>
                      </w:r>
                      <w:r w:rsidRPr="006632C1">
                        <w:t>i externe</w:t>
                      </w:r>
                      <w:r>
                        <w:t xml:space="preserve"> +estimări</w:t>
                      </w:r>
                    </w:p>
                    <w:p w14:paraId="3FD53F6D" w14:textId="77777777" w:rsidR="00B23F48" w:rsidRDefault="00B23F48" w:rsidP="000B76FB"/>
                    <w:p w14:paraId="72EF03C9" w14:textId="77777777" w:rsidR="00B23F48" w:rsidRDefault="00B23F48" w:rsidP="000B76FB"/>
                    <w:p w14:paraId="56712D9B" w14:textId="77777777" w:rsidR="00B23F48" w:rsidRPr="002B553C" w:rsidRDefault="00B23F48" w:rsidP="000B76FB"/>
                  </w:txbxContent>
                </v:textbox>
                <w10:anchorlock/>
              </v:shape>
            </w:pict>
          </mc:Fallback>
        </mc:AlternateContent>
      </w:r>
    </w:p>
    <w:p w14:paraId="40487295" w14:textId="77777777" w:rsidR="00BA5E33" w:rsidRPr="00C53F10" w:rsidRDefault="00BA5E33" w:rsidP="000F5753">
      <w:pPr>
        <w:spacing w:line="276" w:lineRule="auto"/>
        <w:rPr>
          <w:rFonts w:eastAsia="MS Mincho"/>
          <w:lang w:eastAsia="ja-JP"/>
        </w:rPr>
      </w:pPr>
    </w:p>
    <w:p w14:paraId="36609B91" w14:textId="77777777" w:rsidR="00BA5E33" w:rsidRPr="00C53F10" w:rsidRDefault="00BA5E33" w:rsidP="000F5753">
      <w:pPr>
        <w:spacing w:line="276" w:lineRule="auto"/>
        <w:rPr>
          <w:rFonts w:eastAsia="MS Mincho"/>
          <w:lang w:eastAsia="ja-JP"/>
        </w:rPr>
      </w:pPr>
    </w:p>
    <w:p w14:paraId="333CD08F" w14:textId="77777777" w:rsidR="00BA5E33" w:rsidRPr="00C53F10" w:rsidRDefault="00BA5E33" w:rsidP="000F5753">
      <w:pPr>
        <w:spacing w:line="276" w:lineRule="auto"/>
        <w:rPr>
          <w:rFonts w:eastAsia="MS Mincho"/>
          <w:lang w:eastAsia="ja-JP"/>
        </w:rPr>
      </w:pPr>
    </w:p>
    <w:p w14:paraId="3F19D158" w14:textId="77777777" w:rsidR="00BA5E33" w:rsidRPr="00C53F10" w:rsidRDefault="00BA5E33" w:rsidP="000F5753">
      <w:pPr>
        <w:tabs>
          <w:tab w:val="left" w:pos="7065"/>
        </w:tabs>
        <w:spacing w:line="276" w:lineRule="auto"/>
        <w:rPr>
          <w:rFonts w:eastAsia="MS Mincho"/>
          <w:lang w:eastAsia="ja-JP"/>
        </w:rPr>
      </w:pPr>
      <w:r w:rsidRPr="00C53F10">
        <w:rPr>
          <w:rFonts w:eastAsia="MS Mincho"/>
          <w:lang w:eastAsia="ja-JP"/>
        </w:rPr>
        <w:tab/>
      </w:r>
    </w:p>
    <w:p w14:paraId="5C80FD2D" w14:textId="77777777" w:rsidR="00BA5E33" w:rsidRPr="00C53F10" w:rsidRDefault="00BA5E33" w:rsidP="000F5753">
      <w:pPr>
        <w:tabs>
          <w:tab w:val="left" w:pos="2940"/>
        </w:tabs>
        <w:spacing w:line="276" w:lineRule="auto"/>
        <w:rPr>
          <w:rFonts w:eastAsia="MS Mincho"/>
          <w:lang w:eastAsia="ja-JP"/>
        </w:rPr>
      </w:pPr>
      <w:r w:rsidRPr="00C53F10">
        <w:rPr>
          <w:rFonts w:eastAsia="MS Mincho"/>
          <w:lang w:eastAsia="ja-JP"/>
        </w:rPr>
        <w:tab/>
      </w:r>
    </w:p>
    <w:p w14:paraId="5B7D89E1" w14:textId="77777777" w:rsidR="00BA5E33" w:rsidRPr="00C53F10" w:rsidRDefault="00BA5E33" w:rsidP="000F5753">
      <w:pPr>
        <w:spacing w:line="276" w:lineRule="auto"/>
        <w:rPr>
          <w:rFonts w:eastAsia="MS Mincho"/>
          <w:lang w:eastAsia="ja-JP"/>
        </w:rPr>
      </w:pPr>
    </w:p>
    <w:p w14:paraId="7A1F511B" w14:textId="77777777" w:rsidR="00BA5E33" w:rsidRPr="00C53F10" w:rsidRDefault="00B54EB1" w:rsidP="000F5753">
      <w:pPr>
        <w:spacing w:line="276" w:lineRule="auto"/>
        <w:rPr>
          <w:rFonts w:eastAsia="MS Mincho"/>
          <w:lang w:eastAsia="ja-JP"/>
        </w:rPr>
      </w:pPr>
      <w:r w:rsidRPr="00C53F10">
        <w:rPr>
          <w:noProof/>
          <w:lang w:val="en-US" w:eastAsia="en-US"/>
        </w:rPr>
        <mc:AlternateContent>
          <mc:Choice Requires="wps">
            <w:drawing>
              <wp:anchor distT="0" distB="0" distL="114300" distR="114300" simplePos="0" relativeHeight="251656704" behindDoc="0" locked="1" layoutInCell="1" allowOverlap="1" wp14:anchorId="20F1B19D" wp14:editId="7337A016">
                <wp:simplePos x="0" y="0"/>
                <wp:positionH relativeFrom="column">
                  <wp:posOffset>4204335</wp:posOffset>
                </wp:positionH>
                <wp:positionV relativeFrom="paragraph">
                  <wp:posOffset>-97155</wp:posOffset>
                </wp:positionV>
                <wp:extent cx="0" cy="457200"/>
                <wp:effectExtent l="58420" t="5715" r="55880" b="22860"/>
                <wp:wrapNone/>
                <wp:docPr id="42"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81CE3" id="Straight Connector 4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05pt,-7.65pt" to="331.0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">
                <v:stroke endarrow="block"/>
                <w10:anchorlock/>
              </v:line>
            </w:pict>
          </mc:Fallback>
        </mc:AlternateContent>
      </w:r>
      <w:r w:rsidRPr="00C53F10">
        <w:rPr>
          <w:noProof/>
          <w:lang w:val="en-US" w:eastAsia="en-US"/>
        </w:rPr>
        <mc:AlternateContent>
          <mc:Choice Requires="wps">
            <w:drawing>
              <wp:anchor distT="0" distB="0" distL="114300" distR="114300" simplePos="0" relativeHeight="251655680" behindDoc="0" locked="1" layoutInCell="1" allowOverlap="1" wp14:anchorId="380553D8" wp14:editId="3F6E5604">
                <wp:simplePos x="0" y="0"/>
                <wp:positionH relativeFrom="column">
                  <wp:posOffset>1579245</wp:posOffset>
                </wp:positionH>
                <wp:positionV relativeFrom="paragraph">
                  <wp:posOffset>-116205</wp:posOffset>
                </wp:positionV>
                <wp:extent cx="0" cy="457200"/>
                <wp:effectExtent l="52705" t="5715" r="61595" b="22860"/>
                <wp:wrapNone/>
                <wp:docPr id="41"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214C7" id="Straight Connector 4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35pt,-9.15pt" to="124.3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">
                <v:stroke endarrow="block"/>
                <w10:anchorlock/>
              </v:line>
            </w:pict>
          </mc:Fallback>
        </mc:AlternateContent>
      </w:r>
    </w:p>
    <w:p w14:paraId="1E7766E1" w14:textId="77777777" w:rsidR="00BA5E33" w:rsidRPr="00C53F10" w:rsidRDefault="00BA5E33" w:rsidP="000F5753">
      <w:pPr>
        <w:spacing w:line="276" w:lineRule="auto"/>
        <w:rPr>
          <w:rFonts w:eastAsia="MS Mincho"/>
          <w:lang w:eastAsia="ja-JP"/>
        </w:rPr>
      </w:pPr>
    </w:p>
    <w:p w14:paraId="65B29922" w14:textId="77777777" w:rsidR="00BA5E33" w:rsidRPr="00C53F10" w:rsidRDefault="00B54EB1" w:rsidP="000F5753">
      <w:pPr>
        <w:spacing w:line="276" w:lineRule="auto"/>
        <w:rPr>
          <w:rFonts w:eastAsia="MS Mincho"/>
          <w:lang w:eastAsia="ja-JP"/>
        </w:rPr>
      </w:pPr>
      <w:r w:rsidRPr="00C53F10">
        <w:rPr>
          <w:noProof/>
          <w:lang w:val="en-US" w:eastAsia="en-US"/>
        </w:rPr>
        <mc:AlternateContent>
          <mc:Choice Requires="wps">
            <w:drawing>
              <wp:anchor distT="0" distB="0" distL="114300" distR="114300" simplePos="0" relativeHeight="251634176" behindDoc="0" locked="1" layoutInCell="1" allowOverlap="1" wp14:anchorId="06E6BB69" wp14:editId="5CB06A75">
                <wp:simplePos x="0" y="0"/>
                <wp:positionH relativeFrom="column">
                  <wp:posOffset>636270</wp:posOffset>
                </wp:positionH>
                <wp:positionV relativeFrom="paragraph">
                  <wp:posOffset>-39370</wp:posOffset>
                </wp:positionV>
                <wp:extent cx="1882140" cy="457200"/>
                <wp:effectExtent l="5080" t="5715" r="8255" b="13335"/>
                <wp:wrapNone/>
                <wp:docPr id="40" name="Flowchart: Process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2140" cy="457200"/>
                        </a:xfrm>
                        <a:prstGeom prst="flowChartProcess">
                          <a:avLst/>
                        </a:prstGeom>
                        <a:solidFill>
                          <a:srgbClr val="FFFFFF"/>
                        </a:solidFill>
                        <a:ln w="9525">
                          <a:solidFill>
                            <a:srgbClr val="000000"/>
                          </a:solidFill>
                          <a:miter lim="800000"/>
                          <a:headEnd/>
                          <a:tailEnd/>
                        </a:ln>
                      </wps:spPr>
                      <wps:txbx>
                        <w:txbxContent>
                          <w:p w14:paraId="51A5A333" w14:textId="77777777" w:rsidR="00B23F48" w:rsidRDefault="00B23F48" w:rsidP="000B76FB">
                            <w:r>
                              <w:t>Standarde utilizate:</w:t>
                            </w:r>
                          </w:p>
                          <w:p w14:paraId="5A72CB65" w14:textId="167589D7" w:rsidR="00B23F48" w:rsidRPr="000D6F49" w:rsidRDefault="00B23F48" w:rsidP="000B76FB">
                            <w:r>
                              <w:t>-</w:t>
                            </w:r>
                            <w:r w:rsidRPr="006632C1">
                              <w:t>metodologie na</w:t>
                            </w:r>
                            <w:r>
                              <w:t>țională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6BB69" id="Flowchart: Process 42" o:spid="_x0000_s1044" type="#_x0000_t109" style="position:absolute;margin-left:50.1pt;margin-top:-3.1pt;width:148.2pt;height:36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">
                <v:textbox>
                  <w:txbxContent>
                    <w:p w14:paraId="51A5A333" w14:textId="77777777" w:rsidR="00B23F48" w:rsidRDefault="00B23F48" w:rsidP="000B76FB">
                      <w:r>
                        <w:t>Standarde utilizate:</w:t>
                      </w:r>
                    </w:p>
                    <w:p w14:paraId="5A72CB65" w14:textId="167589D7" w:rsidR="00B23F48" w:rsidRPr="000D6F49" w:rsidRDefault="00B23F48" w:rsidP="000B76FB">
                      <w:r>
                        <w:t>-</w:t>
                      </w:r>
                      <w:r w:rsidRPr="006632C1">
                        <w:t>metodologie na</w:t>
                      </w:r>
                      <w:r>
                        <w:t>țională</w:t>
                      </w:r>
                    </w:p>
                  </w:txbxContent>
                </v:textbox>
                <w10:anchorlock/>
              </v:shape>
            </w:pict>
          </mc:Fallback>
        </mc:AlternateContent>
      </w:r>
      <w:r w:rsidRPr="00C53F10">
        <w:rPr>
          <w:noProof/>
          <w:lang w:val="en-US" w:eastAsia="en-US"/>
        </w:rPr>
        <mc:AlternateContent>
          <mc:Choice Requires="wps">
            <w:drawing>
              <wp:anchor distT="0" distB="0" distL="114300" distR="114300" simplePos="0" relativeHeight="251635200" behindDoc="0" locked="1" layoutInCell="1" allowOverlap="1" wp14:anchorId="76F0F6FF" wp14:editId="15409571">
                <wp:simplePos x="0" y="0"/>
                <wp:positionH relativeFrom="column">
                  <wp:posOffset>3345180</wp:posOffset>
                </wp:positionH>
                <wp:positionV relativeFrom="paragraph">
                  <wp:posOffset>-36830</wp:posOffset>
                </wp:positionV>
                <wp:extent cx="1845945" cy="457200"/>
                <wp:effectExtent l="8890" t="8255" r="12065" b="10795"/>
                <wp:wrapNone/>
                <wp:docPr id="39" name="Flowchart: Process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5945" cy="457200"/>
                        </a:xfrm>
                        <a:prstGeom prst="flowChartProcess">
                          <a:avLst/>
                        </a:prstGeom>
                        <a:solidFill>
                          <a:srgbClr val="FFFFFF"/>
                        </a:solidFill>
                        <a:ln w="9525">
                          <a:solidFill>
                            <a:srgbClr val="000000"/>
                          </a:solidFill>
                          <a:miter lim="800000"/>
                          <a:headEnd/>
                          <a:tailEnd/>
                        </a:ln>
                      </wps:spPr>
                      <wps:txbx>
                        <w:txbxContent>
                          <w:p w14:paraId="55CAF588" w14:textId="77777777" w:rsidR="00B23F48" w:rsidRDefault="00B23F48" w:rsidP="000B76FB">
                            <w:r>
                              <w:t>Standarde utilizate:</w:t>
                            </w:r>
                          </w:p>
                          <w:p w14:paraId="663A520C" w14:textId="6C8D8C7E" w:rsidR="00B23F48" w:rsidRPr="006632C1" w:rsidRDefault="00B23F48" w:rsidP="000B76FB">
                            <w:r>
                              <w:t>-metodologie națională</w:t>
                            </w:r>
                          </w:p>
                          <w:p w14:paraId="666A9463" w14:textId="77777777" w:rsidR="00B23F48" w:rsidRPr="000D6F49" w:rsidRDefault="00B23F48" w:rsidP="000B76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0F6FF" id="Flowchart: Process 41" o:spid="_x0000_s1045" type="#_x0000_t109" style="position:absolute;margin-left:263.4pt;margin-top:-2.9pt;width:145.35pt;height:36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">
                <v:textbox>
                  <w:txbxContent>
                    <w:p w14:paraId="55CAF588" w14:textId="77777777" w:rsidR="00B23F48" w:rsidRDefault="00B23F48" w:rsidP="000B76FB">
                      <w:r>
                        <w:t>Standarde utilizate:</w:t>
                      </w:r>
                    </w:p>
                    <w:p w14:paraId="663A520C" w14:textId="6C8D8C7E" w:rsidR="00B23F48" w:rsidRPr="006632C1" w:rsidRDefault="00B23F48" w:rsidP="000B76FB">
                      <w:r>
                        <w:t>-metodologie națională</w:t>
                      </w:r>
                    </w:p>
                    <w:p w14:paraId="666A9463" w14:textId="77777777" w:rsidR="00B23F48" w:rsidRPr="000D6F49" w:rsidRDefault="00B23F48" w:rsidP="000B76FB"/>
                  </w:txbxContent>
                </v:textbox>
                <w10:anchorlock/>
              </v:shape>
            </w:pict>
          </mc:Fallback>
        </mc:AlternateContent>
      </w:r>
    </w:p>
    <w:p w14:paraId="0FA98D90" w14:textId="77777777" w:rsidR="00BA5E33" w:rsidRPr="00C53F10" w:rsidRDefault="00BA5E33" w:rsidP="000F5753">
      <w:pPr>
        <w:spacing w:line="276" w:lineRule="auto"/>
        <w:rPr>
          <w:rFonts w:eastAsia="MS Mincho"/>
          <w:lang w:eastAsia="ja-JP"/>
        </w:rPr>
      </w:pPr>
    </w:p>
    <w:p w14:paraId="76A8897A" w14:textId="77777777" w:rsidR="00BA5E33" w:rsidRPr="00C53F10" w:rsidRDefault="00B54EB1" w:rsidP="000F5753">
      <w:pPr>
        <w:tabs>
          <w:tab w:val="left" w:pos="2175"/>
        </w:tabs>
        <w:spacing w:line="276" w:lineRule="auto"/>
        <w:rPr>
          <w:rFonts w:eastAsia="MS Mincho"/>
          <w:lang w:eastAsia="ja-JP"/>
        </w:rPr>
      </w:pPr>
      <w:r w:rsidRPr="00C53F10">
        <w:rPr>
          <w:noProof/>
          <w:lang w:val="en-US" w:eastAsia="en-US"/>
        </w:rPr>
        <mc:AlternateContent>
          <mc:Choice Requires="wps">
            <w:drawing>
              <wp:anchor distT="0" distB="0" distL="114300" distR="114300" simplePos="0" relativeHeight="251662848" behindDoc="0" locked="1" layoutInCell="1" allowOverlap="1" wp14:anchorId="69B1CCD1" wp14:editId="4BF58693">
                <wp:simplePos x="0" y="0"/>
                <wp:positionH relativeFrom="column">
                  <wp:posOffset>7555865</wp:posOffset>
                </wp:positionH>
                <wp:positionV relativeFrom="paragraph">
                  <wp:posOffset>-742315</wp:posOffset>
                </wp:positionV>
                <wp:extent cx="9525" cy="323850"/>
                <wp:effectExtent l="76200" t="0" r="66675" b="57150"/>
                <wp:wrapNone/>
                <wp:docPr id="38"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23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356FB" id="Straight Connector 40"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95pt,-58.45pt" to="595.7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">
                <v:stroke endarrow="block"/>
                <w10:anchorlock/>
              </v:line>
            </w:pict>
          </mc:Fallback>
        </mc:AlternateContent>
      </w:r>
      <w:r w:rsidR="00BA5E33" w:rsidRPr="00C53F10">
        <w:rPr>
          <w:rFonts w:eastAsia="MS Mincho"/>
          <w:lang w:eastAsia="ja-JP"/>
        </w:rPr>
        <w:tab/>
      </w:r>
    </w:p>
    <w:p w14:paraId="3AAF080E" w14:textId="77777777" w:rsidR="00BA5E33" w:rsidRPr="00C53F10" w:rsidRDefault="00B54EB1" w:rsidP="000F5753">
      <w:pPr>
        <w:spacing w:line="276" w:lineRule="auto"/>
        <w:rPr>
          <w:rFonts w:eastAsia="MS Mincho"/>
          <w:lang w:eastAsia="ja-JP"/>
        </w:rPr>
      </w:pPr>
      <w:r w:rsidRPr="00C53F10">
        <w:rPr>
          <w:noProof/>
          <w:lang w:val="en-US" w:eastAsia="en-US"/>
        </w:rPr>
        <mc:AlternateContent>
          <mc:Choice Requires="wps">
            <w:drawing>
              <wp:anchor distT="0" distB="0" distL="114300" distR="114300" simplePos="0" relativeHeight="251661824" behindDoc="0" locked="1" layoutInCell="1" allowOverlap="1" wp14:anchorId="7E96074F" wp14:editId="7ABA04C8">
                <wp:simplePos x="0" y="0"/>
                <wp:positionH relativeFrom="column">
                  <wp:posOffset>6555740</wp:posOffset>
                </wp:positionH>
                <wp:positionV relativeFrom="paragraph">
                  <wp:posOffset>-620395</wp:posOffset>
                </wp:positionV>
                <wp:extent cx="2190750" cy="457200"/>
                <wp:effectExtent l="0" t="0" r="19050" b="19050"/>
                <wp:wrapNone/>
                <wp:docPr id="37" name="Flowchart: Process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457200"/>
                        </a:xfrm>
                        <a:prstGeom prst="flowChartProcess">
                          <a:avLst/>
                        </a:prstGeom>
                        <a:solidFill>
                          <a:srgbClr val="FFFFFF"/>
                        </a:solidFill>
                        <a:ln w="9525">
                          <a:solidFill>
                            <a:srgbClr val="000000"/>
                          </a:solidFill>
                          <a:miter lim="800000"/>
                          <a:headEnd/>
                          <a:tailEnd/>
                        </a:ln>
                      </wps:spPr>
                      <wps:txbx>
                        <w:txbxContent>
                          <w:p w14:paraId="1823151C" w14:textId="77777777" w:rsidR="00B23F48" w:rsidRDefault="00B23F48" w:rsidP="000B76FB">
                            <w:r>
                              <w:t>Standarde utilizate:</w:t>
                            </w:r>
                          </w:p>
                          <w:p w14:paraId="14ED9689" w14:textId="77777777" w:rsidR="00B23F48" w:rsidRPr="004129FE" w:rsidRDefault="00B23F48" w:rsidP="000B76FB">
                            <w:r w:rsidRPr="004129FE">
                              <w:t>-</w:t>
                            </w:r>
                            <w:r>
                              <w:t xml:space="preserve">Standard SEC </w:t>
                            </w:r>
                          </w:p>
                          <w:p w14:paraId="79B4C48E" w14:textId="77777777" w:rsidR="00B23F48" w:rsidRPr="000D6F49" w:rsidRDefault="00B23F48" w:rsidP="000B76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6074F" id="_x0000_s1046" type="#_x0000_t109" style="position:absolute;margin-left:516.2pt;margin-top:-48.85pt;width:172.5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">
                <v:textbox>
                  <w:txbxContent>
                    <w:p w14:paraId="1823151C" w14:textId="77777777" w:rsidR="00B23F48" w:rsidRDefault="00B23F48" w:rsidP="000B76FB">
                      <w:r>
                        <w:t>Standarde utilizate:</w:t>
                      </w:r>
                    </w:p>
                    <w:p w14:paraId="14ED9689" w14:textId="77777777" w:rsidR="00B23F48" w:rsidRPr="004129FE" w:rsidRDefault="00B23F48" w:rsidP="000B76FB">
                      <w:r w:rsidRPr="004129FE">
                        <w:t>-</w:t>
                      </w:r>
                      <w:r>
                        <w:t xml:space="preserve">Standard SEC </w:t>
                      </w:r>
                    </w:p>
                    <w:p w14:paraId="79B4C48E" w14:textId="77777777" w:rsidR="00B23F48" w:rsidRPr="000D6F49" w:rsidRDefault="00B23F48" w:rsidP="000B76FB"/>
                  </w:txbxContent>
                </v:textbox>
                <w10:anchorlock/>
              </v:shape>
            </w:pict>
          </mc:Fallback>
        </mc:AlternateContent>
      </w:r>
    </w:p>
    <w:p w14:paraId="692DA6CE" w14:textId="539C5474" w:rsidR="00BA5E33" w:rsidRPr="00C53F10" w:rsidRDefault="00B54EB1" w:rsidP="000F5753">
      <w:pPr>
        <w:spacing w:line="276" w:lineRule="auto"/>
        <w:rPr>
          <w:rFonts w:eastAsia="MS Mincho"/>
          <w:lang w:eastAsia="ja-JP"/>
        </w:rPr>
      </w:pPr>
      <w:r w:rsidRPr="00C53F10">
        <w:rPr>
          <w:noProof/>
          <w:lang w:val="en-US" w:eastAsia="en-US"/>
        </w:rPr>
        <w:lastRenderedPageBreak/>
        <mc:AlternateContent>
          <mc:Choice Requires="wps">
            <w:drawing>
              <wp:anchor distT="0" distB="0" distL="114300" distR="114300" simplePos="0" relativeHeight="251650560" behindDoc="0" locked="1" layoutInCell="1" allowOverlap="1" wp14:anchorId="026892AC" wp14:editId="00CF8563">
                <wp:simplePos x="0" y="0"/>
                <wp:positionH relativeFrom="column">
                  <wp:posOffset>4051935</wp:posOffset>
                </wp:positionH>
                <wp:positionV relativeFrom="paragraph">
                  <wp:posOffset>2309495</wp:posOffset>
                </wp:positionV>
                <wp:extent cx="0" cy="400050"/>
                <wp:effectExtent l="76200" t="0" r="57150" b="57150"/>
                <wp:wrapNone/>
                <wp:docPr id="36"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DBFD4" id="Straight Connector 38"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05pt,181.85pt" to="319.05pt,2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">
                <v:stroke endarrow="block"/>
                <w10:anchorlock/>
              </v:line>
            </w:pict>
          </mc:Fallback>
        </mc:AlternateContent>
      </w:r>
      <w:r w:rsidRPr="00C53F10">
        <w:rPr>
          <w:noProof/>
          <w:lang w:val="en-US" w:eastAsia="en-US"/>
        </w:rPr>
        <mc:AlternateContent>
          <mc:Choice Requires="wps">
            <w:drawing>
              <wp:anchor distT="0" distB="0" distL="114300" distR="114300" simplePos="0" relativeHeight="251649536" behindDoc="0" locked="1" layoutInCell="1" allowOverlap="1" wp14:anchorId="343CE396" wp14:editId="1EF3B9F2">
                <wp:simplePos x="0" y="0"/>
                <wp:positionH relativeFrom="column">
                  <wp:posOffset>1303020</wp:posOffset>
                </wp:positionH>
                <wp:positionV relativeFrom="paragraph">
                  <wp:posOffset>2257425</wp:posOffset>
                </wp:positionV>
                <wp:extent cx="0" cy="457200"/>
                <wp:effectExtent l="60960" t="7620" r="53340" b="20955"/>
                <wp:wrapNone/>
                <wp:docPr id="35"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0C076" id="Straight Connector 37"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77.75pt" to="102.6pt,2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">
                <v:stroke endarrow="block"/>
                <w10:anchorlock/>
              </v:line>
            </w:pict>
          </mc:Fallback>
        </mc:AlternateContent>
      </w:r>
      <w:r w:rsidRPr="00C53F10">
        <w:rPr>
          <w:noProof/>
          <w:lang w:val="en-US" w:eastAsia="en-US"/>
        </w:rPr>
        <mc:AlternateContent>
          <mc:Choice Requires="wps">
            <w:drawing>
              <wp:anchor distT="0" distB="0" distL="114300" distR="114300" simplePos="0" relativeHeight="251644416" behindDoc="0" locked="1" layoutInCell="1" allowOverlap="1" wp14:anchorId="0731320D" wp14:editId="0559D03D">
                <wp:simplePos x="0" y="0"/>
                <wp:positionH relativeFrom="column">
                  <wp:posOffset>4198620</wp:posOffset>
                </wp:positionH>
                <wp:positionV relativeFrom="paragraph">
                  <wp:posOffset>1371600</wp:posOffset>
                </wp:positionV>
                <wp:extent cx="1303020" cy="0"/>
                <wp:effectExtent l="13335" t="55245" r="17145" b="59055"/>
                <wp:wrapNone/>
                <wp:docPr id="34"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30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90546" id="Straight Connector 36"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6pt,108pt" to="433.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">
                <v:stroke endarrow="block"/>
                <w10:anchorlock/>
              </v:line>
            </w:pict>
          </mc:Fallback>
        </mc:AlternateContent>
      </w:r>
      <w:r w:rsidRPr="00C53F10">
        <w:rPr>
          <w:noProof/>
          <w:lang w:val="en-US" w:eastAsia="en-US"/>
        </w:rPr>
        <mc:AlternateContent>
          <mc:Choice Requires="wps">
            <w:drawing>
              <wp:anchor distT="0" distB="0" distL="114300" distR="114300" simplePos="0" relativeHeight="251646464" behindDoc="0" locked="1" layoutInCell="1" allowOverlap="1" wp14:anchorId="61967622" wp14:editId="643EE0DC">
                <wp:simplePos x="0" y="0"/>
                <wp:positionH relativeFrom="column">
                  <wp:posOffset>6551295</wp:posOffset>
                </wp:positionH>
                <wp:positionV relativeFrom="paragraph">
                  <wp:posOffset>1600200</wp:posOffset>
                </wp:positionV>
                <wp:extent cx="0" cy="228600"/>
                <wp:effectExtent l="60960" t="7620" r="53340" b="20955"/>
                <wp:wrapNone/>
                <wp:docPr id="33"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1A073" id="Straight Connector 35"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85pt,126pt" to="515.85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">
                <v:stroke endarrow="block"/>
                <w10:anchorlock/>
              </v:line>
            </w:pict>
          </mc:Fallback>
        </mc:AlternateContent>
      </w:r>
      <w:r w:rsidRPr="00C53F10">
        <w:rPr>
          <w:noProof/>
          <w:lang w:val="en-US" w:eastAsia="en-US"/>
        </w:rPr>
        <mc:AlternateContent>
          <mc:Choice Requires="wps">
            <w:drawing>
              <wp:anchor distT="0" distB="0" distL="114300" distR="114300" simplePos="0" relativeHeight="251640320" behindDoc="0" locked="1" layoutInCell="1" allowOverlap="1" wp14:anchorId="5B454CA9" wp14:editId="0C9AC916">
                <wp:simplePos x="0" y="0"/>
                <wp:positionH relativeFrom="column">
                  <wp:posOffset>5935980</wp:posOffset>
                </wp:positionH>
                <wp:positionV relativeFrom="paragraph">
                  <wp:posOffset>1828800</wp:posOffset>
                </wp:positionV>
                <wp:extent cx="1845945" cy="342900"/>
                <wp:effectExtent l="7620" t="7620" r="13335" b="11430"/>
                <wp:wrapNone/>
                <wp:docPr id="32" name="Flowchart: Process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5945" cy="342900"/>
                        </a:xfrm>
                        <a:prstGeom prst="flowChartProcess">
                          <a:avLst/>
                        </a:prstGeom>
                        <a:solidFill>
                          <a:srgbClr val="FFFFFF"/>
                        </a:solidFill>
                        <a:ln w="9525">
                          <a:solidFill>
                            <a:srgbClr val="000000"/>
                          </a:solidFill>
                          <a:miter lim="800000"/>
                          <a:headEnd/>
                          <a:tailEnd/>
                        </a:ln>
                      </wps:spPr>
                      <wps:txbx>
                        <w:txbxContent>
                          <w:p w14:paraId="4E06F7E7" w14:textId="77777777" w:rsidR="00B23F48" w:rsidRPr="009727EE" w:rsidRDefault="00B23F48" w:rsidP="000B76FB">
                            <w:pPr>
                              <w:jc w:val="center"/>
                            </w:pPr>
                            <w:r>
                              <w:t>Baza accrual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54CA9" id="Flowchart: Process 34" o:spid="_x0000_s1047" type="#_x0000_t109" style="position:absolute;margin-left:467.4pt;margin-top:2in;width:145.35pt;height:2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">
                <v:textbox>
                  <w:txbxContent>
                    <w:p w14:paraId="4E06F7E7" w14:textId="77777777" w:rsidR="00B23F48" w:rsidRPr="009727EE" w:rsidRDefault="00B23F48" w:rsidP="000B76FB">
                      <w:pPr>
                        <w:jc w:val="center"/>
                      </w:pPr>
                      <w:r>
                        <w:t>Baza accrual</w:t>
                      </w:r>
                    </w:p>
                  </w:txbxContent>
                </v:textbox>
                <w10:anchorlock/>
              </v:shape>
            </w:pict>
          </mc:Fallback>
        </mc:AlternateContent>
      </w:r>
      <w:r w:rsidRPr="00C53F10">
        <w:rPr>
          <w:noProof/>
          <w:lang w:val="en-US" w:eastAsia="en-US"/>
        </w:rPr>
        <mc:AlternateContent>
          <mc:Choice Requires="wps">
            <w:drawing>
              <wp:anchor distT="0" distB="0" distL="114300" distR="114300" simplePos="0" relativeHeight="251645440" behindDoc="0" locked="1" layoutInCell="1" allowOverlap="1" wp14:anchorId="292114BB" wp14:editId="75250533">
                <wp:simplePos x="0" y="0"/>
                <wp:positionH relativeFrom="column">
                  <wp:posOffset>6515100</wp:posOffset>
                </wp:positionH>
                <wp:positionV relativeFrom="paragraph">
                  <wp:posOffset>1600200</wp:posOffset>
                </wp:positionV>
                <wp:extent cx="0" cy="0"/>
                <wp:effectExtent l="5715" t="55245" r="22860" b="59055"/>
                <wp:wrapNone/>
                <wp:docPr id="31"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9A70D" id="Straight Connector 33"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126pt" to="513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">
                <v:stroke endarrow="block"/>
                <w10:anchorlock/>
              </v:line>
            </w:pict>
          </mc:Fallback>
        </mc:AlternateContent>
      </w:r>
      <w:r w:rsidRPr="00C53F10">
        <w:rPr>
          <w:noProof/>
          <w:lang w:val="en-US" w:eastAsia="en-US"/>
        </w:rPr>
        <mc:AlternateContent>
          <mc:Choice Requires="wps">
            <w:drawing>
              <wp:anchor distT="0" distB="0" distL="114300" distR="114300" simplePos="0" relativeHeight="251641344" behindDoc="0" locked="1" layoutInCell="1" allowOverlap="1" wp14:anchorId="2845695E" wp14:editId="09E80E19">
                <wp:simplePos x="0" y="0"/>
                <wp:positionH relativeFrom="column">
                  <wp:posOffset>5501640</wp:posOffset>
                </wp:positionH>
                <wp:positionV relativeFrom="paragraph">
                  <wp:posOffset>1028700</wp:posOffset>
                </wp:positionV>
                <wp:extent cx="1845945" cy="571500"/>
                <wp:effectExtent l="11430" t="7620" r="9525" b="11430"/>
                <wp:wrapNone/>
                <wp:docPr id="30" name="Flowchart: Process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5945" cy="571500"/>
                        </a:xfrm>
                        <a:prstGeom prst="flowChartProcess">
                          <a:avLst/>
                        </a:prstGeom>
                        <a:solidFill>
                          <a:srgbClr val="FFFFFF"/>
                        </a:solidFill>
                        <a:ln w="9525">
                          <a:solidFill>
                            <a:srgbClr val="000000"/>
                          </a:solidFill>
                          <a:miter lim="800000"/>
                          <a:headEnd/>
                          <a:tailEnd/>
                        </a:ln>
                      </wps:spPr>
                      <wps:txbx>
                        <w:txbxContent>
                          <w:p w14:paraId="39ED56BE" w14:textId="77777777" w:rsidR="00B23F48" w:rsidRPr="004129FE" w:rsidRDefault="00B23F48" w:rsidP="000B76FB">
                            <w:pPr>
                              <w:jc w:val="center"/>
                            </w:pPr>
                            <w:r>
                              <w:t>Raportare SEC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5695E" id="Flowchart: Process 32" o:spid="_x0000_s1048" type="#_x0000_t109" style="position:absolute;margin-left:433.2pt;margin-top:81pt;width:145.35pt;height: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">
                <v:textbox>
                  <w:txbxContent>
                    <w:p w14:paraId="39ED56BE" w14:textId="77777777" w:rsidR="00B23F48" w:rsidRPr="004129FE" w:rsidRDefault="00B23F48" w:rsidP="000B76FB">
                      <w:pPr>
                        <w:jc w:val="center"/>
                      </w:pPr>
                      <w:r>
                        <w:t>Raportare SEC</w:t>
                      </w:r>
                    </w:p>
                  </w:txbxContent>
                </v:textbox>
                <w10:anchorlock/>
              </v:shape>
            </w:pict>
          </mc:Fallback>
        </mc:AlternateContent>
      </w:r>
      <w:r w:rsidR="00000000">
        <w:rPr>
          <w:rFonts w:eastAsia="MS Mincho"/>
          <w:lang w:eastAsia="ja-JP"/>
        </w:rPr>
      </w:r>
      <w:r w:rsidR="00000000">
        <w:rPr>
          <w:rFonts w:eastAsia="MS Mincho"/>
          <w:lang w:eastAsia="ja-JP"/>
        </w:rPr>
        <w:pict w14:anchorId="6D00C293">
          <v:group id="_x0000_s2113" editas="orgchart" style="width:415.05pt;height:198.35pt;mso-position-horizontal-relative:char;mso-position-vertical-relative:line" coordorigin="2501,934" coordsize="7884,2258">
            <o:lock v:ext="edit" aspectratio="t"/>
            <o:diagram v:ext="edit" dgmstyle="0" dgmscalex="69004" dgmscaley="115130" dgmfontsize="12" constrainbounds="0,0,0,0" autolayout="f">
              <o:relationtable v:ext="edit">
                <o:rel v:ext="edit" idsrc="#_s2117" iddest="#_s2117"/>
                <o:rel v:ext="edit" idsrc="#_s2118" iddest="#_s2117" idcntr="#_s2116"/>
                <o:rel v:ext="edit" idsrc="#_s2119" iddest="#_s2117" idcntr="#_s2115"/>
              </o:relationtable>
            </o:diagram>
            <v:shape id="_x0000_s2114" type="#_x0000_t75" style="position:absolute;left:2501;top:934;width:7884;height:2258" o:preferrelative="f">
              <v:fill o:detectmouseclick="t"/>
              <v:path o:extrusionok="t" o:connecttype="none"/>
              <o:lock v:ext="edit" text="t"/>
            </v:shape>
            <v:shape id="_s2115" o:spid="_x0000_s2115" type="#_x0000_t34" style="position:absolute;left:7668;top:1492;width:380;height:958;rotation:270;flip:x" o:connectortype="elbow" adj="5820,76510,-235369" strokeweight="2.25pt"/>
            <v:shape id="_s2116" o:spid="_x0000_s2116" type="#_x0000_t34" style="position:absolute;left:6572;top:1354;width:380;height:1234;rotation:270" o:connectortype="elbow" adj="5820,-59429,-160739" strokeweight="2.25pt"/>
            <v:roundrect id="_s2117" o:spid="_x0000_s2117" style="position:absolute;left:6362;top:1241;width:2034;height:540;v-text-anchor:middle" arcsize="10923f" o:dgmlayout="0" o:dgmnodekind="1" filled="f" fillcolor="#bbe0e3">
              <v:textbox style="mso-next-textbox:#_s2117" inset="0,0,0,0">
                <w:txbxContent>
                  <w:p w14:paraId="76985DF5" w14:textId="21B98CE2" w:rsidR="00B23F48" w:rsidRPr="009B2F65" w:rsidRDefault="00B23F48" w:rsidP="000B76FB">
                    <w:pPr>
                      <w:jc w:val="center"/>
                      <w:rPr>
                        <w:b/>
                      </w:rPr>
                    </w:pPr>
                    <w:r w:rsidRPr="009B2F65">
                      <w:rPr>
                        <w:b/>
                      </w:rPr>
                      <w:t xml:space="preserve">Administrația asigurărilor sociale </w:t>
                    </w:r>
                    <w:r>
                      <w:rPr>
                        <w:b/>
                      </w:rPr>
                      <w:t>-</w:t>
                    </w:r>
                    <w:r w:rsidRPr="009B2F65">
                      <w:rPr>
                        <w:b/>
                      </w:rPr>
                      <w:t>S1314</w:t>
                    </w:r>
                    <w:r>
                      <w:rPr>
                        <w:b/>
                      </w:rPr>
                      <w:t>-</w:t>
                    </w:r>
                  </w:p>
                  <w:p w14:paraId="4E597CC2" w14:textId="77777777" w:rsidR="00B23F48" w:rsidRPr="008F47C6" w:rsidRDefault="00B23F48" w:rsidP="000B76FB">
                    <w:pPr>
                      <w:jc w:val="center"/>
                    </w:pPr>
                    <w:r>
                      <w:t>locală</w:t>
                    </w:r>
                  </w:p>
                </w:txbxContent>
              </v:textbox>
            </v:roundrect>
            <v:roundrect id="_s2118" o:spid="_x0000_s2118" style="position:absolute;left:5387;top:2161;width:1516;height:306;v-text-anchor:middle" arcsize="10923f" o:dgmlayout="0" o:dgmnodekind="0" filled="f" fillcolor="#bbe0e3">
              <v:textbox style="mso-next-textbox:#_s2118" inset="0,0,0,0">
                <w:txbxContent>
                  <w:p w14:paraId="4DA83063" w14:textId="77777777" w:rsidR="00B23F48" w:rsidRPr="008F47C6" w:rsidRDefault="00B23F48" w:rsidP="000B76FB">
                    <w:pPr>
                      <w:jc w:val="center"/>
                    </w:pPr>
                    <w:r>
                      <w:t>Lunar</w:t>
                    </w:r>
                  </w:p>
                  <w:p w14:paraId="48552533" w14:textId="77777777" w:rsidR="00B23F48" w:rsidRPr="008F47C6" w:rsidRDefault="00B23F48" w:rsidP="000B76FB">
                    <w:pPr>
                      <w:jc w:val="center"/>
                    </w:pPr>
                  </w:p>
                  <w:p w14:paraId="0580EA33" w14:textId="77777777" w:rsidR="00B23F48" w:rsidRPr="008F47C6" w:rsidRDefault="00B23F48" w:rsidP="000B76FB">
                    <w:pPr>
                      <w:jc w:val="center"/>
                    </w:pPr>
                  </w:p>
                  <w:p w14:paraId="3DA563BF" w14:textId="77777777" w:rsidR="00B23F48" w:rsidRPr="008F47C6" w:rsidRDefault="00B23F48" w:rsidP="000B76FB">
                    <w:pPr>
                      <w:jc w:val="center"/>
                    </w:pPr>
                  </w:p>
                  <w:p w14:paraId="0CF0593A" w14:textId="77777777" w:rsidR="00B23F48" w:rsidRPr="008F47C6" w:rsidRDefault="00B23F48" w:rsidP="000B76FB">
                    <w:pPr>
                      <w:jc w:val="center"/>
                    </w:pPr>
                  </w:p>
                  <w:p w14:paraId="7B9BBA71" w14:textId="77777777" w:rsidR="00B23F48" w:rsidRPr="008F47C6" w:rsidRDefault="00B23F48" w:rsidP="000B76FB">
                    <w:pPr>
                      <w:jc w:val="center"/>
                    </w:pPr>
                  </w:p>
                  <w:p w14:paraId="204C7FFB" w14:textId="77777777" w:rsidR="00B23F48" w:rsidRPr="008F47C6" w:rsidRDefault="00B23F48" w:rsidP="000B76FB">
                    <w:pPr>
                      <w:jc w:val="center"/>
                    </w:pPr>
                  </w:p>
                  <w:p w14:paraId="31D68EA2" w14:textId="77777777" w:rsidR="00B23F48" w:rsidRPr="008F47C6" w:rsidRDefault="00B23F48" w:rsidP="000B76FB">
                    <w:pPr>
                      <w:jc w:val="center"/>
                    </w:pPr>
                  </w:p>
                  <w:p w14:paraId="0F2ABD83" w14:textId="77777777" w:rsidR="00B23F48" w:rsidRPr="008F47C6" w:rsidRDefault="00B23F48" w:rsidP="000B76FB">
                    <w:pPr>
                      <w:jc w:val="center"/>
                    </w:pPr>
                  </w:p>
                  <w:p w14:paraId="75B50A33" w14:textId="77777777" w:rsidR="00B23F48" w:rsidRPr="008F47C6" w:rsidRDefault="00B23F48" w:rsidP="000B76FB">
                    <w:pPr>
                      <w:jc w:val="center"/>
                    </w:pPr>
                  </w:p>
                  <w:p w14:paraId="3D554EE6" w14:textId="77777777" w:rsidR="00B23F48" w:rsidRPr="008F47C6" w:rsidRDefault="00B23F48" w:rsidP="000B76FB">
                    <w:pPr>
                      <w:jc w:val="center"/>
                    </w:pPr>
                  </w:p>
                </w:txbxContent>
              </v:textbox>
            </v:roundrect>
            <v:roundrect id="_s2119" o:spid="_x0000_s2119" style="position:absolute;left:7661;top:2161;width:1353;height:306;v-text-anchor:middle" arcsize="10923f" o:dgmlayout="0" o:dgmnodekind="0" filled="f" fillcolor="#bbe0e3">
              <v:textbox style="mso-next-textbox:#_s2119" inset="0,0,0,0">
                <w:txbxContent>
                  <w:p w14:paraId="53813AC8" w14:textId="77777777" w:rsidR="00B23F48" w:rsidRPr="008F47C6" w:rsidRDefault="00B23F48" w:rsidP="000B76FB">
                    <w:pPr>
                      <w:jc w:val="center"/>
                    </w:pPr>
                    <w:r>
                      <w:t>Trimestrial</w:t>
                    </w:r>
                  </w:p>
                </w:txbxContent>
              </v:textbox>
            </v:roundrect>
            <v:line id="_x0000_s2120" style="position:absolute" from="6456,2156" to="6510,2156"/>
            <v:rect id="_x0000_s2121" style="position:absolute;left:3384;top:2569;width:3032;height:408">
              <v:textbox style="mso-next-textbox:#_x0000_s2121">
                <w:txbxContent>
                  <w:p w14:paraId="11C3FD97" w14:textId="77777777" w:rsidR="00B23F48" w:rsidRDefault="00B23F48" w:rsidP="000B76FB">
                    <w:pPr>
                      <w:jc w:val="center"/>
                    </w:pPr>
                    <w:r>
                      <w:t>Baza cash</w:t>
                    </w:r>
                  </w:p>
                  <w:p w14:paraId="26E440EE" w14:textId="1B48599F" w:rsidR="00B23F48" w:rsidRPr="0032759E" w:rsidRDefault="00B23F48" w:rsidP="000B76FB">
                    <w:r>
                      <w:t xml:space="preserve">Ministerul Finanțelor Publice </w:t>
                    </w:r>
                  </w:p>
                </w:txbxContent>
              </v:textbox>
            </v:rect>
            <v:rect id="_x0000_s2122" style="position:absolute;left:6741;top:2573;width:3302;height:414">
              <v:textbox style="mso-next-textbox:#_x0000_s2122">
                <w:txbxContent>
                  <w:p w14:paraId="78EF505C" w14:textId="77777777" w:rsidR="00B23F48" w:rsidRDefault="00B23F48" w:rsidP="000B76FB">
                    <w:pPr>
                      <w:jc w:val="center"/>
                    </w:pPr>
                    <w:r>
                      <w:t>Baza cash</w:t>
                    </w:r>
                  </w:p>
                  <w:p w14:paraId="0FEADFFF" w14:textId="450D1937" w:rsidR="00B23F48" w:rsidRPr="0032759E" w:rsidRDefault="00B23F48" w:rsidP="000B76FB">
                    <w:r>
                      <w:t>Ministerul Finanțelor Publice</w:t>
                    </w:r>
                  </w:p>
                </w:txbxContent>
              </v:textbox>
            </v:rect>
            <v:line id="_x0000_s2123" style="position:absolute" from="5766,2471" to="5767,2573">
              <v:stroke endarrow="block"/>
            </v:line>
            <v:line id="_x0000_s2124" style="position:absolute" from="8311,2471" to="8312,2573">
              <v:stroke endarrow="block"/>
            </v:line>
            <w10:wrap type="none"/>
            <w10:anchorlock/>
          </v:group>
        </w:pict>
      </w:r>
    </w:p>
    <w:p w14:paraId="17652433" w14:textId="77777777" w:rsidR="00BA5E33" w:rsidRPr="00C53F10" w:rsidRDefault="00B54EB1" w:rsidP="000F5753">
      <w:pPr>
        <w:spacing w:line="276" w:lineRule="auto"/>
        <w:rPr>
          <w:rFonts w:eastAsia="MS Mincho"/>
          <w:lang w:eastAsia="ja-JP"/>
        </w:rPr>
      </w:pPr>
      <w:r w:rsidRPr="00C53F10">
        <w:rPr>
          <w:noProof/>
          <w:lang w:val="en-US" w:eastAsia="en-US"/>
        </w:rPr>
        <mc:AlternateContent>
          <mc:Choice Requires="wps">
            <w:drawing>
              <wp:anchor distT="0" distB="0" distL="114300" distR="114300" simplePos="0" relativeHeight="251647488" behindDoc="0" locked="1" layoutInCell="1" allowOverlap="1" wp14:anchorId="513579E3" wp14:editId="0B91D64E">
                <wp:simplePos x="0" y="0"/>
                <wp:positionH relativeFrom="column">
                  <wp:posOffset>6840855</wp:posOffset>
                </wp:positionH>
                <wp:positionV relativeFrom="paragraph">
                  <wp:posOffset>-368300</wp:posOffset>
                </wp:positionV>
                <wp:extent cx="0" cy="228600"/>
                <wp:effectExtent l="55245" t="5715" r="59055" b="22860"/>
                <wp:wrapNone/>
                <wp:docPr id="29"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064BC" id="Line 148"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65pt,-29pt" to="538.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WnMKgIAAEw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">
                <v:stroke endarrow="block"/>
                <w10:anchorlock/>
              </v:line>
            </w:pict>
          </mc:Fallback>
        </mc:AlternateContent>
      </w:r>
    </w:p>
    <w:p w14:paraId="1E2A7991" w14:textId="77777777" w:rsidR="00BA5E33" w:rsidRPr="00C53F10" w:rsidRDefault="00B54EB1" w:rsidP="000F5753">
      <w:pPr>
        <w:spacing w:line="276" w:lineRule="auto"/>
        <w:rPr>
          <w:rFonts w:eastAsia="MS Mincho"/>
          <w:lang w:eastAsia="ja-JP"/>
        </w:rPr>
      </w:pPr>
      <w:r w:rsidRPr="00C53F10">
        <w:rPr>
          <w:noProof/>
          <w:lang w:val="en-US" w:eastAsia="en-US"/>
        </w:rPr>
        <mc:AlternateContent>
          <mc:Choice Requires="wps">
            <w:drawing>
              <wp:anchor distT="0" distB="0" distL="114300" distR="114300" simplePos="0" relativeHeight="251642368" behindDoc="0" locked="1" layoutInCell="1" allowOverlap="1" wp14:anchorId="74D723D5" wp14:editId="5859960E">
                <wp:simplePos x="0" y="0"/>
                <wp:positionH relativeFrom="column">
                  <wp:posOffset>6185535</wp:posOffset>
                </wp:positionH>
                <wp:positionV relativeFrom="paragraph">
                  <wp:posOffset>-325120</wp:posOffset>
                </wp:positionV>
                <wp:extent cx="2771775" cy="2743200"/>
                <wp:effectExtent l="0" t="0" r="28575" b="19050"/>
                <wp:wrapNone/>
                <wp:docPr id="28"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2743200"/>
                        </a:xfrm>
                        <a:prstGeom prst="flowChartProcess">
                          <a:avLst/>
                        </a:prstGeom>
                        <a:solidFill>
                          <a:srgbClr val="FFFFFF"/>
                        </a:solidFill>
                        <a:ln w="9525">
                          <a:solidFill>
                            <a:srgbClr val="000000"/>
                          </a:solidFill>
                          <a:miter lim="800000"/>
                          <a:headEnd/>
                          <a:tailEnd/>
                        </a:ln>
                      </wps:spPr>
                      <wps:txbx>
                        <w:txbxContent>
                          <w:p w14:paraId="53A5B434" w14:textId="20C1A124" w:rsidR="00B23F48" w:rsidRDefault="00B23F48" w:rsidP="000B76FB">
                            <w:pPr>
                              <w:jc w:val="both"/>
                            </w:pPr>
                            <w:r>
                              <w:t>- Veniturile din contribuții sociale sunt ajustate conform metodei simple de ajustare temporala cu o perioada de o luna. Astfel, tranzacțiile sunt înregistrate atunci când a avut loc activitatea care generează obligația fiscală.</w:t>
                            </w:r>
                          </w:p>
                          <w:p w14:paraId="16FF1CF7" w14:textId="3FE279DE" w:rsidR="00B23F48" w:rsidRDefault="00B23F48" w:rsidP="000B76FB">
                            <w:pPr>
                              <w:jc w:val="both"/>
                            </w:pPr>
                            <w:r>
                              <w:t>-La cheltuielile bugetelor de asigurări  se adaugă sumele de plătit aferente datoriilor comerciale, salarii, contribuții alte drepturi, din bilanțul instituțiilor publice.</w:t>
                            </w:r>
                          </w:p>
                          <w:p w14:paraId="5406DCB0" w14:textId="77777777" w:rsidR="00B23F48" w:rsidRPr="009727EE" w:rsidRDefault="00B23F48" w:rsidP="000B76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723D5" id="AutoShape 142" o:spid="_x0000_s1049" type="#_x0000_t109" style="position:absolute;margin-left:487.05pt;margin-top:-25.6pt;width:218.25pt;height:3in;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">
                <v:textbox>
                  <w:txbxContent>
                    <w:p w14:paraId="53A5B434" w14:textId="20C1A124" w:rsidR="00B23F48" w:rsidRDefault="00B23F48" w:rsidP="000B76FB">
                      <w:pPr>
                        <w:jc w:val="both"/>
                      </w:pPr>
                      <w:r>
                        <w:t>- Veniturile din contribuții sociale sunt ajustate conform metodei simple de ajustare temporala cu o perioada de o luna. Astfel, tranzacțiile sunt înregistrate atunci când a avut loc activitatea care generează obligația fiscală.</w:t>
                      </w:r>
                    </w:p>
                    <w:p w14:paraId="16FF1CF7" w14:textId="3FE279DE" w:rsidR="00B23F48" w:rsidRDefault="00B23F48" w:rsidP="000B76FB">
                      <w:pPr>
                        <w:jc w:val="both"/>
                      </w:pPr>
                      <w:r>
                        <w:t>-La cheltuielile bugetelor de asigurări  se adaugă sumele de plătit aferente datoriilor comerciale, salarii, contribuții alte drepturi, din bilanțul instituțiilor publice.</w:t>
                      </w:r>
                    </w:p>
                    <w:p w14:paraId="5406DCB0" w14:textId="77777777" w:rsidR="00B23F48" w:rsidRPr="009727EE" w:rsidRDefault="00B23F48" w:rsidP="000B76FB"/>
                  </w:txbxContent>
                </v:textbox>
                <w10:anchorlock/>
              </v:shape>
            </w:pict>
          </mc:Fallback>
        </mc:AlternateContent>
      </w:r>
    </w:p>
    <w:p w14:paraId="5E867CA0" w14:textId="77777777" w:rsidR="00BA5E33" w:rsidRPr="00C53F10" w:rsidRDefault="00B54EB1" w:rsidP="000F5753">
      <w:pPr>
        <w:tabs>
          <w:tab w:val="left" w:pos="6495"/>
        </w:tabs>
        <w:spacing w:line="276" w:lineRule="auto"/>
        <w:rPr>
          <w:rFonts w:eastAsia="MS Mincho"/>
          <w:lang w:eastAsia="ja-JP"/>
        </w:rPr>
      </w:pPr>
      <w:r w:rsidRPr="00C53F10">
        <w:rPr>
          <w:noProof/>
          <w:lang w:val="en-US" w:eastAsia="en-US"/>
        </w:rPr>
        <mc:AlternateContent>
          <mc:Choice Requires="wps">
            <w:drawing>
              <wp:anchor distT="0" distB="0" distL="114300" distR="114300" simplePos="0" relativeHeight="251637248" behindDoc="0" locked="1" layoutInCell="1" allowOverlap="1" wp14:anchorId="5251D44F" wp14:editId="284ABA16">
                <wp:simplePos x="0" y="0"/>
                <wp:positionH relativeFrom="column">
                  <wp:posOffset>3221355</wp:posOffset>
                </wp:positionH>
                <wp:positionV relativeFrom="paragraph">
                  <wp:posOffset>-243840</wp:posOffset>
                </wp:positionV>
                <wp:extent cx="2533650" cy="1600200"/>
                <wp:effectExtent l="7620" t="5715" r="11430" b="13335"/>
                <wp:wrapNone/>
                <wp:docPr id="27"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1600200"/>
                        </a:xfrm>
                        <a:prstGeom prst="flowChartProcess">
                          <a:avLst/>
                        </a:prstGeom>
                        <a:solidFill>
                          <a:srgbClr val="FFFFFF"/>
                        </a:solidFill>
                        <a:ln w="9525">
                          <a:solidFill>
                            <a:srgbClr val="000000"/>
                          </a:solidFill>
                          <a:miter lim="800000"/>
                          <a:headEnd/>
                          <a:tailEnd/>
                        </a:ln>
                      </wps:spPr>
                      <wps:txbx>
                        <w:txbxContent>
                          <w:p w14:paraId="789815FF" w14:textId="77777777" w:rsidR="00B23F48" w:rsidRPr="00841EAA" w:rsidRDefault="00B23F48" w:rsidP="000B76FB">
                            <w:pPr>
                              <w:rPr>
                                <w:b/>
                                <w:lang w:val="fr-FR"/>
                              </w:rPr>
                            </w:pPr>
                            <w:r w:rsidRPr="00FE4FEA">
                              <w:rPr>
                                <w:b/>
                              </w:rPr>
                              <w:t>Sursa de date primare</w:t>
                            </w:r>
                            <w:r w:rsidRPr="00841EAA">
                              <w:rPr>
                                <w:b/>
                                <w:lang w:val="fr-FR"/>
                              </w:rPr>
                              <w:t>:</w:t>
                            </w:r>
                          </w:p>
                          <w:p w14:paraId="7D90D1FE" w14:textId="77777777" w:rsidR="00B23F48" w:rsidRPr="004129FE" w:rsidRDefault="00B23F48" w:rsidP="000B76FB">
                            <w:r w:rsidRPr="004129FE">
                              <w:t>-Bugetul asigurărilor sociale de stat</w:t>
                            </w:r>
                          </w:p>
                          <w:p w14:paraId="37D4EEF1" w14:textId="78210111" w:rsidR="00B23F48" w:rsidRPr="004129FE" w:rsidRDefault="00B23F48" w:rsidP="000B76FB">
                            <w:r w:rsidRPr="004129FE">
                              <w:t>-Bugetul asigurărilor pentru șomaj</w:t>
                            </w:r>
                          </w:p>
                          <w:p w14:paraId="7EDF5C27" w14:textId="2E5532CC" w:rsidR="00B23F48" w:rsidRPr="004129FE" w:rsidRDefault="00B23F48" w:rsidP="000B76FB">
                            <w:r w:rsidRPr="004129FE">
                              <w:t>-Fondul național de asigurări  sociale de sănătate</w:t>
                            </w:r>
                          </w:p>
                          <w:p w14:paraId="59DF44BE" w14:textId="2DC1DF8A" w:rsidR="00B23F48" w:rsidRDefault="00B23F48" w:rsidP="000B76FB">
                            <w:r>
                              <w:t>-Instituții finanțate parțial sau integral din venituri proprii -aferente bugetului asigurărilor pentru șomaj-</w:t>
                            </w:r>
                          </w:p>
                          <w:p w14:paraId="655D2189" w14:textId="77777777" w:rsidR="00B23F48" w:rsidRDefault="00B23F48" w:rsidP="000B76FB"/>
                          <w:p w14:paraId="40DC6FEB" w14:textId="77777777" w:rsidR="00B23F48" w:rsidRDefault="00B23F48" w:rsidP="000B76FB"/>
                          <w:p w14:paraId="63BE5A78" w14:textId="77777777" w:rsidR="00B23F48" w:rsidRPr="002B553C" w:rsidRDefault="00B23F48" w:rsidP="000B76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1D44F" id="AutoShape 134" o:spid="_x0000_s1050" type="#_x0000_t109" style="position:absolute;margin-left:253.65pt;margin-top:-19.2pt;width:199.5pt;height:12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">
                <v:textbox>
                  <w:txbxContent>
                    <w:p w14:paraId="789815FF" w14:textId="77777777" w:rsidR="00B23F48" w:rsidRPr="00841EAA" w:rsidRDefault="00B23F48" w:rsidP="000B76FB">
                      <w:pPr>
                        <w:rPr>
                          <w:b/>
                          <w:lang w:val="fr-FR"/>
                        </w:rPr>
                      </w:pPr>
                      <w:r w:rsidRPr="00FE4FEA">
                        <w:rPr>
                          <w:b/>
                        </w:rPr>
                        <w:t>Sursa de date primare</w:t>
                      </w:r>
                      <w:r w:rsidRPr="00841EAA">
                        <w:rPr>
                          <w:b/>
                          <w:lang w:val="fr-FR"/>
                        </w:rPr>
                        <w:t>:</w:t>
                      </w:r>
                    </w:p>
                    <w:p w14:paraId="7D90D1FE" w14:textId="77777777" w:rsidR="00B23F48" w:rsidRPr="004129FE" w:rsidRDefault="00B23F48" w:rsidP="000B76FB">
                      <w:r w:rsidRPr="004129FE">
                        <w:t>-Bugetul asigurărilor sociale de stat</w:t>
                      </w:r>
                    </w:p>
                    <w:p w14:paraId="37D4EEF1" w14:textId="78210111" w:rsidR="00B23F48" w:rsidRPr="004129FE" w:rsidRDefault="00B23F48" w:rsidP="000B76FB">
                      <w:r w:rsidRPr="004129FE">
                        <w:t>-Bugetul asigurărilor pentru șomaj</w:t>
                      </w:r>
                    </w:p>
                    <w:p w14:paraId="7EDF5C27" w14:textId="2E5532CC" w:rsidR="00B23F48" w:rsidRPr="004129FE" w:rsidRDefault="00B23F48" w:rsidP="000B76FB">
                      <w:r w:rsidRPr="004129FE">
                        <w:t>-Fondul național de asigurări  sociale de sănătate</w:t>
                      </w:r>
                    </w:p>
                    <w:p w14:paraId="59DF44BE" w14:textId="2DC1DF8A" w:rsidR="00B23F48" w:rsidRDefault="00B23F48" w:rsidP="000B76FB">
                      <w:r>
                        <w:t>-Instituții finanțate parțial sau integral din venituri proprii -aferente bugetului asigurărilor pentru șomaj-</w:t>
                      </w:r>
                    </w:p>
                    <w:p w14:paraId="655D2189" w14:textId="77777777" w:rsidR="00B23F48" w:rsidRDefault="00B23F48" w:rsidP="000B76FB"/>
                    <w:p w14:paraId="40DC6FEB" w14:textId="77777777" w:rsidR="00B23F48" w:rsidRDefault="00B23F48" w:rsidP="000B76FB"/>
                    <w:p w14:paraId="63BE5A78" w14:textId="77777777" w:rsidR="00B23F48" w:rsidRPr="002B553C" w:rsidRDefault="00B23F48" w:rsidP="000B76FB"/>
                  </w:txbxContent>
                </v:textbox>
                <w10:anchorlock/>
              </v:shape>
            </w:pict>
          </mc:Fallback>
        </mc:AlternateContent>
      </w:r>
      <w:r w:rsidRPr="00C53F10">
        <w:rPr>
          <w:noProof/>
          <w:lang w:val="en-US" w:eastAsia="en-US"/>
        </w:rPr>
        <mc:AlternateContent>
          <mc:Choice Requires="wps">
            <w:drawing>
              <wp:anchor distT="0" distB="0" distL="114300" distR="114300" simplePos="0" relativeHeight="251636224" behindDoc="0" locked="1" layoutInCell="1" allowOverlap="1" wp14:anchorId="55D19A3C" wp14:editId="2C277544">
                <wp:simplePos x="0" y="0"/>
                <wp:positionH relativeFrom="column">
                  <wp:posOffset>-72390</wp:posOffset>
                </wp:positionH>
                <wp:positionV relativeFrom="paragraph">
                  <wp:posOffset>-232410</wp:posOffset>
                </wp:positionV>
                <wp:extent cx="2967990" cy="1628775"/>
                <wp:effectExtent l="0" t="0" r="22860" b="28575"/>
                <wp:wrapNone/>
                <wp:docPr id="26"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7990" cy="1628775"/>
                        </a:xfrm>
                        <a:prstGeom prst="flowChartProcess">
                          <a:avLst/>
                        </a:prstGeom>
                        <a:solidFill>
                          <a:srgbClr val="FFFFFF"/>
                        </a:solidFill>
                        <a:ln w="9525">
                          <a:solidFill>
                            <a:srgbClr val="000000"/>
                          </a:solidFill>
                          <a:miter lim="800000"/>
                          <a:headEnd/>
                          <a:tailEnd/>
                        </a:ln>
                      </wps:spPr>
                      <wps:txbx>
                        <w:txbxContent>
                          <w:p w14:paraId="08D5537D" w14:textId="77777777" w:rsidR="00B23F48" w:rsidRPr="00841EAA" w:rsidRDefault="00B23F48" w:rsidP="000B76FB">
                            <w:pPr>
                              <w:rPr>
                                <w:b/>
                                <w:lang w:val="fr-FR"/>
                              </w:rPr>
                            </w:pPr>
                            <w:r w:rsidRPr="00FE4FEA">
                              <w:rPr>
                                <w:b/>
                              </w:rPr>
                              <w:t>Sursa de date primare</w:t>
                            </w:r>
                            <w:r w:rsidRPr="00841EAA">
                              <w:rPr>
                                <w:b/>
                                <w:lang w:val="fr-FR"/>
                              </w:rPr>
                              <w:t>:</w:t>
                            </w:r>
                          </w:p>
                          <w:p w14:paraId="7AF0A64B" w14:textId="77777777" w:rsidR="00B23F48" w:rsidRPr="004129FE" w:rsidRDefault="00B23F48" w:rsidP="000B76FB">
                            <w:r w:rsidRPr="004129FE">
                              <w:t>-Bugetul asigurărilor sociale de stat</w:t>
                            </w:r>
                          </w:p>
                          <w:p w14:paraId="7D287AD0" w14:textId="2F2F4AC4" w:rsidR="00B23F48" w:rsidRPr="004129FE" w:rsidRDefault="00B23F48" w:rsidP="000B76FB">
                            <w:r w:rsidRPr="004129FE">
                              <w:t>-Bugetul asigurărilor pentru șomaj</w:t>
                            </w:r>
                          </w:p>
                          <w:p w14:paraId="14FC693D" w14:textId="687ED399" w:rsidR="00B23F48" w:rsidRDefault="00B23F48" w:rsidP="000B76FB">
                            <w:r w:rsidRPr="004129FE">
                              <w:t>-Fondul național de asigurări  sociale de sănătate</w:t>
                            </w:r>
                          </w:p>
                          <w:p w14:paraId="325DFD63" w14:textId="5E1B3181" w:rsidR="00B23F48" w:rsidRDefault="00B23F48" w:rsidP="000B76FB">
                            <w:r>
                              <w:t>-Instituții finanțate parțial sau integral din venituri proprii -aferente bugetului asigurărilor pentru șomaj-</w:t>
                            </w:r>
                          </w:p>
                          <w:p w14:paraId="5ACE8998" w14:textId="77777777" w:rsidR="00B23F48" w:rsidRPr="004129FE" w:rsidRDefault="00B23F48" w:rsidP="000B76FB"/>
                          <w:p w14:paraId="408162C3" w14:textId="77777777" w:rsidR="00B23F48" w:rsidRDefault="00B23F48" w:rsidP="000B76FB"/>
                          <w:p w14:paraId="3EB6A4D0" w14:textId="77777777" w:rsidR="00B23F48" w:rsidRDefault="00B23F48" w:rsidP="000B76FB"/>
                          <w:p w14:paraId="7FDD8E75" w14:textId="77777777" w:rsidR="00B23F48" w:rsidRPr="002B553C" w:rsidRDefault="00B23F48" w:rsidP="000B76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19A3C" id="AutoShape 133" o:spid="_x0000_s1051" type="#_x0000_t109" style="position:absolute;margin-left:-5.7pt;margin-top:-18.3pt;width:233.7pt;height:128.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">
                <v:textbox>
                  <w:txbxContent>
                    <w:p w14:paraId="08D5537D" w14:textId="77777777" w:rsidR="00B23F48" w:rsidRPr="00841EAA" w:rsidRDefault="00B23F48" w:rsidP="000B76FB">
                      <w:pPr>
                        <w:rPr>
                          <w:b/>
                          <w:lang w:val="fr-FR"/>
                        </w:rPr>
                      </w:pPr>
                      <w:r w:rsidRPr="00FE4FEA">
                        <w:rPr>
                          <w:b/>
                        </w:rPr>
                        <w:t>Sursa de date primare</w:t>
                      </w:r>
                      <w:r w:rsidRPr="00841EAA">
                        <w:rPr>
                          <w:b/>
                          <w:lang w:val="fr-FR"/>
                        </w:rPr>
                        <w:t>:</w:t>
                      </w:r>
                    </w:p>
                    <w:p w14:paraId="7AF0A64B" w14:textId="77777777" w:rsidR="00B23F48" w:rsidRPr="004129FE" w:rsidRDefault="00B23F48" w:rsidP="000B76FB">
                      <w:r w:rsidRPr="004129FE">
                        <w:t>-Bugetul asigurărilor sociale de stat</w:t>
                      </w:r>
                    </w:p>
                    <w:p w14:paraId="7D287AD0" w14:textId="2F2F4AC4" w:rsidR="00B23F48" w:rsidRPr="004129FE" w:rsidRDefault="00B23F48" w:rsidP="000B76FB">
                      <w:r w:rsidRPr="004129FE">
                        <w:t>-Bugetul asigurărilor pentru șomaj</w:t>
                      </w:r>
                    </w:p>
                    <w:p w14:paraId="14FC693D" w14:textId="687ED399" w:rsidR="00B23F48" w:rsidRDefault="00B23F48" w:rsidP="000B76FB">
                      <w:r w:rsidRPr="004129FE">
                        <w:t>-Fondul național de asigurări  sociale de sănătate</w:t>
                      </w:r>
                    </w:p>
                    <w:p w14:paraId="325DFD63" w14:textId="5E1B3181" w:rsidR="00B23F48" w:rsidRDefault="00B23F48" w:rsidP="000B76FB">
                      <w:r>
                        <w:t>-Instituții finanțate parțial sau integral din venituri proprii -aferente bugetului asigurărilor pentru șomaj-</w:t>
                      </w:r>
                    </w:p>
                    <w:p w14:paraId="5ACE8998" w14:textId="77777777" w:rsidR="00B23F48" w:rsidRPr="004129FE" w:rsidRDefault="00B23F48" w:rsidP="000B76FB"/>
                    <w:p w14:paraId="408162C3" w14:textId="77777777" w:rsidR="00B23F48" w:rsidRDefault="00B23F48" w:rsidP="000B76FB"/>
                    <w:p w14:paraId="3EB6A4D0" w14:textId="77777777" w:rsidR="00B23F48" w:rsidRDefault="00B23F48" w:rsidP="000B76FB"/>
                    <w:p w14:paraId="7FDD8E75" w14:textId="77777777" w:rsidR="00B23F48" w:rsidRPr="002B553C" w:rsidRDefault="00B23F48" w:rsidP="000B76FB"/>
                  </w:txbxContent>
                </v:textbox>
                <w10:anchorlock/>
              </v:shape>
            </w:pict>
          </mc:Fallback>
        </mc:AlternateContent>
      </w:r>
      <w:r w:rsidR="00BA5E33" w:rsidRPr="00C53F10">
        <w:rPr>
          <w:rFonts w:eastAsia="MS Mincho"/>
          <w:lang w:eastAsia="ja-JP"/>
        </w:rPr>
        <w:tab/>
      </w:r>
    </w:p>
    <w:p w14:paraId="6867F4DE" w14:textId="77777777" w:rsidR="00BA5E33" w:rsidRPr="00C53F10" w:rsidRDefault="00BA5E33" w:rsidP="000F5753">
      <w:pPr>
        <w:tabs>
          <w:tab w:val="left" w:pos="5520"/>
        </w:tabs>
        <w:spacing w:line="276" w:lineRule="auto"/>
        <w:rPr>
          <w:rFonts w:eastAsia="MS Mincho"/>
          <w:lang w:eastAsia="ja-JP"/>
        </w:rPr>
      </w:pPr>
      <w:r w:rsidRPr="00C53F10">
        <w:rPr>
          <w:rFonts w:eastAsia="MS Mincho"/>
          <w:lang w:eastAsia="ja-JP"/>
        </w:rPr>
        <w:tab/>
      </w:r>
    </w:p>
    <w:p w14:paraId="7729D451" w14:textId="77777777" w:rsidR="00BA5E33" w:rsidRPr="00C53F10" w:rsidRDefault="00BA5E33" w:rsidP="000F5753">
      <w:pPr>
        <w:tabs>
          <w:tab w:val="left" w:pos="11475"/>
        </w:tabs>
        <w:spacing w:line="276" w:lineRule="auto"/>
        <w:rPr>
          <w:rFonts w:eastAsia="MS Mincho"/>
          <w:lang w:eastAsia="ja-JP"/>
        </w:rPr>
      </w:pPr>
      <w:r w:rsidRPr="00C53F10">
        <w:rPr>
          <w:rFonts w:eastAsia="MS Mincho"/>
          <w:lang w:eastAsia="ja-JP"/>
        </w:rPr>
        <w:tab/>
      </w:r>
    </w:p>
    <w:p w14:paraId="1AC3284E" w14:textId="77777777" w:rsidR="00BA5E33" w:rsidRPr="00C53F10" w:rsidRDefault="00BA5E33" w:rsidP="000F5753">
      <w:pPr>
        <w:spacing w:line="276" w:lineRule="auto"/>
        <w:rPr>
          <w:rFonts w:eastAsia="MS Mincho"/>
          <w:lang w:eastAsia="ja-JP"/>
        </w:rPr>
      </w:pPr>
    </w:p>
    <w:p w14:paraId="4BEDFBFF" w14:textId="77777777" w:rsidR="00BA5E33" w:rsidRPr="00C53F10" w:rsidRDefault="00BA5E33" w:rsidP="000F5753">
      <w:pPr>
        <w:spacing w:line="276" w:lineRule="auto"/>
        <w:rPr>
          <w:rFonts w:eastAsia="MS Mincho"/>
          <w:lang w:eastAsia="ja-JP"/>
        </w:rPr>
      </w:pPr>
    </w:p>
    <w:p w14:paraId="03E9404E" w14:textId="77777777" w:rsidR="00BA5E33" w:rsidRPr="00C53F10" w:rsidRDefault="00BA5E33" w:rsidP="000F5753">
      <w:pPr>
        <w:spacing w:line="276" w:lineRule="auto"/>
        <w:rPr>
          <w:rFonts w:eastAsia="MS Mincho"/>
          <w:lang w:eastAsia="ja-JP"/>
        </w:rPr>
      </w:pPr>
    </w:p>
    <w:p w14:paraId="26549B92" w14:textId="77777777" w:rsidR="00BA5E33" w:rsidRPr="00C53F10" w:rsidRDefault="00BA5E33" w:rsidP="000F5753">
      <w:pPr>
        <w:tabs>
          <w:tab w:val="left" w:pos="2430"/>
        </w:tabs>
        <w:spacing w:line="276" w:lineRule="auto"/>
        <w:rPr>
          <w:rFonts w:eastAsia="MS Mincho"/>
          <w:lang w:eastAsia="ja-JP"/>
        </w:rPr>
      </w:pPr>
      <w:r w:rsidRPr="00C53F10">
        <w:rPr>
          <w:rFonts w:eastAsia="MS Mincho"/>
          <w:lang w:eastAsia="ja-JP"/>
        </w:rPr>
        <w:tab/>
      </w:r>
    </w:p>
    <w:p w14:paraId="16E10277" w14:textId="77777777" w:rsidR="00BA5E33" w:rsidRPr="00C53F10" w:rsidRDefault="00BA5E33" w:rsidP="000F5753">
      <w:pPr>
        <w:spacing w:line="276" w:lineRule="auto"/>
        <w:rPr>
          <w:rFonts w:eastAsia="MS Mincho"/>
          <w:lang w:eastAsia="ja-JP"/>
        </w:rPr>
      </w:pPr>
    </w:p>
    <w:p w14:paraId="51283B36" w14:textId="77777777" w:rsidR="00BA5E33" w:rsidRPr="00C53F10" w:rsidRDefault="00B54EB1" w:rsidP="000F5753">
      <w:pPr>
        <w:spacing w:line="276" w:lineRule="auto"/>
        <w:rPr>
          <w:rFonts w:eastAsia="MS Mincho"/>
          <w:lang w:eastAsia="ja-JP"/>
        </w:rPr>
      </w:pPr>
      <w:r w:rsidRPr="00C53F10">
        <w:rPr>
          <w:noProof/>
          <w:lang w:val="en-US" w:eastAsia="en-US"/>
        </w:rPr>
        <mc:AlternateContent>
          <mc:Choice Requires="wps">
            <w:drawing>
              <wp:anchor distT="0" distB="0" distL="114300" distR="114300" simplePos="0" relativeHeight="251652608" behindDoc="0" locked="1" layoutInCell="1" allowOverlap="1" wp14:anchorId="367BC14D" wp14:editId="44B37AAB">
                <wp:simplePos x="0" y="0"/>
                <wp:positionH relativeFrom="column">
                  <wp:posOffset>4316730</wp:posOffset>
                </wp:positionH>
                <wp:positionV relativeFrom="paragraph">
                  <wp:posOffset>-248920</wp:posOffset>
                </wp:positionV>
                <wp:extent cx="0" cy="457200"/>
                <wp:effectExtent l="55245" t="7620" r="59055" b="20955"/>
                <wp:wrapNone/>
                <wp:docPr id="25"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50A61" id="Line 155"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9pt,-19.6pt" to="339.9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">
                <v:stroke endarrow="block"/>
                <w10:anchorlock/>
              </v:line>
            </w:pict>
          </mc:Fallback>
        </mc:AlternateContent>
      </w:r>
      <w:r w:rsidRPr="00C53F10">
        <w:rPr>
          <w:noProof/>
          <w:lang w:val="en-US" w:eastAsia="en-US"/>
        </w:rPr>
        <mc:AlternateContent>
          <mc:Choice Requires="wps">
            <w:drawing>
              <wp:anchor distT="0" distB="0" distL="114300" distR="114300" simplePos="0" relativeHeight="251651584" behindDoc="0" locked="1" layoutInCell="1" allowOverlap="1" wp14:anchorId="3475C7D7" wp14:editId="25805527">
                <wp:simplePos x="0" y="0"/>
                <wp:positionH relativeFrom="column">
                  <wp:posOffset>1158240</wp:posOffset>
                </wp:positionH>
                <wp:positionV relativeFrom="paragraph">
                  <wp:posOffset>-239395</wp:posOffset>
                </wp:positionV>
                <wp:extent cx="0" cy="457200"/>
                <wp:effectExtent l="59055" t="7620" r="55245" b="20955"/>
                <wp:wrapNone/>
                <wp:docPr id="24"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59153" id="Line 154"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2pt,-18.85pt" to="91.2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W6JwIAAEw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">
                <v:stroke endarrow="block"/>
                <w10:anchorlock/>
              </v:line>
            </w:pict>
          </mc:Fallback>
        </mc:AlternateContent>
      </w:r>
    </w:p>
    <w:p w14:paraId="0F74785D" w14:textId="77777777" w:rsidR="00BA5E33" w:rsidRPr="00C53F10" w:rsidRDefault="00BA5E33" w:rsidP="000F5753">
      <w:pPr>
        <w:spacing w:line="276" w:lineRule="auto"/>
        <w:rPr>
          <w:rFonts w:eastAsia="MS Mincho"/>
          <w:lang w:eastAsia="ja-JP"/>
        </w:rPr>
      </w:pPr>
    </w:p>
    <w:p w14:paraId="023A30ED" w14:textId="77777777" w:rsidR="00BA5E33" w:rsidRPr="00C53F10" w:rsidRDefault="00B54EB1" w:rsidP="000F5753">
      <w:pPr>
        <w:spacing w:line="276" w:lineRule="auto"/>
        <w:rPr>
          <w:rFonts w:eastAsia="MS Mincho"/>
          <w:lang w:eastAsia="ja-JP"/>
        </w:rPr>
      </w:pPr>
      <w:r w:rsidRPr="00C53F10">
        <w:rPr>
          <w:noProof/>
          <w:lang w:val="en-US" w:eastAsia="en-US"/>
        </w:rPr>
        <mc:AlternateContent>
          <mc:Choice Requires="wps">
            <w:drawing>
              <wp:anchor distT="0" distB="0" distL="114300" distR="114300" simplePos="0" relativeHeight="251639296" behindDoc="0" locked="1" layoutInCell="1" allowOverlap="1" wp14:anchorId="474F8F09" wp14:editId="522F2C40">
                <wp:simplePos x="0" y="0"/>
                <wp:positionH relativeFrom="column">
                  <wp:posOffset>3227070</wp:posOffset>
                </wp:positionH>
                <wp:positionV relativeFrom="paragraph">
                  <wp:posOffset>-202565</wp:posOffset>
                </wp:positionV>
                <wp:extent cx="2569845" cy="457200"/>
                <wp:effectExtent l="13335" t="5715" r="7620" b="13335"/>
                <wp:wrapNone/>
                <wp:docPr id="23"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9845" cy="457200"/>
                        </a:xfrm>
                        <a:prstGeom prst="flowChartProcess">
                          <a:avLst/>
                        </a:prstGeom>
                        <a:solidFill>
                          <a:srgbClr val="FFFFFF"/>
                        </a:solidFill>
                        <a:ln w="9525">
                          <a:solidFill>
                            <a:srgbClr val="000000"/>
                          </a:solidFill>
                          <a:miter lim="800000"/>
                          <a:headEnd/>
                          <a:tailEnd/>
                        </a:ln>
                      </wps:spPr>
                      <wps:txbx>
                        <w:txbxContent>
                          <w:p w14:paraId="67C3A5B5" w14:textId="77777777" w:rsidR="00B23F48" w:rsidRDefault="00B23F48" w:rsidP="000B76FB">
                            <w:r>
                              <w:t>Standarde utilizate:</w:t>
                            </w:r>
                          </w:p>
                          <w:p w14:paraId="57B8F515" w14:textId="5C62B0E0" w:rsidR="00B23F48" w:rsidRPr="004129FE" w:rsidRDefault="00B23F48" w:rsidP="000B76FB">
                            <w:r w:rsidRPr="004129FE">
                              <w:t>-metodologie naționala</w:t>
                            </w:r>
                          </w:p>
                          <w:p w14:paraId="6D9F08C8" w14:textId="77777777" w:rsidR="00B23F48" w:rsidRPr="000D6F49" w:rsidRDefault="00B23F48" w:rsidP="000B76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F8F09" id="AutoShape 136" o:spid="_x0000_s1052" type="#_x0000_t109" style="position:absolute;margin-left:254.1pt;margin-top:-15.95pt;width:202.35pt;height:3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">
                <v:textbox>
                  <w:txbxContent>
                    <w:p w14:paraId="67C3A5B5" w14:textId="77777777" w:rsidR="00B23F48" w:rsidRDefault="00B23F48" w:rsidP="000B76FB">
                      <w:r>
                        <w:t>Standarde utilizate:</w:t>
                      </w:r>
                    </w:p>
                    <w:p w14:paraId="57B8F515" w14:textId="5C62B0E0" w:rsidR="00B23F48" w:rsidRPr="004129FE" w:rsidRDefault="00B23F48" w:rsidP="000B76FB">
                      <w:r w:rsidRPr="004129FE">
                        <w:t>-metodologie naționala</w:t>
                      </w:r>
                    </w:p>
                    <w:p w14:paraId="6D9F08C8" w14:textId="77777777" w:rsidR="00B23F48" w:rsidRPr="000D6F49" w:rsidRDefault="00B23F48" w:rsidP="000B76FB"/>
                  </w:txbxContent>
                </v:textbox>
                <w10:anchorlock/>
              </v:shape>
            </w:pict>
          </mc:Fallback>
        </mc:AlternateContent>
      </w:r>
      <w:r w:rsidRPr="00C53F10">
        <w:rPr>
          <w:noProof/>
          <w:lang w:val="en-US" w:eastAsia="en-US"/>
        </w:rPr>
        <mc:AlternateContent>
          <mc:Choice Requires="wps">
            <w:drawing>
              <wp:anchor distT="0" distB="0" distL="114300" distR="114300" simplePos="0" relativeHeight="251638272" behindDoc="0" locked="1" layoutInCell="1" allowOverlap="1" wp14:anchorId="76C1873C" wp14:editId="796E0FE4">
                <wp:simplePos x="0" y="0"/>
                <wp:positionH relativeFrom="column">
                  <wp:posOffset>274320</wp:posOffset>
                </wp:positionH>
                <wp:positionV relativeFrom="paragraph">
                  <wp:posOffset>-193040</wp:posOffset>
                </wp:positionV>
                <wp:extent cx="1954530" cy="457200"/>
                <wp:effectExtent l="13335" t="5715" r="13335" b="13335"/>
                <wp:wrapNone/>
                <wp:docPr id="22"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4530" cy="457200"/>
                        </a:xfrm>
                        <a:prstGeom prst="flowChartProcess">
                          <a:avLst/>
                        </a:prstGeom>
                        <a:solidFill>
                          <a:srgbClr val="FFFFFF"/>
                        </a:solidFill>
                        <a:ln w="9525">
                          <a:solidFill>
                            <a:srgbClr val="000000"/>
                          </a:solidFill>
                          <a:miter lim="800000"/>
                          <a:headEnd/>
                          <a:tailEnd/>
                        </a:ln>
                      </wps:spPr>
                      <wps:txbx>
                        <w:txbxContent>
                          <w:p w14:paraId="4D146D08" w14:textId="77777777" w:rsidR="00B23F48" w:rsidRDefault="00B23F48" w:rsidP="000B76FB">
                            <w:r>
                              <w:t>Standarde utilizate:</w:t>
                            </w:r>
                          </w:p>
                          <w:p w14:paraId="23A7A453" w14:textId="257D552B" w:rsidR="00B23F48" w:rsidRPr="004129FE" w:rsidRDefault="00B23F48" w:rsidP="000B76FB">
                            <w:r w:rsidRPr="004129FE">
                              <w:t xml:space="preserve">-metodologie </w:t>
                            </w:r>
                            <w:r>
                              <w:t>națională</w:t>
                            </w:r>
                          </w:p>
                          <w:p w14:paraId="7157C483" w14:textId="77777777" w:rsidR="00B23F48" w:rsidRPr="000D6F49" w:rsidRDefault="00B23F48" w:rsidP="000B76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1873C" id="AutoShape 135" o:spid="_x0000_s1053" type="#_x0000_t109" style="position:absolute;margin-left:21.6pt;margin-top:-15.2pt;width:153.9pt;height:3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">
                <v:textbox>
                  <w:txbxContent>
                    <w:p w14:paraId="4D146D08" w14:textId="77777777" w:rsidR="00B23F48" w:rsidRDefault="00B23F48" w:rsidP="000B76FB">
                      <w:r>
                        <w:t>Standarde utilizate:</w:t>
                      </w:r>
                    </w:p>
                    <w:p w14:paraId="23A7A453" w14:textId="257D552B" w:rsidR="00B23F48" w:rsidRPr="004129FE" w:rsidRDefault="00B23F48" w:rsidP="000B76FB">
                      <w:r w:rsidRPr="004129FE">
                        <w:t xml:space="preserve">-metodologie </w:t>
                      </w:r>
                      <w:r>
                        <w:t>națională</w:t>
                      </w:r>
                    </w:p>
                    <w:p w14:paraId="7157C483" w14:textId="77777777" w:rsidR="00B23F48" w:rsidRPr="000D6F49" w:rsidRDefault="00B23F48" w:rsidP="000B76FB"/>
                  </w:txbxContent>
                </v:textbox>
                <w10:anchorlock/>
              </v:shape>
            </w:pict>
          </mc:Fallback>
        </mc:AlternateContent>
      </w:r>
    </w:p>
    <w:p w14:paraId="0D739CDD" w14:textId="77777777" w:rsidR="00BA5E33" w:rsidRPr="00C53F10" w:rsidRDefault="00BA5E33" w:rsidP="000F5753">
      <w:pPr>
        <w:tabs>
          <w:tab w:val="left" w:pos="11325"/>
        </w:tabs>
        <w:spacing w:line="276" w:lineRule="auto"/>
        <w:rPr>
          <w:rFonts w:eastAsia="MS Mincho"/>
          <w:lang w:eastAsia="ja-JP"/>
        </w:rPr>
      </w:pPr>
      <w:r w:rsidRPr="00C53F10">
        <w:rPr>
          <w:rFonts w:eastAsia="MS Mincho"/>
          <w:lang w:eastAsia="ja-JP"/>
        </w:rPr>
        <w:tab/>
      </w:r>
    </w:p>
    <w:p w14:paraId="27557692" w14:textId="22600E02" w:rsidR="00BA5E33" w:rsidRPr="00C53F10" w:rsidRDefault="00B54EB1" w:rsidP="000F5753">
      <w:pPr>
        <w:spacing w:line="276" w:lineRule="auto"/>
        <w:rPr>
          <w:rFonts w:eastAsia="MS Mincho"/>
          <w:lang w:eastAsia="ja-JP"/>
        </w:rPr>
      </w:pPr>
      <w:r w:rsidRPr="00C53F10">
        <w:rPr>
          <w:noProof/>
          <w:lang w:val="en-US" w:eastAsia="en-US"/>
        </w:rPr>
        <mc:AlternateContent>
          <mc:Choice Requires="wps">
            <w:drawing>
              <wp:anchor distT="0" distB="0" distL="114300" distR="114300" simplePos="0" relativeHeight="251648512" behindDoc="0" locked="1" layoutInCell="1" allowOverlap="1" wp14:anchorId="0E648ADA" wp14:editId="2B9A0F75">
                <wp:simplePos x="0" y="0"/>
                <wp:positionH relativeFrom="column">
                  <wp:posOffset>7366635</wp:posOffset>
                </wp:positionH>
                <wp:positionV relativeFrom="paragraph">
                  <wp:posOffset>-283845</wp:posOffset>
                </wp:positionV>
                <wp:extent cx="0" cy="333375"/>
                <wp:effectExtent l="76200" t="0" r="76200" b="47625"/>
                <wp:wrapNone/>
                <wp:docPr id="19"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D6667" id="Line 149"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05pt,-22.35pt" to="580.0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">
                <v:stroke endarrow="block"/>
                <w10:anchorlock/>
              </v:line>
            </w:pict>
          </mc:Fallback>
        </mc:AlternateContent>
      </w:r>
      <w:r w:rsidRPr="00C53F10">
        <w:rPr>
          <w:noProof/>
          <w:lang w:val="en-US" w:eastAsia="en-US"/>
        </w:rPr>
        <mc:AlternateContent>
          <mc:Choice Requires="wps">
            <w:drawing>
              <wp:anchor distT="0" distB="0" distL="114300" distR="114300" simplePos="0" relativeHeight="251643392" behindDoc="0" locked="1" layoutInCell="1" allowOverlap="1" wp14:anchorId="35118504" wp14:editId="4EECE442">
                <wp:simplePos x="0" y="0"/>
                <wp:positionH relativeFrom="column">
                  <wp:posOffset>6575425</wp:posOffset>
                </wp:positionH>
                <wp:positionV relativeFrom="paragraph">
                  <wp:posOffset>11430</wp:posOffset>
                </wp:positionV>
                <wp:extent cx="1800225" cy="457200"/>
                <wp:effectExtent l="0" t="0" r="28575" b="19050"/>
                <wp:wrapNone/>
                <wp:docPr id="18"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457200"/>
                        </a:xfrm>
                        <a:prstGeom prst="flowChartProcess">
                          <a:avLst/>
                        </a:prstGeom>
                        <a:solidFill>
                          <a:srgbClr val="FFFFFF"/>
                        </a:solidFill>
                        <a:ln w="9525">
                          <a:solidFill>
                            <a:srgbClr val="000000"/>
                          </a:solidFill>
                          <a:miter lim="800000"/>
                          <a:headEnd/>
                          <a:tailEnd/>
                        </a:ln>
                      </wps:spPr>
                      <wps:txbx>
                        <w:txbxContent>
                          <w:p w14:paraId="53B3BCA1" w14:textId="77777777" w:rsidR="00B23F48" w:rsidRDefault="00B23F48" w:rsidP="000B76FB">
                            <w:r>
                              <w:t>Standarde utilizate:</w:t>
                            </w:r>
                          </w:p>
                          <w:p w14:paraId="31583C5D" w14:textId="77777777" w:rsidR="00B23F48" w:rsidRPr="004129FE" w:rsidRDefault="00B23F48" w:rsidP="000B76FB">
                            <w:r w:rsidRPr="004129FE">
                              <w:t>-</w:t>
                            </w:r>
                            <w:r>
                              <w:t xml:space="preserve">Standard SEC </w:t>
                            </w:r>
                          </w:p>
                          <w:p w14:paraId="21108764" w14:textId="77777777" w:rsidR="00B23F48" w:rsidRPr="000D6F49" w:rsidRDefault="00B23F48" w:rsidP="000B76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18504" id="AutoShape 143" o:spid="_x0000_s1054" type="#_x0000_t109" style="position:absolute;margin-left:517.75pt;margin-top:.9pt;width:141.75pt;height:3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">
                <v:textbox>
                  <w:txbxContent>
                    <w:p w14:paraId="53B3BCA1" w14:textId="77777777" w:rsidR="00B23F48" w:rsidRDefault="00B23F48" w:rsidP="000B76FB">
                      <w:r>
                        <w:t>Standarde utilizate:</w:t>
                      </w:r>
                    </w:p>
                    <w:p w14:paraId="31583C5D" w14:textId="77777777" w:rsidR="00B23F48" w:rsidRPr="004129FE" w:rsidRDefault="00B23F48" w:rsidP="000B76FB">
                      <w:r w:rsidRPr="004129FE">
                        <w:t>-</w:t>
                      </w:r>
                      <w:r>
                        <w:t xml:space="preserve">Standard SEC </w:t>
                      </w:r>
                    </w:p>
                    <w:p w14:paraId="21108764" w14:textId="77777777" w:rsidR="00B23F48" w:rsidRPr="000D6F49" w:rsidRDefault="00B23F48" w:rsidP="000B76FB"/>
                  </w:txbxContent>
                </v:textbox>
                <w10:anchorlock/>
              </v:shape>
            </w:pict>
          </mc:Fallback>
        </mc:AlternateContent>
      </w:r>
    </w:p>
    <w:p w14:paraId="3212947A" w14:textId="47305C4F" w:rsidR="00C56380" w:rsidRPr="00C53F10" w:rsidRDefault="004D6AD6" w:rsidP="007062AC">
      <w:pPr>
        <w:rPr>
          <w:rFonts w:eastAsia="MS Mincho"/>
          <w:lang w:eastAsia="ja-JP"/>
        </w:rPr>
      </w:pPr>
      <w:r>
        <w:rPr>
          <w:noProof/>
        </w:rPr>
        <w:lastRenderedPageBreak/>
        <w:pict w14:anchorId="629347A4">
          <v:shape id="_x0000_i1048" type="#_x0000_t75" style="width:759pt;height:477pt">
            <v:imagedata r:id="rId36" o:title=""/>
          </v:shape>
        </w:pict>
      </w:r>
    </w:p>
    <w:p w14:paraId="7CCCDAB8" w14:textId="77777777" w:rsidR="00BA5E33" w:rsidRPr="00C53F10" w:rsidRDefault="00BA5E33" w:rsidP="000F5753">
      <w:pPr>
        <w:spacing w:line="276" w:lineRule="auto"/>
        <w:rPr>
          <w:rFonts w:eastAsia="MS Mincho"/>
          <w:b/>
          <w:lang w:eastAsia="ja-JP"/>
        </w:rPr>
      </w:pPr>
      <w:r w:rsidRPr="00C53F10">
        <w:rPr>
          <w:rFonts w:eastAsia="MS Mincho"/>
          <w:b/>
          <w:lang w:eastAsia="ja-JP"/>
        </w:rPr>
        <w:lastRenderedPageBreak/>
        <w:t>Garanții guvernamentale</w:t>
      </w:r>
    </w:p>
    <w:p w14:paraId="59EFC5CB" w14:textId="77777777" w:rsidR="00BA5E33" w:rsidRPr="00C53F10" w:rsidRDefault="00BA5E33" w:rsidP="000F5753">
      <w:pPr>
        <w:spacing w:line="276" w:lineRule="auto"/>
        <w:rPr>
          <w:rFonts w:eastAsia="MS Mincho"/>
          <w:lang w:eastAsia="ja-JP"/>
        </w:rPr>
      </w:pPr>
    </w:p>
    <w:p w14:paraId="5E83EDD0" w14:textId="77777777" w:rsidR="00BA5E33" w:rsidRPr="00C53F10" w:rsidRDefault="00BA5E33" w:rsidP="000F5753">
      <w:pPr>
        <w:spacing w:line="276" w:lineRule="auto"/>
        <w:jc w:val="both"/>
        <w:rPr>
          <w:rFonts w:eastAsia="MS Mincho"/>
          <w:lang w:eastAsia="ja-JP"/>
        </w:rPr>
      </w:pPr>
      <w:r w:rsidRPr="00C53F10">
        <w:rPr>
          <w:rFonts w:eastAsia="MS Mincho"/>
          <w:lang w:eastAsia="ja-JP"/>
        </w:rPr>
        <w:tab/>
        <w:t>Datele privind garanțiile guvernamentale acoperă toate subsectoarele administrației publice, cu excepția sistemelor de asigurări sociale. Datele sunt clasificate în garanții emise pentru societăți publice, societăți financiare și garanții emise în timpul crizei financiare.</w:t>
      </w:r>
    </w:p>
    <w:p w14:paraId="06472214" w14:textId="77777777" w:rsidR="00BA5E33" w:rsidRPr="00C53F10" w:rsidRDefault="00BA5E33" w:rsidP="000F5753">
      <w:pPr>
        <w:spacing w:line="276" w:lineRule="auto"/>
        <w:jc w:val="both"/>
        <w:rPr>
          <w:rFonts w:eastAsia="MS Mincho"/>
          <w:lang w:eastAsia="ja-JP"/>
        </w:rPr>
      </w:pPr>
    </w:p>
    <w:p w14:paraId="71F300C0" w14:textId="77777777" w:rsidR="00BA5E33" w:rsidRPr="00C53F10" w:rsidRDefault="00BA5E33" w:rsidP="000F5753">
      <w:pPr>
        <w:spacing w:line="276" w:lineRule="auto"/>
        <w:jc w:val="both"/>
        <w:rPr>
          <w:rFonts w:eastAsia="MS Mincho"/>
          <w:lang w:eastAsia="ja-JP"/>
        </w:rPr>
      </w:pPr>
      <w:r w:rsidRPr="00C53F10">
        <w:rPr>
          <w:rFonts w:eastAsia="MS Mincho"/>
          <w:lang w:eastAsia="ja-JP"/>
        </w:rPr>
        <w:t>Garanțiile standardizate versus garanțiile simple:</w:t>
      </w:r>
    </w:p>
    <w:p w14:paraId="1270BB64" w14:textId="77777777" w:rsidR="00BA5E33" w:rsidRPr="00C53F10" w:rsidRDefault="00BA5E33" w:rsidP="000F5753">
      <w:pPr>
        <w:spacing w:line="276" w:lineRule="auto"/>
        <w:jc w:val="both"/>
        <w:rPr>
          <w:rFonts w:eastAsia="MS Mincho"/>
          <w:lang w:eastAsia="ja-JP"/>
        </w:rPr>
      </w:pPr>
    </w:p>
    <w:p w14:paraId="4ACE8A9C" w14:textId="4FD9B55F" w:rsidR="00BA5E33" w:rsidRPr="00C53F10" w:rsidRDefault="00BA5E33" w:rsidP="00AB5518">
      <w:pPr>
        <w:spacing w:after="120" w:line="276" w:lineRule="auto"/>
        <w:jc w:val="both"/>
        <w:rPr>
          <w:rFonts w:eastAsia="MS Mincho"/>
          <w:lang w:eastAsia="ja-JP"/>
        </w:rPr>
      </w:pPr>
      <w:r w:rsidRPr="00C53F10">
        <w:rPr>
          <w:rFonts w:eastAsia="MS Mincho"/>
          <w:lang w:eastAsia="ja-JP"/>
        </w:rPr>
        <w:tab/>
        <w:t>"Garanții standardizate sunt garanții care sunt emise în număr mare, de obicei pentru sume destul de mici, în condiții identice. Există trei părți implicate în aceste  aranjamente- debitorul, creditorul și garantul. Debitorului sau creditorul poate încheia contracte cu garantul pentru a rambursa valoarea împrumutului creditorului, în cazul în care debitorul nu își poate îndeplini obligațiile contractuale. Nu este posibil să se estimeze cu precizie riscul de credit pentru fiecare împrumut, dar este posibil să se estimeze pentru cât de multe dintr-un număr mare de astfel de împrumuturi, nu se vor îndeplini obligațiile contractuale. Exemple sunt garanțiile pentru împrumuturi ipotecare, garanții pentru împrumuturi studențești, etc. "(Grupul de lucru cu privire la implicațiile Directivei 2011/85, Raport final).</w:t>
      </w:r>
    </w:p>
    <w:p w14:paraId="70A8608E" w14:textId="77777777" w:rsidR="00BA5E33" w:rsidRPr="00C53F10" w:rsidRDefault="00BA5E33" w:rsidP="000F5753">
      <w:pPr>
        <w:spacing w:line="276" w:lineRule="auto"/>
        <w:jc w:val="both"/>
        <w:rPr>
          <w:rFonts w:eastAsia="MS Mincho"/>
          <w:lang w:eastAsia="ja-JP"/>
        </w:rPr>
      </w:pPr>
      <w:r w:rsidRPr="00C53F10">
        <w:rPr>
          <w:rFonts w:eastAsia="MS Mincho"/>
          <w:lang w:eastAsia="ja-JP"/>
        </w:rPr>
        <w:tab/>
        <w:t>"O garanție simplă este definită ca individuală, iar garantul nu este în măsură să facă o estimare sigură a riscului de neplată. Garanțiile simple sunt legate de instrumente de datorie (de exemplu: împrumuturi, obligațiuni). "(Grupul de lucru cu privire la implicațiile Directivei 2011/85, Raport final).</w:t>
      </w:r>
    </w:p>
    <w:p w14:paraId="068D1848" w14:textId="77777777" w:rsidR="00BA5E33" w:rsidRPr="00C53F10" w:rsidRDefault="00BA5E33" w:rsidP="000F5753">
      <w:pPr>
        <w:spacing w:line="276" w:lineRule="auto"/>
        <w:jc w:val="both"/>
        <w:rPr>
          <w:rFonts w:eastAsia="MS Mincho"/>
          <w:lang w:eastAsia="ja-JP"/>
        </w:rPr>
      </w:pPr>
    </w:p>
    <w:p w14:paraId="6DE93CD3" w14:textId="77777777" w:rsidR="00BA5E33" w:rsidRPr="00C53F10" w:rsidRDefault="00BA5E33" w:rsidP="000F5753">
      <w:pPr>
        <w:spacing w:line="276" w:lineRule="auto"/>
        <w:jc w:val="both"/>
        <w:rPr>
          <w:rFonts w:eastAsia="MS Mincho"/>
          <w:lang w:eastAsia="ja-JP"/>
        </w:rPr>
      </w:pPr>
      <w:r w:rsidRPr="00C53F10">
        <w:rPr>
          <w:rFonts w:eastAsia="MS Mincho"/>
          <w:lang w:eastAsia="ja-JP"/>
        </w:rPr>
        <w:t>Datele nu includ:</w:t>
      </w:r>
    </w:p>
    <w:p w14:paraId="27CF4D1C" w14:textId="77777777" w:rsidR="00BA5E33" w:rsidRPr="00C53F10" w:rsidRDefault="00BA5E33" w:rsidP="000F5753">
      <w:pPr>
        <w:spacing w:line="276" w:lineRule="auto"/>
        <w:jc w:val="both"/>
        <w:rPr>
          <w:rFonts w:eastAsia="MS Mincho"/>
          <w:lang w:eastAsia="ja-JP"/>
        </w:rPr>
      </w:pPr>
    </w:p>
    <w:p w14:paraId="56CDF8B9" w14:textId="77777777" w:rsidR="00BA5E33" w:rsidRPr="00C53F10" w:rsidRDefault="00BA5E33" w:rsidP="007E711E">
      <w:pPr>
        <w:numPr>
          <w:ilvl w:val="0"/>
          <w:numId w:val="2"/>
        </w:numPr>
        <w:tabs>
          <w:tab w:val="clear" w:pos="0"/>
          <w:tab w:val="num" w:pos="720"/>
        </w:tabs>
        <w:spacing w:line="276" w:lineRule="auto"/>
        <w:jc w:val="both"/>
        <w:rPr>
          <w:rFonts w:eastAsia="MS Mincho"/>
          <w:lang w:eastAsia="ja-JP"/>
        </w:rPr>
      </w:pPr>
      <w:r w:rsidRPr="00C53F10">
        <w:rPr>
          <w:rFonts w:eastAsia="MS Mincho"/>
          <w:lang w:eastAsia="ja-JP"/>
        </w:rPr>
        <w:t>garanțiile guvernamentale emise în cadrul mecanismului de garantare în conformitate cu Acordul-cadru al Facilității de stabilitate financiară europeană (FESF)</w:t>
      </w:r>
    </w:p>
    <w:p w14:paraId="36CBAAF9" w14:textId="77777777" w:rsidR="00BA5E33" w:rsidRPr="00C53F10" w:rsidRDefault="00BA5E33" w:rsidP="007E711E">
      <w:pPr>
        <w:numPr>
          <w:ilvl w:val="0"/>
          <w:numId w:val="2"/>
        </w:numPr>
        <w:tabs>
          <w:tab w:val="clear" w:pos="0"/>
          <w:tab w:val="num" w:pos="720"/>
        </w:tabs>
        <w:spacing w:line="276" w:lineRule="auto"/>
        <w:jc w:val="both"/>
        <w:rPr>
          <w:rFonts w:eastAsia="MS Mincho"/>
          <w:lang w:eastAsia="ja-JP"/>
        </w:rPr>
      </w:pPr>
      <w:r w:rsidRPr="00C53F10">
        <w:rPr>
          <w:rFonts w:eastAsia="MS Mincho"/>
          <w:lang w:eastAsia="ja-JP"/>
        </w:rPr>
        <w:t>garanții de tip derivate (garanții care corespund definiției unui instrument financiar derivat)</w:t>
      </w:r>
    </w:p>
    <w:p w14:paraId="3E6ADD29" w14:textId="77777777" w:rsidR="00BA5E33" w:rsidRPr="00C53F10" w:rsidRDefault="00BA5E33" w:rsidP="007E711E">
      <w:pPr>
        <w:numPr>
          <w:ilvl w:val="0"/>
          <w:numId w:val="2"/>
        </w:numPr>
        <w:tabs>
          <w:tab w:val="clear" w:pos="0"/>
          <w:tab w:val="num" w:pos="720"/>
        </w:tabs>
        <w:spacing w:line="276" w:lineRule="auto"/>
        <w:jc w:val="both"/>
        <w:rPr>
          <w:rFonts w:eastAsia="MS Mincho"/>
          <w:lang w:eastAsia="ja-JP"/>
        </w:rPr>
      </w:pPr>
      <w:r w:rsidRPr="00C53F10">
        <w:rPr>
          <w:rFonts w:eastAsia="MS Mincho"/>
          <w:lang w:eastAsia="ja-JP"/>
        </w:rPr>
        <w:t>garanțiile de asigurare a depozitelor și schemelor similare</w:t>
      </w:r>
    </w:p>
    <w:p w14:paraId="21F306BA" w14:textId="77777777" w:rsidR="00AB5518" w:rsidRPr="00C53F10" w:rsidRDefault="00BA5E33" w:rsidP="007E711E">
      <w:pPr>
        <w:numPr>
          <w:ilvl w:val="0"/>
          <w:numId w:val="2"/>
        </w:numPr>
        <w:tabs>
          <w:tab w:val="clear" w:pos="0"/>
          <w:tab w:val="num" w:pos="207"/>
          <w:tab w:val="num" w:pos="720"/>
        </w:tabs>
        <w:spacing w:line="276" w:lineRule="auto"/>
        <w:ind w:left="709"/>
        <w:jc w:val="both"/>
        <w:rPr>
          <w:rFonts w:eastAsia="MS Mincho"/>
          <w:lang w:eastAsia="ja-JP"/>
        </w:rPr>
      </w:pPr>
      <w:r w:rsidRPr="00C53F10">
        <w:rPr>
          <w:rFonts w:eastAsia="MS Mincho"/>
          <w:lang w:eastAsia="ja-JP"/>
        </w:rPr>
        <w:t>garanțiile guvernamentale emise pentru evenimente greu de acoperit prin asigurări comerciale (cutremure, inundații pe scară largă, accidente nucleare, unele expoziții de artă, etc.)</w:t>
      </w:r>
    </w:p>
    <w:p w14:paraId="6CCA2A6F" w14:textId="3167D5F3" w:rsidR="00AB5518" w:rsidRPr="00C53F10" w:rsidRDefault="00BA5E33" w:rsidP="007E711E">
      <w:pPr>
        <w:numPr>
          <w:ilvl w:val="0"/>
          <w:numId w:val="2"/>
        </w:numPr>
        <w:tabs>
          <w:tab w:val="clear" w:pos="0"/>
          <w:tab w:val="num" w:pos="207"/>
          <w:tab w:val="num" w:pos="709"/>
        </w:tabs>
        <w:spacing w:line="276" w:lineRule="auto"/>
        <w:ind w:left="709"/>
        <w:jc w:val="both"/>
        <w:rPr>
          <w:rFonts w:eastAsia="MS Mincho"/>
          <w:lang w:eastAsia="ja-JP"/>
        </w:rPr>
      </w:pPr>
      <w:r w:rsidRPr="00C53F10">
        <w:rPr>
          <w:rFonts w:eastAsia="MS Mincho"/>
          <w:lang w:eastAsia="ja-JP"/>
        </w:rPr>
        <w:t>garanții furnizate unităților clasificate în cadrul administrației publice (Grupul de lucru cu privire la implicațiile Directivei 2011/85, Raport final)</w:t>
      </w:r>
    </w:p>
    <w:p w14:paraId="72D7BC43" w14:textId="22CADCE3" w:rsidR="00BA5E33" w:rsidRPr="00C53F10" w:rsidRDefault="00542E53" w:rsidP="00EC0578">
      <w:pPr>
        <w:tabs>
          <w:tab w:val="num" w:pos="720"/>
        </w:tabs>
        <w:spacing w:line="276" w:lineRule="auto"/>
        <w:ind w:left="360"/>
        <w:jc w:val="both"/>
        <w:rPr>
          <w:rFonts w:eastAsia="MS Mincho"/>
          <w:lang w:eastAsia="ja-JP"/>
        </w:rPr>
      </w:pPr>
      <w:r w:rsidRPr="00C53F10">
        <w:rPr>
          <w:noProof/>
          <w:lang w:val="en-US" w:eastAsia="en-US"/>
        </w:rPr>
        <w:lastRenderedPageBreak/>
        <w:drawing>
          <wp:anchor distT="0" distB="0" distL="114300" distR="114300" simplePos="0" relativeHeight="251706880" behindDoc="0" locked="0" layoutInCell="1" allowOverlap="1" wp14:anchorId="41966A3E" wp14:editId="3332ADD0">
            <wp:simplePos x="0" y="0"/>
            <wp:positionH relativeFrom="column">
              <wp:posOffset>222885</wp:posOffset>
            </wp:positionH>
            <wp:positionV relativeFrom="paragraph">
              <wp:posOffset>4445</wp:posOffset>
            </wp:positionV>
            <wp:extent cx="8991600" cy="48996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991600" cy="4899660"/>
                    </a:xfrm>
                    <a:prstGeom prst="rect">
                      <a:avLst/>
                    </a:prstGeom>
                    <a:noFill/>
                  </pic:spPr>
                </pic:pic>
              </a:graphicData>
            </a:graphic>
            <wp14:sizeRelH relativeFrom="margin">
              <wp14:pctWidth>0</wp14:pctWidth>
            </wp14:sizeRelH>
          </wp:anchor>
        </w:drawing>
      </w:r>
    </w:p>
    <w:p w14:paraId="595E3C77" w14:textId="1FCF2AE3" w:rsidR="00BA5E33" w:rsidRPr="00C53F10" w:rsidRDefault="00BA5E33" w:rsidP="000F5753">
      <w:pPr>
        <w:spacing w:line="276" w:lineRule="auto"/>
        <w:ind w:left="-426"/>
        <w:jc w:val="both"/>
        <w:rPr>
          <w:rFonts w:eastAsia="MS Mincho"/>
          <w:lang w:eastAsia="ja-JP"/>
        </w:rPr>
      </w:pPr>
    </w:p>
    <w:p w14:paraId="1186CDAA" w14:textId="368B1E80" w:rsidR="00FE6AC3" w:rsidRPr="00C53F10" w:rsidRDefault="00FE6AC3">
      <w:pPr>
        <w:spacing w:line="276" w:lineRule="auto"/>
        <w:ind w:left="-426"/>
        <w:jc w:val="both"/>
        <w:rPr>
          <w:rFonts w:eastAsia="MS Mincho"/>
          <w:lang w:eastAsia="ja-JP"/>
        </w:rPr>
      </w:pPr>
    </w:p>
    <w:sectPr w:rsidR="00FE6AC3" w:rsidRPr="00C53F10" w:rsidSect="00FE6AC3">
      <w:footerReference w:type="default" r:id="rId38"/>
      <w:pgSz w:w="16838" w:h="11906" w:orient="landscape"/>
      <w:pgMar w:top="1418" w:right="1134" w:bottom="849"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A69A1" w14:textId="77777777" w:rsidR="009F3326" w:rsidRDefault="009F3326" w:rsidP="00D66DE1">
      <w:r>
        <w:separator/>
      </w:r>
    </w:p>
  </w:endnote>
  <w:endnote w:type="continuationSeparator" w:id="0">
    <w:p w14:paraId="28FAD7D9" w14:textId="77777777" w:rsidR="009F3326" w:rsidRDefault="009F3326" w:rsidP="00D6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Iskoola Pota">
    <w:altName w:val="Times New Roman"/>
    <w:panose1 w:val="020B0502040204020203"/>
    <w:charset w:val="00"/>
    <w:family w:val="swiss"/>
    <w:pitch w:val="variable"/>
    <w:sig w:usb0="00000003" w:usb1="00000000" w:usb2="00000200" w:usb3="00000000" w:csb0="00000001"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1)">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68451" w14:textId="77777777" w:rsidR="00B23F48" w:rsidRDefault="00B23F48" w:rsidP="00C94F9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4F0498" w14:textId="77777777" w:rsidR="00B23F48" w:rsidRDefault="00B23F48" w:rsidP="00C94F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326B6" w14:textId="26451F0D" w:rsidR="00B23F48" w:rsidRDefault="00B23F48">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5E33D" w14:textId="2B3BB55A" w:rsidR="00B23F48" w:rsidRDefault="00B23F48">
    <w:pPr>
      <w:pStyle w:val="Footer"/>
      <w:jc w:val="center"/>
    </w:pPr>
  </w:p>
  <w:p w14:paraId="5C7E70B6" w14:textId="77777777" w:rsidR="00B23F48" w:rsidRDefault="00B23F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3055098"/>
      <w:docPartObj>
        <w:docPartGallery w:val="Page Numbers (Bottom of Page)"/>
        <w:docPartUnique/>
      </w:docPartObj>
    </w:sdtPr>
    <w:sdtEndPr>
      <w:rPr>
        <w:noProof/>
      </w:rPr>
    </w:sdtEndPr>
    <w:sdtContent>
      <w:p w14:paraId="0485D312" w14:textId="45663680" w:rsidR="00B23F48" w:rsidRDefault="00B23F48">
        <w:pPr>
          <w:pStyle w:val="Footer"/>
          <w:jc w:val="right"/>
        </w:pPr>
        <w:r>
          <w:fldChar w:fldCharType="begin"/>
        </w:r>
        <w:r>
          <w:instrText xml:space="preserve"> PAGE   \* MERGEFORMAT </w:instrText>
        </w:r>
        <w:r>
          <w:fldChar w:fldCharType="separate"/>
        </w:r>
        <w:r w:rsidR="00AD42FC">
          <w:rPr>
            <w:noProof/>
          </w:rPr>
          <w:t>46</w:t>
        </w:r>
        <w:r>
          <w:rPr>
            <w:noProof/>
          </w:rPr>
          <w:fldChar w:fldCharType="end"/>
        </w:r>
      </w:p>
    </w:sdtContent>
  </w:sdt>
  <w:sdt>
    <w:sdtPr>
      <w:rPr>
        <w:i/>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alias w:val="Title"/>
      <w:tag w:val=""/>
      <w:id w:val="896852919"/>
      <w:placeholder>
        <w:docPart w:val="3BAED32862314375B4C298049BB35AA8"/>
      </w:placeholder>
      <w:dataBinding w:prefixMappings="xmlns:ns0='http://purl.org/dc/elements/1.1/' xmlns:ns1='http://schemas.openxmlformats.org/package/2006/metadata/core-properties' " w:xpath="/ns1:coreProperties[1]/ns0:title[1]" w:storeItemID="{6C3C8BC8-F283-45AE-878A-BAB7291924A1}"/>
      <w:text/>
    </w:sdtPr>
    <w:sdtContent>
      <w:p w14:paraId="5F23DDB5" w14:textId="3C903883" w:rsidR="00B23F48" w:rsidRPr="00F24F00" w:rsidRDefault="00B23F48" w:rsidP="00A879FF">
        <w:pPr>
          <w:pStyle w:val="Footer"/>
          <w:shd w:val="clear" w:color="auto" w:fill="CCFFFF"/>
          <w:rPr>
            <w:i/>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F24F00">
          <w:rPr>
            <w:i/>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Raport privind execuția bugetară finală pe anul 2024</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8D392" w14:textId="0713B676" w:rsidR="00B23F48" w:rsidRDefault="00B23F48">
    <w:pPr>
      <w:pStyle w:val="Footer"/>
      <w:jc w:val="right"/>
    </w:pPr>
  </w:p>
  <w:p w14:paraId="45537434" w14:textId="77777777" w:rsidR="00B23F48" w:rsidRDefault="00B23F4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3D663" w14:textId="77777777" w:rsidR="00B23F48" w:rsidRDefault="00B23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13AD8" w14:textId="77777777" w:rsidR="009F3326" w:rsidRDefault="009F3326" w:rsidP="00D66DE1">
      <w:r>
        <w:separator/>
      </w:r>
    </w:p>
  </w:footnote>
  <w:footnote w:type="continuationSeparator" w:id="0">
    <w:p w14:paraId="2E6A4A2C" w14:textId="77777777" w:rsidR="009F3326" w:rsidRDefault="009F3326" w:rsidP="00D66DE1">
      <w:r>
        <w:continuationSeparator/>
      </w:r>
    </w:p>
  </w:footnote>
  <w:footnote w:id="1">
    <w:p w14:paraId="635FB76C" w14:textId="77777777" w:rsidR="00B23F48" w:rsidRPr="00427522" w:rsidRDefault="00B23F48" w:rsidP="0083061A">
      <w:pPr>
        <w:pStyle w:val="FootnoteText"/>
      </w:pPr>
      <w:r w:rsidRPr="00427522">
        <w:rPr>
          <w:rStyle w:val="FootnoteReference"/>
        </w:rPr>
        <w:footnoteRef/>
      </w:r>
      <w:r w:rsidRPr="008E3373">
        <w:rPr>
          <w:lang w:val="es-ES"/>
        </w:rPr>
        <w:t xml:space="preserve"> </w:t>
      </w:r>
      <w:r w:rsidRPr="008E3373">
        <w:rPr>
          <w:rFonts w:ascii="Trebuchet MS" w:hAnsi="Trebuchet MS"/>
          <w:sz w:val="16"/>
          <w:szCs w:val="16"/>
          <w:lang w:val="es-ES"/>
        </w:rPr>
        <w:t>M</w:t>
      </w:r>
      <w:r w:rsidRPr="00427522">
        <w:rPr>
          <w:rFonts w:ascii="Trebuchet MS" w:hAnsi="Trebuchet MS"/>
          <w:bCs/>
          <w:sz w:val="16"/>
          <w:szCs w:val="16"/>
        </w:rPr>
        <w:t>ăsurile de eficientizare a cheltuielilor publice prevăzute în Memorandumurile de aprobare a analizelor de cheltuieli și a măsurilor de eficientizare a cheltuielilor publice în domeniile analizate, aprobate de Guvern conform art. 31</w:t>
      </w:r>
      <w:r w:rsidRPr="00427522">
        <w:rPr>
          <w:rFonts w:ascii="Trebuchet MS" w:hAnsi="Trebuchet MS"/>
          <w:bCs/>
          <w:sz w:val="16"/>
          <w:szCs w:val="16"/>
          <w:vertAlign w:val="superscript"/>
        </w:rPr>
        <w:t xml:space="preserve">1 </w:t>
      </w:r>
      <w:r w:rsidRPr="00427522">
        <w:rPr>
          <w:rFonts w:ascii="Trebuchet MS" w:hAnsi="Trebuchet MS"/>
          <w:bCs/>
          <w:sz w:val="16"/>
          <w:szCs w:val="16"/>
        </w:rPr>
        <w:t>din Legea nr 500/2002 cu modificările și completările ulterioare</w:t>
      </w:r>
      <w:r w:rsidRPr="00427522">
        <w:rPr>
          <w:rFonts w:ascii="Trebuchet MS" w:hAnsi="Trebuchet MS"/>
          <w:bCs/>
          <w:sz w:val="24"/>
          <w:szCs w:val="24"/>
        </w:rPr>
        <w:t xml:space="preserve"> </w:t>
      </w:r>
      <w:r w:rsidRPr="00427522">
        <w:rPr>
          <w:rFonts w:ascii="Trebuchet MS" w:hAnsi="Trebuchet MS"/>
          <w:b/>
          <w:bCs/>
          <w:sz w:val="24"/>
          <w:szCs w:val="24"/>
        </w:rPr>
        <w:t xml:space="preserve"> </w:t>
      </w:r>
    </w:p>
  </w:footnote>
  <w:footnote w:id="2">
    <w:p w14:paraId="424B87D7" w14:textId="29004933" w:rsidR="00B23F48" w:rsidRPr="00AF28B7" w:rsidRDefault="00B23F48">
      <w:pPr>
        <w:pStyle w:val="FootnoteText"/>
      </w:pPr>
      <w:r>
        <w:rPr>
          <w:rStyle w:val="FootnoteReference"/>
        </w:rPr>
        <w:footnoteRef/>
      </w:r>
      <w:r w:rsidRPr="00694DEF">
        <w:rPr>
          <w:lang w:val="es-ES"/>
        </w:rPr>
        <w:t xml:space="preserve"> </w:t>
      </w:r>
      <w:r w:rsidRPr="00374FC1">
        <w:t>pentru aprobarea plafoanelor unor indicatori specificați în cadrul fiscal-bugetar pe anul 202</w:t>
      </w:r>
      <w:r>
        <w:t>4</w:t>
      </w:r>
    </w:p>
  </w:footnote>
  <w:footnote w:id="3">
    <w:p w14:paraId="462B63BF" w14:textId="77777777" w:rsidR="00B23F48" w:rsidRPr="000F2D16" w:rsidRDefault="00B23F48" w:rsidP="0005314E">
      <w:pPr>
        <w:pStyle w:val="FootnoteText"/>
      </w:pPr>
      <w:r>
        <w:rPr>
          <w:rStyle w:val="FootnoteReference"/>
        </w:rPr>
        <w:footnoteRef/>
      </w:r>
      <w:r>
        <w:t xml:space="preserve"> </w:t>
      </w:r>
      <w:r w:rsidRPr="000F2D16">
        <w:rPr>
          <w:rFonts w:asciiTheme="minorHAnsi" w:hAnsiTheme="minorHAnsi" w:cstheme="minorHAnsi"/>
          <w:sz w:val="18"/>
          <w:szCs w:val="18"/>
        </w:rPr>
        <w:t>Comunicat de presă INS nr.</w:t>
      </w:r>
      <w:r>
        <w:rPr>
          <w:rFonts w:asciiTheme="minorHAnsi" w:hAnsiTheme="minorHAnsi" w:cstheme="minorHAnsi"/>
          <w:sz w:val="18"/>
          <w:szCs w:val="18"/>
        </w:rPr>
        <w:t xml:space="preserve"> </w:t>
      </w:r>
      <w:r w:rsidRPr="000F2D16">
        <w:rPr>
          <w:rFonts w:asciiTheme="minorHAnsi" w:hAnsiTheme="minorHAnsi" w:cstheme="minorHAnsi"/>
          <w:sz w:val="18"/>
          <w:szCs w:val="18"/>
        </w:rPr>
        <w:t>88/10 aprilie 2025 (Produsul intern brut)</w:t>
      </w:r>
    </w:p>
  </w:footnote>
  <w:footnote w:id="4">
    <w:p w14:paraId="3CCBF428" w14:textId="77777777" w:rsidR="00B23F48" w:rsidRPr="00D66EA7" w:rsidRDefault="00B23F48" w:rsidP="003C0279">
      <w:pPr>
        <w:pStyle w:val="FootnoteText"/>
        <w:rPr>
          <w:rFonts w:asciiTheme="minorHAnsi" w:hAnsiTheme="minorHAnsi" w:cstheme="minorHAnsi"/>
          <w:sz w:val="18"/>
          <w:szCs w:val="18"/>
        </w:rPr>
      </w:pPr>
      <w:r w:rsidRPr="00D66EA7">
        <w:rPr>
          <w:rStyle w:val="FootnoteReference"/>
          <w:rFonts w:asciiTheme="minorHAnsi" w:hAnsiTheme="minorHAnsi" w:cstheme="minorHAnsi"/>
          <w:sz w:val="18"/>
          <w:szCs w:val="18"/>
        </w:rPr>
        <w:footnoteRef/>
      </w:r>
      <w:r w:rsidRPr="00D66EA7">
        <w:rPr>
          <w:rStyle w:val="FootnoteReference"/>
          <w:sz w:val="18"/>
          <w:szCs w:val="18"/>
        </w:rPr>
        <w:t xml:space="preserve"> </w:t>
      </w:r>
      <w:r w:rsidRPr="00E9750C">
        <w:rPr>
          <w:rFonts w:asciiTheme="minorHAnsi" w:hAnsiTheme="minorHAnsi" w:cstheme="minorHAnsi"/>
          <w:sz w:val="18"/>
          <w:szCs w:val="18"/>
        </w:rPr>
        <w:t>decembrie 2023-</w:t>
      </w:r>
      <w:r>
        <w:rPr>
          <w:rFonts w:asciiTheme="minorHAnsi" w:hAnsiTheme="minorHAnsi" w:cstheme="minorHAnsi"/>
          <w:sz w:val="18"/>
          <w:szCs w:val="18"/>
        </w:rPr>
        <w:t>nov.</w:t>
      </w:r>
      <w:r w:rsidRPr="00E9750C">
        <w:rPr>
          <w:rFonts w:asciiTheme="minorHAnsi" w:hAnsiTheme="minorHAnsi" w:cstheme="minorHAnsi"/>
          <w:sz w:val="18"/>
          <w:szCs w:val="18"/>
        </w:rPr>
        <w:t xml:space="preserve"> 2024/decembrie 2022-</w:t>
      </w:r>
      <w:r>
        <w:rPr>
          <w:rFonts w:asciiTheme="minorHAnsi" w:hAnsiTheme="minorHAnsi" w:cstheme="minorHAnsi"/>
          <w:sz w:val="18"/>
          <w:szCs w:val="18"/>
        </w:rPr>
        <w:t>nov.</w:t>
      </w:r>
      <w:r w:rsidRPr="00E9750C">
        <w:rPr>
          <w:rFonts w:asciiTheme="minorHAnsi" w:hAnsiTheme="minorHAnsi" w:cstheme="minorHAnsi"/>
          <w:sz w:val="18"/>
          <w:szCs w:val="18"/>
        </w:rPr>
        <w:t xml:space="preserve"> 2023</w:t>
      </w:r>
    </w:p>
  </w:footnote>
  <w:footnote w:id="5">
    <w:p w14:paraId="77628057" w14:textId="77777777" w:rsidR="00B23F48" w:rsidRPr="00031049" w:rsidRDefault="00B23F48" w:rsidP="003C0279">
      <w:pPr>
        <w:autoSpaceDE w:val="0"/>
        <w:autoSpaceDN w:val="0"/>
        <w:adjustRightInd w:val="0"/>
        <w:rPr>
          <w:rFonts w:asciiTheme="minorHAnsi" w:hAnsiTheme="minorHAnsi" w:cstheme="minorHAnsi"/>
          <w:sz w:val="20"/>
          <w:szCs w:val="20"/>
        </w:rPr>
      </w:pPr>
      <w:r w:rsidRPr="00E53188">
        <w:rPr>
          <w:rStyle w:val="FootnoteReference"/>
          <w:rFonts w:asciiTheme="minorHAnsi" w:hAnsiTheme="minorHAnsi" w:cstheme="minorHAnsi"/>
          <w:sz w:val="20"/>
          <w:szCs w:val="20"/>
        </w:rPr>
        <w:footnoteRef/>
      </w:r>
      <w:r w:rsidRPr="000E040D">
        <w:rPr>
          <w:rFonts w:asciiTheme="minorHAnsi" w:hAnsiTheme="minorHAnsi" w:cstheme="minorHAnsi"/>
        </w:rPr>
        <w:t xml:space="preserve"> </w:t>
      </w:r>
      <w:r w:rsidRPr="00312200">
        <w:rPr>
          <w:rFonts w:asciiTheme="minorHAnsi" w:hAnsiTheme="minorHAnsi" w:cstheme="minorHAnsi"/>
          <w:sz w:val="18"/>
          <w:szCs w:val="18"/>
        </w:rPr>
        <w:t>O.U.G. nr. 93/2023 pentru stabilirea salariului de bază minim brut pe ţară garantat în plată pentru sectoarele construcţii, agricol şi industria alimentară</w:t>
      </w:r>
    </w:p>
  </w:footnote>
  <w:footnote w:id="6">
    <w:p w14:paraId="18E27355" w14:textId="77777777" w:rsidR="00B23F48" w:rsidRPr="00B00FA0" w:rsidRDefault="00B23F48" w:rsidP="003C0279">
      <w:pPr>
        <w:pStyle w:val="FootnoteText"/>
        <w:rPr>
          <w:rFonts w:asciiTheme="minorHAnsi" w:hAnsiTheme="minorHAnsi" w:cstheme="minorHAnsi"/>
        </w:rPr>
      </w:pPr>
      <w:r w:rsidRPr="007C5977">
        <w:rPr>
          <w:rStyle w:val="FootnoteReference"/>
        </w:rPr>
        <w:footnoteRef/>
      </w:r>
      <w:r w:rsidRPr="000E040D">
        <w:rPr>
          <w:rFonts w:asciiTheme="minorHAnsi" w:hAnsiTheme="minorHAnsi" w:cstheme="minorHAnsi"/>
        </w:rPr>
        <w:t xml:space="preserve"> </w:t>
      </w:r>
      <w:r w:rsidRPr="00312200">
        <w:rPr>
          <w:rFonts w:asciiTheme="minorHAnsi" w:hAnsiTheme="minorHAnsi" w:cstheme="minorHAnsi"/>
          <w:sz w:val="18"/>
          <w:szCs w:val="18"/>
        </w:rPr>
        <w:t>Legea nr. 296 privind unele măsuri fiscal-bugetare pentru asigurarea sustenabilităţii financiare a României pe terme</w:t>
      </w:r>
      <w:r w:rsidRPr="0012758E">
        <w:rPr>
          <w:rFonts w:asciiTheme="minorHAnsi" w:hAnsiTheme="minorHAnsi" w:cstheme="minorHAnsi"/>
        </w:rPr>
        <w:t>n lung</w:t>
      </w:r>
    </w:p>
  </w:footnote>
  <w:footnote w:id="7">
    <w:p w14:paraId="426F42BE" w14:textId="77777777" w:rsidR="00B23F48" w:rsidRPr="00312200" w:rsidRDefault="00B23F48" w:rsidP="003C0279">
      <w:pPr>
        <w:pStyle w:val="FootnoteText"/>
        <w:rPr>
          <w:rFonts w:asciiTheme="minorHAnsi" w:hAnsiTheme="minorHAnsi" w:cstheme="minorHAnsi"/>
          <w:sz w:val="18"/>
          <w:szCs w:val="18"/>
        </w:rPr>
      </w:pPr>
      <w:r w:rsidRPr="00D66EA7">
        <w:rPr>
          <w:rStyle w:val="FootnoteReference"/>
          <w:sz w:val="18"/>
          <w:szCs w:val="18"/>
        </w:rPr>
        <w:footnoteRef/>
      </w:r>
      <w:r w:rsidRPr="00D66EA7">
        <w:rPr>
          <w:sz w:val="18"/>
          <w:szCs w:val="18"/>
        </w:rPr>
        <w:t xml:space="preserve"> </w:t>
      </w:r>
      <w:r w:rsidRPr="00312200">
        <w:rPr>
          <w:rFonts w:asciiTheme="minorHAnsi" w:hAnsiTheme="minorHAnsi" w:cstheme="minorHAnsi"/>
          <w:sz w:val="18"/>
          <w:szCs w:val="18"/>
        </w:rPr>
        <w:t>Hotărârea nr. 900/2023 din 28 septembrie 2023 pentru stabilirea salariului de bază minim brut pe ţară garantat în plată</w:t>
      </w:r>
    </w:p>
  </w:footnote>
  <w:footnote w:id="8">
    <w:p w14:paraId="41605C13" w14:textId="77777777" w:rsidR="00B23F48" w:rsidRPr="00387C67" w:rsidRDefault="00B23F48" w:rsidP="003C0279">
      <w:pPr>
        <w:autoSpaceDE w:val="0"/>
        <w:autoSpaceDN w:val="0"/>
        <w:adjustRightInd w:val="0"/>
        <w:jc w:val="both"/>
      </w:pPr>
      <w:r w:rsidRPr="00E53188">
        <w:rPr>
          <w:rStyle w:val="FootnoteReference"/>
          <w:rFonts w:ascii="Times New Roman" w:hAnsi="Times New Roman"/>
          <w:sz w:val="20"/>
          <w:szCs w:val="20"/>
          <w:lang w:val="en-GB"/>
        </w:rPr>
        <w:footnoteRef/>
      </w:r>
      <w:r w:rsidRPr="000E040D">
        <w:rPr>
          <w:rFonts w:asciiTheme="minorHAnsi" w:hAnsiTheme="minorHAnsi" w:cstheme="minorHAnsi"/>
        </w:rPr>
        <w:t xml:space="preserve"> </w:t>
      </w:r>
      <w:r w:rsidRPr="00312200">
        <w:rPr>
          <w:rFonts w:asciiTheme="minorHAnsi" w:hAnsiTheme="minorHAnsi" w:cstheme="minorHAnsi"/>
          <w:sz w:val="18"/>
          <w:szCs w:val="18"/>
        </w:rPr>
        <w:t>Hotărârea nr. 598/2024 din 6 iunie 2024 pentru stabilirea salariului de bază minim brut pe ţară garantat în plată</w:t>
      </w:r>
    </w:p>
  </w:footnote>
  <w:footnote w:id="9">
    <w:p w14:paraId="28B911B5" w14:textId="77777777" w:rsidR="00B23F48" w:rsidRPr="00312200" w:rsidRDefault="00B23F48" w:rsidP="003C0279">
      <w:pPr>
        <w:autoSpaceDE w:val="0"/>
        <w:autoSpaceDN w:val="0"/>
        <w:adjustRightInd w:val="0"/>
        <w:rPr>
          <w:rFonts w:asciiTheme="minorHAnsi" w:hAnsiTheme="minorHAnsi" w:cstheme="minorHAnsi"/>
          <w:sz w:val="18"/>
          <w:szCs w:val="18"/>
        </w:rPr>
      </w:pPr>
      <w:r w:rsidRPr="00CA7848">
        <w:rPr>
          <w:rStyle w:val="FootnoteReference"/>
          <w:sz w:val="18"/>
          <w:szCs w:val="18"/>
        </w:rPr>
        <w:footnoteRef/>
      </w:r>
      <w:r w:rsidRPr="00CA7848">
        <w:rPr>
          <w:sz w:val="18"/>
          <w:szCs w:val="18"/>
        </w:rPr>
        <w:t xml:space="preserve"> </w:t>
      </w:r>
      <w:r w:rsidRPr="00CA7848">
        <w:rPr>
          <w:rFonts w:asciiTheme="minorHAnsi" w:hAnsiTheme="minorHAnsi" w:cstheme="minorHAnsi"/>
          <w:sz w:val="18"/>
          <w:szCs w:val="18"/>
        </w:rPr>
        <w:t>O.U.G. nr. 93/2023</w:t>
      </w:r>
      <w:r w:rsidRPr="00312200">
        <w:rPr>
          <w:rFonts w:asciiTheme="minorHAnsi" w:hAnsiTheme="minorHAnsi" w:cstheme="minorHAnsi"/>
          <w:sz w:val="18"/>
          <w:szCs w:val="18"/>
        </w:rPr>
        <w:t xml:space="preserve"> </w:t>
      </w:r>
      <w:r w:rsidRPr="00CA7848">
        <w:rPr>
          <w:rFonts w:asciiTheme="minorHAnsi" w:hAnsiTheme="minorHAnsi" w:cstheme="minorHAnsi"/>
          <w:sz w:val="18"/>
          <w:szCs w:val="18"/>
        </w:rPr>
        <w:t>pentru stabilirea salariului de bază minim brut pe ţară garantat în plată pentru sectoarele construcţii, agricol şi industria alimentară</w:t>
      </w:r>
    </w:p>
  </w:footnote>
  <w:footnote w:id="10">
    <w:p w14:paraId="5EE90732" w14:textId="77777777" w:rsidR="00B23F48" w:rsidRPr="00312200" w:rsidRDefault="00B23F48" w:rsidP="003C0279">
      <w:pPr>
        <w:pStyle w:val="FootnoteText"/>
        <w:jc w:val="both"/>
        <w:rPr>
          <w:rFonts w:asciiTheme="minorHAnsi" w:hAnsiTheme="minorHAnsi" w:cstheme="minorHAnsi"/>
          <w:sz w:val="18"/>
          <w:szCs w:val="18"/>
        </w:rPr>
      </w:pPr>
      <w:r w:rsidRPr="005472A5">
        <w:rPr>
          <w:rStyle w:val="FootnoteReference"/>
          <w:rFonts w:asciiTheme="minorHAnsi" w:hAnsiTheme="minorHAnsi" w:cstheme="minorHAnsi"/>
        </w:rPr>
        <w:footnoteRef/>
      </w:r>
      <w:r w:rsidRPr="005472A5">
        <w:rPr>
          <w:rFonts w:asciiTheme="minorHAnsi" w:hAnsiTheme="minorHAnsi" w:cstheme="minorHAnsi"/>
        </w:rPr>
        <w:t xml:space="preserve"> </w:t>
      </w:r>
      <w:r w:rsidRPr="00312200">
        <w:rPr>
          <w:rFonts w:asciiTheme="minorHAnsi" w:hAnsiTheme="minorHAnsi" w:cstheme="minorHAnsi"/>
          <w:sz w:val="18"/>
          <w:szCs w:val="18"/>
        </w:rPr>
        <w:t>majorarea valorii punctului de pensie de la 1.586 lei la 1.785 lei, începând cu data de 1 ianuarie 2023, conform Ordonanței de urgență a Guvernului nr. 168/2022 privind unele măsuri fiscal-bugetare, prorogarea unor termene, precum şi pentru modificarea şi completarea unor acte normative</w:t>
      </w:r>
    </w:p>
  </w:footnote>
  <w:footnote w:id="11">
    <w:p w14:paraId="7EB638A0" w14:textId="77777777" w:rsidR="00B23F48" w:rsidRPr="00312200" w:rsidRDefault="00B23F48" w:rsidP="00D65315">
      <w:pPr>
        <w:pStyle w:val="FootnoteText"/>
        <w:jc w:val="both"/>
        <w:rPr>
          <w:rFonts w:asciiTheme="minorHAnsi" w:hAnsiTheme="minorHAnsi" w:cstheme="minorHAnsi"/>
          <w:sz w:val="18"/>
          <w:szCs w:val="18"/>
        </w:rPr>
      </w:pPr>
      <w:r w:rsidRPr="00252D7F">
        <w:rPr>
          <w:rStyle w:val="FootnoteReference"/>
          <w:rFonts w:asciiTheme="minorHAnsi" w:hAnsiTheme="minorHAnsi" w:cstheme="minorHAnsi"/>
        </w:rPr>
        <w:footnoteRef/>
      </w:r>
      <w:r w:rsidRPr="003F624C">
        <w:rPr>
          <w:rStyle w:val="FootnoteReference"/>
        </w:rPr>
        <w:t xml:space="preserve"> </w:t>
      </w:r>
      <w:r w:rsidRPr="00312200">
        <w:rPr>
          <w:rFonts w:asciiTheme="minorHAnsi" w:hAnsiTheme="minorHAnsi" w:cstheme="minorHAnsi"/>
          <w:sz w:val="18"/>
          <w:szCs w:val="18"/>
        </w:rPr>
        <w:t>exclusiv restituiri și majorări de întârziere</w:t>
      </w:r>
    </w:p>
  </w:footnote>
  <w:footnote w:id="12">
    <w:p w14:paraId="2FA74883" w14:textId="77777777" w:rsidR="00B23F48" w:rsidRPr="00312200" w:rsidRDefault="00B23F48" w:rsidP="00D65315">
      <w:pPr>
        <w:pStyle w:val="FootnoteText"/>
        <w:jc w:val="both"/>
        <w:rPr>
          <w:rFonts w:asciiTheme="minorHAnsi" w:hAnsiTheme="minorHAnsi" w:cstheme="minorHAnsi"/>
          <w:sz w:val="18"/>
          <w:szCs w:val="18"/>
        </w:rPr>
      </w:pPr>
      <w:r w:rsidRPr="00252D7F">
        <w:rPr>
          <w:rStyle w:val="FootnoteReference"/>
          <w:rFonts w:asciiTheme="minorHAnsi" w:hAnsiTheme="minorHAnsi" w:cstheme="minorHAnsi"/>
        </w:rPr>
        <w:footnoteRef/>
      </w:r>
      <w:r w:rsidRPr="003F624C">
        <w:t xml:space="preserve"> </w:t>
      </w:r>
      <w:r w:rsidRPr="00312200">
        <w:rPr>
          <w:rFonts w:asciiTheme="minorHAnsi" w:hAnsiTheme="minorHAnsi" w:cstheme="minorHAnsi"/>
          <w:sz w:val="18"/>
          <w:szCs w:val="18"/>
        </w:rPr>
        <w:t>TVA din operațiuni interne au crescut cu 11,1%, iar TVA din importurile de bunuri au crescut cu 20,8%</w:t>
      </w:r>
    </w:p>
  </w:footnote>
  <w:footnote w:id="13">
    <w:p w14:paraId="3F95A321" w14:textId="77777777" w:rsidR="00B23F48" w:rsidRPr="00312200" w:rsidRDefault="00B23F48" w:rsidP="00D65315">
      <w:pPr>
        <w:pStyle w:val="FootnoteText"/>
        <w:jc w:val="both"/>
        <w:rPr>
          <w:rFonts w:asciiTheme="minorHAnsi" w:hAnsiTheme="minorHAnsi" w:cstheme="minorHAnsi"/>
          <w:sz w:val="18"/>
          <w:szCs w:val="18"/>
        </w:rPr>
      </w:pPr>
      <w:r>
        <w:rPr>
          <w:rStyle w:val="FootnoteReference"/>
          <w:rFonts w:cstheme="minorHAnsi"/>
        </w:rPr>
        <w:footnoteRef/>
      </w:r>
      <w:r>
        <w:rPr>
          <w:rStyle w:val="FootnoteReference"/>
          <w:rFonts w:cstheme="minorHAnsi"/>
        </w:rPr>
        <w:t xml:space="preserve"> </w:t>
      </w:r>
      <w:r w:rsidRPr="00312200">
        <w:rPr>
          <w:rFonts w:asciiTheme="minorHAnsi" w:hAnsiTheme="minorHAnsi" w:cstheme="minorHAnsi"/>
          <w:sz w:val="18"/>
          <w:szCs w:val="18"/>
        </w:rPr>
        <w:t>comunicat de presă INS nr. 28/06 februarie  2025 -  Comerț și servicii</w:t>
      </w:r>
    </w:p>
  </w:footnote>
  <w:footnote w:id="14">
    <w:p w14:paraId="6AA00526" w14:textId="77777777" w:rsidR="00B23F48" w:rsidRPr="00312200" w:rsidRDefault="00B23F48" w:rsidP="00D65315">
      <w:pPr>
        <w:pStyle w:val="FootnoteText"/>
        <w:jc w:val="both"/>
        <w:rPr>
          <w:rFonts w:asciiTheme="minorHAnsi" w:hAnsiTheme="minorHAnsi" w:cstheme="minorHAnsi"/>
          <w:sz w:val="18"/>
          <w:szCs w:val="18"/>
        </w:rPr>
      </w:pPr>
      <w:r w:rsidRPr="00E819A9">
        <w:rPr>
          <w:rStyle w:val="FootnoteReference"/>
          <w:rFonts w:cstheme="minorHAnsi"/>
        </w:rPr>
        <w:footnoteRef/>
      </w:r>
      <w:r w:rsidRPr="00E819A9">
        <w:rPr>
          <w:rFonts w:eastAsia="SimSun" w:cstheme="minorHAnsi"/>
          <w:color w:val="FF0000"/>
          <w:kern w:val="2"/>
          <w:sz w:val="24"/>
          <w:szCs w:val="24"/>
        </w:rPr>
        <w:t xml:space="preserve"> </w:t>
      </w:r>
      <w:r w:rsidRPr="00312200">
        <w:rPr>
          <w:rFonts w:asciiTheme="minorHAnsi" w:hAnsiTheme="minorHAnsi" w:cstheme="minorHAnsi"/>
          <w:sz w:val="18"/>
          <w:szCs w:val="18"/>
        </w:rPr>
        <w:t>comunicat de presă INS nr. 29/10  februarie  2025 - Comerț internațional cu bunuri (calcule interne)</w:t>
      </w:r>
    </w:p>
  </w:footnote>
  <w:footnote w:id="15">
    <w:p w14:paraId="6BBB5AE3" w14:textId="77777777" w:rsidR="00B23F48" w:rsidRPr="00312200" w:rsidRDefault="00B23F48" w:rsidP="00D65315">
      <w:pPr>
        <w:pStyle w:val="FootnoteText"/>
        <w:jc w:val="both"/>
        <w:rPr>
          <w:rFonts w:asciiTheme="minorHAnsi" w:hAnsiTheme="minorHAnsi" w:cstheme="minorHAnsi"/>
          <w:sz w:val="18"/>
          <w:szCs w:val="18"/>
        </w:rPr>
      </w:pPr>
      <w:r w:rsidRPr="00E819A9">
        <w:rPr>
          <w:rStyle w:val="FootnoteReference"/>
          <w:rFonts w:cstheme="minorHAnsi"/>
        </w:rPr>
        <w:footnoteRef/>
      </w:r>
      <w:r w:rsidRPr="00E819A9">
        <w:rPr>
          <w:rFonts w:eastAsia="SimSun" w:cstheme="minorHAnsi"/>
          <w:color w:val="FF0000"/>
          <w:kern w:val="2"/>
          <w:sz w:val="24"/>
          <w:szCs w:val="24"/>
        </w:rPr>
        <w:t xml:space="preserve"> </w:t>
      </w:r>
      <w:r w:rsidRPr="00312200">
        <w:rPr>
          <w:rFonts w:asciiTheme="minorHAnsi" w:hAnsiTheme="minorHAnsi" w:cstheme="minorHAnsi"/>
          <w:sz w:val="18"/>
          <w:szCs w:val="18"/>
        </w:rPr>
        <w:t>comunicat de presă INS nr. 29/10  februarie  2025 - Comerț internațional cu bunuri (calcule interne)</w:t>
      </w:r>
    </w:p>
  </w:footnote>
  <w:footnote w:id="16">
    <w:p w14:paraId="718FC5E2" w14:textId="77777777" w:rsidR="00B23F48" w:rsidRPr="00D66EA7" w:rsidRDefault="00B23F48" w:rsidP="005D0911">
      <w:pPr>
        <w:pStyle w:val="FootnoteText"/>
        <w:rPr>
          <w:rFonts w:asciiTheme="minorHAnsi" w:hAnsiTheme="minorHAnsi" w:cstheme="minorHAnsi"/>
          <w:sz w:val="18"/>
          <w:szCs w:val="18"/>
        </w:rPr>
      </w:pPr>
      <w:r w:rsidRPr="00D66EA7">
        <w:rPr>
          <w:rStyle w:val="FootnoteReference"/>
          <w:rFonts w:asciiTheme="minorHAnsi" w:hAnsiTheme="minorHAnsi" w:cstheme="minorHAnsi"/>
          <w:sz w:val="18"/>
          <w:szCs w:val="18"/>
        </w:rPr>
        <w:footnoteRef/>
      </w:r>
      <w:r w:rsidRPr="00D66EA7">
        <w:rPr>
          <w:rStyle w:val="FootnoteReference"/>
          <w:sz w:val="18"/>
          <w:szCs w:val="18"/>
        </w:rPr>
        <w:t xml:space="preserve"> </w:t>
      </w:r>
      <w:r w:rsidRPr="00E9750C">
        <w:rPr>
          <w:rFonts w:asciiTheme="minorHAnsi" w:hAnsiTheme="minorHAnsi" w:cstheme="minorHAnsi"/>
          <w:sz w:val="18"/>
          <w:szCs w:val="18"/>
        </w:rPr>
        <w:t>decembrie 2023-</w:t>
      </w:r>
      <w:r>
        <w:rPr>
          <w:rFonts w:asciiTheme="minorHAnsi" w:hAnsiTheme="minorHAnsi" w:cstheme="minorHAnsi"/>
          <w:sz w:val="18"/>
          <w:szCs w:val="18"/>
        </w:rPr>
        <w:t>nov.</w:t>
      </w:r>
      <w:r w:rsidRPr="00E9750C">
        <w:rPr>
          <w:rFonts w:asciiTheme="minorHAnsi" w:hAnsiTheme="minorHAnsi" w:cstheme="minorHAnsi"/>
          <w:sz w:val="18"/>
          <w:szCs w:val="18"/>
        </w:rPr>
        <w:t xml:space="preserve"> 2024/decembrie 2022-</w:t>
      </w:r>
      <w:r>
        <w:rPr>
          <w:rFonts w:asciiTheme="minorHAnsi" w:hAnsiTheme="minorHAnsi" w:cstheme="minorHAnsi"/>
          <w:sz w:val="18"/>
          <w:szCs w:val="18"/>
        </w:rPr>
        <w:t>nov.</w:t>
      </w:r>
      <w:r w:rsidRPr="00E9750C">
        <w:rPr>
          <w:rFonts w:asciiTheme="minorHAnsi" w:hAnsiTheme="minorHAnsi" w:cstheme="minorHAnsi"/>
          <w:sz w:val="18"/>
          <w:szCs w:val="18"/>
        </w:rPr>
        <w:t xml:space="preserve"> 2023</w:t>
      </w:r>
    </w:p>
  </w:footnote>
  <w:footnote w:id="17">
    <w:p w14:paraId="78F41969" w14:textId="77777777" w:rsidR="00B23F48" w:rsidRPr="005D0911" w:rsidRDefault="00B23F48" w:rsidP="005D0911">
      <w:pPr>
        <w:autoSpaceDE w:val="0"/>
        <w:autoSpaceDN w:val="0"/>
        <w:adjustRightInd w:val="0"/>
        <w:rPr>
          <w:rFonts w:ascii="Calibri" w:hAnsi="Calibri" w:cs="Calibri"/>
          <w:sz w:val="18"/>
          <w:szCs w:val="18"/>
        </w:rPr>
      </w:pPr>
      <w:r w:rsidRPr="005D0911">
        <w:rPr>
          <w:rStyle w:val="FootnoteReference"/>
          <w:rFonts w:ascii="Calibri" w:hAnsi="Calibri" w:cs="Calibri"/>
          <w:sz w:val="18"/>
          <w:szCs w:val="18"/>
          <w:lang w:val="en-GB"/>
        </w:rPr>
        <w:footnoteRef/>
      </w:r>
      <w:r w:rsidRPr="005D0911">
        <w:rPr>
          <w:rFonts w:ascii="Calibri" w:hAnsi="Calibri" w:cs="Calibri"/>
          <w:sz w:val="18"/>
          <w:szCs w:val="18"/>
        </w:rPr>
        <w:t xml:space="preserve"> OUG nr. 4/2023 privind stabilirea unor măsuri de restituire a unor contribuţii de asigurări sociale de sănătate</w:t>
      </w:r>
    </w:p>
  </w:footnote>
  <w:footnote w:id="18">
    <w:p w14:paraId="477FDB03" w14:textId="77777777" w:rsidR="00B23F48" w:rsidRPr="005D0911" w:rsidRDefault="00B23F48" w:rsidP="005D0911">
      <w:pPr>
        <w:autoSpaceDE w:val="0"/>
        <w:autoSpaceDN w:val="0"/>
        <w:adjustRightInd w:val="0"/>
        <w:rPr>
          <w:rFonts w:ascii="Calibri" w:hAnsi="Calibri" w:cs="Calibri"/>
          <w:sz w:val="18"/>
          <w:szCs w:val="18"/>
        </w:rPr>
      </w:pPr>
      <w:r>
        <w:rPr>
          <w:rStyle w:val="FootnoteReference"/>
        </w:rPr>
        <w:footnoteRef/>
      </w:r>
      <w:r>
        <w:t xml:space="preserve"> </w:t>
      </w:r>
      <w:r w:rsidRPr="005D0911">
        <w:rPr>
          <w:rFonts w:ascii="Calibri" w:hAnsi="Calibri" w:cs="Calibri"/>
          <w:sz w:val="18"/>
          <w:szCs w:val="18"/>
        </w:rPr>
        <w:t>OUG nr. 59/2024 pentru modificarea şi completarea Legii nr. 227/2015 privind Codul fiscal, precum şi alte măsuri fiscale</w:t>
      </w:r>
    </w:p>
    <w:p w14:paraId="0F01E453" w14:textId="77777777" w:rsidR="00B23F48" w:rsidRPr="00CB70B2" w:rsidRDefault="00B23F48" w:rsidP="005D0911">
      <w:pPr>
        <w:pStyle w:val="FootnoteText"/>
      </w:pPr>
    </w:p>
  </w:footnote>
  <w:footnote w:id="19">
    <w:p w14:paraId="354BBDE6" w14:textId="77777777" w:rsidR="00B23F48" w:rsidRDefault="00B23F48" w:rsidP="00017E71">
      <w:pPr>
        <w:pStyle w:val="FootnoteText"/>
        <w:jc w:val="both"/>
      </w:pPr>
      <w:r>
        <w:rPr>
          <w:rStyle w:val="FootnoteReference"/>
        </w:rPr>
        <w:footnoteRef/>
      </w:r>
      <w:r>
        <w:t xml:space="preserve"> </w:t>
      </w:r>
      <w:r w:rsidRPr="00216E39">
        <w:rPr>
          <w:lang w:val="es-ES"/>
        </w:rPr>
        <w:t>privind unele măsuri fiscal-bugetare în domeniul cheltuielilor publice, pentru consolidare fiscală, combaterea evaziunii fiscale, pentru modificarea şi completarea unor acte normative, precum şi pentru prorogarea unor termene</w:t>
      </w:r>
    </w:p>
  </w:footnote>
  <w:footnote w:id="20">
    <w:p w14:paraId="79137F0A" w14:textId="77777777" w:rsidR="00B23F48" w:rsidRPr="00534680" w:rsidRDefault="00B23F48" w:rsidP="00090126">
      <w:pPr>
        <w:pStyle w:val="FootnoteText"/>
      </w:pPr>
      <w:r w:rsidRPr="00534680">
        <w:rPr>
          <w:rStyle w:val="FootnoteReference"/>
        </w:rPr>
        <w:footnoteRef/>
      </w:r>
      <w:r w:rsidRPr="00534680">
        <w:t xml:space="preserve"> Comunicat EUROSTAT din 22 </w:t>
      </w:r>
      <w:r>
        <w:t>aprilie</w:t>
      </w:r>
      <w:r w:rsidRPr="00534680">
        <w:t xml:space="preserve"> 202</w:t>
      </w:r>
      <w:r>
        <w:t>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EAE7A" w14:textId="6951109D" w:rsidR="00B23F48" w:rsidRDefault="00B23F48">
    <w:pPr>
      <w:pStyle w:val="Header"/>
      <w:jc w:val="right"/>
    </w:pPr>
  </w:p>
  <w:p w14:paraId="3365F2C2" w14:textId="77777777" w:rsidR="00B23F48" w:rsidRDefault="00B23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1C0F05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47867929" o:spid="_x0000_i1025" type="#_x0000_t75" style="width:11.5pt;height:11.5pt;visibility:visible;mso-wrap-style:square">
            <v:imagedata r:id="rId1" o:title=""/>
          </v:shape>
        </w:pict>
      </mc:Choice>
      <mc:Fallback>
        <w:drawing>
          <wp:inline distT="0" distB="0" distL="0" distR="0" wp14:anchorId="301D2392" wp14:editId="68EA7399">
            <wp:extent cx="146050" cy="146050"/>
            <wp:effectExtent l="0" t="0" r="0" b="0"/>
            <wp:docPr id="747867929" name="Picture 747867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mc:Fallback>
    </mc:AlternateContent>
  </w:numPicBullet>
  <w:abstractNum w:abstractNumId="0" w15:restartNumberingAfterBreak="0">
    <w:nsid w:val="00000001"/>
    <w:multiLevelType w:val="singleLevel"/>
    <w:tmpl w:val="5DE6962A"/>
    <w:lvl w:ilvl="0">
      <w:start w:val="1"/>
      <w:numFmt w:val="bullet"/>
      <w:lvlText w:val=""/>
      <w:lvlJc w:val="left"/>
      <w:pPr>
        <w:tabs>
          <w:tab w:val="num" w:pos="0"/>
        </w:tabs>
        <w:ind w:left="720" w:hanging="360"/>
      </w:pPr>
      <w:rPr>
        <w:rFonts w:ascii="Symbol" w:hAnsi="Symbol"/>
        <w:color w:val="auto"/>
        <w:sz w:val="24"/>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1440" w:hanging="360"/>
      </w:pPr>
      <w:rPr>
        <w:rFonts w:ascii="Symbol" w:hAnsi="Symbol"/>
        <w:color w:val="000000"/>
        <w:sz w:val="28"/>
      </w:rPr>
    </w:lvl>
  </w:abstractNum>
  <w:abstractNum w:abstractNumId="2" w15:restartNumberingAfterBreak="0">
    <w:nsid w:val="00000005"/>
    <w:multiLevelType w:val="singleLevel"/>
    <w:tmpl w:val="00000005"/>
    <w:name w:val="WW8Num10"/>
    <w:lvl w:ilvl="0">
      <w:start w:val="1"/>
      <w:numFmt w:val="bullet"/>
      <w:lvlText w:val=""/>
      <w:lvlJc w:val="left"/>
      <w:pPr>
        <w:tabs>
          <w:tab w:val="num" w:pos="0"/>
        </w:tabs>
        <w:ind w:left="720" w:hanging="360"/>
      </w:pPr>
      <w:rPr>
        <w:rFonts w:ascii="Wingdings" w:hAnsi="Wingdings" w:cs="Wingdings" w:hint="default"/>
        <w:sz w:val="28"/>
        <w:szCs w:val="28"/>
        <w:lang w:val="ro-RO" w:eastAsia="en-US"/>
      </w:rPr>
    </w:lvl>
  </w:abstractNum>
  <w:abstractNum w:abstractNumId="3" w15:restartNumberingAfterBreak="0">
    <w:nsid w:val="00000006"/>
    <w:multiLevelType w:val="multilevel"/>
    <w:tmpl w:val="00000006"/>
    <w:name w:val="WW8Num6"/>
    <w:lvl w:ilvl="0">
      <w:start w:val="1"/>
      <w:numFmt w:val="bullet"/>
      <w:lvlText w:val=""/>
      <w:lvlJc w:val="left"/>
      <w:pPr>
        <w:tabs>
          <w:tab w:val="num" w:pos="1080"/>
        </w:tabs>
        <w:ind w:left="1080" w:hanging="360"/>
      </w:pPr>
      <w:rPr>
        <w:rFonts w:ascii="Symbol" w:hAnsi="Symbol" w:cs="Symbol"/>
        <w:lang w:val="ro-RO"/>
      </w:rPr>
    </w:lvl>
    <w:lvl w:ilvl="1">
      <w:start w:val="1"/>
      <w:numFmt w:val="bullet"/>
      <w:lvlText w:val="o"/>
      <w:lvlJc w:val="left"/>
      <w:pPr>
        <w:tabs>
          <w:tab w:val="num" w:pos="1800"/>
        </w:tabs>
        <w:ind w:left="1800" w:hanging="360"/>
      </w:pPr>
      <w:rPr>
        <w:rFonts w:ascii="Courier New" w:hAnsi="Courier New" w:cs="Courier New"/>
        <w:lang w:val="ro-RO"/>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lang w:val="ro-RO"/>
      </w:rPr>
    </w:lvl>
    <w:lvl w:ilvl="4">
      <w:start w:val="1"/>
      <w:numFmt w:val="bullet"/>
      <w:lvlText w:val="o"/>
      <w:lvlJc w:val="left"/>
      <w:pPr>
        <w:tabs>
          <w:tab w:val="num" w:pos="3960"/>
        </w:tabs>
        <w:ind w:left="3960" w:hanging="360"/>
      </w:pPr>
      <w:rPr>
        <w:rFonts w:ascii="Courier New" w:hAnsi="Courier New" w:cs="Courier New"/>
        <w:lang w:val="ro-RO"/>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lang w:val="ro-RO"/>
      </w:rPr>
    </w:lvl>
    <w:lvl w:ilvl="7">
      <w:start w:val="1"/>
      <w:numFmt w:val="bullet"/>
      <w:lvlText w:val="o"/>
      <w:lvlJc w:val="left"/>
      <w:pPr>
        <w:tabs>
          <w:tab w:val="num" w:pos="6120"/>
        </w:tabs>
        <w:ind w:left="6120" w:hanging="360"/>
      </w:pPr>
      <w:rPr>
        <w:rFonts w:ascii="Courier New" w:hAnsi="Courier New" w:cs="Courier New"/>
        <w:lang w:val="ro-RO"/>
      </w:rPr>
    </w:lvl>
    <w:lvl w:ilvl="8">
      <w:start w:val="1"/>
      <w:numFmt w:val="bullet"/>
      <w:lvlText w:val=""/>
      <w:lvlJc w:val="left"/>
      <w:pPr>
        <w:tabs>
          <w:tab w:val="num" w:pos="6840"/>
        </w:tabs>
        <w:ind w:left="6840" w:hanging="360"/>
      </w:pPr>
      <w:rPr>
        <w:rFonts w:ascii="Wingdings" w:hAnsi="Wingdings" w:cs="Wingdings"/>
      </w:rPr>
    </w:lvl>
  </w:abstractNum>
  <w:abstractNum w:abstractNumId="4"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Wingdings" w:hAnsi="Wingdings" w:cs="OpenSymbol"/>
        <w:sz w:val="24"/>
        <w:szCs w:val="24"/>
        <w:shd w:val="clear" w:color="auto" w:fill="auto"/>
        <w:lang w:val="ro-RO" w:eastAsia="zh-CN" w:bidi="ar-SA"/>
      </w:rPr>
    </w:lvl>
    <w:lvl w:ilvl="1">
      <w:start w:val="1"/>
      <w:numFmt w:val="bullet"/>
      <w:lvlText w:val=""/>
      <w:lvlJc w:val="left"/>
      <w:pPr>
        <w:tabs>
          <w:tab w:val="num" w:pos="1080"/>
        </w:tabs>
        <w:ind w:left="1080" w:hanging="360"/>
      </w:pPr>
      <w:rPr>
        <w:rFonts w:ascii="Wingdings" w:hAnsi="Wingdings" w:cs="OpenSymbol"/>
        <w:sz w:val="24"/>
        <w:szCs w:val="24"/>
        <w:shd w:val="clear" w:color="auto" w:fill="auto"/>
        <w:lang w:val="ro-RO" w:eastAsia="zh-CN" w:bidi="ar-SA"/>
      </w:rPr>
    </w:lvl>
    <w:lvl w:ilvl="2">
      <w:start w:val="1"/>
      <w:numFmt w:val="bullet"/>
      <w:lvlText w:val=""/>
      <w:lvlJc w:val="left"/>
      <w:pPr>
        <w:tabs>
          <w:tab w:val="num" w:pos="1440"/>
        </w:tabs>
        <w:ind w:left="1440" w:hanging="360"/>
      </w:pPr>
      <w:rPr>
        <w:rFonts w:ascii="Wingdings" w:hAnsi="Wingdings" w:cs="OpenSymbol"/>
        <w:sz w:val="24"/>
        <w:szCs w:val="24"/>
        <w:shd w:val="clear" w:color="auto" w:fill="auto"/>
        <w:lang w:val="ro-RO" w:eastAsia="zh-CN" w:bidi="ar-SA"/>
      </w:rPr>
    </w:lvl>
    <w:lvl w:ilvl="3">
      <w:start w:val="1"/>
      <w:numFmt w:val="bullet"/>
      <w:lvlText w:val=""/>
      <w:lvlJc w:val="left"/>
      <w:pPr>
        <w:tabs>
          <w:tab w:val="num" w:pos="1800"/>
        </w:tabs>
        <w:ind w:left="1800" w:hanging="360"/>
      </w:pPr>
      <w:rPr>
        <w:rFonts w:ascii="Wingdings" w:hAnsi="Wingdings" w:cs="OpenSymbol"/>
        <w:sz w:val="24"/>
        <w:szCs w:val="24"/>
        <w:shd w:val="clear" w:color="auto" w:fill="auto"/>
        <w:lang w:val="ro-RO" w:eastAsia="zh-CN" w:bidi="ar-SA"/>
      </w:rPr>
    </w:lvl>
    <w:lvl w:ilvl="4">
      <w:start w:val="1"/>
      <w:numFmt w:val="bullet"/>
      <w:lvlText w:val=""/>
      <w:lvlJc w:val="left"/>
      <w:pPr>
        <w:tabs>
          <w:tab w:val="num" w:pos="2160"/>
        </w:tabs>
        <w:ind w:left="2160" w:hanging="360"/>
      </w:pPr>
      <w:rPr>
        <w:rFonts w:ascii="Wingdings" w:hAnsi="Wingdings" w:cs="OpenSymbol"/>
        <w:sz w:val="24"/>
        <w:szCs w:val="24"/>
        <w:shd w:val="clear" w:color="auto" w:fill="auto"/>
        <w:lang w:val="ro-RO" w:eastAsia="zh-CN" w:bidi="ar-SA"/>
      </w:rPr>
    </w:lvl>
    <w:lvl w:ilvl="5">
      <w:start w:val="1"/>
      <w:numFmt w:val="bullet"/>
      <w:lvlText w:val=""/>
      <w:lvlJc w:val="left"/>
      <w:pPr>
        <w:tabs>
          <w:tab w:val="num" w:pos="2520"/>
        </w:tabs>
        <w:ind w:left="2520" w:hanging="360"/>
      </w:pPr>
      <w:rPr>
        <w:rFonts w:ascii="Wingdings" w:hAnsi="Wingdings" w:cs="OpenSymbol"/>
        <w:sz w:val="24"/>
        <w:szCs w:val="24"/>
        <w:shd w:val="clear" w:color="auto" w:fill="auto"/>
        <w:lang w:val="ro-RO" w:eastAsia="zh-CN" w:bidi="ar-SA"/>
      </w:rPr>
    </w:lvl>
    <w:lvl w:ilvl="6">
      <w:start w:val="1"/>
      <w:numFmt w:val="bullet"/>
      <w:lvlText w:val=""/>
      <w:lvlJc w:val="left"/>
      <w:pPr>
        <w:tabs>
          <w:tab w:val="num" w:pos="2880"/>
        </w:tabs>
        <w:ind w:left="2880" w:hanging="360"/>
      </w:pPr>
      <w:rPr>
        <w:rFonts w:ascii="Wingdings" w:hAnsi="Wingdings" w:cs="OpenSymbol"/>
        <w:sz w:val="24"/>
        <w:szCs w:val="24"/>
        <w:shd w:val="clear" w:color="auto" w:fill="auto"/>
        <w:lang w:val="ro-RO" w:eastAsia="zh-CN" w:bidi="ar-SA"/>
      </w:rPr>
    </w:lvl>
    <w:lvl w:ilvl="7">
      <w:start w:val="1"/>
      <w:numFmt w:val="bullet"/>
      <w:lvlText w:val=""/>
      <w:lvlJc w:val="left"/>
      <w:pPr>
        <w:tabs>
          <w:tab w:val="num" w:pos="3240"/>
        </w:tabs>
        <w:ind w:left="3240" w:hanging="360"/>
      </w:pPr>
      <w:rPr>
        <w:rFonts w:ascii="Wingdings" w:hAnsi="Wingdings" w:cs="OpenSymbol"/>
        <w:sz w:val="24"/>
        <w:szCs w:val="24"/>
        <w:shd w:val="clear" w:color="auto" w:fill="auto"/>
        <w:lang w:val="ro-RO" w:eastAsia="zh-CN" w:bidi="ar-SA"/>
      </w:rPr>
    </w:lvl>
    <w:lvl w:ilvl="8">
      <w:start w:val="1"/>
      <w:numFmt w:val="bullet"/>
      <w:lvlText w:val=""/>
      <w:lvlJc w:val="left"/>
      <w:pPr>
        <w:tabs>
          <w:tab w:val="num" w:pos="3600"/>
        </w:tabs>
        <w:ind w:left="3600" w:hanging="360"/>
      </w:pPr>
      <w:rPr>
        <w:rFonts w:ascii="Wingdings" w:hAnsi="Wingdings" w:cs="OpenSymbol"/>
        <w:sz w:val="24"/>
        <w:szCs w:val="24"/>
        <w:shd w:val="clear" w:color="auto" w:fill="auto"/>
        <w:lang w:val="ro-RO" w:eastAsia="zh-CN" w:bidi="ar-SA"/>
      </w:rPr>
    </w:lvl>
  </w:abstractNum>
  <w:abstractNum w:abstractNumId="5"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Wingdings" w:hAnsi="Wingdings" w:cs="OpenSymbol"/>
        <w:szCs w:val="24"/>
      </w:rPr>
    </w:lvl>
    <w:lvl w:ilvl="1">
      <w:start w:val="1"/>
      <w:numFmt w:val="bullet"/>
      <w:lvlText w:val=""/>
      <w:lvlJc w:val="left"/>
      <w:pPr>
        <w:tabs>
          <w:tab w:val="num" w:pos="1080"/>
        </w:tabs>
        <w:ind w:left="1080" w:hanging="360"/>
      </w:pPr>
      <w:rPr>
        <w:rFonts w:ascii="Wingdings" w:hAnsi="Wingdings" w:cs="OpenSymbol"/>
        <w:szCs w:val="24"/>
      </w:rPr>
    </w:lvl>
    <w:lvl w:ilvl="2">
      <w:start w:val="1"/>
      <w:numFmt w:val="bullet"/>
      <w:lvlText w:val=""/>
      <w:lvlJc w:val="left"/>
      <w:pPr>
        <w:tabs>
          <w:tab w:val="num" w:pos="1440"/>
        </w:tabs>
        <w:ind w:left="1440" w:hanging="360"/>
      </w:pPr>
      <w:rPr>
        <w:rFonts w:ascii="Wingdings" w:hAnsi="Wingdings" w:cs="OpenSymbol"/>
        <w:szCs w:val="24"/>
      </w:rPr>
    </w:lvl>
    <w:lvl w:ilvl="3">
      <w:start w:val="1"/>
      <w:numFmt w:val="bullet"/>
      <w:lvlText w:val=""/>
      <w:lvlJc w:val="left"/>
      <w:pPr>
        <w:tabs>
          <w:tab w:val="num" w:pos="1800"/>
        </w:tabs>
        <w:ind w:left="1800" w:hanging="360"/>
      </w:pPr>
      <w:rPr>
        <w:rFonts w:ascii="Wingdings" w:hAnsi="Wingdings" w:cs="OpenSymbol"/>
        <w:szCs w:val="24"/>
      </w:rPr>
    </w:lvl>
    <w:lvl w:ilvl="4">
      <w:start w:val="1"/>
      <w:numFmt w:val="bullet"/>
      <w:lvlText w:val=""/>
      <w:lvlJc w:val="left"/>
      <w:pPr>
        <w:tabs>
          <w:tab w:val="num" w:pos="2160"/>
        </w:tabs>
        <w:ind w:left="2160" w:hanging="360"/>
      </w:pPr>
      <w:rPr>
        <w:rFonts w:ascii="Wingdings" w:hAnsi="Wingdings" w:cs="OpenSymbol"/>
        <w:szCs w:val="24"/>
      </w:rPr>
    </w:lvl>
    <w:lvl w:ilvl="5">
      <w:start w:val="1"/>
      <w:numFmt w:val="bullet"/>
      <w:lvlText w:val=""/>
      <w:lvlJc w:val="left"/>
      <w:pPr>
        <w:tabs>
          <w:tab w:val="num" w:pos="2520"/>
        </w:tabs>
        <w:ind w:left="2520" w:hanging="360"/>
      </w:pPr>
      <w:rPr>
        <w:rFonts w:ascii="Wingdings" w:hAnsi="Wingdings" w:cs="OpenSymbol"/>
        <w:szCs w:val="24"/>
      </w:rPr>
    </w:lvl>
    <w:lvl w:ilvl="6">
      <w:start w:val="1"/>
      <w:numFmt w:val="bullet"/>
      <w:lvlText w:val=""/>
      <w:lvlJc w:val="left"/>
      <w:pPr>
        <w:tabs>
          <w:tab w:val="num" w:pos="2880"/>
        </w:tabs>
        <w:ind w:left="2880" w:hanging="360"/>
      </w:pPr>
      <w:rPr>
        <w:rFonts w:ascii="Wingdings" w:hAnsi="Wingdings" w:cs="OpenSymbol"/>
        <w:szCs w:val="24"/>
      </w:rPr>
    </w:lvl>
    <w:lvl w:ilvl="7">
      <w:start w:val="1"/>
      <w:numFmt w:val="bullet"/>
      <w:lvlText w:val=""/>
      <w:lvlJc w:val="left"/>
      <w:pPr>
        <w:tabs>
          <w:tab w:val="num" w:pos="3240"/>
        </w:tabs>
        <w:ind w:left="3240" w:hanging="360"/>
      </w:pPr>
      <w:rPr>
        <w:rFonts w:ascii="Wingdings" w:hAnsi="Wingdings" w:cs="OpenSymbol"/>
        <w:szCs w:val="24"/>
      </w:rPr>
    </w:lvl>
    <w:lvl w:ilvl="8">
      <w:start w:val="1"/>
      <w:numFmt w:val="bullet"/>
      <w:lvlText w:val=""/>
      <w:lvlJc w:val="left"/>
      <w:pPr>
        <w:tabs>
          <w:tab w:val="num" w:pos="3600"/>
        </w:tabs>
        <w:ind w:left="3600" w:hanging="360"/>
      </w:pPr>
      <w:rPr>
        <w:rFonts w:ascii="Wingdings" w:hAnsi="Wingdings" w:cs="OpenSymbol"/>
        <w:szCs w:val="24"/>
      </w:rPr>
    </w:lvl>
  </w:abstractNum>
  <w:abstractNum w:abstractNumId="6" w15:restartNumberingAfterBreak="0">
    <w:nsid w:val="00056C35"/>
    <w:multiLevelType w:val="multilevel"/>
    <w:tmpl w:val="E996B13A"/>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65A54D7"/>
    <w:multiLevelType w:val="multilevel"/>
    <w:tmpl w:val="050A89E0"/>
    <w:lvl w:ilvl="0">
      <w:start w:val="1"/>
      <w:numFmt w:val="bullet"/>
      <w:lvlText w:val=""/>
      <w:lvlJc w:val="left"/>
      <w:pPr>
        <w:tabs>
          <w:tab w:val="num" w:pos="1080"/>
        </w:tabs>
        <w:ind w:left="1080" w:hanging="360"/>
      </w:pPr>
      <w:rPr>
        <w:rFonts w:ascii="Symbol" w:hAnsi="Symbol" w:cs="Symbol"/>
        <w:lang w:val="ro-RO"/>
      </w:rPr>
    </w:lvl>
    <w:lvl w:ilvl="1">
      <w:start w:val="1"/>
      <w:numFmt w:val="bullet"/>
      <w:lvlText w:val=""/>
      <w:lvlJc w:val="left"/>
      <w:pPr>
        <w:tabs>
          <w:tab w:val="num" w:pos="1800"/>
        </w:tabs>
        <w:ind w:left="1800" w:hanging="360"/>
      </w:pPr>
      <w:rPr>
        <w:rFonts w:ascii="Symbol" w:hAnsi="Symbol" w:hint="default"/>
        <w:lang w:val="ro-RO"/>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lang w:val="ro-RO"/>
      </w:rPr>
    </w:lvl>
    <w:lvl w:ilvl="4">
      <w:start w:val="1"/>
      <w:numFmt w:val="bullet"/>
      <w:lvlText w:val="o"/>
      <w:lvlJc w:val="left"/>
      <w:pPr>
        <w:tabs>
          <w:tab w:val="num" w:pos="3960"/>
        </w:tabs>
        <w:ind w:left="3960" w:hanging="360"/>
      </w:pPr>
      <w:rPr>
        <w:rFonts w:ascii="Courier New" w:hAnsi="Courier New" w:cs="Courier New"/>
        <w:lang w:val="ro-RO"/>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lang w:val="ro-RO"/>
      </w:rPr>
    </w:lvl>
    <w:lvl w:ilvl="7">
      <w:start w:val="1"/>
      <w:numFmt w:val="bullet"/>
      <w:lvlText w:val="o"/>
      <w:lvlJc w:val="left"/>
      <w:pPr>
        <w:tabs>
          <w:tab w:val="num" w:pos="6120"/>
        </w:tabs>
        <w:ind w:left="6120" w:hanging="360"/>
      </w:pPr>
      <w:rPr>
        <w:rFonts w:ascii="Courier New" w:hAnsi="Courier New" w:cs="Courier New"/>
        <w:lang w:val="ro-RO"/>
      </w:rPr>
    </w:lvl>
    <w:lvl w:ilvl="8">
      <w:start w:val="1"/>
      <w:numFmt w:val="bullet"/>
      <w:lvlText w:val=""/>
      <w:lvlJc w:val="left"/>
      <w:pPr>
        <w:tabs>
          <w:tab w:val="num" w:pos="6840"/>
        </w:tabs>
        <w:ind w:left="6840" w:hanging="360"/>
      </w:pPr>
      <w:rPr>
        <w:rFonts w:ascii="Wingdings" w:hAnsi="Wingdings" w:cs="Wingdings"/>
      </w:rPr>
    </w:lvl>
  </w:abstractNum>
  <w:abstractNum w:abstractNumId="8" w15:restartNumberingAfterBreak="0">
    <w:nsid w:val="0CD44BB3"/>
    <w:multiLevelType w:val="hybridMultilevel"/>
    <w:tmpl w:val="C19045A6"/>
    <w:lvl w:ilvl="0" w:tplc="6C683F68">
      <w:start w:val="1"/>
      <w:numFmt w:val="bullet"/>
      <w:lvlText w:val=""/>
      <w:lvlJc w:val="left"/>
      <w:pPr>
        <w:ind w:left="1070" w:hanging="360"/>
      </w:pPr>
      <w:rPr>
        <w:rFonts w:ascii="Wingdings" w:hAnsi="Wingdings" w:hint="default"/>
      </w:rPr>
    </w:lvl>
    <w:lvl w:ilvl="1" w:tplc="D9007F72" w:tentative="1">
      <w:start w:val="1"/>
      <w:numFmt w:val="bullet"/>
      <w:lvlText w:val="o"/>
      <w:lvlJc w:val="left"/>
      <w:pPr>
        <w:ind w:left="2511" w:hanging="360"/>
      </w:pPr>
      <w:rPr>
        <w:rFonts w:ascii="Courier New" w:hAnsi="Courier New" w:cs="Courier New" w:hint="default"/>
      </w:rPr>
    </w:lvl>
    <w:lvl w:ilvl="2" w:tplc="D0B2C9A0" w:tentative="1">
      <w:start w:val="1"/>
      <w:numFmt w:val="bullet"/>
      <w:lvlText w:val=""/>
      <w:lvlJc w:val="left"/>
      <w:pPr>
        <w:ind w:left="3231" w:hanging="360"/>
      </w:pPr>
      <w:rPr>
        <w:rFonts w:ascii="Wingdings" w:hAnsi="Wingdings" w:hint="default"/>
      </w:rPr>
    </w:lvl>
    <w:lvl w:ilvl="3" w:tplc="749283C8" w:tentative="1">
      <w:start w:val="1"/>
      <w:numFmt w:val="bullet"/>
      <w:lvlText w:val=""/>
      <w:lvlJc w:val="left"/>
      <w:pPr>
        <w:ind w:left="3951" w:hanging="360"/>
      </w:pPr>
      <w:rPr>
        <w:rFonts w:ascii="Symbol" w:hAnsi="Symbol" w:hint="default"/>
      </w:rPr>
    </w:lvl>
    <w:lvl w:ilvl="4" w:tplc="1AD0FB8E" w:tentative="1">
      <w:start w:val="1"/>
      <w:numFmt w:val="bullet"/>
      <w:lvlText w:val="o"/>
      <w:lvlJc w:val="left"/>
      <w:pPr>
        <w:ind w:left="4671" w:hanging="360"/>
      </w:pPr>
      <w:rPr>
        <w:rFonts w:ascii="Courier New" w:hAnsi="Courier New" w:cs="Courier New" w:hint="default"/>
      </w:rPr>
    </w:lvl>
    <w:lvl w:ilvl="5" w:tplc="FD928554" w:tentative="1">
      <w:start w:val="1"/>
      <w:numFmt w:val="bullet"/>
      <w:lvlText w:val=""/>
      <w:lvlJc w:val="left"/>
      <w:pPr>
        <w:ind w:left="5391" w:hanging="360"/>
      </w:pPr>
      <w:rPr>
        <w:rFonts w:ascii="Wingdings" w:hAnsi="Wingdings" w:hint="default"/>
      </w:rPr>
    </w:lvl>
    <w:lvl w:ilvl="6" w:tplc="880E001E" w:tentative="1">
      <w:start w:val="1"/>
      <w:numFmt w:val="bullet"/>
      <w:lvlText w:val=""/>
      <w:lvlJc w:val="left"/>
      <w:pPr>
        <w:ind w:left="6111" w:hanging="360"/>
      </w:pPr>
      <w:rPr>
        <w:rFonts w:ascii="Symbol" w:hAnsi="Symbol" w:hint="default"/>
      </w:rPr>
    </w:lvl>
    <w:lvl w:ilvl="7" w:tplc="B5ECA572" w:tentative="1">
      <w:start w:val="1"/>
      <w:numFmt w:val="bullet"/>
      <w:lvlText w:val="o"/>
      <w:lvlJc w:val="left"/>
      <w:pPr>
        <w:ind w:left="6831" w:hanging="360"/>
      </w:pPr>
      <w:rPr>
        <w:rFonts w:ascii="Courier New" w:hAnsi="Courier New" w:cs="Courier New" w:hint="default"/>
      </w:rPr>
    </w:lvl>
    <w:lvl w:ilvl="8" w:tplc="802ED074" w:tentative="1">
      <w:start w:val="1"/>
      <w:numFmt w:val="bullet"/>
      <w:lvlText w:val=""/>
      <w:lvlJc w:val="left"/>
      <w:pPr>
        <w:ind w:left="7551" w:hanging="360"/>
      </w:pPr>
      <w:rPr>
        <w:rFonts w:ascii="Wingdings" w:hAnsi="Wingdings" w:hint="default"/>
      </w:rPr>
    </w:lvl>
  </w:abstractNum>
  <w:abstractNum w:abstractNumId="9" w15:restartNumberingAfterBreak="0">
    <w:nsid w:val="16D10095"/>
    <w:multiLevelType w:val="hybridMultilevel"/>
    <w:tmpl w:val="F9863484"/>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0" w15:restartNumberingAfterBreak="0">
    <w:nsid w:val="18762539"/>
    <w:multiLevelType w:val="hybridMultilevel"/>
    <w:tmpl w:val="3DC88CF6"/>
    <w:lvl w:ilvl="0" w:tplc="0409000B">
      <w:start w:val="1"/>
      <w:numFmt w:val="decimal"/>
      <w:lvlText w:val="%1."/>
      <w:lvlJc w:val="left"/>
      <w:pPr>
        <w:tabs>
          <w:tab w:val="num" w:pos="870"/>
        </w:tabs>
        <w:ind w:left="870" w:hanging="360"/>
      </w:pPr>
      <w:rPr>
        <w:rFonts w:cs="Times New Roman"/>
      </w:rPr>
    </w:lvl>
    <w:lvl w:ilvl="1" w:tplc="04090003">
      <w:numFmt w:val="none"/>
      <w:lvlText w:val=""/>
      <w:lvlJc w:val="left"/>
      <w:pPr>
        <w:tabs>
          <w:tab w:val="num" w:pos="360"/>
        </w:tabs>
      </w:pPr>
      <w:rPr>
        <w:rFonts w:cs="Times New Roman"/>
      </w:rPr>
    </w:lvl>
    <w:lvl w:ilvl="2" w:tplc="04090005">
      <w:numFmt w:val="none"/>
      <w:lvlText w:val=""/>
      <w:lvlJc w:val="left"/>
      <w:pPr>
        <w:tabs>
          <w:tab w:val="num" w:pos="360"/>
        </w:tabs>
      </w:pPr>
      <w:rPr>
        <w:rFonts w:cs="Times New Roman"/>
      </w:rPr>
    </w:lvl>
    <w:lvl w:ilvl="3" w:tplc="04090001">
      <w:numFmt w:val="none"/>
      <w:lvlText w:val=""/>
      <w:lvlJc w:val="left"/>
      <w:pPr>
        <w:tabs>
          <w:tab w:val="num" w:pos="360"/>
        </w:tabs>
      </w:pPr>
      <w:rPr>
        <w:rFonts w:cs="Times New Roman"/>
      </w:rPr>
    </w:lvl>
    <w:lvl w:ilvl="4" w:tplc="04090003">
      <w:numFmt w:val="none"/>
      <w:lvlText w:val=""/>
      <w:lvlJc w:val="left"/>
      <w:pPr>
        <w:tabs>
          <w:tab w:val="num" w:pos="360"/>
        </w:tabs>
      </w:pPr>
      <w:rPr>
        <w:rFonts w:cs="Times New Roman"/>
      </w:rPr>
    </w:lvl>
    <w:lvl w:ilvl="5" w:tplc="04090005">
      <w:numFmt w:val="none"/>
      <w:lvlText w:val=""/>
      <w:lvlJc w:val="left"/>
      <w:pPr>
        <w:tabs>
          <w:tab w:val="num" w:pos="360"/>
        </w:tabs>
      </w:pPr>
      <w:rPr>
        <w:rFonts w:cs="Times New Roman"/>
      </w:rPr>
    </w:lvl>
    <w:lvl w:ilvl="6" w:tplc="04090001">
      <w:numFmt w:val="none"/>
      <w:lvlText w:val=""/>
      <w:lvlJc w:val="left"/>
      <w:pPr>
        <w:tabs>
          <w:tab w:val="num" w:pos="360"/>
        </w:tabs>
      </w:pPr>
      <w:rPr>
        <w:rFonts w:cs="Times New Roman"/>
      </w:rPr>
    </w:lvl>
    <w:lvl w:ilvl="7" w:tplc="04090003">
      <w:numFmt w:val="none"/>
      <w:lvlText w:val=""/>
      <w:lvlJc w:val="left"/>
      <w:pPr>
        <w:tabs>
          <w:tab w:val="num" w:pos="360"/>
        </w:tabs>
      </w:pPr>
      <w:rPr>
        <w:rFonts w:cs="Times New Roman"/>
      </w:rPr>
    </w:lvl>
    <w:lvl w:ilvl="8" w:tplc="04090005">
      <w:numFmt w:val="none"/>
      <w:lvlText w:val=""/>
      <w:lvlJc w:val="left"/>
      <w:pPr>
        <w:tabs>
          <w:tab w:val="num" w:pos="360"/>
        </w:tabs>
      </w:pPr>
      <w:rPr>
        <w:rFonts w:cs="Times New Roman"/>
      </w:rPr>
    </w:lvl>
  </w:abstractNum>
  <w:abstractNum w:abstractNumId="11" w15:restartNumberingAfterBreak="0">
    <w:nsid w:val="18C86AEF"/>
    <w:multiLevelType w:val="hybridMultilevel"/>
    <w:tmpl w:val="9F0897B8"/>
    <w:lvl w:ilvl="0" w:tplc="201C5442">
      <w:start w:val="1"/>
      <w:numFmt w:val="bullet"/>
      <w:lvlText w:val=""/>
      <w:lvlJc w:val="left"/>
      <w:pPr>
        <w:ind w:left="360" w:hanging="360"/>
      </w:pPr>
      <w:rPr>
        <w:rFonts w:ascii="Wingdings" w:hAnsi="Wingdings" w:hint="default"/>
      </w:rPr>
    </w:lvl>
    <w:lvl w:ilvl="1" w:tplc="E962E206" w:tentative="1">
      <w:start w:val="1"/>
      <w:numFmt w:val="bullet"/>
      <w:lvlText w:val="o"/>
      <w:lvlJc w:val="left"/>
      <w:pPr>
        <w:ind w:left="1080" w:hanging="360"/>
      </w:pPr>
      <w:rPr>
        <w:rFonts w:ascii="Courier New" w:hAnsi="Courier New" w:cs="Courier New" w:hint="default"/>
      </w:rPr>
    </w:lvl>
    <w:lvl w:ilvl="2" w:tplc="B5367312" w:tentative="1">
      <w:start w:val="1"/>
      <w:numFmt w:val="bullet"/>
      <w:lvlText w:val=""/>
      <w:lvlJc w:val="left"/>
      <w:pPr>
        <w:ind w:left="1800" w:hanging="360"/>
      </w:pPr>
      <w:rPr>
        <w:rFonts w:ascii="Wingdings" w:hAnsi="Wingdings" w:hint="default"/>
      </w:rPr>
    </w:lvl>
    <w:lvl w:ilvl="3" w:tplc="DE6A16E4" w:tentative="1">
      <w:start w:val="1"/>
      <w:numFmt w:val="bullet"/>
      <w:lvlText w:val=""/>
      <w:lvlJc w:val="left"/>
      <w:pPr>
        <w:ind w:left="2520" w:hanging="360"/>
      </w:pPr>
      <w:rPr>
        <w:rFonts w:ascii="Symbol" w:hAnsi="Symbol" w:hint="default"/>
      </w:rPr>
    </w:lvl>
    <w:lvl w:ilvl="4" w:tplc="96001DC0" w:tentative="1">
      <w:start w:val="1"/>
      <w:numFmt w:val="bullet"/>
      <w:lvlText w:val="o"/>
      <w:lvlJc w:val="left"/>
      <w:pPr>
        <w:ind w:left="3240" w:hanging="360"/>
      </w:pPr>
      <w:rPr>
        <w:rFonts w:ascii="Courier New" w:hAnsi="Courier New" w:cs="Courier New" w:hint="default"/>
      </w:rPr>
    </w:lvl>
    <w:lvl w:ilvl="5" w:tplc="CD5CD644" w:tentative="1">
      <w:start w:val="1"/>
      <w:numFmt w:val="bullet"/>
      <w:lvlText w:val=""/>
      <w:lvlJc w:val="left"/>
      <w:pPr>
        <w:ind w:left="3960" w:hanging="360"/>
      </w:pPr>
      <w:rPr>
        <w:rFonts w:ascii="Wingdings" w:hAnsi="Wingdings" w:hint="default"/>
      </w:rPr>
    </w:lvl>
    <w:lvl w:ilvl="6" w:tplc="9B0E0684" w:tentative="1">
      <w:start w:val="1"/>
      <w:numFmt w:val="bullet"/>
      <w:lvlText w:val=""/>
      <w:lvlJc w:val="left"/>
      <w:pPr>
        <w:ind w:left="4680" w:hanging="360"/>
      </w:pPr>
      <w:rPr>
        <w:rFonts w:ascii="Symbol" w:hAnsi="Symbol" w:hint="default"/>
      </w:rPr>
    </w:lvl>
    <w:lvl w:ilvl="7" w:tplc="46FECC90" w:tentative="1">
      <w:start w:val="1"/>
      <w:numFmt w:val="bullet"/>
      <w:lvlText w:val="o"/>
      <w:lvlJc w:val="left"/>
      <w:pPr>
        <w:ind w:left="5400" w:hanging="360"/>
      </w:pPr>
      <w:rPr>
        <w:rFonts w:ascii="Courier New" w:hAnsi="Courier New" w:cs="Courier New" w:hint="default"/>
      </w:rPr>
    </w:lvl>
    <w:lvl w:ilvl="8" w:tplc="69BCD940" w:tentative="1">
      <w:start w:val="1"/>
      <w:numFmt w:val="bullet"/>
      <w:lvlText w:val=""/>
      <w:lvlJc w:val="left"/>
      <w:pPr>
        <w:ind w:left="6120" w:hanging="360"/>
      </w:pPr>
      <w:rPr>
        <w:rFonts w:ascii="Wingdings" w:hAnsi="Wingdings" w:hint="default"/>
      </w:rPr>
    </w:lvl>
  </w:abstractNum>
  <w:abstractNum w:abstractNumId="12" w15:restartNumberingAfterBreak="0">
    <w:nsid w:val="19D4206D"/>
    <w:multiLevelType w:val="hybridMultilevel"/>
    <w:tmpl w:val="65CEEE1C"/>
    <w:lvl w:ilvl="0" w:tplc="0409000D">
      <w:start w:val="1"/>
      <w:numFmt w:val="bullet"/>
      <w:lvlText w:val=""/>
      <w:lvlJc w:val="left"/>
      <w:pPr>
        <w:ind w:left="711" w:hanging="360"/>
      </w:pPr>
      <w:rPr>
        <w:rFonts w:ascii="Symbol" w:hAnsi="Symbol" w:hint="default"/>
        <w:strike w:val="0"/>
        <w:color w:val="auto"/>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B45AED"/>
    <w:multiLevelType w:val="hybridMultilevel"/>
    <w:tmpl w:val="DFDA5878"/>
    <w:lvl w:ilvl="0" w:tplc="0409000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7650C0"/>
    <w:multiLevelType w:val="hybridMultilevel"/>
    <w:tmpl w:val="FCBC3B9A"/>
    <w:lvl w:ilvl="0" w:tplc="CDBE98B0">
      <w:start w:val="19"/>
      <w:numFmt w:val="bullet"/>
      <w:lvlText w:val="-"/>
      <w:lvlJc w:val="left"/>
      <w:pPr>
        <w:ind w:left="1429" w:hanging="360"/>
      </w:pPr>
      <w:rPr>
        <w:rFonts w:ascii="Arial" w:eastAsia="Calibri" w:hAnsi="Arial" w:cs="Aria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5" w15:restartNumberingAfterBreak="0">
    <w:nsid w:val="25C950DB"/>
    <w:multiLevelType w:val="hybridMultilevel"/>
    <w:tmpl w:val="2642380A"/>
    <w:lvl w:ilvl="0" w:tplc="04180001">
      <w:start w:val="418"/>
      <w:numFmt w:val="bullet"/>
      <w:lvlText w:val="-"/>
      <w:lvlJc w:val="left"/>
      <w:pPr>
        <w:ind w:left="1080" w:hanging="360"/>
      </w:pPr>
      <w:rPr>
        <w:rFonts w:ascii="Arial" w:eastAsia="Times New Roman" w:hAnsi="Aria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cs="Wingdings" w:hint="default"/>
      </w:rPr>
    </w:lvl>
    <w:lvl w:ilvl="3" w:tplc="04180001">
      <w:start w:val="1"/>
      <w:numFmt w:val="bullet"/>
      <w:lvlText w:val=""/>
      <w:lvlJc w:val="left"/>
      <w:pPr>
        <w:ind w:left="3240" w:hanging="360"/>
      </w:pPr>
      <w:rPr>
        <w:rFonts w:ascii="Symbol" w:hAnsi="Symbol" w:cs="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cs="Wingdings" w:hint="default"/>
      </w:rPr>
    </w:lvl>
    <w:lvl w:ilvl="6" w:tplc="04180001">
      <w:start w:val="1"/>
      <w:numFmt w:val="bullet"/>
      <w:lvlText w:val=""/>
      <w:lvlJc w:val="left"/>
      <w:pPr>
        <w:ind w:left="5400" w:hanging="360"/>
      </w:pPr>
      <w:rPr>
        <w:rFonts w:ascii="Symbol" w:hAnsi="Symbol" w:cs="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cs="Wingdings" w:hint="default"/>
      </w:rPr>
    </w:lvl>
  </w:abstractNum>
  <w:abstractNum w:abstractNumId="16" w15:restartNumberingAfterBreak="0">
    <w:nsid w:val="26705C84"/>
    <w:multiLevelType w:val="hybridMultilevel"/>
    <w:tmpl w:val="DA4299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CF16F5"/>
    <w:multiLevelType w:val="hybridMultilevel"/>
    <w:tmpl w:val="339C5E54"/>
    <w:lvl w:ilvl="0" w:tplc="2926EAF0">
      <w:start w:val="1"/>
      <w:numFmt w:val="bullet"/>
      <w:lvlText w:val=""/>
      <w:lvlJc w:val="left"/>
      <w:pPr>
        <w:ind w:left="720" w:hanging="360"/>
      </w:pPr>
      <w:rPr>
        <w:rFonts w:ascii="Wingdings" w:hAnsi="Wingdings"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BB5A73"/>
    <w:multiLevelType w:val="hybridMultilevel"/>
    <w:tmpl w:val="925C719E"/>
    <w:lvl w:ilvl="0" w:tplc="1A628C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020CF1"/>
    <w:multiLevelType w:val="multilevel"/>
    <w:tmpl w:val="206E8344"/>
    <w:lvl w:ilvl="0">
      <w:start w:val="1"/>
      <w:numFmt w:val="bullet"/>
      <w:lvlText w:val=""/>
      <w:lvlJc w:val="left"/>
      <w:pPr>
        <w:tabs>
          <w:tab w:val="num" w:pos="1080"/>
        </w:tabs>
        <w:ind w:left="1080" w:hanging="360"/>
      </w:pPr>
      <w:rPr>
        <w:rFonts w:ascii="Wingdings" w:hAnsi="Wingdings" w:hint="default"/>
        <w:lang w:val="ro-RO"/>
      </w:rPr>
    </w:lvl>
    <w:lvl w:ilvl="1">
      <w:numFmt w:val="bullet"/>
      <w:lvlText w:val="-"/>
      <w:lvlJc w:val="left"/>
      <w:pPr>
        <w:tabs>
          <w:tab w:val="num" w:pos="1800"/>
        </w:tabs>
        <w:ind w:left="1800" w:hanging="360"/>
      </w:pPr>
      <w:rPr>
        <w:rFonts w:ascii="Arial" w:eastAsia="Times New Roman" w:hAnsi="Arial" w:hint="default"/>
        <w:lang w:val="ro-RO"/>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lang w:val="ro-RO"/>
      </w:rPr>
    </w:lvl>
    <w:lvl w:ilvl="4">
      <w:start w:val="1"/>
      <w:numFmt w:val="bullet"/>
      <w:lvlText w:val="o"/>
      <w:lvlJc w:val="left"/>
      <w:pPr>
        <w:tabs>
          <w:tab w:val="num" w:pos="3960"/>
        </w:tabs>
        <w:ind w:left="3960" w:hanging="360"/>
      </w:pPr>
      <w:rPr>
        <w:rFonts w:ascii="Courier New" w:hAnsi="Courier New" w:cs="Courier New"/>
        <w:lang w:val="ro-RO"/>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lang w:val="ro-RO"/>
      </w:rPr>
    </w:lvl>
    <w:lvl w:ilvl="7">
      <w:start w:val="1"/>
      <w:numFmt w:val="bullet"/>
      <w:lvlText w:val="o"/>
      <w:lvlJc w:val="left"/>
      <w:pPr>
        <w:tabs>
          <w:tab w:val="num" w:pos="6120"/>
        </w:tabs>
        <w:ind w:left="6120" w:hanging="360"/>
      </w:pPr>
      <w:rPr>
        <w:rFonts w:ascii="Courier New" w:hAnsi="Courier New" w:cs="Courier New"/>
        <w:lang w:val="ro-RO"/>
      </w:rPr>
    </w:lvl>
    <w:lvl w:ilvl="8">
      <w:start w:val="1"/>
      <w:numFmt w:val="bullet"/>
      <w:lvlText w:val=""/>
      <w:lvlJc w:val="left"/>
      <w:pPr>
        <w:tabs>
          <w:tab w:val="num" w:pos="6840"/>
        </w:tabs>
        <w:ind w:left="6840" w:hanging="360"/>
      </w:pPr>
      <w:rPr>
        <w:rFonts w:ascii="Wingdings" w:hAnsi="Wingdings" w:cs="Wingdings"/>
      </w:rPr>
    </w:lvl>
  </w:abstractNum>
  <w:abstractNum w:abstractNumId="20" w15:restartNumberingAfterBreak="0">
    <w:nsid w:val="33BA2216"/>
    <w:multiLevelType w:val="hybridMultilevel"/>
    <w:tmpl w:val="9E3E3B92"/>
    <w:lvl w:ilvl="0" w:tplc="04090001">
      <w:start w:val="5"/>
      <w:numFmt w:val="bullet"/>
      <w:lvlText w:val="-"/>
      <w:lvlJc w:val="left"/>
      <w:pPr>
        <w:ind w:left="1431" w:hanging="360"/>
      </w:pPr>
      <w:rPr>
        <w:rFonts w:ascii="Trebuchet MS" w:eastAsia="Times New Roman" w:hAnsi="Trebuchet MS" w:cs="Times New Roman" w:hint="default"/>
      </w:rPr>
    </w:lvl>
    <w:lvl w:ilvl="1" w:tplc="04090003" w:tentative="1">
      <w:start w:val="1"/>
      <w:numFmt w:val="bullet"/>
      <w:lvlText w:val="o"/>
      <w:lvlJc w:val="left"/>
      <w:pPr>
        <w:ind w:left="2151" w:hanging="360"/>
      </w:pPr>
      <w:rPr>
        <w:rFonts w:ascii="Courier New" w:hAnsi="Courier New" w:cs="Courier New" w:hint="default"/>
      </w:rPr>
    </w:lvl>
    <w:lvl w:ilvl="2" w:tplc="04090005" w:tentative="1">
      <w:start w:val="1"/>
      <w:numFmt w:val="bullet"/>
      <w:lvlText w:val=""/>
      <w:lvlJc w:val="left"/>
      <w:pPr>
        <w:ind w:left="2871" w:hanging="360"/>
      </w:pPr>
      <w:rPr>
        <w:rFonts w:ascii="Wingdings" w:hAnsi="Wingdings" w:hint="default"/>
      </w:rPr>
    </w:lvl>
    <w:lvl w:ilvl="3" w:tplc="04090001" w:tentative="1">
      <w:start w:val="1"/>
      <w:numFmt w:val="bullet"/>
      <w:lvlText w:val=""/>
      <w:lvlJc w:val="left"/>
      <w:pPr>
        <w:ind w:left="3591" w:hanging="360"/>
      </w:pPr>
      <w:rPr>
        <w:rFonts w:ascii="Symbol" w:hAnsi="Symbol" w:hint="default"/>
      </w:rPr>
    </w:lvl>
    <w:lvl w:ilvl="4" w:tplc="04090003" w:tentative="1">
      <w:start w:val="1"/>
      <w:numFmt w:val="bullet"/>
      <w:lvlText w:val="o"/>
      <w:lvlJc w:val="left"/>
      <w:pPr>
        <w:ind w:left="4311" w:hanging="360"/>
      </w:pPr>
      <w:rPr>
        <w:rFonts w:ascii="Courier New" w:hAnsi="Courier New" w:cs="Courier New" w:hint="default"/>
      </w:rPr>
    </w:lvl>
    <w:lvl w:ilvl="5" w:tplc="04090005" w:tentative="1">
      <w:start w:val="1"/>
      <w:numFmt w:val="bullet"/>
      <w:lvlText w:val=""/>
      <w:lvlJc w:val="left"/>
      <w:pPr>
        <w:ind w:left="5031" w:hanging="360"/>
      </w:pPr>
      <w:rPr>
        <w:rFonts w:ascii="Wingdings" w:hAnsi="Wingdings" w:hint="default"/>
      </w:rPr>
    </w:lvl>
    <w:lvl w:ilvl="6" w:tplc="04090001" w:tentative="1">
      <w:start w:val="1"/>
      <w:numFmt w:val="bullet"/>
      <w:lvlText w:val=""/>
      <w:lvlJc w:val="left"/>
      <w:pPr>
        <w:ind w:left="5751" w:hanging="360"/>
      </w:pPr>
      <w:rPr>
        <w:rFonts w:ascii="Symbol" w:hAnsi="Symbol" w:hint="default"/>
      </w:rPr>
    </w:lvl>
    <w:lvl w:ilvl="7" w:tplc="04090003" w:tentative="1">
      <w:start w:val="1"/>
      <w:numFmt w:val="bullet"/>
      <w:lvlText w:val="o"/>
      <w:lvlJc w:val="left"/>
      <w:pPr>
        <w:ind w:left="6471" w:hanging="360"/>
      </w:pPr>
      <w:rPr>
        <w:rFonts w:ascii="Courier New" w:hAnsi="Courier New" w:cs="Courier New" w:hint="default"/>
      </w:rPr>
    </w:lvl>
    <w:lvl w:ilvl="8" w:tplc="04090005" w:tentative="1">
      <w:start w:val="1"/>
      <w:numFmt w:val="bullet"/>
      <w:lvlText w:val=""/>
      <w:lvlJc w:val="left"/>
      <w:pPr>
        <w:ind w:left="7191" w:hanging="360"/>
      </w:pPr>
      <w:rPr>
        <w:rFonts w:ascii="Wingdings" w:hAnsi="Wingdings" w:hint="default"/>
      </w:rPr>
    </w:lvl>
  </w:abstractNum>
  <w:abstractNum w:abstractNumId="21" w15:restartNumberingAfterBreak="0">
    <w:nsid w:val="361626C4"/>
    <w:multiLevelType w:val="hybridMultilevel"/>
    <w:tmpl w:val="045452EE"/>
    <w:lvl w:ilvl="0" w:tplc="42CAB214">
      <w:start w:val="1"/>
      <w:numFmt w:val="bullet"/>
      <w:lvlText w:val=""/>
      <w:lvlPicBulletId w:val="0"/>
      <w:lvlJc w:val="left"/>
      <w:pPr>
        <w:ind w:left="360" w:hanging="360"/>
      </w:pPr>
      <w:rPr>
        <w:rFonts w:ascii="Wingdings" w:hAnsi="Wingdings" w:hint="default"/>
        <w:color w:val="0070C0"/>
        <w:sz w:val="24"/>
        <w:szCs w:val="24"/>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2" w15:restartNumberingAfterBreak="0">
    <w:nsid w:val="36E5267E"/>
    <w:multiLevelType w:val="multilevel"/>
    <w:tmpl w:val="B672DAD0"/>
    <w:lvl w:ilvl="0">
      <w:start w:val="1"/>
      <w:numFmt w:val="bullet"/>
      <w:lvlText w:val=""/>
      <w:lvlJc w:val="left"/>
      <w:pPr>
        <w:ind w:left="2880" w:hanging="360"/>
      </w:pPr>
      <w:rPr>
        <w:rFonts w:ascii="Wingdings" w:hAnsi="Wingdings" w:cs="Wingdings" w:hint="default"/>
      </w:rPr>
    </w:lvl>
    <w:lvl w:ilvl="1">
      <w:start w:val="1"/>
      <w:numFmt w:val="bullet"/>
      <w:lvlText w:val="o"/>
      <w:lvlJc w:val="left"/>
      <w:pPr>
        <w:ind w:left="3600" w:hanging="360"/>
      </w:pPr>
      <w:rPr>
        <w:rFonts w:ascii="Courier New" w:hAnsi="Courier New" w:cs="Courier New" w:hint="default"/>
      </w:rPr>
    </w:lvl>
    <w:lvl w:ilvl="2">
      <w:start w:val="1"/>
      <w:numFmt w:val="bullet"/>
      <w:lvlText w:val=""/>
      <w:lvlJc w:val="left"/>
      <w:pPr>
        <w:ind w:left="4320" w:hanging="360"/>
      </w:pPr>
      <w:rPr>
        <w:rFonts w:ascii="Wingdings" w:hAnsi="Wingdings" w:cs="Wingdings" w:hint="default"/>
      </w:rPr>
    </w:lvl>
    <w:lvl w:ilvl="3">
      <w:start w:val="1"/>
      <w:numFmt w:val="bullet"/>
      <w:lvlText w:val=""/>
      <w:lvlJc w:val="left"/>
      <w:pPr>
        <w:ind w:left="5040" w:hanging="360"/>
      </w:pPr>
      <w:rPr>
        <w:rFonts w:ascii="Symbol" w:hAnsi="Symbol" w:cs="Symbol" w:hint="default"/>
      </w:rPr>
    </w:lvl>
    <w:lvl w:ilvl="4">
      <w:start w:val="1"/>
      <w:numFmt w:val="bullet"/>
      <w:lvlText w:val="o"/>
      <w:lvlJc w:val="left"/>
      <w:pPr>
        <w:ind w:left="5760" w:hanging="360"/>
      </w:pPr>
      <w:rPr>
        <w:rFonts w:ascii="Courier New" w:hAnsi="Courier New" w:cs="Courier New" w:hint="default"/>
      </w:rPr>
    </w:lvl>
    <w:lvl w:ilvl="5">
      <w:start w:val="1"/>
      <w:numFmt w:val="bullet"/>
      <w:lvlText w:val=""/>
      <w:lvlJc w:val="left"/>
      <w:pPr>
        <w:ind w:left="6480" w:hanging="360"/>
      </w:pPr>
      <w:rPr>
        <w:rFonts w:ascii="Wingdings" w:hAnsi="Wingdings" w:cs="Wingdings" w:hint="default"/>
      </w:rPr>
    </w:lvl>
    <w:lvl w:ilvl="6">
      <w:start w:val="1"/>
      <w:numFmt w:val="bullet"/>
      <w:lvlText w:val=""/>
      <w:lvlJc w:val="left"/>
      <w:pPr>
        <w:ind w:left="7200" w:hanging="360"/>
      </w:pPr>
      <w:rPr>
        <w:rFonts w:ascii="Symbol" w:hAnsi="Symbol" w:cs="Symbol" w:hint="default"/>
      </w:rPr>
    </w:lvl>
    <w:lvl w:ilvl="7">
      <w:start w:val="1"/>
      <w:numFmt w:val="bullet"/>
      <w:lvlText w:val="o"/>
      <w:lvlJc w:val="left"/>
      <w:pPr>
        <w:ind w:left="7920" w:hanging="360"/>
      </w:pPr>
      <w:rPr>
        <w:rFonts w:ascii="Courier New" w:hAnsi="Courier New" w:cs="Courier New" w:hint="default"/>
      </w:rPr>
    </w:lvl>
    <w:lvl w:ilvl="8">
      <w:start w:val="1"/>
      <w:numFmt w:val="bullet"/>
      <w:lvlText w:val=""/>
      <w:lvlJc w:val="left"/>
      <w:pPr>
        <w:ind w:left="8640" w:hanging="360"/>
      </w:pPr>
      <w:rPr>
        <w:rFonts w:ascii="Wingdings" w:hAnsi="Wingdings" w:cs="Wingdings" w:hint="default"/>
      </w:rPr>
    </w:lvl>
  </w:abstractNum>
  <w:abstractNum w:abstractNumId="23" w15:restartNumberingAfterBreak="0">
    <w:nsid w:val="381D644F"/>
    <w:multiLevelType w:val="multilevel"/>
    <w:tmpl w:val="E996B13A"/>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91D4EDB"/>
    <w:multiLevelType w:val="hybridMultilevel"/>
    <w:tmpl w:val="D0C22268"/>
    <w:lvl w:ilvl="0" w:tplc="FC8C3086">
      <w:start w:val="1"/>
      <w:numFmt w:val="bullet"/>
      <w:lvlText w:val=""/>
      <w:lvlJc w:val="left"/>
      <w:pPr>
        <w:ind w:left="720" w:hanging="360"/>
      </w:pPr>
      <w:rPr>
        <w:rFonts w:ascii="Wingdings" w:hAnsi="Wingdings" w:hint="default"/>
      </w:rPr>
    </w:lvl>
    <w:lvl w:ilvl="1" w:tplc="F8324D6A">
      <w:start w:val="1"/>
      <w:numFmt w:val="bullet"/>
      <w:lvlText w:val=""/>
      <w:lvlJc w:val="left"/>
      <w:pPr>
        <w:ind w:left="1440" w:hanging="360"/>
      </w:pPr>
      <w:rPr>
        <w:rFonts w:ascii="Wingdings" w:hAnsi="Wingdings" w:hint="default"/>
      </w:rPr>
    </w:lvl>
    <w:lvl w:ilvl="2" w:tplc="6A781842" w:tentative="1">
      <w:start w:val="1"/>
      <w:numFmt w:val="bullet"/>
      <w:lvlText w:val=""/>
      <w:lvlJc w:val="left"/>
      <w:pPr>
        <w:ind w:left="2160" w:hanging="360"/>
      </w:pPr>
      <w:rPr>
        <w:rFonts w:ascii="Wingdings" w:hAnsi="Wingdings" w:hint="default"/>
      </w:rPr>
    </w:lvl>
    <w:lvl w:ilvl="3" w:tplc="15943B28" w:tentative="1">
      <w:start w:val="1"/>
      <w:numFmt w:val="bullet"/>
      <w:lvlText w:val=""/>
      <w:lvlJc w:val="left"/>
      <w:pPr>
        <w:ind w:left="2880" w:hanging="360"/>
      </w:pPr>
      <w:rPr>
        <w:rFonts w:ascii="Symbol" w:hAnsi="Symbol" w:hint="default"/>
      </w:rPr>
    </w:lvl>
    <w:lvl w:ilvl="4" w:tplc="CD361BF4" w:tentative="1">
      <w:start w:val="1"/>
      <w:numFmt w:val="bullet"/>
      <w:lvlText w:val="o"/>
      <w:lvlJc w:val="left"/>
      <w:pPr>
        <w:ind w:left="3600" w:hanging="360"/>
      </w:pPr>
      <w:rPr>
        <w:rFonts w:ascii="Courier New" w:hAnsi="Courier New" w:cs="Courier New" w:hint="default"/>
      </w:rPr>
    </w:lvl>
    <w:lvl w:ilvl="5" w:tplc="B8228E6C" w:tentative="1">
      <w:start w:val="1"/>
      <w:numFmt w:val="bullet"/>
      <w:lvlText w:val=""/>
      <w:lvlJc w:val="left"/>
      <w:pPr>
        <w:ind w:left="4320" w:hanging="360"/>
      </w:pPr>
      <w:rPr>
        <w:rFonts w:ascii="Wingdings" w:hAnsi="Wingdings" w:hint="default"/>
      </w:rPr>
    </w:lvl>
    <w:lvl w:ilvl="6" w:tplc="3078DAFC" w:tentative="1">
      <w:start w:val="1"/>
      <w:numFmt w:val="bullet"/>
      <w:lvlText w:val=""/>
      <w:lvlJc w:val="left"/>
      <w:pPr>
        <w:ind w:left="5040" w:hanging="360"/>
      </w:pPr>
      <w:rPr>
        <w:rFonts w:ascii="Symbol" w:hAnsi="Symbol" w:hint="default"/>
      </w:rPr>
    </w:lvl>
    <w:lvl w:ilvl="7" w:tplc="B8065C54" w:tentative="1">
      <w:start w:val="1"/>
      <w:numFmt w:val="bullet"/>
      <w:lvlText w:val="o"/>
      <w:lvlJc w:val="left"/>
      <w:pPr>
        <w:ind w:left="5760" w:hanging="360"/>
      </w:pPr>
      <w:rPr>
        <w:rFonts w:ascii="Courier New" w:hAnsi="Courier New" w:cs="Courier New" w:hint="default"/>
      </w:rPr>
    </w:lvl>
    <w:lvl w:ilvl="8" w:tplc="9F502F78" w:tentative="1">
      <w:start w:val="1"/>
      <w:numFmt w:val="bullet"/>
      <w:lvlText w:val=""/>
      <w:lvlJc w:val="left"/>
      <w:pPr>
        <w:ind w:left="6480" w:hanging="360"/>
      </w:pPr>
      <w:rPr>
        <w:rFonts w:ascii="Wingdings" w:hAnsi="Wingdings" w:hint="default"/>
      </w:rPr>
    </w:lvl>
  </w:abstractNum>
  <w:abstractNum w:abstractNumId="25" w15:restartNumberingAfterBreak="0">
    <w:nsid w:val="39663C7A"/>
    <w:multiLevelType w:val="hybridMultilevel"/>
    <w:tmpl w:val="0D34C6C4"/>
    <w:lvl w:ilvl="0" w:tplc="0409000D">
      <w:start w:val="1"/>
      <w:numFmt w:val="bullet"/>
      <w:lvlText w:val=""/>
      <w:lvlJc w:val="left"/>
      <w:pPr>
        <w:ind w:left="1080" w:hanging="360"/>
      </w:pPr>
      <w:rPr>
        <w:rFonts w:ascii="Symbol" w:hAnsi="Symbol" w:hint="default"/>
      </w:rPr>
    </w:lvl>
    <w:lvl w:ilvl="1" w:tplc="0409000D"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CA13EA0"/>
    <w:multiLevelType w:val="multilevel"/>
    <w:tmpl w:val="5BFEB792"/>
    <w:lvl w:ilvl="0">
      <w:start w:val="1"/>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440" w:hanging="360"/>
      </w:pPr>
      <w:rPr>
        <w:rFonts w:ascii="Arial" w:hAnsi="Arial" w:cs="Aria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45B878F7"/>
    <w:multiLevelType w:val="hybridMultilevel"/>
    <w:tmpl w:val="D378393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92D1203"/>
    <w:multiLevelType w:val="hybridMultilevel"/>
    <w:tmpl w:val="525A9B1E"/>
    <w:lvl w:ilvl="0" w:tplc="588C6A80">
      <w:start w:val="1"/>
      <w:numFmt w:val="bullet"/>
      <w:lvlText w:val=""/>
      <w:lvlJc w:val="left"/>
      <w:pPr>
        <w:ind w:left="720" w:hanging="360"/>
      </w:pPr>
      <w:rPr>
        <w:rFonts w:ascii="Wingdings" w:hAnsi="Wingdings" w:hint="default"/>
      </w:rPr>
    </w:lvl>
    <w:lvl w:ilvl="1" w:tplc="45C06AA6">
      <w:start w:val="1"/>
      <w:numFmt w:val="bullet"/>
      <w:lvlText w:val="o"/>
      <w:lvlJc w:val="left"/>
      <w:pPr>
        <w:ind w:left="1440" w:hanging="360"/>
      </w:pPr>
      <w:rPr>
        <w:rFonts w:ascii="Courier New" w:hAnsi="Courier New" w:cs="Courier New" w:hint="default"/>
      </w:rPr>
    </w:lvl>
    <w:lvl w:ilvl="2" w:tplc="DA0E0478" w:tentative="1">
      <w:start w:val="1"/>
      <w:numFmt w:val="bullet"/>
      <w:lvlText w:val=""/>
      <w:lvlJc w:val="left"/>
      <w:pPr>
        <w:ind w:left="2160" w:hanging="360"/>
      </w:pPr>
      <w:rPr>
        <w:rFonts w:ascii="Wingdings" w:hAnsi="Wingdings" w:hint="default"/>
      </w:rPr>
    </w:lvl>
    <w:lvl w:ilvl="3" w:tplc="AEF801F0" w:tentative="1">
      <w:start w:val="1"/>
      <w:numFmt w:val="bullet"/>
      <w:lvlText w:val=""/>
      <w:lvlJc w:val="left"/>
      <w:pPr>
        <w:ind w:left="2880" w:hanging="360"/>
      </w:pPr>
      <w:rPr>
        <w:rFonts w:ascii="Symbol" w:hAnsi="Symbol" w:hint="default"/>
      </w:rPr>
    </w:lvl>
    <w:lvl w:ilvl="4" w:tplc="D1D682D8" w:tentative="1">
      <w:start w:val="1"/>
      <w:numFmt w:val="bullet"/>
      <w:lvlText w:val="o"/>
      <w:lvlJc w:val="left"/>
      <w:pPr>
        <w:ind w:left="3600" w:hanging="360"/>
      </w:pPr>
      <w:rPr>
        <w:rFonts w:ascii="Courier New" w:hAnsi="Courier New" w:cs="Courier New" w:hint="default"/>
      </w:rPr>
    </w:lvl>
    <w:lvl w:ilvl="5" w:tplc="208275EE" w:tentative="1">
      <w:start w:val="1"/>
      <w:numFmt w:val="bullet"/>
      <w:lvlText w:val=""/>
      <w:lvlJc w:val="left"/>
      <w:pPr>
        <w:ind w:left="4320" w:hanging="360"/>
      </w:pPr>
      <w:rPr>
        <w:rFonts w:ascii="Wingdings" w:hAnsi="Wingdings" w:hint="default"/>
      </w:rPr>
    </w:lvl>
    <w:lvl w:ilvl="6" w:tplc="B2260F7C" w:tentative="1">
      <w:start w:val="1"/>
      <w:numFmt w:val="bullet"/>
      <w:lvlText w:val=""/>
      <w:lvlJc w:val="left"/>
      <w:pPr>
        <w:ind w:left="5040" w:hanging="360"/>
      </w:pPr>
      <w:rPr>
        <w:rFonts w:ascii="Symbol" w:hAnsi="Symbol" w:hint="default"/>
      </w:rPr>
    </w:lvl>
    <w:lvl w:ilvl="7" w:tplc="5C8AA8DE" w:tentative="1">
      <w:start w:val="1"/>
      <w:numFmt w:val="bullet"/>
      <w:lvlText w:val="o"/>
      <w:lvlJc w:val="left"/>
      <w:pPr>
        <w:ind w:left="5760" w:hanging="360"/>
      </w:pPr>
      <w:rPr>
        <w:rFonts w:ascii="Courier New" w:hAnsi="Courier New" w:cs="Courier New" w:hint="default"/>
      </w:rPr>
    </w:lvl>
    <w:lvl w:ilvl="8" w:tplc="F59AA9F6" w:tentative="1">
      <w:start w:val="1"/>
      <w:numFmt w:val="bullet"/>
      <w:lvlText w:val=""/>
      <w:lvlJc w:val="left"/>
      <w:pPr>
        <w:ind w:left="6480" w:hanging="360"/>
      </w:pPr>
      <w:rPr>
        <w:rFonts w:ascii="Wingdings" w:hAnsi="Wingdings" w:hint="default"/>
      </w:rPr>
    </w:lvl>
  </w:abstractNum>
  <w:abstractNum w:abstractNumId="29" w15:restartNumberingAfterBreak="0">
    <w:nsid w:val="4C132D68"/>
    <w:multiLevelType w:val="hybridMultilevel"/>
    <w:tmpl w:val="2146CFEA"/>
    <w:lvl w:ilvl="0" w:tplc="0409000D">
      <w:start w:val="1"/>
      <w:numFmt w:val="bullet"/>
      <w:lvlText w:val=""/>
      <w:lvlJc w:val="left"/>
      <w:pPr>
        <w:ind w:left="720" w:hanging="360"/>
      </w:pPr>
      <w:rPr>
        <w:rFonts w:ascii="Wingdings" w:hAnsi="Wingdings"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12418F"/>
    <w:multiLevelType w:val="hybridMultilevel"/>
    <w:tmpl w:val="77EAC836"/>
    <w:lvl w:ilvl="0" w:tplc="0409000D">
      <w:start w:val="1"/>
      <w:numFmt w:val="bullet"/>
      <w:lvlText w:val=""/>
      <w:lvlJc w:val="left"/>
      <w:pPr>
        <w:ind w:left="1080" w:hanging="360"/>
      </w:pPr>
      <w:rPr>
        <w:rFonts w:ascii="Wingdings" w:hAnsi="Wingdings" w:hint="default"/>
      </w:rPr>
    </w:lvl>
    <w:lvl w:ilvl="1" w:tplc="0409000D"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F1B0BCE"/>
    <w:multiLevelType w:val="hybridMultilevel"/>
    <w:tmpl w:val="1020E3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241389"/>
    <w:multiLevelType w:val="hybridMultilevel"/>
    <w:tmpl w:val="56AA265C"/>
    <w:lvl w:ilvl="0" w:tplc="0409000D">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2A7960"/>
    <w:multiLevelType w:val="hybridMultilevel"/>
    <w:tmpl w:val="1F18596C"/>
    <w:lvl w:ilvl="0" w:tplc="04090001">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34" w15:restartNumberingAfterBreak="0">
    <w:nsid w:val="58725954"/>
    <w:multiLevelType w:val="multilevel"/>
    <w:tmpl w:val="42D8B914"/>
    <w:lvl w:ilvl="0">
      <w:start w:val="1"/>
      <w:numFmt w:val="bullet"/>
      <w:lvlText w:val=""/>
      <w:lvlJc w:val="left"/>
      <w:pPr>
        <w:tabs>
          <w:tab w:val="num" w:pos="1080"/>
        </w:tabs>
        <w:ind w:left="1080" w:hanging="360"/>
      </w:pPr>
      <w:rPr>
        <w:rFonts w:ascii="Symbol" w:hAnsi="Symbol" w:cs="Symbol"/>
        <w:lang w:val="ro-RO"/>
      </w:rPr>
    </w:lvl>
    <w:lvl w:ilvl="1">
      <w:numFmt w:val="bullet"/>
      <w:lvlText w:val="-"/>
      <w:lvlJc w:val="left"/>
      <w:pPr>
        <w:tabs>
          <w:tab w:val="num" w:pos="1800"/>
        </w:tabs>
        <w:ind w:left="1800" w:hanging="360"/>
      </w:pPr>
      <w:rPr>
        <w:rFonts w:ascii="Arial" w:eastAsia="Times New Roman" w:hAnsi="Arial" w:hint="default"/>
        <w:lang w:val="ro-RO"/>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lang w:val="ro-RO"/>
      </w:rPr>
    </w:lvl>
    <w:lvl w:ilvl="4">
      <w:start w:val="1"/>
      <w:numFmt w:val="bullet"/>
      <w:lvlText w:val="o"/>
      <w:lvlJc w:val="left"/>
      <w:pPr>
        <w:tabs>
          <w:tab w:val="num" w:pos="3960"/>
        </w:tabs>
        <w:ind w:left="3960" w:hanging="360"/>
      </w:pPr>
      <w:rPr>
        <w:rFonts w:ascii="Courier New" w:hAnsi="Courier New" w:cs="Courier New"/>
        <w:lang w:val="ro-RO"/>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lang w:val="ro-RO"/>
      </w:rPr>
    </w:lvl>
    <w:lvl w:ilvl="7">
      <w:start w:val="1"/>
      <w:numFmt w:val="bullet"/>
      <w:lvlText w:val="o"/>
      <w:lvlJc w:val="left"/>
      <w:pPr>
        <w:tabs>
          <w:tab w:val="num" w:pos="6120"/>
        </w:tabs>
        <w:ind w:left="6120" w:hanging="360"/>
      </w:pPr>
      <w:rPr>
        <w:rFonts w:ascii="Courier New" w:hAnsi="Courier New" w:cs="Courier New"/>
        <w:lang w:val="ro-RO"/>
      </w:rPr>
    </w:lvl>
    <w:lvl w:ilvl="8">
      <w:start w:val="1"/>
      <w:numFmt w:val="bullet"/>
      <w:lvlText w:val=""/>
      <w:lvlJc w:val="left"/>
      <w:pPr>
        <w:tabs>
          <w:tab w:val="num" w:pos="6840"/>
        </w:tabs>
        <w:ind w:left="6840" w:hanging="360"/>
      </w:pPr>
      <w:rPr>
        <w:rFonts w:ascii="Wingdings" w:hAnsi="Wingdings" w:cs="Wingdings"/>
      </w:rPr>
    </w:lvl>
  </w:abstractNum>
  <w:abstractNum w:abstractNumId="35" w15:restartNumberingAfterBreak="0">
    <w:nsid w:val="58F75565"/>
    <w:multiLevelType w:val="hybridMultilevel"/>
    <w:tmpl w:val="B4720C2C"/>
    <w:lvl w:ilvl="0" w:tplc="E18C4C9A">
      <w:start w:val="1"/>
      <w:numFmt w:val="bullet"/>
      <w:lvlText w:val=""/>
      <w:lvlJc w:val="left"/>
      <w:pPr>
        <w:ind w:left="711" w:hanging="360"/>
      </w:pPr>
      <w:rPr>
        <w:rFonts w:ascii="Symbol" w:hAnsi="Symbol" w:hint="default"/>
        <w:strike w:val="0"/>
        <w:color w:val="auto"/>
        <w:sz w:val="28"/>
        <w:szCs w:val="28"/>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5DCE02BE"/>
    <w:multiLevelType w:val="hybridMultilevel"/>
    <w:tmpl w:val="0C5C6A42"/>
    <w:lvl w:ilvl="0" w:tplc="0409000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FB2A35"/>
    <w:multiLevelType w:val="multilevel"/>
    <w:tmpl w:val="0B24E8E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2367C7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4F977E3"/>
    <w:multiLevelType w:val="multilevel"/>
    <w:tmpl w:val="E996B13A"/>
    <w:lvl w:ilvl="0">
      <w:start w:val="1"/>
      <w:numFmt w:val="decimal"/>
      <w:lvlText w:val="%1"/>
      <w:lvlJc w:val="left"/>
      <w:pPr>
        <w:ind w:left="360" w:hanging="360"/>
      </w:pPr>
      <w:rPr>
        <w:rFonts w:cs="Arial" w:hint="default"/>
        <w:lang w:val="ro-RO"/>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65006E8F"/>
    <w:multiLevelType w:val="hybridMultilevel"/>
    <w:tmpl w:val="53F68FBC"/>
    <w:lvl w:ilvl="0" w:tplc="F0988580">
      <w:start w:val="1"/>
      <w:numFmt w:val="bullet"/>
      <w:lvlText w:val=""/>
      <w:lvlJc w:val="left"/>
      <w:pPr>
        <w:ind w:left="1872" w:hanging="360"/>
      </w:pPr>
      <w:rPr>
        <w:rFonts w:ascii="Wingdings" w:hAnsi="Wingdings" w:hint="default"/>
      </w:rPr>
    </w:lvl>
    <w:lvl w:ilvl="1" w:tplc="291676E8" w:tentative="1">
      <w:start w:val="1"/>
      <w:numFmt w:val="bullet"/>
      <w:lvlText w:val="o"/>
      <w:lvlJc w:val="left"/>
      <w:pPr>
        <w:ind w:left="2592" w:hanging="360"/>
      </w:pPr>
      <w:rPr>
        <w:rFonts w:ascii="Courier New" w:hAnsi="Courier New" w:cs="Courier New" w:hint="default"/>
      </w:rPr>
    </w:lvl>
    <w:lvl w:ilvl="2" w:tplc="05FABB1C" w:tentative="1">
      <w:start w:val="1"/>
      <w:numFmt w:val="bullet"/>
      <w:lvlText w:val=""/>
      <w:lvlJc w:val="left"/>
      <w:pPr>
        <w:ind w:left="3312" w:hanging="360"/>
      </w:pPr>
      <w:rPr>
        <w:rFonts w:ascii="Wingdings" w:hAnsi="Wingdings" w:hint="default"/>
      </w:rPr>
    </w:lvl>
    <w:lvl w:ilvl="3" w:tplc="A9F235EA" w:tentative="1">
      <w:start w:val="1"/>
      <w:numFmt w:val="bullet"/>
      <w:lvlText w:val=""/>
      <w:lvlJc w:val="left"/>
      <w:pPr>
        <w:ind w:left="4032" w:hanging="360"/>
      </w:pPr>
      <w:rPr>
        <w:rFonts w:ascii="Symbol" w:hAnsi="Symbol" w:hint="default"/>
      </w:rPr>
    </w:lvl>
    <w:lvl w:ilvl="4" w:tplc="C2D4B22E" w:tentative="1">
      <w:start w:val="1"/>
      <w:numFmt w:val="bullet"/>
      <w:lvlText w:val="o"/>
      <w:lvlJc w:val="left"/>
      <w:pPr>
        <w:ind w:left="4752" w:hanging="360"/>
      </w:pPr>
      <w:rPr>
        <w:rFonts w:ascii="Courier New" w:hAnsi="Courier New" w:cs="Courier New" w:hint="default"/>
      </w:rPr>
    </w:lvl>
    <w:lvl w:ilvl="5" w:tplc="14160EFC" w:tentative="1">
      <w:start w:val="1"/>
      <w:numFmt w:val="bullet"/>
      <w:lvlText w:val=""/>
      <w:lvlJc w:val="left"/>
      <w:pPr>
        <w:ind w:left="5472" w:hanging="360"/>
      </w:pPr>
      <w:rPr>
        <w:rFonts w:ascii="Wingdings" w:hAnsi="Wingdings" w:hint="default"/>
      </w:rPr>
    </w:lvl>
    <w:lvl w:ilvl="6" w:tplc="30268594" w:tentative="1">
      <w:start w:val="1"/>
      <w:numFmt w:val="bullet"/>
      <w:lvlText w:val=""/>
      <w:lvlJc w:val="left"/>
      <w:pPr>
        <w:ind w:left="6192" w:hanging="360"/>
      </w:pPr>
      <w:rPr>
        <w:rFonts w:ascii="Symbol" w:hAnsi="Symbol" w:hint="default"/>
      </w:rPr>
    </w:lvl>
    <w:lvl w:ilvl="7" w:tplc="1A20807C" w:tentative="1">
      <w:start w:val="1"/>
      <w:numFmt w:val="bullet"/>
      <w:lvlText w:val="o"/>
      <w:lvlJc w:val="left"/>
      <w:pPr>
        <w:ind w:left="6912" w:hanging="360"/>
      </w:pPr>
      <w:rPr>
        <w:rFonts w:ascii="Courier New" w:hAnsi="Courier New" w:cs="Courier New" w:hint="default"/>
      </w:rPr>
    </w:lvl>
    <w:lvl w:ilvl="8" w:tplc="B0D4601E" w:tentative="1">
      <w:start w:val="1"/>
      <w:numFmt w:val="bullet"/>
      <w:lvlText w:val=""/>
      <w:lvlJc w:val="left"/>
      <w:pPr>
        <w:ind w:left="7632" w:hanging="360"/>
      </w:pPr>
      <w:rPr>
        <w:rFonts w:ascii="Wingdings" w:hAnsi="Wingdings" w:hint="default"/>
      </w:rPr>
    </w:lvl>
  </w:abstractNum>
  <w:abstractNum w:abstractNumId="41" w15:restartNumberingAfterBreak="0">
    <w:nsid w:val="65874A53"/>
    <w:multiLevelType w:val="hybridMultilevel"/>
    <w:tmpl w:val="09CAE25A"/>
    <w:lvl w:ilvl="0" w:tplc="CDBE98B0">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586CFB"/>
    <w:multiLevelType w:val="hybridMultilevel"/>
    <w:tmpl w:val="2F2024FA"/>
    <w:lvl w:ilvl="0" w:tplc="0409000D">
      <w:start w:val="1"/>
      <w:numFmt w:val="bullet"/>
      <w:lvlText w:val=""/>
      <w:lvlJc w:val="left"/>
      <w:pPr>
        <w:ind w:left="984" w:hanging="360"/>
      </w:pPr>
      <w:rPr>
        <w:rFonts w:ascii="Wingdings" w:hAnsi="Wingdings"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43" w15:restartNumberingAfterBreak="0">
    <w:nsid w:val="6A8F2DB8"/>
    <w:multiLevelType w:val="hybridMultilevel"/>
    <w:tmpl w:val="6C407042"/>
    <w:lvl w:ilvl="0" w:tplc="0409000B">
      <w:start w:val="5"/>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6D924E33"/>
    <w:multiLevelType w:val="hybridMultilevel"/>
    <w:tmpl w:val="945AB5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DC97E88"/>
    <w:multiLevelType w:val="hybridMultilevel"/>
    <w:tmpl w:val="DA6C152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6E370DBD"/>
    <w:multiLevelType w:val="hybridMultilevel"/>
    <w:tmpl w:val="58E6DB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C41F2B"/>
    <w:multiLevelType w:val="hybridMultilevel"/>
    <w:tmpl w:val="FEB4E92E"/>
    <w:lvl w:ilvl="0" w:tplc="42CAB2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445A67"/>
    <w:multiLevelType w:val="hybridMultilevel"/>
    <w:tmpl w:val="F6B4E25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A908CF"/>
    <w:multiLevelType w:val="hybridMultilevel"/>
    <w:tmpl w:val="21DC5D9A"/>
    <w:lvl w:ilvl="0" w:tplc="0409000D">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2151" w:hanging="360"/>
      </w:pPr>
      <w:rPr>
        <w:rFonts w:ascii="Courier New" w:hAnsi="Courier New" w:cs="Courier New" w:hint="default"/>
      </w:rPr>
    </w:lvl>
    <w:lvl w:ilvl="2" w:tplc="04090005" w:tentative="1">
      <w:start w:val="1"/>
      <w:numFmt w:val="bullet"/>
      <w:lvlText w:val=""/>
      <w:lvlJc w:val="left"/>
      <w:pPr>
        <w:ind w:left="2871" w:hanging="360"/>
      </w:pPr>
      <w:rPr>
        <w:rFonts w:ascii="Wingdings" w:hAnsi="Wingdings" w:hint="default"/>
      </w:rPr>
    </w:lvl>
    <w:lvl w:ilvl="3" w:tplc="04090001" w:tentative="1">
      <w:start w:val="1"/>
      <w:numFmt w:val="bullet"/>
      <w:lvlText w:val=""/>
      <w:lvlJc w:val="left"/>
      <w:pPr>
        <w:ind w:left="3591" w:hanging="360"/>
      </w:pPr>
      <w:rPr>
        <w:rFonts w:ascii="Symbol" w:hAnsi="Symbol" w:hint="default"/>
      </w:rPr>
    </w:lvl>
    <w:lvl w:ilvl="4" w:tplc="04090003" w:tentative="1">
      <w:start w:val="1"/>
      <w:numFmt w:val="bullet"/>
      <w:lvlText w:val="o"/>
      <w:lvlJc w:val="left"/>
      <w:pPr>
        <w:ind w:left="4311" w:hanging="360"/>
      </w:pPr>
      <w:rPr>
        <w:rFonts w:ascii="Courier New" w:hAnsi="Courier New" w:cs="Courier New" w:hint="default"/>
      </w:rPr>
    </w:lvl>
    <w:lvl w:ilvl="5" w:tplc="04090005" w:tentative="1">
      <w:start w:val="1"/>
      <w:numFmt w:val="bullet"/>
      <w:lvlText w:val=""/>
      <w:lvlJc w:val="left"/>
      <w:pPr>
        <w:ind w:left="5031" w:hanging="360"/>
      </w:pPr>
      <w:rPr>
        <w:rFonts w:ascii="Wingdings" w:hAnsi="Wingdings" w:hint="default"/>
      </w:rPr>
    </w:lvl>
    <w:lvl w:ilvl="6" w:tplc="04090001" w:tentative="1">
      <w:start w:val="1"/>
      <w:numFmt w:val="bullet"/>
      <w:lvlText w:val=""/>
      <w:lvlJc w:val="left"/>
      <w:pPr>
        <w:ind w:left="5751" w:hanging="360"/>
      </w:pPr>
      <w:rPr>
        <w:rFonts w:ascii="Symbol" w:hAnsi="Symbol" w:hint="default"/>
      </w:rPr>
    </w:lvl>
    <w:lvl w:ilvl="7" w:tplc="04090003" w:tentative="1">
      <w:start w:val="1"/>
      <w:numFmt w:val="bullet"/>
      <w:lvlText w:val="o"/>
      <w:lvlJc w:val="left"/>
      <w:pPr>
        <w:ind w:left="6471" w:hanging="360"/>
      </w:pPr>
      <w:rPr>
        <w:rFonts w:ascii="Courier New" w:hAnsi="Courier New" w:cs="Courier New" w:hint="default"/>
      </w:rPr>
    </w:lvl>
    <w:lvl w:ilvl="8" w:tplc="04090005" w:tentative="1">
      <w:start w:val="1"/>
      <w:numFmt w:val="bullet"/>
      <w:lvlText w:val=""/>
      <w:lvlJc w:val="left"/>
      <w:pPr>
        <w:ind w:left="7191" w:hanging="360"/>
      </w:pPr>
      <w:rPr>
        <w:rFonts w:ascii="Wingdings" w:hAnsi="Wingdings" w:hint="default"/>
      </w:rPr>
    </w:lvl>
  </w:abstractNum>
  <w:abstractNum w:abstractNumId="50" w15:restartNumberingAfterBreak="0">
    <w:nsid w:val="7BC2163F"/>
    <w:multiLevelType w:val="hybridMultilevel"/>
    <w:tmpl w:val="5E7E77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51" w15:restartNumberingAfterBreak="0">
    <w:nsid w:val="7D241953"/>
    <w:multiLevelType w:val="hybridMultilevel"/>
    <w:tmpl w:val="5DFC0FFA"/>
    <w:lvl w:ilvl="0" w:tplc="0409000D">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84924503">
    <w:abstractNumId w:val="10"/>
  </w:num>
  <w:num w:numId="2" w16cid:durableId="784618700">
    <w:abstractNumId w:val="0"/>
  </w:num>
  <w:num w:numId="3" w16cid:durableId="1640261239">
    <w:abstractNumId w:val="33"/>
  </w:num>
  <w:num w:numId="4" w16cid:durableId="466094519">
    <w:abstractNumId w:val="15"/>
  </w:num>
  <w:num w:numId="5" w16cid:durableId="1278220484">
    <w:abstractNumId w:val="42"/>
  </w:num>
  <w:num w:numId="6" w16cid:durableId="1761101382">
    <w:abstractNumId w:val="11"/>
  </w:num>
  <w:num w:numId="7" w16cid:durableId="1387794951">
    <w:abstractNumId w:val="14"/>
  </w:num>
  <w:num w:numId="8" w16cid:durableId="1333337677">
    <w:abstractNumId w:val="1"/>
  </w:num>
  <w:num w:numId="9" w16cid:durableId="1390616822">
    <w:abstractNumId w:val="22"/>
  </w:num>
  <w:num w:numId="10" w16cid:durableId="414597579">
    <w:abstractNumId w:val="18"/>
  </w:num>
  <w:num w:numId="11" w16cid:durableId="403838830">
    <w:abstractNumId w:val="47"/>
  </w:num>
  <w:num w:numId="12" w16cid:durableId="1652053603">
    <w:abstractNumId w:val="21"/>
  </w:num>
  <w:num w:numId="13" w16cid:durableId="764691154">
    <w:abstractNumId w:val="50"/>
  </w:num>
  <w:num w:numId="14" w16cid:durableId="668754015">
    <w:abstractNumId w:val="7"/>
  </w:num>
  <w:num w:numId="15" w16cid:durableId="271208840">
    <w:abstractNumId w:val="13"/>
  </w:num>
  <w:num w:numId="16" w16cid:durableId="737436224">
    <w:abstractNumId w:val="36"/>
  </w:num>
  <w:num w:numId="17" w16cid:durableId="1450973559">
    <w:abstractNumId w:val="51"/>
  </w:num>
  <w:num w:numId="18" w16cid:durableId="1139345293">
    <w:abstractNumId w:val="25"/>
  </w:num>
  <w:num w:numId="19" w16cid:durableId="1439988664">
    <w:abstractNumId w:val="32"/>
  </w:num>
  <w:num w:numId="20" w16cid:durableId="596595984">
    <w:abstractNumId w:val="9"/>
  </w:num>
  <w:num w:numId="21" w16cid:durableId="234435151">
    <w:abstractNumId w:val="30"/>
  </w:num>
  <w:num w:numId="22" w16cid:durableId="1204707799">
    <w:abstractNumId w:val="37"/>
  </w:num>
  <w:num w:numId="23" w16cid:durableId="1693915414">
    <w:abstractNumId w:val="38"/>
  </w:num>
  <w:num w:numId="24" w16cid:durableId="1402171632">
    <w:abstractNumId w:val="3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16cid:durableId="30344235">
    <w:abstractNumId w:val="26"/>
  </w:num>
  <w:num w:numId="26" w16cid:durableId="677971913">
    <w:abstractNumId w:val="28"/>
  </w:num>
  <w:num w:numId="27" w16cid:durableId="1302998130">
    <w:abstractNumId w:val="24"/>
  </w:num>
  <w:num w:numId="28" w16cid:durableId="894849016">
    <w:abstractNumId w:val="29"/>
  </w:num>
  <w:num w:numId="29" w16cid:durableId="949630972">
    <w:abstractNumId w:val="31"/>
  </w:num>
  <w:num w:numId="30" w16cid:durableId="1686205862">
    <w:abstractNumId w:val="43"/>
  </w:num>
  <w:num w:numId="31" w16cid:durableId="1290816034">
    <w:abstractNumId w:val="8"/>
  </w:num>
  <w:num w:numId="32" w16cid:durableId="184637190">
    <w:abstractNumId w:val="49"/>
  </w:num>
  <w:num w:numId="33" w16cid:durableId="352535628">
    <w:abstractNumId w:val="12"/>
  </w:num>
  <w:num w:numId="34" w16cid:durableId="1296716182">
    <w:abstractNumId w:val="40"/>
  </w:num>
  <w:num w:numId="35" w16cid:durableId="578096605">
    <w:abstractNumId w:val="35"/>
  </w:num>
  <w:num w:numId="36" w16cid:durableId="1806729005">
    <w:abstractNumId w:val="20"/>
  </w:num>
  <w:num w:numId="37" w16cid:durableId="2020157453">
    <w:abstractNumId w:val="48"/>
  </w:num>
  <w:num w:numId="38" w16cid:durableId="788552349">
    <w:abstractNumId w:val="17"/>
  </w:num>
  <w:num w:numId="39" w16cid:durableId="1001160231">
    <w:abstractNumId w:val="3"/>
  </w:num>
  <w:num w:numId="40" w16cid:durableId="383529825">
    <w:abstractNumId w:val="39"/>
  </w:num>
  <w:num w:numId="41" w16cid:durableId="2049602821">
    <w:abstractNumId w:val="6"/>
  </w:num>
  <w:num w:numId="42" w16cid:durableId="228460700">
    <w:abstractNumId w:val="23"/>
  </w:num>
  <w:num w:numId="43" w16cid:durableId="373508410">
    <w:abstractNumId w:val="34"/>
  </w:num>
  <w:num w:numId="44" w16cid:durableId="1347832031">
    <w:abstractNumId w:val="19"/>
  </w:num>
  <w:num w:numId="45" w16cid:durableId="1115714655">
    <w:abstractNumId w:val="27"/>
  </w:num>
  <w:num w:numId="46" w16cid:durableId="37171905">
    <w:abstractNumId w:val="45"/>
  </w:num>
  <w:num w:numId="47" w16cid:durableId="425730334">
    <w:abstractNumId w:val="44"/>
  </w:num>
  <w:num w:numId="48" w16cid:durableId="810944803">
    <w:abstractNumId w:val="46"/>
  </w:num>
  <w:num w:numId="49" w16cid:durableId="520243414">
    <w:abstractNumId w:val="16"/>
  </w:num>
  <w:num w:numId="50" w16cid:durableId="1188177580">
    <w:abstractNumId w:val="4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oNotHyphenateCaps/>
  <w:characterSpacingControl w:val="doNotCompress"/>
  <w:doNotValidateAgainstSchema/>
  <w:doNotDemarcateInvalidXml/>
  <w:hdrShapeDefaults>
    <o:shapedefaults v:ext="edit" spidmax="214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DE1"/>
    <w:rsid w:val="00005788"/>
    <w:rsid w:val="0000680C"/>
    <w:rsid w:val="00006966"/>
    <w:rsid w:val="00007B89"/>
    <w:rsid w:val="00010602"/>
    <w:rsid w:val="00010CF0"/>
    <w:rsid w:val="00010DB3"/>
    <w:rsid w:val="00012E8A"/>
    <w:rsid w:val="00013829"/>
    <w:rsid w:val="0001384B"/>
    <w:rsid w:val="00015C15"/>
    <w:rsid w:val="00016D6C"/>
    <w:rsid w:val="00017B78"/>
    <w:rsid w:val="00017E71"/>
    <w:rsid w:val="000219DB"/>
    <w:rsid w:val="00022972"/>
    <w:rsid w:val="00022B02"/>
    <w:rsid w:val="00023FCC"/>
    <w:rsid w:val="000248A5"/>
    <w:rsid w:val="00026020"/>
    <w:rsid w:val="00026125"/>
    <w:rsid w:val="00027E16"/>
    <w:rsid w:val="00030350"/>
    <w:rsid w:val="00034ED1"/>
    <w:rsid w:val="00035480"/>
    <w:rsid w:val="00035729"/>
    <w:rsid w:val="00037F74"/>
    <w:rsid w:val="00041DE1"/>
    <w:rsid w:val="00044742"/>
    <w:rsid w:val="00044CB3"/>
    <w:rsid w:val="00047DF3"/>
    <w:rsid w:val="0005046B"/>
    <w:rsid w:val="000505B1"/>
    <w:rsid w:val="00050D8B"/>
    <w:rsid w:val="00051679"/>
    <w:rsid w:val="0005167E"/>
    <w:rsid w:val="00051A64"/>
    <w:rsid w:val="000522BE"/>
    <w:rsid w:val="00052F45"/>
    <w:rsid w:val="0005314E"/>
    <w:rsid w:val="000535E4"/>
    <w:rsid w:val="00054BD9"/>
    <w:rsid w:val="00054F59"/>
    <w:rsid w:val="00055100"/>
    <w:rsid w:val="000553FC"/>
    <w:rsid w:val="0005597F"/>
    <w:rsid w:val="0005630E"/>
    <w:rsid w:val="0005651C"/>
    <w:rsid w:val="00060703"/>
    <w:rsid w:val="0006098E"/>
    <w:rsid w:val="00061865"/>
    <w:rsid w:val="00062631"/>
    <w:rsid w:val="00062B19"/>
    <w:rsid w:val="0006342A"/>
    <w:rsid w:val="00063C7D"/>
    <w:rsid w:val="0006628D"/>
    <w:rsid w:val="00067E77"/>
    <w:rsid w:val="00070CD5"/>
    <w:rsid w:val="0007170A"/>
    <w:rsid w:val="00072230"/>
    <w:rsid w:val="00073FA4"/>
    <w:rsid w:val="000740A7"/>
    <w:rsid w:val="00074141"/>
    <w:rsid w:val="0007527D"/>
    <w:rsid w:val="00075F4B"/>
    <w:rsid w:val="0007737D"/>
    <w:rsid w:val="00077633"/>
    <w:rsid w:val="00077A90"/>
    <w:rsid w:val="0008080E"/>
    <w:rsid w:val="00081EF6"/>
    <w:rsid w:val="0008211D"/>
    <w:rsid w:val="00082517"/>
    <w:rsid w:val="00082C69"/>
    <w:rsid w:val="000837A6"/>
    <w:rsid w:val="00083A18"/>
    <w:rsid w:val="00083C12"/>
    <w:rsid w:val="00084581"/>
    <w:rsid w:val="00084966"/>
    <w:rsid w:val="00087B85"/>
    <w:rsid w:val="00090126"/>
    <w:rsid w:val="0009258B"/>
    <w:rsid w:val="00092C1B"/>
    <w:rsid w:val="00093AC4"/>
    <w:rsid w:val="00094E0D"/>
    <w:rsid w:val="000958D7"/>
    <w:rsid w:val="00097951"/>
    <w:rsid w:val="000A303E"/>
    <w:rsid w:val="000A45D0"/>
    <w:rsid w:val="000A69FE"/>
    <w:rsid w:val="000B024D"/>
    <w:rsid w:val="000B179F"/>
    <w:rsid w:val="000B2472"/>
    <w:rsid w:val="000B4A20"/>
    <w:rsid w:val="000B6D7F"/>
    <w:rsid w:val="000B71F5"/>
    <w:rsid w:val="000B76FB"/>
    <w:rsid w:val="000C0FCC"/>
    <w:rsid w:val="000C1003"/>
    <w:rsid w:val="000C22FC"/>
    <w:rsid w:val="000C2DC4"/>
    <w:rsid w:val="000C3346"/>
    <w:rsid w:val="000C5923"/>
    <w:rsid w:val="000C70B3"/>
    <w:rsid w:val="000D0710"/>
    <w:rsid w:val="000D12F5"/>
    <w:rsid w:val="000D1860"/>
    <w:rsid w:val="000D48CD"/>
    <w:rsid w:val="000D5C09"/>
    <w:rsid w:val="000D6591"/>
    <w:rsid w:val="000D6F49"/>
    <w:rsid w:val="000E3AB2"/>
    <w:rsid w:val="000E512B"/>
    <w:rsid w:val="000E72C5"/>
    <w:rsid w:val="000E782F"/>
    <w:rsid w:val="000E7BF5"/>
    <w:rsid w:val="000F1868"/>
    <w:rsid w:val="000F1B59"/>
    <w:rsid w:val="000F2094"/>
    <w:rsid w:val="000F3045"/>
    <w:rsid w:val="000F44AA"/>
    <w:rsid w:val="000F4739"/>
    <w:rsid w:val="000F5731"/>
    <w:rsid w:val="000F5753"/>
    <w:rsid w:val="000F7340"/>
    <w:rsid w:val="000F7C28"/>
    <w:rsid w:val="001033B8"/>
    <w:rsid w:val="00104228"/>
    <w:rsid w:val="00105AD4"/>
    <w:rsid w:val="001069D2"/>
    <w:rsid w:val="00107DAE"/>
    <w:rsid w:val="00110C67"/>
    <w:rsid w:val="00113357"/>
    <w:rsid w:val="0011528C"/>
    <w:rsid w:val="001159A2"/>
    <w:rsid w:val="0011634F"/>
    <w:rsid w:val="001170D5"/>
    <w:rsid w:val="001220E6"/>
    <w:rsid w:val="00123F4F"/>
    <w:rsid w:val="001254B1"/>
    <w:rsid w:val="00127036"/>
    <w:rsid w:val="00130FEF"/>
    <w:rsid w:val="00131506"/>
    <w:rsid w:val="00132D96"/>
    <w:rsid w:val="00132E23"/>
    <w:rsid w:val="001365DA"/>
    <w:rsid w:val="00137597"/>
    <w:rsid w:val="001407D4"/>
    <w:rsid w:val="0014116B"/>
    <w:rsid w:val="00141977"/>
    <w:rsid w:val="00144124"/>
    <w:rsid w:val="0014467C"/>
    <w:rsid w:val="00144D90"/>
    <w:rsid w:val="00146070"/>
    <w:rsid w:val="0014770A"/>
    <w:rsid w:val="0014785B"/>
    <w:rsid w:val="0015006D"/>
    <w:rsid w:val="00151659"/>
    <w:rsid w:val="001535EC"/>
    <w:rsid w:val="00153A5E"/>
    <w:rsid w:val="00153E9A"/>
    <w:rsid w:val="00154903"/>
    <w:rsid w:val="00160931"/>
    <w:rsid w:val="00163092"/>
    <w:rsid w:val="001630D2"/>
    <w:rsid w:val="00163134"/>
    <w:rsid w:val="00163462"/>
    <w:rsid w:val="00163E48"/>
    <w:rsid w:val="001649CF"/>
    <w:rsid w:val="00164FC1"/>
    <w:rsid w:val="0016638D"/>
    <w:rsid w:val="00167D7C"/>
    <w:rsid w:val="00171C8C"/>
    <w:rsid w:val="00171E7F"/>
    <w:rsid w:val="00172DE9"/>
    <w:rsid w:val="001742BD"/>
    <w:rsid w:val="001751C1"/>
    <w:rsid w:val="00181475"/>
    <w:rsid w:val="00182381"/>
    <w:rsid w:val="001830E5"/>
    <w:rsid w:val="00183718"/>
    <w:rsid w:val="001837CD"/>
    <w:rsid w:val="001845C9"/>
    <w:rsid w:val="001900C3"/>
    <w:rsid w:val="001900CF"/>
    <w:rsid w:val="00190EAC"/>
    <w:rsid w:val="00191C02"/>
    <w:rsid w:val="00191E9F"/>
    <w:rsid w:val="001977B0"/>
    <w:rsid w:val="00197DE9"/>
    <w:rsid w:val="001A2CC1"/>
    <w:rsid w:val="001A3B18"/>
    <w:rsid w:val="001A50E0"/>
    <w:rsid w:val="001A6229"/>
    <w:rsid w:val="001A6403"/>
    <w:rsid w:val="001A6AFD"/>
    <w:rsid w:val="001A72D2"/>
    <w:rsid w:val="001B2D0E"/>
    <w:rsid w:val="001B52B9"/>
    <w:rsid w:val="001B6513"/>
    <w:rsid w:val="001C017F"/>
    <w:rsid w:val="001C1324"/>
    <w:rsid w:val="001C1B78"/>
    <w:rsid w:val="001C4F42"/>
    <w:rsid w:val="001D0164"/>
    <w:rsid w:val="001D1BF4"/>
    <w:rsid w:val="001D1D89"/>
    <w:rsid w:val="001D1FA4"/>
    <w:rsid w:val="001D2744"/>
    <w:rsid w:val="001D455B"/>
    <w:rsid w:val="001D47FB"/>
    <w:rsid w:val="001D6FF3"/>
    <w:rsid w:val="001D748F"/>
    <w:rsid w:val="001E0753"/>
    <w:rsid w:val="001E07A7"/>
    <w:rsid w:val="001E0B93"/>
    <w:rsid w:val="001E1505"/>
    <w:rsid w:val="001E172B"/>
    <w:rsid w:val="001E1C0F"/>
    <w:rsid w:val="001E285D"/>
    <w:rsid w:val="001E3565"/>
    <w:rsid w:val="001E36A5"/>
    <w:rsid w:val="001E5373"/>
    <w:rsid w:val="001E71A8"/>
    <w:rsid w:val="001E770F"/>
    <w:rsid w:val="001E7B15"/>
    <w:rsid w:val="001F25AA"/>
    <w:rsid w:val="001F3690"/>
    <w:rsid w:val="001F3B93"/>
    <w:rsid w:val="0020052F"/>
    <w:rsid w:val="002012EE"/>
    <w:rsid w:val="00201BB8"/>
    <w:rsid w:val="00201CF2"/>
    <w:rsid w:val="002023BA"/>
    <w:rsid w:val="00202632"/>
    <w:rsid w:val="002034BA"/>
    <w:rsid w:val="00204841"/>
    <w:rsid w:val="00205998"/>
    <w:rsid w:val="00205B71"/>
    <w:rsid w:val="002076C3"/>
    <w:rsid w:val="00207F9D"/>
    <w:rsid w:val="00211C97"/>
    <w:rsid w:val="002147CA"/>
    <w:rsid w:val="00215E57"/>
    <w:rsid w:val="00217124"/>
    <w:rsid w:val="00217D2C"/>
    <w:rsid w:val="00221472"/>
    <w:rsid w:val="00225548"/>
    <w:rsid w:val="00226073"/>
    <w:rsid w:val="00230473"/>
    <w:rsid w:val="00230E14"/>
    <w:rsid w:val="0023369D"/>
    <w:rsid w:val="0023373B"/>
    <w:rsid w:val="00234922"/>
    <w:rsid w:val="00234BC7"/>
    <w:rsid w:val="002404F0"/>
    <w:rsid w:val="00240A1C"/>
    <w:rsid w:val="00240C83"/>
    <w:rsid w:val="00243C56"/>
    <w:rsid w:val="00244006"/>
    <w:rsid w:val="00253ACA"/>
    <w:rsid w:val="00255A92"/>
    <w:rsid w:val="00256FDC"/>
    <w:rsid w:val="00260762"/>
    <w:rsid w:val="00262170"/>
    <w:rsid w:val="00262892"/>
    <w:rsid w:val="00262B47"/>
    <w:rsid w:val="00262BA4"/>
    <w:rsid w:val="00262C72"/>
    <w:rsid w:val="002630BF"/>
    <w:rsid w:val="00263A40"/>
    <w:rsid w:val="00266120"/>
    <w:rsid w:val="0026696A"/>
    <w:rsid w:val="0026734F"/>
    <w:rsid w:val="002701DA"/>
    <w:rsid w:val="002715EA"/>
    <w:rsid w:val="00273032"/>
    <w:rsid w:val="0027338A"/>
    <w:rsid w:val="00273984"/>
    <w:rsid w:val="00276011"/>
    <w:rsid w:val="0027637C"/>
    <w:rsid w:val="00276556"/>
    <w:rsid w:val="00277B95"/>
    <w:rsid w:val="00280045"/>
    <w:rsid w:val="002818D6"/>
    <w:rsid w:val="00281F00"/>
    <w:rsid w:val="002821F2"/>
    <w:rsid w:val="00282AE8"/>
    <w:rsid w:val="00282E9D"/>
    <w:rsid w:val="00283677"/>
    <w:rsid w:val="002848DB"/>
    <w:rsid w:val="00284E0F"/>
    <w:rsid w:val="00285545"/>
    <w:rsid w:val="002873FD"/>
    <w:rsid w:val="002904AE"/>
    <w:rsid w:val="002941DE"/>
    <w:rsid w:val="002944EA"/>
    <w:rsid w:val="00294851"/>
    <w:rsid w:val="00294853"/>
    <w:rsid w:val="00295A79"/>
    <w:rsid w:val="002966ED"/>
    <w:rsid w:val="0029694E"/>
    <w:rsid w:val="00296C1F"/>
    <w:rsid w:val="002A01B8"/>
    <w:rsid w:val="002A0248"/>
    <w:rsid w:val="002A118C"/>
    <w:rsid w:val="002A1A1D"/>
    <w:rsid w:val="002A29B5"/>
    <w:rsid w:val="002A29E1"/>
    <w:rsid w:val="002A2BA4"/>
    <w:rsid w:val="002A3BD5"/>
    <w:rsid w:val="002A3C27"/>
    <w:rsid w:val="002A6290"/>
    <w:rsid w:val="002A6C7E"/>
    <w:rsid w:val="002A714B"/>
    <w:rsid w:val="002B25DF"/>
    <w:rsid w:val="002B403B"/>
    <w:rsid w:val="002B553C"/>
    <w:rsid w:val="002B5A8E"/>
    <w:rsid w:val="002B6F6A"/>
    <w:rsid w:val="002C0830"/>
    <w:rsid w:val="002C084E"/>
    <w:rsid w:val="002C1E59"/>
    <w:rsid w:val="002C258E"/>
    <w:rsid w:val="002C4332"/>
    <w:rsid w:val="002C447A"/>
    <w:rsid w:val="002C5306"/>
    <w:rsid w:val="002C5540"/>
    <w:rsid w:val="002C5555"/>
    <w:rsid w:val="002C571C"/>
    <w:rsid w:val="002C5827"/>
    <w:rsid w:val="002C702B"/>
    <w:rsid w:val="002C73FC"/>
    <w:rsid w:val="002C78B6"/>
    <w:rsid w:val="002D1A0B"/>
    <w:rsid w:val="002D3451"/>
    <w:rsid w:val="002D36FB"/>
    <w:rsid w:val="002D4BD9"/>
    <w:rsid w:val="002D530B"/>
    <w:rsid w:val="002D6EE1"/>
    <w:rsid w:val="002E149A"/>
    <w:rsid w:val="002E2E9E"/>
    <w:rsid w:val="002E3249"/>
    <w:rsid w:val="002E46AA"/>
    <w:rsid w:val="002E6378"/>
    <w:rsid w:val="002E6E22"/>
    <w:rsid w:val="002E7155"/>
    <w:rsid w:val="002F320E"/>
    <w:rsid w:val="002F35CB"/>
    <w:rsid w:val="002F37D3"/>
    <w:rsid w:val="002F65A5"/>
    <w:rsid w:val="002F70E6"/>
    <w:rsid w:val="002F7276"/>
    <w:rsid w:val="002F77E5"/>
    <w:rsid w:val="0030051E"/>
    <w:rsid w:val="00300A06"/>
    <w:rsid w:val="00302058"/>
    <w:rsid w:val="00302991"/>
    <w:rsid w:val="003037CC"/>
    <w:rsid w:val="00304220"/>
    <w:rsid w:val="00304741"/>
    <w:rsid w:val="00304855"/>
    <w:rsid w:val="0030557F"/>
    <w:rsid w:val="00306B3A"/>
    <w:rsid w:val="00307813"/>
    <w:rsid w:val="003112AF"/>
    <w:rsid w:val="0031317B"/>
    <w:rsid w:val="003157D9"/>
    <w:rsid w:val="00316BBD"/>
    <w:rsid w:val="00323070"/>
    <w:rsid w:val="00324B8A"/>
    <w:rsid w:val="0032759E"/>
    <w:rsid w:val="00331431"/>
    <w:rsid w:val="00332A71"/>
    <w:rsid w:val="003337D9"/>
    <w:rsid w:val="00334599"/>
    <w:rsid w:val="00334A59"/>
    <w:rsid w:val="00335C5B"/>
    <w:rsid w:val="00337D06"/>
    <w:rsid w:val="00337F26"/>
    <w:rsid w:val="0034042B"/>
    <w:rsid w:val="003424CE"/>
    <w:rsid w:val="00342993"/>
    <w:rsid w:val="00343130"/>
    <w:rsid w:val="003437A8"/>
    <w:rsid w:val="00343890"/>
    <w:rsid w:val="0034473D"/>
    <w:rsid w:val="00345C8E"/>
    <w:rsid w:val="00345EC8"/>
    <w:rsid w:val="00346884"/>
    <w:rsid w:val="003468EF"/>
    <w:rsid w:val="00350347"/>
    <w:rsid w:val="00351B9D"/>
    <w:rsid w:val="00351EEB"/>
    <w:rsid w:val="00352AC5"/>
    <w:rsid w:val="00353CF8"/>
    <w:rsid w:val="00354472"/>
    <w:rsid w:val="00356890"/>
    <w:rsid w:val="003627C3"/>
    <w:rsid w:val="00363D22"/>
    <w:rsid w:val="003662EE"/>
    <w:rsid w:val="00366D54"/>
    <w:rsid w:val="00367996"/>
    <w:rsid w:val="00367BA4"/>
    <w:rsid w:val="00370AF0"/>
    <w:rsid w:val="00372B3F"/>
    <w:rsid w:val="00373129"/>
    <w:rsid w:val="003731E8"/>
    <w:rsid w:val="00374421"/>
    <w:rsid w:val="00374FC1"/>
    <w:rsid w:val="003753CF"/>
    <w:rsid w:val="003777BB"/>
    <w:rsid w:val="003812AF"/>
    <w:rsid w:val="003816C4"/>
    <w:rsid w:val="00382CC5"/>
    <w:rsid w:val="003830C4"/>
    <w:rsid w:val="003866DF"/>
    <w:rsid w:val="00386AAD"/>
    <w:rsid w:val="00386D58"/>
    <w:rsid w:val="0039084A"/>
    <w:rsid w:val="00390BE9"/>
    <w:rsid w:val="0039187A"/>
    <w:rsid w:val="00392404"/>
    <w:rsid w:val="00393690"/>
    <w:rsid w:val="003939D3"/>
    <w:rsid w:val="003963D8"/>
    <w:rsid w:val="00396BCB"/>
    <w:rsid w:val="003A23D5"/>
    <w:rsid w:val="003A2AFB"/>
    <w:rsid w:val="003A4333"/>
    <w:rsid w:val="003A5DBB"/>
    <w:rsid w:val="003B3400"/>
    <w:rsid w:val="003B3B9C"/>
    <w:rsid w:val="003B47F7"/>
    <w:rsid w:val="003B4BAF"/>
    <w:rsid w:val="003B4CFC"/>
    <w:rsid w:val="003B5208"/>
    <w:rsid w:val="003B647F"/>
    <w:rsid w:val="003B661D"/>
    <w:rsid w:val="003B6644"/>
    <w:rsid w:val="003C0279"/>
    <w:rsid w:val="003C038F"/>
    <w:rsid w:val="003C0630"/>
    <w:rsid w:val="003C08DB"/>
    <w:rsid w:val="003C09BC"/>
    <w:rsid w:val="003C138B"/>
    <w:rsid w:val="003C3100"/>
    <w:rsid w:val="003C348D"/>
    <w:rsid w:val="003C34C7"/>
    <w:rsid w:val="003C3987"/>
    <w:rsid w:val="003C4496"/>
    <w:rsid w:val="003C5D3F"/>
    <w:rsid w:val="003D0425"/>
    <w:rsid w:val="003D0B4B"/>
    <w:rsid w:val="003D10DF"/>
    <w:rsid w:val="003D4002"/>
    <w:rsid w:val="003D4988"/>
    <w:rsid w:val="003D49E4"/>
    <w:rsid w:val="003D4DE5"/>
    <w:rsid w:val="003D51C1"/>
    <w:rsid w:val="003D6333"/>
    <w:rsid w:val="003D67E8"/>
    <w:rsid w:val="003E0431"/>
    <w:rsid w:val="003E090C"/>
    <w:rsid w:val="003E13AF"/>
    <w:rsid w:val="003E26A2"/>
    <w:rsid w:val="003E2894"/>
    <w:rsid w:val="003E2E7B"/>
    <w:rsid w:val="003E3C18"/>
    <w:rsid w:val="003E43EA"/>
    <w:rsid w:val="003E4D43"/>
    <w:rsid w:val="003E52F2"/>
    <w:rsid w:val="003E68D8"/>
    <w:rsid w:val="003E7163"/>
    <w:rsid w:val="003E7365"/>
    <w:rsid w:val="003F1431"/>
    <w:rsid w:val="003F151E"/>
    <w:rsid w:val="003F16FF"/>
    <w:rsid w:val="003F1CBA"/>
    <w:rsid w:val="003F3272"/>
    <w:rsid w:val="003F472C"/>
    <w:rsid w:val="003F472F"/>
    <w:rsid w:val="003F4CEB"/>
    <w:rsid w:val="003F6399"/>
    <w:rsid w:val="003F69A8"/>
    <w:rsid w:val="003F6AF3"/>
    <w:rsid w:val="003F70E8"/>
    <w:rsid w:val="0040071B"/>
    <w:rsid w:val="00403A7E"/>
    <w:rsid w:val="004050AD"/>
    <w:rsid w:val="0041069D"/>
    <w:rsid w:val="004108ED"/>
    <w:rsid w:val="00410C14"/>
    <w:rsid w:val="00411D5E"/>
    <w:rsid w:val="004129FE"/>
    <w:rsid w:val="0041414E"/>
    <w:rsid w:val="004160D8"/>
    <w:rsid w:val="00416A93"/>
    <w:rsid w:val="00416C83"/>
    <w:rsid w:val="00417CCF"/>
    <w:rsid w:val="00417CD3"/>
    <w:rsid w:val="00420829"/>
    <w:rsid w:val="004211B1"/>
    <w:rsid w:val="004227A9"/>
    <w:rsid w:val="00422E15"/>
    <w:rsid w:val="00430892"/>
    <w:rsid w:val="0043189E"/>
    <w:rsid w:val="0043335D"/>
    <w:rsid w:val="0043418D"/>
    <w:rsid w:val="004343E9"/>
    <w:rsid w:val="00434D21"/>
    <w:rsid w:val="00434EB6"/>
    <w:rsid w:val="00434FBD"/>
    <w:rsid w:val="00435320"/>
    <w:rsid w:val="004370A8"/>
    <w:rsid w:val="00437A34"/>
    <w:rsid w:val="00437FB8"/>
    <w:rsid w:val="00441778"/>
    <w:rsid w:val="004423A9"/>
    <w:rsid w:val="00442544"/>
    <w:rsid w:val="00443BC9"/>
    <w:rsid w:val="00443CE1"/>
    <w:rsid w:val="0045133B"/>
    <w:rsid w:val="00451971"/>
    <w:rsid w:val="004522C2"/>
    <w:rsid w:val="00453586"/>
    <w:rsid w:val="00457EC3"/>
    <w:rsid w:val="00460F24"/>
    <w:rsid w:val="00461E76"/>
    <w:rsid w:val="00462CC7"/>
    <w:rsid w:val="004640BE"/>
    <w:rsid w:val="00464E2C"/>
    <w:rsid w:val="00465243"/>
    <w:rsid w:val="00466ABB"/>
    <w:rsid w:val="00471A2A"/>
    <w:rsid w:val="004733FA"/>
    <w:rsid w:val="00474F73"/>
    <w:rsid w:val="0047638D"/>
    <w:rsid w:val="00476D06"/>
    <w:rsid w:val="00481082"/>
    <w:rsid w:val="00483E50"/>
    <w:rsid w:val="004843A1"/>
    <w:rsid w:val="00484DA4"/>
    <w:rsid w:val="00485AC9"/>
    <w:rsid w:val="00493474"/>
    <w:rsid w:val="00493B98"/>
    <w:rsid w:val="00493D39"/>
    <w:rsid w:val="004944DF"/>
    <w:rsid w:val="00496246"/>
    <w:rsid w:val="004A0224"/>
    <w:rsid w:val="004A1B13"/>
    <w:rsid w:val="004A329C"/>
    <w:rsid w:val="004A3A97"/>
    <w:rsid w:val="004B07C5"/>
    <w:rsid w:val="004B2309"/>
    <w:rsid w:val="004B27E1"/>
    <w:rsid w:val="004B36CB"/>
    <w:rsid w:val="004B3882"/>
    <w:rsid w:val="004B4C77"/>
    <w:rsid w:val="004B5744"/>
    <w:rsid w:val="004B6B75"/>
    <w:rsid w:val="004B7E5D"/>
    <w:rsid w:val="004C0701"/>
    <w:rsid w:val="004C0EB2"/>
    <w:rsid w:val="004C1073"/>
    <w:rsid w:val="004C1CF1"/>
    <w:rsid w:val="004C23BE"/>
    <w:rsid w:val="004C3971"/>
    <w:rsid w:val="004C6C77"/>
    <w:rsid w:val="004C7802"/>
    <w:rsid w:val="004D1707"/>
    <w:rsid w:val="004D18AA"/>
    <w:rsid w:val="004D466B"/>
    <w:rsid w:val="004D51D2"/>
    <w:rsid w:val="004D6AD6"/>
    <w:rsid w:val="004D7283"/>
    <w:rsid w:val="004D7ED6"/>
    <w:rsid w:val="004E25D6"/>
    <w:rsid w:val="004E31C1"/>
    <w:rsid w:val="004E31E9"/>
    <w:rsid w:val="004E3A81"/>
    <w:rsid w:val="004E4485"/>
    <w:rsid w:val="004E64A0"/>
    <w:rsid w:val="004E68A7"/>
    <w:rsid w:val="004E707A"/>
    <w:rsid w:val="004F1C4B"/>
    <w:rsid w:val="004F31E1"/>
    <w:rsid w:val="004F3FBC"/>
    <w:rsid w:val="004F41BC"/>
    <w:rsid w:val="004F4440"/>
    <w:rsid w:val="004F5D14"/>
    <w:rsid w:val="005005BC"/>
    <w:rsid w:val="00500E21"/>
    <w:rsid w:val="00502BA8"/>
    <w:rsid w:val="00502E9F"/>
    <w:rsid w:val="0050301F"/>
    <w:rsid w:val="0050338F"/>
    <w:rsid w:val="005037DF"/>
    <w:rsid w:val="00504A9C"/>
    <w:rsid w:val="00506EE3"/>
    <w:rsid w:val="005073BF"/>
    <w:rsid w:val="0051067E"/>
    <w:rsid w:val="005111B4"/>
    <w:rsid w:val="00511E99"/>
    <w:rsid w:val="00513617"/>
    <w:rsid w:val="00513BB9"/>
    <w:rsid w:val="00513D25"/>
    <w:rsid w:val="00514A51"/>
    <w:rsid w:val="005156EC"/>
    <w:rsid w:val="00516624"/>
    <w:rsid w:val="00516B6E"/>
    <w:rsid w:val="005178BB"/>
    <w:rsid w:val="00517E82"/>
    <w:rsid w:val="00520B2F"/>
    <w:rsid w:val="00520EA4"/>
    <w:rsid w:val="00522270"/>
    <w:rsid w:val="005232B3"/>
    <w:rsid w:val="00523478"/>
    <w:rsid w:val="005240A6"/>
    <w:rsid w:val="00526E27"/>
    <w:rsid w:val="005300E5"/>
    <w:rsid w:val="0053216D"/>
    <w:rsid w:val="00534C9C"/>
    <w:rsid w:val="005363FF"/>
    <w:rsid w:val="005367D1"/>
    <w:rsid w:val="00536BB6"/>
    <w:rsid w:val="0054118B"/>
    <w:rsid w:val="0054142E"/>
    <w:rsid w:val="00541C07"/>
    <w:rsid w:val="00541D97"/>
    <w:rsid w:val="005422EC"/>
    <w:rsid w:val="0054251D"/>
    <w:rsid w:val="00542E53"/>
    <w:rsid w:val="00546C7B"/>
    <w:rsid w:val="00546D34"/>
    <w:rsid w:val="00547086"/>
    <w:rsid w:val="00547922"/>
    <w:rsid w:val="005510AC"/>
    <w:rsid w:val="0055176C"/>
    <w:rsid w:val="00551895"/>
    <w:rsid w:val="00552094"/>
    <w:rsid w:val="005523AC"/>
    <w:rsid w:val="00552DE3"/>
    <w:rsid w:val="005534CD"/>
    <w:rsid w:val="00553737"/>
    <w:rsid w:val="00553BDD"/>
    <w:rsid w:val="00554404"/>
    <w:rsid w:val="0055449C"/>
    <w:rsid w:val="00556707"/>
    <w:rsid w:val="00556C12"/>
    <w:rsid w:val="00556FB1"/>
    <w:rsid w:val="0056143B"/>
    <w:rsid w:val="005631AF"/>
    <w:rsid w:val="00564EC7"/>
    <w:rsid w:val="0056543E"/>
    <w:rsid w:val="0056630F"/>
    <w:rsid w:val="0056772C"/>
    <w:rsid w:val="005703E7"/>
    <w:rsid w:val="00570472"/>
    <w:rsid w:val="005718C2"/>
    <w:rsid w:val="00571977"/>
    <w:rsid w:val="00572809"/>
    <w:rsid w:val="00572B96"/>
    <w:rsid w:val="00573583"/>
    <w:rsid w:val="005737F0"/>
    <w:rsid w:val="00573A5C"/>
    <w:rsid w:val="00573BBC"/>
    <w:rsid w:val="00574D64"/>
    <w:rsid w:val="00575872"/>
    <w:rsid w:val="00576169"/>
    <w:rsid w:val="005765B6"/>
    <w:rsid w:val="00577D69"/>
    <w:rsid w:val="005802B3"/>
    <w:rsid w:val="00580825"/>
    <w:rsid w:val="005825B5"/>
    <w:rsid w:val="005826A7"/>
    <w:rsid w:val="00584E85"/>
    <w:rsid w:val="0058552F"/>
    <w:rsid w:val="005863FE"/>
    <w:rsid w:val="00586601"/>
    <w:rsid w:val="005866CD"/>
    <w:rsid w:val="00586DB8"/>
    <w:rsid w:val="0058730D"/>
    <w:rsid w:val="0058779E"/>
    <w:rsid w:val="00591EE9"/>
    <w:rsid w:val="00591FF9"/>
    <w:rsid w:val="005936F9"/>
    <w:rsid w:val="00593AF3"/>
    <w:rsid w:val="005969AD"/>
    <w:rsid w:val="005A0937"/>
    <w:rsid w:val="005A0BB9"/>
    <w:rsid w:val="005A0FC3"/>
    <w:rsid w:val="005A215C"/>
    <w:rsid w:val="005A25B6"/>
    <w:rsid w:val="005A2C5C"/>
    <w:rsid w:val="005A3DB1"/>
    <w:rsid w:val="005A4383"/>
    <w:rsid w:val="005A475E"/>
    <w:rsid w:val="005A499F"/>
    <w:rsid w:val="005A5523"/>
    <w:rsid w:val="005A5FEC"/>
    <w:rsid w:val="005A6D6A"/>
    <w:rsid w:val="005A6D9F"/>
    <w:rsid w:val="005B65F9"/>
    <w:rsid w:val="005C0021"/>
    <w:rsid w:val="005C003E"/>
    <w:rsid w:val="005C41DF"/>
    <w:rsid w:val="005C6831"/>
    <w:rsid w:val="005C7235"/>
    <w:rsid w:val="005C79EF"/>
    <w:rsid w:val="005C7AC1"/>
    <w:rsid w:val="005D07AD"/>
    <w:rsid w:val="005D0911"/>
    <w:rsid w:val="005D1152"/>
    <w:rsid w:val="005D3133"/>
    <w:rsid w:val="005D5A9A"/>
    <w:rsid w:val="005D737C"/>
    <w:rsid w:val="005E26AB"/>
    <w:rsid w:val="005E2FD6"/>
    <w:rsid w:val="005E39A3"/>
    <w:rsid w:val="005E4EAC"/>
    <w:rsid w:val="005F0CF7"/>
    <w:rsid w:val="005F0DC3"/>
    <w:rsid w:val="005F64CA"/>
    <w:rsid w:val="00600F96"/>
    <w:rsid w:val="00604B62"/>
    <w:rsid w:val="00604D12"/>
    <w:rsid w:val="00604EC4"/>
    <w:rsid w:val="0060546F"/>
    <w:rsid w:val="0060591A"/>
    <w:rsid w:val="006068E0"/>
    <w:rsid w:val="00607304"/>
    <w:rsid w:val="00607E09"/>
    <w:rsid w:val="00610409"/>
    <w:rsid w:val="00615636"/>
    <w:rsid w:val="0061598F"/>
    <w:rsid w:val="00616179"/>
    <w:rsid w:val="00617060"/>
    <w:rsid w:val="00622CC3"/>
    <w:rsid w:val="006238E6"/>
    <w:rsid w:val="00624CD4"/>
    <w:rsid w:val="00624DE0"/>
    <w:rsid w:val="0062510B"/>
    <w:rsid w:val="006253F0"/>
    <w:rsid w:val="0062764C"/>
    <w:rsid w:val="00627F87"/>
    <w:rsid w:val="00631095"/>
    <w:rsid w:val="0063184B"/>
    <w:rsid w:val="00631FDB"/>
    <w:rsid w:val="00634C09"/>
    <w:rsid w:val="00635A01"/>
    <w:rsid w:val="00636596"/>
    <w:rsid w:val="0063685D"/>
    <w:rsid w:val="00637D3C"/>
    <w:rsid w:val="00640469"/>
    <w:rsid w:val="00640534"/>
    <w:rsid w:val="0064185D"/>
    <w:rsid w:val="006421AF"/>
    <w:rsid w:val="00643DE1"/>
    <w:rsid w:val="00643FD7"/>
    <w:rsid w:val="00644CF4"/>
    <w:rsid w:val="00647FC4"/>
    <w:rsid w:val="0065105A"/>
    <w:rsid w:val="00652046"/>
    <w:rsid w:val="00652ED7"/>
    <w:rsid w:val="00654AB5"/>
    <w:rsid w:val="00654FB0"/>
    <w:rsid w:val="006562B8"/>
    <w:rsid w:val="006568BD"/>
    <w:rsid w:val="00657E1D"/>
    <w:rsid w:val="00660A8D"/>
    <w:rsid w:val="00661FA6"/>
    <w:rsid w:val="006628C2"/>
    <w:rsid w:val="006630D2"/>
    <w:rsid w:val="00663289"/>
    <w:rsid w:val="006632C1"/>
    <w:rsid w:val="006652AA"/>
    <w:rsid w:val="00666385"/>
    <w:rsid w:val="00666DD8"/>
    <w:rsid w:val="00673D6A"/>
    <w:rsid w:val="00674710"/>
    <w:rsid w:val="00674BB4"/>
    <w:rsid w:val="00677681"/>
    <w:rsid w:val="00677FB2"/>
    <w:rsid w:val="0068029E"/>
    <w:rsid w:val="006824D0"/>
    <w:rsid w:val="00682989"/>
    <w:rsid w:val="0068395F"/>
    <w:rsid w:val="00684777"/>
    <w:rsid w:val="006862F1"/>
    <w:rsid w:val="00692407"/>
    <w:rsid w:val="00693430"/>
    <w:rsid w:val="006948F7"/>
    <w:rsid w:val="00694AA0"/>
    <w:rsid w:val="00694DEF"/>
    <w:rsid w:val="00696D25"/>
    <w:rsid w:val="006A0055"/>
    <w:rsid w:val="006A01FD"/>
    <w:rsid w:val="006A0510"/>
    <w:rsid w:val="006A193A"/>
    <w:rsid w:val="006A3812"/>
    <w:rsid w:val="006A4325"/>
    <w:rsid w:val="006A5FF0"/>
    <w:rsid w:val="006B0FAE"/>
    <w:rsid w:val="006B2701"/>
    <w:rsid w:val="006B5B9D"/>
    <w:rsid w:val="006B791D"/>
    <w:rsid w:val="006B79C8"/>
    <w:rsid w:val="006C2931"/>
    <w:rsid w:val="006C314B"/>
    <w:rsid w:val="006C31C7"/>
    <w:rsid w:val="006C6746"/>
    <w:rsid w:val="006C705B"/>
    <w:rsid w:val="006D037D"/>
    <w:rsid w:val="006D37D7"/>
    <w:rsid w:val="006D3CC8"/>
    <w:rsid w:val="006D513B"/>
    <w:rsid w:val="006D5170"/>
    <w:rsid w:val="006D6119"/>
    <w:rsid w:val="006D628B"/>
    <w:rsid w:val="006D6C79"/>
    <w:rsid w:val="006E01F3"/>
    <w:rsid w:val="006E5056"/>
    <w:rsid w:val="006E788A"/>
    <w:rsid w:val="006F1B88"/>
    <w:rsid w:val="006F2701"/>
    <w:rsid w:val="006F30AE"/>
    <w:rsid w:val="006F4855"/>
    <w:rsid w:val="006F5766"/>
    <w:rsid w:val="006F6549"/>
    <w:rsid w:val="00701544"/>
    <w:rsid w:val="00703C4B"/>
    <w:rsid w:val="00703F56"/>
    <w:rsid w:val="007061E1"/>
    <w:rsid w:val="007062AC"/>
    <w:rsid w:val="00706E80"/>
    <w:rsid w:val="007071C6"/>
    <w:rsid w:val="007078AF"/>
    <w:rsid w:val="007109DB"/>
    <w:rsid w:val="007120CE"/>
    <w:rsid w:val="00712209"/>
    <w:rsid w:val="0071274A"/>
    <w:rsid w:val="00712F33"/>
    <w:rsid w:val="0071424B"/>
    <w:rsid w:val="00716339"/>
    <w:rsid w:val="00717D50"/>
    <w:rsid w:val="00720008"/>
    <w:rsid w:val="007204F4"/>
    <w:rsid w:val="00720A3E"/>
    <w:rsid w:val="00720B0C"/>
    <w:rsid w:val="00720BF8"/>
    <w:rsid w:val="0072190B"/>
    <w:rsid w:val="00723A1C"/>
    <w:rsid w:val="00724743"/>
    <w:rsid w:val="0072589A"/>
    <w:rsid w:val="0072589C"/>
    <w:rsid w:val="00725A3F"/>
    <w:rsid w:val="007272EB"/>
    <w:rsid w:val="007303CE"/>
    <w:rsid w:val="007303EF"/>
    <w:rsid w:val="00731317"/>
    <w:rsid w:val="00734BD3"/>
    <w:rsid w:val="0073616C"/>
    <w:rsid w:val="007377C9"/>
    <w:rsid w:val="00737FC2"/>
    <w:rsid w:val="00742F48"/>
    <w:rsid w:val="0074422E"/>
    <w:rsid w:val="00745C5F"/>
    <w:rsid w:val="00746984"/>
    <w:rsid w:val="007471C1"/>
    <w:rsid w:val="00752191"/>
    <w:rsid w:val="00754094"/>
    <w:rsid w:val="007543F4"/>
    <w:rsid w:val="0075751A"/>
    <w:rsid w:val="007615C9"/>
    <w:rsid w:val="007615F8"/>
    <w:rsid w:val="007619C6"/>
    <w:rsid w:val="007627AF"/>
    <w:rsid w:val="007630DB"/>
    <w:rsid w:val="00763CE5"/>
    <w:rsid w:val="007643C5"/>
    <w:rsid w:val="00764877"/>
    <w:rsid w:val="0076713B"/>
    <w:rsid w:val="00767359"/>
    <w:rsid w:val="0077021C"/>
    <w:rsid w:val="00770FAF"/>
    <w:rsid w:val="00771321"/>
    <w:rsid w:val="007713EB"/>
    <w:rsid w:val="00772DEE"/>
    <w:rsid w:val="00773C86"/>
    <w:rsid w:val="00773CC8"/>
    <w:rsid w:val="007753CB"/>
    <w:rsid w:val="007774FD"/>
    <w:rsid w:val="00777D40"/>
    <w:rsid w:val="007802F4"/>
    <w:rsid w:val="00782C09"/>
    <w:rsid w:val="0078345B"/>
    <w:rsid w:val="00783633"/>
    <w:rsid w:val="00784CC9"/>
    <w:rsid w:val="00785389"/>
    <w:rsid w:val="00785C89"/>
    <w:rsid w:val="00786218"/>
    <w:rsid w:val="00790E49"/>
    <w:rsid w:val="0079130C"/>
    <w:rsid w:val="00791BC6"/>
    <w:rsid w:val="00793E44"/>
    <w:rsid w:val="007940A0"/>
    <w:rsid w:val="007966E7"/>
    <w:rsid w:val="007A00BC"/>
    <w:rsid w:val="007A02D7"/>
    <w:rsid w:val="007A0E09"/>
    <w:rsid w:val="007A1172"/>
    <w:rsid w:val="007A11FE"/>
    <w:rsid w:val="007A15FD"/>
    <w:rsid w:val="007A1DD9"/>
    <w:rsid w:val="007A3020"/>
    <w:rsid w:val="007A3124"/>
    <w:rsid w:val="007A4245"/>
    <w:rsid w:val="007A4FDC"/>
    <w:rsid w:val="007A514D"/>
    <w:rsid w:val="007A515E"/>
    <w:rsid w:val="007A6AF7"/>
    <w:rsid w:val="007A7197"/>
    <w:rsid w:val="007B19C7"/>
    <w:rsid w:val="007B24E0"/>
    <w:rsid w:val="007B2519"/>
    <w:rsid w:val="007B4790"/>
    <w:rsid w:val="007B5A68"/>
    <w:rsid w:val="007B5D6D"/>
    <w:rsid w:val="007B5DCC"/>
    <w:rsid w:val="007C0BCC"/>
    <w:rsid w:val="007C1A84"/>
    <w:rsid w:val="007C249D"/>
    <w:rsid w:val="007C3F66"/>
    <w:rsid w:val="007C4713"/>
    <w:rsid w:val="007C66C4"/>
    <w:rsid w:val="007C7F9A"/>
    <w:rsid w:val="007D23D6"/>
    <w:rsid w:val="007D268E"/>
    <w:rsid w:val="007D3008"/>
    <w:rsid w:val="007D4CA5"/>
    <w:rsid w:val="007D52C8"/>
    <w:rsid w:val="007D5E1C"/>
    <w:rsid w:val="007D6900"/>
    <w:rsid w:val="007D7230"/>
    <w:rsid w:val="007E0013"/>
    <w:rsid w:val="007E2643"/>
    <w:rsid w:val="007E3155"/>
    <w:rsid w:val="007E415D"/>
    <w:rsid w:val="007E498B"/>
    <w:rsid w:val="007E711E"/>
    <w:rsid w:val="007F0818"/>
    <w:rsid w:val="007F38A5"/>
    <w:rsid w:val="007F5604"/>
    <w:rsid w:val="007F5715"/>
    <w:rsid w:val="007F5789"/>
    <w:rsid w:val="007F6504"/>
    <w:rsid w:val="00801827"/>
    <w:rsid w:val="0080212B"/>
    <w:rsid w:val="00802EF0"/>
    <w:rsid w:val="00803633"/>
    <w:rsid w:val="008037BE"/>
    <w:rsid w:val="00803A5E"/>
    <w:rsid w:val="008044D1"/>
    <w:rsid w:val="00804B4A"/>
    <w:rsid w:val="00805A5C"/>
    <w:rsid w:val="00805DDD"/>
    <w:rsid w:val="0080671B"/>
    <w:rsid w:val="00806CE4"/>
    <w:rsid w:val="00807A2E"/>
    <w:rsid w:val="008109E6"/>
    <w:rsid w:val="008119D7"/>
    <w:rsid w:val="008122A6"/>
    <w:rsid w:val="008132F3"/>
    <w:rsid w:val="008135E9"/>
    <w:rsid w:val="0081648A"/>
    <w:rsid w:val="008168DE"/>
    <w:rsid w:val="0081772A"/>
    <w:rsid w:val="00820BD7"/>
    <w:rsid w:val="00822810"/>
    <w:rsid w:val="008231B5"/>
    <w:rsid w:val="0082361C"/>
    <w:rsid w:val="00823CA3"/>
    <w:rsid w:val="00824174"/>
    <w:rsid w:val="008256D5"/>
    <w:rsid w:val="00825B99"/>
    <w:rsid w:val="00826037"/>
    <w:rsid w:val="00827E3F"/>
    <w:rsid w:val="0083061A"/>
    <w:rsid w:val="00830A07"/>
    <w:rsid w:val="008322CB"/>
    <w:rsid w:val="00832DE6"/>
    <w:rsid w:val="00832EEB"/>
    <w:rsid w:val="00833036"/>
    <w:rsid w:val="008335A4"/>
    <w:rsid w:val="00833E7C"/>
    <w:rsid w:val="0084171F"/>
    <w:rsid w:val="00841EAA"/>
    <w:rsid w:val="00843D37"/>
    <w:rsid w:val="00844659"/>
    <w:rsid w:val="00845038"/>
    <w:rsid w:val="00845851"/>
    <w:rsid w:val="00846506"/>
    <w:rsid w:val="00846918"/>
    <w:rsid w:val="00850395"/>
    <w:rsid w:val="00852710"/>
    <w:rsid w:val="00853F30"/>
    <w:rsid w:val="00855135"/>
    <w:rsid w:val="00856356"/>
    <w:rsid w:val="008569E0"/>
    <w:rsid w:val="00860C0E"/>
    <w:rsid w:val="00860D07"/>
    <w:rsid w:val="008619A4"/>
    <w:rsid w:val="00862763"/>
    <w:rsid w:val="00862C06"/>
    <w:rsid w:val="00866586"/>
    <w:rsid w:val="00867DD5"/>
    <w:rsid w:val="008713CC"/>
    <w:rsid w:val="00873E24"/>
    <w:rsid w:val="008740DA"/>
    <w:rsid w:val="008745BB"/>
    <w:rsid w:val="00874E71"/>
    <w:rsid w:val="00875EBA"/>
    <w:rsid w:val="00880933"/>
    <w:rsid w:val="00884FA2"/>
    <w:rsid w:val="00885F52"/>
    <w:rsid w:val="00886CA2"/>
    <w:rsid w:val="008900C1"/>
    <w:rsid w:val="008910DD"/>
    <w:rsid w:val="0089168A"/>
    <w:rsid w:val="008924AC"/>
    <w:rsid w:val="008928EC"/>
    <w:rsid w:val="00892CC7"/>
    <w:rsid w:val="00892F51"/>
    <w:rsid w:val="00893B6A"/>
    <w:rsid w:val="00893CC1"/>
    <w:rsid w:val="00895BA5"/>
    <w:rsid w:val="008A0221"/>
    <w:rsid w:val="008A03F3"/>
    <w:rsid w:val="008A0698"/>
    <w:rsid w:val="008A32F5"/>
    <w:rsid w:val="008A3CE4"/>
    <w:rsid w:val="008A4135"/>
    <w:rsid w:val="008B022D"/>
    <w:rsid w:val="008B06AB"/>
    <w:rsid w:val="008B1879"/>
    <w:rsid w:val="008B2048"/>
    <w:rsid w:val="008B46D1"/>
    <w:rsid w:val="008B577E"/>
    <w:rsid w:val="008B6203"/>
    <w:rsid w:val="008C03B1"/>
    <w:rsid w:val="008C09DA"/>
    <w:rsid w:val="008C1050"/>
    <w:rsid w:val="008C133B"/>
    <w:rsid w:val="008C1397"/>
    <w:rsid w:val="008C257A"/>
    <w:rsid w:val="008C3241"/>
    <w:rsid w:val="008C458A"/>
    <w:rsid w:val="008C4F5B"/>
    <w:rsid w:val="008C5B97"/>
    <w:rsid w:val="008C7589"/>
    <w:rsid w:val="008D1A71"/>
    <w:rsid w:val="008D1CD5"/>
    <w:rsid w:val="008D1DB1"/>
    <w:rsid w:val="008D1F40"/>
    <w:rsid w:val="008D20F9"/>
    <w:rsid w:val="008D27AC"/>
    <w:rsid w:val="008D3916"/>
    <w:rsid w:val="008D57AD"/>
    <w:rsid w:val="008D5896"/>
    <w:rsid w:val="008D5E37"/>
    <w:rsid w:val="008E12A3"/>
    <w:rsid w:val="008E1769"/>
    <w:rsid w:val="008E1904"/>
    <w:rsid w:val="008E3658"/>
    <w:rsid w:val="008E425E"/>
    <w:rsid w:val="008E51E2"/>
    <w:rsid w:val="008F19A8"/>
    <w:rsid w:val="008F1F4E"/>
    <w:rsid w:val="008F47C6"/>
    <w:rsid w:val="008F4AD7"/>
    <w:rsid w:val="008F532E"/>
    <w:rsid w:val="0090307D"/>
    <w:rsid w:val="00903717"/>
    <w:rsid w:val="00903964"/>
    <w:rsid w:val="009056ED"/>
    <w:rsid w:val="00905D48"/>
    <w:rsid w:val="0090677D"/>
    <w:rsid w:val="00910DCD"/>
    <w:rsid w:val="00913145"/>
    <w:rsid w:val="00913548"/>
    <w:rsid w:val="00913F1F"/>
    <w:rsid w:val="009142C4"/>
    <w:rsid w:val="009142D0"/>
    <w:rsid w:val="00915322"/>
    <w:rsid w:val="009172D6"/>
    <w:rsid w:val="00917C9B"/>
    <w:rsid w:val="00920F79"/>
    <w:rsid w:val="009238C5"/>
    <w:rsid w:val="0092673E"/>
    <w:rsid w:val="009270D4"/>
    <w:rsid w:val="00927D8C"/>
    <w:rsid w:val="0093095C"/>
    <w:rsid w:val="00930F04"/>
    <w:rsid w:val="009312A9"/>
    <w:rsid w:val="009323E6"/>
    <w:rsid w:val="0093289E"/>
    <w:rsid w:val="00933191"/>
    <w:rsid w:val="009331AA"/>
    <w:rsid w:val="00934042"/>
    <w:rsid w:val="0093504D"/>
    <w:rsid w:val="00940E00"/>
    <w:rsid w:val="0094188D"/>
    <w:rsid w:val="00943E22"/>
    <w:rsid w:val="009455D8"/>
    <w:rsid w:val="00946337"/>
    <w:rsid w:val="00950317"/>
    <w:rsid w:val="00950DC0"/>
    <w:rsid w:val="00950E3B"/>
    <w:rsid w:val="00950EDF"/>
    <w:rsid w:val="0095177D"/>
    <w:rsid w:val="00952159"/>
    <w:rsid w:val="009535E8"/>
    <w:rsid w:val="009539B5"/>
    <w:rsid w:val="0095638D"/>
    <w:rsid w:val="00956F7F"/>
    <w:rsid w:val="009572AA"/>
    <w:rsid w:val="00960009"/>
    <w:rsid w:val="0096009A"/>
    <w:rsid w:val="009600D8"/>
    <w:rsid w:val="00960432"/>
    <w:rsid w:val="00960CC2"/>
    <w:rsid w:val="00960CD4"/>
    <w:rsid w:val="00961C1C"/>
    <w:rsid w:val="00962FD2"/>
    <w:rsid w:val="0096379F"/>
    <w:rsid w:val="009656CF"/>
    <w:rsid w:val="009666DC"/>
    <w:rsid w:val="00971156"/>
    <w:rsid w:val="0097122F"/>
    <w:rsid w:val="0097221D"/>
    <w:rsid w:val="009722F6"/>
    <w:rsid w:val="009727EE"/>
    <w:rsid w:val="009736D5"/>
    <w:rsid w:val="009740D8"/>
    <w:rsid w:val="00975135"/>
    <w:rsid w:val="009751CD"/>
    <w:rsid w:val="00977242"/>
    <w:rsid w:val="00977373"/>
    <w:rsid w:val="009812AC"/>
    <w:rsid w:val="009815A8"/>
    <w:rsid w:val="009818F8"/>
    <w:rsid w:val="00983301"/>
    <w:rsid w:val="0098698F"/>
    <w:rsid w:val="00986B5D"/>
    <w:rsid w:val="0099077F"/>
    <w:rsid w:val="00990AE3"/>
    <w:rsid w:val="00990FAD"/>
    <w:rsid w:val="00991A86"/>
    <w:rsid w:val="009A0897"/>
    <w:rsid w:val="009A15AF"/>
    <w:rsid w:val="009A37E0"/>
    <w:rsid w:val="009A38F0"/>
    <w:rsid w:val="009A680D"/>
    <w:rsid w:val="009B2F65"/>
    <w:rsid w:val="009B5589"/>
    <w:rsid w:val="009B6398"/>
    <w:rsid w:val="009B6525"/>
    <w:rsid w:val="009B6803"/>
    <w:rsid w:val="009B68D5"/>
    <w:rsid w:val="009B6DCB"/>
    <w:rsid w:val="009B7B67"/>
    <w:rsid w:val="009C156D"/>
    <w:rsid w:val="009C1ECB"/>
    <w:rsid w:val="009C3BE7"/>
    <w:rsid w:val="009D0626"/>
    <w:rsid w:val="009D08E9"/>
    <w:rsid w:val="009D0C7D"/>
    <w:rsid w:val="009D1364"/>
    <w:rsid w:val="009D1E36"/>
    <w:rsid w:val="009D20B0"/>
    <w:rsid w:val="009D2613"/>
    <w:rsid w:val="009D276F"/>
    <w:rsid w:val="009D2AE0"/>
    <w:rsid w:val="009D2FD6"/>
    <w:rsid w:val="009D4923"/>
    <w:rsid w:val="009D4C82"/>
    <w:rsid w:val="009D6E0D"/>
    <w:rsid w:val="009E0955"/>
    <w:rsid w:val="009E0DA4"/>
    <w:rsid w:val="009E3C8E"/>
    <w:rsid w:val="009E6565"/>
    <w:rsid w:val="009E698B"/>
    <w:rsid w:val="009E76C6"/>
    <w:rsid w:val="009F064D"/>
    <w:rsid w:val="009F118D"/>
    <w:rsid w:val="009F2B69"/>
    <w:rsid w:val="009F3326"/>
    <w:rsid w:val="009F357F"/>
    <w:rsid w:val="009F42C8"/>
    <w:rsid w:val="009F623A"/>
    <w:rsid w:val="009F6439"/>
    <w:rsid w:val="009F6576"/>
    <w:rsid w:val="009F7B97"/>
    <w:rsid w:val="00A0005C"/>
    <w:rsid w:val="00A039B1"/>
    <w:rsid w:val="00A04F8A"/>
    <w:rsid w:val="00A0511B"/>
    <w:rsid w:val="00A05B24"/>
    <w:rsid w:val="00A119E9"/>
    <w:rsid w:val="00A1286A"/>
    <w:rsid w:val="00A12CD6"/>
    <w:rsid w:val="00A13792"/>
    <w:rsid w:val="00A13846"/>
    <w:rsid w:val="00A141C5"/>
    <w:rsid w:val="00A16043"/>
    <w:rsid w:val="00A16CE5"/>
    <w:rsid w:val="00A17D6A"/>
    <w:rsid w:val="00A2048A"/>
    <w:rsid w:val="00A24B50"/>
    <w:rsid w:val="00A24F46"/>
    <w:rsid w:val="00A263E1"/>
    <w:rsid w:val="00A26B42"/>
    <w:rsid w:val="00A311AE"/>
    <w:rsid w:val="00A3236A"/>
    <w:rsid w:val="00A33D38"/>
    <w:rsid w:val="00A35739"/>
    <w:rsid w:val="00A36D7D"/>
    <w:rsid w:val="00A4066E"/>
    <w:rsid w:val="00A420B1"/>
    <w:rsid w:val="00A42B88"/>
    <w:rsid w:val="00A45CCD"/>
    <w:rsid w:val="00A47393"/>
    <w:rsid w:val="00A47B89"/>
    <w:rsid w:val="00A50251"/>
    <w:rsid w:val="00A53357"/>
    <w:rsid w:val="00A5371F"/>
    <w:rsid w:val="00A54E61"/>
    <w:rsid w:val="00A556FD"/>
    <w:rsid w:val="00A6019A"/>
    <w:rsid w:val="00A60FF3"/>
    <w:rsid w:val="00A62DEA"/>
    <w:rsid w:val="00A63C9C"/>
    <w:rsid w:val="00A64E34"/>
    <w:rsid w:val="00A661CB"/>
    <w:rsid w:val="00A66607"/>
    <w:rsid w:val="00A6694A"/>
    <w:rsid w:val="00A70AF1"/>
    <w:rsid w:val="00A7103E"/>
    <w:rsid w:val="00A71AB5"/>
    <w:rsid w:val="00A7316D"/>
    <w:rsid w:val="00A7363F"/>
    <w:rsid w:val="00A745D6"/>
    <w:rsid w:val="00A76472"/>
    <w:rsid w:val="00A7681D"/>
    <w:rsid w:val="00A80217"/>
    <w:rsid w:val="00A81946"/>
    <w:rsid w:val="00A83E86"/>
    <w:rsid w:val="00A85454"/>
    <w:rsid w:val="00A85998"/>
    <w:rsid w:val="00A85E7C"/>
    <w:rsid w:val="00A879FF"/>
    <w:rsid w:val="00A90096"/>
    <w:rsid w:val="00A91178"/>
    <w:rsid w:val="00A93E6F"/>
    <w:rsid w:val="00A9471F"/>
    <w:rsid w:val="00A95636"/>
    <w:rsid w:val="00A9632A"/>
    <w:rsid w:val="00A963FF"/>
    <w:rsid w:val="00AA1BF3"/>
    <w:rsid w:val="00AA4C0D"/>
    <w:rsid w:val="00AA4E6A"/>
    <w:rsid w:val="00AA5F2B"/>
    <w:rsid w:val="00AA7481"/>
    <w:rsid w:val="00AB069C"/>
    <w:rsid w:val="00AB4697"/>
    <w:rsid w:val="00AB5518"/>
    <w:rsid w:val="00AB6C57"/>
    <w:rsid w:val="00AB6D6D"/>
    <w:rsid w:val="00AB7702"/>
    <w:rsid w:val="00AC014F"/>
    <w:rsid w:val="00AC18D6"/>
    <w:rsid w:val="00AC190C"/>
    <w:rsid w:val="00AC1D40"/>
    <w:rsid w:val="00AC2684"/>
    <w:rsid w:val="00AC3836"/>
    <w:rsid w:val="00AC5817"/>
    <w:rsid w:val="00AC6011"/>
    <w:rsid w:val="00AC6037"/>
    <w:rsid w:val="00AC6157"/>
    <w:rsid w:val="00AC7B29"/>
    <w:rsid w:val="00AC7ECF"/>
    <w:rsid w:val="00AC7F1C"/>
    <w:rsid w:val="00AD0238"/>
    <w:rsid w:val="00AD08EF"/>
    <w:rsid w:val="00AD0AAB"/>
    <w:rsid w:val="00AD0B22"/>
    <w:rsid w:val="00AD0C1C"/>
    <w:rsid w:val="00AD0D0B"/>
    <w:rsid w:val="00AD1882"/>
    <w:rsid w:val="00AD2948"/>
    <w:rsid w:val="00AD42FC"/>
    <w:rsid w:val="00AD43BB"/>
    <w:rsid w:val="00AD4725"/>
    <w:rsid w:val="00AD60F4"/>
    <w:rsid w:val="00AD6D0D"/>
    <w:rsid w:val="00AD7101"/>
    <w:rsid w:val="00AD7769"/>
    <w:rsid w:val="00AE04AD"/>
    <w:rsid w:val="00AE10C4"/>
    <w:rsid w:val="00AE3599"/>
    <w:rsid w:val="00AE37FC"/>
    <w:rsid w:val="00AE5577"/>
    <w:rsid w:val="00AE56C2"/>
    <w:rsid w:val="00AF15DE"/>
    <w:rsid w:val="00AF28B7"/>
    <w:rsid w:val="00AF36C1"/>
    <w:rsid w:val="00AF654D"/>
    <w:rsid w:val="00B005B2"/>
    <w:rsid w:val="00B01894"/>
    <w:rsid w:val="00B0285B"/>
    <w:rsid w:val="00B036E9"/>
    <w:rsid w:val="00B03A87"/>
    <w:rsid w:val="00B03DA4"/>
    <w:rsid w:val="00B05F1B"/>
    <w:rsid w:val="00B05F95"/>
    <w:rsid w:val="00B07A20"/>
    <w:rsid w:val="00B10969"/>
    <w:rsid w:val="00B1351E"/>
    <w:rsid w:val="00B15461"/>
    <w:rsid w:val="00B15696"/>
    <w:rsid w:val="00B15DDD"/>
    <w:rsid w:val="00B1630D"/>
    <w:rsid w:val="00B179E6"/>
    <w:rsid w:val="00B17F87"/>
    <w:rsid w:val="00B2122B"/>
    <w:rsid w:val="00B21E75"/>
    <w:rsid w:val="00B23BC7"/>
    <w:rsid w:val="00B23F48"/>
    <w:rsid w:val="00B2411E"/>
    <w:rsid w:val="00B248A4"/>
    <w:rsid w:val="00B25C90"/>
    <w:rsid w:val="00B27319"/>
    <w:rsid w:val="00B30F9C"/>
    <w:rsid w:val="00B339BE"/>
    <w:rsid w:val="00B36B5D"/>
    <w:rsid w:val="00B36ED0"/>
    <w:rsid w:val="00B374A2"/>
    <w:rsid w:val="00B4079B"/>
    <w:rsid w:val="00B408E2"/>
    <w:rsid w:val="00B40D89"/>
    <w:rsid w:val="00B41D91"/>
    <w:rsid w:val="00B4244A"/>
    <w:rsid w:val="00B425C8"/>
    <w:rsid w:val="00B43769"/>
    <w:rsid w:val="00B43D18"/>
    <w:rsid w:val="00B4408C"/>
    <w:rsid w:val="00B45AA1"/>
    <w:rsid w:val="00B476FE"/>
    <w:rsid w:val="00B51688"/>
    <w:rsid w:val="00B5175B"/>
    <w:rsid w:val="00B53392"/>
    <w:rsid w:val="00B54547"/>
    <w:rsid w:val="00B54EB1"/>
    <w:rsid w:val="00B56157"/>
    <w:rsid w:val="00B5786A"/>
    <w:rsid w:val="00B61491"/>
    <w:rsid w:val="00B61C0B"/>
    <w:rsid w:val="00B62B76"/>
    <w:rsid w:val="00B64EC0"/>
    <w:rsid w:val="00B66848"/>
    <w:rsid w:val="00B66EFA"/>
    <w:rsid w:val="00B70773"/>
    <w:rsid w:val="00B7119C"/>
    <w:rsid w:val="00B712B3"/>
    <w:rsid w:val="00B72230"/>
    <w:rsid w:val="00B7550C"/>
    <w:rsid w:val="00B75D58"/>
    <w:rsid w:val="00B767EB"/>
    <w:rsid w:val="00B76B74"/>
    <w:rsid w:val="00B808CB"/>
    <w:rsid w:val="00B81575"/>
    <w:rsid w:val="00B8238C"/>
    <w:rsid w:val="00B82994"/>
    <w:rsid w:val="00B84D08"/>
    <w:rsid w:val="00B853CF"/>
    <w:rsid w:val="00B857E5"/>
    <w:rsid w:val="00B85B0E"/>
    <w:rsid w:val="00B90AB9"/>
    <w:rsid w:val="00B9163D"/>
    <w:rsid w:val="00B91E0C"/>
    <w:rsid w:val="00B92EB9"/>
    <w:rsid w:val="00B9564D"/>
    <w:rsid w:val="00BA1191"/>
    <w:rsid w:val="00BA19EE"/>
    <w:rsid w:val="00BA2F8B"/>
    <w:rsid w:val="00BA36EC"/>
    <w:rsid w:val="00BA59EE"/>
    <w:rsid w:val="00BA5E33"/>
    <w:rsid w:val="00BA5E7D"/>
    <w:rsid w:val="00BB2384"/>
    <w:rsid w:val="00BB25B4"/>
    <w:rsid w:val="00BB3D31"/>
    <w:rsid w:val="00BB5CCE"/>
    <w:rsid w:val="00BC071C"/>
    <w:rsid w:val="00BC2032"/>
    <w:rsid w:val="00BC3E11"/>
    <w:rsid w:val="00BC782E"/>
    <w:rsid w:val="00BD253E"/>
    <w:rsid w:val="00BD4C14"/>
    <w:rsid w:val="00BD5A56"/>
    <w:rsid w:val="00BD750A"/>
    <w:rsid w:val="00BD7710"/>
    <w:rsid w:val="00BE0F64"/>
    <w:rsid w:val="00BE19CD"/>
    <w:rsid w:val="00BE2F05"/>
    <w:rsid w:val="00BE738A"/>
    <w:rsid w:val="00BE772B"/>
    <w:rsid w:val="00BE7C4E"/>
    <w:rsid w:val="00BF0340"/>
    <w:rsid w:val="00BF0DB4"/>
    <w:rsid w:val="00BF1679"/>
    <w:rsid w:val="00BF2877"/>
    <w:rsid w:val="00BF2F29"/>
    <w:rsid w:val="00BF3192"/>
    <w:rsid w:val="00BF334D"/>
    <w:rsid w:val="00BF458E"/>
    <w:rsid w:val="00BF46B6"/>
    <w:rsid w:val="00BF77B2"/>
    <w:rsid w:val="00BF7904"/>
    <w:rsid w:val="00BF7BDF"/>
    <w:rsid w:val="00C00405"/>
    <w:rsid w:val="00C01BDA"/>
    <w:rsid w:val="00C02DE1"/>
    <w:rsid w:val="00C03A1F"/>
    <w:rsid w:val="00C03D91"/>
    <w:rsid w:val="00C05462"/>
    <w:rsid w:val="00C06A05"/>
    <w:rsid w:val="00C07BC6"/>
    <w:rsid w:val="00C1095C"/>
    <w:rsid w:val="00C109CF"/>
    <w:rsid w:val="00C10C8E"/>
    <w:rsid w:val="00C141AA"/>
    <w:rsid w:val="00C14A92"/>
    <w:rsid w:val="00C15B74"/>
    <w:rsid w:val="00C16EC0"/>
    <w:rsid w:val="00C20503"/>
    <w:rsid w:val="00C206E9"/>
    <w:rsid w:val="00C20984"/>
    <w:rsid w:val="00C21881"/>
    <w:rsid w:val="00C22761"/>
    <w:rsid w:val="00C22ABF"/>
    <w:rsid w:val="00C232F3"/>
    <w:rsid w:val="00C240C8"/>
    <w:rsid w:val="00C242C6"/>
    <w:rsid w:val="00C2480C"/>
    <w:rsid w:val="00C26F86"/>
    <w:rsid w:val="00C31035"/>
    <w:rsid w:val="00C31A07"/>
    <w:rsid w:val="00C32478"/>
    <w:rsid w:val="00C32D62"/>
    <w:rsid w:val="00C343D0"/>
    <w:rsid w:val="00C34565"/>
    <w:rsid w:val="00C3531A"/>
    <w:rsid w:val="00C360D8"/>
    <w:rsid w:val="00C363EC"/>
    <w:rsid w:val="00C368A0"/>
    <w:rsid w:val="00C368A7"/>
    <w:rsid w:val="00C37CDD"/>
    <w:rsid w:val="00C37D0B"/>
    <w:rsid w:val="00C40AAC"/>
    <w:rsid w:val="00C43DB4"/>
    <w:rsid w:val="00C43DFB"/>
    <w:rsid w:val="00C45313"/>
    <w:rsid w:val="00C46644"/>
    <w:rsid w:val="00C46D83"/>
    <w:rsid w:val="00C47D36"/>
    <w:rsid w:val="00C506BB"/>
    <w:rsid w:val="00C50C60"/>
    <w:rsid w:val="00C53B18"/>
    <w:rsid w:val="00C53C63"/>
    <w:rsid w:val="00C53F10"/>
    <w:rsid w:val="00C54FA0"/>
    <w:rsid w:val="00C56380"/>
    <w:rsid w:val="00C56E86"/>
    <w:rsid w:val="00C57C43"/>
    <w:rsid w:val="00C6073D"/>
    <w:rsid w:val="00C61241"/>
    <w:rsid w:val="00C61FEE"/>
    <w:rsid w:val="00C62FF0"/>
    <w:rsid w:val="00C63307"/>
    <w:rsid w:val="00C66204"/>
    <w:rsid w:val="00C674FF"/>
    <w:rsid w:val="00C7009C"/>
    <w:rsid w:val="00C715EE"/>
    <w:rsid w:val="00C72D4A"/>
    <w:rsid w:val="00C730BB"/>
    <w:rsid w:val="00C74B89"/>
    <w:rsid w:val="00C74EE6"/>
    <w:rsid w:val="00C75A27"/>
    <w:rsid w:val="00C761FB"/>
    <w:rsid w:val="00C81381"/>
    <w:rsid w:val="00C81BD5"/>
    <w:rsid w:val="00C8369B"/>
    <w:rsid w:val="00C83BBE"/>
    <w:rsid w:val="00C83FCF"/>
    <w:rsid w:val="00C85B82"/>
    <w:rsid w:val="00C86000"/>
    <w:rsid w:val="00C863A5"/>
    <w:rsid w:val="00C8666E"/>
    <w:rsid w:val="00C8770E"/>
    <w:rsid w:val="00C87D53"/>
    <w:rsid w:val="00C9102E"/>
    <w:rsid w:val="00C91742"/>
    <w:rsid w:val="00C91B5C"/>
    <w:rsid w:val="00C91F96"/>
    <w:rsid w:val="00C93A9A"/>
    <w:rsid w:val="00C94F9E"/>
    <w:rsid w:val="00C9622E"/>
    <w:rsid w:val="00C96C7E"/>
    <w:rsid w:val="00CA0306"/>
    <w:rsid w:val="00CA08FC"/>
    <w:rsid w:val="00CA188C"/>
    <w:rsid w:val="00CA246F"/>
    <w:rsid w:val="00CA27E9"/>
    <w:rsid w:val="00CA2A12"/>
    <w:rsid w:val="00CA34CA"/>
    <w:rsid w:val="00CA363E"/>
    <w:rsid w:val="00CA3DE0"/>
    <w:rsid w:val="00CA501B"/>
    <w:rsid w:val="00CA5283"/>
    <w:rsid w:val="00CA5A1D"/>
    <w:rsid w:val="00CA62A0"/>
    <w:rsid w:val="00CA672C"/>
    <w:rsid w:val="00CA68CC"/>
    <w:rsid w:val="00CA7417"/>
    <w:rsid w:val="00CB1B24"/>
    <w:rsid w:val="00CB2734"/>
    <w:rsid w:val="00CB3E87"/>
    <w:rsid w:val="00CB4ADE"/>
    <w:rsid w:val="00CB4F3A"/>
    <w:rsid w:val="00CB5E1A"/>
    <w:rsid w:val="00CB79D2"/>
    <w:rsid w:val="00CB7A5F"/>
    <w:rsid w:val="00CC0769"/>
    <w:rsid w:val="00CC14FA"/>
    <w:rsid w:val="00CC156F"/>
    <w:rsid w:val="00CC1B57"/>
    <w:rsid w:val="00CC3959"/>
    <w:rsid w:val="00CC4DB5"/>
    <w:rsid w:val="00CC602A"/>
    <w:rsid w:val="00CC616F"/>
    <w:rsid w:val="00CC6892"/>
    <w:rsid w:val="00CC76CE"/>
    <w:rsid w:val="00CD49B5"/>
    <w:rsid w:val="00CD743D"/>
    <w:rsid w:val="00CD745E"/>
    <w:rsid w:val="00CE1310"/>
    <w:rsid w:val="00CE2FE8"/>
    <w:rsid w:val="00CE3F7C"/>
    <w:rsid w:val="00CE5026"/>
    <w:rsid w:val="00CE71FF"/>
    <w:rsid w:val="00CE7E69"/>
    <w:rsid w:val="00CF2B77"/>
    <w:rsid w:val="00CF5359"/>
    <w:rsid w:val="00CF7AC8"/>
    <w:rsid w:val="00D00D44"/>
    <w:rsid w:val="00D0161D"/>
    <w:rsid w:val="00D018E0"/>
    <w:rsid w:val="00D02DDB"/>
    <w:rsid w:val="00D0577C"/>
    <w:rsid w:val="00D07087"/>
    <w:rsid w:val="00D10FD2"/>
    <w:rsid w:val="00D13970"/>
    <w:rsid w:val="00D13F58"/>
    <w:rsid w:val="00D15BF7"/>
    <w:rsid w:val="00D17F58"/>
    <w:rsid w:val="00D215A4"/>
    <w:rsid w:val="00D21F7F"/>
    <w:rsid w:val="00D23183"/>
    <w:rsid w:val="00D24D72"/>
    <w:rsid w:val="00D27D57"/>
    <w:rsid w:val="00D3012B"/>
    <w:rsid w:val="00D30141"/>
    <w:rsid w:val="00D309A7"/>
    <w:rsid w:val="00D32072"/>
    <w:rsid w:val="00D320CE"/>
    <w:rsid w:val="00D323C1"/>
    <w:rsid w:val="00D33232"/>
    <w:rsid w:val="00D33D3E"/>
    <w:rsid w:val="00D34D77"/>
    <w:rsid w:val="00D34FBD"/>
    <w:rsid w:val="00D36663"/>
    <w:rsid w:val="00D36677"/>
    <w:rsid w:val="00D36B9E"/>
    <w:rsid w:val="00D374F6"/>
    <w:rsid w:val="00D37C85"/>
    <w:rsid w:val="00D43A61"/>
    <w:rsid w:val="00D44FCE"/>
    <w:rsid w:val="00D457D0"/>
    <w:rsid w:val="00D45C6C"/>
    <w:rsid w:val="00D47DBB"/>
    <w:rsid w:val="00D50574"/>
    <w:rsid w:val="00D513C6"/>
    <w:rsid w:val="00D513E2"/>
    <w:rsid w:val="00D52115"/>
    <w:rsid w:val="00D52432"/>
    <w:rsid w:val="00D528A1"/>
    <w:rsid w:val="00D52D53"/>
    <w:rsid w:val="00D52F88"/>
    <w:rsid w:val="00D53F74"/>
    <w:rsid w:val="00D55661"/>
    <w:rsid w:val="00D55C84"/>
    <w:rsid w:val="00D566DB"/>
    <w:rsid w:val="00D56EC7"/>
    <w:rsid w:val="00D60B97"/>
    <w:rsid w:val="00D61C4A"/>
    <w:rsid w:val="00D627D7"/>
    <w:rsid w:val="00D629F2"/>
    <w:rsid w:val="00D63A88"/>
    <w:rsid w:val="00D63F1A"/>
    <w:rsid w:val="00D65315"/>
    <w:rsid w:val="00D66DE1"/>
    <w:rsid w:val="00D70635"/>
    <w:rsid w:val="00D70E14"/>
    <w:rsid w:val="00D71E42"/>
    <w:rsid w:val="00D726FB"/>
    <w:rsid w:val="00D73690"/>
    <w:rsid w:val="00D800E0"/>
    <w:rsid w:val="00D80442"/>
    <w:rsid w:val="00D8102B"/>
    <w:rsid w:val="00D81D42"/>
    <w:rsid w:val="00D83DB7"/>
    <w:rsid w:val="00D83F38"/>
    <w:rsid w:val="00D857A6"/>
    <w:rsid w:val="00D87749"/>
    <w:rsid w:val="00D90118"/>
    <w:rsid w:val="00D90642"/>
    <w:rsid w:val="00D91734"/>
    <w:rsid w:val="00D91742"/>
    <w:rsid w:val="00D93046"/>
    <w:rsid w:val="00D9431C"/>
    <w:rsid w:val="00D9669A"/>
    <w:rsid w:val="00D97CD5"/>
    <w:rsid w:val="00DA2707"/>
    <w:rsid w:val="00DA3B15"/>
    <w:rsid w:val="00DA3F5E"/>
    <w:rsid w:val="00DA46CE"/>
    <w:rsid w:val="00DA64CD"/>
    <w:rsid w:val="00DB0A78"/>
    <w:rsid w:val="00DB15BA"/>
    <w:rsid w:val="00DB2359"/>
    <w:rsid w:val="00DB4C3E"/>
    <w:rsid w:val="00DB4DF2"/>
    <w:rsid w:val="00DB4EA5"/>
    <w:rsid w:val="00DB4F37"/>
    <w:rsid w:val="00DB5F81"/>
    <w:rsid w:val="00DC028C"/>
    <w:rsid w:val="00DC18DB"/>
    <w:rsid w:val="00DC3D0F"/>
    <w:rsid w:val="00DC4ED3"/>
    <w:rsid w:val="00DC5106"/>
    <w:rsid w:val="00DC54DB"/>
    <w:rsid w:val="00DC58E9"/>
    <w:rsid w:val="00DC5903"/>
    <w:rsid w:val="00DD255A"/>
    <w:rsid w:val="00DD2A78"/>
    <w:rsid w:val="00DD30E4"/>
    <w:rsid w:val="00DD3B13"/>
    <w:rsid w:val="00DD42D4"/>
    <w:rsid w:val="00DD4B7E"/>
    <w:rsid w:val="00DD52B1"/>
    <w:rsid w:val="00DD59F0"/>
    <w:rsid w:val="00DD62E4"/>
    <w:rsid w:val="00DD6C7A"/>
    <w:rsid w:val="00DD730B"/>
    <w:rsid w:val="00DD7FF1"/>
    <w:rsid w:val="00DE12BD"/>
    <w:rsid w:val="00DE1B6B"/>
    <w:rsid w:val="00DE1F85"/>
    <w:rsid w:val="00DE2401"/>
    <w:rsid w:val="00DE4C37"/>
    <w:rsid w:val="00DE4EF9"/>
    <w:rsid w:val="00DF1053"/>
    <w:rsid w:val="00DF183E"/>
    <w:rsid w:val="00DF392D"/>
    <w:rsid w:val="00DF4D0D"/>
    <w:rsid w:val="00DF5697"/>
    <w:rsid w:val="00DF7235"/>
    <w:rsid w:val="00DF79B8"/>
    <w:rsid w:val="00DF7E49"/>
    <w:rsid w:val="00E01438"/>
    <w:rsid w:val="00E0203B"/>
    <w:rsid w:val="00E02F47"/>
    <w:rsid w:val="00E04398"/>
    <w:rsid w:val="00E0466D"/>
    <w:rsid w:val="00E05CE2"/>
    <w:rsid w:val="00E072AE"/>
    <w:rsid w:val="00E1031C"/>
    <w:rsid w:val="00E111D2"/>
    <w:rsid w:val="00E116D6"/>
    <w:rsid w:val="00E12BC0"/>
    <w:rsid w:val="00E13495"/>
    <w:rsid w:val="00E14944"/>
    <w:rsid w:val="00E161E3"/>
    <w:rsid w:val="00E21816"/>
    <w:rsid w:val="00E22D6D"/>
    <w:rsid w:val="00E25446"/>
    <w:rsid w:val="00E25E62"/>
    <w:rsid w:val="00E26095"/>
    <w:rsid w:val="00E260F9"/>
    <w:rsid w:val="00E270C2"/>
    <w:rsid w:val="00E27637"/>
    <w:rsid w:val="00E325A8"/>
    <w:rsid w:val="00E33233"/>
    <w:rsid w:val="00E3330B"/>
    <w:rsid w:val="00E336B5"/>
    <w:rsid w:val="00E35F88"/>
    <w:rsid w:val="00E374F4"/>
    <w:rsid w:val="00E37F2F"/>
    <w:rsid w:val="00E4170E"/>
    <w:rsid w:val="00E42346"/>
    <w:rsid w:val="00E42CB6"/>
    <w:rsid w:val="00E460C8"/>
    <w:rsid w:val="00E46DCE"/>
    <w:rsid w:val="00E51B29"/>
    <w:rsid w:val="00E52D09"/>
    <w:rsid w:val="00E52EEB"/>
    <w:rsid w:val="00E53FDF"/>
    <w:rsid w:val="00E56AA2"/>
    <w:rsid w:val="00E57F5D"/>
    <w:rsid w:val="00E607DD"/>
    <w:rsid w:val="00E60C59"/>
    <w:rsid w:val="00E63104"/>
    <w:rsid w:val="00E6574D"/>
    <w:rsid w:val="00E65B68"/>
    <w:rsid w:val="00E663CE"/>
    <w:rsid w:val="00E705BC"/>
    <w:rsid w:val="00E70BFA"/>
    <w:rsid w:val="00E70F76"/>
    <w:rsid w:val="00E719CB"/>
    <w:rsid w:val="00E72E24"/>
    <w:rsid w:val="00E7515C"/>
    <w:rsid w:val="00E75F86"/>
    <w:rsid w:val="00E76153"/>
    <w:rsid w:val="00E76763"/>
    <w:rsid w:val="00E8104F"/>
    <w:rsid w:val="00E8351E"/>
    <w:rsid w:val="00E83FFF"/>
    <w:rsid w:val="00E92FC8"/>
    <w:rsid w:val="00E93388"/>
    <w:rsid w:val="00E9438C"/>
    <w:rsid w:val="00E94E30"/>
    <w:rsid w:val="00E96824"/>
    <w:rsid w:val="00E969BB"/>
    <w:rsid w:val="00EA0768"/>
    <w:rsid w:val="00EA09AE"/>
    <w:rsid w:val="00EA1310"/>
    <w:rsid w:val="00EA6326"/>
    <w:rsid w:val="00EA6F40"/>
    <w:rsid w:val="00EA776C"/>
    <w:rsid w:val="00EB035F"/>
    <w:rsid w:val="00EB07E5"/>
    <w:rsid w:val="00EB1138"/>
    <w:rsid w:val="00EB1331"/>
    <w:rsid w:val="00EB28AC"/>
    <w:rsid w:val="00EB35BA"/>
    <w:rsid w:val="00EB397B"/>
    <w:rsid w:val="00EB772A"/>
    <w:rsid w:val="00EB7DCE"/>
    <w:rsid w:val="00EC0578"/>
    <w:rsid w:val="00EC057C"/>
    <w:rsid w:val="00EC07DF"/>
    <w:rsid w:val="00EC1B74"/>
    <w:rsid w:val="00EC2272"/>
    <w:rsid w:val="00EC3709"/>
    <w:rsid w:val="00EC54C4"/>
    <w:rsid w:val="00EC5F6B"/>
    <w:rsid w:val="00EC6A6E"/>
    <w:rsid w:val="00EC6CA9"/>
    <w:rsid w:val="00EC6DF4"/>
    <w:rsid w:val="00EC7643"/>
    <w:rsid w:val="00EC7D8C"/>
    <w:rsid w:val="00ED2122"/>
    <w:rsid w:val="00ED2ED7"/>
    <w:rsid w:val="00ED3B7A"/>
    <w:rsid w:val="00ED4962"/>
    <w:rsid w:val="00ED4E55"/>
    <w:rsid w:val="00ED678B"/>
    <w:rsid w:val="00ED784F"/>
    <w:rsid w:val="00EE0736"/>
    <w:rsid w:val="00EE635E"/>
    <w:rsid w:val="00EE6D1E"/>
    <w:rsid w:val="00EF2F74"/>
    <w:rsid w:val="00EF369F"/>
    <w:rsid w:val="00EF4055"/>
    <w:rsid w:val="00EF47CC"/>
    <w:rsid w:val="00EF50C3"/>
    <w:rsid w:val="00F009EB"/>
    <w:rsid w:val="00F01D6A"/>
    <w:rsid w:val="00F01DE5"/>
    <w:rsid w:val="00F02688"/>
    <w:rsid w:val="00F02B5E"/>
    <w:rsid w:val="00F033F2"/>
    <w:rsid w:val="00F0399E"/>
    <w:rsid w:val="00F0483C"/>
    <w:rsid w:val="00F057D5"/>
    <w:rsid w:val="00F0617D"/>
    <w:rsid w:val="00F07492"/>
    <w:rsid w:val="00F07BDF"/>
    <w:rsid w:val="00F1009B"/>
    <w:rsid w:val="00F11B7D"/>
    <w:rsid w:val="00F1279C"/>
    <w:rsid w:val="00F130EB"/>
    <w:rsid w:val="00F1312D"/>
    <w:rsid w:val="00F1374C"/>
    <w:rsid w:val="00F14727"/>
    <w:rsid w:val="00F15D79"/>
    <w:rsid w:val="00F16F84"/>
    <w:rsid w:val="00F17186"/>
    <w:rsid w:val="00F21F8B"/>
    <w:rsid w:val="00F226DB"/>
    <w:rsid w:val="00F228B8"/>
    <w:rsid w:val="00F23861"/>
    <w:rsid w:val="00F23C05"/>
    <w:rsid w:val="00F24F00"/>
    <w:rsid w:val="00F25A6C"/>
    <w:rsid w:val="00F27799"/>
    <w:rsid w:val="00F27F99"/>
    <w:rsid w:val="00F30837"/>
    <w:rsid w:val="00F3094C"/>
    <w:rsid w:val="00F31695"/>
    <w:rsid w:val="00F346B4"/>
    <w:rsid w:val="00F346F4"/>
    <w:rsid w:val="00F347DA"/>
    <w:rsid w:val="00F3574F"/>
    <w:rsid w:val="00F45177"/>
    <w:rsid w:val="00F45746"/>
    <w:rsid w:val="00F458B7"/>
    <w:rsid w:val="00F45C47"/>
    <w:rsid w:val="00F47199"/>
    <w:rsid w:val="00F51E90"/>
    <w:rsid w:val="00F533D0"/>
    <w:rsid w:val="00F53AB6"/>
    <w:rsid w:val="00F54280"/>
    <w:rsid w:val="00F549C6"/>
    <w:rsid w:val="00F56A62"/>
    <w:rsid w:val="00F56CC2"/>
    <w:rsid w:val="00F57586"/>
    <w:rsid w:val="00F61922"/>
    <w:rsid w:val="00F623A6"/>
    <w:rsid w:val="00F65867"/>
    <w:rsid w:val="00F6710D"/>
    <w:rsid w:val="00F72654"/>
    <w:rsid w:val="00F737BC"/>
    <w:rsid w:val="00F73EBB"/>
    <w:rsid w:val="00F74300"/>
    <w:rsid w:val="00F75E56"/>
    <w:rsid w:val="00F7773E"/>
    <w:rsid w:val="00F77B75"/>
    <w:rsid w:val="00F81BE9"/>
    <w:rsid w:val="00F83F60"/>
    <w:rsid w:val="00F845E7"/>
    <w:rsid w:val="00F84B09"/>
    <w:rsid w:val="00F85E93"/>
    <w:rsid w:val="00F866A8"/>
    <w:rsid w:val="00F874EE"/>
    <w:rsid w:val="00F87BE3"/>
    <w:rsid w:val="00F87F2F"/>
    <w:rsid w:val="00F90639"/>
    <w:rsid w:val="00F91DA1"/>
    <w:rsid w:val="00F92117"/>
    <w:rsid w:val="00F925FA"/>
    <w:rsid w:val="00F94154"/>
    <w:rsid w:val="00F94C1D"/>
    <w:rsid w:val="00F967A2"/>
    <w:rsid w:val="00F97B30"/>
    <w:rsid w:val="00FA023A"/>
    <w:rsid w:val="00FA07F5"/>
    <w:rsid w:val="00FA092F"/>
    <w:rsid w:val="00FA385A"/>
    <w:rsid w:val="00FA52E1"/>
    <w:rsid w:val="00FA655F"/>
    <w:rsid w:val="00FA6841"/>
    <w:rsid w:val="00FA7157"/>
    <w:rsid w:val="00FB0F42"/>
    <w:rsid w:val="00FB298E"/>
    <w:rsid w:val="00FB584E"/>
    <w:rsid w:val="00FB590F"/>
    <w:rsid w:val="00FB6B70"/>
    <w:rsid w:val="00FB760C"/>
    <w:rsid w:val="00FC23AE"/>
    <w:rsid w:val="00FC2B95"/>
    <w:rsid w:val="00FC503B"/>
    <w:rsid w:val="00FC6DD3"/>
    <w:rsid w:val="00FD0D26"/>
    <w:rsid w:val="00FD1589"/>
    <w:rsid w:val="00FD249E"/>
    <w:rsid w:val="00FD296A"/>
    <w:rsid w:val="00FD4796"/>
    <w:rsid w:val="00FD5C89"/>
    <w:rsid w:val="00FD66BB"/>
    <w:rsid w:val="00FE09A6"/>
    <w:rsid w:val="00FE26E1"/>
    <w:rsid w:val="00FE36A2"/>
    <w:rsid w:val="00FE4DFE"/>
    <w:rsid w:val="00FE4EF0"/>
    <w:rsid w:val="00FE4FEA"/>
    <w:rsid w:val="00FE6AC3"/>
    <w:rsid w:val="00FF08C8"/>
    <w:rsid w:val="00FF102B"/>
    <w:rsid w:val="00FF1A3F"/>
    <w:rsid w:val="00FF212F"/>
    <w:rsid w:val="00FF3347"/>
    <w:rsid w:val="00FF3AAC"/>
    <w:rsid w:val="00FF3B80"/>
  </w:rsids>
  <m:mathPr>
    <m:mathFont m:val="Cambria Math"/>
    <m:brkBin m:val="before"/>
    <m:brkBinSub m:val="--"/>
    <m:smallFrac m:val="0"/>
    <m:dispDef/>
    <m:lMargin m:val="0"/>
    <m:rMargin m:val="0"/>
    <m:defJc m:val="centerGroup"/>
    <m:wrapIndent m:val="1440"/>
    <m:intLim m:val="subSup"/>
    <m:naryLim m:val="undOvr"/>
  </m:mathPr>
  <w:themeFontLang w:val="ro-RO"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7"/>
    <o:shapelayout v:ext="edit">
      <o:idmap v:ext="edit" data="2"/>
      <o:rules v:ext="edit">
        <o:r id="V:Rule1" type="connector" idref="#_s2115">
          <o:proxy start="" idref="#_s2119" connectloc="0"/>
          <o:proxy end="" idref="#_s2117" connectloc="2"/>
        </o:r>
        <o:r id="V:Rule2" type="connector" idref="#_s2140">
          <o:proxy start="" idref="#_s2142" connectloc="0"/>
          <o:proxy end="" idref="#_s2141" connectloc="2"/>
        </o:r>
        <o:r id="V:Rule3" type="connector" idref="#_s2116">
          <o:proxy start="" idref="#_s2118" connectloc="0"/>
          <o:proxy end="" idref="#_s2117" connectloc="2"/>
        </o:r>
        <o:r id="V:Rule4" type="connector" idref="#_s2139">
          <o:proxy start="" idref="#_s2143" connectloc="0"/>
          <o:proxy end="" idref="#_s2141" connectloc="2"/>
        </o:r>
      </o:rules>
    </o:shapelayout>
  </w:shapeDefaults>
  <w:doNotEmbedSmartTags/>
  <w:decimalSymbol w:val="."/>
  <w:listSeparator w:val=","/>
  <w14:docId w14:val="63B1FE5D"/>
  <w15:chartTrackingRefBased/>
  <w15:docId w15:val="{3AB31832-0FE4-49B6-B6A6-61FB6A149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Calibri" w:hAnsi="Tahoma" w:cs="Tahoma"/>
        <w:sz w:val="24"/>
        <w:szCs w:val="24"/>
        <w:lang w:val="ro-RO" w:eastAsia="ro-RO"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footnote text" w:uiPriority="99" w:qFormat="1"/>
    <w:lsdException w:name="header" w:uiPriority="99"/>
    <w:lsdException w:name="footer" w:locked="1" w:uiPriority="99"/>
    <w:lsdException w:name="caption" w:locked="1" w:semiHidden="1" w:unhideWhenUsed="1" w:qFormat="1"/>
    <w:lsdException w:name="footnote reference" w:uiPriority="99" w:qFormat="1"/>
    <w:lsdException w:name="List Number" w:locked="1"/>
    <w:lsdException w:name="List 4" w:locked="1"/>
    <w:lsdException w:name="List 5" w:locked="1"/>
    <w:lsdException w:name="Title" w:locked="1" w:qFormat="1"/>
    <w:lsdException w:name="Default Paragraph Font" w:locked="1"/>
    <w:lsdException w:name="Subtitle" w:locked="1" w:qFormat="1"/>
    <w:lsdException w:name="Salutation" w:locked="1"/>
    <w:lsdException w:name="Date" w:locked="1"/>
    <w:lsdException w:name="Body Text First Indent" w:locked="1"/>
    <w:lsdException w:name="Hyperlink" w:locked="1" w:uiPriority="99"/>
    <w:lsdException w:name="FollowedHyperlink" w:uiPriority="99"/>
    <w:lsdException w:name="Strong" w:locked="1"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149A"/>
  </w:style>
  <w:style w:type="paragraph" w:styleId="Heading1">
    <w:name w:val="heading 1"/>
    <w:basedOn w:val="Normal"/>
    <w:next w:val="Normal"/>
    <w:link w:val="Heading1Char"/>
    <w:qFormat/>
    <w:locked/>
    <w:rsid w:val="007F38A5"/>
    <w:pPr>
      <w:keepNext/>
      <w:keepLines/>
      <w:spacing w:before="240"/>
      <w:outlineLvl w:val="0"/>
    </w:pPr>
    <w:rPr>
      <w:rFonts w:ascii="Cambria" w:hAnsi="Cambria" w:cs="Times New Roman"/>
      <w:color w:val="365F91"/>
      <w:sz w:val="32"/>
      <w:szCs w:val="32"/>
    </w:rPr>
  </w:style>
  <w:style w:type="paragraph" w:styleId="Heading2">
    <w:name w:val="heading 2"/>
    <w:basedOn w:val="Normal"/>
    <w:next w:val="Normal"/>
    <w:link w:val="Heading2Char"/>
    <w:unhideWhenUsed/>
    <w:qFormat/>
    <w:locked/>
    <w:rsid w:val="00CA741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locked/>
    <w:rsid w:val="00986B5D"/>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7F38A5"/>
    <w:rPr>
      <w:rFonts w:ascii="Cambria" w:hAnsi="Cambria" w:cs="Times New Roman"/>
      <w:color w:val="365F91"/>
      <w:sz w:val="32"/>
      <w:szCs w:val="32"/>
      <w:lang w:val="en-US" w:eastAsia="en-US"/>
    </w:rPr>
  </w:style>
  <w:style w:type="paragraph" w:customStyle="1" w:styleId="CaracterCaracter1">
    <w:name w:val="Caracter Caracter1"/>
    <w:basedOn w:val="Normal"/>
    <w:rsid w:val="00D66DE1"/>
    <w:rPr>
      <w:rFonts w:ascii="Times New Roman" w:eastAsia="Times New Roman" w:hAnsi="Times New Roman" w:cs="Times New Roman"/>
      <w:lang w:val="pl-PL" w:eastAsia="pl-PL"/>
    </w:rPr>
  </w:style>
  <w:style w:type="paragraph" w:styleId="ListParagraph">
    <w:name w:val="List Paragraph"/>
    <w:aliases w:val="Antes de enumeración,Normal bullet 2,Akapit z listą BS,List Paragraph1,Outlines a.b.c.,List_Paragraph,Multilevel para_II,Akapit z lista BS,body 2,Listă paragraf1,List Paragraph11,List Paragraph111,Listă colorată - Accentuare 11,Bullet,EC"/>
    <w:basedOn w:val="Normal"/>
    <w:link w:val="ListParagraphChar"/>
    <w:uiPriority w:val="34"/>
    <w:qFormat/>
    <w:rsid w:val="00D66DE1"/>
    <w:pPr>
      <w:ind w:left="720"/>
    </w:pPr>
    <w:rPr>
      <w:rFonts w:eastAsia="Times New Roman" w:cs="Times New Roman"/>
      <w:sz w:val="20"/>
      <w:szCs w:val="20"/>
    </w:rPr>
  </w:style>
  <w:style w:type="character" w:customStyle="1" w:styleId="ListParagraphChar">
    <w:name w:val="List Paragraph Char"/>
    <w:aliases w:val="Antes de enumeración Char,Normal bullet 2 Char,Akapit z listą BS Char,List Paragraph1 Char,Outlines a.b.c. Char,List_Paragraph Char,Multilevel para_II Char,Akapit z lista BS Char,body 2 Char,Listă paragraf1 Char,List Paragraph11 Char"/>
    <w:link w:val="ListParagraph"/>
    <w:uiPriority w:val="34"/>
    <w:qFormat/>
    <w:locked/>
    <w:rsid w:val="00D66DE1"/>
    <w:rPr>
      <w:rFonts w:ascii="Calibri" w:hAnsi="Calibri"/>
      <w:lang w:val="en-US" w:eastAsia="x-none"/>
    </w:rPr>
  </w:style>
  <w:style w:type="paragraph" w:styleId="Header">
    <w:name w:val="header"/>
    <w:basedOn w:val="Normal"/>
    <w:link w:val="HeaderChar"/>
    <w:uiPriority w:val="99"/>
    <w:rsid w:val="00D66DE1"/>
    <w:pPr>
      <w:tabs>
        <w:tab w:val="center" w:pos="4536"/>
        <w:tab w:val="right" w:pos="9072"/>
      </w:tabs>
    </w:pPr>
    <w:rPr>
      <w:rFonts w:eastAsia="Times New Roman" w:cs="Times New Roman"/>
      <w:sz w:val="20"/>
      <w:szCs w:val="20"/>
    </w:rPr>
  </w:style>
  <w:style w:type="character" w:customStyle="1" w:styleId="HeaderChar">
    <w:name w:val="Header Char"/>
    <w:link w:val="Header"/>
    <w:uiPriority w:val="99"/>
    <w:locked/>
    <w:rsid w:val="00D66DE1"/>
    <w:rPr>
      <w:rFonts w:ascii="Calibri" w:hAnsi="Calibri"/>
      <w:lang w:val="en-US" w:eastAsia="x-none"/>
    </w:rPr>
  </w:style>
  <w:style w:type="paragraph" w:styleId="Footer">
    <w:name w:val="footer"/>
    <w:basedOn w:val="Normal"/>
    <w:link w:val="FooterChar"/>
    <w:uiPriority w:val="99"/>
    <w:rsid w:val="00D66DE1"/>
    <w:pPr>
      <w:tabs>
        <w:tab w:val="center" w:pos="4536"/>
        <w:tab w:val="right" w:pos="9072"/>
      </w:tabs>
    </w:pPr>
    <w:rPr>
      <w:rFonts w:eastAsia="Times New Roman" w:cs="Times New Roman"/>
      <w:sz w:val="20"/>
      <w:szCs w:val="20"/>
    </w:rPr>
  </w:style>
  <w:style w:type="character" w:customStyle="1" w:styleId="FooterChar">
    <w:name w:val="Footer Char"/>
    <w:link w:val="Footer"/>
    <w:uiPriority w:val="99"/>
    <w:locked/>
    <w:rsid w:val="00D66DE1"/>
    <w:rPr>
      <w:rFonts w:ascii="Calibri" w:hAnsi="Calibri"/>
      <w:lang w:val="en-US" w:eastAsia="x-none"/>
    </w:rPr>
  </w:style>
  <w:style w:type="paragraph" w:styleId="FootnoteText">
    <w:name w:val="footnote text"/>
    <w:aliases w:val="Footnote,Fußnote,Tekst przypisu,Tekst przypisu Znak Znak Znak Znak,Tekst przypisu Znak Znak Znak Znak Znak,Tekst przypisu Znak Znak Znak Znak Znak Znak Znak,Tekst przypisu Znak Znak Znak Znak Znak Znak Znak Znak Zn,fn,single space"/>
    <w:basedOn w:val="Normal"/>
    <w:link w:val="FootnoteTextChar"/>
    <w:uiPriority w:val="99"/>
    <w:qFormat/>
    <w:rsid w:val="00C37CDD"/>
    <w:rPr>
      <w:rFonts w:eastAsia="Times New Roman" w:cs="Times New Roman"/>
      <w:sz w:val="20"/>
      <w:szCs w:val="20"/>
    </w:rPr>
  </w:style>
  <w:style w:type="character" w:customStyle="1" w:styleId="FootnoteTextChar">
    <w:name w:val="Footnote Text Char"/>
    <w:aliases w:val="Footnote Char,Fußnote Char,Tekst przypisu Char,Tekst przypisu Znak Znak Znak Znak Char,Tekst przypisu Znak Znak Znak Znak Znak Char,Tekst przypisu Znak Znak Znak Znak Znak Znak Znak Char,fn Char,single space Char"/>
    <w:link w:val="FootnoteText"/>
    <w:qFormat/>
    <w:locked/>
    <w:rsid w:val="00C37CDD"/>
    <w:rPr>
      <w:rFonts w:ascii="Calibri" w:hAnsi="Calibri"/>
      <w:sz w:val="20"/>
      <w:lang w:val="en-US" w:eastAsia="x-none"/>
    </w:rPr>
  </w:style>
  <w:style w:type="character" w:styleId="FootnoteReference">
    <w:name w:val="footnote reference"/>
    <w:aliases w:val="BVI fnr Char Char Caracter Char Caracter Char Caracter Char Caracter Char Caracter Char Char Char Char Char Char,Char Char1 Char Char Char Char Char Char Caracter1 Char Caracter Char Caracter Char Caracter Char Char Caracter Char,fr"/>
    <w:link w:val="CharChar1CharCharCharCharCharCharCaracter1CharCaracterCharCaracterCharCaracterCharCharCaracter"/>
    <w:uiPriority w:val="99"/>
    <w:qFormat/>
    <w:locked/>
    <w:rsid w:val="00C37CDD"/>
    <w:rPr>
      <w:rFonts w:cs="Times New Roman"/>
      <w:vertAlign w:val="superscript"/>
    </w:rPr>
  </w:style>
  <w:style w:type="paragraph" w:customStyle="1" w:styleId="CharChar1CharCharCharCharCharCharCaracter1CharCaracterCharCaracterCharCaracterCharCharCaracter">
    <w:name w:val="Char Char1 Char Char Char Char Char Char Caracter1 Char Caracter Char Caracter Char Caracter Char Char Caracter"/>
    <w:aliases w:val="Char Char1 Char Char Char Char Char Char Caracter Char Char Caracter"/>
    <w:basedOn w:val="Normal"/>
    <w:next w:val="Normal"/>
    <w:link w:val="FootnoteReference"/>
    <w:rsid w:val="00A05B24"/>
    <w:pPr>
      <w:spacing w:after="160" w:line="240" w:lineRule="exact"/>
    </w:pPr>
    <w:rPr>
      <w:rFonts w:eastAsia="Times New Roman" w:cs="Times New Roman"/>
      <w:sz w:val="20"/>
      <w:szCs w:val="20"/>
      <w:vertAlign w:val="superscript"/>
    </w:rPr>
  </w:style>
  <w:style w:type="paragraph" w:styleId="BalloonText">
    <w:name w:val="Balloon Text"/>
    <w:basedOn w:val="Normal"/>
    <w:link w:val="BalloonTextChar"/>
    <w:semiHidden/>
    <w:rsid w:val="00C37CDD"/>
    <w:rPr>
      <w:rFonts w:eastAsia="Times New Roman" w:cs="Times New Roman"/>
      <w:sz w:val="16"/>
      <w:szCs w:val="20"/>
    </w:rPr>
  </w:style>
  <w:style w:type="character" w:customStyle="1" w:styleId="BalloonTextChar">
    <w:name w:val="Balloon Text Char"/>
    <w:link w:val="BalloonText"/>
    <w:semiHidden/>
    <w:locked/>
    <w:rsid w:val="00C37CDD"/>
    <w:rPr>
      <w:rFonts w:ascii="Tahoma" w:hAnsi="Tahoma"/>
      <w:sz w:val="16"/>
      <w:lang w:val="en-US" w:eastAsia="x-none"/>
    </w:rPr>
  </w:style>
  <w:style w:type="paragraph" w:customStyle="1" w:styleId="CharChar3CaracterCaracter1CharCharCaracterCaracter1CaracterCaracterCharCharCaracterCaracterCharCharCaracterCaracterCharCharCaracterCaracterCaracterCaracter1CharChar1Caracter">
    <w:name w:val="Char Char3 Caracter Caracter1 Char Char Caracter Caracter1 Caracter Caracter Char Char Caracter Caracter Char Char Caracter Caracter Char Char Caracter Caracter Caracter Caracter1 Char Char1 Caracter"/>
    <w:basedOn w:val="Normal"/>
    <w:rsid w:val="005866CD"/>
    <w:rPr>
      <w:rFonts w:ascii="Times New Roman" w:eastAsia="Times New Roman" w:hAnsi="Times New Roman" w:cs="Times New Roman"/>
      <w:lang w:val="pl-PL" w:eastAsia="pl-PL"/>
    </w:rPr>
  </w:style>
  <w:style w:type="paragraph" w:customStyle="1" w:styleId="S1">
    <w:name w:val="S1"/>
    <w:basedOn w:val="Normal"/>
    <w:uiPriority w:val="99"/>
    <w:rsid w:val="00C46644"/>
    <w:pPr>
      <w:ind w:left="144" w:right="144" w:firstLine="720"/>
      <w:jc w:val="both"/>
    </w:pPr>
    <w:rPr>
      <w:rFonts w:ascii="TimesNewRomanPS" w:eastAsia="Times New Roman" w:hAnsi="TimesNewRomanPS" w:cs="Times New Roman"/>
      <w:sz w:val="36"/>
      <w:szCs w:val="20"/>
    </w:rPr>
  </w:style>
  <w:style w:type="paragraph" w:customStyle="1" w:styleId="CaracterCaracterCharCharCaracterCaracterCharCharCaracterCaracterCharCharCaracterCaracterCharCharCaracterCaracterCharCharCaracterCaracter">
    <w:name w:val="Caracter Caracter Char Char Caracter Caracter Char Char Caracter Caracter Char Char Caracter Caracter Char Char Caracter Caracter Char Char Caracter Caracter"/>
    <w:basedOn w:val="Normal"/>
    <w:rsid w:val="00C46644"/>
    <w:pPr>
      <w:spacing w:after="160" w:line="240" w:lineRule="exact"/>
    </w:pPr>
    <w:rPr>
      <w:rFonts w:eastAsia="Times New Roman" w:cs="Times New Roman"/>
      <w:sz w:val="20"/>
      <w:szCs w:val="20"/>
    </w:rPr>
  </w:style>
  <w:style w:type="paragraph" w:customStyle="1" w:styleId="CaracterCaracter11">
    <w:name w:val="Caracter Caracter11"/>
    <w:basedOn w:val="Normal"/>
    <w:rsid w:val="00514A51"/>
    <w:rPr>
      <w:rFonts w:ascii="Times New Roman" w:eastAsia="Times New Roman" w:hAnsi="Times New Roman" w:cs="Times New Roman"/>
      <w:lang w:val="pl-PL" w:eastAsia="pl-PL"/>
    </w:rPr>
  </w:style>
  <w:style w:type="paragraph" w:styleId="TOCHeading">
    <w:name w:val="TOC Heading"/>
    <w:basedOn w:val="Heading1"/>
    <w:next w:val="Normal"/>
    <w:uiPriority w:val="39"/>
    <w:qFormat/>
    <w:rsid w:val="007F38A5"/>
    <w:pPr>
      <w:spacing w:line="259" w:lineRule="auto"/>
      <w:outlineLvl w:val="9"/>
    </w:pPr>
  </w:style>
  <w:style w:type="paragraph" w:styleId="TOC1">
    <w:name w:val="toc 1"/>
    <w:basedOn w:val="Normal"/>
    <w:next w:val="Normal"/>
    <w:autoRedefine/>
    <w:uiPriority w:val="39"/>
    <w:locked/>
    <w:rsid w:val="00742F48"/>
    <w:pPr>
      <w:tabs>
        <w:tab w:val="left" w:pos="660"/>
        <w:tab w:val="right" w:leader="dot" w:pos="9636"/>
      </w:tabs>
      <w:spacing w:before="240"/>
    </w:pPr>
    <w:rPr>
      <w:rFonts w:ascii="Arial" w:hAnsi="Arial" w:cs="Arial"/>
      <w:b/>
      <w:sz w:val="28"/>
      <w:szCs w:val="28"/>
    </w:rPr>
  </w:style>
  <w:style w:type="character" w:styleId="Hyperlink">
    <w:name w:val="Hyperlink"/>
    <w:uiPriority w:val="99"/>
    <w:rsid w:val="007F38A5"/>
    <w:rPr>
      <w:rFonts w:cs="Times New Roman"/>
      <w:color w:val="0000FF"/>
      <w:u w:val="single"/>
    </w:rPr>
  </w:style>
  <w:style w:type="paragraph" w:styleId="TOC2">
    <w:name w:val="toc 2"/>
    <w:basedOn w:val="Normal"/>
    <w:next w:val="Normal"/>
    <w:autoRedefine/>
    <w:uiPriority w:val="39"/>
    <w:locked/>
    <w:rsid w:val="00AC7ECF"/>
    <w:pPr>
      <w:spacing w:before="120"/>
      <w:ind w:left="220"/>
    </w:pPr>
    <w:rPr>
      <w:rFonts w:asciiTheme="minorHAnsi" w:hAnsiTheme="minorHAnsi"/>
      <w:b/>
      <w:bCs/>
    </w:rPr>
  </w:style>
  <w:style w:type="paragraph" w:styleId="TOC3">
    <w:name w:val="toc 3"/>
    <w:basedOn w:val="Normal"/>
    <w:next w:val="Normal"/>
    <w:autoRedefine/>
    <w:uiPriority w:val="39"/>
    <w:locked/>
    <w:rsid w:val="00AC7ECF"/>
    <w:pPr>
      <w:ind w:left="440"/>
    </w:pPr>
    <w:rPr>
      <w:rFonts w:asciiTheme="minorHAnsi" w:hAnsiTheme="minorHAnsi"/>
      <w:sz w:val="20"/>
      <w:szCs w:val="20"/>
    </w:rPr>
  </w:style>
  <w:style w:type="paragraph" w:styleId="TOC4">
    <w:name w:val="toc 4"/>
    <w:basedOn w:val="Normal"/>
    <w:next w:val="Normal"/>
    <w:autoRedefine/>
    <w:semiHidden/>
    <w:locked/>
    <w:rsid w:val="00AC7ECF"/>
    <w:pPr>
      <w:ind w:left="660"/>
    </w:pPr>
    <w:rPr>
      <w:rFonts w:asciiTheme="minorHAnsi" w:hAnsiTheme="minorHAnsi"/>
      <w:sz w:val="20"/>
      <w:szCs w:val="20"/>
    </w:rPr>
  </w:style>
  <w:style w:type="paragraph" w:styleId="TOC5">
    <w:name w:val="toc 5"/>
    <w:basedOn w:val="Normal"/>
    <w:next w:val="Normal"/>
    <w:autoRedefine/>
    <w:semiHidden/>
    <w:locked/>
    <w:rsid w:val="00AC7ECF"/>
    <w:pPr>
      <w:ind w:left="880"/>
    </w:pPr>
    <w:rPr>
      <w:rFonts w:asciiTheme="minorHAnsi" w:hAnsiTheme="minorHAnsi"/>
      <w:sz w:val="20"/>
      <w:szCs w:val="20"/>
    </w:rPr>
  </w:style>
  <w:style w:type="paragraph" w:styleId="TOC6">
    <w:name w:val="toc 6"/>
    <w:basedOn w:val="Normal"/>
    <w:next w:val="Normal"/>
    <w:autoRedefine/>
    <w:semiHidden/>
    <w:locked/>
    <w:rsid w:val="00AC7ECF"/>
    <w:pPr>
      <w:ind w:left="1100"/>
    </w:pPr>
    <w:rPr>
      <w:rFonts w:asciiTheme="minorHAnsi" w:hAnsiTheme="minorHAnsi"/>
      <w:sz w:val="20"/>
      <w:szCs w:val="20"/>
    </w:rPr>
  </w:style>
  <w:style w:type="paragraph" w:styleId="TOC7">
    <w:name w:val="toc 7"/>
    <w:basedOn w:val="Normal"/>
    <w:next w:val="Normal"/>
    <w:autoRedefine/>
    <w:semiHidden/>
    <w:locked/>
    <w:rsid w:val="00AC7ECF"/>
    <w:pPr>
      <w:ind w:left="1320"/>
    </w:pPr>
    <w:rPr>
      <w:rFonts w:asciiTheme="minorHAnsi" w:hAnsiTheme="minorHAnsi"/>
      <w:sz w:val="20"/>
      <w:szCs w:val="20"/>
    </w:rPr>
  </w:style>
  <w:style w:type="paragraph" w:styleId="TOC8">
    <w:name w:val="toc 8"/>
    <w:basedOn w:val="Normal"/>
    <w:next w:val="Normal"/>
    <w:autoRedefine/>
    <w:semiHidden/>
    <w:locked/>
    <w:rsid w:val="00AC7ECF"/>
    <w:pPr>
      <w:ind w:left="1540"/>
    </w:pPr>
    <w:rPr>
      <w:rFonts w:asciiTheme="minorHAnsi" w:hAnsiTheme="minorHAnsi"/>
      <w:sz w:val="20"/>
      <w:szCs w:val="20"/>
    </w:rPr>
  </w:style>
  <w:style w:type="paragraph" w:styleId="TOC9">
    <w:name w:val="toc 9"/>
    <w:basedOn w:val="Normal"/>
    <w:next w:val="Normal"/>
    <w:autoRedefine/>
    <w:semiHidden/>
    <w:locked/>
    <w:rsid w:val="00AC7ECF"/>
    <w:pPr>
      <w:ind w:left="1760"/>
    </w:pPr>
    <w:rPr>
      <w:rFonts w:asciiTheme="minorHAnsi" w:hAnsiTheme="minorHAnsi"/>
      <w:sz w:val="20"/>
      <w:szCs w:val="20"/>
    </w:rPr>
  </w:style>
  <w:style w:type="paragraph" w:customStyle="1" w:styleId="CaracterCaracterCharCharCaracterCaracter">
    <w:name w:val="Caracter Caracter Char Char Caracter Caracter"/>
    <w:basedOn w:val="Normal"/>
    <w:rsid w:val="007B24E0"/>
    <w:pPr>
      <w:spacing w:after="160" w:line="240" w:lineRule="exact"/>
    </w:pPr>
    <w:rPr>
      <w:rFonts w:cs="Times New Roman"/>
      <w:sz w:val="20"/>
      <w:szCs w:val="20"/>
    </w:rPr>
  </w:style>
  <w:style w:type="character" w:customStyle="1" w:styleId="hps">
    <w:name w:val="hps"/>
    <w:rsid w:val="00A05B24"/>
    <w:rPr>
      <w:rFonts w:cs="Times New Roman"/>
    </w:rPr>
  </w:style>
  <w:style w:type="paragraph" w:customStyle="1" w:styleId="Caracter2CharCharCaracterCharCharCaracterCharCharCaracterCharChar">
    <w:name w:val="Caracter2 Char Char Caracter Char Char Caracter Char Char Caracter Char Char"/>
    <w:basedOn w:val="Normal"/>
    <w:rsid w:val="009E698B"/>
    <w:rPr>
      <w:rFonts w:ascii="Times New Roman" w:hAnsi="Times New Roman" w:cs="Times New Roman"/>
      <w:lang w:val="pl-PL" w:eastAsia="pl-PL"/>
    </w:rPr>
  </w:style>
  <w:style w:type="paragraph" w:customStyle="1" w:styleId="CharChar3CaracterCaracter1CharCharCaracterCaracter1CaracterCaracterCharCharCaracterCaracterCharCharCaracterCaracterCharCharCaracterCaracterCaracterCaracter1CharChar1Caracter1">
    <w:name w:val="Char Char3 Caracter Caracter1 Char Char Caracter Caracter1 Caracter Caracter Char Char Caracter Caracter Char Char Caracter Caracter Char Char Caracter Caracter Caracter Caracter1 Char Char1 Caracter1"/>
    <w:basedOn w:val="Normal"/>
    <w:rsid w:val="003E7163"/>
    <w:rPr>
      <w:rFonts w:ascii="Times New Roman" w:hAnsi="Times New Roman" w:cs="Times New Roman"/>
      <w:lang w:val="pl-PL" w:eastAsia="pl-PL"/>
    </w:rPr>
  </w:style>
  <w:style w:type="character" w:styleId="Strong">
    <w:name w:val="Strong"/>
    <w:qFormat/>
    <w:locked/>
    <w:rsid w:val="00E0466D"/>
    <w:rPr>
      <w:rFonts w:cs="Times New Roman"/>
      <w:b/>
      <w:bCs/>
    </w:rPr>
  </w:style>
  <w:style w:type="character" w:customStyle="1" w:styleId="apple-converted-space">
    <w:name w:val="apple-converted-space"/>
    <w:rsid w:val="00E0466D"/>
    <w:rPr>
      <w:rFonts w:cs="Times New Roman"/>
    </w:rPr>
  </w:style>
  <w:style w:type="character" w:styleId="Emphasis">
    <w:name w:val="Emphasis"/>
    <w:qFormat/>
    <w:locked/>
    <w:rsid w:val="00913145"/>
    <w:rPr>
      <w:i/>
    </w:rPr>
  </w:style>
  <w:style w:type="paragraph" w:styleId="EndnoteText">
    <w:name w:val="endnote text"/>
    <w:basedOn w:val="Normal"/>
    <w:link w:val="EndnoteTextChar"/>
    <w:semiHidden/>
    <w:rsid w:val="000F3045"/>
    <w:rPr>
      <w:sz w:val="20"/>
      <w:szCs w:val="20"/>
    </w:rPr>
  </w:style>
  <w:style w:type="character" w:customStyle="1" w:styleId="EndnoteTextChar">
    <w:name w:val="Endnote Text Char"/>
    <w:link w:val="EndnoteText"/>
    <w:semiHidden/>
    <w:locked/>
    <w:rsid w:val="000F3045"/>
    <w:rPr>
      <w:rFonts w:eastAsia="Times New Roman" w:cs="Calibri"/>
      <w:lang w:val="en-US" w:eastAsia="en-US"/>
    </w:rPr>
  </w:style>
  <w:style w:type="character" w:styleId="EndnoteReference">
    <w:name w:val="endnote reference"/>
    <w:semiHidden/>
    <w:rsid w:val="000F3045"/>
    <w:rPr>
      <w:rFonts w:cs="Times New Roman"/>
      <w:vertAlign w:val="superscript"/>
    </w:rPr>
  </w:style>
  <w:style w:type="paragraph" w:customStyle="1" w:styleId="CaracterCaracter13">
    <w:name w:val="Caracter Caracter13"/>
    <w:basedOn w:val="Normal"/>
    <w:rsid w:val="00541C07"/>
    <w:rPr>
      <w:rFonts w:ascii="Times New Roman" w:hAnsi="Times New Roman" w:cs="Times New Roman"/>
      <w:lang w:val="pl-PL" w:eastAsia="pl-PL"/>
    </w:rPr>
  </w:style>
  <w:style w:type="paragraph" w:styleId="BodyText2">
    <w:name w:val="Body Text 2"/>
    <w:basedOn w:val="Normal"/>
    <w:link w:val="BodyText2Char"/>
    <w:rsid w:val="00541C07"/>
    <w:rPr>
      <w:rFonts w:ascii="Times New Roman" w:hAnsi="Times New Roman" w:cs="Times New Roman"/>
      <w:sz w:val="28"/>
      <w:szCs w:val="20"/>
      <w:lang w:val="en-GB"/>
    </w:rPr>
  </w:style>
  <w:style w:type="character" w:customStyle="1" w:styleId="BodyText2Char">
    <w:name w:val="Body Text 2 Char"/>
    <w:link w:val="BodyText2"/>
    <w:locked/>
    <w:rsid w:val="00541C07"/>
    <w:rPr>
      <w:rFonts w:ascii="Times New Roman" w:hAnsi="Times New Roman" w:cs="Times New Roman"/>
      <w:sz w:val="28"/>
      <w:lang w:val="en-GB" w:eastAsia="en-US"/>
    </w:rPr>
  </w:style>
  <w:style w:type="paragraph" w:customStyle="1" w:styleId="DefaultText2">
    <w:name w:val="Default Text:2"/>
    <w:basedOn w:val="Normal"/>
    <w:rsid w:val="00541C07"/>
    <w:pPr>
      <w:autoSpaceDE w:val="0"/>
      <w:autoSpaceDN w:val="0"/>
      <w:adjustRightInd w:val="0"/>
    </w:pPr>
    <w:rPr>
      <w:rFonts w:ascii="Times New Roman" w:hAnsi="Times New Roman" w:cs="Times New Roman"/>
    </w:rPr>
  </w:style>
  <w:style w:type="paragraph" w:styleId="Quote">
    <w:name w:val="Quote"/>
    <w:basedOn w:val="Normal"/>
    <w:next w:val="Normal"/>
    <w:link w:val="QuoteChar"/>
    <w:qFormat/>
    <w:rsid w:val="00F14727"/>
    <w:pPr>
      <w:spacing w:before="200" w:after="160"/>
      <w:ind w:left="864" w:right="864"/>
      <w:jc w:val="center"/>
    </w:pPr>
    <w:rPr>
      <w:i/>
      <w:iCs/>
      <w:color w:val="404040"/>
    </w:rPr>
  </w:style>
  <w:style w:type="character" w:customStyle="1" w:styleId="QuoteChar">
    <w:name w:val="Quote Char"/>
    <w:link w:val="Quote"/>
    <w:locked/>
    <w:rsid w:val="00F14727"/>
    <w:rPr>
      <w:rFonts w:eastAsia="Times New Roman" w:cs="Calibri"/>
      <w:i/>
      <w:iCs/>
      <w:color w:val="404040"/>
      <w:sz w:val="22"/>
      <w:szCs w:val="22"/>
      <w:lang w:val="en-US" w:eastAsia="en-US"/>
    </w:rPr>
  </w:style>
  <w:style w:type="paragraph" w:customStyle="1" w:styleId="DefaultText">
    <w:name w:val="Default Text"/>
    <w:basedOn w:val="Normal"/>
    <w:rsid w:val="000C22FC"/>
    <w:pPr>
      <w:overflowPunct w:val="0"/>
      <w:autoSpaceDE w:val="0"/>
      <w:autoSpaceDN w:val="0"/>
      <w:adjustRightInd w:val="0"/>
      <w:textAlignment w:val="baseline"/>
    </w:pPr>
    <w:rPr>
      <w:rFonts w:ascii="Times New Roman" w:hAnsi="Times New Roman" w:cs="Times New Roman"/>
    </w:rPr>
  </w:style>
  <w:style w:type="paragraph" w:customStyle="1" w:styleId="CaracterCaracter12">
    <w:name w:val="Caracter Caracter12"/>
    <w:basedOn w:val="Normal"/>
    <w:rsid w:val="000C22FC"/>
    <w:rPr>
      <w:rFonts w:ascii="Times New Roman" w:hAnsi="Times New Roman" w:cs="Times New Roman"/>
      <w:lang w:val="pl-PL" w:eastAsia="pl-PL"/>
    </w:rPr>
  </w:style>
  <w:style w:type="character" w:styleId="CommentReference">
    <w:name w:val="annotation reference"/>
    <w:semiHidden/>
    <w:rsid w:val="00D9431C"/>
    <w:rPr>
      <w:rFonts w:cs="Times New Roman"/>
      <w:sz w:val="16"/>
      <w:szCs w:val="16"/>
    </w:rPr>
  </w:style>
  <w:style w:type="paragraph" w:styleId="CommentText">
    <w:name w:val="annotation text"/>
    <w:basedOn w:val="Normal"/>
    <w:link w:val="CommentTextChar"/>
    <w:semiHidden/>
    <w:rsid w:val="00D9431C"/>
    <w:rPr>
      <w:sz w:val="20"/>
      <w:szCs w:val="20"/>
    </w:rPr>
  </w:style>
  <w:style w:type="character" w:customStyle="1" w:styleId="CommentTextChar">
    <w:name w:val="Comment Text Char"/>
    <w:link w:val="CommentText"/>
    <w:semiHidden/>
    <w:locked/>
    <w:rsid w:val="00D9431C"/>
    <w:rPr>
      <w:rFonts w:eastAsia="Times New Roman" w:cs="Calibri"/>
      <w:lang w:val="en-US" w:eastAsia="en-US"/>
    </w:rPr>
  </w:style>
  <w:style w:type="paragraph" w:styleId="CommentSubject">
    <w:name w:val="annotation subject"/>
    <w:basedOn w:val="CommentText"/>
    <w:next w:val="CommentText"/>
    <w:link w:val="CommentSubjectChar"/>
    <w:semiHidden/>
    <w:rsid w:val="00D9431C"/>
    <w:rPr>
      <w:b/>
      <w:bCs/>
    </w:rPr>
  </w:style>
  <w:style w:type="character" w:customStyle="1" w:styleId="CommentSubjectChar">
    <w:name w:val="Comment Subject Char"/>
    <w:link w:val="CommentSubject"/>
    <w:semiHidden/>
    <w:locked/>
    <w:rsid w:val="00D9431C"/>
    <w:rPr>
      <w:rFonts w:eastAsia="Times New Roman" w:cs="Calibri"/>
      <w:b/>
      <w:bCs/>
      <w:lang w:val="en-US" w:eastAsia="en-US"/>
    </w:rPr>
  </w:style>
  <w:style w:type="paragraph" w:styleId="Revision">
    <w:name w:val="Revision"/>
    <w:hidden/>
    <w:semiHidden/>
    <w:rsid w:val="00D45C6C"/>
    <w:rPr>
      <w:rFonts w:cs="Calibri"/>
      <w:sz w:val="22"/>
      <w:szCs w:val="22"/>
      <w:lang w:val="en-US" w:eastAsia="en-US"/>
    </w:rPr>
  </w:style>
  <w:style w:type="character" w:styleId="PageNumber">
    <w:name w:val="page number"/>
    <w:rsid w:val="000B76FB"/>
    <w:rPr>
      <w:rFonts w:cs="Times New Roman"/>
    </w:rPr>
  </w:style>
  <w:style w:type="character" w:styleId="FollowedHyperlink">
    <w:name w:val="FollowedHyperlink"/>
    <w:basedOn w:val="DefaultParagraphFont"/>
    <w:uiPriority w:val="99"/>
    <w:unhideWhenUsed/>
    <w:rsid w:val="003037CC"/>
    <w:rPr>
      <w:color w:val="800080"/>
      <w:u w:val="single"/>
    </w:rPr>
  </w:style>
  <w:style w:type="paragraph" w:customStyle="1" w:styleId="xl288">
    <w:name w:val="xl288"/>
    <w:basedOn w:val="Normal"/>
    <w:rsid w:val="003037CC"/>
    <w:pPr>
      <w:shd w:val="clear" w:color="000000" w:fill="FFFFFF"/>
      <w:spacing w:before="100" w:beforeAutospacing="1" w:after="100" w:afterAutospacing="1"/>
      <w:jc w:val="center"/>
    </w:pPr>
    <w:rPr>
      <w:rFonts w:ascii="Arial" w:eastAsia="Times New Roman" w:hAnsi="Arial" w:cs="Arial"/>
    </w:rPr>
  </w:style>
  <w:style w:type="paragraph" w:customStyle="1" w:styleId="xl289">
    <w:name w:val="xl289"/>
    <w:basedOn w:val="Normal"/>
    <w:rsid w:val="003037CC"/>
    <w:pPr>
      <w:shd w:val="clear" w:color="000000" w:fill="FFFFFF"/>
      <w:spacing w:before="100" w:beforeAutospacing="1" w:after="100" w:afterAutospacing="1"/>
      <w:jc w:val="center"/>
    </w:pPr>
    <w:rPr>
      <w:rFonts w:ascii="Arial" w:eastAsia="Times New Roman" w:hAnsi="Arial" w:cs="Arial"/>
      <w:b/>
      <w:bCs/>
    </w:rPr>
  </w:style>
  <w:style w:type="paragraph" w:customStyle="1" w:styleId="xl290">
    <w:name w:val="xl290"/>
    <w:basedOn w:val="Normal"/>
    <w:rsid w:val="003037CC"/>
    <w:pPr>
      <w:shd w:val="clear" w:color="000000" w:fill="FFFFFF"/>
      <w:spacing w:before="100" w:beforeAutospacing="1" w:after="100" w:afterAutospacing="1"/>
    </w:pPr>
    <w:rPr>
      <w:rFonts w:ascii="Arial" w:eastAsia="Times New Roman" w:hAnsi="Arial" w:cs="Arial"/>
      <w:i/>
      <w:iCs/>
    </w:rPr>
  </w:style>
  <w:style w:type="paragraph" w:customStyle="1" w:styleId="xl291">
    <w:name w:val="xl291"/>
    <w:basedOn w:val="Normal"/>
    <w:rsid w:val="003037CC"/>
    <w:pPr>
      <w:shd w:val="clear" w:color="000000" w:fill="FFFFFF"/>
      <w:spacing w:before="100" w:beforeAutospacing="1" w:after="100" w:afterAutospacing="1"/>
      <w:jc w:val="right"/>
    </w:pPr>
    <w:rPr>
      <w:rFonts w:ascii="Arial" w:eastAsia="Times New Roman" w:hAnsi="Arial" w:cs="Arial"/>
      <w:b/>
      <w:bCs/>
    </w:rPr>
  </w:style>
  <w:style w:type="paragraph" w:customStyle="1" w:styleId="xl292">
    <w:name w:val="xl292"/>
    <w:basedOn w:val="Normal"/>
    <w:rsid w:val="003037CC"/>
    <w:pPr>
      <w:shd w:val="clear" w:color="000000" w:fill="FFFFFF"/>
      <w:spacing w:before="100" w:beforeAutospacing="1" w:after="100" w:afterAutospacing="1"/>
      <w:jc w:val="right"/>
    </w:pPr>
    <w:rPr>
      <w:rFonts w:ascii="Arial" w:eastAsia="Times New Roman" w:hAnsi="Arial" w:cs="Arial"/>
    </w:rPr>
  </w:style>
  <w:style w:type="paragraph" w:customStyle="1" w:styleId="xl293">
    <w:name w:val="xl293"/>
    <w:basedOn w:val="Normal"/>
    <w:rsid w:val="003037CC"/>
    <w:pPr>
      <w:pBdr>
        <w:bottom w:val="single" w:sz="8" w:space="0" w:color="auto"/>
      </w:pBdr>
      <w:shd w:val="clear" w:color="000000" w:fill="FFFFFF"/>
      <w:spacing w:before="100" w:beforeAutospacing="1" w:after="100" w:afterAutospacing="1"/>
      <w:jc w:val="right"/>
    </w:pPr>
    <w:rPr>
      <w:rFonts w:ascii="Arial" w:eastAsia="Times New Roman" w:hAnsi="Arial" w:cs="Arial"/>
    </w:rPr>
  </w:style>
  <w:style w:type="paragraph" w:customStyle="1" w:styleId="xl294">
    <w:name w:val="xl294"/>
    <w:basedOn w:val="Normal"/>
    <w:rsid w:val="003037C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rFonts w:ascii="Arial" w:eastAsia="Times New Roman" w:hAnsi="Arial" w:cs="Arial"/>
      <w:b/>
      <w:bCs/>
      <w:sz w:val="28"/>
      <w:szCs w:val="28"/>
    </w:rPr>
  </w:style>
  <w:style w:type="paragraph" w:customStyle="1" w:styleId="xl295">
    <w:name w:val="xl295"/>
    <w:basedOn w:val="Normal"/>
    <w:rsid w:val="003037CC"/>
    <w:pPr>
      <w:pBdr>
        <w:bottom w:val="single" w:sz="4" w:space="0" w:color="auto"/>
      </w:pBdr>
      <w:shd w:val="clear" w:color="000000" w:fill="FFFFFF"/>
      <w:spacing w:before="100" w:beforeAutospacing="1" w:after="100" w:afterAutospacing="1"/>
      <w:jc w:val="center"/>
      <w:textAlignment w:val="center"/>
    </w:pPr>
    <w:rPr>
      <w:rFonts w:ascii="Arial" w:eastAsia="Times New Roman" w:hAnsi="Arial" w:cs="Arial"/>
    </w:rPr>
  </w:style>
  <w:style w:type="paragraph" w:customStyle="1" w:styleId="xl296">
    <w:name w:val="xl296"/>
    <w:basedOn w:val="Normal"/>
    <w:rsid w:val="003037CC"/>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rPr>
  </w:style>
  <w:style w:type="paragraph" w:customStyle="1" w:styleId="xl297">
    <w:name w:val="xl297"/>
    <w:basedOn w:val="Normal"/>
    <w:rsid w:val="003037C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rPr>
  </w:style>
  <w:style w:type="paragraph" w:customStyle="1" w:styleId="xl298">
    <w:name w:val="xl298"/>
    <w:basedOn w:val="Normal"/>
    <w:rsid w:val="003037CC"/>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299">
    <w:name w:val="xl299"/>
    <w:basedOn w:val="Normal"/>
    <w:rsid w:val="003037CC"/>
    <w:pPr>
      <w:pBdr>
        <w:left w:val="single" w:sz="8" w:space="0" w:color="auto"/>
        <w:bottom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300">
    <w:name w:val="xl300"/>
    <w:basedOn w:val="Normal"/>
    <w:rsid w:val="003037C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rPr>
  </w:style>
  <w:style w:type="paragraph" w:customStyle="1" w:styleId="xl301">
    <w:name w:val="xl301"/>
    <w:basedOn w:val="Normal"/>
    <w:rsid w:val="003037CC"/>
    <w:pPr>
      <w:pBdr>
        <w:bottom w:val="single" w:sz="4" w:space="0" w:color="auto"/>
      </w:pBdr>
      <w:shd w:val="clear" w:color="000000" w:fill="FFFFFF"/>
      <w:spacing w:before="100" w:beforeAutospacing="1" w:after="100" w:afterAutospacing="1"/>
      <w:jc w:val="right"/>
      <w:textAlignment w:val="center"/>
    </w:pPr>
    <w:rPr>
      <w:rFonts w:ascii="Arial" w:eastAsia="Times New Roman" w:hAnsi="Arial" w:cs="Arial"/>
    </w:rPr>
  </w:style>
  <w:style w:type="paragraph" w:customStyle="1" w:styleId="xl302">
    <w:name w:val="xl302"/>
    <w:basedOn w:val="Normal"/>
    <w:rsid w:val="003037CC"/>
    <w:pPr>
      <w:pBdr>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rPr>
  </w:style>
  <w:style w:type="paragraph" w:customStyle="1" w:styleId="xl303">
    <w:name w:val="xl303"/>
    <w:basedOn w:val="Normal"/>
    <w:rsid w:val="003037CC"/>
    <w:pPr>
      <w:shd w:val="clear" w:color="000000" w:fill="FFFFFF"/>
      <w:spacing w:before="100" w:beforeAutospacing="1" w:after="100" w:afterAutospacing="1"/>
      <w:jc w:val="center"/>
    </w:pPr>
    <w:rPr>
      <w:rFonts w:ascii="Arial" w:eastAsia="Times New Roman" w:hAnsi="Arial" w:cs="Arial"/>
      <w:b/>
      <w:bCs/>
      <w:sz w:val="28"/>
      <w:szCs w:val="28"/>
    </w:rPr>
  </w:style>
  <w:style w:type="paragraph" w:customStyle="1" w:styleId="xl304">
    <w:name w:val="xl304"/>
    <w:basedOn w:val="Normal"/>
    <w:rsid w:val="003037C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rPr>
  </w:style>
  <w:style w:type="paragraph" w:customStyle="1" w:styleId="xl305">
    <w:name w:val="xl305"/>
    <w:basedOn w:val="Normal"/>
    <w:rsid w:val="003037CC"/>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rPr>
  </w:style>
  <w:style w:type="paragraph" w:customStyle="1" w:styleId="xl306">
    <w:name w:val="xl306"/>
    <w:basedOn w:val="Normal"/>
    <w:rsid w:val="003037CC"/>
    <w:pPr>
      <w:pBdr>
        <w:top w:val="single" w:sz="4" w:space="0" w:color="auto"/>
        <w:bottom w:val="single" w:sz="4" w:space="0" w:color="auto"/>
      </w:pBdr>
      <w:shd w:val="clear" w:color="000000" w:fill="FFFFFF"/>
      <w:spacing w:before="100" w:beforeAutospacing="1" w:after="100" w:afterAutospacing="1"/>
      <w:jc w:val="right"/>
      <w:textAlignment w:val="center"/>
    </w:pPr>
    <w:rPr>
      <w:rFonts w:ascii="Arial" w:eastAsia="Times New Roman" w:hAnsi="Arial" w:cs="Arial"/>
    </w:rPr>
  </w:style>
  <w:style w:type="paragraph" w:customStyle="1" w:styleId="xl307">
    <w:name w:val="xl307"/>
    <w:basedOn w:val="Normal"/>
    <w:rsid w:val="003037C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rPr>
  </w:style>
  <w:style w:type="paragraph" w:customStyle="1" w:styleId="xl308">
    <w:name w:val="xl308"/>
    <w:basedOn w:val="Normal"/>
    <w:rsid w:val="003037C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rPr>
  </w:style>
  <w:style w:type="paragraph" w:customStyle="1" w:styleId="xl309">
    <w:name w:val="xl309"/>
    <w:basedOn w:val="Normal"/>
    <w:rsid w:val="003037C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b/>
      <w:bCs/>
    </w:rPr>
  </w:style>
  <w:style w:type="paragraph" w:customStyle="1" w:styleId="xl310">
    <w:name w:val="xl310"/>
    <w:basedOn w:val="Normal"/>
    <w:rsid w:val="003037CC"/>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b/>
      <w:bCs/>
    </w:rPr>
  </w:style>
  <w:style w:type="paragraph" w:customStyle="1" w:styleId="xl311">
    <w:name w:val="xl311"/>
    <w:basedOn w:val="Normal"/>
    <w:rsid w:val="003037C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b/>
      <w:bCs/>
    </w:rPr>
  </w:style>
  <w:style w:type="paragraph" w:customStyle="1" w:styleId="xl312">
    <w:name w:val="xl312"/>
    <w:basedOn w:val="Normal"/>
    <w:rsid w:val="003037CC"/>
    <w:pPr>
      <w:pBdr>
        <w:top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b/>
      <w:bCs/>
    </w:rPr>
  </w:style>
  <w:style w:type="paragraph" w:customStyle="1" w:styleId="xl313">
    <w:name w:val="xl313"/>
    <w:basedOn w:val="Normal"/>
    <w:rsid w:val="003037CC"/>
    <w:pPr>
      <w:shd w:val="clear" w:color="000000" w:fill="FFFFFF"/>
      <w:spacing w:before="100" w:beforeAutospacing="1" w:after="100" w:afterAutospacing="1"/>
      <w:jc w:val="center"/>
      <w:textAlignment w:val="center"/>
    </w:pPr>
    <w:rPr>
      <w:rFonts w:ascii="Arial" w:eastAsia="Times New Roman" w:hAnsi="Arial" w:cs="Arial"/>
    </w:rPr>
  </w:style>
  <w:style w:type="paragraph" w:customStyle="1" w:styleId="xl314">
    <w:name w:val="xl314"/>
    <w:basedOn w:val="Normal"/>
    <w:rsid w:val="003037CC"/>
    <w:pPr>
      <w:pBdr>
        <w:left w:val="single" w:sz="8" w:space="0" w:color="auto"/>
      </w:pBdr>
      <w:shd w:val="clear" w:color="000000" w:fill="FFFFFF"/>
      <w:spacing w:before="100" w:beforeAutospacing="1" w:after="100" w:afterAutospacing="1"/>
      <w:jc w:val="right"/>
      <w:textAlignment w:val="center"/>
    </w:pPr>
    <w:rPr>
      <w:rFonts w:ascii="Arial" w:eastAsia="Times New Roman" w:hAnsi="Arial" w:cs="Arial"/>
    </w:rPr>
  </w:style>
  <w:style w:type="paragraph" w:customStyle="1" w:styleId="xl315">
    <w:name w:val="xl315"/>
    <w:basedOn w:val="Normal"/>
    <w:rsid w:val="003037CC"/>
    <w:pPr>
      <w:shd w:val="clear" w:color="000000" w:fill="FFFFFF"/>
      <w:spacing w:before="100" w:beforeAutospacing="1" w:after="100" w:afterAutospacing="1"/>
      <w:jc w:val="right"/>
      <w:textAlignment w:val="center"/>
    </w:pPr>
    <w:rPr>
      <w:rFonts w:ascii="Arial" w:eastAsia="Times New Roman" w:hAnsi="Arial" w:cs="Arial"/>
    </w:rPr>
  </w:style>
  <w:style w:type="paragraph" w:customStyle="1" w:styleId="xl316">
    <w:name w:val="xl316"/>
    <w:basedOn w:val="Normal"/>
    <w:rsid w:val="003037CC"/>
    <w:pPr>
      <w:pBdr>
        <w:right w:val="single" w:sz="8" w:space="0" w:color="auto"/>
      </w:pBdr>
      <w:shd w:val="clear" w:color="000000" w:fill="FFFFFF"/>
      <w:spacing w:before="100" w:beforeAutospacing="1" w:after="100" w:afterAutospacing="1"/>
      <w:jc w:val="right"/>
      <w:textAlignment w:val="center"/>
    </w:pPr>
    <w:rPr>
      <w:rFonts w:ascii="Arial" w:eastAsia="Times New Roman" w:hAnsi="Arial" w:cs="Arial"/>
    </w:rPr>
  </w:style>
  <w:style w:type="paragraph" w:customStyle="1" w:styleId="xl317">
    <w:name w:val="xl317"/>
    <w:basedOn w:val="Normal"/>
    <w:rsid w:val="003037CC"/>
    <w:pPr>
      <w:pBdr>
        <w:left w:val="single" w:sz="8" w:space="0" w:color="auto"/>
      </w:pBdr>
      <w:shd w:val="clear" w:color="000000" w:fill="FFFFFF"/>
      <w:spacing w:before="100" w:beforeAutospacing="1" w:after="100" w:afterAutospacing="1"/>
      <w:jc w:val="right"/>
      <w:textAlignment w:val="center"/>
    </w:pPr>
    <w:rPr>
      <w:rFonts w:ascii="Arial" w:eastAsia="Times New Roman" w:hAnsi="Arial" w:cs="Arial"/>
    </w:rPr>
  </w:style>
  <w:style w:type="paragraph" w:customStyle="1" w:styleId="xl318">
    <w:name w:val="xl318"/>
    <w:basedOn w:val="Normal"/>
    <w:rsid w:val="003037CC"/>
    <w:pPr>
      <w:pBdr>
        <w:left w:val="single" w:sz="8" w:space="0" w:color="auto"/>
      </w:pBdr>
      <w:shd w:val="clear" w:color="000000" w:fill="FFFFFF"/>
      <w:spacing w:before="100" w:beforeAutospacing="1" w:after="100" w:afterAutospacing="1"/>
      <w:jc w:val="right"/>
      <w:textAlignment w:val="center"/>
    </w:pPr>
    <w:rPr>
      <w:rFonts w:ascii="Arial" w:eastAsia="Times New Roman" w:hAnsi="Arial" w:cs="Arial"/>
      <w:b/>
      <w:bCs/>
    </w:rPr>
  </w:style>
  <w:style w:type="paragraph" w:customStyle="1" w:styleId="xl319">
    <w:name w:val="xl319"/>
    <w:basedOn w:val="Normal"/>
    <w:rsid w:val="003037CC"/>
    <w:pPr>
      <w:shd w:val="clear" w:color="000000" w:fill="FFFFFF"/>
      <w:spacing w:before="100" w:beforeAutospacing="1" w:after="100" w:afterAutospacing="1"/>
      <w:jc w:val="right"/>
      <w:textAlignment w:val="center"/>
    </w:pPr>
    <w:rPr>
      <w:rFonts w:ascii="Arial" w:eastAsia="Times New Roman" w:hAnsi="Arial" w:cs="Arial"/>
      <w:b/>
      <w:bCs/>
    </w:rPr>
  </w:style>
  <w:style w:type="paragraph" w:customStyle="1" w:styleId="xl320">
    <w:name w:val="xl320"/>
    <w:basedOn w:val="Normal"/>
    <w:rsid w:val="003037CC"/>
    <w:pPr>
      <w:pBdr>
        <w:right w:val="single" w:sz="8" w:space="0" w:color="auto"/>
      </w:pBdr>
      <w:shd w:val="clear" w:color="000000" w:fill="FFFFFF"/>
      <w:spacing w:before="100" w:beforeAutospacing="1" w:after="100" w:afterAutospacing="1"/>
      <w:jc w:val="right"/>
      <w:textAlignment w:val="center"/>
    </w:pPr>
    <w:rPr>
      <w:rFonts w:ascii="Arial" w:eastAsia="Times New Roman" w:hAnsi="Arial" w:cs="Arial"/>
      <w:b/>
      <w:bCs/>
    </w:rPr>
  </w:style>
  <w:style w:type="paragraph" w:customStyle="1" w:styleId="xl321">
    <w:name w:val="xl321"/>
    <w:basedOn w:val="Normal"/>
    <w:rsid w:val="003037CC"/>
    <w:pPr>
      <w:pBdr>
        <w:left w:val="single" w:sz="8" w:space="0" w:color="auto"/>
      </w:pBdr>
      <w:shd w:val="clear" w:color="000000" w:fill="FFFFFF"/>
      <w:spacing w:before="100" w:beforeAutospacing="1" w:after="100" w:afterAutospacing="1"/>
      <w:jc w:val="right"/>
      <w:textAlignment w:val="center"/>
    </w:pPr>
    <w:rPr>
      <w:rFonts w:ascii="Arial" w:eastAsia="Times New Roman" w:hAnsi="Arial" w:cs="Arial"/>
      <w:b/>
      <w:bCs/>
    </w:rPr>
  </w:style>
  <w:style w:type="paragraph" w:customStyle="1" w:styleId="xl322">
    <w:name w:val="xl322"/>
    <w:basedOn w:val="Normal"/>
    <w:rsid w:val="003037CC"/>
    <w:pPr>
      <w:pBdr>
        <w:right w:val="single" w:sz="8" w:space="0" w:color="auto"/>
      </w:pBdr>
      <w:spacing w:before="100" w:beforeAutospacing="1" w:after="100" w:afterAutospacing="1"/>
      <w:jc w:val="right"/>
      <w:textAlignment w:val="center"/>
    </w:pPr>
    <w:rPr>
      <w:rFonts w:ascii="Arial" w:eastAsia="Times New Roman" w:hAnsi="Arial" w:cs="Arial"/>
      <w:b/>
      <w:bCs/>
    </w:rPr>
  </w:style>
  <w:style w:type="paragraph" w:customStyle="1" w:styleId="xl323">
    <w:name w:val="xl323"/>
    <w:basedOn w:val="Normal"/>
    <w:rsid w:val="003037CC"/>
    <w:pPr>
      <w:shd w:val="clear" w:color="000000" w:fill="FFFFFF"/>
      <w:spacing w:before="100" w:beforeAutospacing="1" w:after="100" w:afterAutospacing="1"/>
      <w:jc w:val="center"/>
      <w:textAlignment w:val="center"/>
    </w:pPr>
    <w:rPr>
      <w:rFonts w:ascii="Arial" w:eastAsia="Times New Roman" w:hAnsi="Arial" w:cs="Arial"/>
      <w:b/>
      <w:bCs/>
    </w:rPr>
  </w:style>
  <w:style w:type="paragraph" w:customStyle="1" w:styleId="xl324">
    <w:name w:val="xl324"/>
    <w:basedOn w:val="Normal"/>
    <w:rsid w:val="003037CC"/>
    <w:pPr>
      <w:shd w:val="clear" w:color="000000" w:fill="FFFFFF"/>
      <w:spacing w:before="100" w:beforeAutospacing="1" w:after="100" w:afterAutospacing="1"/>
      <w:jc w:val="right"/>
      <w:textAlignment w:val="center"/>
    </w:pPr>
    <w:rPr>
      <w:rFonts w:ascii="Arial" w:eastAsia="Times New Roman" w:hAnsi="Arial" w:cs="Arial"/>
      <w:b/>
      <w:bCs/>
    </w:rPr>
  </w:style>
  <w:style w:type="paragraph" w:customStyle="1" w:styleId="xl325">
    <w:name w:val="xl325"/>
    <w:basedOn w:val="Normal"/>
    <w:rsid w:val="003037CC"/>
    <w:pPr>
      <w:pBdr>
        <w:right w:val="single" w:sz="8" w:space="0" w:color="auto"/>
      </w:pBdr>
      <w:shd w:val="clear" w:color="000000" w:fill="FFFFFF"/>
      <w:spacing w:before="100" w:beforeAutospacing="1" w:after="100" w:afterAutospacing="1"/>
      <w:jc w:val="right"/>
      <w:textAlignment w:val="center"/>
    </w:pPr>
    <w:rPr>
      <w:rFonts w:ascii="Arial" w:eastAsia="Times New Roman" w:hAnsi="Arial" w:cs="Arial"/>
      <w:b/>
      <w:bCs/>
    </w:rPr>
  </w:style>
  <w:style w:type="paragraph" w:customStyle="1" w:styleId="xl326">
    <w:name w:val="xl326"/>
    <w:basedOn w:val="Normal"/>
    <w:rsid w:val="003037CC"/>
    <w:pPr>
      <w:pBdr>
        <w:right w:val="single" w:sz="8" w:space="0" w:color="auto"/>
      </w:pBdr>
      <w:shd w:val="clear" w:color="000000" w:fill="FFFFFF"/>
      <w:spacing w:before="100" w:beforeAutospacing="1" w:after="100" w:afterAutospacing="1"/>
      <w:jc w:val="right"/>
      <w:textAlignment w:val="center"/>
    </w:pPr>
    <w:rPr>
      <w:rFonts w:ascii="Arial" w:eastAsia="Times New Roman" w:hAnsi="Arial" w:cs="Arial"/>
      <w:b/>
      <w:bCs/>
      <w:color w:val="000000"/>
    </w:rPr>
  </w:style>
  <w:style w:type="paragraph" w:customStyle="1" w:styleId="xl327">
    <w:name w:val="xl327"/>
    <w:basedOn w:val="Normal"/>
    <w:rsid w:val="003037CC"/>
    <w:pPr>
      <w:pBdr>
        <w:left w:val="single" w:sz="8" w:space="0" w:color="auto"/>
      </w:pBdr>
      <w:shd w:val="clear" w:color="000000" w:fill="FFFFFF"/>
      <w:spacing w:before="100" w:beforeAutospacing="1" w:after="100" w:afterAutospacing="1"/>
      <w:jc w:val="right"/>
      <w:textAlignment w:val="center"/>
    </w:pPr>
    <w:rPr>
      <w:rFonts w:ascii="Arial" w:eastAsia="Times New Roman" w:hAnsi="Arial" w:cs="Arial"/>
    </w:rPr>
  </w:style>
  <w:style w:type="paragraph" w:customStyle="1" w:styleId="xl328">
    <w:name w:val="xl328"/>
    <w:basedOn w:val="Normal"/>
    <w:rsid w:val="003037CC"/>
    <w:pPr>
      <w:shd w:val="clear" w:color="000000" w:fill="FFFFFF"/>
      <w:spacing w:before="100" w:beforeAutospacing="1" w:after="100" w:afterAutospacing="1"/>
      <w:jc w:val="right"/>
      <w:textAlignment w:val="center"/>
    </w:pPr>
    <w:rPr>
      <w:rFonts w:ascii="Arial" w:eastAsia="Times New Roman" w:hAnsi="Arial" w:cs="Arial"/>
    </w:rPr>
  </w:style>
  <w:style w:type="paragraph" w:customStyle="1" w:styleId="xl329">
    <w:name w:val="xl329"/>
    <w:basedOn w:val="Normal"/>
    <w:rsid w:val="003037CC"/>
    <w:pPr>
      <w:pBdr>
        <w:right w:val="single" w:sz="8" w:space="0" w:color="auto"/>
      </w:pBdr>
      <w:shd w:val="clear" w:color="000000" w:fill="FFFFFF"/>
      <w:spacing w:before="100" w:beforeAutospacing="1" w:after="100" w:afterAutospacing="1"/>
      <w:jc w:val="right"/>
      <w:textAlignment w:val="center"/>
    </w:pPr>
    <w:rPr>
      <w:rFonts w:ascii="Arial" w:eastAsia="Times New Roman" w:hAnsi="Arial" w:cs="Arial"/>
    </w:rPr>
  </w:style>
  <w:style w:type="paragraph" w:customStyle="1" w:styleId="xl330">
    <w:name w:val="xl330"/>
    <w:basedOn w:val="Normal"/>
    <w:rsid w:val="003037CC"/>
    <w:pPr>
      <w:pBdr>
        <w:right w:val="single" w:sz="8" w:space="0" w:color="auto"/>
      </w:pBdr>
      <w:shd w:val="clear" w:color="000000" w:fill="FFFFFF"/>
      <w:spacing w:before="100" w:beforeAutospacing="1" w:after="100" w:afterAutospacing="1"/>
      <w:jc w:val="right"/>
      <w:textAlignment w:val="center"/>
    </w:pPr>
    <w:rPr>
      <w:rFonts w:ascii="Arial" w:eastAsia="Times New Roman" w:hAnsi="Arial" w:cs="Arial"/>
      <w:color w:val="000000"/>
    </w:rPr>
  </w:style>
  <w:style w:type="paragraph" w:customStyle="1" w:styleId="xl331">
    <w:name w:val="xl331"/>
    <w:basedOn w:val="Normal"/>
    <w:rsid w:val="003037CC"/>
    <w:pPr>
      <w:shd w:val="clear" w:color="000000" w:fill="FFFFFF"/>
      <w:spacing w:before="100" w:beforeAutospacing="1" w:after="100" w:afterAutospacing="1"/>
    </w:pPr>
    <w:rPr>
      <w:rFonts w:ascii="Arial" w:eastAsia="Times New Roman" w:hAnsi="Arial" w:cs="Arial"/>
    </w:rPr>
  </w:style>
  <w:style w:type="paragraph" w:customStyle="1" w:styleId="xl332">
    <w:name w:val="xl332"/>
    <w:basedOn w:val="Normal"/>
    <w:rsid w:val="003037CC"/>
    <w:pPr>
      <w:pBdr>
        <w:left w:val="single" w:sz="8" w:space="0" w:color="auto"/>
      </w:pBdr>
      <w:shd w:val="clear" w:color="000000" w:fill="FFFFFF"/>
      <w:spacing w:before="100" w:beforeAutospacing="1" w:after="100" w:afterAutospacing="1"/>
      <w:jc w:val="right"/>
      <w:textAlignment w:val="center"/>
    </w:pPr>
    <w:rPr>
      <w:rFonts w:ascii="Arial" w:eastAsia="Times New Roman" w:hAnsi="Arial" w:cs="Arial"/>
      <w:b/>
      <w:bCs/>
    </w:rPr>
  </w:style>
  <w:style w:type="paragraph" w:customStyle="1" w:styleId="xl333">
    <w:name w:val="xl333"/>
    <w:basedOn w:val="Normal"/>
    <w:rsid w:val="003037CC"/>
    <w:pPr>
      <w:shd w:val="clear" w:color="000000" w:fill="FFFFFF"/>
      <w:spacing w:before="100" w:beforeAutospacing="1" w:after="100" w:afterAutospacing="1"/>
      <w:jc w:val="right"/>
      <w:textAlignment w:val="center"/>
    </w:pPr>
    <w:rPr>
      <w:rFonts w:ascii="Arial" w:eastAsia="Times New Roman" w:hAnsi="Arial" w:cs="Arial"/>
      <w:b/>
      <w:bCs/>
    </w:rPr>
  </w:style>
  <w:style w:type="paragraph" w:customStyle="1" w:styleId="xl334">
    <w:name w:val="xl334"/>
    <w:basedOn w:val="Normal"/>
    <w:rsid w:val="003037CC"/>
    <w:pPr>
      <w:pBdr>
        <w:left w:val="single" w:sz="8" w:space="0" w:color="auto"/>
        <w:right w:val="single" w:sz="8" w:space="0" w:color="auto"/>
      </w:pBdr>
      <w:spacing w:before="100" w:beforeAutospacing="1" w:after="100" w:afterAutospacing="1"/>
    </w:pPr>
    <w:rPr>
      <w:rFonts w:ascii="Arial" w:eastAsia="Times New Roman" w:hAnsi="Arial" w:cs="Arial"/>
      <w:b/>
      <w:bCs/>
    </w:rPr>
  </w:style>
  <w:style w:type="paragraph" w:customStyle="1" w:styleId="xl335">
    <w:name w:val="xl335"/>
    <w:basedOn w:val="Normal"/>
    <w:rsid w:val="003037CC"/>
    <w:pPr>
      <w:pBdr>
        <w:left w:val="single" w:sz="8" w:space="0" w:color="auto"/>
        <w:right w:val="single" w:sz="8" w:space="0" w:color="auto"/>
      </w:pBdr>
      <w:shd w:val="clear" w:color="000000" w:fill="FFFFFF"/>
      <w:spacing w:before="100" w:beforeAutospacing="1" w:after="100" w:afterAutospacing="1"/>
    </w:pPr>
    <w:rPr>
      <w:rFonts w:ascii="Arial" w:eastAsia="Times New Roman" w:hAnsi="Arial" w:cs="Arial"/>
      <w:b/>
      <w:bCs/>
    </w:rPr>
  </w:style>
  <w:style w:type="paragraph" w:customStyle="1" w:styleId="xl336">
    <w:name w:val="xl336"/>
    <w:basedOn w:val="Normal"/>
    <w:rsid w:val="003037CC"/>
    <w:pPr>
      <w:pBdr>
        <w:left w:val="single" w:sz="8" w:space="0" w:color="auto"/>
        <w:right w:val="single" w:sz="8" w:space="0" w:color="auto"/>
      </w:pBdr>
      <w:shd w:val="clear" w:color="000000" w:fill="FFFFFF"/>
      <w:spacing w:before="100" w:beforeAutospacing="1" w:after="100" w:afterAutospacing="1"/>
      <w:textAlignment w:val="center"/>
    </w:pPr>
    <w:rPr>
      <w:rFonts w:ascii="Arial" w:eastAsia="Times New Roman" w:hAnsi="Arial" w:cs="Arial"/>
      <w:b/>
      <w:bCs/>
    </w:rPr>
  </w:style>
  <w:style w:type="paragraph" w:customStyle="1" w:styleId="xl337">
    <w:name w:val="xl337"/>
    <w:basedOn w:val="Normal"/>
    <w:rsid w:val="003037CC"/>
    <w:pPr>
      <w:shd w:val="clear" w:color="000000" w:fill="FFFFFF"/>
      <w:spacing w:before="100" w:beforeAutospacing="1" w:after="100" w:afterAutospacing="1"/>
    </w:pPr>
    <w:rPr>
      <w:rFonts w:ascii="Arial" w:eastAsia="Times New Roman" w:hAnsi="Arial" w:cs="Arial"/>
      <w:b/>
      <w:bCs/>
    </w:rPr>
  </w:style>
  <w:style w:type="paragraph" w:customStyle="1" w:styleId="xl338">
    <w:name w:val="xl338"/>
    <w:basedOn w:val="Normal"/>
    <w:rsid w:val="003037CC"/>
    <w:pPr>
      <w:pBdr>
        <w:right w:val="single" w:sz="8" w:space="0" w:color="auto"/>
      </w:pBdr>
      <w:shd w:val="clear" w:color="000000" w:fill="FFFFFF"/>
      <w:spacing w:before="100" w:beforeAutospacing="1" w:after="100" w:afterAutospacing="1"/>
      <w:jc w:val="right"/>
      <w:textAlignment w:val="center"/>
    </w:pPr>
    <w:rPr>
      <w:rFonts w:ascii="Arial" w:eastAsia="Times New Roman" w:hAnsi="Arial" w:cs="Arial"/>
      <w:b/>
      <w:bCs/>
      <w:color w:val="FF0000"/>
    </w:rPr>
  </w:style>
  <w:style w:type="paragraph" w:customStyle="1" w:styleId="xl339">
    <w:name w:val="xl339"/>
    <w:basedOn w:val="Normal"/>
    <w:rsid w:val="003037CC"/>
    <w:pPr>
      <w:pBdr>
        <w:left w:val="single" w:sz="8" w:space="11" w:color="auto"/>
        <w:right w:val="single" w:sz="8" w:space="0" w:color="auto"/>
      </w:pBdr>
      <w:shd w:val="clear" w:color="000000" w:fill="FFFFFF"/>
      <w:spacing w:before="100" w:beforeAutospacing="1" w:after="100" w:afterAutospacing="1"/>
      <w:ind w:firstLineChars="100" w:firstLine="100"/>
    </w:pPr>
    <w:rPr>
      <w:rFonts w:ascii="Arial" w:eastAsia="Times New Roman" w:hAnsi="Arial" w:cs="Arial"/>
      <w:b/>
      <w:bCs/>
    </w:rPr>
  </w:style>
  <w:style w:type="paragraph" w:customStyle="1" w:styleId="xl340">
    <w:name w:val="xl340"/>
    <w:basedOn w:val="Normal"/>
    <w:rsid w:val="003037CC"/>
    <w:pPr>
      <w:shd w:val="clear" w:color="000000" w:fill="FFFFFF"/>
      <w:spacing w:before="100" w:beforeAutospacing="1" w:after="100" w:afterAutospacing="1"/>
      <w:jc w:val="right"/>
      <w:textAlignment w:val="center"/>
    </w:pPr>
    <w:rPr>
      <w:rFonts w:ascii="Arial" w:eastAsia="Times New Roman" w:hAnsi="Arial" w:cs="Arial"/>
      <w:b/>
      <w:bCs/>
    </w:rPr>
  </w:style>
  <w:style w:type="paragraph" w:customStyle="1" w:styleId="xl341">
    <w:name w:val="xl341"/>
    <w:basedOn w:val="Normal"/>
    <w:rsid w:val="003037CC"/>
    <w:pPr>
      <w:pBdr>
        <w:right w:val="single" w:sz="8" w:space="0" w:color="auto"/>
      </w:pBdr>
      <w:shd w:val="clear" w:color="000000" w:fill="FFFFFF"/>
      <w:spacing w:before="100" w:beforeAutospacing="1" w:after="100" w:afterAutospacing="1"/>
      <w:jc w:val="right"/>
      <w:textAlignment w:val="center"/>
    </w:pPr>
    <w:rPr>
      <w:rFonts w:ascii="Arial" w:eastAsia="Times New Roman" w:hAnsi="Arial" w:cs="Arial"/>
      <w:b/>
      <w:bCs/>
    </w:rPr>
  </w:style>
  <w:style w:type="paragraph" w:customStyle="1" w:styleId="xl342">
    <w:name w:val="xl342"/>
    <w:basedOn w:val="Normal"/>
    <w:rsid w:val="003037CC"/>
    <w:pPr>
      <w:pBdr>
        <w:left w:val="single" w:sz="8" w:space="0" w:color="auto"/>
      </w:pBdr>
      <w:shd w:val="clear" w:color="000000" w:fill="FFFFFF"/>
      <w:spacing w:before="100" w:beforeAutospacing="1" w:after="100" w:afterAutospacing="1"/>
      <w:jc w:val="right"/>
      <w:textAlignment w:val="center"/>
    </w:pPr>
    <w:rPr>
      <w:rFonts w:ascii="Arial" w:eastAsia="Times New Roman" w:hAnsi="Arial" w:cs="Arial"/>
      <w:b/>
      <w:bCs/>
    </w:rPr>
  </w:style>
  <w:style w:type="paragraph" w:customStyle="1" w:styleId="xl343">
    <w:name w:val="xl343"/>
    <w:basedOn w:val="Normal"/>
    <w:rsid w:val="003037CC"/>
    <w:pPr>
      <w:pBdr>
        <w:right w:val="single" w:sz="8" w:space="0" w:color="auto"/>
      </w:pBdr>
      <w:shd w:val="clear" w:color="000000" w:fill="FFFFFF"/>
      <w:spacing w:before="100" w:beforeAutospacing="1" w:after="100" w:afterAutospacing="1"/>
      <w:jc w:val="right"/>
      <w:textAlignment w:val="center"/>
    </w:pPr>
    <w:rPr>
      <w:rFonts w:ascii="Arial" w:eastAsia="Times New Roman" w:hAnsi="Arial" w:cs="Arial"/>
      <w:b/>
      <w:bCs/>
      <w:color w:val="000000"/>
    </w:rPr>
  </w:style>
  <w:style w:type="paragraph" w:customStyle="1" w:styleId="xl344">
    <w:name w:val="xl344"/>
    <w:basedOn w:val="Normal"/>
    <w:rsid w:val="003037CC"/>
    <w:pPr>
      <w:shd w:val="clear" w:color="000000" w:fill="FFFFFF"/>
      <w:spacing w:before="100" w:beforeAutospacing="1" w:after="100" w:afterAutospacing="1"/>
      <w:jc w:val="right"/>
      <w:textAlignment w:val="center"/>
    </w:pPr>
    <w:rPr>
      <w:rFonts w:ascii="Arial" w:eastAsia="Times New Roman" w:hAnsi="Arial" w:cs="Arial"/>
      <w:b/>
      <w:bCs/>
    </w:rPr>
  </w:style>
  <w:style w:type="paragraph" w:customStyle="1" w:styleId="xl345">
    <w:name w:val="xl345"/>
    <w:basedOn w:val="Normal"/>
    <w:rsid w:val="003037CC"/>
    <w:pPr>
      <w:pBdr>
        <w:left w:val="single" w:sz="8" w:space="0" w:color="auto"/>
      </w:pBdr>
      <w:spacing w:before="100" w:beforeAutospacing="1" w:after="100" w:afterAutospacing="1"/>
      <w:jc w:val="right"/>
      <w:textAlignment w:val="center"/>
    </w:pPr>
    <w:rPr>
      <w:rFonts w:ascii="Arial" w:eastAsia="Times New Roman" w:hAnsi="Arial" w:cs="Arial"/>
      <w:b/>
      <w:bCs/>
    </w:rPr>
  </w:style>
  <w:style w:type="paragraph" w:customStyle="1" w:styleId="xl346">
    <w:name w:val="xl346"/>
    <w:basedOn w:val="Normal"/>
    <w:rsid w:val="003037CC"/>
    <w:pPr>
      <w:shd w:val="clear" w:color="000000" w:fill="FFFFFF"/>
      <w:spacing w:before="100" w:beforeAutospacing="1" w:after="100" w:afterAutospacing="1"/>
      <w:textAlignment w:val="center"/>
    </w:pPr>
    <w:rPr>
      <w:rFonts w:ascii="Arial" w:eastAsia="Times New Roman" w:hAnsi="Arial" w:cs="Arial"/>
      <w:b/>
      <w:bCs/>
    </w:rPr>
  </w:style>
  <w:style w:type="paragraph" w:customStyle="1" w:styleId="xl347">
    <w:name w:val="xl347"/>
    <w:basedOn w:val="Normal"/>
    <w:rsid w:val="003037CC"/>
    <w:pPr>
      <w:shd w:val="clear" w:color="000000" w:fill="FFFFFF"/>
      <w:spacing w:before="100" w:beforeAutospacing="1" w:after="100" w:afterAutospacing="1"/>
      <w:textAlignment w:val="center"/>
    </w:pPr>
    <w:rPr>
      <w:rFonts w:ascii="Arial" w:eastAsia="Times New Roman" w:hAnsi="Arial" w:cs="Arial"/>
    </w:rPr>
  </w:style>
  <w:style w:type="paragraph" w:customStyle="1" w:styleId="xl348">
    <w:name w:val="xl348"/>
    <w:basedOn w:val="Normal"/>
    <w:rsid w:val="003037CC"/>
    <w:pPr>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Arial" w:eastAsia="Times New Roman" w:hAnsi="Arial" w:cs="Arial"/>
    </w:rPr>
  </w:style>
  <w:style w:type="paragraph" w:customStyle="1" w:styleId="xl349">
    <w:name w:val="xl349"/>
    <w:basedOn w:val="Normal"/>
    <w:rsid w:val="003037CC"/>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rPr>
  </w:style>
  <w:style w:type="paragraph" w:customStyle="1" w:styleId="xl350">
    <w:name w:val="xl350"/>
    <w:basedOn w:val="Normal"/>
    <w:rsid w:val="003037CC"/>
    <w:pPr>
      <w:pBdr>
        <w:left w:val="single" w:sz="8" w:space="11" w:color="auto"/>
        <w:right w:val="single" w:sz="8" w:space="0" w:color="auto"/>
      </w:pBdr>
      <w:shd w:val="clear" w:color="000000" w:fill="FFFFFF"/>
      <w:spacing w:before="100" w:beforeAutospacing="1" w:after="100" w:afterAutospacing="1"/>
      <w:ind w:firstLineChars="100" w:firstLine="100"/>
    </w:pPr>
    <w:rPr>
      <w:rFonts w:ascii="Arial" w:eastAsia="Times New Roman" w:hAnsi="Arial" w:cs="Arial"/>
      <w:b/>
      <w:bCs/>
    </w:rPr>
  </w:style>
  <w:style w:type="paragraph" w:customStyle="1" w:styleId="xl351">
    <w:name w:val="xl351"/>
    <w:basedOn w:val="Normal"/>
    <w:rsid w:val="003037CC"/>
    <w:pPr>
      <w:pBdr>
        <w:left w:val="single" w:sz="8" w:space="23" w:color="auto"/>
        <w:right w:val="single" w:sz="8" w:space="0" w:color="auto"/>
      </w:pBdr>
      <w:shd w:val="clear" w:color="000000" w:fill="FFFFFF"/>
      <w:spacing w:before="100" w:beforeAutospacing="1" w:after="100" w:afterAutospacing="1"/>
      <w:ind w:firstLineChars="200" w:firstLine="200"/>
    </w:pPr>
    <w:rPr>
      <w:rFonts w:ascii="Arial" w:eastAsia="Times New Roman" w:hAnsi="Arial" w:cs="Arial"/>
      <w:b/>
      <w:bCs/>
    </w:rPr>
  </w:style>
  <w:style w:type="paragraph" w:customStyle="1" w:styleId="xl352">
    <w:name w:val="xl352"/>
    <w:basedOn w:val="Normal"/>
    <w:rsid w:val="003037CC"/>
    <w:pPr>
      <w:pBdr>
        <w:left w:val="single" w:sz="8" w:space="31" w:color="auto"/>
        <w:right w:val="single" w:sz="8" w:space="0" w:color="auto"/>
      </w:pBdr>
      <w:shd w:val="clear" w:color="000000" w:fill="FFFFFF"/>
      <w:spacing w:before="100" w:beforeAutospacing="1" w:after="100" w:afterAutospacing="1"/>
      <w:ind w:firstLineChars="400" w:firstLine="400"/>
    </w:pPr>
    <w:rPr>
      <w:rFonts w:ascii="Arial" w:eastAsia="Times New Roman" w:hAnsi="Arial" w:cs="Arial"/>
      <w:b/>
      <w:bCs/>
    </w:rPr>
  </w:style>
  <w:style w:type="paragraph" w:customStyle="1" w:styleId="xl353">
    <w:name w:val="xl353"/>
    <w:basedOn w:val="Normal"/>
    <w:rsid w:val="003037CC"/>
    <w:pPr>
      <w:pBdr>
        <w:left w:val="single" w:sz="8" w:space="31" w:color="auto"/>
        <w:right w:val="single" w:sz="8" w:space="0" w:color="auto"/>
      </w:pBdr>
      <w:shd w:val="clear" w:color="000000" w:fill="FFFFFF"/>
      <w:spacing w:before="100" w:beforeAutospacing="1" w:after="100" w:afterAutospacing="1"/>
      <w:ind w:firstLineChars="600" w:firstLine="600"/>
    </w:pPr>
    <w:rPr>
      <w:rFonts w:ascii="Arial" w:eastAsia="Times New Roman" w:hAnsi="Arial" w:cs="Arial"/>
    </w:rPr>
  </w:style>
  <w:style w:type="paragraph" w:customStyle="1" w:styleId="xl354">
    <w:name w:val="xl354"/>
    <w:basedOn w:val="Normal"/>
    <w:rsid w:val="003037CC"/>
    <w:pPr>
      <w:pBdr>
        <w:left w:val="single" w:sz="8" w:space="31" w:color="auto"/>
        <w:right w:val="single" w:sz="8" w:space="0" w:color="auto"/>
      </w:pBdr>
      <w:shd w:val="clear" w:color="000000" w:fill="FFFFFF"/>
      <w:spacing w:before="100" w:beforeAutospacing="1" w:after="100" w:afterAutospacing="1"/>
      <w:ind w:firstLineChars="600" w:firstLine="600"/>
    </w:pPr>
    <w:rPr>
      <w:rFonts w:ascii="Arial" w:eastAsia="Times New Roman" w:hAnsi="Arial" w:cs="Arial"/>
    </w:rPr>
  </w:style>
  <w:style w:type="paragraph" w:customStyle="1" w:styleId="xl355">
    <w:name w:val="xl355"/>
    <w:basedOn w:val="Normal"/>
    <w:rsid w:val="003037CC"/>
    <w:pPr>
      <w:pBdr>
        <w:left w:val="single" w:sz="8" w:space="31" w:color="auto"/>
        <w:right w:val="single" w:sz="8" w:space="0" w:color="auto"/>
      </w:pBdr>
      <w:shd w:val="clear" w:color="000000" w:fill="FFFFFF"/>
      <w:spacing w:before="100" w:beforeAutospacing="1" w:after="100" w:afterAutospacing="1"/>
      <w:ind w:firstLineChars="400" w:firstLine="400"/>
      <w:textAlignment w:val="center"/>
    </w:pPr>
    <w:rPr>
      <w:rFonts w:ascii="Arial" w:eastAsia="Times New Roman" w:hAnsi="Arial" w:cs="Arial"/>
      <w:b/>
      <w:bCs/>
    </w:rPr>
  </w:style>
  <w:style w:type="paragraph" w:customStyle="1" w:styleId="xl356">
    <w:name w:val="xl356"/>
    <w:basedOn w:val="Normal"/>
    <w:rsid w:val="003037CC"/>
    <w:pPr>
      <w:pBdr>
        <w:left w:val="single" w:sz="8" w:space="31" w:color="auto"/>
        <w:right w:val="single" w:sz="8" w:space="0" w:color="auto"/>
      </w:pBdr>
      <w:shd w:val="clear" w:color="000000" w:fill="FFFFFF"/>
      <w:spacing w:before="100" w:beforeAutospacing="1" w:after="100" w:afterAutospacing="1"/>
      <w:ind w:firstLineChars="600" w:firstLine="600"/>
      <w:textAlignment w:val="center"/>
    </w:pPr>
    <w:rPr>
      <w:rFonts w:ascii="Arial" w:eastAsia="Times New Roman" w:hAnsi="Arial" w:cs="Arial"/>
    </w:rPr>
  </w:style>
  <w:style w:type="paragraph" w:customStyle="1" w:styleId="xl357">
    <w:name w:val="xl357"/>
    <w:basedOn w:val="Normal"/>
    <w:rsid w:val="003037CC"/>
    <w:pPr>
      <w:pBdr>
        <w:left w:val="single" w:sz="8" w:space="31" w:color="auto"/>
        <w:right w:val="single" w:sz="8" w:space="0" w:color="auto"/>
      </w:pBdr>
      <w:shd w:val="clear" w:color="000000" w:fill="FFFFFF"/>
      <w:spacing w:before="100" w:beforeAutospacing="1" w:after="100" w:afterAutospacing="1"/>
      <w:ind w:firstLineChars="400" w:firstLine="400"/>
      <w:textAlignment w:val="center"/>
    </w:pPr>
    <w:rPr>
      <w:rFonts w:ascii="Arial" w:eastAsia="Times New Roman" w:hAnsi="Arial" w:cs="Arial"/>
      <w:b/>
      <w:bCs/>
    </w:rPr>
  </w:style>
  <w:style w:type="paragraph" w:customStyle="1" w:styleId="xl358">
    <w:name w:val="xl358"/>
    <w:basedOn w:val="Normal"/>
    <w:rsid w:val="003037CC"/>
    <w:pPr>
      <w:pBdr>
        <w:left w:val="single" w:sz="8" w:space="23" w:color="auto"/>
        <w:right w:val="single" w:sz="8" w:space="0" w:color="auto"/>
      </w:pBdr>
      <w:shd w:val="clear" w:color="000000" w:fill="FFFFFF"/>
      <w:spacing w:before="100" w:beforeAutospacing="1" w:after="100" w:afterAutospacing="1"/>
      <w:ind w:firstLineChars="200" w:firstLine="200"/>
      <w:textAlignment w:val="center"/>
    </w:pPr>
    <w:rPr>
      <w:rFonts w:ascii="Arial" w:eastAsia="Times New Roman" w:hAnsi="Arial" w:cs="Arial"/>
      <w:b/>
      <w:bCs/>
    </w:rPr>
  </w:style>
  <w:style w:type="paragraph" w:customStyle="1" w:styleId="xl359">
    <w:name w:val="xl359"/>
    <w:basedOn w:val="Normal"/>
    <w:rsid w:val="003037CC"/>
    <w:pPr>
      <w:pBdr>
        <w:left w:val="single" w:sz="8" w:space="0" w:color="auto"/>
        <w:right w:val="single" w:sz="8" w:space="0" w:color="auto"/>
      </w:pBdr>
      <w:spacing w:before="100" w:beforeAutospacing="1" w:after="100" w:afterAutospacing="1"/>
      <w:textAlignment w:val="center"/>
    </w:pPr>
    <w:rPr>
      <w:rFonts w:ascii="Arial" w:eastAsia="Times New Roman" w:hAnsi="Arial" w:cs="Arial"/>
      <w:b/>
      <w:bCs/>
    </w:rPr>
  </w:style>
  <w:style w:type="paragraph" w:customStyle="1" w:styleId="xl360">
    <w:name w:val="xl360"/>
    <w:basedOn w:val="Normal"/>
    <w:rsid w:val="003037CC"/>
    <w:pPr>
      <w:pBdr>
        <w:left w:val="single" w:sz="8" w:space="11" w:color="auto"/>
        <w:right w:val="single" w:sz="8" w:space="0" w:color="auto"/>
      </w:pBdr>
      <w:shd w:val="clear" w:color="000000" w:fill="FFFFFF"/>
      <w:spacing w:before="100" w:beforeAutospacing="1" w:after="100" w:afterAutospacing="1"/>
      <w:ind w:firstLineChars="100" w:firstLine="100"/>
    </w:pPr>
    <w:rPr>
      <w:rFonts w:ascii="Arial" w:eastAsia="Times New Roman" w:hAnsi="Arial" w:cs="Arial"/>
      <w:b/>
      <w:bCs/>
    </w:rPr>
  </w:style>
  <w:style w:type="paragraph" w:customStyle="1" w:styleId="xl361">
    <w:name w:val="xl361"/>
    <w:basedOn w:val="Normal"/>
    <w:rsid w:val="003037CC"/>
    <w:pPr>
      <w:pBdr>
        <w:left w:val="single" w:sz="8" w:space="23" w:color="auto"/>
        <w:right w:val="single" w:sz="8" w:space="0" w:color="auto"/>
      </w:pBdr>
      <w:shd w:val="clear" w:color="000000" w:fill="FFFFFF"/>
      <w:spacing w:before="100" w:beforeAutospacing="1" w:after="100" w:afterAutospacing="1"/>
      <w:ind w:firstLineChars="200" w:firstLine="200"/>
    </w:pPr>
    <w:rPr>
      <w:rFonts w:ascii="Arial" w:eastAsia="Times New Roman" w:hAnsi="Arial" w:cs="Arial"/>
      <w:b/>
      <w:bCs/>
    </w:rPr>
  </w:style>
  <w:style w:type="paragraph" w:customStyle="1" w:styleId="xl362">
    <w:name w:val="xl362"/>
    <w:basedOn w:val="Normal"/>
    <w:rsid w:val="003037CC"/>
    <w:pPr>
      <w:pBdr>
        <w:left w:val="single" w:sz="8" w:space="31" w:color="auto"/>
        <w:right w:val="single" w:sz="8" w:space="0" w:color="auto"/>
      </w:pBdr>
      <w:shd w:val="clear" w:color="000000" w:fill="FFFFFF"/>
      <w:spacing w:before="100" w:beforeAutospacing="1" w:after="100" w:afterAutospacing="1"/>
      <w:ind w:firstLineChars="400" w:firstLine="400"/>
    </w:pPr>
    <w:rPr>
      <w:rFonts w:ascii="Arial" w:eastAsia="Times New Roman" w:hAnsi="Arial" w:cs="Arial"/>
    </w:rPr>
  </w:style>
  <w:style w:type="paragraph" w:customStyle="1" w:styleId="xl363">
    <w:name w:val="xl363"/>
    <w:basedOn w:val="Normal"/>
    <w:rsid w:val="003037CC"/>
    <w:pPr>
      <w:pBdr>
        <w:left w:val="single" w:sz="8" w:space="31" w:color="auto"/>
        <w:right w:val="single" w:sz="8" w:space="0" w:color="auto"/>
      </w:pBdr>
      <w:shd w:val="clear" w:color="000000" w:fill="FFFFFF"/>
      <w:spacing w:before="100" w:beforeAutospacing="1" w:after="100" w:afterAutospacing="1"/>
      <w:ind w:firstLineChars="400" w:firstLine="400"/>
      <w:textAlignment w:val="center"/>
    </w:pPr>
    <w:rPr>
      <w:rFonts w:ascii="Arial" w:eastAsia="Times New Roman" w:hAnsi="Arial" w:cs="Arial"/>
    </w:rPr>
  </w:style>
  <w:style w:type="paragraph" w:customStyle="1" w:styleId="xl364">
    <w:name w:val="xl364"/>
    <w:basedOn w:val="Normal"/>
    <w:rsid w:val="003037CC"/>
    <w:pPr>
      <w:pBdr>
        <w:left w:val="single" w:sz="8" w:space="23" w:color="auto"/>
        <w:right w:val="single" w:sz="8" w:space="0" w:color="auto"/>
      </w:pBdr>
      <w:shd w:val="clear" w:color="000000" w:fill="FFFFFF"/>
      <w:spacing w:before="100" w:beforeAutospacing="1" w:after="100" w:afterAutospacing="1"/>
      <w:ind w:firstLineChars="200" w:firstLine="200"/>
    </w:pPr>
    <w:rPr>
      <w:rFonts w:ascii="Arial" w:eastAsia="Times New Roman" w:hAnsi="Arial" w:cs="Arial"/>
    </w:rPr>
  </w:style>
  <w:style w:type="paragraph" w:customStyle="1" w:styleId="xl365">
    <w:name w:val="xl365"/>
    <w:basedOn w:val="Normal"/>
    <w:rsid w:val="003037CC"/>
    <w:pPr>
      <w:pBdr>
        <w:left w:val="single" w:sz="8" w:space="11" w:color="auto"/>
        <w:right w:val="single" w:sz="8" w:space="0" w:color="auto"/>
      </w:pBdr>
      <w:shd w:val="clear" w:color="000000" w:fill="FFFFFF"/>
      <w:spacing w:before="100" w:beforeAutospacing="1" w:after="100" w:afterAutospacing="1"/>
      <w:ind w:firstLineChars="100" w:firstLine="100"/>
    </w:pPr>
    <w:rPr>
      <w:rFonts w:ascii="Arial" w:eastAsia="Times New Roman" w:hAnsi="Arial" w:cs="Arial"/>
      <w:b/>
      <w:bCs/>
    </w:rPr>
  </w:style>
  <w:style w:type="paragraph" w:customStyle="1" w:styleId="xl366">
    <w:name w:val="xl366"/>
    <w:basedOn w:val="Normal"/>
    <w:rsid w:val="003037CC"/>
    <w:pPr>
      <w:pBdr>
        <w:left w:val="single" w:sz="8" w:space="11" w:color="auto"/>
        <w:right w:val="single" w:sz="8" w:space="0" w:color="auto"/>
      </w:pBdr>
      <w:spacing w:before="100" w:beforeAutospacing="1" w:after="100" w:afterAutospacing="1"/>
      <w:ind w:firstLineChars="100" w:firstLine="100"/>
    </w:pPr>
    <w:rPr>
      <w:rFonts w:ascii="Arial" w:eastAsia="Times New Roman" w:hAnsi="Arial" w:cs="Arial"/>
      <w:b/>
      <w:bCs/>
    </w:rPr>
  </w:style>
  <w:style w:type="paragraph" w:customStyle="1" w:styleId="xl367">
    <w:name w:val="xl367"/>
    <w:basedOn w:val="Normal"/>
    <w:rsid w:val="003037CC"/>
    <w:pPr>
      <w:pBdr>
        <w:left w:val="single" w:sz="8" w:space="0" w:color="auto"/>
      </w:pBdr>
      <w:spacing w:before="100" w:beforeAutospacing="1" w:after="100" w:afterAutospacing="1"/>
      <w:jc w:val="right"/>
      <w:textAlignment w:val="center"/>
    </w:pPr>
    <w:rPr>
      <w:rFonts w:ascii="Arial" w:eastAsia="Times New Roman" w:hAnsi="Arial" w:cs="Arial"/>
    </w:rPr>
  </w:style>
  <w:style w:type="paragraph" w:customStyle="1" w:styleId="xl368">
    <w:name w:val="xl368"/>
    <w:basedOn w:val="Normal"/>
    <w:rsid w:val="003037CC"/>
    <w:pPr>
      <w:pBdr>
        <w:top w:val="single" w:sz="4" w:space="0" w:color="auto"/>
        <w:bottom w:val="single" w:sz="4" w:space="0" w:color="auto"/>
      </w:pBdr>
      <w:shd w:val="clear" w:color="000000" w:fill="FFFFFF"/>
      <w:spacing w:before="100" w:beforeAutospacing="1" w:after="100" w:afterAutospacing="1"/>
      <w:jc w:val="right"/>
      <w:textAlignment w:val="center"/>
    </w:pPr>
    <w:rPr>
      <w:rFonts w:ascii="Arial" w:eastAsia="Times New Roman" w:hAnsi="Arial" w:cs="Arial"/>
    </w:rPr>
  </w:style>
  <w:style w:type="paragraph" w:customStyle="1" w:styleId="xl369">
    <w:name w:val="xl369"/>
    <w:basedOn w:val="Normal"/>
    <w:rsid w:val="003037CC"/>
    <w:pPr>
      <w:pBdr>
        <w:left w:val="single" w:sz="8" w:space="0" w:color="auto"/>
      </w:pBdr>
      <w:shd w:val="clear" w:color="000000" w:fill="FFFFFF"/>
      <w:spacing w:before="100" w:beforeAutospacing="1" w:after="100" w:afterAutospacing="1"/>
    </w:pPr>
    <w:rPr>
      <w:rFonts w:ascii="Arial" w:eastAsia="Times New Roman" w:hAnsi="Arial" w:cs="Arial"/>
      <w:b/>
      <w:bCs/>
    </w:rPr>
  </w:style>
  <w:style w:type="paragraph" w:customStyle="1" w:styleId="xl370">
    <w:name w:val="xl370"/>
    <w:basedOn w:val="Normal"/>
    <w:rsid w:val="003037CC"/>
    <w:pPr>
      <w:pBdr>
        <w:right w:val="single" w:sz="8" w:space="0" w:color="auto"/>
      </w:pBdr>
      <w:shd w:val="clear" w:color="000000" w:fill="FFFFFF"/>
      <w:spacing w:before="100" w:beforeAutospacing="1" w:after="100" w:afterAutospacing="1"/>
    </w:pPr>
    <w:rPr>
      <w:rFonts w:ascii="Arial" w:eastAsia="Times New Roman" w:hAnsi="Arial" w:cs="Arial"/>
      <w:b/>
      <w:bCs/>
    </w:rPr>
  </w:style>
  <w:style w:type="paragraph" w:customStyle="1" w:styleId="xl371">
    <w:name w:val="xl371"/>
    <w:basedOn w:val="Normal"/>
    <w:rsid w:val="003037CC"/>
    <w:pPr>
      <w:pBdr>
        <w:left w:val="single" w:sz="8" w:space="0" w:color="auto"/>
        <w:right w:val="single" w:sz="8" w:space="0" w:color="auto"/>
      </w:pBdr>
      <w:shd w:val="clear" w:color="000000" w:fill="B8CCE4"/>
      <w:spacing w:before="100" w:beforeAutospacing="1" w:after="100" w:afterAutospacing="1"/>
      <w:textAlignment w:val="center"/>
    </w:pPr>
    <w:rPr>
      <w:rFonts w:ascii="Arial" w:eastAsia="Times New Roman" w:hAnsi="Arial" w:cs="Arial"/>
      <w:b/>
      <w:bCs/>
    </w:rPr>
  </w:style>
  <w:style w:type="paragraph" w:customStyle="1" w:styleId="xl372">
    <w:name w:val="xl372"/>
    <w:basedOn w:val="Normal"/>
    <w:rsid w:val="003037CC"/>
    <w:pPr>
      <w:shd w:val="clear" w:color="000000" w:fill="B8CCE4"/>
      <w:spacing w:before="100" w:beforeAutospacing="1" w:after="100" w:afterAutospacing="1"/>
      <w:jc w:val="right"/>
      <w:textAlignment w:val="center"/>
    </w:pPr>
    <w:rPr>
      <w:rFonts w:ascii="Arial" w:eastAsia="Times New Roman" w:hAnsi="Arial" w:cs="Arial"/>
      <w:b/>
      <w:bCs/>
    </w:rPr>
  </w:style>
  <w:style w:type="paragraph" w:customStyle="1" w:styleId="xl373">
    <w:name w:val="xl373"/>
    <w:basedOn w:val="Normal"/>
    <w:rsid w:val="003037CC"/>
    <w:pPr>
      <w:shd w:val="clear" w:color="000000" w:fill="B8CCE4"/>
      <w:spacing w:before="100" w:beforeAutospacing="1" w:after="100" w:afterAutospacing="1"/>
      <w:jc w:val="right"/>
      <w:textAlignment w:val="center"/>
    </w:pPr>
    <w:rPr>
      <w:rFonts w:ascii="Arial" w:eastAsia="Times New Roman" w:hAnsi="Arial" w:cs="Arial"/>
      <w:b/>
      <w:bCs/>
    </w:rPr>
  </w:style>
  <w:style w:type="paragraph" w:customStyle="1" w:styleId="xl374">
    <w:name w:val="xl374"/>
    <w:basedOn w:val="Normal"/>
    <w:rsid w:val="003037CC"/>
    <w:pPr>
      <w:pBdr>
        <w:right w:val="single" w:sz="8" w:space="0" w:color="auto"/>
      </w:pBdr>
      <w:shd w:val="clear" w:color="000000" w:fill="B8CCE4"/>
      <w:spacing w:before="100" w:beforeAutospacing="1" w:after="100" w:afterAutospacing="1"/>
      <w:jc w:val="right"/>
      <w:textAlignment w:val="center"/>
    </w:pPr>
    <w:rPr>
      <w:rFonts w:ascii="Arial" w:eastAsia="Times New Roman" w:hAnsi="Arial" w:cs="Arial"/>
      <w:b/>
      <w:bCs/>
    </w:rPr>
  </w:style>
  <w:style w:type="paragraph" w:customStyle="1" w:styleId="xl375">
    <w:name w:val="xl375"/>
    <w:basedOn w:val="Normal"/>
    <w:rsid w:val="003037CC"/>
    <w:pPr>
      <w:pBdr>
        <w:left w:val="single" w:sz="8" w:space="0" w:color="auto"/>
      </w:pBdr>
      <w:shd w:val="clear" w:color="000000" w:fill="B8CCE4"/>
      <w:spacing w:before="100" w:beforeAutospacing="1" w:after="100" w:afterAutospacing="1"/>
      <w:jc w:val="right"/>
      <w:textAlignment w:val="center"/>
    </w:pPr>
    <w:rPr>
      <w:rFonts w:ascii="Arial" w:eastAsia="Times New Roman" w:hAnsi="Arial" w:cs="Arial"/>
      <w:b/>
      <w:bCs/>
    </w:rPr>
  </w:style>
  <w:style w:type="paragraph" w:customStyle="1" w:styleId="xl376">
    <w:name w:val="xl376"/>
    <w:basedOn w:val="Normal"/>
    <w:rsid w:val="003037CC"/>
    <w:pPr>
      <w:pBdr>
        <w:right w:val="single" w:sz="8" w:space="0" w:color="auto"/>
      </w:pBdr>
      <w:shd w:val="clear" w:color="000000" w:fill="B8CCE4"/>
      <w:spacing w:before="100" w:beforeAutospacing="1" w:after="100" w:afterAutospacing="1"/>
      <w:jc w:val="right"/>
      <w:textAlignment w:val="center"/>
    </w:pPr>
    <w:rPr>
      <w:rFonts w:ascii="Arial" w:eastAsia="Times New Roman" w:hAnsi="Arial" w:cs="Arial"/>
      <w:b/>
      <w:bCs/>
      <w:color w:val="000000"/>
    </w:rPr>
  </w:style>
  <w:style w:type="paragraph" w:customStyle="1" w:styleId="xl377">
    <w:name w:val="xl377"/>
    <w:basedOn w:val="Normal"/>
    <w:rsid w:val="003037CC"/>
    <w:pPr>
      <w:pBdr>
        <w:left w:val="single" w:sz="8" w:space="0" w:color="auto"/>
      </w:pBdr>
      <w:shd w:val="clear" w:color="000000" w:fill="B8CCE4"/>
      <w:spacing w:before="100" w:beforeAutospacing="1" w:after="100" w:afterAutospacing="1"/>
      <w:jc w:val="right"/>
      <w:textAlignment w:val="center"/>
    </w:pPr>
    <w:rPr>
      <w:rFonts w:ascii="Arial" w:eastAsia="Times New Roman" w:hAnsi="Arial" w:cs="Arial"/>
      <w:b/>
      <w:bCs/>
    </w:rPr>
  </w:style>
  <w:style w:type="paragraph" w:customStyle="1" w:styleId="xl378">
    <w:name w:val="xl378"/>
    <w:basedOn w:val="Normal"/>
    <w:rsid w:val="003037CC"/>
    <w:pPr>
      <w:pBdr>
        <w:left w:val="single" w:sz="8" w:space="0" w:color="auto"/>
        <w:bottom w:val="single" w:sz="8" w:space="0" w:color="auto"/>
        <w:right w:val="single" w:sz="8" w:space="0" w:color="auto"/>
      </w:pBdr>
      <w:shd w:val="clear" w:color="000000" w:fill="B8CCE4"/>
      <w:spacing w:before="100" w:beforeAutospacing="1" w:after="100" w:afterAutospacing="1"/>
      <w:textAlignment w:val="center"/>
    </w:pPr>
    <w:rPr>
      <w:rFonts w:ascii="Arial" w:eastAsia="Times New Roman" w:hAnsi="Arial" w:cs="Arial"/>
      <w:b/>
      <w:bCs/>
    </w:rPr>
  </w:style>
  <w:style w:type="paragraph" w:customStyle="1" w:styleId="xl379">
    <w:name w:val="xl379"/>
    <w:basedOn w:val="Normal"/>
    <w:rsid w:val="003037CC"/>
    <w:pPr>
      <w:pBdr>
        <w:bottom w:val="single" w:sz="8" w:space="0" w:color="auto"/>
      </w:pBdr>
      <w:shd w:val="clear" w:color="000000" w:fill="B8CCE4"/>
      <w:spacing w:before="100" w:beforeAutospacing="1" w:after="100" w:afterAutospacing="1"/>
      <w:jc w:val="right"/>
      <w:textAlignment w:val="center"/>
    </w:pPr>
    <w:rPr>
      <w:rFonts w:ascii="Arial" w:eastAsia="Times New Roman" w:hAnsi="Arial" w:cs="Arial"/>
      <w:b/>
      <w:bCs/>
    </w:rPr>
  </w:style>
  <w:style w:type="paragraph" w:customStyle="1" w:styleId="xl380">
    <w:name w:val="xl380"/>
    <w:basedOn w:val="Normal"/>
    <w:rsid w:val="003037CC"/>
    <w:pPr>
      <w:pBdr>
        <w:bottom w:val="single" w:sz="8" w:space="0" w:color="auto"/>
        <w:right w:val="single" w:sz="8" w:space="0" w:color="auto"/>
      </w:pBdr>
      <w:shd w:val="clear" w:color="000000" w:fill="B8CCE4"/>
      <w:spacing w:before="100" w:beforeAutospacing="1" w:after="100" w:afterAutospacing="1"/>
      <w:jc w:val="right"/>
      <w:textAlignment w:val="center"/>
    </w:pPr>
    <w:rPr>
      <w:rFonts w:ascii="Arial" w:eastAsia="Times New Roman" w:hAnsi="Arial" w:cs="Arial"/>
      <w:b/>
      <w:bCs/>
    </w:rPr>
  </w:style>
  <w:style w:type="paragraph" w:customStyle="1" w:styleId="xl381">
    <w:name w:val="xl381"/>
    <w:basedOn w:val="Normal"/>
    <w:rsid w:val="003037CC"/>
    <w:pPr>
      <w:pBdr>
        <w:left w:val="single" w:sz="8" w:space="0" w:color="auto"/>
        <w:bottom w:val="single" w:sz="8" w:space="0" w:color="auto"/>
      </w:pBdr>
      <w:shd w:val="clear" w:color="000000" w:fill="B8CCE4"/>
      <w:spacing w:before="100" w:beforeAutospacing="1" w:after="100" w:afterAutospacing="1"/>
      <w:jc w:val="right"/>
      <w:textAlignment w:val="center"/>
    </w:pPr>
    <w:rPr>
      <w:rFonts w:ascii="Arial" w:eastAsia="Times New Roman" w:hAnsi="Arial" w:cs="Arial"/>
      <w:b/>
      <w:bCs/>
    </w:rPr>
  </w:style>
  <w:style w:type="paragraph" w:customStyle="1" w:styleId="xl382">
    <w:name w:val="xl382"/>
    <w:basedOn w:val="Normal"/>
    <w:rsid w:val="003037CC"/>
    <w:pPr>
      <w:pBdr>
        <w:bottom w:val="single" w:sz="8" w:space="0" w:color="auto"/>
      </w:pBdr>
      <w:shd w:val="clear" w:color="000000" w:fill="B8CCE4"/>
      <w:spacing w:before="100" w:beforeAutospacing="1" w:after="100" w:afterAutospacing="1"/>
      <w:jc w:val="right"/>
      <w:textAlignment w:val="center"/>
    </w:pPr>
    <w:rPr>
      <w:rFonts w:ascii="Arial" w:eastAsia="Times New Roman" w:hAnsi="Arial" w:cs="Arial"/>
      <w:b/>
      <w:bCs/>
    </w:rPr>
  </w:style>
  <w:style w:type="paragraph" w:customStyle="1" w:styleId="xl383">
    <w:name w:val="xl383"/>
    <w:basedOn w:val="Normal"/>
    <w:rsid w:val="003037CC"/>
    <w:pPr>
      <w:pBdr>
        <w:bottom w:val="single" w:sz="8" w:space="0" w:color="auto"/>
        <w:right w:val="single" w:sz="8" w:space="0" w:color="auto"/>
      </w:pBdr>
      <w:shd w:val="clear" w:color="000000" w:fill="B8CCE4"/>
      <w:spacing w:before="100" w:beforeAutospacing="1" w:after="100" w:afterAutospacing="1"/>
      <w:jc w:val="right"/>
      <w:textAlignment w:val="center"/>
    </w:pPr>
    <w:rPr>
      <w:rFonts w:ascii="Arial" w:eastAsia="Times New Roman" w:hAnsi="Arial" w:cs="Arial"/>
      <w:b/>
      <w:bCs/>
    </w:rPr>
  </w:style>
  <w:style w:type="paragraph" w:customStyle="1" w:styleId="xl384">
    <w:name w:val="xl384"/>
    <w:basedOn w:val="Normal"/>
    <w:rsid w:val="003037CC"/>
    <w:pPr>
      <w:pBdr>
        <w:bottom w:val="single" w:sz="8" w:space="0" w:color="auto"/>
        <w:right w:val="single" w:sz="8" w:space="0" w:color="auto"/>
      </w:pBdr>
      <w:shd w:val="clear" w:color="000000" w:fill="B8CCE4"/>
      <w:spacing w:before="100" w:beforeAutospacing="1" w:after="100" w:afterAutospacing="1"/>
      <w:jc w:val="right"/>
      <w:textAlignment w:val="center"/>
    </w:pPr>
    <w:rPr>
      <w:rFonts w:ascii="Arial" w:eastAsia="Times New Roman" w:hAnsi="Arial" w:cs="Arial"/>
      <w:b/>
      <w:bCs/>
      <w:color w:val="000000"/>
    </w:rPr>
  </w:style>
  <w:style w:type="paragraph" w:customStyle="1" w:styleId="xl385">
    <w:name w:val="xl385"/>
    <w:basedOn w:val="Normal"/>
    <w:rsid w:val="003037CC"/>
    <w:pPr>
      <w:pBdr>
        <w:left w:val="single" w:sz="8" w:space="0" w:color="auto"/>
        <w:right w:val="single" w:sz="8" w:space="0" w:color="auto"/>
      </w:pBdr>
      <w:shd w:val="clear" w:color="000000" w:fill="FCD5B4"/>
      <w:spacing w:before="100" w:beforeAutospacing="1" w:after="100" w:afterAutospacing="1"/>
      <w:textAlignment w:val="center"/>
    </w:pPr>
    <w:rPr>
      <w:rFonts w:ascii="Arial" w:eastAsia="Times New Roman" w:hAnsi="Arial" w:cs="Arial"/>
      <w:b/>
      <w:bCs/>
    </w:rPr>
  </w:style>
  <w:style w:type="paragraph" w:customStyle="1" w:styleId="xl386">
    <w:name w:val="xl386"/>
    <w:basedOn w:val="Normal"/>
    <w:rsid w:val="003037CC"/>
    <w:pPr>
      <w:shd w:val="clear" w:color="000000" w:fill="FCD5B4"/>
      <w:spacing w:before="100" w:beforeAutospacing="1" w:after="100" w:afterAutospacing="1"/>
      <w:jc w:val="right"/>
      <w:textAlignment w:val="center"/>
    </w:pPr>
    <w:rPr>
      <w:rFonts w:ascii="Arial" w:eastAsia="Times New Roman" w:hAnsi="Arial" w:cs="Arial"/>
      <w:b/>
      <w:bCs/>
    </w:rPr>
  </w:style>
  <w:style w:type="paragraph" w:customStyle="1" w:styleId="xl387">
    <w:name w:val="xl387"/>
    <w:basedOn w:val="Normal"/>
    <w:rsid w:val="003037CC"/>
    <w:pPr>
      <w:shd w:val="clear" w:color="000000" w:fill="FCD5B4"/>
      <w:spacing w:before="100" w:beforeAutospacing="1" w:after="100" w:afterAutospacing="1"/>
      <w:jc w:val="right"/>
      <w:textAlignment w:val="center"/>
    </w:pPr>
    <w:rPr>
      <w:rFonts w:ascii="Arial" w:eastAsia="Times New Roman" w:hAnsi="Arial" w:cs="Arial"/>
    </w:rPr>
  </w:style>
  <w:style w:type="paragraph" w:customStyle="1" w:styleId="xl388">
    <w:name w:val="xl388"/>
    <w:basedOn w:val="Normal"/>
    <w:rsid w:val="003037CC"/>
    <w:pPr>
      <w:shd w:val="clear" w:color="000000" w:fill="FCD5B4"/>
      <w:spacing w:before="100" w:beforeAutospacing="1" w:after="100" w:afterAutospacing="1"/>
      <w:jc w:val="right"/>
      <w:textAlignment w:val="center"/>
    </w:pPr>
    <w:rPr>
      <w:rFonts w:ascii="Arial" w:eastAsia="Times New Roman" w:hAnsi="Arial" w:cs="Arial"/>
      <w:b/>
      <w:bCs/>
    </w:rPr>
  </w:style>
  <w:style w:type="paragraph" w:customStyle="1" w:styleId="xl389">
    <w:name w:val="xl389"/>
    <w:basedOn w:val="Normal"/>
    <w:rsid w:val="003037CC"/>
    <w:pPr>
      <w:pBdr>
        <w:right w:val="single" w:sz="8" w:space="0" w:color="auto"/>
      </w:pBdr>
      <w:shd w:val="clear" w:color="000000" w:fill="FCD5B4"/>
      <w:spacing w:before="100" w:beforeAutospacing="1" w:after="100" w:afterAutospacing="1"/>
      <w:jc w:val="right"/>
      <w:textAlignment w:val="center"/>
    </w:pPr>
    <w:rPr>
      <w:rFonts w:ascii="Arial" w:eastAsia="Times New Roman" w:hAnsi="Arial" w:cs="Arial"/>
      <w:b/>
      <w:bCs/>
    </w:rPr>
  </w:style>
  <w:style w:type="paragraph" w:customStyle="1" w:styleId="xl390">
    <w:name w:val="xl390"/>
    <w:basedOn w:val="Normal"/>
    <w:rsid w:val="003037CC"/>
    <w:pPr>
      <w:pBdr>
        <w:left w:val="single" w:sz="8" w:space="0" w:color="auto"/>
      </w:pBdr>
      <w:shd w:val="clear" w:color="000000" w:fill="FCD5B4"/>
      <w:spacing w:before="100" w:beforeAutospacing="1" w:after="100" w:afterAutospacing="1"/>
      <w:jc w:val="right"/>
      <w:textAlignment w:val="center"/>
    </w:pPr>
    <w:rPr>
      <w:rFonts w:ascii="Arial" w:eastAsia="Times New Roman" w:hAnsi="Arial" w:cs="Arial"/>
      <w:b/>
      <w:bCs/>
    </w:rPr>
  </w:style>
  <w:style w:type="paragraph" w:customStyle="1" w:styleId="xl391">
    <w:name w:val="xl391"/>
    <w:basedOn w:val="Normal"/>
    <w:rsid w:val="003037CC"/>
    <w:pPr>
      <w:pBdr>
        <w:right w:val="single" w:sz="8" w:space="0" w:color="auto"/>
      </w:pBdr>
      <w:shd w:val="clear" w:color="000000" w:fill="FCD5B4"/>
      <w:spacing w:before="100" w:beforeAutospacing="1" w:after="100" w:afterAutospacing="1"/>
      <w:jc w:val="right"/>
      <w:textAlignment w:val="center"/>
    </w:pPr>
    <w:rPr>
      <w:rFonts w:ascii="Arial" w:eastAsia="Times New Roman" w:hAnsi="Arial" w:cs="Arial"/>
      <w:b/>
      <w:bCs/>
    </w:rPr>
  </w:style>
  <w:style w:type="paragraph" w:customStyle="1" w:styleId="xl392">
    <w:name w:val="xl392"/>
    <w:basedOn w:val="Normal"/>
    <w:rsid w:val="003037CC"/>
    <w:pPr>
      <w:pBdr>
        <w:left w:val="single" w:sz="8" w:space="0" w:color="auto"/>
      </w:pBdr>
      <w:spacing w:before="100" w:beforeAutospacing="1" w:after="100" w:afterAutospacing="1"/>
      <w:jc w:val="right"/>
      <w:textAlignment w:val="center"/>
    </w:pPr>
    <w:rPr>
      <w:rFonts w:ascii="Arial" w:eastAsia="Times New Roman" w:hAnsi="Arial" w:cs="Arial"/>
      <w:b/>
      <w:bCs/>
    </w:rPr>
  </w:style>
  <w:style w:type="paragraph" w:customStyle="1" w:styleId="xl393">
    <w:name w:val="xl393"/>
    <w:basedOn w:val="Normal"/>
    <w:rsid w:val="003037CC"/>
    <w:pPr>
      <w:pBdr>
        <w:left w:val="single" w:sz="8" w:space="0" w:color="auto"/>
      </w:pBdr>
      <w:spacing w:before="100" w:beforeAutospacing="1" w:after="100" w:afterAutospacing="1"/>
    </w:pPr>
    <w:rPr>
      <w:rFonts w:ascii="Arial" w:eastAsia="Times New Roman" w:hAnsi="Arial" w:cs="Arial"/>
      <w:b/>
      <w:bCs/>
    </w:rPr>
  </w:style>
  <w:style w:type="paragraph" w:customStyle="1" w:styleId="xl394">
    <w:name w:val="xl394"/>
    <w:basedOn w:val="Normal"/>
    <w:rsid w:val="003037CC"/>
    <w:pPr>
      <w:pBdr>
        <w:left w:val="single" w:sz="8" w:space="0" w:color="auto"/>
      </w:pBdr>
      <w:shd w:val="clear" w:color="000000" w:fill="FFFFFF"/>
      <w:spacing w:before="100" w:beforeAutospacing="1" w:after="100" w:afterAutospacing="1"/>
      <w:jc w:val="right"/>
      <w:textAlignment w:val="center"/>
    </w:pPr>
    <w:rPr>
      <w:rFonts w:ascii="Arial" w:eastAsia="Times New Roman" w:hAnsi="Arial" w:cs="Arial"/>
      <w:b/>
      <w:bCs/>
    </w:rPr>
  </w:style>
  <w:style w:type="paragraph" w:customStyle="1" w:styleId="xl395">
    <w:name w:val="xl395"/>
    <w:basedOn w:val="Normal"/>
    <w:rsid w:val="003037CC"/>
    <w:pPr>
      <w:pBdr>
        <w:left w:val="single" w:sz="8" w:space="0" w:color="auto"/>
      </w:pBdr>
      <w:shd w:val="clear" w:color="000000" w:fill="FFFFFF"/>
      <w:spacing w:before="100" w:beforeAutospacing="1" w:after="100" w:afterAutospacing="1"/>
      <w:jc w:val="right"/>
      <w:textAlignment w:val="center"/>
    </w:pPr>
    <w:rPr>
      <w:rFonts w:ascii="Arial" w:eastAsia="Times New Roman" w:hAnsi="Arial" w:cs="Arial"/>
      <w:b/>
      <w:bCs/>
    </w:rPr>
  </w:style>
  <w:style w:type="paragraph" w:customStyle="1" w:styleId="xl396">
    <w:name w:val="xl396"/>
    <w:basedOn w:val="Normal"/>
    <w:rsid w:val="003037CC"/>
    <w:pPr>
      <w:shd w:val="clear" w:color="000000" w:fill="FFFFFF"/>
      <w:spacing w:before="100" w:beforeAutospacing="1" w:after="100" w:afterAutospacing="1"/>
      <w:jc w:val="right"/>
      <w:textAlignment w:val="center"/>
    </w:pPr>
    <w:rPr>
      <w:rFonts w:ascii="Arial" w:eastAsia="Times New Roman" w:hAnsi="Arial" w:cs="Arial"/>
      <w:b/>
      <w:bCs/>
    </w:rPr>
  </w:style>
  <w:style w:type="paragraph" w:customStyle="1" w:styleId="xl397">
    <w:name w:val="xl397"/>
    <w:basedOn w:val="Normal"/>
    <w:rsid w:val="003037CC"/>
    <w:pPr>
      <w:pBdr>
        <w:left w:val="single" w:sz="8" w:space="0" w:color="auto"/>
      </w:pBdr>
      <w:shd w:val="clear" w:color="000000" w:fill="FFFFFF"/>
      <w:spacing w:before="100" w:beforeAutospacing="1" w:after="100" w:afterAutospacing="1"/>
      <w:jc w:val="right"/>
      <w:textAlignment w:val="center"/>
    </w:pPr>
    <w:rPr>
      <w:rFonts w:ascii="Arial" w:eastAsia="Times New Roman" w:hAnsi="Arial" w:cs="Arial"/>
    </w:rPr>
  </w:style>
  <w:style w:type="paragraph" w:customStyle="1" w:styleId="xl398">
    <w:name w:val="xl398"/>
    <w:basedOn w:val="Normal"/>
    <w:rsid w:val="003037CC"/>
    <w:pPr>
      <w:shd w:val="clear" w:color="000000" w:fill="FFFFFF"/>
      <w:spacing w:before="100" w:beforeAutospacing="1" w:after="100" w:afterAutospacing="1"/>
      <w:jc w:val="right"/>
      <w:textAlignment w:val="center"/>
    </w:pPr>
    <w:rPr>
      <w:rFonts w:ascii="Arial" w:eastAsia="Times New Roman" w:hAnsi="Arial" w:cs="Arial"/>
    </w:rPr>
  </w:style>
  <w:style w:type="paragraph" w:customStyle="1" w:styleId="xl399">
    <w:name w:val="xl399"/>
    <w:basedOn w:val="Normal"/>
    <w:rsid w:val="003037CC"/>
    <w:pPr>
      <w:shd w:val="clear" w:color="000000" w:fill="DCE6F1"/>
      <w:spacing w:before="100" w:beforeAutospacing="1" w:after="100" w:afterAutospacing="1"/>
      <w:jc w:val="center"/>
    </w:pPr>
    <w:rPr>
      <w:rFonts w:ascii="Arial" w:eastAsia="Times New Roman" w:hAnsi="Arial" w:cs="Arial"/>
      <w:b/>
      <w:bCs/>
      <w:sz w:val="28"/>
      <w:szCs w:val="28"/>
    </w:rPr>
  </w:style>
  <w:style w:type="paragraph" w:customStyle="1" w:styleId="xl400">
    <w:name w:val="xl400"/>
    <w:basedOn w:val="Normal"/>
    <w:rsid w:val="003037CC"/>
    <w:pPr>
      <w:pBdr>
        <w:top w:val="single" w:sz="8"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b/>
      <w:bCs/>
    </w:rPr>
  </w:style>
  <w:style w:type="paragraph" w:customStyle="1" w:styleId="xl401">
    <w:name w:val="xl401"/>
    <w:basedOn w:val="Normal"/>
    <w:rsid w:val="003037CC"/>
    <w:pPr>
      <w:pBdr>
        <w:top w:val="single" w:sz="8" w:space="0" w:color="auto"/>
        <w:bottom w:val="single" w:sz="4" w:space="0" w:color="auto"/>
      </w:pBdr>
      <w:shd w:val="clear" w:color="000000" w:fill="FFFFFF"/>
      <w:spacing w:before="100" w:beforeAutospacing="1" w:after="100" w:afterAutospacing="1"/>
    </w:pPr>
    <w:rPr>
      <w:rFonts w:ascii="Arial" w:eastAsia="Times New Roman" w:hAnsi="Arial" w:cs="Arial"/>
    </w:rPr>
  </w:style>
  <w:style w:type="paragraph" w:customStyle="1" w:styleId="xl402">
    <w:name w:val="xl402"/>
    <w:basedOn w:val="Normal"/>
    <w:rsid w:val="003037CC"/>
    <w:pPr>
      <w:pBdr>
        <w:top w:val="single" w:sz="8" w:space="0" w:color="auto"/>
        <w:bottom w:val="single" w:sz="4" w:space="0" w:color="auto"/>
        <w:right w:val="single" w:sz="8" w:space="0" w:color="auto"/>
      </w:pBdr>
      <w:shd w:val="clear" w:color="000000" w:fill="FFFFFF"/>
      <w:spacing w:before="100" w:beforeAutospacing="1" w:after="100" w:afterAutospacing="1"/>
    </w:pPr>
    <w:rPr>
      <w:rFonts w:ascii="Arial" w:eastAsia="Times New Roman" w:hAnsi="Arial" w:cs="Arial"/>
    </w:rPr>
  </w:style>
  <w:style w:type="paragraph" w:customStyle="1" w:styleId="xl403">
    <w:name w:val="xl403"/>
    <w:basedOn w:val="Normal"/>
    <w:rsid w:val="003037CC"/>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b/>
      <w:bCs/>
    </w:rPr>
  </w:style>
  <w:style w:type="paragraph" w:customStyle="1" w:styleId="xl404">
    <w:name w:val="xl404"/>
    <w:basedOn w:val="Normal"/>
    <w:rsid w:val="003037CC"/>
    <w:pPr>
      <w:pBdr>
        <w:top w:val="single" w:sz="8" w:space="0" w:color="auto"/>
        <w:bottom w:val="single" w:sz="4" w:space="0" w:color="auto"/>
      </w:pBdr>
      <w:shd w:val="clear" w:color="000000" w:fill="FFFFFF"/>
      <w:spacing w:before="100" w:beforeAutospacing="1" w:after="100" w:afterAutospacing="1"/>
    </w:pPr>
    <w:rPr>
      <w:rFonts w:ascii="Arial" w:eastAsia="Times New Roman" w:hAnsi="Arial" w:cs="Arial"/>
    </w:rPr>
  </w:style>
  <w:style w:type="paragraph" w:customStyle="1" w:styleId="xl405">
    <w:name w:val="xl405"/>
    <w:basedOn w:val="Normal"/>
    <w:rsid w:val="003037CC"/>
    <w:pPr>
      <w:pBdr>
        <w:top w:val="single" w:sz="8" w:space="0" w:color="auto"/>
        <w:bottom w:val="single" w:sz="4" w:space="0" w:color="auto"/>
        <w:right w:val="single" w:sz="8" w:space="0" w:color="auto"/>
      </w:pBdr>
      <w:shd w:val="clear" w:color="000000" w:fill="FFFFFF"/>
      <w:spacing w:before="100" w:beforeAutospacing="1" w:after="100" w:afterAutospacing="1"/>
    </w:pPr>
    <w:rPr>
      <w:rFonts w:ascii="Arial" w:eastAsia="Times New Roman" w:hAnsi="Arial" w:cs="Arial"/>
    </w:rPr>
  </w:style>
  <w:style w:type="paragraph" w:customStyle="1" w:styleId="xl406">
    <w:name w:val="xl406"/>
    <w:basedOn w:val="Normal"/>
    <w:rsid w:val="003037CC"/>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407">
    <w:name w:val="xl407"/>
    <w:basedOn w:val="Normal"/>
    <w:rsid w:val="003037CC"/>
    <w:pPr>
      <w:pBdr>
        <w:top w:val="single" w:sz="8" w:space="0" w:color="auto"/>
        <w:bottom w:val="single" w:sz="4" w:space="0" w:color="auto"/>
      </w:pBdr>
      <w:spacing w:before="100" w:beforeAutospacing="1" w:after="100" w:afterAutospacing="1"/>
    </w:pPr>
    <w:rPr>
      <w:rFonts w:ascii="Arial" w:eastAsia="Times New Roman" w:hAnsi="Arial" w:cs="Arial"/>
    </w:rPr>
  </w:style>
  <w:style w:type="paragraph" w:customStyle="1" w:styleId="xl408">
    <w:name w:val="xl408"/>
    <w:basedOn w:val="Normal"/>
    <w:rsid w:val="003037CC"/>
    <w:pPr>
      <w:pBdr>
        <w:top w:val="single" w:sz="8" w:space="0" w:color="auto"/>
        <w:bottom w:val="single" w:sz="4" w:space="0" w:color="auto"/>
        <w:right w:val="single" w:sz="8" w:space="0" w:color="auto"/>
      </w:pBdr>
      <w:spacing w:before="100" w:beforeAutospacing="1" w:after="100" w:afterAutospacing="1"/>
    </w:pPr>
    <w:rPr>
      <w:rFonts w:ascii="Arial" w:eastAsia="Times New Roman" w:hAnsi="Arial" w:cs="Arial"/>
    </w:rPr>
  </w:style>
  <w:style w:type="paragraph" w:customStyle="1" w:styleId="xl409">
    <w:name w:val="xl409"/>
    <w:basedOn w:val="Normal"/>
    <w:rsid w:val="003037CC"/>
    <w:pPr>
      <w:pBdr>
        <w:top w:val="single" w:sz="8" w:space="0" w:color="auto"/>
        <w:bottom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410">
    <w:name w:val="xl410"/>
    <w:basedOn w:val="Normal"/>
    <w:rsid w:val="003037CC"/>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rPr>
  </w:style>
  <w:style w:type="table" w:styleId="TableGrid">
    <w:name w:val="Table Grid"/>
    <w:basedOn w:val="TableNormal"/>
    <w:locked/>
    <w:rsid w:val="00303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CA7417"/>
    <w:rPr>
      <w:rFonts w:asciiTheme="majorHAnsi" w:eastAsiaTheme="majorEastAsia" w:hAnsiTheme="majorHAnsi" w:cstheme="majorBidi"/>
      <w:color w:val="2E74B5" w:themeColor="accent1" w:themeShade="BF"/>
      <w:sz w:val="26"/>
      <w:szCs w:val="26"/>
      <w:lang w:val="en-US" w:eastAsia="en-US"/>
    </w:rPr>
  </w:style>
  <w:style w:type="paragraph" w:styleId="NormalWeb">
    <w:name w:val="Normal (Web)"/>
    <w:basedOn w:val="Normal"/>
    <w:rsid w:val="00484DA4"/>
    <w:pPr>
      <w:suppressAutoHyphens/>
      <w:spacing w:before="280" w:after="280"/>
    </w:pPr>
    <w:rPr>
      <w:rFonts w:ascii="Times New Roman" w:eastAsia="Times New Roman" w:hAnsi="Times New Roman" w:cs="Times New Roman"/>
      <w:color w:val="000000"/>
      <w:lang w:eastAsia="zh-CN"/>
    </w:rPr>
  </w:style>
  <w:style w:type="character" w:styleId="BookTitle">
    <w:name w:val="Book Title"/>
    <w:basedOn w:val="DefaultParagraphFont"/>
    <w:uiPriority w:val="33"/>
    <w:qFormat/>
    <w:rsid w:val="00C94F9E"/>
    <w:rPr>
      <w:b/>
      <w:bCs/>
      <w:i/>
      <w:iCs/>
      <w:spacing w:val="5"/>
    </w:rPr>
  </w:style>
  <w:style w:type="character" w:styleId="PlaceholderText">
    <w:name w:val="Placeholder Text"/>
    <w:basedOn w:val="DefaultParagraphFont"/>
    <w:uiPriority w:val="99"/>
    <w:semiHidden/>
    <w:rsid w:val="00C94F9E"/>
    <w:rPr>
      <w:color w:val="808080"/>
    </w:rPr>
  </w:style>
  <w:style w:type="paragraph" w:styleId="NoSpacing">
    <w:name w:val="No Spacing"/>
    <w:link w:val="NoSpacingChar"/>
    <w:uiPriority w:val="1"/>
    <w:qFormat/>
    <w:rsid w:val="00C94F9E"/>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C94F9E"/>
    <w:rPr>
      <w:rFonts w:asciiTheme="minorHAnsi" w:eastAsiaTheme="minorEastAsia" w:hAnsiTheme="minorHAnsi" w:cstheme="minorBidi"/>
      <w:sz w:val="22"/>
      <w:szCs w:val="22"/>
      <w:lang w:val="en-US" w:eastAsia="en-US"/>
    </w:rPr>
  </w:style>
  <w:style w:type="paragraph" w:customStyle="1" w:styleId="Caracter2CharCharCaracterCharCharCaracterCharCharCaracterCharChar0">
    <w:name w:val="Caracter2 Char Char Caracter Char Char Caracter Char Char Caracter Char Char"/>
    <w:basedOn w:val="Normal"/>
    <w:rsid w:val="00773CC8"/>
    <w:rPr>
      <w:rFonts w:ascii="Times New Roman" w:eastAsia="Times New Roman" w:hAnsi="Times New Roman" w:cs="Times New Roman"/>
      <w:lang w:val="pl-PL" w:eastAsia="pl-PL"/>
    </w:rPr>
  </w:style>
  <w:style w:type="paragraph" w:customStyle="1" w:styleId="SUPERSChar1">
    <w:name w:val="SUPERS Char1"/>
    <w:basedOn w:val="Normal"/>
    <w:next w:val="Normal"/>
    <w:uiPriority w:val="99"/>
    <w:rsid w:val="00845851"/>
    <w:pPr>
      <w:suppressAutoHyphens/>
      <w:spacing w:after="160" w:line="240" w:lineRule="exact"/>
    </w:pPr>
    <w:rPr>
      <w:rFonts w:cs="Times New Roman"/>
      <w:sz w:val="20"/>
      <w:szCs w:val="20"/>
      <w:vertAlign w:val="superscript"/>
    </w:rPr>
  </w:style>
  <w:style w:type="table" w:customStyle="1" w:styleId="TableGrid13">
    <w:name w:val="Table Grid13"/>
    <w:basedOn w:val="TableNormal"/>
    <w:next w:val="TableGrid"/>
    <w:uiPriority w:val="39"/>
    <w:rsid w:val="00EC6DF4"/>
    <w:rPr>
      <w:rFonts w:ascii="Liberation Serif" w:eastAsia="SimSun" w:hAnsi="Liberation Serif" w:cs="Mangal"/>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racter2CharCharCaracterCharCharCaracterCharCharCaracterCharChar1">
    <w:name w:val="Caracter2 Char Char Caracter Char Char Caracter Char Char Caracter Char Char"/>
    <w:basedOn w:val="Normal"/>
    <w:rsid w:val="00EC6A6E"/>
    <w:rPr>
      <w:rFonts w:ascii="Times New Roman" w:eastAsia="Times New Roman" w:hAnsi="Times New Roman" w:cs="Times New Roman"/>
      <w:lang w:val="pl-PL" w:eastAsia="pl-PL"/>
    </w:rPr>
  </w:style>
  <w:style w:type="character" w:customStyle="1" w:styleId="FootnoteTextChar1">
    <w:name w:val="Footnote Text Char1"/>
    <w:aliases w:val="Footnote Char1,Fußnote Char1,Tekst przypisu Char1,Tekst przypisu Znak Znak Znak Znak Char1,Tekst przypisu Znak Znak Znak Znak Znak Char1,Tekst przypisu Znak Znak Znak Znak Znak Znak Znak Char1,fn Char1,single space Char1"/>
    <w:uiPriority w:val="99"/>
    <w:qFormat/>
    <w:locked/>
    <w:rsid w:val="008322CB"/>
    <w:rPr>
      <w:rFonts w:eastAsia="Calibri"/>
      <w:lang w:val="en-GB" w:eastAsia="zh-CN"/>
    </w:rPr>
  </w:style>
  <w:style w:type="paragraph" w:customStyle="1" w:styleId="Caracter2CharCharCaracterCharCharCaracterCharCharCaracterCharChar2">
    <w:name w:val="Caracter2 Char Char Caracter Char Char Caracter Char Char Caracter Char Char"/>
    <w:basedOn w:val="Normal"/>
    <w:rsid w:val="002F37D3"/>
    <w:rPr>
      <w:rFonts w:ascii="Times New Roman" w:eastAsia="Times New Roman" w:hAnsi="Times New Roman" w:cs="Times New Roman"/>
      <w:lang w:val="pl-PL" w:eastAsia="pl-PL"/>
    </w:rPr>
  </w:style>
  <w:style w:type="character" w:styleId="LineNumber">
    <w:name w:val="line number"/>
    <w:basedOn w:val="DefaultParagraphFont"/>
    <w:rsid w:val="00123F4F"/>
  </w:style>
  <w:style w:type="paragraph" w:customStyle="1" w:styleId="Caracter2CharCharCaracterCharCharCaracterCharCharCaracter">
    <w:name w:val="Caracter2 Char Char Caracter Char Char Caracter Char Char Caracter"/>
    <w:basedOn w:val="Normal"/>
    <w:rsid w:val="00CF2B77"/>
    <w:rPr>
      <w:rFonts w:ascii="Times New Roman" w:eastAsia="Times New Roman" w:hAnsi="Times New Roman" w:cs="Times New Roman"/>
      <w:lang w:val="pl-PL" w:eastAsia="pl-PL"/>
    </w:rPr>
  </w:style>
  <w:style w:type="character" w:customStyle="1" w:styleId="Heading3Char">
    <w:name w:val="Heading 3 Char"/>
    <w:basedOn w:val="DefaultParagraphFont"/>
    <w:link w:val="Heading3"/>
    <w:rsid w:val="00986B5D"/>
    <w:rPr>
      <w:rFonts w:asciiTheme="majorHAnsi" w:eastAsiaTheme="majorEastAsia" w:hAnsiTheme="majorHAnsi" w:cstheme="majorBidi"/>
      <w:color w:val="1F4D78" w:themeColor="accent1" w:themeShade="7F"/>
      <w:sz w:val="24"/>
      <w:szCs w:val="24"/>
      <w:lang w:val="en-US" w:eastAsia="en-US"/>
    </w:rPr>
  </w:style>
  <w:style w:type="paragraph" w:customStyle="1" w:styleId="CharCharCharChar1CharCharCharCharCharCharCharCharCaracterCaracterCaracter">
    <w:name w:val="Char Char Char Char1 Char Char Char Char Char Char Char Char Caracter Caracter Caracter"/>
    <w:aliases w:val=" Char Char1 Char Char Char Char Char Char Caracter, Char Char1 Char Char Char Char Char Char Caracter Char Caracter Char Char Caracter"/>
    <w:basedOn w:val="Normal"/>
    <w:next w:val="Normal"/>
    <w:uiPriority w:val="99"/>
    <w:rsid w:val="0083061A"/>
    <w:pPr>
      <w:spacing w:after="160" w:line="240" w:lineRule="exact"/>
    </w:pPr>
    <w:rPr>
      <w:rFonts w:asciiTheme="minorHAnsi" w:eastAsiaTheme="minorHAnsi" w:hAnsiTheme="minorHAnsi" w:cstheme="minorBid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4">
          <w:marLeft w:val="547"/>
          <w:marRight w:val="0"/>
          <w:marTop w:val="0"/>
          <w:marBottom w:val="384"/>
          <w:divBdr>
            <w:top w:val="none" w:sz="0" w:space="0" w:color="auto"/>
            <w:left w:val="none" w:sz="0" w:space="0" w:color="auto"/>
            <w:bottom w:val="none" w:sz="0" w:space="0" w:color="auto"/>
            <w:right w:val="none" w:sz="0" w:space="0" w:color="auto"/>
          </w:divBdr>
        </w:div>
        <w:div w:id="9">
          <w:marLeft w:val="547"/>
          <w:marRight w:val="0"/>
          <w:marTop w:val="0"/>
          <w:marBottom w:val="384"/>
          <w:divBdr>
            <w:top w:val="none" w:sz="0" w:space="0" w:color="auto"/>
            <w:left w:val="none" w:sz="0" w:space="0" w:color="auto"/>
            <w:bottom w:val="none" w:sz="0" w:space="0" w:color="auto"/>
            <w:right w:val="none" w:sz="0" w:space="0" w:color="auto"/>
          </w:divBdr>
        </w:div>
        <w:div w:id="12">
          <w:marLeft w:val="547"/>
          <w:marRight w:val="0"/>
          <w:marTop w:val="0"/>
          <w:marBottom w:val="384"/>
          <w:divBdr>
            <w:top w:val="none" w:sz="0" w:space="0" w:color="auto"/>
            <w:left w:val="none" w:sz="0" w:space="0" w:color="auto"/>
            <w:bottom w:val="none" w:sz="0" w:space="0" w:color="auto"/>
            <w:right w:val="none" w:sz="0" w:space="0" w:color="auto"/>
          </w:divBdr>
        </w:div>
        <w:div w:id="14">
          <w:marLeft w:val="547"/>
          <w:marRight w:val="0"/>
          <w:marTop w:val="0"/>
          <w:marBottom w:val="384"/>
          <w:divBdr>
            <w:top w:val="none" w:sz="0" w:space="0" w:color="auto"/>
            <w:left w:val="none" w:sz="0" w:space="0" w:color="auto"/>
            <w:bottom w:val="none" w:sz="0" w:space="0" w:color="auto"/>
            <w:right w:val="none" w:sz="0" w:space="0" w:color="auto"/>
          </w:divBdr>
        </w:div>
        <w:div w:id="15">
          <w:marLeft w:val="547"/>
          <w:marRight w:val="0"/>
          <w:marTop w:val="0"/>
          <w:marBottom w:val="384"/>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29574651">
      <w:bodyDiv w:val="1"/>
      <w:marLeft w:val="0"/>
      <w:marRight w:val="0"/>
      <w:marTop w:val="0"/>
      <w:marBottom w:val="0"/>
      <w:divBdr>
        <w:top w:val="none" w:sz="0" w:space="0" w:color="auto"/>
        <w:left w:val="none" w:sz="0" w:space="0" w:color="auto"/>
        <w:bottom w:val="none" w:sz="0" w:space="0" w:color="auto"/>
        <w:right w:val="none" w:sz="0" w:space="0" w:color="auto"/>
      </w:divBdr>
    </w:div>
    <w:div w:id="30303561">
      <w:bodyDiv w:val="1"/>
      <w:marLeft w:val="0"/>
      <w:marRight w:val="0"/>
      <w:marTop w:val="0"/>
      <w:marBottom w:val="0"/>
      <w:divBdr>
        <w:top w:val="none" w:sz="0" w:space="0" w:color="auto"/>
        <w:left w:val="none" w:sz="0" w:space="0" w:color="auto"/>
        <w:bottom w:val="none" w:sz="0" w:space="0" w:color="auto"/>
        <w:right w:val="none" w:sz="0" w:space="0" w:color="auto"/>
      </w:divBdr>
    </w:div>
    <w:div w:id="37896067">
      <w:bodyDiv w:val="1"/>
      <w:marLeft w:val="0"/>
      <w:marRight w:val="0"/>
      <w:marTop w:val="0"/>
      <w:marBottom w:val="0"/>
      <w:divBdr>
        <w:top w:val="none" w:sz="0" w:space="0" w:color="auto"/>
        <w:left w:val="none" w:sz="0" w:space="0" w:color="auto"/>
        <w:bottom w:val="none" w:sz="0" w:space="0" w:color="auto"/>
        <w:right w:val="none" w:sz="0" w:space="0" w:color="auto"/>
      </w:divBdr>
    </w:div>
    <w:div w:id="71124936">
      <w:bodyDiv w:val="1"/>
      <w:marLeft w:val="0"/>
      <w:marRight w:val="0"/>
      <w:marTop w:val="0"/>
      <w:marBottom w:val="0"/>
      <w:divBdr>
        <w:top w:val="none" w:sz="0" w:space="0" w:color="auto"/>
        <w:left w:val="none" w:sz="0" w:space="0" w:color="auto"/>
        <w:bottom w:val="none" w:sz="0" w:space="0" w:color="auto"/>
        <w:right w:val="none" w:sz="0" w:space="0" w:color="auto"/>
      </w:divBdr>
    </w:div>
    <w:div w:id="118452318">
      <w:bodyDiv w:val="1"/>
      <w:marLeft w:val="0"/>
      <w:marRight w:val="0"/>
      <w:marTop w:val="0"/>
      <w:marBottom w:val="0"/>
      <w:divBdr>
        <w:top w:val="none" w:sz="0" w:space="0" w:color="auto"/>
        <w:left w:val="none" w:sz="0" w:space="0" w:color="auto"/>
        <w:bottom w:val="none" w:sz="0" w:space="0" w:color="auto"/>
        <w:right w:val="none" w:sz="0" w:space="0" w:color="auto"/>
      </w:divBdr>
    </w:div>
    <w:div w:id="137651252">
      <w:bodyDiv w:val="1"/>
      <w:marLeft w:val="0"/>
      <w:marRight w:val="0"/>
      <w:marTop w:val="0"/>
      <w:marBottom w:val="0"/>
      <w:divBdr>
        <w:top w:val="none" w:sz="0" w:space="0" w:color="auto"/>
        <w:left w:val="none" w:sz="0" w:space="0" w:color="auto"/>
        <w:bottom w:val="none" w:sz="0" w:space="0" w:color="auto"/>
        <w:right w:val="none" w:sz="0" w:space="0" w:color="auto"/>
      </w:divBdr>
    </w:div>
    <w:div w:id="149910505">
      <w:bodyDiv w:val="1"/>
      <w:marLeft w:val="0"/>
      <w:marRight w:val="0"/>
      <w:marTop w:val="0"/>
      <w:marBottom w:val="0"/>
      <w:divBdr>
        <w:top w:val="none" w:sz="0" w:space="0" w:color="auto"/>
        <w:left w:val="none" w:sz="0" w:space="0" w:color="auto"/>
        <w:bottom w:val="none" w:sz="0" w:space="0" w:color="auto"/>
        <w:right w:val="none" w:sz="0" w:space="0" w:color="auto"/>
      </w:divBdr>
    </w:div>
    <w:div w:id="152919708">
      <w:bodyDiv w:val="1"/>
      <w:marLeft w:val="0"/>
      <w:marRight w:val="0"/>
      <w:marTop w:val="0"/>
      <w:marBottom w:val="0"/>
      <w:divBdr>
        <w:top w:val="none" w:sz="0" w:space="0" w:color="auto"/>
        <w:left w:val="none" w:sz="0" w:space="0" w:color="auto"/>
        <w:bottom w:val="none" w:sz="0" w:space="0" w:color="auto"/>
        <w:right w:val="none" w:sz="0" w:space="0" w:color="auto"/>
      </w:divBdr>
    </w:div>
    <w:div w:id="155074163">
      <w:bodyDiv w:val="1"/>
      <w:marLeft w:val="0"/>
      <w:marRight w:val="0"/>
      <w:marTop w:val="0"/>
      <w:marBottom w:val="0"/>
      <w:divBdr>
        <w:top w:val="none" w:sz="0" w:space="0" w:color="auto"/>
        <w:left w:val="none" w:sz="0" w:space="0" w:color="auto"/>
        <w:bottom w:val="none" w:sz="0" w:space="0" w:color="auto"/>
        <w:right w:val="none" w:sz="0" w:space="0" w:color="auto"/>
      </w:divBdr>
    </w:div>
    <w:div w:id="192033612">
      <w:bodyDiv w:val="1"/>
      <w:marLeft w:val="0"/>
      <w:marRight w:val="0"/>
      <w:marTop w:val="0"/>
      <w:marBottom w:val="0"/>
      <w:divBdr>
        <w:top w:val="none" w:sz="0" w:space="0" w:color="auto"/>
        <w:left w:val="none" w:sz="0" w:space="0" w:color="auto"/>
        <w:bottom w:val="none" w:sz="0" w:space="0" w:color="auto"/>
        <w:right w:val="none" w:sz="0" w:space="0" w:color="auto"/>
      </w:divBdr>
    </w:div>
    <w:div w:id="221992115">
      <w:bodyDiv w:val="1"/>
      <w:marLeft w:val="0"/>
      <w:marRight w:val="0"/>
      <w:marTop w:val="0"/>
      <w:marBottom w:val="0"/>
      <w:divBdr>
        <w:top w:val="none" w:sz="0" w:space="0" w:color="auto"/>
        <w:left w:val="none" w:sz="0" w:space="0" w:color="auto"/>
        <w:bottom w:val="none" w:sz="0" w:space="0" w:color="auto"/>
        <w:right w:val="none" w:sz="0" w:space="0" w:color="auto"/>
      </w:divBdr>
    </w:div>
    <w:div w:id="234627537">
      <w:bodyDiv w:val="1"/>
      <w:marLeft w:val="0"/>
      <w:marRight w:val="0"/>
      <w:marTop w:val="0"/>
      <w:marBottom w:val="0"/>
      <w:divBdr>
        <w:top w:val="none" w:sz="0" w:space="0" w:color="auto"/>
        <w:left w:val="none" w:sz="0" w:space="0" w:color="auto"/>
        <w:bottom w:val="none" w:sz="0" w:space="0" w:color="auto"/>
        <w:right w:val="none" w:sz="0" w:space="0" w:color="auto"/>
      </w:divBdr>
      <w:divsChild>
        <w:div w:id="1409383838">
          <w:marLeft w:val="2520"/>
          <w:marRight w:val="0"/>
          <w:marTop w:val="67"/>
          <w:marBottom w:val="0"/>
          <w:divBdr>
            <w:top w:val="none" w:sz="0" w:space="0" w:color="auto"/>
            <w:left w:val="none" w:sz="0" w:space="0" w:color="auto"/>
            <w:bottom w:val="none" w:sz="0" w:space="0" w:color="auto"/>
            <w:right w:val="none" w:sz="0" w:space="0" w:color="auto"/>
          </w:divBdr>
        </w:div>
        <w:div w:id="1736732594">
          <w:marLeft w:val="2520"/>
          <w:marRight w:val="0"/>
          <w:marTop w:val="67"/>
          <w:marBottom w:val="0"/>
          <w:divBdr>
            <w:top w:val="none" w:sz="0" w:space="0" w:color="auto"/>
            <w:left w:val="none" w:sz="0" w:space="0" w:color="auto"/>
            <w:bottom w:val="none" w:sz="0" w:space="0" w:color="auto"/>
            <w:right w:val="none" w:sz="0" w:space="0" w:color="auto"/>
          </w:divBdr>
        </w:div>
        <w:div w:id="569383792">
          <w:marLeft w:val="2520"/>
          <w:marRight w:val="0"/>
          <w:marTop w:val="67"/>
          <w:marBottom w:val="0"/>
          <w:divBdr>
            <w:top w:val="none" w:sz="0" w:space="0" w:color="auto"/>
            <w:left w:val="none" w:sz="0" w:space="0" w:color="auto"/>
            <w:bottom w:val="none" w:sz="0" w:space="0" w:color="auto"/>
            <w:right w:val="none" w:sz="0" w:space="0" w:color="auto"/>
          </w:divBdr>
        </w:div>
        <w:div w:id="894123529">
          <w:marLeft w:val="2520"/>
          <w:marRight w:val="0"/>
          <w:marTop w:val="67"/>
          <w:marBottom w:val="0"/>
          <w:divBdr>
            <w:top w:val="none" w:sz="0" w:space="0" w:color="auto"/>
            <w:left w:val="none" w:sz="0" w:space="0" w:color="auto"/>
            <w:bottom w:val="none" w:sz="0" w:space="0" w:color="auto"/>
            <w:right w:val="none" w:sz="0" w:space="0" w:color="auto"/>
          </w:divBdr>
        </w:div>
        <w:div w:id="844512415">
          <w:marLeft w:val="2520"/>
          <w:marRight w:val="0"/>
          <w:marTop w:val="67"/>
          <w:marBottom w:val="0"/>
          <w:divBdr>
            <w:top w:val="none" w:sz="0" w:space="0" w:color="auto"/>
            <w:left w:val="none" w:sz="0" w:space="0" w:color="auto"/>
            <w:bottom w:val="none" w:sz="0" w:space="0" w:color="auto"/>
            <w:right w:val="none" w:sz="0" w:space="0" w:color="auto"/>
          </w:divBdr>
        </w:div>
        <w:div w:id="755828454">
          <w:marLeft w:val="2520"/>
          <w:marRight w:val="0"/>
          <w:marTop w:val="67"/>
          <w:marBottom w:val="0"/>
          <w:divBdr>
            <w:top w:val="none" w:sz="0" w:space="0" w:color="auto"/>
            <w:left w:val="none" w:sz="0" w:space="0" w:color="auto"/>
            <w:bottom w:val="none" w:sz="0" w:space="0" w:color="auto"/>
            <w:right w:val="none" w:sz="0" w:space="0" w:color="auto"/>
          </w:divBdr>
        </w:div>
        <w:div w:id="2009095235">
          <w:marLeft w:val="2520"/>
          <w:marRight w:val="0"/>
          <w:marTop w:val="67"/>
          <w:marBottom w:val="0"/>
          <w:divBdr>
            <w:top w:val="none" w:sz="0" w:space="0" w:color="auto"/>
            <w:left w:val="none" w:sz="0" w:space="0" w:color="auto"/>
            <w:bottom w:val="none" w:sz="0" w:space="0" w:color="auto"/>
            <w:right w:val="none" w:sz="0" w:space="0" w:color="auto"/>
          </w:divBdr>
        </w:div>
      </w:divsChild>
    </w:div>
    <w:div w:id="242959769">
      <w:bodyDiv w:val="1"/>
      <w:marLeft w:val="0"/>
      <w:marRight w:val="0"/>
      <w:marTop w:val="0"/>
      <w:marBottom w:val="0"/>
      <w:divBdr>
        <w:top w:val="none" w:sz="0" w:space="0" w:color="auto"/>
        <w:left w:val="none" w:sz="0" w:space="0" w:color="auto"/>
        <w:bottom w:val="none" w:sz="0" w:space="0" w:color="auto"/>
        <w:right w:val="none" w:sz="0" w:space="0" w:color="auto"/>
      </w:divBdr>
    </w:div>
    <w:div w:id="269631243">
      <w:bodyDiv w:val="1"/>
      <w:marLeft w:val="0"/>
      <w:marRight w:val="0"/>
      <w:marTop w:val="0"/>
      <w:marBottom w:val="0"/>
      <w:divBdr>
        <w:top w:val="none" w:sz="0" w:space="0" w:color="auto"/>
        <w:left w:val="none" w:sz="0" w:space="0" w:color="auto"/>
        <w:bottom w:val="none" w:sz="0" w:space="0" w:color="auto"/>
        <w:right w:val="none" w:sz="0" w:space="0" w:color="auto"/>
      </w:divBdr>
    </w:div>
    <w:div w:id="269749950">
      <w:bodyDiv w:val="1"/>
      <w:marLeft w:val="0"/>
      <w:marRight w:val="0"/>
      <w:marTop w:val="0"/>
      <w:marBottom w:val="0"/>
      <w:divBdr>
        <w:top w:val="none" w:sz="0" w:space="0" w:color="auto"/>
        <w:left w:val="none" w:sz="0" w:space="0" w:color="auto"/>
        <w:bottom w:val="none" w:sz="0" w:space="0" w:color="auto"/>
        <w:right w:val="none" w:sz="0" w:space="0" w:color="auto"/>
      </w:divBdr>
    </w:div>
    <w:div w:id="314990100">
      <w:bodyDiv w:val="1"/>
      <w:marLeft w:val="0"/>
      <w:marRight w:val="0"/>
      <w:marTop w:val="0"/>
      <w:marBottom w:val="0"/>
      <w:divBdr>
        <w:top w:val="none" w:sz="0" w:space="0" w:color="auto"/>
        <w:left w:val="none" w:sz="0" w:space="0" w:color="auto"/>
        <w:bottom w:val="none" w:sz="0" w:space="0" w:color="auto"/>
        <w:right w:val="none" w:sz="0" w:space="0" w:color="auto"/>
      </w:divBdr>
    </w:div>
    <w:div w:id="336999408">
      <w:bodyDiv w:val="1"/>
      <w:marLeft w:val="0"/>
      <w:marRight w:val="0"/>
      <w:marTop w:val="0"/>
      <w:marBottom w:val="0"/>
      <w:divBdr>
        <w:top w:val="none" w:sz="0" w:space="0" w:color="auto"/>
        <w:left w:val="none" w:sz="0" w:space="0" w:color="auto"/>
        <w:bottom w:val="none" w:sz="0" w:space="0" w:color="auto"/>
        <w:right w:val="none" w:sz="0" w:space="0" w:color="auto"/>
      </w:divBdr>
    </w:div>
    <w:div w:id="337080484">
      <w:bodyDiv w:val="1"/>
      <w:marLeft w:val="0"/>
      <w:marRight w:val="0"/>
      <w:marTop w:val="0"/>
      <w:marBottom w:val="0"/>
      <w:divBdr>
        <w:top w:val="none" w:sz="0" w:space="0" w:color="auto"/>
        <w:left w:val="none" w:sz="0" w:space="0" w:color="auto"/>
        <w:bottom w:val="none" w:sz="0" w:space="0" w:color="auto"/>
        <w:right w:val="none" w:sz="0" w:space="0" w:color="auto"/>
      </w:divBdr>
    </w:div>
    <w:div w:id="350424889">
      <w:bodyDiv w:val="1"/>
      <w:marLeft w:val="0"/>
      <w:marRight w:val="0"/>
      <w:marTop w:val="0"/>
      <w:marBottom w:val="0"/>
      <w:divBdr>
        <w:top w:val="none" w:sz="0" w:space="0" w:color="auto"/>
        <w:left w:val="none" w:sz="0" w:space="0" w:color="auto"/>
        <w:bottom w:val="none" w:sz="0" w:space="0" w:color="auto"/>
        <w:right w:val="none" w:sz="0" w:space="0" w:color="auto"/>
      </w:divBdr>
    </w:div>
    <w:div w:id="372929122">
      <w:bodyDiv w:val="1"/>
      <w:marLeft w:val="0"/>
      <w:marRight w:val="0"/>
      <w:marTop w:val="0"/>
      <w:marBottom w:val="0"/>
      <w:divBdr>
        <w:top w:val="none" w:sz="0" w:space="0" w:color="auto"/>
        <w:left w:val="none" w:sz="0" w:space="0" w:color="auto"/>
        <w:bottom w:val="none" w:sz="0" w:space="0" w:color="auto"/>
        <w:right w:val="none" w:sz="0" w:space="0" w:color="auto"/>
      </w:divBdr>
    </w:div>
    <w:div w:id="419260500">
      <w:bodyDiv w:val="1"/>
      <w:marLeft w:val="0"/>
      <w:marRight w:val="0"/>
      <w:marTop w:val="0"/>
      <w:marBottom w:val="0"/>
      <w:divBdr>
        <w:top w:val="none" w:sz="0" w:space="0" w:color="auto"/>
        <w:left w:val="none" w:sz="0" w:space="0" w:color="auto"/>
        <w:bottom w:val="none" w:sz="0" w:space="0" w:color="auto"/>
        <w:right w:val="none" w:sz="0" w:space="0" w:color="auto"/>
      </w:divBdr>
    </w:div>
    <w:div w:id="420417996">
      <w:bodyDiv w:val="1"/>
      <w:marLeft w:val="0"/>
      <w:marRight w:val="0"/>
      <w:marTop w:val="0"/>
      <w:marBottom w:val="0"/>
      <w:divBdr>
        <w:top w:val="none" w:sz="0" w:space="0" w:color="auto"/>
        <w:left w:val="none" w:sz="0" w:space="0" w:color="auto"/>
        <w:bottom w:val="none" w:sz="0" w:space="0" w:color="auto"/>
        <w:right w:val="none" w:sz="0" w:space="0" w:color="auto"/>
      </w:divBdr>
    </w:div>
    <w:div w:id="424959030">
      <w:bodyDiv w:val="1"/>
      <w:marLeft w:val="0"/>
      <w:marRight w:val="0"/>
      <w:marTop w:val="0"/>
      <w:marBottom w:val="0"/>
      <w:divBdr>
        <w:top w:val="none" w:sz="0" w:space="0" w:color="auto"/>
        <w:left w:val="none" w:sz="0" w:space="0" w:color="auto"/>
        <w:bottom w:val="none" w:sz="0" w:space="0" w:color="auto"/>
        <w:right w:val="none" w:sz="0" w:space="0" w:color="auto"/>
      </w:divBdr>
      <w:divsChild>
        <w:div w:id="1958835302">
          <w:marLeft w:val="446"/>
          <w:marRight w:val="0"/>
          <w:marTop w:val="0"/>
          <w:marBottom w:val="0"/>
          <w:divBdr>
            <w:top w:val="none" w:sz="0" w:space="0" w:color="auto"/>
            <w:left w:val="none" w:sz="0" w:space="0" w:color="auto"/>
            <w:bottom w:val="none" w:sz="0" w:space="0" w:color="auto"/>
            <w:right w:val="none" w:sz="0" w:space="0" w:color="auto"/>
          </w:divBdr>
        </w:div>
        <w:div w:id="99106666">
          <w:marLeft w:val="446"/>
          <w:marRight w:val="0"/>
          <w:marTop w:val="0"/>
          <w:marBottom w:val="0"/>
          <w:divBdr>
            <w:top w:val="none" w:sz="0" w:space="0" w:color="auto"/>
            <w:left w:val="none" w:sz="0" w:space="0" w:color="auto"/>
            <w:bottom w:val="none" w:sz="0" w:space="0" w:color="auto"/>
            <w:right w:val="none" w:sz="0" w:space="0" w:color="auto"/>
          </w:divBdr>
        </w:div>
        <w:div w:id="340402518">
          <w:marLeft w:val="446"/>
          <w:marRight w:val="0"/>
          <w:marTop w:val="0"/>
          <w:marBottom w:val="0"/>
          <w:divBdr>
            <w:top w:val="none" w:sz="0" w:space="0" w:color="auto"/>
            <w:left w:val="none" w:sz="0" w:space="0" w:color="auto"/>
            <w:bottom w:val="none" w:sz="0" w:space="0" w:color="auto"/>
            <w:right w:val="none" w:sz="0" w:space="0" w:color="auto"/>
          </w:divBdr>
        </w:div>
        <w:div w:id="147985801">
          <w:marLeft w:val="446"/>
          <w:marRight w:val="0"/>
          <w:marTop w:val="0"/>
          <w:marBottom w:val="0"/>
          <w:divBdr>
            <w:top w:val="none" w:sz="0" w:space="0" w:color="auto"/>
            <w:left w:val="none" w:sz="0" w:space="0" w:color="auto"/>
            <w:bottom w:val="none" w:sz="0" w:space="0" w:color="auto"/>
            <w:right w:val="none" w:sz="0" w:space="0" w:color="auto"/>
          </w:divBdr>
        </w:div>
        <w:div w:id="871655358">
          <w:marLeft w:val="446"/>
          <w:marRight w:val="0"/>
          <w:marTop w:val="0"/>
          <w:marBottom w:val="0"/>
          <w:divBdr>
            <w:top w:val="none" w:sz="0" w:space="0" w:color="auto"/>
            <w:left w:val="none" w:sz="0" w:space="0" w:color="auto"/>
            <w:bottom w:val="none" w:sz="0" w:space="0" w:color="auto"/>
            <w:right w:val="none" w:sz="0" w:space="0" w:color="auto"/>
          </w:divBdr>
        </w:div>
      </w:divsChild>
    </w:div>
    <w:div w:id="426081930">
      <w:bodyDiv w:val="1"/>
      <w:marLeft w:val="0"/>
      <w:marRight w:val="0"/>
      <w:marTop w:val="0"/>
      <w:marBottom w:val="0"/>
      <w:divBdr>
        <w:top w:val="none" w:sz="0" w:space="0" w:color="auto"/>
        <w:left w:val="none" w:sz="0" w:space="0" w:color="auto"/>
        <w:bottom w:val="none" w:sz="0" w:space="0" w:color="auto"/>
        <w:right w:val="none" w:sz="0" w:space="0" w:color="auto"/>
      </w:divBdr>
    </w:div>
    <w:div w:id="426311984">
      <w:bodyDiv w:val="1"/>
      <w:marLeft w:val="0"/>
      <w:marRight w:val="0"/>
      <w:marTop w:val="0"/>
      <w:marBottom w:val="0"/>
      <w:divBdr>
        <w:top w:val="none" w:sz="0" w:space="0" w:color="auto"/>
        <w:left w:val="none" w:sz="0" w:space="0" w:color="auto"/>
        <w:bottom w:val="none" w:sz="0" w:space="0" w:color="auto"/>
        <w:right w:val="none" w:sz="0" w:space="0" w:color="auto"/>
      </w:divBdr>
    </w:div>
    <w:div w:id="526792983">
      <w:bodyDiv w:val="1"/>
      <w:marLeft w:val="0"/>
      <w:marRight w:val="0"/>
      <w:marTop w:val="0"/>
      <w:marBottom w:val="0"/>
      <w:divBdr>
        <w:top w:val="none" w:sz="0" w:space="0" w:color="auto"/>
        <w:left w:val="none" w:sz="0" w:space="0" w:color="auto"/>
        <w:bottom w:val="none" w:sz="0" w:space="0" w:color="auto"/>
        <w:right w:val="none" w:sz="0" w:space="0" w:color="auto"/>
      </w:divBdr>
    </w:div>
    <w:div w:id="605843211">
      <w:bodyDiv w:val="1"/>
      <w:marLeft w:val="0"/>
      <w:marRight w:val="0"/>
      <w:marTop w:val="0"/>
      <w:marBottom w:val="0"/>
      <w:divBdr>
        <w:top w:val="none" w:sz="0" w:space="0" w:color="auto"/>
        <w:left w:val="none" w:sz="0" w:space="0" w:color="auto"/>
        <w:bottom w:val="none" w:sz="0" w:space="0" w:color="auto"/>
        <w:right w:val="none" w:sz="0" w:space="0" w:color="auto"/>
      </w:divBdr>
    </w:div>
    <w:div w:id="613705969">
      <w:bodyDiv w:val="1"/>
      <w:marLeft w:val="0"/>
      <w:marRight w:val="0"/>
      <w:marTop w:val="0"/>
      <w:marBottom w:val="0"/>
      <w:divBdr>
        <w:top w:val="none" w:sz="0" w:space="0" w:color="auto"/>
        <w:left w:val="none" w:sz="0" w:space="0" w:color="auto"/>
        <w:bottom w:val="none" w:sz="0" w:space="0" w:color="auto"/>
        <w:right w:val="none" w:sz="0" w:space="0" w:color="auto"/>
      </w:divBdr>
    </w:div>
    <w:div w:id="631591300">
      <w:bodyDiv w:val="1"/>
      <w:marLeft w:val="0"/>
      <w:marRight w:val="0"/>
      <w:marTop w:val="0"/>
      <w:marBottom w:val="0"/>
      <w:divBdr>
        <w:top w:val="none" w:sz="0" w:space="0" w:color="auto"/>
        <w:left w:val="none" w:sz="0" w:space="0" w:color="auto"/>
        <w:bottom w:val="none" w:sz="0" w:space="0" w:color="auto"/>
        <w:right w:val="none" w:sz="0" w:space="0" w:color="auto"/>
      </w:divBdr>
    </w:div>
    <w:div w:id="651522834">
      <w:bodyDiv w:val="1"/>
      <w:marLeft w:val="0"/>
      <w:marRight w:val="0"/>
      <w:marTop w:val="0"/>
      <w:marBottom w:val="0"/>
      <w:divBdr>
        <w:top w:val="none" w:sz="0" w:space="0" w:color="auto"/>
        <w:left w:val="none" w:sz="0" w:space="0" w:color="auto"/>
        <w:bottom w:val="none" w:sz="0" w:space="0" w:color="auto"/>
        <w:right w:val="none" w:sz="0" w:space="0" w:color="auto"/>
      </w:divBdr>
    </w:div>
    <w:div w:id="668869036">
      <w:bodyDiv w:val="1"/>
      <w:marLeft w:val="0"/>
      <w:marRight w:val="0"/>
      <w:marTop w:val="0"/>
      <w:marBottom w:val="0"/>
      <w:divBdr>
        <w:top w:val="none" w:sz="0" w:space="0" w:color="auto"/>
        <w:left w:val="none" w:sz="0" w:space="0" w:color="auto"/>
        <w:bottom w:val="none" w:sz="0" w:space="0" w:color="auto"/>
        <w:right w:val="none" w:sz="0" w:space="0" w:color="auto"/>
      </w:divBdr>
      <w:divsChild>
        <w:div w:id="25453774">
          <w:marLeft w:val="360"/>
          <w:marRight w:val="0"/>
          <w:marTop w:val="120"/>
          <w:marBottom w:val="120"/>
          <w:divBdr>
            <w:top w:val="none" w:sz="0" w:space="0" w:color="auto"/>
            <w:left w:val="none" w:sz="0" w:space="0" w:color="auto"/>
            <w:bottom w:val="none" w:sz="0" w:space="0" w:color="auto"/>
            <w:right w:val="none" w:sz="0" w:space="0" w:color="auto"/>
          </w:divBdr>
        </w:div>
        <w:div w:id="191378791">
          <w:marLeft w:val="1080"/>
          <w:marRight w:val="0"/>
          <w:marTop w:val="120"/>
          <w:marBottom w:val="120"/>
          <w:divBdr>
            <w:top w:val="none" w:sz="0" w:space="0" w:color="auto"/>
            <w:left w:val="none" w:sz="0" w:space="0" w:color="auto"/>
            <w:bottom w:val="none" w:sz="0" w:space="0" w:color="auto"/>
            <w:right w:val="none" w:sz="0" w:space="0" w:color="auto"/>
          </w:divBdr>
        </w:div>
        <w:div w:id="1003973687">
          <w:marLeft w:val="1080"/>
          <w:marRight w:val="0"/>
          <w:marTop w:val="120"/>
          <w:marBottom w:val="120"/>
          <w:divBdr>
            <w:top w:val="none" w:sz="0" w:space="0" w:color="auto"/>
            <w:left w:val="none" w:sz="0" w:space="0" w:color="auto"/>
            <w:bottom w:val="none" w:sz="0" w:space="0" w:color="auto"/>
            <w:right w:val="none" w:sz="0" w:space="0" w:color="auto"/>
          </w:divBdr>
        </w:div>
      </w:divsChild>
    </w:div>
    <w:div w:id="712929197">
      <w:bodyDiv w:val="1"/>
      <w:marLeft w:val="0"/>
      <w:marRight w:val="0"/>
      <w:marTop w:val="0"/>
      <w:marBottom w:val="0"/>
      <w:divBdr>
        <w:top w:val="none" w:sz="0" w:space="0" w:color="auto"/>
        <w:left w:val="none" w:sz="0" w:space="0" w:color="auto"/>
        <w:bottom w:val="none" w:sz="0" w:space="0" w:color="auto"/>
        <w:right w:val="none" w:sz="0" w:space="0" w:color="auto"/>
      </w:divBdr>
    </w:div>
    <w:div w:id="757600555">
      <w:bodyDiv w:val="1"/>
      <w:marLeft w:val="0"/>
      <w:marRight w:val="0"/>
      <w:marTop w:val="0"/>
      <w:marBottom w:val="0"/>
      <w:divBdr>
        <w:top w:val="none" w:sz="0" w:space="0" w:color="auto"/>
        <w:left w:val="none" w:sz="0" w:space="0" w:color="auto"/>
        <w:bottom w:val="none" w:sz="0" w:space="0" w:color="auto"/>
        <w:right w:val="none" w:sz="0" w:space="0" w:color="auto"/>
      </w:divBdr>
    </w:div>
    <w:div w:id="762460641">
      <w:bodyDiv w:val="1"/>
      <w:marLeft w:val="0"/>
      <w:marRight w:val="0"/>
      <w:marTop w:val="0"/>
      <w:marBottom w:val="0"/>
      <w:divBdr>
        <w:top w:val="none" w:sz="0" w:space="0" w:color="auto"/>
        <w:left w:val="none" w:sz="0" w:space="0" w:color="auto"/>
        <w:bottom w:val="none" w:sz="0" w:space="0" w:color="auto"/>
        <w:right w:val="none" w:sz="0" w:space="0" w:color="auto"/>
      </w:divBdr>
    </w:div>
    <w:div w:id="777414267">
      <w:bodyDiv w:val="1"/>
      <w:marLeft w:val="0"/>
      <w:marRight w:val="0"/>
      <w:marTop w:val="0"/>
      <w:marBottom w:val="0"/>
      <w:divBdr>
        <w:top w:val="none" w:sz="0" w:space="0" w:color="auto"/>
        <w:left w:val="none" w:sz="0" w:space="0" w:color="auto"/>
        <w:bottom w:val="none" w:sz="0" w:space="0" w:color="auto"/>
        <w:right w:val="none" w:sz="0" w:space="0" w:color="auto"/>
      </w:divBdr>
    </w:div>
    <w:div w:id="857238523">
      <w:bodyDiv w:val="1"/>
      <w:marLeft w:val="0"/>
      <w:marRight w:val="0"/>
      <w:marTop w:val="0"/>
      <w:marBottom w:val="0"/>
      <w:divBdr>
        <w:top w:val="none" w:sz="0" w:space="0" w:color="auto"/>
        <w:left w:val="none" w:sz="0" w:space="0" w:color="auto"/>
        <w:bottom w:val="none" w:sz="0" w:space="0" w:color="auto"/>
        <w:right w:val="none" w:sz="0" w:space="0" w:color="auto"/>
      </w:divBdr>
    </w:div>
    <w:div w:id="865098009">
      <w:bodyDiv w:val="1"/>
      <w:marLeft w:val="0"/>
      <w:marRight w:val="0"/>
      <w:marTop w:val="0"/>
      <w:marBottom w:val="0"/>
      <w:divBdr>
        <w:top w:val="none" w:sz="0" w:space="0" w:color="auto"/>
        <w:left w:val="none" w:sz="0" w:space="0" w:color="auto"/>
        <w:bottom w:val="none" w:sz="0" w:space="0" w:color="auto"/>
        <w:right w:val="none" w:sz="0" w:space="0" w:color="auto"/>
      </w:divBdr>
    </w:div>
    <w:div w:id="885068555">
      <w:bodyDiv w:val="1"/>
      <w:marLeft w:val="0"/>
      <w:marRight w:val="0"/>
      <w:marTop w:val="0"/>
      <w:marBottom w:val="0"/>
      <w:divBdr>
        <w:top w:val="none" w:sz="0" w:space="0" w:color="auto"/>
        <w:left w:val="none" w:sz="0" w:space="0" w:color="auto"/>
        <w:bottom w:val="none" w:sz="0" w:space="0" w:color="auto"/>
        <w:right w:val="none" w:sz="0" w:space="0" w:color="auto"/>
      </w:divBdr>
    </w:div>
    <w:div w:id="899369188">
      <w:bodyDiv w:val="1"/>
      <w:marLeft w:val="0"/>
      <w:marRight w:val="0"/>
      <w:marTop w:val="0"/>
      <w:marBottom w:val="0"/>
      <w:divBdr>
        <w:top w:val="none" w:sz="0" w:space="0" w:color="auto"/>
        <w:left w:val="none" w:sz="0" w:space="0" w:color="auto"/>
        <w:bottom w:val="none" w:sz="0" w:space="0" w:color="auto"/>
        <w:right w:val="none" w:sz="0" w:space="0" w:color="auto"/>
      </w:divBdr>
    </w:div>
    <w:div w:id="924609113">
      <w:bodyDiv w:val="1"/>
      <w:marLeft w:val="0"/>
      <w:marRight w:val="0"/>
      <w:marTop w:val="0"/>
      <w:marBottom w:val="0"/>
      <w:divBdr>
        <w:top w:val="none" w:sz="0" w:space="0" w:color="auto"/>
        <w:left w:val="none" w:sz="0" w:space="0" w:color="auto"/>
        <w:bottom w:val="none" w:sz="0" w:space="0" w:color="auto"/>
        <w:right w:val="none" w:sz="0" w:space="0" w:color="auto"/>
      </w:divBdr>
    </w:div>
    <w:div w:id="927034675">
      <w:bodyDiv w:val="1"/>
      <w:marLeft w:val="0"/>
      <w:marRight w:val="0"/>
      <w:marTop w:val="0"/>
      <w:marBottom w:val="0"/>
      <w:divBdr>
        <w:top w:val="none" w:sz="0" w:space="0" w:color="auto"/>
        <w:left w:val="none" w:sz="0" w:space="0" w:color="auto"/>
        <w:bottom w:val="none" w:sz="0" w:space="0" w:color="auto"/>
        <w:right w:val="none" w:sz="0" w:space="0" w:color="auto"/>
      </w:divBdr>
    </w:div>
    <w:div w:id="933242041">
      <w:bodyDiv w:val="1"/>
      <w:marLeft w:val="0"/>
      <w:marRight w:val="0"/>
      <w:marTop w:val="0"/>
      <w:marBottom w:val="0"/>
      <w:divBdr>
        <w:top w:val="none" w:sz="0" w:space="0" w:color="auto"/>
        <w:left w:val="none" w:sz="0" w:space="0" w:color="auto"/>
        <w:bottom w:val="none" w:sz="0" w:space="0" w:color="auto"/>
        <w:right w:val="none" w:sz="0" w:space="0" w:color="auto"/>
      </w:divBdr>
    </w:div>
    <w:div w:id="937298405">
      <w:bodyDiv w:val="1"/>
      <w:marLeft w:val="0"/>
      <w:marRight w:val="0"/>
      <w:marTop w:val="0"/>
      <w:marBottom w:val="0"/>
      <w:divBdr>
        <w:top w:val="none" w:sz="0" w:space="0" w:color="auto"/>
        <w:left w:val="none" w:sz="0" w:space="0" w:color="auto"/>
        <w:bottom w:val="none" w:sz="0" w:space="0" w:color="auto"/>
        <w:right w:val="none" w:sz="0" w:space="0" w:color="auto"/>
      </w:divBdr>
    </w:div>
    <w:div w:id="946501774">
      <w:bodyDiv w:val="1"/>
      <w:marLeft w:val="0"/>
      <w:marRight w:val="0"/>
      <w:marTop w:val="0"/>
      <w:marBottom w:val="0"/>
      <w:divBdr>
        <w:top w:val="none" w:sz="0" w:space="0" w:color="auto"/>
        <w:left w:val="none" w:sz="0" w:space="0" w:color="auto"/>
        <w:bottom w:val="none" w:sz="0" w:space="0" w:color="auto"/>
        <w:right w:val="none" w:sz="0" w:space="0" w:color="auto"/>
      </w:divBdr>
    </w:div>
    <w:div w:id="960384150">
      <w:bodyDiv w:val="1"/>
      <w:marLeft w:val="0"/>
      <w:marRight w:val="0"/>
      <w:marTop w:val="0"/>
      <w:marBottom w:val="0"/>
      <w:divBdr>
        <w:top w:val="none" w:sz="0" w:space="0" w:color="auto"/>
        <w:left w:val="none" w:sz="0" w:space="0" w:color="auto"/>
        <w:bottom w:val="none" w:sz="0" w:space="0" w:color="auto"/>
        <w:right w:val="none" w:sz="0" w:space="0" w:color="auto"/>
      </w:divBdr>
    </w:div>
    <w:div w:id="970751414">
      <w:bodyDiv w:val="1"/>
      <w:marLeft w:val="0"/>
      <w:marRight w:val="0"/>
      <w:marTop w:val="0"/>
      <w:marBottom w:val="0"/>
      <w:divBdr>
        <w:top w:val="none" w:sz="0" w:space="0" w:color="auto"/>
        <w:left w:val="none" w:sz="0" w:space="0" w:color="auto"/>
        <w:bottom w:val="none" w:sz="0" w:space="0" w:color="auto"/>
        <w:right w:val="none" w:sz="0" w:space="0" w:color="auto"/>
      </w:divBdr>
    </w:div>
    <w:div w:id="1000426054">
      <w:bodyDiv w:val="1"/>
      <w:marLeft w:val="0"/>
      <w:marRight w:val="0"/>
      <w:marTop w:val="0"/>
      <w:marBottom w:val="0"/>
      <w:divBdr>
        <w:top w:val="none" w:sz="0" w:space="0" w:color="auto"/>
        <w:left w:val="none" w:sz="0" w:space="0" w:color="auto"/>
        <w:bottom w:val="none" w:sz="0" w:space="0" w:color="auto"/>
        <w:right w:val="none" w:sz="0" w:space="0" w:color="auto"/>
      </w:divBdr>
    </w:div>
    <w:div w:id="1008019388">
      <w:bodyDiv w:val="1"/>
      <w:marLeft w:val="0"/>
      <w:marRight w:val="0"/>
      <w:marTop w:val="0"/>
      <w:marBottom w:val="0"/>
      <w:divBdr>
        <w:top w:val="none" w:sz="0" w:space="0" w:color="auto"/>
        <w:left w:val="none" w:sz="0" w:space="0" w:color="auto"/>
        <w:bottom w:val="none" w:sz="0" w:space="0" w:color="auto"/>
        <w:right w:val="none" w:sz="0" w:space="0" w:color="auto"/>
      </w:divBdr>
    </w:div>
    <w:div w:id="1021904908">
      <w:bodyDiv w:val="1"/>
      <w:marLeft w:val="0"/>
      <w:marRight w:val="0"/>
      <w:marTop w:val="0"/>
      <w:marBottom w:val="0"/>
      <w:divBdr>
        <w:top w:val="none" w:sz="0" w:space="0" w:color="auto"/>
        <w:left w:val="none" w:sz="0" w:space="0" w:color="auto"/>
        <w:bottom w:val="none" w:sz="0" w:space="0" w:color="auto"/>
        <w:right w:val="none" w:sz="0" w:space="0" w:color="auto"/>
      </w:divBdr>
    </w:div>
    <w:div w:id="1080325231">
      <w:bodyDiv w:val="1"/>
      <w:marLeft w:val="0"/>
      <w:marRight w:val="0"/>
      <w:marTop w:val="0"/>
      <w:marBottom w:val="0"/>
      <w:divBdr>
        <w:top w:val="none" w:sz="0" w:space="0" w:color="auto"/>
        <w:left w:val="none" w:sz="0" w:space="0" w:color="auto"/>
        <w:bottom w:val="none" w:sz="0" w:space="0" w:color="auto"/>
        <w:right w:val="none" w:sz="0" w:space="0" w:color="auto"/>
      </w:divBdr>
    </w:div>
    <w:div w:id="1101949984">
      <w:bodyDiv w:val="1"/>
      <w:marLeft w:val="0"/>
      <w:marRight w:val="0"/>
      <w:marTop w:val="0"/>
      <w:marBottom w:val="0"/>
      <w:divBdr>
        <w:top w:val="none" w:sz="0" w:space="0" w:color="auto"/>
        <w:left w:val="none" w:sz="0" w:space="0" w:color="auto"/>
        <w:bottom w:val="none" w:sz="0" w:space="0" w:color="auto"/>
        <w:right w:val="none" w:sz="0" w:space="0" w:color="auto"/>
      </w:divBdr>
    </w:div>
    <w:div w:id="1103379347">
      <w:bodyDiv w:val="1"/>
      <w:marLeft w:val="0"/>
      <w:marRight w:val="0"/>
      <w:marTop w:val="0"/>
      <w:marBottom w:val="0"/>
      <w:divBdr>
        <w:top w:val="none" w:sz="0" w:space="0" w:color="auto"/>
        <w:left w:val="none" w:sz="0" w:space="0" w:color="auto"/>
        <w:bottom w:val="none" w:sz="0" w:space="0" w:color="auto"/>
        <w:right w:val="none" w:sz="0" w:space="0" w:color="auto"/>
      </w:divBdr>
      <w:divsChild>
        <w:div w:id="287198327">
          <w:marLeft w:val="547"/>
          <w:marRight w:val="0"/>
          <w:marTop w:val="120"/>
          <w:marBottom w:val="120"/>
          <w:divBdr>
            <w:top w:val="none" w:sz="0" w:space="0" w:color="auto"/>
            <w:left w:val="none" w:sz="0" w:space="0" w:color="auto"/>
            <w:bottom w:val="none" w:sz="0" w:space="0" w:color="auto"/>
            <w:right w:val="none" w:sz="0" w:space="0" w:color="auto"/>
          </w:divBdr>
        </w:div>
        <w:div w:id="543176269">
          <w:marLeft w:val="547"/>
          <w:marRight w:val="0"/>
          <w:marTop w:val="120"/>
          <w:marBottom w:val="120"/>
          <w:divBdr>
            <w:top w:val="none" w:sz="0" w:space="0" w:color="auto"/>
            <w:left w:val="none" w:sz="0" w:space="0" w:color="auto"/>
            <w:bottom w:val="none" w:sz="0" w:space="0" w:color="auto"/>
            <w:right w:val="none" w:sz="0" w:space="0" w:color="auto"/>
          </w:divBdr>
        </w:div>
        <w:div w:id="1945074316">
          <w:marLeft w:val="547"/>
          <w:marRight w:val="0"/>
          <w:marTop w:val="120"/>
          <w:marBottom w:val="120"/>
          <w:divBdr>
            <w:top w:val="none" w:sz="0" w:space="0" w:color="auto"/>
            <w:left w:val="none" w:sz="0" w:space="0" w:color="auto"/>
            <w:bottom w:val="none" w:sz="0" w:space="0" w:color="auto"/>
            <w:right w:val="none" w:sz="0" w:space="0" w:color="auto"/>
          </w:divBdr>
        </w:div>
        <w:div w:id="2017074761">
          <w:marLeft w:val="547"/>
          <w:marRight w:val="0"/>
          <w:marTop w:val="120"/>
          <w:marBottom w:val="120"/>
          <w:divBdr>
            <w:top w:val="none" w:sz="0" w:space="0" w:color="auto"/>
            <w:left w:val="none" w:sz="0" w:space="0" w:color="auto"/>
            <w:bottom w:val="none" w:sz="0" w:space="0" w:color="auto"/>
            <w:right w:val="none" w:sz="0" w:space="0" w:color="auto"/>
          </w:divBdr>
        </w:div>
        <w:div w:id="15624969">
          <w:marLeft w:val="547"/>
          <w:marRight w:val="0"/>
          <w:marTop w:val="120"/>
          <w:marBottom w:val="120"/>
          <w:divBdr>
            <w:top w:val="none" w:sz="0" w:space="0" w:color="auto"/>
            <w:left w:val="none" w:sz="0" w:space="0" w:color="auto"/>
            <w:bottom w:val="none" w:sz="0" w:space="0" w:color="auto"/>
            <w:right w:val="none" w:sz="0" w:space="0" w:color="auto"/>
          </w:divBdr>
        </w:div>
        <w:div w:id="1748067085">
          <w:marLeft w:val="547"/>
          <w:marRight w:val="0"/>
          <w:marTop w:val="120"/>
          <w:marBottom w:val="120"/>
          <w:divBdr>
            <w:top w:val="none" w:sz="0" w:space="0" w:color="auto"/>
            <w:left w:val="none" w:sz="0" w:space="0" w:color="auto"/>
            <w:bottom w:val="none" w:sz="0" w:space="0" w:color="auto"/>
            <w:right w:val="none" w:sz="0" w:space="0" w:color="auto"/>
          </w:divBdr>
        </w:div>
        <w:div w:id="1195583873">
          <w:marLeft w:val="547"/>
          <w:marRight w:val="0"/>
          <w:marTop w:val="120"/>
          <w:marBottom w:val="120"/>
          <w:divBdr>
            <w:top w:val="none" w:sz="0" w:space="0" w:color="auto"/>
            <w:left w:val="none" w:sz="0" w:space="0" w:color="auto"/>
            <w:bottom w:val="none" w:sz="0" w:space="0" w:color="auto"/>
            <w:right w:val="none" w:sz="0" w:space="0" w:color="auto"/>
          </w:divBdr>
        </w:div>
      </w:divsChild>
    </w:div>
    <w:div w:id="1112434360">
      <w:bodyDiv w:val="1"/>
      <w:marLeft w:val="0"/>
      <w:marRight w:val="0"/>
      <w:marTop w:val="0"/>
      <w:marBottom w:val="0"/>
      <w:divBdr>
        <w:top w:val="none" w:sz="0" w:space="0" w:color="auto"/>
        <w:left w:val="none" w:sz="0" w:space="0" w:color="auto"/>
        <w:bottom w:val="none" w:sz="0" w:space="0" w:color="auto"/>
        <w:right w:val="none" w:sz="0" w:space="0" w:color="auto"/>
      </w:divBdr>
    </w:div>
    <w:div w:id="1155103913">
      <w:bodyDiv w:val="1"/>
      <w:marLeft w:val="0"/>
      <w:marRight w:val="0"/>
      <w:marTop w:val="0"/>
      <w:marBottom w:val="0"/>
      <w:divBdr>
        <w:top w:val="none" w:sz="0" w:space="0" w:color="auto"/>
        <w:left w:val="none" w:sz="0" w:space="0" w:color="auto"/>
        <w:bottom w:val="none" w:sz="0" w:space="0" w:color="auto"/>
        <w:right w:val="none" w:sz="0" w:space="0" w:color="auto"/>
      </w:divBdr>
      <w:divsChild>
        <w:div w:id="751968179">
          <w:marLeft w:val="547"/>
          <w:marRight w:val="0"/>
          <w:marTop w:val="120"/>
          <w:marBottom w:val="120"/>
          <w:divBdr>
            <w:top w:val="none" w:sz="0" w:space="0" w:color="auto"/>
            <w:left w:val="none" w:sz="0" w:space="0" w:color="auto"/>
            <w:bottom w:val="none" w:sz="0" w:space="0" w:color="auto"/>
            <w:right w:val="none" w:sz="0" w:space="0" w:color="auto"/>
          </w:divBdr>
        </w:div>
        <w:div w:id="638652053">
          <w:marLeft w:val="547"/>
          <w:marRight w:val="0"/>
          <w:marTop w:val="120"/>
          <w:marBottom w:val="120"/>
          <w:divBdr>
            <w:top w:val="none" w:sz="0" w:space="0" w:color="auto"/>
            <w:left w:val="none" w:sz="0" w:space="0" w:color="auto"/>
            <w:bottom w:val="none" w:sz="0" w:space="0" w:color="auto"/>
            <w:right w:val="none" w:sz="0" w:space="0" w:color="auto"/>
          </w:divBdr>
        </w:div>
        <w:div w:id="2103336212">
          <w:marLeft w:val="547"/>
          <w:marRight w:val="0"/>
          <w:marTop w:val="120"/>
          <w:marBottom w:val="120"/>
          <w:divBdr>
            <w:top w:val="none" w:sz="0" w:space="0" w:color="auto"/>
            <w:left w:val="none" w:sz="0" w:space="0" w:color="auto"/>
            <w:bottom w:val="none" w:sz="0" w:space="0" w:color="auto"/>
            <w:right w:val="none" w:sz="0" w:space="0" w:color="auto"/>
          </w:divBdr>
        </w:div>
        <w:div w:id="1553037466">
          <w:marLeft w:val="547"/>
          <w:marRight w:val="0"/>
          <w:marTop w:val="120"/>
          <w:marBottom w:val="120"/>
          <w:divBdr>
            <w:top w:val="none" w:sz="0" w:space="0" w:color="auto"/>
            <w:left w:val="none" w:sz="0" w:space="0" w:color="auto"/>
            <w:bottom w:val="none" w:sz="0" w:space="0" w:color="auto"/>
            <w:right w:val="none" w:sz="0" w:space="0" w:color="auto"/>
          </w:divBdr>
        </w:div>
        <w:div w:id="687145383">
          <w:marLeft w:val="547"/>
          <w:marRight w:val="0"/>
          <w:marTop w:val="120"/>
          <w:marBottom w:val="120"/>
          <w:divBdr>
            <w:top w:val="none" w:sz="0" w:space="0" w:color="auto"/>
            <w:left w:val="none" w:sz="0" w:space="0" w:color="auto"/>
            <w:bottom w:val="none" w:sz="0" w:space="0" w:color="auto"/>
            <w:right w:val="none" w:sz="0" w:space="0" w:color="auto"/>
          </w:divBdr>
        </w:div>
        <w:div w:id="806816844">
          <w:marLeft w:val="547"/>
          <w:marRight w:val="0"/>
          <w:marTop w:val="120"/>
          <w:marBottom w:val="120"/>
          <w:divBdr>
            <w:top w:val="none" w:sz="0" w:space="0" w:color="auto"/>
            <w:left w:val="none" w:sz="0" w:space="0" w:color="auto"/>
            <w:bottom w:val="none" w:sz="0" w:space="0" w:color="auto"/>
            <w:right w:val="none" w:sz="0" w:space="0" w:color="auto"/>
          </w:divBdr>
        </w:div>
        <w:div w:id="393432588">
          <w:marLeft w:val="547"/>
          <w:marRight w:val="0"/>
          <w:marTop w:val="120"/>
          <w:marBottom w:val="120"/>
          <w:divBdr>
            <w:top w:val="none" w:sz="0" w:space="0" w:color="auto"/>
            <w:left w:val="none" w:sz="0" w:space="0" w:color="auto"/>
            <w:bottom w:val="none" w:sz="0" w:space="0" w:color="auto"/>
            <w:right w:val="none" w:sz="0" w:space="0" w:color="auto"/>
          </w:divBdr>
        </w:div>
      </w:divsChild>
    </w:div>
    <w:div w:id="1164203926">
      <w:bodyDiv w:val="1"/>
      <w:marLeft w:val="0"/>
      <w:marRight w:val="0"/>
      <w:marTop w:val="0"/>
      <w:marBottom w:val="0"/>
      <w:divBdr>
        <w:top w:val="none" w:sz="0" w:space="0" w:color="auto"/>
        <w:left w:val="none" w:sz="0" w:space="0" w:color="auto"/>
        <w:bottom w:val="none" w:sz="0" w:space="0" w:color="auto"/>
        <w:right w:val="none" w:sz="0" w:space="0" w:color="auto"/>
      </w:divBdr>
    </w:div>
    <w:div w:id="1167212380">
      <w:bodyDiv w:val="1"/>
      <w:marLeft w:val="0"/>
      <w:marRight w:val="0"/>
      <w:marTop w:val="0"/>
      <w:marBottom w:val="0"/>
      <w:divBdr>
        <w:top w:val="none" w:sz="0" w:space="0" w:color="auto"/>
        <w:left w:val="none" w:sz="0" w:space="0" w:color="auto"/>
        <w:bottom w:val="none" w:sz="0" w:space="0" w:color="auto"/>
        <w:right w:val="none" w:sz="0" w:space="0" w:color="auto"/>
      </w:divBdr>
      <w:divsChild>
        <w:div w:id="1510675797">
          <w:marLeft w:val="360"/>
          <w:marRight w:val="0"/>
          <w:marTop w:val="120"/>
          <w:marBottom w:val="120"/>
          <w:divBdr>
            <w:top w:val="none" w:sz="0" w:space="0" w:color="auto"/>
            <w:left w:val="none" w:sz="0" w:space="0" w:color="auto"/>
            <w:bottom w:val="none" w:sz="0" w:space="0" w:color="auto"/>
            <w:right w:val="none" w:sz="0" w:space="0" w:color="auto"/>
          </w:divBdr>
        </w:div>
        <w:div w:id="986669132">
          <w:marLeft w:val="360"/>
          <w:marRight w:val="0"/>
          <w:marTop w:val="120"/>
          <w:marBottom w:val="120"/>
          <w:divBdr>
            <w:top w:val="none" w:sz="0" w:space="0" w:color="auto"/>
            <w:left w:val="none" w:sz="0" w:space="0" w:color="auto"/>
            <w:bottom w:val="none" w:sz="0" w:space="0" w:color="auto"/>
            <w:right w:val="none" w:sz="0" w:space="0" w:color="auto"/>
          </w:divBdr>
        </w:div>
        <w:div w:id="865141315">
          <w:marLeft w:val="360"/>
          <w:marRight w:val="0"/>
          <w:marTop w:val="120"/>
          <w:marBottom w:val="120"/>
          <w:divBdr>
            <w:top w:val="none" w:sz="0" w:space="0" w:color="auto"/>
            <w:left w:val="none" w:sz="0" w:space="0" w:color="auto"/>
            <w:bottom w:val="none" w:sz="0" w:space="0" w:color="auto"/>
            <w:right w:val="none" w:sz="0" w:space="0" w:color="auto"/>
          </w:divBdr>
        </w:div>
      </w:divsChild>
    </w:div>
    <w:div w:id="1169448169">
      <w:bodyDiv w:val="1"/>
      <w:marLeft w:val="0"/>
      <w:marRight w:val="0"/>
      <w:marTop w:val="0"/>
      <w:marBottom w:val="0"/>
      <w:divBdr>
        <w:top w:val="none" w:sz="0" w:space="0" w:color="auto"/>
        <w:left w:val="none" w:sz="0" w:space="0" w:color="auto"/>
        <w:bottom w:val="none" w:sz="0" w:space="0" w:color="auto"/>
        <w:right w:val="none" w:sz="0" w:space="0" w:color="auto"/>
      </w:divBdr>
      <w:divsChild>
        <w:div w:id="1749301516">
          <w:marLeft w:val="1080"/>
          <w:marRight w:val="0"/>
          <w:marTop w:val="120"/>
          <w:marBottom w:val="120"/>
          <w:divBdr>
            <w:top w:val="none" w:sz="0" w:space="0" w:color="auto"/>
            <w:left w:val="none" w:sz="0" w:space="0" w:color="auto"/>
            <w:bottom w:val="none" w:sz="0" w:space="0" w:color="auto"/>
            <w:right w:val="none" w:sz="0" w:space="0" w:color="auto"/>
          </w:divBdr>
        </w:div>
        <w:div w:id="1130517431">
          <w:marLeft w:val="1080"/>
          <w:marRight w:val="0"/>
          <w:marTop w:val="120"/>
          <w:marBottom w:val="120"/>
          <w:divBdr>
            <w:top w:val="none" w:sz="0" w:space="0" w:color="auto"/>
            <w:left w:val="none" w:sz="0" w:space="0" w:color="auto"/>
            <w:bottom w:val="none" w:sz="0" w:space="0" w:color="auto"/>
            <w:right w:val="none" w:sz="0" w:space="0" w:color="auto"/>
          </w:divBdr>
        </w:div>
        <w:div w:id="1039820776">
          <w:marLeft w:val="1080"/>
          <w:marRight w:val="0"/>
          <w:marTop w:val="120"/>
          <w:marBottom w:val="120"/>
          <w:divBdr>
            <w:top w:val="none" w:sz="0" w:space="0" w:color="auto"/>
            <w:left w:val="none" w:sz="0" w:space="0" w:color="auto"/>
            <w:bottom w:val="none" w:sz="0" w:space="0" w:color="auto"/>
            <w:right w:val="none" w:sz="0" w:space="0" w:color="auto"/>
          </w:divBdr>
        </w:div>
      </w:divsChild>
    </w:div>
    <w:div w:id="1182357473">
      <w:bodyDiv w:val="1"/>
      <w:marLeft w:val="0"/>
      <w:marRight w:val="0"/>
      <w:marTop w:val="0"/>
      <w:marBottom w:val="0"/>
      <w:divBdr>
        <w:top w:val="none" w:sz="0" w:space="0" w:color="auto"/>
        <w:left w:val="none" w:sz="0" w:space="0" w:color="auto"/>
        <w:bottom w:val="none" w:sz="0" w:space="0" w:color="auto"/>
        <w:right w:val="none" w:sz="0" w:space="0" w:color="auto"/>
      </w:divBdr>
    </w:div>
    <w:div w:id="1184512126">
      <w:bodyDiv w:val="1"/>
      <w:marLeft w:val="0"/>
      <w:marRight w:val="0"/>
      <w:marTop w:val="0"/>
      <w:marBottom w:val="0"/>
      <w:divBdr>
        <w:top w:val="none" w:sz="0" w:space="0" w:color="auto"/>
        <w:left w:val="none" w:sz="0" w:space="0" w:color="auto"/>
        <w:bottom w:val="none" w:sz="0" w:space="0" w:color="auto"/>
        <w:right w:val="none" w:sz="0" w:space="0" w:color="auto"/>
      </w:divBdr>
    </w:div>
    <w:div w:id="1193029297">
      <w:bodyDiv w:val="1"/>
      <w:marLeft w:val="0"/>
      <w:marRight w:val="0"/>
      <w:marTop w:val="0"/>
      <w:marBottom w:val="0"/>
      <w:divBdr>
        <w:top w:val="none" w:sz="0" w:space="0" w:color="auto"/>
        <w:left w:val="none" w:sz="0" w:space="0" w:color="auto"/>
        <w:bottom w:val="none" w:sz="0" w:space="0" w:color="auto"/>
        <w:right w:val="none" w:sz="0" w:space="0" w:color="auto"/>
      </w:divBdr>
    </w:div>
    <w:div w:id="1204904161">
      <w:bodyDiv w:val="1"/>
      <w:marLeft w:val="0"/>
      <w:marRight w:val="0"/>
      <w:marTop w:val="0"/>
      <w:marBottom w:val="0"/>
      <w:divBdr>
        <w:top w:val="none" w:sz="0" w:space="0" w:color="auto"/>
        <w:left w:val="none" w:sz="0" w:space="0" w:color="auto"/>
        <w:bottom w:val="none" w:sz="0" w:space="0" w:color="auto"/>
        <w:right w:val="none" w:sz="0" w:space="0" w:color="auto"/>
      </w:divBdr>
    </w:div>
    <w:div w:id="1253198134">
      <w:bodyDiv w:val="1"/>
      <w:marLeft w:val="0"/>
      <w:marRight w:val="0"/>
      <w:marTop w:val="0"/>
      <w:marBottom w:val="0"/>
      <w:divBdr>
        <w:top w:val="none" w:sz="0" w:space="0" w:color="auto"/>
        <w:left w:val="none" w:sz="0" w:space="0" w:color="auto"/>
        <w:bottom w:val="none" w:sz="0" w:space="0" w:color="auto"/>
        <w:right w:val="none" w:sz="0" w:space="0" w:color="auto"/>
      </w:divBdr>
    </w:div>
    <w:div w:id="1258169362">
      <w:bodyDiv w:val="1"/>
      <w:marLeft w:val="0"/>
      <w:marRight w:val="0"/>
      <w:marTop w:val="0"/>
      <w:marBottom w:val="0"/>
      <w:divBdr>
        <w:top w:val="none" w:sz="0" w:space="0" w:color="auto"/>
        <w:left w:val="none" w:sz="0" w:space="0" w:color="auto"/>
        <w:bottom w:val="none" w:sz="0" w:space="0" w:color="auto"/>
        <w:right w:val="none" w:sz="0" w:space="0" w:color="auto"/>
      </w:divBdr>
    </w:div>
    <w:div w:id="1274439626">
      <w:bodyDiv w:val="1"/>
      <w:marLeft w:val="0"/>
      <w:marRight w:val="0"/>
      <w:marTop w:val="0"/>
      <w:marBottom w:val="0"/>
      <w:divBdr>
        <w:top w:val="none" w:sz="0" w:space="0" w:color="auto"/>
        <w:left w:val="none" w:sz="0" w:space="0" w:color="auto"/>
        <w:bottom w:val="none" w:sz="0" w:space="0" w:color="auto"/>
        <w:right w:val="none" w:sz="0" w:space="0" w:color="auto"/>
      </w:divBdr>
    </w:div>
    <w:div w:id="1275944045">
      <w:bodyDiv w:val="1"/>
      <w:marLeft w:val="0"/>
      <w:marRight w:val="0"/>
      <w:marTop w:val="0"/>
      <w:marBottom w:val="0"/>
      <w:divBdr>
        <w:top w:val="none" w:sz="0" w:space="0" w:color="auto"/>
        <w:left w:val="none" w:sz="0" w:space="0" w:color="auto"/>
        <w:bottom w:val="none" w:sz="0" w:space="0" w:color="auto"/>
        <w:right w:val="none" w:sz="0" w:space="0" w:color="auto"/>
      </w:divBdr>
    </w:div>
    <w:div w:id="1280525319">
      <w:bodyDiv w:val="1"/>
      <w:marLeft w:val="0"/>
      <w:marRight w:val="0"/>
      <w:marTop w:val="0"/>
      <w:marBottom w:val="0"/>
      <w:divBdr>
        <w:top w:val="none" w:sz="0" w:space="0" w:color="auto"/>
        <w:left w:val="none" w:sz="0" w:space="0" w:color="auto"/>
        <w:bottom w:val="none" w:sz="0" w:space="0" w:color="auto"/>
        <w:right w:val="none" w:sz="0" w:space="0" w:color="auto"/>
      </w:divBdr>
    </w:div>
    <w:div w:id="1305431182">
      <w:bodyDiv w:val="1"/>
      <w:marLeft w:val="0"/>
      <w:marRight w:val="0"/>
      <w:marTop w:val="0"/>
      <w:marBottom w:val="0"/>
      <w:divBdr>
        <w:top w:val="none" w:sz="0" w:space="0" w:color="auto"/>
        <w:left w:val="none" w:sz="0" w:space="0" w:color="auto"/>
        <w:bottom w:val="none" w:sz="0" w:space="0" w:color="auto"/>
        <w:right w:val="none" w:sz="0" w:space="0" w:color="auto"/>
      </w:divBdr>
    </w:div>
    <w:div w:id="1311863677">
      <w:bodyDiv w:val="1"/>
      <w:marLeft w:val="0"/>
      <w:marRight w:val="0"/>
      <w:marTop w:val="0"/>
      <w:marBottom w:val="0"/>
      <w:divBdr>
        <w:top w:val="none" w:sz="0" w:space="0" w:color="auto"/>
        <w:left w:val="none" w:sz="0" w:space="0" w:color="auto"/>
        <w:bottom w:val="none" w:sz="0" w:space="0" w:color="auto"/>
        <w:right w:val="none" w:sz="0" w:space="0" w:color="auto"/>
      </w:divBdr>
    </w:div>
    <w:div w:id="1339650186">
      <w:bodyDiv w:val="1"/>
      <w:marLeft w:val="0"/>
      <w:marRight w:val="0"/>
      <w:marTop w:val="0"/>
      <w:marBottom w:val="0"/>
      <w:divBdr>
        <w:top w:val="none" w:sz="0" w:space="0" w:color="auto"/>
        <w:left w:val="none" w:sz="0" w:space="0" w:color="auto"/>
        <w:bottom w:val="none" w:sz="0" w:space="0" w:color="auto"/>
        <w:right w:val="none" w:sz="0" w:space="0" w:color="auto"/>
      </w:divBdr>
    </w:div>
    <w:div w:id="1344935147">
      <w:bodyDiv w:val="1"/>
      <w:marLeft w:val="0"/>
      <w:marRight w:val="0"/>
      <w:marTop w:val="0"/>
      <w:marBottom w:val="0"/>
      <w:divBdr>
        <w:top w:val="none" w:sz="0" w:space="0" w:color="auto"/>
        <w:left w:val="none" w:sz="0" w:space="0" w:color="auto"/>
        <w:bottom w:val="none" w:sz="0" w:space="0" w:color="auto"/>
        <w:right w:val="none" w:sz="0" w:space="0" w:color="auto"/>
      </w:divBdr>
    </w:div>
    <w:div w:id="1387757128">
      <w:bodyDiv w:val="1"/>
      <w:marLeft w:val="0"/>
      <w:marRight w:val="0"/>
      <w:marTop w:val="0"/>
      <w:marBottom w:val="0"/>
      <w:divBdr>
        <w:top w:val="none" w:sz="0" w:space="0" w:color="auto"/>
        <w:left w:val="none" w:sz="0" w:space="0" w:color="auto"/>
        <w:bottom w:val="none" w:sz="0" w:space="0" w:color="auto"/>
        <w:right w:val="none" w:sz="0" w:space="0" w:color="auto"/>
      </w:divBdr>
    </w:div>
    <w:div w:id="1391929314">
      <w:bodyDiv w:val="1"/>
      <w:marLeft w:val="0"/>
      <w:marRight w:val="0"/>
      <w:marTop w:val="0"/>
      <w:marBottom w:val="0"/>
      <w:divBdr>
        <w:top w:val="none" w:sz="0" w:space="0" w:color="auto"/>
        <w:left w:val="none" w:sz="0" w:space="0" w:color="auto"/>
        <w:bottom w:val="none" w:sz="0" w:space="0" w:color="auto"/>
        <w:right w:val="none" w:sz="0" w:space="0" w:color="auto"/>
      </w:divBdr>
    </w:div>
    <w:div w:id="1472559067">
      <w:bodyDiv w:val="1"/>
      <w:marLeft w:val="0"/>
      <w:marRight w:val="0"/>
      <w:marTop w:val="0"/>
      <w:marBottom w:val="0"/>
      <w:divBdr>
        <w:top w:val="none" w:sz="0" w:space="0" w:color="auto"/>
        <w:left w:val="none" w:sz="0" w:space="0" w:color="auto"/>
        <w:bottom w:val="none" w:sz="0" w:space="0" w:color="auto"/>
        <w:right w:val="none" w:sz="0" w:space="0" w:color="auto"/>
      </w:divBdr>
    </w:div>
    <w:div w:id="1488479934">
      <w:bodyDiv w:val="1"/>
      <w:marLeft w:val="0"/>
      <w:marRight w:val="0"/>
      <w:marTop w:val="0"/>
      <w:marBottom w:val="0"/>
      <w:divBdr>
        <w:top w:val="none" w:sz="0" w:space="0" w:color="auto"/>
        <w:left w:val="none" w:sz="0" w:space="0" w:color="auto"/>
        <w:bottom w:val="none" w:sz="0" w:space="0" w:color="auto"/>
        <w:right w:val="none" w:sz="0" w:space="0" w:color="auto"/>
      </w:divBdr>
    </w:div>
    <w:div w:id="1491097094">
      <w:bodyDiv w:val="1"/>
      <w:marLeft w:val="0"/>
      <w:marRight w:val="0"/>
      <w:marTop w:val="0"/>
      <w:marBottom w:val="0"/>
      <w:divBdr>
        <w:top w:val="none" w:sz="0" w:space="0" w:color="auto"/>
        <w:left w:val="none" w:sz="0" w:space="0" w:color="auto"/>
        <w:bottom w:val="none" w:sz="0" w:space="0" w:color="auto"/>
        <w:right w:val="none" w:sz="0" w:space="0" w:color="auto"/>
      </w:divBdr>
    </w:div>
    <w:div w:id="1597321891">
      <w:bodyDiv w:val="1"/>
      <w:marLeft w:val="0"/>
      <w:marRight w:val="0"/>
      <w:marTop w:val="0"/>
      <w:marBottom w:val="0"/>
      <w:divBdr>
        <w:top w:val="none" w:sz="0" w:space="0" w:color="auto"/>
        <w:left w:val="none" w:sz="0" w:space="0" w:color="auto"/>
        <w:bottom w:val="none" w:sz="0" w:space="0" w:color="auto"/>
        <w:right w:val="none" w:sz="0" w:space="0" w:color="auto"/>
      </w:divBdr>
    </w:div>
    <w:div w:id="1622763392">
      <w:bodyDiv w:val="1"/>
      <w:marLeft w:val="0"/>
      <w:marRight w:val="0"/>
      <w:marTop w:val="0"/>
      <w:marBottom w:val="0"/>
      <w:divBdr>
        <w:top w:val="none" w:sz="0" w:space="0" w:color="auto"/>
        <w:left w:val="none" w:sz="0" w:space="0" w:color="auto"/>
        <w:bottom w:val="none" w:sz="0" w:space="0" w:color="auto"/>
        <w:right w:val="none" w:sz="0" w:space="0" w:color="auto"/>
      </w:divBdr>
    </w:div>
    <w:div w:id="1629388144">
      <w:bodyDiv w:val="1"/>
      <w:marLeft w:val="0"/>
      <w:marRight w:val="0"/>
      <w:marTop w:val="0"/>
      <w:marBottom w:val="0"/>
      <w:divBdr>
        <w:top w:val="none" w:sz="0" w:space="0" w:color="auto"/>
        <w:left w:val="none" w:sz="0" w:space="0" w:color="auto"/>
        <w:bottom w:val="none" w:sz="0" w:space="0" w:color="auto"/>
        <w:right w:val="none" w:sz="0" w:space="0" w:color="auto"/>
      </w:divBdr>
    </w:div>
    <w:div w:id="1762798049">
      <w:bodyDiv w:val="1"/>
      <w:marLeft w:val="0"/>
      <w:marRight w:val="0"/>
      <w:marTop w:val="0"/>
      <w:marBottom w:val="0"/>
      <w:divBdr>
        <w:top w:val="none" w:sz="0" w:space="0" w:color="auto"/>
        <w:left w:val="none" w:sz="0" w:space="0" w:color="auto"/>
        <w:bottom w:val="none" w:sz="0" w:space="0" w:color="auto"/>
        <w:right w:val="none" w:sz="0" w:space="0" w:color="auto"/>
      </w:divBdr>
    </w:div>
    <w:div w:id="1764833685">
      <w:bodyDiv w:val="1"/>
      <w:marLeft w:val="0"/>
      <w:marRight w:val="0"/>
      <w:marTop w:val="0"/>
      <w:marBottom w:val="0"/>
      <w:divBdr>
        <w:top w:val="none" w:sz="0" w:space="0" w:color="auto"/>
        <w:left w:val="none" w:sz="0" w:space="0" w:color="auto"/>
        <w:bottom w:val="none" w:sz="0" w:space="0" w:color="auto"/>
        <w:right w:val="none" w:sz="0" w:space="0" w:color="auto"/>
      </w:divBdr>
    </w:div>
    <w:div w:id="1768424201">
      <w:bodyDiv w:val="1"/>
      <w:marLeft w:val="0"/>
      <w:marRight w:val="0"/>
      <w:marTop w:val="0"/>
      <w:marBottom w:val="0"/>
      <w:divBdr>
        <w:top w:val="none" w:sz="0" w:space="0" w:color="auto"/>
        <w:left w:val="none" w:sz="0" w:space="0" w:color="auto"/>
        <w:bottom w:val="none" w:sz="0" w:space="0" w:color="auto"/>
        <w:right w:val="none" w:sz="0" w:space="0" w:color="auto"/>
      </w:divBdr>
    </w:div>
    <w:div w:id="1775662367">
      <w:bodyDiv w:val="1"/>
      <w:marLeft w:val="0"/>
      <w:marRight w:val="0"/>
      <w:marTop w:val="0"/>
      <w:marBottom w:val="0"/>
      <w:divBdr>
        <w:top w:val="none" w:sz="0" w:space="0" w:color="auto"/>
        <w:left w:val="none" w:sz="0" w:space="0" w:color="auto"/>
        <w:bottom w:val="none" w:sz="0" w:space="0" w:color="auto"/>
        <w:right w:val="none" w:sz="0" w:space="0" w:color="auto"/>
      </w:divBdr>
    </w:div>
    <w:div w:id="1790467221">
      <w:bodyDiv w:val="1"/>
      <w:marLeft w:val="0"/>
      <w:marRight w:val="0"/>
      <w:marTop w:val="0"/>
      <w:marBottom w:val="0"/>
      <w:divBdr>
        <w:top w:val="none" w:sz="0" w:space="0" w:color="auto"/>
        <w:left w:val="none" w:sz="0" w:space="0" w:color="auto"/>
        <w:bottom w:val="none" w:sz="0" w:space="0" w:color="auto"/>
        <w:right w:val="none" w:sz="0" w:space="0" w:color="auto"/>
      </w:divBdr>
    </w:div>
    <w:div w:id="1871340498">
      <w:bodyDiv w:val="1"/>
      <w:marLeft w:val="0"/>
      <w:marRight w:val="0"/>
      <w:marTop w:val="0"/>
      <w:marBottom w:val="0"/>
      <w:divBdr>
        <w:top w:val="none" w:sz="0" w:space="0" w:color="auto"/>
        <w:left w:val="none" w:sz="0" w:space="0" w:color="auto"/>
        <w:bottom w:val="none" w:sz="0" w:space="0" w:color="auto"/>
        <w:right w:val="none" w:sz="0" w:space="0" w:color="auto"/>
      </w:divBdr>
    </w:div>
    <w:div w:id="1875120989">
      <w:bodyDiv w:val="1"/>
      <w:marLeft w:val="0"/>
      <w:marRight w:val="0"/>
      <w:marTop w:val="0"/>
      <w:marBottom w:val="0"/>
      <w:divBdr>
        <w:top w:val="none" w:sz="0" w:space="0" w:color="auto"/>
        <w:left w:val="none" w:sz="0" w:space="0" w:color="auto"/>
        <w:bottom w:val="none" w:sz="0" w:space="0" w:color="auto"/>
        <w:right w:val="none" w:sz="0" w:space="0" w:color="auto"/>
      </w:divBdr>
    </w:div>
    <w:div w:id="1912233721">
      <w:bodyDiv w:val="1"/>
      <w:marLeft w:val="0"/>
      <w:marRight w:val="0"/>
      <w:marTop w:val="0"/>
      <w:marBottom w:val="0"/>
      <w:divBdr>
        <w:top w:val="none" w:sz="0" w:space="0" w:color="auto"/>
        <w:left w:val="none" w:sz="0" w:space="0" w:color="auto"/>
        <w:bottom w:val="none" w:sz="0" w:space="0" w:color="auto"/>
        <w:right w:val="none" w:sz="0" w:space="0" w:color="auto"/>
      </w:divBdr>
    </w:div>
    <w:div w:id="1977638496">
      <w:bodyDiv w:val="1"/>
      <w:marLeft w:val="0"/>
      <w:marRight w:val="0"/>
      <w:marTop w:val="0"/>
      <w:marBottom w:val="0"/>
      <w:divBdr>
        <w:top w:val="none" w:sz="0" w:space="0" w:color="auto"/>
        <w:left w:val="none" w:sz="0" w:space="0" w:color="auto"/>
        <w:bottom w:val="none" w:sz="0" w:space="0" w:color="auto"/>
        <w:right w:val="none" w:sz="0" w:space="0" w:color="auto"/>
      </w:divBdr>
    </w:div>
    <w:div w:id="1982029145">
      <w:bodyDiv w:val="1"/>
      <w:marLeft w:val="0"/>
      <w:marRight w:val="0"/>
      <w:marTop w:val="0"/>
      <w:marBottom w:val="0"/>
      <w:divBdr>
        <w:top w:val="none" w:sz="0" w:space="0" w:color="auto"/>
        <w:left w:val="none" w:sz="0" w:space="0" w:color="auto"/>
        <w:bottom w:val="none" w:sz="0" w:space="0" w:color="auto"/>
        <w:right w:val="none" w:sz="0" w:space="0" w:color="auto"/>
      </w:divBdr>
    </w:div>
    <w:div w:id="2022007979">
      <w:bodyDiv w:val="1"/>
      <w:marLeft w:val="0"/>
      <w:marRight w:val="0"/>
      <w:marTop w:val="0"/>
      <w:marBottom w:val="0"/>
      <w:divBdr>
        <w:top w:val="none" w:sz="0" w:space="0" w:color="auto"/>
        <w:left w:val="none" w:sz="0" w:space="0" w:color="auto"/>
        <w:bottom w:val="none" w:sz="0" w:space="0" w:color="auto"/>
        <w:right w:val="none" w:sz="0" w:space="0" w:color="auto"/>
      </w:divBdr>
    </w:div>
    <w:div w:id="2041583443">
      <w:bodyDiv w:val="1"/>
      <w:marLeft w:val="0"/>
      <w:marRight w:val="0"/>
      <w:marTop w:val="0"/>
      <w:marBottom w:val="0"/>
      <w:divBdr>
        <w:top w:val="none" w:sz="0" w:space="0" w:color="auto"/>
        <w:left w:val="none" w:sz="0" w:space="0" w:color="auto"/>
        <w:bottom w:val="none" w:sz="0" w:space="0" w:color="auto"/>
        <w:right w:val="none" w:sz="0" w:space="0" w:color="auto"/>
      </w:divBdr>
    </w:div>
    <w:div w:id="2071228594">
      <w:bodyDiv w:val="1"/>
      <w:marLeft w:val="0"/>
      <w:marRight w:val="0"/>
      <w:marTop w:val="0"/>
      <w:marBottom w:val="0"/>
      <w:divBdr>
        <w:top w:val="none" w:sz="0" w:space="0" w:color="auto"/>
        <w:left w:val="none" w:sz="0" w:space="0" w:color="auto"/>
        <w:bottom w:val="none" w:sz="0" w:space="0" w:color="auto"/>
        <w:right w:val="none" w:sz="0" w:space="0" w:color="auto"/>
      </w:divBdr>
    </w:div>
    <w:div w:id="2079741315">
      <w:bodyDiv w:val="1"/>
      <w:marLeft w:val="0"/>
      <w:marRight w:val="0"/>
      <w:marTop w:val="0"/>
      <w:marBottom w:val="0"/>
      <w:divBdr>
        <w:top w:val="none" w:sz="0" w:space="0" w:color="auto"/>
        <w:left w:val="none" w:sz="0" w:space="0" w:color="auto"/>
        <w:bottom w:val="none" w:sz="0" w:space="0" w:color="auto"/>
        <w:right w:val="none" w:sz="0" w:space="0" w:color="auto"/>
      </w:divBdr>
    </w:div>
    <w:div w:id="210688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emf"/><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4.emf"/><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20.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5.emf"/><Relationship Id="rId32" Type="http://schemas.openxmlformats.org/officeDocument/2006/relationships/image" Target="media/image23.emf"/><Relationship Id="rId37" Type="http://schemas.openxmlformats.org/officeDocument/2006/relationships/image" Target="media/image26.png"/><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image" Target="media/image25.emf"/><Relationship Id="rId10" Type="http://schemas.openxmlformats.org/officeDocument/2006/relationships/footer" Target="footer2.xml"/><Relationship Id="rId19" Type="http://schemas.openxmlformats.org/officeDocument/2006/relationships/image" Target="media/image10.emf"/><Relationship Id="rId31" Type="http://schemas.openxmlformats.org/officeDocument/2006/relationships/image" Target="media/image2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footer" Target="footer5.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BAED32862314375B4C298049BB35AA8"/>
        <w:category>
          <w:name w:val="General"/>
          <w:gallery w:val="placeholder"/>
        </w:category>
        <w:types>
          <w:type w:val="bbPlcHdr"/>
        </w:types>
        <w:behaviors>
          <w:behavior w:val="content"/>
        </w:behaviors>
        <w:guid w:val="{D1EBAE64-748A-4388-812C-5A1599C8AF7B}"/>
      </w:docPartPr>
      <w:docPartBody>
        <w:p w:rsidR="00FB28F9" w:rsidRDefault="00B465ED">
          <w:r w:rsidRPr="009E3CF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Iskoola Pota">
    <w:altName w:val="Times New Roman"/>
    <w:panose1 w:val="020B0502040204020203"/>
    <w:charset w:val="00"/>
    <w:family w:val="swiss"/>
    <w:pitch w:val="variable"/>
    <w:sig w:usb0="00000003" w:usb1="00000000" w:usb2="00000200" w:usb3="00000000" w:csb0="00000001"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1)">
    <w:altName w:val="Arial"/>
    <w:charset w:val="00"/>
    <w:family w:val="swiss"/>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5ED"/>
    <w:rsid w:val="00215E57"/>
    <w:rsid w:val="003E7221"/>
    <w:rsid w:val="00986441"/>
    <w:rsid w:val="009D6C24"/>
    <w:rsid w:val="009E6B56"/>
    <w:rsid w:val="00AF4FCC"/>
    <w:rsid w:val="00B465ED"/>
    <w:rsid w:val="00BF2F2D"/>
    <w:rsid w:val="00CB6EB0"/>
    <w:rsid w:val="00D35AC6"/>
    <w:rsid w:val="00E13AEA"/>
    <w:rsid w:val="00E336B5"/>
    <w:rsid w:val="00FB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28F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04854-B63F-4D87-88CB-D816BE2C7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15324</Words>
  <Characters>87353</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Raport privind execuția bugetară finală pe anul 2024</vt:lpstr>
    </vt:vector>
  </TitlesOfParts>
  <Company>MEF</Company>
  <LinksUpToDate>false</LinksUpToDate>
  <CharactersWithSpaces>102473</CharactersWithSpaces>
  <SharedDoc>false</SharedDoc>
  <HLinks>
    <vt:vector size="48" baseType="variant">
      <vt:variant>
        <vt:i4>1441840</vt:i4>
      </vt:variant>
      <vt:variant>
        <vt:i4>44</vt:i4>
      </vt:variant>
      <vt:variant>
        <vt:i4>0</vt:i4>
      </vt:variant>
      <vt:variant>
        <vt:i4>5</vt:i4>
      </vt:variant>
      <vt:variant>
        <vt:lpwstr/>
      </vt:variant>
      <vt:variant>
        <vt:lpwstr>_Toc452725469</vt:lpwstr>
      </vt:variant>
      <vt:variant>
        <vt:i4>1441840</vt:i4>
      </vt:variant>
      <vt:variant>
        <vt:i4>38</vt:i4>
      </vt:variant>
      <vt:variant>
        <vt:i4>0</vt:i4>
      </vt:variant>
      <vt:variant>
        <vt:i4>5</vt:i4>
      </vt:variant>
      <vt:variant>
        <vt:lpwstr/>
      </vt:variant>
      <vt:variant>
        <vt:lpwstr>_Toc452725468</vt:lpwstr>
      </vt:variant>
      <vt:variant>
        <vt:i4>1441840</vt:i4>
      </vt:variant>
      <vt:variant>
        <vt:i4>32</vt:i4>
      </vt:variant>
      <vt:variant>
        <vt:i4>0</vt:i4>
      </vt:variant>
      <vt:variant>
        <vt:i4>5</vt:i4>
      </vt:variant>
      <vt:variant>
        <vt:lpwstr/>
      </vt:variant>
      <vt:variant>
        <vt:lpwstr>_Toc452725467</vt:lpwstr>
      </vt:variant>
      <vt:variant>
        <vt:i4>1441840</vt:i4>
      </vt:variant>
      <vt:variant>
        <vt:i4>26</vt:i4>
      </vt:variant>
      <vt:variant>
        <vt:i4>0</vt:i4>
      </vt:variant>
      <vt:variant>
        <vt:i4>5</vt:i4>
      </vt:variant>
      <vt:variant>
        <vt:lpwstr/>
      </vt:variant>
      <vt:variant>
        <vt:lpwstr>_Toc452725466</vt:lpwstr>
      </vt:variant>
      <vt:variant>
        <vt:i4>1441840</vt:i4>
      </vt:variant>
      <vt:variant>
        <vt:i4>20</vt:i4>
      </vt:variant>
      <vt:variant>
        <vt:i4>0</vt:i4>
      </vt:variant>
      <vt:variant>
        <vt:i4>5</vt:i4>
      </vt:variant>
      <vt:variant>
        <vt:lpwstr/>
      </vt:variant>
      <vt:variant>
        <vt:lpwstr>_Toc452725465</vt:lpwstr>
      </vt:variant>
      <vt:variant>
        <vt:i4>1376304</vt:i4>
      </vt:variant>
      <vt:variant>
        <vt:i4>14</vt:i4>
      </vt:variant>
      <vt:variant>
        <vt:i4>0</vt:i4>
      </vt:variant>
      <vt:variant>
        <vt:i4>5</vt:i4>
      </vt:variant>
      <vt:variant>
        <vt:lpwstr/>
      </vt:variant>
      <vt:variant>
        <vt:lpwstr>_Toc452725457</vt:lpwstr>
      </vt:variant>
      <vt:variant>
        <vt:i4>1376304</vt:i4>
      </vt:variant>
      <vt:variant>
        <vt:i4>8</vt:i4>
      </vt:variant>
      <vt:variant>
        <vt:i4>0</vt:i4>
      </vt:variant>
      <vt:variant>
        <vt:i4>5</vt:i4>
      </vt:variant>
      <vt:variant>
        <vt:lpwstr/>
      </vt:variant>
      <vt:variant>
        <vt:lpwstr>_Toc452725456</vt:lpwstr>
      </vt:variant>
      <vt:variant>
        <vt:i4>1376304</vt:i4>
      </vt:variant>
      <vt:variant>
        <vt:i4>2</vt:i4>
      </vt:variant>
      <vt:variant>
        <vt:i4>0</vt:i4>
      </vt:variant>
      <vt:variant>
        <vt:i4>5</vt:i4>
      </vt:variant>
      <vt:variant>
        <vt:lpwstr/>
      </vt:variant>
      <vt:variant>
        <vt:lpwstr>_Toc452725452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privind execuția bugetară finală pe anul 2024</dc:title>
  <dc:subject/>
  <dc:creator>FLORIN-ANDREI DAIA</dc:creator>
  <cp:keywords/>
  <dc:description/>
  <cp:lastModifiedBy>Ioana</cp:lastModifiedBy>
  <cp:revision>2</cp:revision>
  <cp:lastPrinted>2025-05-29T07:22:00Z</cp:lastPrinted>
  <dcterms:created xsi:type="dcterms:W3CDTF">2025-06-08T13:32:00Z</dcterms:created>
  <dcterms:modified xsi:type="dcterms:W3CDTF">2025-06-08T13:32:00Z</dcterms:modified>
</cp:coreProperties>
</file>