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E5" w:rsidRPr="00650ED8"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650ED8">
        <w:rPr>
          <w:rFonts w:ascii="Tahoma" w:hAnsi="Tahoma" w:cs="Tahoma"/>
          <w:b/>
          <w:caps/>
          <w:color w:val="0070C0"/>
          <w:sz w:val="24"/>
          <w:szCs w:val="24"/>
        </w:rPr>
        <w:t>RAPORT PRIVIND EXECU</w:t>
      </w:r>
      <w:r w:rsidR="003F4E84" w:rsidRPr="00650ED8">
        <w:rPr>
          <w:rFonts w:ascii="Tahoma" w:hAnsi="Tahoma" w:cs="Tahoma"/>
          <w:b/>
          <w:caps/>
          <w:color w:val="0070C0"/>
          <w:sz w:val="24"/>
          <w:szCs w:val="24"/>
        </w:rPr>
        <w:t>ția buget</w:t>
      </w:r>
      <w:r w:rsidRPr="00650ED8">
        <w:rPr>
          <w:rFonts w:ascii="Tahoma" w:hAnsi="Tahoma" w:cs="Tahoma"/>
          <w:b/>
          <w:caps/>
          <w:color w:val="0070C0"/>
          <w:sz w:val="24"/>
          <w:szCs w:val="24"/>
        </w:rPr>
        <w:t>ARĂ</w:t>
      </w:r>
    </w:p>
    <w:p w:rsidR="00CF55E5" w:rsidRPr="00650ED8"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650ED8">
        <w:rPr>
          <w:rFonts w:ascii="Tahoma" w:hAnsi="Tahoma" w:cs="Tahoma"/>
          <w:b/>
          <w:caps/>
          <w:color w:val="0070C0"/>
          <w:sz w:val="24"/>
          <w:szCs w:val="24"/>
        </w:rPr>
        <w:t xml:space="preserve"> PE </w:t>
      </w:r>
      <w:r w:rsidR="00332916" w:rsidRPr="00650ED8">
        <w:rPr>
          <w:rFonts w:ascii="Tahoma" w:hAnsi="Tahoma" w:cs="Tahoma"/>
          <w:b/>
          <w:caps/>
          <w:color w:val="0070C0"/>
          <w:sz w:val="24"/>
          <w:szCs w:val="24"/>
        </w:rPr>
        <w:t xml:space="preserve">al </w:t>
      </w:r>
      <w:r w:rsidR="00563797" w:rsidRPr="00650ED8">
        <w:rPr>
          <w:rFonts w:ascii="Tahoma" w:hAnsi="Tahoma" w:cs="Tahoma"/>
          <w:b/>
          <w:caps/>
          <w:color w:val="0070C0"/>
          <w:sz w:val="24"/>
          <w:szCs w:val="24"/>
        </w:rPr>
        <w:t>tre</w:t>
      </w:r>
      <w:r w:rsidR="00332916" w:rsidRPr="00650ED8">
        <w:rPr>
          <w:rFonts w:ascii="Tahoma" w:hAnsi="Tahoma" w:cs="Tahoma"/>
          <w:b/>
          <w:caps/>
          <w:color w:val="0070C0"/>
          <w:sz w:val="24"/>
          <w:szCs w:val="24"/>
        </w:rPr>
        <w:t>ilea</w:t>
      </w:r>
      <w:r w:rsidRPr="00650ED8">
        <w:rPr>
          <w:rFonts w:ascii="Tahoma" w:hAnsi="Tahoma" w:cs="Tahoma"/>
          <w:b/>
          <w:caps/>
          <w:color w:val="0070C0"/>
          <w:sz w:val="24"/>
          <w:szCs w:val="24"/>
        </w:rPr>
        <w:t xml:space="preserve"> TRIMESTRU </w:t>
      </w:r>
    </w:p>
    <w:p w:rsidR="003F4E84" w:rsidRPr="00650ED8" w:rsidRDefault="00CF55E5" w:rsidP="003F4E84">
      <w:pPr>
        <w:pBdr>
          <w:top w:val="single" w:sz="4" w:space="1" w:color="auto"/>
          <w:bottom w:val="single" w:sz="4" w:space="1" w:color="auto"/>
        </w:pBdr>
        <w:spacing w:after="120" w:line="240" w:lineRule="auto"/>
        <w:jc w:val="right"/>
        <w:rPr>
          <w:rFonts w:ascii="Tahoma" w:hAnsi="Tahoma" w:cs="Tahoma"/>
          <w:b/>
          <w:caps/>
          <w:color w:val="0070C0"/>
          <w:sz w:val="24"/>
          <w:szCs w:val="24"/>
        </w:rPr>
      </w:pPr>
      <w:r w:rsidRPr="00650ED8">
        <w:rPr>
          <w:rFonts w:ascii="Tahoma" w:hAnsi="Tahoma" w:cs="Tahoma"/>
          <w:b/>
          <w:caps/>
          <w:color w:val="0070C0"/>
          <w:sz w:val="24"/>
          <w:szCs w:val="24"/>
        </w:rPr>
        <w:t>AL ANULUI 202</w:t>
      </w:r>
      <w:r w:rsidR="00A74835" w:rsidRPr="00650ED8">
        <w:rPr>
          <w:rFonts w:ascii="Tahoma" w:hAnsi="Tahoma" w:cs="Tahoma"/>
          <w:b/>
          <w:caps/>
          <w:color w:val="0070C0"/>
          <w:sz w:val="24"/>
          <w:szCs w:val="24"/>
        </w:rPr>
        <w:t>4</w:t>
      </w:r>
    </w:p>
    <w:p w:rsidR="003F4E84" w:rsidRPr="00650ED8" w:rsidRDefault="003F4E84" w:rsidP="00936276">
      <w:pPr>
        <w:spacing w:after="240" w:line="240" w:lineRule="auto"/>
        <w:jc w:val="right"/>
        <w:rPr>
          <w:rFonts w:ascii="Tahoma" w:hAnsi="Tahoma" w:cs="Tahoma"/>
          <w:b/>
          <w:color w:val="0070C0"/>
          <w:sz w:val="24"/>
          <w:szCs w:val="24"/>
        </w:rPr>
      </w:pPr>
    </w:p>
    <w:p w:rsidR="00061787" w:rsidRPr="00650ED8" w:rsidRDefault="005D6D51" w:rsidP="00FB7DD4">
      <w:pPr>
        <w:shd w:val="clear" w:color="auto" w:fill="DEEAF6" w:themeFill="accent1" w:themeFillTint="33"/>
        <w:spacing w:after="120" w:line="276" w:lineRule="auto"/>
        <w:jc w:val="both"/>
        <w:rPr>
          <w:rFonts w:ascii="Tahoma" w:hAnsi="Tahoma" w:cs="Tahoma"/>
          <w:bCs/>
          <w:sz w:val="24"/>
          <w:szCs w:val="24"/>
        </w:rPr>
      </w:pPr>
      <w:r w:rsidRPr="00650ED8">
        <w:rPr>
          <w:rFonts w:ascii="Tahoma" w:hAnsi="Tahoma" w:cs="Tahoma"/>
          <w:bCs/>
          <w:sz w:val="24"/>
          <w:szCs w:val="24"/>
        </w:rPr>
        <w:t xml:space="preserve">În </w:t>
      </w:r>
      <w:r w:rsidR="00332916" w:rsidRPr="00650ED8">
        <w:rPr>
          <w:rFonts w:ascii="Tahoma" w:hAnsi="Tahoma" w:cs="Tahoma"/>
          <w:bCs/>
          <w:sz w:val="24"/>
          <w:szCs w:val="24"/>
        </w:rPr>
        <w:t xml:space="preserve">al </w:t>
      </w:r>
      <w:r w:rsidR="00536E8D" w:rsidRPr="00650ED8">
        <w:rPr>
          <w:rFonts w:ascii="Tahoma" w:hAnsi="Tahoma" w:cs="Tahoma"/>
          <w:bCs/>
          <w:sz w:val="24"/>
          <w:szCs w:val="24"/>
        </w:rPr>
        <w:t>tre</w:t>
      </w:r>
      <w:r w:rsidR="00332916" w:rsidRPr="00650ED8">
        <w:rPr>
          <w:rFonts w:ascii="Tahoma" w:hAnsi="Tahoma" w:cs="Tahoma"/>
          <w:bCs/>
          <w:sz w:val="24"/>
          <w:szCs w:val="24"/>
        </w:rPr>
        <w:t>ilea</w:t>
      </w:r>
      <w:r w:rsidRPr="00650ED8">
        <w:rPr>
          <w:rFonts w:ascii="Tahoma" w:hAnsi="Tahoma" w:cs="Tahoma"/>
          <w:bCs/>
          <w:sz w:val="24"/>
          <w:szCs w:val="24"/>
        </w:rPr>
        <w:t xml:space="preserve"> trimestru al anului 202</w:t>
      </w:r>
      <w:r w:rsidR="00A74835" w:rsidRPr="00650ED8">
        <w:rPr>
          <w:rFonts w:ascii="Tahoma" w:hAnsi="Tahoma" w:cs="Tahoma"/>
          <w:bCs/>
          <w:sz w:val="24"/>
          <w:szCs w:val="24"/>
        </w:rPr>
        <w:t>4</w:t>
      </w:r>
      <w:r w:rsidR="002F2CFC" w:rsidRPr="00650ED8">
        <w:rPr>
          <w:rFonts w:ascii="Tahoma" w:hAnsi="Tahoma" w:cs="Tahoma"/>
          <w:bCs/>
          <w:sz w:val="24"/>
          <w:szCs w:val="24"/>
        </w:rPr>
        <w:t>,</w:t>
      </w:r>
      <w:r w:rsidRPr="00650ED8">
        <w:rPr>
          <w:rFonts w:ascii="Tahoma" w:hAnsi="Tahoma" w:cs="Tahoma"/>
          <w:bCs/>
          <w:sz w:val="24"/>
          <w:szCs w:val="24"/>
        </w:rPr>
        <w:t xml:space="preserve"> bugetul general consolidat a înregistrat un </w:t>
      </w:r>
      <w:r w:rsidRPr="00650ED8">
        <w:rPr>
          <w:rFonts w:ascii="Tahoma" w:hAnsi="Tahoma" w:cs="Tahoma"/>
          <w:b/>
          <w:bCs/>
          <w:sz w:val="24"/>
          <w:szCs w:val="24"/>
        </w:rPr>
        <w:t>deficit</w:t>
      </w:r>
      <w:r w:rsidRPr="00650ED8">
        <w:rPr>
          <w:rFonts w:ascii="Tahoma" w:hAnsi="Tahoma" w:cs="Tahoma"/>
          <w:bCs/>
          <w:sz w:val="24"/>
          <w:szCs w:val="24"/>
        </w:rPr>
        <w:t xml:space="preserve"> în valoare de </w:t>
      </w:r>
      <w:r w:rsidR="00536E8D" w:rsidRPr="00650ED8">
        <w:rPr>
          <w:rFonts w:ascii="Tahoma" w:hAnsi="Tahoma" w:cs="Tahoma"/>
          <w:b/>
          <w:bCs/>
          <w:sz w:val="24"/>
          <w:szCs w:val="24"/>
        </w:rPr>
        <w:t>32,57</w:t>
      </w:r>
      <w:r w:rsidRPr="00650ED8">
        <w:rPr>
          <w:rFonts w:ascii="Tahoma" w:hAnsi="Tahoma" w:cs="Tahoma"/>
          <w:b/>
          <w:bCs/>
          <w:sz w:val="24"/>
          <w:szCs w:val="24"/>
        </w:rPr>
        <w:t xml:space="preserve"> </w:t>
      </w:r>
      <w:r w:rsidR="00602503" w:rsidRPr="00650ED8">
        <w:rPr>
          <w:rFonts w:ascii="Tahoma" w:hAnsi="Tahoma" w:cs="Tahoma"/>
          <w:b/>
          <w:bCs/>
          <w:sz w:val="24"/>
          <w:szCs w:val="24"/>
        </w:rPr>
        <w:t>miliarde</w:t>
      </w:r>
      <w:r w:rsidR="00713D80" w:rsidRPr="00650ED8">
        <w:rPr>
          <w:rFonts w:ascii="Tahoma" w:hAnsi="Tahoma" w:cs="Tahoma"/>
          <w:b/>
          <w:bCs/>
          <w:sz w:val="24"/>
          <w:szCs w:val="24"/>
        </w:rPr>
        <w:t xml:space="preserve"> </w:t>
      </w:r>
      <w:r w:rsidRPr="00650ED8">
        <w:rPr>
          <w:rFonts w:ascii="Tahoma" w:hAnsi="Tahoma" w:cs="Tahoma"/>
          <w:b/>
          <w:bCs/>
          <w:sz w:val="24"/>
          <w:szCs w:val="24"/>
        </w:rPr>
        <w:t>lei (</w:t>
      </w:r>
      <w:r w:rsidR="00184295" w:rsidRPr="00650ED8">
        <w:rPr>
          <w:rFonts w:ascii="Tahoma" w:hAnsi="Tahoma" w:cs="Tahoma"/>
          <w:b/>
          <w:bCs/>
          <w:sz w:val="24"/>
          <w:szCs w:val="24"/>
        </w:rPr>
        <w:t>1,</w:t>
      </w:r>
      <w:r w:rsidR="00536E8D" w:rsidRPr="00650ED8">
        <w:rPr>
          <w:rFonts w:ascii="Tahoma" w:hAnsi="Tahoma" w:cs="Tahoma"/>
          <w:b/>
          <w:bCs/>
          <w:sz w:val="24"/>
          <w:szCs w:val="24"/>
        </w:rPr>
        <w:t>84</w:t>
      </w:r>
      <w:r w:rsidRPr="00650ED8">
        <w:rPr>
          <w:rFonts w:ascii="Tahoma" w:hAnsi="Tahoma" w:cs="Tahoma"/>
          <w:b/>
          <w:bCs/>
          <w:sz w:val="24"/>
          <w:szCs w:val="24"/>
        </w:rPr>
        <w:t>% din PIB)</w:t>
      </w:r>
      <w:r w:rsidR="00C9727F" w:rsidRPr="00650ED8">
        <w:rPr>
          <w:rFonts w:ascii="Tahoma" w:hAnsi="Tahoma" w:cs="Tahoma"/>
          <w:bCs/>
          <w:sz w:val="24"/>
          <w:szCs w:val="24"/>
        </w:rPr>
        <w:t>,</w:t>
      </w:r>
      <w:r w:rsidR="007C6A86" w:rsidRPr="00650ED8">
        <w:rPr>
          <w:rFonts w:ascii="Tahoma" w:hAnsi="Tahoma" w:cs="Tahoma"/>
          <w:bCs/>
          <w:sz w:val="24"/>
          <w:szCs w:val="24"/>
        </w:rPr>
        <w:t xml:space="preserve"> cu </w:t>
      </w:r>
      <w:r w:rsidR="00536E8D" w:rsidRPr="00650ED8">
        <w:rPr>
          <w:rFonts w:ascii="Tahoma" w:hAnsi="Tahoma" w:cs="Tahoma"/>
          <w:bCs/>
          <w:sz w:val="24"/>
          <w:szCs w:val="24"/>
        </w:rPr>
        <w:t>6,48</w:t>
      </w:r>
      <w:r w:rsidR="007C6A86" w:rsidRPr="00650ED8">
        <w:rPr>
          <w:rFonts w:ascii="Tahoma" w:hAnsi="Tahoma" w:cs="Tahoma"/>
          <w:bCs/>
          <w:sz w:val="24"/>
          <w:szCs w:val="24"/>
        </w:rPr>
        <w:t xml:space="preserve"> </w:t>
      </w:r>
      <w:r w:rsidR="00602503" w:rsidRPr="00650ED8">
        <w:rPr>
          <w:rFonts w:ascii="Tahoma" w:hAnsi="Tahoma" w:cs="Tahoma"/>
          <w:bCs/>
          <w:sz w:val="24"/>
          <w:szCs w:val="24"/>
        </w:rPr>
        <w:t>miliarde</w:t>
      </w:r>
      <w:r w:rsidR="00713D80" w:rsidRPr="00650ED8">
        <w:rPr>
          <w:rFonts w:ascii="Tahoma" w:hAnsi="Tahoma" w:cs="Tahoma"/>
          <w:bCs/>
          <w:sz w:val="24"/>
          <w:szCs w:val="24"/>
        </w:rPr>
        <w:t xml:space="preserve"> </w:t>
      </w:r>
      <w:r w:rsidRPr="00650ED8">
        <w:rPr>
          <w:rFonts w:ascii="Tahoma" w:hAnsi="Tahoma" w:cs="Tahoma"/>
          <w:bCs/>
          <w:sz w:val="24"/>
          <w:szCs w:val="24"/>
        </w:rPr>
        <w:t xml:space="preserve">lei </w:t>
      </w:r>
      <w:r w:rsidR="00CE4909" w:rsidRPr="00650ED8">
        <w:rPr>
          <w:rFonts w:ascii="Tahoma" w:hAnsi="Tahoma" w:cs="Tahoma"/>
          <w:bCs/>
          <w:sz w:val="24"/>
          <w:szCs w:val="24"/>
        </w:rPr>
        <w:t>sub</w:t>
      </w:r>
      <w:r w:rsidRPr="00650ED8">
        <w:rPr>
          <w:rFonts w:ascii="Tahoma" w:hAnsi="Tahoma" w:cs="Tahoma"/>
          <w:bCs/>
          <w:sz w:val="24"/>
          <w:szCs w:val="24"/>
        </w:rPr>
        <w:t xml:space="preserve"> nivelul prognozat </w:t>
      </w:r>
      <w:r w:rsidR="007C6A86" w:rsidRPr="00650ED8">
        <w:rPr>
          <w:rFonts w:ascii="Tahoma" w:hAnsi="Tahoma" w:cs="Tahoma"/>
          <w:bCs/>
          <w:sz w:val="24"/>
          <w:szCs w:val="24"/>
        </w:rPr>
        <w:t xml:space="preserve">pentru perioada analizată de </w:t>
      </w:r>
      <w:r w:rsidR="00536E8D" w:rsidRPr="00650ED8">
        <w:rPr>
          <w:rFonts w:ascii="Tahoma" w:hAnsi="Tahoma" w:cs="Tahoma"/>
          <w:bCs/>
          <w:sz w:val="24"/>
          <w:szCs w:val="24"/>
        </w:rPr>
        <w:t>39,05</w:t>
      </w:r>
      <w:r w:rsidRPr="00650ED8">
        <w:rPr>
          <w:rFonts w:ascii="Tahoma" w:hAnsi="Tahoma" w:cs="Tahoma"/>
          <w:bCs/>
          <w:sz w:val="24"/>
          <w:szCs w:val="24"/>
        </w:rPr>
        <w:t xml:space="preserve"> </w:t>
      </w:r>
      <w:r w:rsidR="00602503" w:rsidRPr="00650ED8">
        <w:rPr>
          <w:rFonts w:ascii="Tahoma" w:hAnsi="Tahoma" w:cs="Tahoma"/>
          <w:bCs/>
          <w:sz w:val="24"/>
          <w:szCs w:val="24"/>
        </w:rPr>
        <w:t>miliarde</w:t>
      </w:r>
      <w:r w:rsidR="00713D80" w:rsidRPr="00650ED8">
        <w:rPr>
          <w:rFonts w:ascii="Tahoma" w:hAnsi="Tahoma" w:cs="Tahoma"/>
          <w:bCs/>
          <w:sz w:val="24"/>
          <w:szCs w:val="24"/>
        </w:rPr>
        <w:t xml:space="preserve"> </w:t>
      </w:r>
      <w:r w:rsidRPr="00650ED8">
        <w:rPr>
          <w:rFonts w:ascii="Tahoma" w:hAnsi="Tahoma" w:cs="Tahoma"/>
          <w:bCs/>
          <w:sz w:val="24"/>
          <w:szCs w:val="24"/>
        </w:rPr>
        <w:t>lei (</w:t>
      </w:r>
      <w:r w:rsidR="00536E8D" w:rsidRPr="00650ED8">
        <w:rPr>
          <w:rFonts w:ascii="Tahoma" w:hAnsi="Tahoma" w:cs="Tahoma"/>
          <w:bCs/>
          <w:sz w:val="24"/>
          <w:szCs w:val="24"/>
        </w:rPr>
        <w:t>2,21</w:t>
      </w:r>
      <w:r w:rsidRPr="00650ED8">
        <w:rPr>
          <w:rFonts w:ascii="Tahoma" w:hAnsi="Tahoma" w:cs="Tahoma"/>
          <w:bCs/>
          <w:sz w:val="24"/>
          <w:szCs w:val="24"/>
        </w:rPr>
        <w:t>% din PIB).</w:t>
      </w:r>
    </w:p>
    <w:p w:rsidR="00F24FA0" w:rsidRPr="00650ED8" w:rsidRDefault="00F24FA0" w:rsidP="003C7FE7">
      <w:pPr>
        <w:spacing w:after="0" w:line="360" w:lineRule="auto"/>
        <w:jc w:val="both"/>
        <w:rPr>
          <w:rFonts w:ascii="Tahoma" w:hAnsi="Tahoma" w:cs="Tahoma"/>
          <w:b/>
          <w:color w:val="767171" w:themeColor="background2" w:themeShade="80"/>
          <w:sz w:val="24"/>
          <w:szCs w:val="24"/>
        </w:rPr>
      </w:pPr>
    </w:p>
    <w:p w:rsidR="00F972DC" w:rsidRPr="00650ED8" w:rsidRDefault="00F972DC" w:rsidP="00FB7DD4">
      <w:pPr>
        <w:pStyle w:val="ListParagraph"/>
        <w:numPr>
          <w:ilvl w:val="0"/>
          <w:numId w:val="2"/>
        </w:numPr>
        <w:shd w:val="clear" w:color="auto" w:fill="D9D9D9" w:themeFill="background1" w:themeFillShade="D9"/>
        <w:spacing w:after="120" w:line="360" w:lineRule="auto"/>
        <w:ind w:left="1077" w:hanging="1077"/>
        <w:contextualSpacing w:val="0"/>
        <w:jc w:val="both"/>
        <w:rPr>
          <w:rFonts w:ascii="Tahoma" w:hAnsi="Tahoma" w:cs="Tahoma"/>
          <w:b/>
          <w:caps/>
          <w:color w:val="0070C0"/>
          <w:sz w:val="24"/>
          <w:szCs w:val="24"/>
        </w:rPr>
      </w:pPr>
      <w:r w:rsidRPr="00650ED8">
        <w:rPr>
          <w:rFonts w:ascii="Tahoma" w:hAnsi="Tahoma" w:cs="Tahoma"/>
          <w:b/>
          <w:caps/>
          <w:color w:val="0070C0"/>
          <w:sz w:val="24"/>
          <w:szCs w:val="24"/>
        </w:rPr>
        <w:t>veniturile bugetului general consolidat</w:t>
      </w:r>
    </w:p>
    <w:p w:rsidR="000F1E3F" w:rsidRPr="00650ED8" w:rsidRDefault="000F1E3F" w:rsidP="00313CA3">
      <w:pPr>
        <w:spacing w:after="120" w:line="240" w:lineRule="auto"/>
        <w:rPr>
          <w:rFonts w:ascii="Tahoma" w:hAnsi="Tahoma" w:cs="Tahoma"/>
          <w:b/>
          <w:color w:val="0070C0"/>
          <w:sz w:val="24"/>
          <w:szCs w:val="24"/>
        </w:rPr>
      </w:pPr>
    </w:p>
    <w:p w:rsidR="009A320D" w:rsidRPr="00650ED8" w:rsidRDefault="00CF55E5" w:rsidP="00753D9F">
      <w:pPr>
        <w:shd w:val="clear" w:color="auto" w:fill="D9D9D9" w:themeFill="background1" w:themeFillShade="D9"/>
        <w:spacing w:after="120" w:line="276" w:lineRule="auto"/>
        <w:jc w:val="both"/>
        <w:rPr>
          <w:rFonts w:ascii="Tahoma" w:hAnsi="Tahoma" w:cs="Tahoma"/>
          <w:sz w:val="24"/>
          <w:szCs w:val="24"/>
        </w:rPr>
      </w:pPr>
      <w:r w:rsidRPr="00650ED8">
        <w:rPr>
          <w:rFonts w:ascii="Tahoma" w:hAnsi="Tahoma" w:cs="Tahoma"/>
          <w:b/>
          <w:sz w:val="24"/>
          <w:szCs w:val="24"/>
        </w:rPr>
        <w:t>Veniturile bugetului general</w:t>
      </w:r>
      <w:r w:rsidR="009D16DA" w:rsidRPr="00650ED8">
        <w:rPr>
          <w:rFonts w:ascii="Tahoma" w:hAnsi="Tahoma" w:cs="Tahoma"/>
          <w:b/>
          <w:sz w:val="24"/>
          <w:szCs w:val="24"/>
        </w:rPr>
        <w:t xml:space="preserve"> consolidat</w:t>
      </w:r>
      <w:r w:rsidR="008C4402" w:rsidRPr="00650ED8">
        <w:rPr>
          <w:rFonts w:ascii="Tahoma" w:hAnsi="Tahoma" w:cs="Tahoma"/>
          <w:b/>
          <w:sz w:val="24"/>
          <w:szCs w:val="24"/>
        </w:rPr>
        <w:t xml:space="preserve">, </w:t>
      </w:r>
      <w:r w:rsidR="008C4402" w:rsidRPr="00650ED8">
        <w:rPr>
          <w:rFonts w:ascii="Tahoma" w:hAnsi="Tahoma" w:cs="Tahoma"/>
          <w:sz w:val="24"/>
          <w:szCs w:val="24"/>
        </w:rPr>
        <w:t>în perioada analizată</w:t>
      </w:r>
      <w:r w:rsidR="008C4402" w:rsidRPr="00650ED8">
        <w:rPr>
          <w:rFonts w:ascii="Tahoma" w:hAnsi="Tahoma" w:cs="Tahoma"/>
          <w:b/>
          <w:sz w:val="24"/>
          <w:szCs w:val="24"/>
        </w:rPr>
        <w:t>,</w:t>
      </w:r>
      <w:r w:rsidR="007A3AFD" w:rsidRPr="00650ED8">
        <w:rPr>
          <w:rFonts w:ascii="Tahoma" w:hAnsi="Tahoma" w:cs="Tahoma"/>
          <w:sz w:val="24"/>
          <w:szCs w:val="24"/>
        </w:rPr>
        <w:t xml:space="preserve"> au însumat </w:t>
      </w:r>
      <w:r w:rsidR="00536E8D" w:rsidRPr="00650ED8">
        <w:rPr>
          <w:rFonts w:ascii="Tahoma" w:hAnsi="Tahoma" w:cs="Tahoma"/>
          <w:sz w:val="24"/>
          <w:szCs w:val="24"/>
        </w:rPr>
        <w:t>140,48</w:t>
      </w:r>
      <w:r w:rsidR="009D16DA" w:rsidRPr="00650ED8">
        <w:rPr>
          <w:rFonts w:ascii="Tahoma" w:hAnsi="Tahoma" w:cs="Tahoma"/>
          <w:sz w:val="24"/>
          <w:szCs w:val="24"/>
        </w:rPr>
        <w:t xml:space="preserve"> </w:t>
      </w:r>
      <w:r w:rsidR="00602503" w:rsidRPr="00650ED8">
        <w:rPr>
          <w:rFonts w:ascii="Tahoma" w:hAnsi="Tahoma" w:cs="Tahoma"/>
          <w:sz w:val="24"/>
          <w:szCs w:val="24"/>
        </w:rPr>
        <w:t>miliarde</w:t>
      </w:r>
      <w:r w:rsidR="00713D80" w:rsidRPr="00650ED8">
        <w:rPr>
          <w:rFonts w:ascii="Tahoma" w:hAnsi="Tahoma" w:cs="Tahoma"/>
          <w:sz w:val="24"/>
          <w:szCs w:val="24"/>
        </w:rPr>
        <w:t xml:space="preserve"> </w:t>
      </w:r>
      <w:r w:rsidR="009D16DA" w:rsidRPr="00650ED8">
        <w:rPr>
          <w:rFonts w:ascii="Tahoma" w:hAnsi="Tahoma" w:cs="Tahoma"/>
          <w:sz w:val="24"/>
          <w:szCs w:val="24"/>
        </w:rPr>
        <w:t>lei (</w:t>
      </w:r>
      <w:r w:rsidR="00536E8D" w:rsidRPr="00650ED8">
        <w:rPr>
          <w:rFonts w:ascii="Tahoma" w:hAnsi="Tahoma" w:cs="Tahoma"/>
          <w:sz w:val="24"/>
          <w:szCs w:val="24"/>
        </w:rPr>
        <w:t>7,9</w:t>
      </w:r>
      <w:r w:rsidR="009D16DA" w:rsidRPr="00650ED8">
        <w:rPr>
          <w:rFonts w:ascii="Tahoma" w:hAnsi="Tahoma" w:cs="Tahoma"/>
          <w:sz w:val="24"/>
          <w:szCs w:val="24"/>
        </w:rPr>
        <w:t>% din PIB)</w:t>
      </w:r>
      <w:r w:rsidR="00186A0B" w:rsidRPr="00650ED8">
        <w:rPr>
          <w:rFonts w:ascii="Tahoma" w:hAnsi="Tahoma" w:cs="Tahoma"/>
          <w:sz w:val="24"/>
          <w:szCs w:val="24"/>
        </w:rPr>
        <w:t>,</w:t>
      </w:r>
      <w:r w:rsidR="009D16DA" w:rsidRPr="00650ED8">
        <w:rPr>
          <w:rFonts w:ascii="Tahoma" w:hAnsi="Tahoma" w:cs="Tahoma"/>
          <w:sz w:val="24"/>
          <w:szCs w:val="24"/>
        </w:rPr>
        <w:t xml:space="preserve"> </w:t>
      </w:r>
      <w:r w:rsidR="00733F08" w:rsidRPr="00650ED8">
        <w:rPr>
          <w:rFonts w:ascii="Tahoma" w:hAnsi="Tahoma" w:cs="Tahoma"/>
          <w:sz w:val="24"/>
          <w:szCs w:val="24"/>
        </w:rPr>
        <w:t xml:space="preserve">reflectând un </w:t>
      </w:r>
      <w:r w:rsidR="009D16DA" w:rsidRPr="00650ED8">
        <w:rPr>
          <w:rFonts w:ascii="Tahoma" w:hAnsi="Tahoma" w:cs="Tahoma"/>
          <w:sz w:val="24"/>
          <w:szCs w:val="24"/>
        </w:rPr>
        <w:t xml:space="preserve">grad de realizare a programului de încasări de </w:t>
      </w:r>
      <w:r w:rsidR="00536E8D" w:rsidRPr="00650ED8">
        <w:rPr>
          <w:rFonts w:ascii="Tahoma" w:hAnsi="Tahoma" w:cs="Tahoma"/>
          <w:sz w:val="24"/>
          <w:szCs w:val="24"/>
        </w:rPr>
        <w:t>98,1</w:t>
      </w:r>
      <w:r w:rsidR="009D16DA" w:rsidRPr="00650ED8">
        <w:rPr>
          <w:rFonts w:ascii="Tahoma" w:hAnsi="Tahoma" w:cs="Tahoma"/>
          <w:sz w:val="24"/>
          <w:szCs w:val="24"/>
        </w:rPr>
        <w:t>%</w:t>
      </w:r>
      <w:r w:rsidR="002F2CFC" w:rsidRPr="00650ED8">
        <w:rPr>
          <w:rFonts w:ascii="Tahoma" w:hAnsi="Tahoma" w:cs="Tahoma"/>
          <w:sz w:val="24"/>
          <w:szCs w:val="24"/>
        </w:rPr>
        <w:t>.</w:t>
      </w:r>
      <w:r w:rsidR="00BD76A9" w:rsidRPr="00650ED8">
        <w:rPr>
          <w:rFonts w:ascii="Tahoma" w:hAnsi="Tahoma" w:cs="Tahoma"/>
          <w:sz w:val="24"/>
          <w:szCs w:val="24"/>
        </w:rPr>
        <w:t xml:space="preserve"> </w:t>
      </w:r>
    </w:p>
    <w:p w:rsidR="00024773" w:rsidRPr="00650ED8" w:rsidRDefault="00DD52A5" w:rsidP="00753D9F">
      <w:pPr>
        <w:tabs>
          <w:tab w:val="left" w:pos="810"/>
          <w:tab w:val="left" w:pos="1134"/>
        </w:tabs>
        <w:spacing w:before="120" w:after="120" w:line="276" w:lineRule="auto"/>
        <w:jc w:val="both"/>
        <w:rPr>
          <w:rFonts w:ascii="Tahoma" w:hAnsi="Tahoma" w:cs="Tahoma"/>
          <w:bCs/>
          <w:sz w:val="24"/>
          <w:szCs w:val="24"/>
        </w:rPr>
      </w:pPr>
      <w:r w:rsidRPr="00650ED8">
        <w:rPr>
          <w:rFonts w:ascii="Tahoma" w:hAnsi="Tahoma" w:cs="Tahoma"/>
          <w:bCs/>
          <w:sz w:val="24"/>
          <w:szCs w:val="24"/>
        </w:rPr>
        <w:t xml:space="preserve">Comparativ cu încasările </w:t>
      </w:r>
      <w:r w:rsidR="00083B75" w:rsidRPr="00650ED8">
        <w:rPr>
          <w:rFonts w:ascii="Tahoma" w:hAnsi="Tahoma" w:cs="Tahoma"/>
          <w:bCs/>
          <w:sz w:val="24"/>
          <w:szCs w:val="24"/>
        </w:rPr>
        <w:t xml:space="preserve">celui de al </w:t>
      </w:r>
      <w:r w:rsidR="00536E8D" w:rsidRPr="00650ED8">
        <w:rPr>
          <w:rFonts w:ascii="Tahoma" w:hAnsi="Tahoma" w:cs="Tahoma"/>
          <w:bCs/>
          <w:sz w:val="24"/>
          <w:szCs w:val="24"/>
        </w:rPr>
        <w:t>tre</w:t>
      </w:r>
      <w:r w:rsidR="00083B75" w:rsidRPr="00650ED8">
        <w:rPr>
          <w:rFonts w:ascii="Tahoma" w:hAnsi="Tahoma" w:cs="Tahoma"/>
          <w:bCs/>
          <w:sz w:val="24"/>
          <w:szCs w:val="24"/>
        </w:rPr>
        <w:t xml:space="preserve">ilea trimestru </w:t>
      </w:r>
      <w:r w:rsidRPr="00650ED8">
        <w:rPr>
          <w:rFonts w:ascii="Tahoma" w:hAnsi="Tahoma" w:cs="Tahoma"/>
          <w:bCs/>
          <w:sz w:val="24"/>
          <w:szCs w:val="24"/>
        </w:rPr>
        <w:t>al anului 20</w:t>
      </w:r>
      <w:r w:rsidR="00CE4909" w:rsidRPr="00650ED8">
        <w:rPr>
          <w:rFonts w:ascii="Tahoma" w:hAnsi="Tahoma" w:cs="Tahoma"/>
          <w:bCs/>
          <w:sz w:val="24"/>
          <w:szCs w:val="24"/>
        </w:rPr>
        <w:t>2</w:t>
      </w:r>
      <w:r w:rsidR="00A74835" w:rsidRPr="00650ED8">
        <w:rPr>
          <w:rFonts w:ascii="Tahoma" w:hAnsi="Tahoma" w:cs="Tahoma"/>
          <w:bCs/>
          <w:sz w:val="24"/>
          <w:szCs w:val="24"/>
        </w:rPr>
        <w:t>3</w:t>
      </w:r>
      <w:r w:rsidRPr="00650ED8">
        <w:rPr>
          <w:rFonts w:ascii="Tahoma" w:hAnsi="Tahoma" w:cs="Tahoma"/>
          <w:bCs/>
          <w:sz w:val="24"/>
          <w:szCs w:val="24"/>
        </w:rPr>
        <w:t xml:space="preserve">, </w:t>
      </w:r>
      <w:r w:rsidR="002F2CFC" w:rsidRPr="00650ED8">
        <w:rPr>
          <w:rFonts w:ascii="Tahoma" w:hAnsi="Tahoma" w:cs="Tahoma"/>
          <w:bCs/>
          <w:sz w:val="24"/>
          <w:szCs w:val="24"/>
        </w:rPr>
        <w:t xml:space="preserve">veniturile </w:t>
      </w:r>
      <w:r w:rsidR="00197545" w:rsidRPr="00650ED8">
        <w:rPr>
          <w:rFonts w:ascii="Tahoma" w:hAnsi="Tahoma" w:cs="Tahoma"/>
          <w:bCs/>
          <w:sz w:val="24"/>
          <w:szCs w:val="24"/>
        </w:rPr>
        <w:t xml:space="preserve">bugetului general consolidat </w:t>
      </w:r>
      <w:r w:rsidR="002F2CFC" w:rsidRPr="00650ED8">
        <w:rPr>
          <w:rFonts w:ascii="Tahoma" w:hAnsi="Tahoma" w:cs="Tahoma"/>
          <w:bCs/>
          <w:sz w:val="24"/>
          <w:szCs w:val="24"/>
        </w:rPr>
        <w:t xml:space="preserve">au </w:t>
      </w:r>
      <w:r w:rsidR="00197545" w:rsidRPr="00650ED8">
        <w:rPr>
          <w:rFonts w:ascii="Tahoma" w:hAnsi="Tahoma" w:cs="Tahoma"/>
          <w:bCs/>
          <w:sz w:val="24"/>
          <w:szCs w:val="24"/>
        </w:rPr>
        <w:t>crescut</w:t>
      </w:r>
      <w:r w:rsidR="002F2CFC" w:rsidRPr="00650ED8">
        <w:rPr>
          <w:rFonts w:ascii="Tahoma" w:hAnsi="Tahoma" w:cs="Tahoma"/>
          <w:bCs/>
          <w:sz w:val="24"/>
          <w:szCs w:val="24"/>
        </w:rPr>
        <w:t xml:space="preserve"> </w:t>
      </w:r>
      <w:r w:rsidR="00197545" w:rsidRPr="00650ED8">
        <w:rPr>
          <w:rFonts w:ascii="Tahoma" w:hAnsi="Tahoma" w:cs="Tahoma"/>
          <w:bCs/>
          <w:sz w:val="24"/>
          <w:szCs w:val="24"/>
        </w:rPr>
        <w:t xml:space="preserve">în termeni nominali </w:t>
      </w:r>
      <w:r w:rsidR="009D16DA" w:rsidRPr="00650ED8">
        <w:rPr>
          <w:rFonts w:ascii="Tahoma" w:hAnsi="Tahoma" w:cs="Tahoma"/>
          <w:bCs/>
          <w:sz w:val="24"/>
          <w:szCs w:val="24"/>
        </w:rPr>
        <w:t xml:space="preserve">cu </w:t>
      </w:r>
      <w:r w:rsidR="00536E8D" w:rsidRPr="00650ED8">
        <w:rPr>
          <w:rFonts w:ascii="Tahoma" w:hAnsi="Tahoma" w:cs="Tahoma"/>
          <w:bCs/>
          <w:sz w:val="24"/>
          <w:szCs w:val="24"/>
        </w:rPr>
        <w:t>12,1</w:t>
      </w:r>
      <w:r w:rsidR="009D16DA" w:rsidRPr="00650ED8">
        <w:rPr>
          <w:rFonts w:ascii="Tahoma" w:hAnsi="Tahoma" w:cs="Tahoma"/>
          <w:bCs/>
          <w:sz w:val="24"/>
          <w:szCs w:val="24"/>
        </w:rPr>
        <w:t>%,</w:t>
      </w:r>
      <w:r w:rsidR="00197545" w:rsidRPr="00650ED8">
        <w:rPr>
          <w:rFonts w:ascii="Tahoma" w:hAnsi="Tahoma" w:cs="Tahoma"/>
          <w:bCs/>
          <w:sz w:val="24"/>
          <w:szCs w:val="24"/>
        </w:rPr>
        <w:t xml:space="preserve"> iar ca procent în PIB </w:t>
      </w:r>
      <w:r w:rsidR="00E16DED" w:rsidRPr="00650ED8">
        <w:rPr>
          <w:rFonts w:ascii="Tahoma" w:hAnsi="Tahoma" w:cs="Tahoma"/>
          <w:bCs/>
          <w:sz w:val="24"/>
          <w:szCs w:val="24"/>
        </w:rPr>
        <w:t>cu 0,</w:t>
      </w:r>
      <w:r w:rsidR="00083B75" w:rsidRPr="00650ED8">
        <w:rPr>
          <w:rFonts w:ascii="Tahoma" w:hAnsi="Tahoma" w:cs="Tahoma"/>
          <w:bCs/>
          <w:sz w:val="24"/>
          <w:szCs w:val="24"/>
        </w:rPr>
        <w:t>1</w:t>
      </w:r>
      <w:r w:rsidR="00197545" w:rsidRPr="00650ED8">
        <w:rPr>
          <w:rFonts w:ascii="Tahoma" w:hAnsi="Tahoma" w:cs="Tahoma"/>
          <w:bCs/>
          <w:sz w:val="24"/>
          <w:szCs w:val="24"/>
        </w:rPr>
        <w:t xml:space="preserve"> puncte procentuale</w:t>
      </w:r>
      <w:r w:rsidR="008C4402" w:rsidRPr="00650ED8">
        <w:rPr>
          <w:rFonts w:ascii="Tahoma" w:hAnsi="Tahoma" w:cs="Tahoma"/>
          <w:bCs/>
          <w:sz w:val="24"/>
          <w:szCs w:val="24"/>
        </w:rPr>
        <w:t>,</w:t>
      </w:r>
      <w:r w:rsidR="00197545" w:rsidRPr="00650ED8">
        <w:rPr>
          <w:rFonts w:ascii="Tahoma" w:hAnsi="Tahoma" w:cs="Tahoma"/>
          <w:bCs/>
          <w:sz w:val="24"/>
          <w:szCs w:val="24"/>
        </w:rPr>
        <w:t xml:space="preserve"> de la </w:t>
      </w:r>
      <w:r w:rsidR="00536E8D" w:rsidRPr="00650ED8">
        <w:rPr>
          <w:rFonts w:ascii="Tahoma" w:hAnsi="Tahoma" w:cs="Tahoma"/>
          <w:bCs/>
          <w:sz w:val="24"/>
          <w:szCs w:val="24"/>
        </w:rPr>
        <w:t>7,8</w:t>
      </w:r>
      <w:r w:rsidR="00197545" w:rsidRPr="00650ED8">
        <w:rPr>
          <w:rFonts w:ascii="Tahoma" w:hAnsi="Tahoma" w:cs="Tahoma"/>
          <w:bCs/>
          <w:sz w:val="24"/>
          <w:szCs w:val="24"/>
        </w:rPr>
        <w:t>% din PIB cât au fost în trimestru</w:t>
      </w:r>
      <w:r w:rsidR="00083B75" w:rsidRPr="00650ED8">
        <w:rPr>
          <w:rFonts w:ascii="Tahoma" w:hAnsi="Tahoma" w:cs="Tahoma"/>
          <w:bCs/>
          <w:sz w:val="24"/>
          <w:szCs w:val="24"/>
        </w:rPr>
        <w:t xml:space="preserve">l al </w:t>
      </w:r>
      <w:r w:rsidR="00536E8D" w:rsidRPr="00650ED8">
        <w:rPr>
          <w:rFonts w:ascii="Tahoma" w:hAnsi="Tahoma" w:cs="Tahoma"/>
          <w:bCs/>
          <w:sz w:val="24"/>
          <w:szCs w:val="24"/>
        </w:rPr>
        <w:t>I</w:t>
      </w:r>
      <w:r w:rsidR="00083B75" w:rsidRPr="00650ED8">
        <w:rPr>
          <w:rFonts w:ascii="Tahoma" w:hAnsi="Tahoma" w:cs="Tahoma"/>
          <w:bCs/>
          <w:sz w:val="24"/>
          <w:szCs w:val="24"/>
        </w:rPr>
        <w:t>II-lea</w:t>
      </w:r>
      <w:r w:rsidR="00197545" w:rsidRPr="00650ED8">
        <w:rPr>
          <w:rFonts w:ascii="Tahoma" w:hAnsi="Tahoma" w:cs="Tahoma"/>
          <w:bCs/>
          <w:sz w:val="24"/>
          <w:szCs w:val="24"/>
        </w:rPr>
        <w:t xml:space="preserve"> al anului 202</w:t>
      </w:r>
      <w:r w:rsidR="00A74835" w:rsidRPr="00650ED8">
        <w:rPr>
          <w:rFonts w:ascii="Tahoma" w:hAnsi="Tahoma" w:cs="Tahoma"/>
          <w:bCs/>
          <w:sz w:val="24"/>
          <w:szCs w:val="24"/>
        </w:rPr>
        <w:t>3</w:t>
      </w:r>
      <w:r w:rsidR="00197545" w:rsidRPr="00650ED8">
        <w:rPr>
          <w:rFonts w:ascii="Tahoma" w:hAnsi="Tahoma" w:cs="Tahoma"/>
          <w:bCs/>
          <w:sz w:val="24"/>
          <w:szCs w:val="24"/>
        </w:rPr>
        <w:t xml:space="preserve"> la </w:t>
      </w:r>
      <w:r w:rsidR="00536E8D" w:rsidRPr="00650ED8">
        <w:rPr>
          <w:rFonts w:ascii="Tahoma" w:hAnsi="Tahoma" w:cs="Tahoma"/>
          <w:bCs/>
          <w:sz w:val="24"/>
          <w:szCs w:val="24"/>
        </w:rPr>
        <w:t>7,9</w:t>
      </w:r>
      <w:r w:rsidR="00197545" w:rsidRPr="00650ED8">
        <w:rPr>
          <w:rFonts w:ascii="Tahoma" w:hAnsi="Tahoma" w:cs="Tahoma"/>
          <w:bCs/>
          <w:sz w:val="24"/>
          <w:szCs w:val="24"/>
        </w:rPr>
        <w:t xml:space="preserve">% din PIB în </w:t>
      </w:r>
      <w:r w:rsidR="00083B75" w:rsidRPr="00650ED8">
        <w:rPr>
          <w:rFonts w:ascii="Tahoma" w:hAnsi="Tahoma" w:cs="Tahoma"/>
          <w:bCs/>
          <w:sz w:val="24"/>
          <w:szCs w:val="24"/>
        </w:rPr>
        <w:t>perioada analizată</w:t>
      </w:r>
      <w:r w:rsidR="00197545" w:rsidRPr="00650ED8">
        <w:rPr>
          <w:rFonts w:ascii="Tahoma" w:hAnsi="Tahoma" w:cs="Tahoma"/>
          <w:bCs/>
          <w:sz w:val="24"/>
          <w:szCs w:val="24"/>
        </w:rPr>
        <w:t>.</w:t>
      </w:r>
      <w:r w:rsidR="009D16DA" w:rsidRPr="00650ED8">
        <w:rPr>
          <w:rFonts w:ascii="Tahoma" w:hAnsi="Tahoma" w:cs="Tahoma"/>
          <w:bCs/>
          <w:sz w:val="24"/>
          <w:szCs w:val="24"/>
        </w:rPr>
        <w:t xml:space="preserve"> </w:t>
      </w:r>
    </w:p>
    <w:p w:rsidR="00DD52A5" w:rsidRPr="00650ED8" w:rsidRDefault="00DD52A5" w:rsidP="00FB7DD4">
      <w:pPr>
        <w:tabs>
          <w:tab w:val="left" w:pos="810"/>
          <w:tab w:val="left" w:pos="1134"/>
        </w:tabs>
        <w:spacing w:before="120" w:after="0" w:line="276" w:lineRule="auto"/>
        <w:jc w:val="both"/>
        <w:rPr>
          <w:rFonts w:ascii="Tahoma" w:hAnsi="Tahoma" w:cs="Tahoma"/>
          <w:sz w:val="24"/>
          <w:szCs w:val="24"/>
        </w:rPr>
      </w:pPr>
      <w:r w:rsidRPr="00650ED8">
        <w:rPr>
          <w:rFonts w:ascii="Tahoma" w:hAnsi="Tahoma" w:cs="Tahoma"/>
          <w:b/>
          <w:bCs/>
          <w:sz w:val="24"/>
          <w:szCs w:val="24"/>
        </w:rPr>
        <w:t>Veniturile încasate</w:t>
      </w:r>
      <w:r w:rsidRPr="00650ED8">
        <w:rPr>
          <w:rFonts w:ascii="Tahoma" w:hAnsi="Tahoma" w:cs="Tahoma"/>
          <w:sz w:val="24"/>
          <w:szCs w:val="24"/>
        </w:rPr>
        <w:t xml:space="preserve"> </w:t>
      </w:r>
      <w:r w:rsidRPr="00650ED8">
        <w:rPr>
          <w:rFonts w:ascii="Tahoma" w:hAnsi="Tahoma" w:cs="Tahoma"/>
          <w:b/>
          <w:bCs/>
          <w:sz w:val="24"/>
          <w:szCs w:val="24"/>
        </w:rPr>
        <w:t>din economia internă</w:t>
      </w:r>
      <w:r w:rsidRPr="00650ED8">
        <w:rPr>
          <w:rFonts w:ascii="Tahoma" w:hAnsi="Tahoma" w:cs="Tahoma"/>
          <w:sz w:val="24"/>
          <w:szCs w:val="24"/>
        </w:rPr>
        <w:t xml:space="preserve"> (fără fonduri de la Uniunea Europeană) au fost în sumă de </w:t>
      </w:r>
      <w:r w:rsidR="00536E8D" w:rsidRPr="00650ED8">
        <w:rPr>
          <w:rFonts w:ascii="Tahoma" w:hAnsi="Tahoma" w:cs="Tahoma"/>
          <w:bCs/>
          <w:sz w:val="24"/>
          <w:szCs w:val="24"/>
        </w:rPr>
        <w:t>135,11</w:t>
      </w:r>
      <w:r w:rsidRPr="00650ED8">
        <w:rPr>
          <w:rFonts w:ascii="Tahoma" w:hAnsi="Tahoma" w:cs="Tahoma"/>
          <w:bCs/>
          <w:sz w:val="24"/>
          <w:szCs w:val="24"/>
        </w:rPr>
        <w:t xml:space="preserve"> </w:t>
      </w:r>
      <w:r w:rsidR="00602503" w:rsidRPr="00650ED8">
        <w:rPr>
          <w:rFonts w:ascii="Tahoma" w:hAnsi="Tahoma" w:cs="Tahoma"/>
          <w:bCs/>
          <w:sz w:val="24"/>
          <w:szCs w:val="24"/>
        </w:rPr>
        <w:t>miliarde</w:t>
      </w:r>
      <w:r w:rsidR="00713D80" w:rsidRPr="00650ED8">
        <w:rPr>
          <w:rFonts w:ascii="Tahoma" w:hAnsi="Tahoma" w:cs="Tahoma"/>
          <w:bCs/>
          <w:sz w:val="24"/>
          <w:szCs w:val="24"/>
        </w:rPr>
        <w:t xml:space="preserve"> </w:t>
      </w:r>
      <w:r w:rsidRPr="00650ED8">
        <w:rPr>
          <w:rFonts w:ascii="Tahoma" w:hAnsi="Tahoma" w:cs="Tahoma"/>
          <w:bCs/>
          <w:sz w:val="24"/>
          <w:szCs w:val="24"/>
        </w:rPr>
        <w:t>lei,</w:t>
      </w:r>
      <w:r w:rsidRPr="00650ED8">
        <w:rPr>
          <w:rFonts w:ascii="Tahoma" w:hAnsi="Tahoma" w:cs="Tahoma"/>
          <w:b/>
          <w:bCs/>
          <w:sz w:val="24"/>
          <w:szCs w:val="24"/>
        </w:rPr>
        <w:t xml:space="preserve"> </w:t>
      </w:r>
      <w:r w:rsidRPr="00650ED8">
        <w:rPr>
          <w:rFonts w:ascii="Tahoma" w:hAnsi="Tahoma" w:cs="Tahoma"/>
          <w:sz w:val="24"/>
          <w:szCs w:val="24"/>
        </w:rPr>
        <w:t xml:space="preserve">reprezentând </w:t>
      </w:r>
      <w:r w:rsidR="00083B75" w:rsidRPr="00650ED8">
        <w:rPr>
          <w:rFonts w:ascii="Tahoma" w:hAnsi="Tahoma" w:cs="Tahoma"/>
          <w:sz w:val="24"/>
          <w:szCs w:val="24"/>
        </w:rPr>
        <w:t>7,</w:t>
      </w:r>
      <w:r w:rsidR="00536E8D" w:rsidRPr="00650ED8">
        <w:rPr>
          <w:rFonts w:ascii="Tahoma" w:hAnsi="Tahoma" w:cs="Tahoma"/>
          <w:sz w:val="24"/>
          <w:szCs w:val="24"/>
        </w:rPr>
        <w:t>6</w:t>
      </w:r>
      <w:r w:rsidRPr="00650ED8">
        <w:rPr>
          <w:rFonts w:ascii="Tahoma" w:hAnsi="Tahoma" w:cs="Tahoma"/>
          <w:sz w:val="24"/>
          <w:szCs w:val="24"/>
        </w:rPr>
        <w:t xml:space="preserve">% ca pondere în PIB </w:t>
      </w:r>
      <w:r w:rsidR="009D16DA" w:rsidRPr="00650ED8">
        <w:rPr>
          <w:rFonts w:ascii="Tahoma" w:hAnsi="Tahoma" w:cs="Tahoma"/>
          <w:sz w:val="24"/>
          <w:szCs w:val="24"/>
        </w:rPr>
        <w:t>și</w:t>
      </w:r>
      <w:r w:rsidRPr="00650ED8">
        <w:rPr>
          <w:rFonts w:ascii="Tahoma" w:hAnsi="Tahoma" w:cs="Tahoma"/>
          <w:sz w:val="24"/>
          <w:szCs w:val="24"/>
        </w:rPr>
        <w:t xml:space="preserve"> un grad de realizare a programului trimestrial de </w:t>
      </w:r>
      <w:r w:rsidR="00083B75" w:rsidRPr="00650ED8">
        <w:rPr>
          <w:rFonts w:ascii="Tahoma" w:hAnsi="Tahoma" w:cs="Tahoma"/>
          <w:sz w:val="24"/>
          <w:szCs w:val="24"/>
        </w:rPr>
        <w:t>99,</w:t>
      </w:r>
      <w:r w:rsidR="00536E8D" w:rsidRPr="00650ED8">
        <w:rPr>
          <w:rFonts w:ascii="Tahoma" w:hAnsi="Tahoma" w:cs="Tahoma"/>
          <w:sz w:val="24"/>
          <w:szCs w:val="24"/>
        </w:rPr>
        <w:t>9</w:t>
      </w:r>
      <w:r w:rsidRPr="00650ED8">
        <w:rPr>
          <w:rFonts w:ascii="Tahoma" w:hAnsi="Tahoma" w:cs="Tahoma"/>
          <w:sz w:val="24"/>
          <w:szCs w:val="24"/>
        </w:rPr>
        <w:t>%.</w:t>
      </w:r>
      <w:r w:rsidR="00CF2B0B" w:rsidRPr="00650ED8">
        <w:rPr>
          <w:rFonts w:ascii="Tahoma" w:hAnsi="Tahoma" w:cs="Tahoma"/>
          <w:sz w:val="24"/>
          <w:szCs w:val="24"/>
        </w:rPr>
        <w:t xml:space="preserve"> Comparativ cu perioada similară a anului anterior veniturile din economia internă au crescut</w:t>
      </w:r>
      <w:r w:rsidR="00A74835" w:rsidRPr="00650ED8">
        <w:rPr>
          <w:rFonts w:ascii="Tahoma" w:hAnsi="Tahoma" w:cs="Tahoma"/>
          <w:sz w:val="24"/>
          <w:szCs w:val="24"/>
        </w:rPr>
        <w:t>, în termeni nominali,</w:t>
      </w:r>
      <w:r w:rsidR="00CF2B0B" w:rsidRPr="00650ED8">
        <w:rPr>
          <w:rFonts w:ascii="Tahoma" w:hAnsi="Tahoma" w:cs="Tahoma"/>
          <w:sz w:val="24"/>
          <w:szCs w:val="24"/>
        </w:rPr>
        <w:t xml:space="preserve"> cu </w:t>
      </w:r>
      <w:r w:rsidR="00536E8D" w:rsidRPr="00650ED8">
        <w:rPr>
          <w:rFonts w:ascii="Tahoma" w:hAnsi="Tahoma" w:cs="Tahoma"/>
          <w:sz w:val="24"/>
          <w:szCs w:val="24"/>
        </w:rPr>
        <w:t>18,1</w:t>
      </w:r>
      <w:r w:rsidR="00CF2B0B" w:rsidRPr="00650ED8">
        <w:rPr>
          <w:rFonts w:ascii="Tahoma" w:hAnsi="Tahoma" w:cs="Tahoma"/>
          <w:sz w:val="24"/>
          <w:szCs w:val="24"/>
        </w:rPr>
        <w:t>%</w:t>
      </w:r>
      <w:r w:rsidR="008732EC" w:rsidRPr="00650ED8">
        <w:rPr>
          <w:rFonts w:ascii="Tahoma" w:hAnsi="Tahoma" w:cs="Tahoma"/>
          <w:sz w:val="24"/>
          <w:szCs w:val="24"/>
        </w:rPr>
        <w:t>,</w:t>
      </w:r>
      <w:r w:rsidR="00A74835" w:rsidRPr="00650ED8">
        <w:rPr>
          <w:rFonts w:ascii="Tahoma" w:hAnsi="Tahoma" w:cs="Tahoma"/>
          <w:sz w:val="24"/>
          <w:szCs w:val="24"/>
        </w:rPr>
        <w:t xml:space="preserve"> iar ca procent în PIB cu 0,</w:t>
      </w:r>
      <w:r w:rsidR="00083B75" w:rsidRPr="00650ED8">
        <w:rPr>
          <w:rFonts w:ascii="Tahoma" w:hAnsi="Tahoma" w:cs="Tahoma"/>
          <w:sz w:val="24"/>
          <w:szCs w:val="24"/>
        </w:rPr>
        <w:t>5</w:t>
      </w:r>
      <w:r w:rsidR="00A74835" w:rsidRPr="00650ED8">
        <w:rPr>
          <w:rFonts w:ascii="Tahoma" w:hAnsi="Tahoma" w:cs="Tahoma"/>
          <w:sz w:val="24"/>
          <w:szCs w:val="24"/>
        </w:rPr>
        <w:t xml:space="preserve"> puncte procentuale de la </w:t>
      </w:r>
      <w:r w:rsidR="00083B75" w:rsidRPr="00650ED8">
        <w:rPr>
          <w:rFonts w:ascii="Tahoma" w:hAnsi="Tahoma" w:cs="Tahoma"/>
          <w:sz w:val="24"/>
          <w:szCs w:val="24"/>
        </w:rPr>
        <w:t>7,</w:t>
      </w:r>
      <w:r w:rsidR="00536E8D" w:rsidRPr="00650ED8">
        <w:rPr>
          <w:rFonts w:ascii="Tahoma" w:hAnsi="Tahoma" w:cs="Tahoma"/>
          <w:sz w:val="24"/>
          <w:szCs w:val="24"/>
        </w:rPr>
        <w:t>1</w:t>
      </w:r>
      <w:r w:rsidR="00A74835" w:rsidRPr="00650ED8">
        <w:rPr>
          <w:rFonts w:ascii="Tahoma" w:hAnsi="Tahoma" w:cs="Tahoma"/>
          <w:sz w:val="24"/>
          <w:szCs w:val="24"/>
        </w:rPr>
        <w:t xml:space="preserve">% din PIB cât </w:t>
      </w:r>
      <w:r w:rsidR="00936276" w:rsidRPr="00650ED8">
        <w:rPr>
          <w:rFonts w:ascii="Tahoma" w:hAnsi="Tahoma" w:cs="Tahoma"/>
          <w:sz w:val="24"/>
          <w:szCs w:val="24"/>
        </w:rPr>
        <w:t>a</w:t>
      </w:r>
      <w:r w:rsidR="00A74835" w:rsidRPr="00650ED8">
        <w:rPr>
          <w:rFonts w:ascii="Tahoma" w:hAnsi="Tahoma" w:cs="Tahoma"/>
          <w:sz w:val="24"/>
          <w:szCs w:val="24"/>
        </w:rPr>
        <w:t xml:space="preserve">u fost în </w:t>
      </w:r>
      <w:r w:rsidR="00083B75" w:rsidRPr="00650ED8">
        <w:rPr>
          <w:rFonts w:ascii="Tahoma" w:hAnsi="Tahoma" w:cs="Tahoma"/>
          <w:sz w:val="24"/>
          <w:szCs w:val="24"/>
        </w:rPr>
        <w:t xml:space="preserve">al </w:t>
      </w:r>
      <w:r w:rsidR="00536E8D" w:rsidRPr="00650ED8">
        <w:rPr>
          <w:rFonts w:ascii="Tahoma" w:hAnsi="Tahoma" w:cs="Tahoma"/>
          <w:sz w:val="24"/>
          <w:szCs w:val="24"/>
        </w:rPr>
        <w:t>tre</w:t>
      </w:r>
      <w:r w:rsidR="00083B75" w:rsidRPr="00650ED8">
        <w:rPr>
          <w:rFonts w:ascii="Tahoma" w:hAnsi="Tahoma" w:cs="Tahoma"/>
          <w:sz w:val="24"/>
          <w:szCs w:val="24"/>
        </w:rPr>
        <w:t xml:space="preserve">ilea </w:t>
      </w:r>
      <w:r w:rsidR="00A74835" w:rsidRPr="00650ED8">
        <w:rPr>
          <w:rFonts w:ascii="Tahoma" w:hAnsi="Tahoma" w:cs="Tahoma"/>
          <w:sz w:val="24"/>
          <w:szCs w:val="24"/>
        </w:rPr>
        <w:t xml:space="preserve">trimestru al anului 2023 </w:t>
      </w:r>
      <w:r w:rsidR="00936276" w:rsidRPr="00650ED8">
        <w:rPr>
          <w:rFonts w:ascii="Tahoma" w:hAnsi="Tahoma" w:cs="Tahoma"/>
          <w:sz w:val="24"/>
          <w:szCs w:val="24"/>
        </w:rPr>
        <w:t xml:space="preserve">la </w:t>
      </w:r>
      <w:r w:rsidR="00083B75" w:rsidRPr="00650ED8">
        <w:rPr>
          <w:rFonts w:ascii="Tahoma" w:hAnsi="Tahoma" w:cs="Tahoma"/>
          <w:sz w:val="24"/>
          <w:szCs w:val="24"/>
        </w:rPr>
        <w:t>7,</w:t>
      </w:r>
      <w:r w:rsidR="00536E8D" w:rsidRPr="00650ED8">
        <w:rPr>
          <w:rFonts w:ascii="Tahoma" w:hAnsi="Tahoma" w:cs="Tahoma"/>
          <w:sz w:val="24"/>
          <w:szCs w:val="24"/>
        </w:rPr>
        <w:t>6</w:t>
      </w:r>
      <w:r w:rsidR="00936276" w:rsidRPr="00650ED8">
        <w:rPr>
          <w:rFonts w:ascii="Tahoma" w:hAnsi="Tahoma" w:cs="Tahoma"/>
          <w:sz w:val="24"/>
          <w:szCs w:val="24"/>
        </w:rPr>
        <w:t>% din PIB în perioada analizată.</w:t>
      </w:r>
    </w:p>
    <w:p w:rsidR="00187781" w:rsidRPr="00650ED8" w:rsidRDefault="00DF788D" w:rsidP="00187781">
      <w:pPr>
        <w:tabs>
          <w:tab w:val="left" w:pos="810"/>
          <w:tab w:val="left" w:pos="1134"/>
        </w:tabs>
        <w:spacing w:before="240"/>
        <w:jc w:val="both"/>
        <w:rPr>
          <w:rFonts w:ascii="Tahoma" w:hAnsi="Tahoma" w:cs="Tahoma"/>
          <w:sz w:val="24"/>
          <w:szCs w:val="24"/>
        </w:rPr>
      </w:pPr>
      <w:r w:rsidRPr="00650ED8">
        <w:rPr>
          <w:rFonts w:ascii="Tahoma" w:hAnsi="Tahoma" w:cs="Tahoma"/>
          <w:sz w:val="24"/>
          <w:szCs w:val="24"/>
        </w:rPr>
        <w:object w:dxaOrig="9450" w:dyaOrig="5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196.5pt" o:ole="">
            <v:imagedata r:id="rId8" o:title=""/>
          </v:shape>
          <o:OLEObject Type="Link" ProgID="Excel.Sheet.12" ShapeID="_x0000_i1025" DrawAspect="Content" r:id="rId9" UpdateMode="Always">
            <o:LinkType>EnhancedMetaFile</o:LinkType>
            <o:LockedField>false</o:LockedField>
          </o:OLEObject>
        </w:object>
      </w:r>
    </w:p>
    <w:p w:rsidR="00DD52A5" w:rsidRPr="00650ED8" w:rsidRDefault="00DD52A5" w:rsidP="00660150">
      <w:pPr>
        <w:pStyle w:val="NormalWeb"/>
        <w:shd w:val="clear" w:color="auto" w:fill="FFFFFF"/>
        <w:tabs>
          <w:tab w:val="left" w:pos="142"/>
        </w:tabs>
        <w:spacing w:before="280"/>
        <w:ind w:right="-57" w:firstLine="0"/>
        <w:rPr>
          <w:rFonts w:ascii="Tahoma" w:hAnsi="Tahoma" w:cs="Tahoma"/>
          <w:color w:val="auto"/>
          <w:lang w:val="ro-RO"/>
        </w:rPr>
      </w:pPr>
      <w:r w:rsidRPr="00650ED8">
        <w:rPr>
          <w:rFonts w:ascii="Tahoma" w:hAnsi="Tahoma" w:cs="Tahoma"/>
          <w:b/>
          <w:bCs/>
          <w:color w:val="00000A"/>
          <w:lang w:val="ro-RO"/>
        </w:rPr>
        <w:lastRenderedPageBreak/>
        <w:t>Veniturile fiscale</w:t>
      </w:r>
      <w:r w:rsidR="008C4402" w:rsidRPr="00650ED8">
        <w:rPr>
          <w:rFonts w:ascii="Tahoma" w:hAnsi="Tahoma" w:cs="Tahoma"/>
          <w:bCs/>
          <w:color w:val="00000A"/>
          <w:lang w:val="ro-RO"/>
        </w:rPr>
        <w:t>, în perioada analizată,</w:t>
      </w:r>
      <w:r w:rsidRPr="00650ED8">
        <w:rPr>
          <w:rFonts w:ascii="Tahoma" w:hAnsi="Tahoma" w:cs="Tahoma"/>
          <w:color w:val="00000A"/>
          <w:lang w:val="ro-RO"/>
        </w:rPr>
        <w:t xml:space="preserve"> au </w:t>
      </w:r>
      <w:r w:rsidR="00C06FA2" w:rsidRPr="00650ED8">
        <w:rPr>
          <w:rFonts w:ascii="Tahoma" w:hAnsi="Tahoma" w:cs="Tahoma"/>
          <w:color w:val="00000A"/>
          <w:lang w:val="ro-RO"/>
        </w:rPr>
        <w:t>însumat</w:t>
      </w:r>
      <w:r w:rsidRPr="00650ED8">
        <w:rPr>
          <w:rFonts w:ascii="Tahoma" w:hAnsi="Tahoma" w:cs="Tahoma"/>
          <w:color w:val="00000A"/>
          <w:lang w:val="ro-RO"/>
        </w:rPr>
        <w:t xml:space="preserve"> </w:t>
      </w:r>
      <w:r w:rsidR="00536E8D" w:rsidRPr="00650ED8">
        <w:rPr>
          <w:rFonts w:ascii="Tahoma" w:hAnsi="Tahoma" w:cs="Tahoma"/>
          <w:color w:val="00000A"/>
          <w:lang w:val="ro-RO"/>
        </w:rPr>
        <w:t>75,54</w:t>
      </w:r>
      <w:r w:rsidRPr="00650ED8">
        <w:rPr>
          <w:rFonts w:ascii="Tahoma" w:hAnsi="Tahoma" w:cs="Tahoma"/>
          <w:color w:val="00000A"/>
          <w:lang w:val="ro-RO"/>
        </w:rPr>
        <w:t xml:space="preserve"> </w:t>
      </w:r>
      <w:r w:rsidR="00602503" w:rsidRPr="00650ED8">
        <w:rPr>
          <w:rFonts w:ascii="Tahoma" w:hAnsi="Tahoma" w:cs="Tahoma"/>
          <w:color w:val="00000A"/>
          <w:lang w:val="ro-RO"/>
        </w:rPr>
        <w:t>miliarde</w:t>
      </w:r>
      <w:r w:rsidR="00713D80" w:rsidRPr="00650ED8">
        <w:rPr>
          <w:rFonts w:ascii="Tahoma" w:hAnsi="Tahoma" w:cs="Tahoma"/>
          <w:color w:val="00000A"/>
          <w:lang w:val="ro-RO"/>
        </w:rPr>
        <w:t xml:space="preserve"> </w:t>
      </w:r>
      <w:r w:rsidRPr="00650ED8">
        <w:rPr>
          <w:rFonts w:ascii="Tahoma" w:hAnsi="Tahoma" w:cs="Tahoma"/>
          <w:color w:val="00000A"/>
          <w:lang w:val="ro-RO"/>
        </w:rPr>
        <w:t xml:space="preserve">lei și s-au realizat în proporție de </w:t>
      </w:r>
      <w:r w:rsidR="00536E8D" w:rsidRPr="00650ED8">
        <w:rPr>
          <w:rFonts w:ascii="Tahoma" w:hAnsi="Tahoma" w:cs="Tahoma"/>
          <w:color w:val="00000A"/>
          <w:lang w:val="ro-RO"/>
        </w:rPr>
        <w:t>100,1</w:t>
      </w:r>
      <w:r w:rsidR="0034724E" w:rsidRPr="00650ED8">
        <w:rPr>
          <w:rFonts w:ascii="Tahoma" w:hAnsi="Tahoma" w:cs="Tahoma"/>
          <w:color w:val="00000A"/>
          <w:lang w:val="ro-RO"/>
        </w:rPr>
        <w:t xml:space="preserve">%. </w:t>
      </w:r>
      <w:r w:rsidR="0034724E" w:rsidRPr="00650ED8">
        <w:rPr>
          <w:rFonts w:ascii="Tahoma" w:hAnsi="Tahoma" w:cs="Tahoma"/>
          <w:color w:val="auto"/>
          <w:lang w:val="ro-RO"/>
        </w:rPr>
        <w:t xml:space="preserve">Acestea au reprezentat </w:t>
      </w:r>
      <w:r w:rsidR="003C7FE7" w:rsidRPr="00650ED8">
        <w:rPr>
          <w:rFonts w:ascii="Tahoma" w:hAnsi="Tahoma" w:cs="Tahoma"/>
          <w:color w:val="auto"/>
          <w:lang w:val="ro-RO"/>
        </w:rPr>
        <w:t>4,</w:t>
      </w:r>
      <w:r w:rsidR="00536E8D" w:rsidRPr="00650ED8">
        <w:rPr>
          <w:rFonts w:ascii="Tahoma" w:hAnsi="Tahoma" w:cs="Tahoma"/>
          <w:color w:val="auto"/>
          <w:lang w:val="ro-RO"/>
        </w:rPr>
        <w:t>3</w:t>
      </w:r>
      <w:r w:rsidRPr="00650ED8">
        <w:rPr>
          <w:rFonts w:ascii="Tahoma" w:hAnsi="Tahoma" w:cs="Tahoma"/>
          <w:color w:val="auto"/>
          <w:lang w:val="ro-RO"/>
        </w:rPr>
        <w:t xml:space="preserve">% din PIB, fiind cu </w:t>
      </w:r>
      <w:r w:rsidR="00536E8D" w:rsidRPr="00650ED8">
        <w:rPr>
          <w:rFonts w:ascii="Tahoma" w:hAnsi="Tahoma" w:cs="Tahoma"/>
          <w:color w:val="auto"/>
          <w:lang w:val="ro-RO"/>
        </w:rPr>
        <w:t>18,0</w:t>
      </w:r>
      <w:r w:rsidRPr="00650ED8">
        <w:rPr>
          <w:rFonts w:ascii="Tahoma" w:hAnsi="Tahoma" w:cs="Tahoma"/>
          <w:color w:val="auto"/>
          <w:lang w:val="ro-RO"/>
        </w:rPr>
        <w:t xml:space="preserve">% mai </w:t>
      </w:r>
      <w:r w:rsidR="0034724E" w:rsidRPr="00650ED8">
        <w:rPr>
          <w:rFonts w:ascii="Tahoma" w:hAnsi="Tahoma" w:cs="Tahoma"/>
          <w:color w:val="auto"/>
          <w:lang w:val="ro-RO"/>
        </w:rPr>
        <w:t>mari</w:t>
      </w:r>
      <w:r w:rsidRPr="00650ED8">
        <w:rPr>
          <w:rFonts w:ascii="Tahoma" w:hAnsi="Tahoma" w:cs="Tahoma"/>
          <w:color w:val="auto"/>
          <w:lang w:val="ro-RO"/>
        </w:rPr>
        <w:t xml:space="preserve"> comparativ cu încasările trimestru</w:t>
      </w:r>
      <w:r w:rsidR="003C7FE7" w:rsidRPr="00650ED8">
        <w:rPr>
          <w:rFonts w:ascii="Tahoma" w:hAnsi="Tahoma" w:cs="Tahoma"/>
          <w:color w:val="auto"/>
          <w:lang w:val="ro-RO"/>
        </w:rPr>
        <w:t>lui II</w:t>
      </w:r>
      <w:r w:rsidR="00536E8D" w:rsidRPr="00650ED8">
        <w:rPr>
          <w:rFonts w:ascii="Tahoma" w:hAnsi="Tahoma" w:cs="Tahoma"/>
          <w:color w:val="auto"/>
          <w:lang w:val="ro-RO"/>
        </w:rPr>
        <w:t>I</w:t>
      </w:r>
      <w:r w:rsidRPr="00650ED8">
        <w:rPr>
          <w:rFonts w:ascii="Tahoma" w:hAnsi="Tahoma" w:cs="Tahoma"/>
          <w:color w:val="auto"/>
          <w:lang w:val="ro-RO"/>
        </w:rPr>
        <w:t xml:space="preserve"> 20</w:t>
      </w:r>
      <w:r w:rsidR="0034724E" w:rsidRPr="00650ED8">
        <w:rPr>
          <w:rFonts w:ascii="Tahoma" w:hAnsi="Tahoma" w:cs="Tahoma"/>
          <w:color w:val="auto"/>
          <w:lang w:val="ro-RO"/>
        </w:rPr>
        <w:t>2</w:t>
      </w:r>
      <w:r w:rsidR="00B13844" w:rsidRPr="00650ED8">
        <w:rPr>
          <w:rFonts w:ascii="Tahoma" w:hAnsi="Tahoma" w:cs="Tahoma"/>
          <w:color w:val="auto"/>
          <w:lang w:val="ro-RO"/>
        </w:rPr>
        <w:t>3</w:t>
      </w:r>
      <w:r w:rsidRPr="00650ED8">
        <w:rPr>
          <w:rFonts w:ascii="Tahoma" w:hAnsi="Tahoma" w:cs="Tahoma"/>
          <w:color w:val="auto"/>
          <w:lang w:val="ro-RO"/>
        </w:rPr>
        <w:t>.</w:t>
      </w:r>
    </w:p>
    <w:p w:rsidR="00B87D40" w:rsidRPr="00650ED8" w:rsidRDefault="00B87D40" w:rsidP="00660150">
      <w:pPr>
        <w:pStyle w:val="NormalWeb"/>
        <w:shd w:val="clear" w:color="auto" w:fill="FFFFFF"/>
        <w:tabs>
          <w:tab w:val="left" w:pos="142"/>
        </w:tabs>
        <w:spacing w:before="280"/>
        <w:ind w:right="-57" w:firstLine="0"/>
        <w:rPr>
          <w:rFonts w:ascii="Tahoma" w:hAnsi="Tahoma" w:cs="Tahoma"/>
          <w:color w:val="auto"/>
          <w:lang w:val="ro-RO"/>
        </w:rPr>
      </w:pPr>
      <w:r w:rsidRPr="00650ED8">
        <w:rPr>
          <w:rFonts w:ascii="Tahoma" w:hAnsi="Tahoma" w:cs="Tahoma"/>
          <w:color w:val="auto"/>
          <w:lang w:val="ro-RO"/>
        </w:rPr>
        <w:object w:dxaOrig="9361" w:dyaOrig="5355">
          <v:shape id="_x0000_i1026" type="#_x0000_t75" style="width:499.5pt;height:267.75pt" o:ole="">
            <v:imagedata r:id="rId10" o:title=""/>
          </v:shape>
          <o:OLEObject Type="Link" ProgID="Excel.Sheet.12" ShapeID="_x0000_i1026" DrawAspect="Content" r:id="rId11" UpdateMode="Always">
            <o:LinkType>EnhancedMetaFile</o:LinkType>
            <o:LockedField>false</o:LockedField>
          </o:OLEObject>
        </w:object>
      </w:r>
    </w:p>
    <w:p w:rsidR="00AC08DB" w:rsidRPr="00650ED8" w:rsidRDefault="00AC08DB" w:rsidP="00722B03">
      <w:pPr>
        <w:pStyle w:val="NormalWeb"/>
        <w:shd w:val="clear" w:color="auto" w:fill="FFFFFF"/>
        <w:tabs>
          <w:tab w:val="left" w:pos="142"/>
        </w:tabs>
        <w:spacing w:before="280"/>
        <w:ind w:right="40" w:firstLine="0"/>
        <w:rPr>
          <w:rFonts w:ascii="Tahoma" w:hAnsi="Tahoma" w:cs="Tahoma"/>
          <w:color w:val="auto"/>
          <w:lang w:val="ro-RO"/>
        </w:rPr>
      </w:pPr>
    </w:p>
    <w:p w:rsidR="00DD52A5" w:rsidRPr="00650ED8" w:rsidRDefault="00222906" w:rsidP="00AD5997">
      <w:pPr>
        <w:pStyle w:val="NormalWeb"/>
        <w:shd w:val="clear" w:color="auto" w:fill="FFFFFF"/>
        <w:spacing w:before="120" w:after="120"/>
        <w:ind w:firstLine="0"/>
        <w:rPr>
          <w:rFonts w:ascii="Tahoma" w:hAnsi="Tahoma" w:cs="Tahoma"/>
          <w:color w:val="00000A"/>
          <w:lang w:val="ro-RO"/>
        </w:rPr>
      </w:pPr>
      <w:r w:rsidRPr="00650ED8">
        <w:rPr>
          <w:rFonts w:ascii="Tahoma" w:hAnsi="Tahoma" w:cs="Tahoma"/>
          <w:lang w:val="ro-RO"/>
        </w:rPr>
        <w:t>În</w:t>
      </w:r>
      <w:r w:rsidR="0079445D" w:rsidRPr="00650ED8">
        <w:rPr>
          <w:rFonts w:ascii="Tahoma" w:hAnsi="Tahoma" w:cs="Tahoma"/>
          <w:lang w:val="ro-RO"/>
        </w:rPr>
        <w:t xml:space="preserve"> </w:t>
      </w:r>
      <w:r w:rsidR="00D3098C" w:rsidRPr="00650ED8">
        <w:rPr>
          <w:rFonts w:ascii="Tahoma" w:hAnsi="Tahoma" w:cs="Tahoma"/>
          <w:lang w:val="ro-RO"/>
        </w:rPr>
        <w:t xml:space="preserve">al </w:t>
      </w:r>
      <w:r w:rsidR="00B87D40" w:rsidRPr="00650ED8">
        <w:rPr>
          <w:rFonts w:ascii="Tahoma" w:hAnsi="Tahoma" w:cs="Tahoma"/>
          <w:lang w:val="ro-RO"/>
        </w:rPr>
        <w:t>tre</w:t>
      </w:r>
      <w:r w:rsidR="00D3098C" w:rsidRPr="00650ED8">
        <w:rPr>
          <w:rFonts w:ascii="Tahoma" w:hAnsi="Tahoma" w:cs="Tahoma"/>
          <w:lang w:val="ro-RO"/>
        </w:rPr>
        <w:t xml:space="preserve">ilea </w:t>
      </w:r>
      <w:r w:rsidR="0079445D" w:rsidRPr="00650ED8">
        <w:rPr>
          <w:rFonts w:ascii="Tahoma" w:hAnsi="Tahoma" w:cs="Tahoma"/>
          <w:lang w:val="ro-RO"/>
        </w:rPr>
        <w:t>trimestru</w:t>
      </w:r>
      <w:r w:rsidR="008849D9" w:rsidRPr="00650ED8">
        <w:rPr>
          <w:rFonts w:ascii="Tahoma" w:hAnsi="Tahoma" w:cs="Tahoma"/>
          <w:lang w:val="ro-RO"/>
        </w:rPr>
        <w:t xml:space="preserve"> al anului 202</w:t>
      </w:r>
      <w:r w:rsidR="00732434" w:rsidRPr="00650ED8">
        <w:rPr>
          <w:rFonts w:ascii="Tahoma" w:hAnsi="Tahoma" w:cs="Tahoma"/>
          <w:lang w:val="ro-RO"/>
        </w:rPr>
        <w:t>4</w:t>
      </w:r>
      <w:r w:rsidR="0079445D" w:rsidRPr="00650ED8">
        <w:rPr>
          <w:rFonts w:ascii="Tahoma" w:hAnsi="Tahoma" w:cs="Tahoma"/>
          <w:lang w:val="ro-RO"/>
        </w:rPr>
        <w:t>, î</w:t>
      </w:r>
      <w:r w:rsidR="00DD52A5" w:rsidRPr="00650ED8">
        <w:rPr>
          <w:rFonts w:ascii="Tahoma" w:hAnsi="Tahoma" w:cs="Tahoma"/>
          <w:lang w:val="ro-RO"/>
        </w:rPr>
        <w:t>ncasările pe principalele categorii de impozite</w:t>
      </w:r>
      <w:r w:rsidR="0079445D" w:rsidRPr="00650ED8">
        <w:rPr>
          <w:rFonts w:ascii="Tahoma" w:hAnsi="Tahoma" w:cs="Tahoma"/>
          <w:lang w:val="ro-RO"/>
        </w:rPr>
        <w:t xml:space="preserve"> </w:t>
      </w:r>
      <w:r w:rsidR="00DD52A5" w:rsidRPr="00650ED8">
        <w:rPr>
          <w:rFonts w:ascii="Tahoma" w:hAnsi="Tahoma" w:cs="Tahoma"/>
          <w:lang w:val="ro-RO"/>
        </w:rPr>
        <w:t>au înregistrat următoarea evoluție:</w:t>
      </w:r>
    </w:p>
    <w:p w:rsidR="00E9065F" w:rsidRPr="00650ED8" w:rsidRDefault="00363C11" w:rsidP="00E9065F">
      <w:pPr>
        <w:tabs>
          <w:tab w:val="left" w:pos="284"/>
        </w:tabs>
        <w:autoSpaceDE w:val="0"/>
        <w:autoSpaceDN w:val="0"/>
        <w:adjustRightInd w:val="0"/>
        <w:spacing w:after="120" w:line="276" w:lineRule="auto"/>
        <w:jc w:val="both"/>
        <w:rPr>
          <w:rFonts w:ascii="Tahoma" w:hAnsi="Tahoma" w:cs="Tahoma"/>
          <w:bCs/>
          <w:noProof/>
          <w:sz w:val="24"/>
          <w:szCs w:val="24"/>
          <w:lang w:eastAsia="ro-RO"/>
        </w:rPr>
      </w:pPr>
      <w:r w:rsidRPr="00650ED8">
        <w:rPr>
          <w:rFonts w:ascii="Tahoma" w:hAnsi="Tahoma" w:cs="Tahoma"/>
          <w:bCs/>
          <w:sz w:val="24"/>
          <w:szCs w:val="24"/>
        </w:rPr>
        <w:t xml:space="preserve">Încasările din </w:t>
      </w:r>
      <w:r w:rsidRPr="00650ED8">
        <w:rPr>
          <w:rFonts w:ascii="Tahoma" w:hAnsi="Tahoma" w:cs="Tahoma"/>
          <w:b/>
          <w:bCs/>
          <w:sz w:val="24"/>
          <w:szCs w:val="24"/>
        </w:rPr>
        <w:t>impozitul pe profit</w:t>
      </w:r>
      <w:r w:rsidRPr="00650ED8">
        <w:rPr>
          <w:rFonts w:ascii="Tahoma" w:hAnsi="Tahoma" w:cs="Tahoma"/>
          <w:bCs/>
          <w:sz w:val="24"/>
          <w:szCs w:val="24"/>
        </w:rPr>
        <w:t xml:space="preserve"> au totalizat </w:t>
      </w:r>
      <w:r w:rsidR="00B87D40" w:rsidRPr="00650ED8">
        <w:rPr>
          <w:rFonts w:ascii="Tahoma" w:hAnsi="Tahoma" w:cs="Tahoma"/>
          <w:bCs/>
          <w:sz w:val="24"/>
          <w:szCs w:val="24"/>
        </w:rPr>
        <w:t>9,04</w:t>
      </w:r>
      <w:r w:rsidRPr="00650ED8">
        <w:rPr>
          <w:rFonts w:ascii="Tahoma" w:hAnsi="Tahoma" w:cs="Tahoma"/>
          <w:bCs/>
          <w:sz w:val="24"/>
          <w:szCs w:val="24"/>
        </w:rPr>
        <w:t xml:space="preserve"> miliard</w:t>
      </w:r>
      <w:r w:rsidR="008E08AA" w:rsidRPr="00650ED8">
        <w:rPr>
          <w:rFonts w:ascii="Tahoma" w:hAnsi="Tahoma" w:cs="Tahoma"/>
          <w:bCs/>
          <w:sz w:val="24"/>
          <w:szCs w:val="24"/>
        </w:rPr>
        <w:t>e</w:t>
      </w:r>
      <w:r w:rsidRPr="00650ED8">
        <w:rPr>
          <w:rFonts w:ascii="Tahoma" w:hAnsi="Tahoma" w:cs="Tahoma"/>
          <w:bCs/>
          <w:sz w:val="24"/>
          <w:szCs w:val="24"/>
        </w:rPr>
        <w:t xml:space="preserve"> lei, </w:t>
      </w:r>
      <w:r w:rsidR="00722B03" w:rsidRPr="00650ED8">
        <w:rPr>
          <w:rFonts w:ascii="Tahoma" w:hAnsi="Tahoma" w:cs="Tahoma"/>
          <w:bCs/>
          <w:noProof/>
          <w:sz w:val="24"/>
          <w:szCs w:val="24"/>
          <w:lang w:eastAsia="ro-RO"/>
        </w:rPr>
        <w:t xml:space="preserve">înregistrează o evoluție pozitivă față de perioada similară a anului 2023 de </w:t>
      </w:r>
      <w:r w:rsidR="00B87D40" w:rsidRPr="00650ED8">
        <w:rPr>
          <w:rFonts w:ascii="Tahoma" w:hAnsi="Tahoma" w:cs="Tahoma"/>
          <w:bCs/>
          <w:noProof/>
          <w:sz w:val="24"/>
          <w:szCs w:val="24"/>
          <w:lang w:eastAsia="ro-RO"/>
        </w:rPr>
        <w:t>17,9</w:t>
      </w:r>
      <w:r w:rsidR="00722B03" w:rsidRPr="00650ED8">
        <w:rPr>
          <w:rFonts w:ascii="Tahoma" w:hAnsi="Tahoma" w:cs="Tahoma"/>
          <w:bCs/>
          <w:noProof/>
          <w:sz w:val="24"/>
          <w:szCs w:val="24"/>
          <w:lang w:eastAsia="ro-RO"/>
        </w:rPr>
        <w:t>% (+</w:t>
      </w:r>
      <w:r w:rsidR="008844FF" w:rsidRPr="00650ED8">
        <w:rPr>
          <w:rFonts w:ascii="Tahoma" w:hAnsi="Tahoma" w:cs="Tahoma"/>
          <w:bCs/>
          <w:noProof/>
          <w:sz w:val="24"/>
          <w:szCs w:val="24"/>
          <w:lang w:eastAsia="ro-RO"/>
        </w:rPr>
        <w:t>1,</w:t>
      </w:r>
      <w:r w:rsidR="00B87D40" w:rsidRPr="00650ED8">
        <w:rPr>
          <w:rFonts w:ascii="Tahoma" w:hAnsi="Tahoma" w:cs="Tahoma"/>
          <w:bCs/>
          <w:noProof/>
          <w:sz w:val="24"/>
          <w:szCs w:val="24"/>
          <w:lang w:eastAsia="ro-RO"/>
        </w:rPr>
        <w:t>37</w:t>
      </w:r>
      <w:r w:rsidR="00722B03" w:rsidRPr="00650ED8">
        <w:rPr>
          <w:rFonts w:ascii="Tahoma" w:hAnsi="Tahoma" w:cs="Tahoma"/>
          <w:bCs/>
          <w:noProof/>
          <w:sz w:val="24"/>
          <w:szCs w:val="24"/>
          <w:lang w:eastAsia="ro-RO"/>
        </w:rPr>
        <w:t xml:space="preserve"> miliarde lei), </w:t>
      </w:r>
      <w:r w:rsidR="00E9065F" w:rsidRPr="00650ED8">
        <w:rPr>
          <w:rFonts w:ascii="Tahoma" w:hAnsi="Tahoma" w:cs="Tahoma"/>
          <w:bCs/>
          <w:noProof/>
          <w:sz w:val="24"/>
          <w:szCs w:val="24"/>
          <w:lang w:eastAsia="ro-RO"/>
        </w:rPr>
        <w:t>susținută de avansul încasărilor din impozitul pe profit de la agenți economici atenuată însă de redirecționarea din impozitul pe profit a sumei de -0,6 miliarde lei pentru efectuarea de sponsorizări și/sau acte de mecenat (Legea nr. 322/2021</w:t>
      </w:r>
      <w:r w:rsidR="00E9065F" w:rsidRPr="00650ED8">
        <w:rPr>
          <w:rFonts w:ascii="Tahoma" w:hAnsi="Tahoma" w:cs="Tahoma"/>
          <w:bCs/>
          <w:noProof/>
          <w:sz w:val="24"/>
          <w:szCs w:val="24"/>
          <w:vertAlign w:val="superscript"/>
          <w:lang w:eastAsia="ro-RO"/>
        </w:rPr>
        <w:footnoteReference w:id="1"/>
      </w:r>
      <w:r w:rsidR="00E9065F" w:rsidRPr="00650ED8">
        <w:rPr>
          <w:rFonts w:ascii="Tahoma" w:hAnsi="Tahoma" w:cs="Tahoma"/>
          <w:bCs/>
          <w:noProof/>
          <w:sz w:val="24"/>
          <w:szCs w:val="24"/>
          <w:lang w:eastAsia="ro-RO"/>
        </w:rPr>
        <w:t>). Încasările din impozitul pe profit au atins nivelul programat pentru perioada analizată.</w:t>
      </w:r>
    </w:p>
    <w:p w:rsidR="00E84D15" w:rsidRPr="00650ED8" w:rsidRDefault="00DE15CB" w:rsidP="00E9065F">
      <w:pPr>
        <w:tabs>
          <w:tab w:val="left" w:pos="284"/>
        </w:tabs>
        <w:autoSpaceDE w:val="0"/>
        <w:autoSpaceDN w:val="0"/>
        <w:adjustRightInd w:val="0"/>
        <w:spacing w:after="120" w:line="276" w:lineRule="auto"/>
        <w:jc w:val="both"/>
        <w:rPr>
          <w:rFonts w:ascii="Tahoma" w:hAnsi="Tahoma" w:cs="Tahoma"/>
          <w:bCs/>
          <w:noProof/>
          <w:sz w:val="24"/>
          <w:szCs w:val="24"/>
          <w:lang w:eastAsia="ro-RO"/>
        </w:rPr>
      </w:pPr>
      <w:r w:rsidRPr="00650ED8">
        <w:rPr>
          <w:rFonts w:ascii="Tahoma" w:hAnsi="Tahoma" w:cs="Tahoma"/>
          <w:noProof/>
          <w:sz w:val="24"/>
          <w:szCs w:val="24"/>
          <w:lang w:eastAsia="ro-RO"/>
        </w:rPr>
        <w:t xml:space="preserve">Încasările din </w:t>
      </w:r>
      <w:r w:rsidRPr="00650ED8">
        <w:rPr>
          <w:rFonts w:ascii="Tahoma" w:hAnsi="Tahoma" w:cs="Tahoma"/>
          <w:b/>
          <w:noProof/>
          <w:sz w:val="24"/>
          <w:szCs w:val="24"/>
          <w:lang w:eastAsia="ro-RO"/>
        </w:rPr>
        <w:t>impozitul pe venit</w:t>
      </w:r>
      <w:r w:rsidRPr="00650ED8">
        <w:rPr>
          <w:rFonts w:ascii="Tahoma" w:hAnsi="Tahoma" w:cs="Tahoma"/>
          <w:noProof/>
          <w:sz w:val="24"/>
          <w:szCs w:val="24"/>
          <w:lang w:eastAsia="ro-RO"/>
        </w:rPr>
        <w:t xml:space="preserve"> </w:t>
      </w:r>
      <w:r w:rsidR="005F1823" w:rsidRPr="00650ED8">
        <w:rPr>
          <w:rFonts w:ascii="Tahoma" w:hAnsi="Tahoma" w:cs="Tahoma"/>
          <w:noProof/>
          <w:sz w:val="24"/>
          <w:szCs w:val="24"/>
          <w:lang w:eastAsia="ro-RO"/>
        </w:rPr>
        <w:t xml:space="preserve">au totalizat </w:t>
      </w:r>
      <w:r w:rsidR="00E9065F" w:rsidRPr="00650ED8">
        <w:rPr>
          <w:rFonts w:ascii="Tahoma" w:hAnsi="Tahoma" w:cs="Tahoma"/>
          <w:noProof/>
          <w:sz w:val="24"/>
          <w:szCs w:val="24"/>
          <w:lang w:eastAsia="ro-RO"/>
        </w:rPr>
        <w:t>11,58</w:t>
      </w:r>
      <w:r w:rsidR="005F1823" w:rsidRPr="00650ED8">
        <w:rPr>
          <w:rFonts w:ascii="Tahoma" w:hAnsi="Tahoma" w:cs="Tahoma"/>
          <w:noProof/>
          <w:sz w:val="24"/>
          <w:szCs w:val="24"/>
          <w:lang w:eastAsia="ro-RO"/>
        </w:rPr>
        <w:t xml:space="preserve"> miliarde lei, </w:t>
      </w:r>
      <w:r w:rsidR="00E84D15" w:rsidRPr="00650ED8">
        <w:rPr>
          <w:rFonts w:ascii="Tahoma" w:hAnsi="Tahoma" w:cs="Tahoma"/>
          <w:bCs/>
          <w:noProof/>
          <w:sz w:val="24"/>
          <w:szCs w:val="24"/>
          <w:lang w:eastAsia="ro-RO"/>
        </w:rPr>
        <w:t xml:space="preserve">în creștere cu </w:t>
      </w:r>
      <w:r w:rsidR="005B6514" w:rsidRPr="00650ED8">
        <w:rPr>
          <w:rFonts w:ascii="Tahoma" w:hAnsi="Tahoma" w:cs="Tahoma"/>
          <w:bCs/>
          <w:noProof/>
          <w:sz w:val="24"/>
          <w:szCs w:val="24"/>
          <w:lang w:eastAsia="ro-RO"/>
        </w:rPr>
        <w:t>25,6</w:t>
      </w:r>
      <w:r w:rsidR="00E84D15" w:rsidRPr="00650ED8">
        <w:rPr>
          <w:rFonts w:ascii="Tahoma" w:hAnsi="Tahoma" w:cs="Tahoma"/>
          <w:bCs/>
          <w:noProof/>
          <w:sz w:val="24"/>
          <w:szCs w:val="24"/>
          <w:lang w:eastAsia="ro-RO"/>
        </w:rPr>
        <w:t>% (+</w:t>
      </w:r>
      <w:r w:rsidR="005B6514" w:rsidRPr="00650ED8">
        <w:rPr>
          <w:rFonts w:ascii="Tahoma" w:hAnsi="Tahoma" w:cs="Tahoma"/>
          <w:bCs/>
          <w:noProof/>
          <w:sz w:val="24"/>
          <w:szCs w:val="24"/>
          <w:lang w:eastAsia="ro-RO"/>
        </w:rPr>
        <w:t>2,</w:t>
      </w:r>
      <w:r w:rsidR="00E9065F" w:rsidRPr="00650ED8">
        <w:rPr>
          <w:rFonts w:ascii="Tahoma" w:hAnsi="Tahoma" w:cs="Tahoma"/>
          <w:bCs/>
          <w:noProof/>
          <w:sz w:val="24"/>
          <w:szCs w:val="24"/>
          <w:lang w:eastAsia="ro-RO"/>
        </w:rPr>
        <w:t>36</w:t>
      </w:r>
      <w:r w:rsidR="00E84D15" w:rsidRPr="00650ED8">
        <w:rPr>
          <w:rFonts w:ascii="Tahoma" w:hAnsi="Tahoma" w:cs="Tahoma"/>
          <w:bCs/>
          <w:noProof/>
          <w:sz w:val="24"/>
          <w:szCs w:val="24"/>
          <w:lang w:eastAsia="ro-RO"/>
        </w:rPr>
        <w:t xml:space="preserve"> miliarde lei) comparativ cu aceeași perioadă a anului precedent, cu un gradul de realizare de </w:t>
      </w:r>
      <w:r w:rsidR="00E9065F" w:rsidRPr="00650ED8">
        <w:rPr>
          <w:rFonts w:ascii="Tahoma" w:hAnsi="Tahoma" w:cs="Tahoma"/>
          <w:bCs/>
          <w:noProof/>
          <w:sz w:val="24"/>
          <w:szCs w:val="24"/>
          <w:lang w:eastAsia="ro-RO"/>
        </w:rPr>
        <w:t>100,0</w:t>
      </w:r>
      <w:r w:rsidR="00E84D15" w:rsidRPr="00650ED8">
        <w:rPr>
          <w:rFonts w:ascii="Tahoma" w:hAnsi="Tahoma" w:cs="Tahoma"/>
          <w:bCs/>
          <w:noProof/>
          <w:sz w:val="24"/>
          <w:szCs w:val="24"/>
          <w:lang w:eastAsia="ro-RO"/>
        </w:rPr>
        <w:t>% față de programul stabilit.</w:t>
      </w:r>
    </w:p>
    <w:p w:rsidR="00E9065F" w:rsidRPr="00650ED8" w:rsidRDefault="00E9065F" w:rsidP="00E9065F">
      <w:pPr>
        <w:tabs>
          <w:tab w:val="left" w:pos="284"/>
        </w:tabs>
        <w:suppressAutoHyphens/>
        <w:autoSpaceDE w:val="0"/>
        <w:autoSpaceDN w:val="0"/>
        <w:adjustRightInd w:val="0"/>
        <w:spacing w:after="120" w:line="276" w:lineRule="auto"/>
        <w:jc w:val="both"/>
        <w:rPr>
          <w:rFonts w:ascii="Tahoma" w:hAnsi="Tahoma" w:cs="Tahoma"/>
          <w:bCs/>
          <w:noProof/>
          <w:sz w:val="24"/>
          <w:szCs w:val="24"/>
          <w:lang w:eastAsia="ro-RO"/>
        </w:rPr>
      </w:pPr>
      <w:r w:rsidRPr="00650ED8">
        <w:rPr>
          <w:rFonts w:ascii="Tahoma" w:hAnsi="Tahoma" w:cs="Tahoma"/>
          <w:bCs/>
          <w:noProof/>
          <w:sz w:val="24"/>
          <w:szCs w:val="24"/>
          <w:lang w:eastAsia="ro-RO"/>
        </w:rPr>
        <w:lastRenderedPageBreak/>
        <w:t>În structură, încasările din impozitul pe venitul din salarii care dețin o pondere de aproximativ 66,9% din această categorie înregistrează față de aceeași perioadă a anului 2023 o dinamică de 20,9%, peste evoluția fondului brut de salarii de 16,8%</w:t>
      </w:r>
      <w:r w:rsidRPr="00650ED8">
        <w:rPr>
          <w:rFonts w:ascii="Tahoma" w:hAnsi="Tahoma" w:cs="Tahoma"/>
          <w:bCs/>
          <w:noProof/>
          <w:sz w:val="24"/>
          <w:szCs w:val="24"/>
          <w:vertAlign w:val="superscript"/>
          <w:lang w:eastAsia="ro-RO"/>
        </w:rPr>
        <w:footnoteReference w:id="2"/>
      </w:r>
      <w:r w:rsidRPr="00650ED8">
        <w:rPr>
          <w:rFonts w:ascii="Tahoma" w:hAnsi="Tahoma" w:cs="Tahoma"/>
          <w:bCs/>
          <w:noProof/>
          <w:sz w:val="24"/>
          <w:szCs w:val="24"/>
          <w:lang w:eastAsia="ro-RO"/>
        </w:rPr>
        <w:t>.</w:t>
      </w:r>
    </w:p>
    <w:p w:rsidR="00E9065F" w:rsidRPr="00650ED8" w:rsidRDefault="00E9065F" w:rsidP="00E9065F">
      <w:pPr>
        <w:spacing w:after="120" w:line="276" w:lineRule="auto"/>
        <w:jc w:val="both"/>
        <w:rPr>
          <w:rFonts w:ascii="Tahoma" w:hAnsi="Tahoma" w:cs="Tahoma"/>
          <w:bCs/>
          <w:noProof/>
          <w:sz w:val="24"/>
          <w:szCs w:val="24"/>
          <w:lang w:eastAsia="ro-RO"/>
        </w:rPr>
      </w:pPr>
      <w:r w:rsidRPr="00650ED8">
        <w:rPr>
          <w:rFonts w:ascii="Tahoma" w:hAnsi="Tahoma" w:cs="Tahoma"/>
          <w:bCs/>
          <w:noProof/>
          <w:sz w:val="24"/>
          <w:szCs w:val="24"/>
          <w:lang w:eastAsia="ro-RO"/>
        </w:rPr>
        <w:t>Dinamica pozitivă a încasărilor din impozitul pe venitul din salarii a fost influențată de modificarea reglementărilor privind facilitățile fiscale acordate salariaților din sectorul construcții, agricol, industria alimentară și a activităților de creare de programe pentru calculator (O.U.G. nr. 93/2023</w:t>
      </w:r>
      <w:r w:rsidRPr="00650ED8">
        <w:rPr>
          <w:rFonts w:ascii="Tahoma" w:hAnsi="Tahoma" w:cs="Tahoma"/>
          <w:bCs/>
          <w:noProof/>
          <w:sz w:val="24"/>
          <w:szCs w:val="24"/>
          <w:vertAlign w:val="superscript"/>
          <w:lang w:eastAsia="ro-RO"/>
        </w:rPr>
        <w:footnoteReference w:id="3"/>
      </w:r>
      <w:r w:rsidRPr="00650ED8">
        <w:rPr>
          <w:rFonts w:ascii="Tahoma" w:hAnsi="Tahoma" w:cs="Tahoma"/>
          <w:bCs/>
          <w:noProof/>
          <w:sz w:val="24"/>
          <w:szCs w:val="24"/>
          <w:lang w:eastAsia="ro-RO"/>
        </w:rPr>
        <w:t xml:space="preserve">  și Legea nr. 296/2023</w:t>
      </w:r>
      <w:r w:rsidRPr="00650ED8">
        <w:rPr>
          <w:rFonts w:ascii="Tahoma" w:hAnsi="Tahoma" w:cs="Tahoma"/>
          <w:bCs/>
          <w:noProof/>
          <w:sz w:val="24"/>
          <w:szCs w:val="24"/>
          <w:vertAlign w:val="superscript"/>
          <w:lang w:eastAsia="ro-RO"/>
        </w:rPr>
        <w:footnoteReference w:id="4"/>
      </w:r>
      <w:r w:rsidRPr="00650ED8">
        <w:rPr>
          <w:rFonts w:ascii="Tahoma" w:hAnsi="Tahoma" w:cs="Tahoma"/>
          <w:bCs/>
          <w:noProof/>
          <w:sz w:val="24"/>
          <w:szCs w:val="24"/>
          <w:lang w:eastAsia="ro-RO"/>
        </w:rPr>
        <w:t xml:space="preserve"> ) precum și de majoarea salariului minim brut pe țară garantat în plată (H.G 900/2023</w:t>
      </w:r>
      <w:r w:rsidRPr="00650ED8">
        <w:rPr>
          <w:rFonts w:ascii="Tahoma" w:hAnsi="Tahoma" w:cs="Tahoma"/>
          <w:bCs/>
          <w:noProof/>
          <w:sz w:val="24"/>
          <w:szCs w:val="24"/>
          <w:vertAlign w:val="superscript"/>
          <w:lang w:eastAsia="ro-RO"/>
        </w:rPr>
        <w:footnoteReference w:id="5"/>
      </w:r>
      <w:r w:rsidRPr="00650ED8">
        <w:rPr>
          <w:rFonts w:ascii="Tahoma" w:hAnsi="Tahoma" w:cs="Tahoma"/>
          <w:bCs/>
          <w:noProof/>
          <w:sz w:val="24"/>
          <w:szCs w:val="24"/>
          <w:lang w:eastAsia="ro-RO"/>
        </w:rPr>
        <w:t xml:space="preserve"> și H.G. nr. 598/2024</w:t>
      </w:r>
      <w:r w:rsidRPr="00650ED8">
        <w:rPr>
          <w:rFonts w:ascii="Tahoma" w:hAnsi="Tahoma" w:cs="Tahoma"/>
          <w:bCs/>
          <w:noProof/>
          <w:sz w:val="24"/>
          <w:szCs w:val="24"/>
          <w:vertAlign w:val="superscript"/>
          <w:lang w:eastAsia="ro-RO"/>
        </w:rPr>
        <w:footnoteReference w:id="6"/>
      </w:r>
      <w:r w:rsidRPr="00650ED8">
        <w:rPr>
          <w:rFonts w:ascii="Tahoma" w:hAnsi="Tahoma" w:cs="Tahoma"/>
          <w:bCs/>
          <w:noProof/>
          <w:sz w:val="24"/>
          <w:szCs w:val="24"/>
          <w:lang w:eastAsia="ro-RO"/>
        </w:rPr>
        <w:t xml:space="preserve">). </w:t>
      </w:r>
    </w:p>
    <w:p w:rsidR="00E9065F" w:rsidRPr="00650ED8" w:rsidRDefault="00E9065F" w:rsidP="00E9065F">
      <w:pPr>
        <w:suppressAutoHyphens/>
        <w:spacing w:after="120" w:line="276" w:lineRule="auto"/>
        <w:jc w:val="both"/>
        <w:rPr>
          <w:rFonts w:ascii="Tahoma" w:hAnsi="Tahoma" w:cs="Tahoma"/>
          <w:bCs/>
          <w:noProof/>
          <w:sz w:val="24"/>
          <w:szCs w:val="24"/>
          <w:lang w:eastAsia="ro-RO"/>
        </w:rPr>
      </w:pPr>
      <w:r w:rsidRPr="00650ED8">
        <w:rPr>
          <w:rFonts w:ascii="Tahoma" w:hAnsi="Tahoma" w:cs="Tahoma"/>
          <w:bCs/>
          <w:noProof/>
          <w:sz w:val="24"/>
          <w:szCs w:val="24"/>
          <w:lang w:eastAsia="ro-RO"/>
        </w:rPr>
        <w:t>O evoluție pozitivă a veniturilor din această sursă a fost susținută în special de sporul încasărilor din impozitul pe veniturile din pensii (+59%, creștere în care este inclusă majorarea valorii punctului de pensie cu 13,8%</w:t>
      </w:r>
      <w:r w:rsidRPr="00650ED8">
        <w:rPr>
          <w:rFonts w:ascii="Tahoma" w:hAnsi="Tahoma" w:cs="Tahoma"/>
          <w:bCs/>
          <w:noProof/>
          <w:sz w:val="24"/>
          <w:szCs w:val="24"/>
          <w:vertAlign w:val="superscript"/>
          <w:lang w:eastAsia="ro-RO"/>
        </w:rPr>
        <w:footnoteReference w:id="7"/>
      </w:r>
      <w:r w:rsidRPr="00650ED8">
        <w:rPr>
          <w:rFonts w:ascii="Tahoma" w:hAnsi="Tahoma" w:cs="Tahoma"/>
          <w:bCs/>
          <w:noProof/>
          <w:sz w:val="24"/>
          <w:szCs w:val="24"/>
          <w:lang w:eastAsia="ro-RO"/>
        </w:rPr>
        <w:t xml:space="preserve">) și de sporul încasărilor din impozitul pe dividende (+33,8%). </w:t>
      </w:r>
    </w:p>
    <w:p w:rsidR="005F1823" w:rsidRPr="00650ED8" w:rsidRDefault="00DD52A5" w:rsidP="00E84D15">
      <w:pPr>
        <w:tabs>
          <w:tab w:val="left" w:pos="284"/>
        </w:tabs>
        <w:autoSpaceDE w:val="0"/>
        <w:autoSpaceDN w:val="0"/>
        <w:adjustRightInd w:val="0"/>
        <w:spacing w:after="120" w:line="276" w:lineRule="auto"/>
        <w:jc w:val="both"/>
        <w:rPr>
          <w:rFonts w:ascii="Tahoma" w:hAnsi="Tahoma" w:cs="Tahoma"/>
          <w:sz w:val="24"/>
          <w:szCs w:val="24"/>
        </w:rPr>
      </w:pPr>
      <w:r w:rsidRPr="00650ED8">
        <w:rPr>
          <w:rFonts w:ascii="Tahoma" w:hAnsi="Tahoma" w:cs="Tahoma"/>
          <w:sz w:val="24"/>
          <w:szCs w:val="24"/>
        </w:rPr>
        <w:t xml:space="preserve">Încasările din </w:t>
      </w:r>
      <w:r w:rsidRPr="00650ED8">
        <w:rPr>
          <w:rFonts w:ascii="Tahoma" w:hAnsi="Tahoma" w:cs="Tahoma"/>
          <w:b/>
          <w:bCs/>
          <w:sz w:val="24"/>
          <w:szCs w:val="24"/>
        </w:rPr>
        <w:t xml:space="preserve">impozitele </w:t>
      </w:r>
      <w:r w:rsidR="00640FBB" w:rsidRPr="00650ED8">
        <w:rPr>
          <w:rFonts w:ascii="Tahoma" w:hAnsi="Tahoma" w:cs="Tahoma"/>
          <w:b/>
          <w:bCs/>
          <w:sz w:val="24"/>
          <w:szCs w:val="24"/>
        </w:rPr>
        <w:t>și</w:t>
      </w:r>
      <w:r w:rsidRPr="00650ED8">
        <w:rPr>
          <w:rFonts w:ascii="Tahoma" w:hAnsi="Tahoma" w:cs="Tahoma"/>
          <w:b/>
          <w:bCs/>
          <w:sz w:val="24"/>
          <w:szCs w:val="24"/>
        </w:rPr>
        <w:t xml:space="preserve"> taxele pe proprietate</w:t>
      </w:r>
      <w:r w:rsidRPr="00650ED8">
        <w:rPr>
          <w:rFonts w:ascii="Tahoma" w:hAnsi="Tahoma" w:cs="Tahoma"/>
          <w:sz w:val="24"/>
          <w:szCs w:val="24"/>
        </w:rPr>
        <w:t xml:space="preserve"> au însumat </w:t>
      </w:r>
      <w:r w:rsidR="005B6514" w:rsidRPr="00650ED8">
        <w:rPr>
          <w:rFonts w:ascii="Tahoma" w:hAnsi="Tahoma" w:cs="Tahoma"/>
          <w:sz w:val="24"/>
          <w:szCs w:val="24"/>
        </w:rPr>
        <w:t>0,9</w:t>
      </w:r>
      <w:r w:rsidR="00E9065F" w:rsidRPr="00650ED8">
        <w:rPr>
          <w:rFonts w:ascii="Tahoma" w:hAnsi="Tahoma" w:cs="Tahoma"/>
          <w:sz w:val="24"/>
          <w:szCs w:val="24"/>
        </w:rPr>
        <w:t>0</w:t>
      </w:r>
      <w:r w:rsidRPr="00650ED8">
        <w:rPr>
          <w:rFonts w:ascii="Tahoma" w:hAnsi="Tahoma" w:cs="Tahoma"/>
          <w:sz w:val="24"/>
          <w:szCs w:val="24"/>
        </w:rPr>
        <w:t xml:space="preserve"> </w:t>
      </w:r>
      <w:r w:rsidR="00602503" w:rsidRPr="00650ED8">
        <w:rPr>
          <w:rFonts w:ascii="Tahoma" w:hAnsi="Tahoma" w:cs="Tahoma"/>
          <w:sz w:val="24"/>
          <w:szCs w:val="24"/>
        </w:rPr>
        <w:t>miliarde</w:t>
      </w:r>
      <w:r w:rsidR="00713D80" w:rsidRPr="00650ED8">
        <w:rPr>
          <w:rFonts w:ascii="Tahoma" w:hAnsi="Tahoma" w:cs="Tahoma"/>
          <w:sz w:val="24"/>
          <w:szCs w:val="24"/>
        </w:rPr>
        <w:t xml:space="preserve"> </w:t>
      </w:r>
      <w:r w:rsidRPr="00650ED8">
        <w:rPr>
          <w:rFonts w:ascii="Tahoma" w:hAnsi="Tahoma" w:cs="Tahoma"/>
          <w:sz w:val="24"/>
          <w:szCs w:val="24"/>
        </w:rPr>
        <w:t>lei (0,</w:t>
      </w:r>
      <w:r w:rsidR="005B6514" w:rsidRPr="00650ED8">
        <w:rPr>
          <w:rFonts w:ascii="Tahoma" w:hAnsi="Tahoma" w:cs="Tahoma"/>
          <w:sz w:val="24"/>
          <w:szCs w:val="24"/>
        </w:rPr>
        <w:t>1</w:t>
      </w:r>
      <w:r w:rsidRPr="00650ED8">
        <w:rPr>
          <w:rFonts w:ascii="Tahoma" w:hAnsi="Tahoma" w:cs="Tahoma"/>
          <w:sz w:val="24"/>
          <w:szCs w:val="24"/>
        </w:rPr>
        <w:t xml:space="preserve">% din PIB) și s-au realizat în proporție de </w:t>
      </w:r>
      <w:r w:rsidR="00E9065F" w:rsidRPr="00650ED8">
        <w:rPr>
          <w:rFonts w:ascii="Tahoma" w:hAnsi="Tahoma" w:cs="Tahoma"/>
          <w:sz w:val="24"/>
          <w:szCs w:val="24"/>
        </w:rPr>
        <w:t>96,3</w:t>
      </w:r>
      <w:r w:rsidRPr="00650ED8">
        <w:rPr>
          <w:rFonts w:ascii="Tahoma" w:hAnsi="Tahoma" w:cs="Tahoma"/>
          <w:sz w:val="24"/>
          <w:szCs w:val="24"/>
        </w:rPr>
        <w:t xml:space="preserve">%. </w:t>
      </w:r>
      <w:r w:rsidR="0033447D" w:rsidRPr="00650ED8">
        <w:rPr>
          <w:rFonts w:ascii="Tahoma" w:hAnsi="Tahoma" w:cs="Tahoma"/>
          <w:sz w:val="24"/>
          <w:szCs w:val="24"/>
        </w:rPr>
        <w:t>Totodată, c</w:t>
      </w:r>
      <w:r w:rsidRPr="00650ED8">
        <w:rPr>
          <w:rFonts w:ascii="Tahoma" w:hAnsi="Tahoma" w:cs="Tahoma"/>
          <w:sz w:val="24"/>
          <w:szCs w:val="24"/>
        </w:rPr>
        <w:t>omparativ cu încasările din trimestrul I</w:t>
      </w:r>
      <w:r w:rsidR="005B6514" w:rsidRPr="00650ED8">
        <w:rPr>
          <w:rFonts w:ascii="Tahoma" w:hAnsi="Tahoma" w:cs="Tahoma"/>
          <w:sz w:val="24"/>
          <w:szCs w:val="24"/>
        </w:rPr>
        <w:t>I</w:t>
      </w:r>
      <w:r w:rsidR="00E9065F" w:rsidRPr="00650ED8">
        <w:rPr>
          <w:rFonts w:ascii="Tahoma" w:hAnsi="Tahoma" w:cs="Tahoma"/>
          <w:sz w:val="24"/>
          <w:szCs w:val="24"/>
        </w:rPr>
        <w:t>I</w:t>
      </w:r>
      <w:r w:rsidRPr="00650ED8">
        <w:rPr>
          <w:rFonts w:ascii="Tahoma" w:hAnsi="Tahoma" w:cs="Tahoma"/>
          <w:sz w:val="24"/>
          <w:szCs w:val="24"/>
        </w:rPr>
        <w:t xml:space="preserve"> 20</w:t>
      </w:r>
      <w:r w:rsidR="00DE15CB" w:rsidRPr="00650ED8">
        <w:rPr>
          <w:rFonts w:ascii="Tahoma" w:hAnsi="Tahoma" w:cs="Tahoma"/>
          <w:sz w:val="24"/>
          <w:szCs w:val="24"/>
        </w:rPr>
        <w:t>2</w:t>
      </w:r>
      <w:r w:rsidR="00E84D15" w:rsidRPr="00650ED8">
        <w:rPr>
          <w:rFonts w:ascii="Tahoma" w:hAnsi="Tahoma" w:cs="Tahoma"/>
          <w:sz w:val="24"/>
          <w:szCs w:val="24"/>
        </w:rPr>
        <w:t>3</w:t>
      </w:r>
      <w:r w:rsidRPr="00650ED8">
        <w:rPr>
          <w:rFonts w:ascii="Tahoma" w:hAnsi="Tahoma" w:cs="Tahoma"/>
          <w:sz w:val="24"/>
          <w:szCs w:val="24"/>
        </w:rPr>
        <w:t xml:space="preserve">, acestea au </w:t>
      </w:r>
      <w:r w:rsidR="00DE15CB" w:rsidRPr="00650ED8">
        <w:rPr>
          <w:rFonts w:ascii="Tahoma" w:hAnsi="Tahoma" w:cs="Tahoma"/>
          <w:sz w:val="24"/>
          <w:szCs w:val="24"/>
        </w:rPr>
        <w:t>crescut</w:t>
      </w:r>
      <w:r w:rsidRPr="00650ED8">
        <w:rPr>
          <w:rFonts w:ascii="Tahoma" w:hAnsi="Tahoma" w:cs="Tahoma"/>
          <w:sz w:val="24"/>
          <w:szCs w:val="24"/>
        </w:rPr>
        <w:t xml:space="preserve"> cu </w:t>
      </w:r>
      <w:r w:rsidR="00C86369" w:rsidRPr="00650ED8">
        <w:rPr>
          <w:rFonts w:ascii="Tahoma" w:hAnsi="Tahoma" w:cs="Tahoma"/>
          <w:sz w:val="24"/>
          <w:szCs w:val="24"/>
        </w:rPr>
        <w:t>8,8</w:t>
      </w:r>
      <w:r w:rsidRPr="00650ED8">
        <w:rPr>
          <w:rFonts w:ascii="Tahoma" w:hAnsi="Tahoma" w:cs="Tahoma"/>
          <w:sz w:val="24"/>
          <w:szCs w:val="24"/>
        </w:rPr>
        <w:t>%</w:t>
      </w:r>
      <w:r w:rsidR="00807147" w:rsidRPr="00650ED8">
        <w:rPr>
          <w:rFonts w:ascii="Tahoma" w:hAnsi="Tahoma" w:cs="Tahoma"/>
          <w:sz w:val="24"/>
          <w:szCs w:val="24"/>
        </w:rPr>
        <w:t xml:space="preserve"> </w:t>
      </w:r>
      <w:r w:rsidR="002D0BFF" w:rsidRPr="00650ED8">
        <w:rPr>
          <w:rFonts w:ascii="Tahoma" w:hAnsi="Tahoma" w:cs="Tahoma"/>
          <w:sz w:val="24"/>
          <w:szCs w:val="24"/>
        </w:rPr>
        <w:t>(+0,</w:t>
      </w:r>
      <w:r w:rsidR="00C86369" w:rsidRPr="00650ED8">
        <w:rPr>
          <w:rFonts w:ascii="Tahoma" w:hAnsi="Tahoma" w:cs="Tahoma"/>
          <w:sz w:val="24"/>
          <w:szCs w:val="24"/>
        </w:rPr>
        <w:t>07</w:t>
      </w:r>
      <w:r w:rsidR="002D0BFF" w:rsidRPr="00650ED8">
        <w:rPr>
          <w:rFonts w:ascii="Tahoma" w:hAnsi="Tahoma" w:cs="Tahoma"/>
          <w:sz w:val="24"/>
          <w:szCs w:val="24"/>
        </w:rPr>
        <w:t xml:space="preserve"> miliarde lei)</w:t>
      </w:r>
      <w:r w:rsidR="005F1823" w:rsidRPr="00650ED8">
        <w:rPr>
          <w:rFonts w:ascii="Tahoma" w:hAnsi="Tahoma" w:cs="Tahoma"/>
          <w:sz w:val="24"/>
          <w:szCs w:val="24"/>
        </w:rPr>
        <w:t>.</w:t>
      </w:r>
      <w:r w:rsidR="00124758" w:rsidRPr="00650ED8">
        <w:rPr>
          <w:rFonts w:ascii="Tahoma" w:hAnsi="Tahoma" w:cs="Tahoma"/>
          <w:sz w:val="24"/>
          <w:szCs w:val="24"/>
        </w:rPr>
        <w:t xml:space="preserve"> </w:t>
      </w:r>
    </w:p>
    <w:p w:rsidR="00E84D15" w:rsidRPr="00650ED8" w:rsidRDefault="00DE15CB" w:rsidP="00E84D15">
      <w:pPr>
        <w:autoSpaceDE w:val="0"/>
        <w:autoSpaceDN w:val="0"/>
        <w:adjustRightInd w:val="0"/>
        <w:spacing w:after="120" w:line="276" w:lineRule="auto"/>
        <w:jc w:val="both"/>
        <w:rPr>
          <w:rFonts w:ascii="Tahoma" w:eastAsia="Calibri" w:hAnsi="Tahoma" w:cs="Tahoma"/>
          <w:sz w:val="24"/>
          <w:szCs w:val="24"/>
        </w:rPr>
      </w:pPr>
      <w:r w:rsidRPr="00650ED8">
        <w:rPr>
          <w:rFonts w:ascii="Tahoma" w:eastAsia="Calibri" w:hAnsi="Tahoma" w:cs="Tahoma"/>
          <w:sz w:val="24"/>
          <w:szCs w:val="24"/>
        </w:rPr>
        <w:t xml:space="preserve">Încasările din </w:t>
      </w:r>
      <w:r w:rsidRPr="00650ED8">
        <w:rPr>
          <w:rFonts w:ascii="Tahoma" w:eastAsia="Calibri" w:hAnsi="Tahoma" w:cs="Tahoma"/>
          <w:b/>
          <w:sz w:val="24"/>
          <w:szCs w:val="24"/>
        </w:rPr>
        <w:t>taxa pe valoarea adăugată</w:t>
      </w:r>
      <w:r w:rsidRPr="00650ED8">
        <w:rPr>
          <w:rFonts w:ascii="Tahoma" w:eastAsia="Calibri" w:hAnsi="Tahoma" w:cs="Tahoma"/>
          <w:sz w:val="24"/>
          <w:szCs w:val="24"/>
        </w:rPr>
        <w:t xml:space="preserve"> </w:t>
      </w:r>
      <w:r w:rsidR="00AC7A87" w:rsidRPr="00650ED8">
        <w:rPr>
          <w:rFonts w:ascii="Tahoma" w:eastAsia="Calibri" w:hAnsi="Tahoma" w:cs="Tahoma"/>
          <w:sz w:val="24"/>
          <w:szCs w:val="24"/>
        </w:rPr>
        <w:t xml:space="preserve">au fost în sumă de </w:t>
      </w:r>
      <w:r w:rsidR="00C86369" w:rsidRPr="00650ED8">
        <w:rPr>
          <w:rFonts w:ascii="Tahoma" w:eastAsia="Calibri" w:hAnsi="Tahoma" w:cs="Tahoma"/>
          <w:sz w:val="24"/>
          <w:szCs w:val="24"/>
        </w:rPr>
        <w:t>30,92</w:t>
      </w:r>
      <w:r w:rsidR="00E84D15" w:rsidRPr="00650ED8">
        <w:rPr>
          <w:rFonts w:ascii="Tahoma" w:eastAsia="Calibri" w:hAnsi="Tahoma" w:cs="Tahoma"/>
          <w:sz w:val="24"/>
          <w:szCs w:val="24"/>
        </w:rPr>
        <w:t xml:space="preserve"> miliarde lei, înregistrând o creștere a încasărilor din TVA cu </w:t>
      </w:r>
      <w:r w:rsidR="00C86369" w:rsidRPr="00650ED8">
        <w:rPr>
          <w:rFonts w:ascii="Tahoma" w:eastAsia="Calibri" w:hAnsi="Tahoma" w:cs="Tahoma"/>
          <w:sz w:val="24"/>
          <w:szCs w:val="24"/>
        </w:rPr>
        <w:t>17,0</w:t>
      </w:r>
      <w:r w:rsidR="00E84D15" w:rsidRPr="00650ED8">
        <w:rPr>
          <w:rFonts w:ascii="Tahoma" w:eastAsia="Calibri" w:hAnsi="Tahoma" w:cs="Tahoma"/>
          <w:sz w:val="24"/>
          <w:szCs w:val="24"/>
        </w:rPr>
        <w:t>% (+</w:t>
      </w:r>
      <w:r w:rsidR="005B6514" w:rsidRPr="00650ED8">
        <w:rPr>
          <w:rFonts w:ascii="Tahoma" w:eastAsia="Calibri" w:hAnsi="Tahoma" w:cs="Tahoma"/>
          <w:sz w:val="24"/>
          <w:szCs w:val="24"/>
        </w:rPr>
        <w:t>4,</w:t>
      </w:r>
      <w:r w:rsidR="00C86369" w:rsidRPr="00650ED8">
        <w:rPr>
          <w:rFonts w:ascii="Tahoma" w:eastAsia="Calibri" w:hAnsi="Tahoma" w:cs="Tahoma"/>
          <w:sz w:val="24"/>
          <w:szCs w:val="24"/>
        </w:rPr>
        <w:t>4</w:t>
      </w:r>
      <w:r w:rsidR="005B6514" w:rsidRPr="00650ED8">
        <w:rPr>
          <w:rFonts w:ascii="Tahoma" w:eastAsia="Calibri" w:hAnsi="Tahoma" w:cs="Tahoma"/>
          <w:sz w:val="24"/>
          <w:szCs w:val="24"/>
        </w:rPr>
        <w:t>9</w:t>
      </w:r>
      <w:r w:rsidR="00E84D15" w:rsidRPr="00650ED8">
        <w:rPr>
          <w:rFonts w:ascii="Tahoma" w:eastAsia="Calibri" w:hAnsi="Tahoma" w:cs="Tahoma"/>
          <w:sz w:val="24"/>
          <w:szCs w:val="24"/>
        </w:rPr>
        <w:t xml:space="preserve"> miliarde lei), comparativ cu încasările aferente trimestrului I</w:t>
      </w:r>
      <w:r w:rsidR="005B6514" w:rsidRPr="00650ED8">
        <w:rPr>
          <w:rFonts w:ascii="Tahoma" w:eastAsia="Calibri" w:hAnsi="Tahoma" w:cs="Tahoma"/>
          <w:sz w:val="24"/>
          <w:szCs w:val="24"/>
        </w:rPr>
        <w:t>I</w:t>
      </w:r>
      <w:r w:rsidR="00C86369" w:rsidRPr="00650ED8">
        <w:rPr>
          <w:rFonts w:ascii="Tahoma" w:eastAsia="Calibri" w:hAnsi="Tahoma" w:cs="Tahoma"/>
          <w:sz w:val="24"/>
          <w:szCs w:val="24"/>
        </w:rPr>
        <w:t>I</w:t>
      </w:r>
      <w:r w:rsidR="00E84D15" w:rsidRPr="00650ED8">
        <w:rPr>
          <w:rFonts w:ascii="Tahoma" w:eastAsia="Calibri" w:hAnsi="Tahoma" w:cs="Tahoma"/>
          <w:sz w:val="24"/>
          <w:szCs w:val="24"/>
        </w:rPr>
        <w:t xml:space="preserve"> din anul 2023 și un grad de realizare al programului trimestrial de </w:t>
      </w:r>
      <w:r w:rsidR="00C86369" w:rsidRPr="00650ED8">
        <w:rPr>
          <w:rFonts w:ascii="Tahoma" w:eastAsia="Calibri" w:hAnsi="Tahoma" w:cs="Tahoma"/>
          <w:sz w:val="24"/>
          <w:szCs w:val="24"/>
        </w:rPr>
        <w:t>100,0</w:t>
      </w:r>
      <w:r w:rsidR="00E84D15" w:rsidRPr="00650ED8">
        <w:rPr>
          <w:rFonts w:ascii="Tahoma" w:eastAsia="Calibri" w:hAnsi="Tahoma" w:cs="Tahoma"/>
          <w:sz w:val="24"/>
          <w:szCs w:val="24"/>
        </w:rPr>
        <w:t>%</w:t>
      </w:r>
      <w:r w:rsidR="00C86369" w:rsidRPr="00650ED8">
        <w:rPr>
          <w:rFonts w:ascii="Tahoma" w:eastAsia="Calibri" w:hAnsi="Tahoma" w:cs="Tahoma"/>
          <w:sz w:val="24"/>
          <w:szCs w:val="24"/>
        </w:rPr>
        <w:t>.</w:t>
      </w:r>
    </w:p>
    <w:p w:rsidR="00C86369" w:rsidRPr="00650ED8" w:rsidRDefault="00C86369" w:rsidP="00C86369">
      <w:pPr>
        <w:shd w:val="clear" w:color="auto" w:fill="FFFFFF"/>
        <w:spacing w:after="161" w:line="276" w:lineRule="auto"/>
        <w:jc w:val="both"/>
        <w:rPr>
          <w:rFonts w:ascii="Tahoma" w:eastAsia="Calibri" w:hAnsi="Tahoma" w:cs="Tahoma"/>
          <w:color w:val="00000A"/>
          <w:kern w:val="1"/>
          <w:sz w:val="24"/>
          <w:szCs w:val="24"/>
          <w:lang w:eastAsia="zh-CN"/>
        </w:rPr>
      </w:pPr>
      <w:r w:rsidRPr="00650ED8">
        <w:rPr>
          <w:rFonts w:ascii="Tahoma" w:eastAsia="Calibri" w:hAnsi="Tahoma" w:cs="Tahoma"/>
          <w:color w:val="00000A"/>
          <w:kern w:val="1"/>
          <w:sz w:val="24"/>
          <w:szCs w:val="24"/>
        </w:rPr>
        <w:t>În structură, TVA încasată</w:t>
      </w:r>
      <w:r w:rsidRPr="00650ED8">
        <w:rPr>
          <w:rFonts w:ascii="Tahoma" w:eastAsia="Calibri" w:hAnsi="Tahoma" w:cs="Tahoma"/>
          <w:color w:val="00000A"/>
          <w:kern w:val="1"/>
          <w:sz w:val="24"/>
          <w:szCs w:val="24"/>
          <w:vertAlign w:val="superscript"/>
          <w:lang w:eastAsia="zh-CN"/>
        </w:rPr>
        <w:footnoteReference w:id="8"/>
      </w:r>
      <w:r w:rsidRPr="00650ED8">
        <w:rPr>
          <w:rFonts w:ascii="Tahoma" w:eastAsia="Calibri" w:hAnsi="Tahoma" w:cs="Tahoma"/>
          <w:color w:val="00000A"/>
          <w:kern w:val="1"/>
          <w:sz w:val="24"/>
          <w:szCs w:val="24"/>
          <w:lang w:eastAsia="zh-CN"/>
        </w:rPr>
        <w:t xml:space="preserve"> s-a majorat cu 11,9% (+4,1 miliarde lei) față de trimestrul III al anului 2023</w:t>
      </w:r>
      <w:r w:rsidRPr="00650ED8">
        <w:rPr>
          <w:rFonts w:ascii="Tahoma" w:eastAsia="Calibri" w:hAnsi="Tahoma" w:cs="Tahoma"/>
          <w:color w:val="00000A"/>
          <w:kern w:val="1"/>
          <w:sz w:val="24"/>
          <w:szCs w:val="24"/>
          <w:vertAlign w:val="superscript"/>
          <w:lang w:eastAsia="zh-CN"/>
        </w:rPr>
        <w:footnoteReference w:id="9"/>
      </w:r>
      <w:r w:rsidRPr="00650ED8">
        <w:rPr>
          <w:rFonts w:ascii="Tahoma" w:eastAsia="Calibri" w:hAnsi="Tahoma" w:cs="Tahoma"/>
          <w:color w:val="00000A"/>
          <w:kern w:val="1"/>
          <w:sz w:val="24"/>
          <w:szCs w:val="24"/>
          <w:lang w:eastAsia="zh-CN"/>
        </w:rPr>
        <w:t>, iar valoarea restituirilor de taxă pe valoare adăugată au fost cu 4,7% mai scăzute (-0,4 miliarde lei)</w:t>
      </w:r>
      <w:r w:rsidRPr="00650ED8">
        <w:rPr>
          <w:rFonts w:ascii="Tahoma" w:eastAsia="Calibri" w:hAnsi="Tahoma" w:cs="Tahoma"/>
          <w:color w:val="00000A"/>
          <w:kern w:val="1"/>
          <w:sz w:val="24"/>
          <w:szCs w:val="24"/>
        </w:rPr>
        <w:t xml:space="preserve">. </w:t>
      </w:r>
      <w:r w:rsidRPr="00650ED8">
        <w:rPr>
          <w:rFonts w:ascii="Tahoma" w:eastAsia="Calibri" w:hAnsi="Tahoma" w:cs="Tahoma"/>
          <w:color w:val="00000A"/>
          <w:kern w:val="1"/>
          <w:sz w:val="24"/>
          <w:szCs w:val="24"/>
          <w:lang w:eastAsia="zh-CN"/>
        </w:rPr>
        <w:t>În perioada analizată media TVA restituită a fost de 2,5 miliarde lei, situându-se sub media de 2,7 miliarde lei înregistrată în perioada similară a anului precedent.</w:t>
      </w:r>
    </w:p>
    <w:p w:rsidR="00C86369" w:rsidRPr="00650ED8" w:rsidRDefault="00C86369" w:rsidP="00C86369">
      <w:pPr>
        <w:shd w:val="clear" w:color="auto" w:fill="FFFFFF"/>
        <w:spacing w:after="161" w:line="276" w:lineRule="auto"/>
        <w:jc w:val="both"/>
        <w:rPr>
          <w:rFonts w:ascii="Tahoma" w:eastAsia="SimSun" w:hAnsi="Tahoma" w:cs="Tahoma"/>
          <w:color w:val="000000" w:themeColor="text1"/>
          <w:kern w:val="1"/>
          <w:sz w:val="24"/>
          <w:szCs w:val="24"/>
        </w:rPr>
      </w:pPr>
      <w:r w:rsidRPr="00650ED8">
        <w:rPr>
          <w:rFonts w:ascii="Tahoma" w:eastAsia="SimSun" w:hAnsi="Tahoma" w:cs="Tahoma"/>
          <w:color w:val="00000A"/>
          <w:kern w:val="1"/>
          <w:sz w:val="24"/>
          <w:szCs w:val="24"/>
        </w:rPr>
        <w:t xml:space="preserve">Evoluția încasărilor din taxa pe valoare adăugată a fost susținută și de modificările fiscale aduse prin Legea nr.296/2023, precum creșterea cotei de TVA pentru alimente cu zahăr adăugat (peste 10g/100g produs), pentru dreptul de utilizare a facilităților sportive, transportul de persoane în scop turistic, pentru livrarea locuințelor ca parte a politicii sociale, </w:t>
      </w:r>
      <w:r w:rsidRPr="00650ED8">
        <w:rPr>
          <w:rFonts w:ascii="Tahoma" w:eastAsia="SimSun" w:hAnsi="Tahoma" w:cs="Tahoma"/>
          <w:color w:val="00000A"/>
          <w:kern w:val="1"/>
          <w:sz w:val="24"/>
          <w:szCs w:val="24"/>
        </w:rPr>
        <w:lastRenderedPageBreak/>
        <w:t xml:space="preserve">livrarea și instalarea de panouri fotovoltaice, </w:t>
      </w:r>
      <w:r w:rsidRPr="00650ED8">
        <w:rPr>
          <w:rFonts w:ascii="Tahoma" w:eastAsia="SimSun" w:hAnsi="Tahoma" w:cs="Tahoma"/>
          <w:color w:val="000000" w:themeColor="text1"/>
          <w:kern w:val="1"/>
          <w:sz w:val="24"/>
          <w:szCs w:val="24"/>
        </w:rPr>
        <w:t>panouri solare termice, pompe de căldură și alte sisteme de încălzire de înaltă eficiență.</w:t>
      </w:r>
    </w:p>
    <w:p w:rsidR="00C86369" w:rsidRPr="00650ED8" w:rsidRDefault="00090FD5" w:rsidP="00C86369">
      <w:pPr>
        <w:autoSpaceDE w:val="0"/>
        <w:autoSpaceDN w:val="0"/>
        <w:adjustRightInd w:val="0"/>
        <w:spacing w:after="120" w:line="276" w:lineRule="auto"/>
        <w:jc w:val="both"/>
        <w:rPr>
          <w:rFonts w:ascii="Tahoma" w:eastAsia="Calibri" w:hAnsi="Tahoma" w:cs="Tahoma"/>
          <w:sz w:val="24"/>
          <w:szCs w:val="24"/>
        </w:rPr>
      </w:pPr>
      <w:r w:rsidRPr="00650ED8">
        <w:rPr>
          <w:rFonts w:ascii="Tahoma" w:eastAsia="Calibri" w:hAnsi="Tahoma" w:cs="Tahoma"/>
          <w:sz w:val="24"/>
          <w:szCs w:val="24"/>
        </w:rPr>
        <w:t xml:space="preserve">Veniturile din </w:t>
      </w:r>
      <w:r w:rsidRPr="00650ED8">
        <w:rPr>
          <w:rFonts w:ascii="Tahoma" w:eastAsia="Calibri" w:hAnsi="Tahoma" w:cs="Tahoma"/>
          <w:b/>
          <w:sz w:val="24"/>
          <w:szCs w:val="24"/>
        </w:rPr>
        <w:t>accize</w:t>
      </w:r>
      <w:r w:rsidRPr="00650ED8">
        <w:rPr>
          <w:rFonts w:ascii="Tahoma" w:eastAsia="Calibri" w:hAnsi="Tahoma" w:cs="Tahoma"/>
          <w:sz w:val="24"/>
          <w:szCs w:val="24"/>
        </w:rPr>
        <w:t xml:space="preserve"> </w:t>
      </w:r>
      <w:r w:rsidR="00986F04" w:rsidRPr="00650ED8">
        <w:rPr>
          <w:rFonts w:ascii="Tahoma" w:eastAsia="Calibri" w:hAnsi="Tahoma" w:cs="Tahoma"/>
          <w:sz w:val="24"/>
          <w:szCs w:val="24"/>
        </w:rPr>
        <w:t xml:space="preserve">au însumat </w:t>
      </w:r>
      <w:r w:rsidR="00C86369" w:rsidRPr="00650ED8">
        <w:rPr>
          <w:rFonts w:ascii="Tahoma" w:eastAsia="Calibri" w:hAnsi="Tahoma" w:cs="Tahoma"/>
          <w:sz w:val="24"/>
          <w:szCs w:val="24"/>
        </w:rPr>
        <w:t>12,36</w:t>
      </w:r>
      <w:r w:rsidR="00986F04" w:rsidRPr="00650ED8">
        <w:rPr>
          <w:rFonts w:ascii="Tahoma" w:eastAsia="Calibri" w:hAnsi="Tahoma" w:cs="Tahoma"/>
          <w:sz w:val="24"/>
          <w:szCs w:val="24"/>
        </w:rPr>
        <w:t xml:space="preserve"> miliarde lei, în creștere cu </w:t>
      </w:r>
      <w:r w:rsidR="00C86369" w:rsidRPr="00650ED8">
        <w:rPr>
          <w:rFonts w:ascii="Tahoma" w:eastAsia="Calibri" w:hAnsi="Tahoma" w:cs="Tahoma"/>
          <w:sz w:val="24"/>
          <w:szCs w:val="24"/>
        </w:rPr>
        <w:t>28,8</w:t>
      </w:r>
      <w:r w:rsidR="00986F04" w:rsidRPr="00650ED8">
        <w:rPr>
          <w:rFonts w:ascii="Tahoma" w:eastAsia="Calibri" w:hAnsi="Tahoma" w:cs="Tahoma"/>
          <w:sz w:val="24"/>
          <w:szCs w:val="24"/>
        </w:rPr>
        <w:t>% (+</w:t>
      </w:r>
      <w:r w:rsidR="00C86369" w:rsidRPr="00650ED8">
        <w:rPr>
          <w:rFonts w:ascii="Tahoma" w:eastAsia="Calibri" w:hAnsi="Tahoma" w:cs="Tahoma"/>
          <w:sz w:val="24"/>
          <w:szCs w:val="24"/>
        </w:rPr>
        <w:t>2,76</w:t>
      </w:r>
      <w:r w:rsidR="00986F04" w:rsidRPr="00650ED8">
        <w:rPr>
          <w:rFonts w:ascii="Tahoma" w:eastAsia="Calibri" w:hAnsi="Tahoma" w:cs="Tahoma"/>
          <w:sz w:val="24"/>
          <w:szCs w:val="24"/>
        </w:rPr>
        <w:t xml:space="preserve"> miliarde lei), comparativ cu aceeași perioadă a anului precedent,</w:t>
      </w:r>
      <w:r w:rsidR="00C86369" w:rsidRPr="00650ED8">
        <w:rPr>
          <w:rFonts w:ascii="Tahoma" w:eastAsia="Calibri" w:hAnsi="Tahoma" w:cs="Tahoma"/>
          <w:sz w:val="24"/>
          <w:szCs w:val="24"/>
        </w:rPr>
        <w:t xml:space="preserve"> influențată de creșterea încasărilor la accizele pentru produsele energetice +28,0% (+1,4 miliarde lei), creștere produsă pe fondul unui nivel majorat al accizelor, la produsele energetice cu data de 01 iulie 2024 (34% pentru fiecare produs benzină</w:t>
      </w:r>
      <w:r w:rsidR="00C86369" w:rsidRPr="00650ED8">
        <w:rPr>
          <w:rFonts w:ascii="Tahoma" w:eastAsia="Calibri" w:hAnsi="Tahoma" w:cs="Tahoma"/>
          <w:sz w:val="24"/>
          <w:szCs w:val="24"/>
          <w:vertAlign w:val="superscript"/>
        </w:rPr>
        <w:footnoteReference w:id="10"/>
      </w:r>
      <w:r w:rsidR="00C86369" w:rsidRPr="00650ED8">
        <w:rPr>
          <w:rFonts w:ascii="Tahoma" w:eastAsia="Calibri" w:hAnsi="Tahoma" w:cs="Tahoma"/>
          <w:sz w:val="24"/>
          <w:szCs w:val="24"/>
        </w:rPr>
        <w:t xml:space="preserve"> și motorină</w:t>
      </w:r>
      <w:r w:rsidR="00C86369" w:rsidRPr="00650ED8">
        <w:rPr>
          <w:rFonts w:ascii="Tahoma" w:eastAsia="Calibri" w:hAnsi="Tahoma" w:cs="Tahoma"/>
          <w:sz w:val="24"/>
          <w:szCs w:val="24"/>
          <w:vertAlign w:val="superscript"/>
        </w:rPr>
        <w:footnoteReference w:id="11"/>
      </w:r>
      <w:r w:rsidR="00C86369" w:rsidRPr="00650ED8">
        <w:rPr>
          <w:rFonts w:ascii="Tahoma" w:eastAsia="Calibri" w:hAnsi="Tahoma" w:cs="Tahoma"/>
          <w:sz w:val="24"/>
          <w:szCs w:val="24"/>
        </w:rPr>
        <w:t>, comparativ cu aceeași perioada a anului 2023) și la produsele din tutun de 27,0% (+1,1 miliarde lei) pe fondul unui nivel majorat al accizei la țigarete de 8%</w:t>
      </w:r>
      <w:r w:rsidR="00C86369" w:rsidRPr="00650ED8">
        <w:rPr>
          <w:rFonts w:ascii="Tahoma" w:eastAsia="Calibri" w:hAnsi="Tahoma" w:cs="Tahoma"/>
          <w:sz w:val="24"/>
          <w:szCs w:val="24"/>
          <w:vertAlign w:val="superscript"/>
        </w:rPr>
        <w:footnoteReference w:id="12"/>
      </w:r>
      <w:r w:rsidR="00C86369" w:rsidRPr="00650ED8">
        <w:rPr>
          <w:rFonts w:ascii="Tahoma" w:eastAsia="Calibri" w:hAnsi="Tahoma" w:cs="Tahoma"/>
          <w:sz w:val="24"/>
          <w:szCs w:val="24"/>
        </w:rPr>
        <w:t xml:space="preserve">, comparativ cu aceeași perioadă a anului 2023. </w:t>
      </w:r>
      <w:r w:rsidR="00966FDB" w:rsidRPr="00650ED8">
        <w:rPr>
          <w:rFonts w:ascii="Tahoma" w:eastAsia="Calibri" w:hAnsi="Tahoma" w:cs="Tahoma"/>
          <w:sz w:val="24"/>
          <w:szCs w:val="24"/>
        </w:rPr>
        <w:t>Încasările</w:t>
      </w:r>
      <w:r w:rsidR="00C86369" w:rsidRPr="00650ED8">
        <w:rPr>
          <w:rFonts w:ascii="Tahoma" w:eastAsia="Calibri" w:hAnsi="Tahoma" w:cs="Tahoma"/>
          <w:sz w:val="24"/>
          <w:szCs w:val="24"/>
        </w:rPr>
        <w:t xml:space="preserve"> din accize au atins nivelul programat pentru perioada analizată. </w:t>
      </w:r>
    </w:p>
    <w:p w:rsidR="009670AA" w:rsidRPr="00650ED8" w:rsidRDefault="009670AA" w:rsidP="00986F04">
      <w:pPr>
        <w:autoSpaceDE w:val="0"/>
        <w:autoSpaceDN w:val="0"/>
        <w:adjustRightInd w:val="0"/>
        <w:spacing w:after="120" w:line="276" w:lineRule="auto"/>
        <w:jc w:val="both"/>
        <w:rPr>
          <w:rFonts w:ascii="Tahoma" w:hAnsi="Tahoma" w:cs="Tahoma"/>
          <w:bCs/>
          <w:sz w:val="24"/>
          <w:szCs w:val="24"/>
        </w:rPr>
      </w:pPr>
      <w:r w:rsidRPr="00650ED8">
        <w:rPr>
          <w:rFonts w:ascii="Tahoma" w:hAnsi="Tahoma" w:cs="Tahoma"/>
          <w:bCs/>
          <w:sz w:val="24"/>
          <w:szCs w:val="24"/>
        </w:rPr>
        <w:t>Încasările din categoria</w:t>
      </w:r>
      <w:r w:rsidRPr="00650ED8">
        <w:rPr>
          <w:rFonts w:ascii="Tahoma" w:hAnsi="Tahoma" w:cs="Tahoma"/>
          <w:b/>
          <w:bCs/>
          <w:sz w:val="24"/>
          <w:szCs w:val="24"/>
        </w:rPr>
        <w:t xml:space="preserve"> alte impozite și taxe generale pe bunuri și servicii</w:t>
      </w:r>
      <w:r w:rsidRPr="00650ED8">
        <w:rPr>
          <w:rFonts w:ascii="Tahoma" w:hAnsi="Tahoma" w:cs="Tahoma"/>
          <w:bCs/>
          <w:sz w:val="24"/>
          <w:szCs w:val="24"/>
        </w:rPr>
        <w:t xml:space="preserve"> au fost în sumă de </w:t>
      </w:r>
      <w:r w:rsidR="00CB2AE3" w:rsidRPr="00650ED8">
        <w:rPr>
          <w:rFonts w:ascii="Tahoma" w:hAnsi="Tahoma" w:cs="Tahoma"/>
          <w:bCs/>
          <w:sz w:val="24"/>
          <w:szCs w:val="24"/>
        </w:rPr>
        <w:t>5,72</w:t>
      </w:r>
      <w:r w:rsidR="008E4687" w:rsidRPr="00650ED8">
        <w:rPr>
          <w:rFonts w:ascii="Tahoma" w:hAnsi="Tahoma" w:cs="Tahoma"/>
          <w:bCs/>
          <w:sz w:val="24"/>
          <w:szCs w:val="24"/>
        </w:rPr>
        <w:t xml:space="preserve"> </w:t>
      </w:r>
      <w:r w:rsidRPr="00650ED8">
        <w:rPr>
          <w:rFonts w:ascii="Tahoma" w:hAnsi="Tahoma" w:cs="Tahoma"/>
          <w:bCs/>
          <w:sz w:val="24"/>
          <w:szCs w:val="24"/>
        </w:rPr>
        <w:t>miliarde lei (0,</w:t>
      </w:r>
      <w:r w:rsidR="00CB2AE3" w:rsidRPr="00650ED8">
        <w:rPr>
          <w:rFonts w:ascii="Tahoma" w:hAnsi="Tahoma" w:cs="Tahoma"/>
          <w:bCs/>
          <w:sz w:val="24"/>
          <w:szCs w:val="24"/>
        </w:rPr>
        <w:t>3</w:t>
      </w:r>
      <w:r w:rsidRPr="00650ED8">
        <w:rPr>
          <w:rFonts w:ascii="Tahoma" w:hAnsi="Tahoma" w:cs="Tahoma"/>
          <w:bCs/>
          <w:sz w:val="24"/>
          <w:szCs w:val="24"/>
        </w:rPr>
        <w:t xml:space="preserve">% din PIB), </w:t>
      </w:r>
      <w:r w:rsidR="008E4687" w:rsidRPr="00650ED8">
        <w:rPr>
          <w:rFonts w:ascii="Tahoma" w:hAnsi="Tahoma" w:cs="Tahoma"/>
          <w:bCs/>
          <w:sz w:val="24"/>
          <w:szCs w:val="24"/>
        </w:rPr>
        <w:t xml:space="preserve">gradul de realizare al </w:t>
      </w:r>
      <w:r w:rsidRPr="00650ED8">
        <w:rPr>
          <w:rFonts w:ascii="Tahoma" w:hAnsi="Tahoma" w:cs="Tahoma"/>
          <w:bCs/>
          <w:sz w:val="24"/>
          <w:szCs w:val="24"/>
        </w:rPr>
        <w:t>programul</w:t>
      </w:r>
      <w:r w:rsidR="008E4687" w:rsidRPr="00650ED8">
        <w:rPr>
          <w:rFonts w:ascii="Tahoma" w:hAnsi="Tahoma" w:cs="Tahoma"/>
          <w:bCs/>
          <w:sz w:val="24"/>
          <w:szCs w:val="24"/>
        </w:rPr>
        <w:t>ui</w:t>
      </w:r>
      <w:r w:rsidRPr="00650ED8">
        <w:rPr>
          <w:rFonts w:ascii="Tahoma" w:hAnsi="Tahoma" w:cs="Tahoma"/>
          <w:bCs/>
          <w:sz w:val="24"/>
          <w:szCs w:val="24"/>
        </w:rPr>
        <w:t xml:space="preserve"> trimestrial</w:t>
      </w:r>
      <w:r w:rsidR="008E4687" w:rsidRPr="00650ED8">
        <w:rPr>
          <w:rFonts w:ascii="Tahoma" w:hAnsi="Tahoma" w:cs="Tahoma"/>
          <w:bCs/>
          <w:sz w:val="24"/>
          <w:szCs w:val="24"/>
        </w:rPr>
        <w:t xml:space="preserve"> fiind de </w:t>
      </w:r>
      <w:r w:rsidR="00CB2AE3" w:rsidRPr="00650ED8">
        <w:rPr>
          <w:rFonts w:ascii="Tahoma" w:hAnsi="Tahoma" w:cs="Tahoma"/>
          <w:bCs/>
          <w:sz w:val="24"/>
          <w:szCs w:val="24"/>
        </w:rPr>
        <w:t>100,0</w:t>
      </w:r>
      <w:r w:rsidR="008E4687" w:rsidRPr="00650ED8">
        <w:rPr>
          <w:rFonts w:ascii="Tahoma" w:hAnsi="Tahoma" w:cs="Tahoma"/>
          <w:bCs/>
          <w:sz w:val="24"/>
          <w:szCs w:val="24"/>
        </w:rPr>
        <w:t xml:space="preserve">%, iar comparativ cu anul anterior au scăzut cu </w:t>
      </w:r>
      <w:r w:rsidR="00CB2AE3" w:rsidRPr="00650ED8">
        <w:rPr>
          <w:rFonts w:ascii="Tahoma" w:hAnsi="Tahoma" w:cs="Tahoma"/>
          <w:bCs/>
          <w:sz w:val="24"/>
          <w:szCs w:val="24"/>
        </w:rPr>
        <w:t>9,3</w:t>
      </w:r>
      <w:r w:rsidR="008E4687" w:rsidRPr="00650ED8">
        <w:rPr>
          <w:rFonts w:ascii="Tahoma" w:hAnsi="Tahoma" w:cs="Tahoma"/>
          <w:bCs/>
          <w:sz w:val="24"/>
          <w:szCs w:val="24"/>
        </w:rPr>
        <w:t>%</w:t>
      </w:r>
      <w:r w:rsidRPr="00650ED8">
        <w:rPr>
          <w:rFonts w:ascii="Tahoma" w:hAnsi="Tahoma" w:cs="Tahoma"/>
          <w:bCs/>
          <w:sz w:val="24"/>
          <w:szCs w:val="24"/>
        </w:rPr>
        <w:t>.</w:t>
      </w:r>
      <w:r w:rsidR="00AF0A9B" w:rsidRPr="00650ED8">
        <w:rPr>
          <w:rFonts w:ascii="Tahoma" w:hAnsi="Tahoma" w:cs="Tahoma"/>
          <w:bCs/>
          <w:sz w:val="24"/>
          <w:szCs w:val="24"/>
        </w:rPr>
        <w:t xml:space="preserve"> </w:t>
      </w:r>
    </w:p>
    <w:p w:rsidR="00887EDA" w:rsidRPr="00650ED8" w:rsidRDefault="00AF0A9B" w:rsidP="007A0021">
      <w:pPr>
        <w:autoSpaceDE w:val="0"/>
        <w:autoSpaceDN w:val="0"/>
        <w:adjustRightInd w:val="0"/>
        <w:spacing w:after="120" w:line="276" w:lineRule="auto"/>
        <w:jc w:val="both"/>
        <w:rPr>
          <w:rFonts w:ascii="Tahoma" w:hAnsi="Tahoma" w:cs="Tahoma"/>
          <w:bCs/>
          <w:sz w:val="24"/>
          <w:szCs w:val="24"/>
        </w:rPr>
      </w:pPr>
      <w:r w:rsidRPr="00650ED8">
        <w:rPr>
          <w:rFonts w:ascii="Tahoma" w:hAnsi="Tahoma" w:cs="Tahoma"/>
          <w:bCs/>
          <w:sz w:val="24"/>
          <w:szCs w:val="24"/>
        </w:rPr>
        <w:t xml:space="preserve">Evoluția încasărilor față de încasările din perioada similară a anului precedent s-a datorat încasărilor înregistrate la bugetul de stat </w:t>
      </w:r>
      <w:r w:rsidR="00887EDA" w:rsidRPr="00650ED8">
        <w:rPr>
          <w:rFonts w:ascii="Tahoma" w:hAnsi="Tahoma" w:cs="Tahoma"/>
          <w:bCs/>
          <w:sz w:val="24"/>
          <w:szCs w:val="24"/>
        </w:rPr>
        <w:t xml:space="preserve">unde s-a înregistrat o reducere semnificativă a veniturilor din contribuția la Fondul de Tranziție Energetică. </w:t>
      </w:r>
    </w:p>
    <w:p w:rsidR="00887EDA" w:rsidRPr="00650ED8" w:rsidRDefault="00DD52A5" w:rsidP="007A0021">
      <w:pPr>
        <w:autoSpaceDE w:val="0"/>
        <w:autoSpaceDN w:val="0"/>
        <w:adjustRightInd w:val="0"/>
        <w:spacing w:after="120" w:line="276" w:lineRule="auto"/>
        <w:jc w:val="both"/>
        <w:rPr>
          <w:rFonts w:ascii="Tahoma" w:hAnsi="Tahoma" w:cs="Tahoma"/>
          <w:sz w:val="24"/>
          <w:szCs w:val="24"/>
        </w:rPr>
      </w:pPr>
      <w:r w:rsidRPr="00650ED8">
        <w:rPr>
          <w:rFonts w:ascii="Tahoma" w:hAnsi="Tahoma" w:cs="Tahoma"/>
          <w:sz w:val="24"/>
          <w:szCs w:val="24"/>
        </w:rPr>
        <w:t xml:space="preserve">Încasările din </w:t>
      </w:r>
      <w:r w:rsidRPr="00650ED8">
        <w:rPr>
          <w:rFonts w:ascii="Tahoma" w:hAnsi="Tahoma" w:cs="Tahoma"/>
          <w:b/>
          <w:sz w:val="24"/>
          <w:szCs w:val="24"/>
        </w:rPr>
        <w:t>taxele pe utilizarea bunurilor</w:t>
      </w:r>
      <w:r w:rsidR="002C3B7D" w:rsidRPr="00650ED8">
        <w:rPr>
          <w:rFonts w:ascii="Tahoma" w:hAnsi="Tahoma" w:cs="Tahoma"/>
          <w:b/>
          <w:i/>
          <w:sz w:val="24"/>
          <w:szCs w:val="24"/>
        </w:rPr>
        <w:t xml:space="preserve"> </w:t>
      </w:r>
      <w:r w:rsidR="00502B73" w:rsidRPr="00650ED8">
        <w:rPr>
          <w:rFonts w:ascii="Tahoma" w:hAnsi="Tahoma" w:cs="Tahoma"/>
          <w:sz w:val="24"/>
          <w:szCs w:val="24"/>
        </w:rPr>
        <w:t xml:space="preserve">au fost în sumă de </w:t>
      </w:r>
      <w:r w:rsidR="00E77E4C" w:rsidRPr="00650ED8">
        <w:rPr>
          <w:rFonts w:ascii="Tahoma" w:hAnsi="Tahoma" w:cs="Tahoma"/>
          <w:sz w:val="24"/>
          <w:szCs w:val="24"/>
        </w:rPr>
        <w:t>1,7</w:t>
      </w:r>
      <w:r w:rsidR="00CB2AE3" w:rsidRPr="00650ED8">
        <w:rPr>
          <w:rFonts w:ascii="Tahoma" w:hAnsi="Tahoma" w:cs="Tahoma"/>
          <w:sz w:val="24"/>
          <w:szCs w:val="24"/>
        </w:rPr>
        <w:t>4</w:t>
      </w:r>
      <w:r w:rsidRPr="00650ED8">
        <w:rPr>
          <w:rFonts w:ascii="Tahoma" w:hAnsi="Tahoma" w:cs="Tahoma"/>
          <w:sz w:val="24"/>
          <w:szCs w:val="24"/>
        </w:rPr>
        <w:t xml:space="preserve"> </w:t>
      </w:r>
      <w:r w:rsidR="00602503" w:rsidRPr="00650ED8">
        <w:rPr>
          <w:rFonts w:ascii="Tahoma" w:hAnsi="Tahoma" w:cs="Tahoma"/>
          <w:sz w:val="24"/>
          <w:szCs w:val="24"/>
        </w:rPr>
        <w:t>miliarde</w:t>
      </w:r>
      <w:r w:rsidR="00713D80" w:rsidRPr="00650ED8">
        <w:rPr>
          <w:rFonts w:ascii="Tahoma" w:hAnsi="Tahoma" w:cs="Tahoma"/>
          <w:sz w:val="24"/>
          <w:szCs w:val="24"/>
        </w:rPr>
        <w:t xml:space="preserve"> </w:t>
      </w:r>
      <w:r w:rsidRPr="00650ED8">
        <w:rPr>
          <w:rFonts w:ascii="Tahoma" w:hAnsi="Tahoma" w:cs="Tahoma"/>
          <w:sz w:val="24"/>
          <w:szCs w:val="24"/>
        </w:rPr>
        <w:t xml:space="preserve">lei, </w:t>
      </w:r>
      <w:r w:rsidR="004840C3" w:rsidRPr="00650ED8">
        <w:rPr>
          <w:rFonts w:ascii="Tahoma" w:hAnsi="Tahoma" w:cs="Tahoma"/>
          <w:sz w:val="24"/>
          <w:szCs w:val="24"/>
        </w:rPr>
        <w:t xml:space="preserve">cu </w:t>
      </w:r>
      <w:r w:rsidR="00CB2AE3" w:rsidRPr="00650ED8">
        <w:rPr>
          <w:rFonts w:ascii="Tahoma" w:hAnsi="Tahoma" w:cs="Tahoma"/>
          <w:sz w:val="24"/>
          <w:szCs w:val="24"/>
        </w:rPr>
        <w:t>15,8</w:t>
      </w:r>
      <w:r w:rsidR="004840C3" w:rsidRPr="00650ED8">
        <w:rPr>
          <w:rFonts w:ascii="Tahoma" w:hAnsi="Tahoma" w:cs="Tahoma"/>
          <w:sz w:val="24"/>
          <w:szCs w:val="24"/>
        </w:rPr>
        <w:t xml:space="preserve">% mai </w:t>
      </w:r>
      <w:r w:rsidR="00AF0A9B" w:rsidRPr="00650ED8">
        <w:rPr>
          <w:rFonts w:ascii="Tahoma" w:hAnsi="Tahoma" w:cs="Tahoma"/>
          <w:sz w:val="24"/>
          <w:szCs w:val="24"/>
        </w:rPr>
        <w:t>mari</w:t>
      </w:r>
      <w:r w:rsidR="004840C3" w:rsidRPr="00650ED8">
        <w:rPr>
          <w:rFonts w:ascii="Tahoma" w:hAnsi="Tahoma" w:cs="Tahoma"/>
          <w:sz w:val="24"/>
          <w:szCs w:val="24"/>
        </w:rPr>
        <w:t xml:space="preserve"> </w:t>
      </w:r>
      <w:r w:rsidR="00565196" w:rsidRPr="00650ED8">
        <w:rPr>
          <w:rFonts w:ascii="Tahoma" w:hAnsi="Tahoma" w:cs="Tahoma"/>
          <w:sz w:val="24"/>
          <w:szCs w:val="24"/>
        </w:rPr>
        <w:t xml:space="preserve">comparativ cu </w:t>
      </w:r>
      <w:r w:rsidR="00E77E4C" w:rsidRPr="00650ED8">
        <w:rPr>
          <w:rFonts w:ascii="Tahoma" w:hAnsi="Tahoma" w:cs="Tahoma"/>
          <w:sz w:val="24"/>
          <w:szCs w:val="24"/>
        </w:rPr>
        <w:t>încasările din trimestrul II</w:t>
      </w:r>
      <w:r w:rsidR="00CB2AE3" w:rsidRPr="00650ED8">
        <w:rPr>
          <w:rFonts w:ascii="Tahoma" w:hAnsi="Tahoma" w:cs="Tahoma"/>
          <w:sz w:val="24"/>
          <w:szCs w:val="24"/>
        </w:rPr>
        <w:t>I</w:t>
      </w:r>
      <w:r w:rsidR="00565196" w:rsidRPr="00650ED8">
        <w:rPr>
          <w:rFonts w:ascii="Tahoma" w:hAnsi="Tahoma" w:cs="Tahoma"/>
          <w:sz w:val="24"/>
          <w:szCs w:val="24"/>
        </w:rPr>
        <w:t xml:space="preserve"> 20</w:t>
      </w:r>
      <w:r w:rsidR="004840C3" w:rsidRPr="00650ED8">
        <w:rPr>
          <w:rFonts w:ascii="Tahoma" w:hAnsi="Tahoma" w:cs="Tahoma"/>
          <w:sz w:val="24"/>
          <w:szCs w:val="24"/>
        </w:rPr>
        <w:t>2</w:t>
      </w:r>
      <w:r w:rsidR="00986F04" w:rsidRPr="00650ED8">
        <w:rPr>
          <w:rFonts w:ascii="Tahoma" w:hAnsi="Tahoma" w:cs="Tahoma"/>
          <w:sz w:val="24"/>
          <w:szCs w:val="24"/>
        </w:rPr>
        <w:t>3</w:t>
      </w:r>
      <w:r w:rsidR="00565196" w:rsidRPr="00650ED8">
        <w:rPr>
          <w:rFonts w:ascii="Tahoma" w:hAnsi="Tahoma" w:cs="Tahoma"/>
          <w:sz w:val="24"/>
          <w:szCs w:val="24"/>
        </w:rPr>
        <w:t xml:space="preserve">, în principal ca urmare a </w:t>
      </w:r>
      <w:r w:rsidR="009D126E" w:rsidRPr="00650ED8">
        <w:rPr>
          <w:rFonts w:ascii="Tahoma" w:hAnsi="Tahoma" w:cs="Tahoma"/>
          <w:sz w:val="24"/>
          <w:szCs w:val="24"/>
        </w:rPr>
        <w:t xml:space="preserve">evoluției pozitive înregistrate atât </w:t>
      </w:r>
      <w:r w:rsidR="00887EDA" w:rsidRPr="00650ED8">
        <w:rPr>
          <w:rFonts w:ascii="Tahoma" w:hAnsi="Tahoma" w:cs="Tahoma"/>
          <w:sz w:val="24"/>
          <w:szCs w:val="24"/>
        </w:rPr>
        <w:t>la bugetele locale(+</w:t>
      </w:r>
      <w:r w:rsidR="00774B81" w:rsidRPr="00650ED8">
        <w:rPr>
          <w:rFonts w:ascii="Tahoma" w:hAnsi="Tahoma" w:cs="Tahoma"/>
          <w:sz w:val="24"/>
          <w:szCs w:val="24"/>
        </w:rPr>
        <w:t>13,0</w:t>
      </w:r>
      <w:r w:rsidR="00887EDA" w:rsidRPr="00650ED8">
        <w:rPr>
          <w:rFonts w:ascii="Tahoma" w:hAnsi="Tahoma" w:cs="Tahoma"/>
          <w:sz w:val="24"/>
          <w:szCs w:val="24"/>
        </w:rPr>
        <w:t xml:space="preserve">%) cât și </w:t>
      </w:r>
      <w:r w:rsidR="009D126E" w:rsidRPr="00650ED8">
        <w:rPr>
          <w:rFonts w:ascii="Tahoma" w:hAnsi="Tahoma" w:cs="Tahoma"/>
          <w:sz w:val="24"/>
          <w:szCs w:val="24"/>
        </w:rPr>
        <w:t>l</w:t>
      </w:r>
      <w:r w:rsidR="00005DE0" w:rsidRPr="00650ED8">
        <w:rPr>
          <w:rFonts w:ascii="Tahoma" w:hAnsi="Tahoma" w:cs="Tahoma"/>
          <w:sz w:val="24"/>
          <w:szCs w:val="24"/>
        </w:rPr>
        <w:t>a</w:t>
      </w:r>
      <w:r w:rsidR="009D126E" w:rsidRPr="00650ED8">
        <w:rPr>
          <w:rFonts w:ascii="Tahoma" w:hAnsi="Tahoma" w:cs="Tahoma"/>
          <w:sz w:val="24"/>
          <w:szCs w:val="24"/>
        </w:rPr>
        <w:t xml:space="preserve"> bugetul </w:t>
      </w:r>
      <w:r w:rsidR="00476FCC" w:rsidRPr="00650ED8">
        <w:rPr>
          <w:rFonts w:ascii="Tahoma" w:hAnsi="Tahoma" w:cs="Tahoma"/>
          <w:sz w:val="24"/>
          <w:szCs w:val="24"/>
        </w:rPr>
        <w:t>instit</w:t>
      </w:r>
      <w:r w:rsidR="00887EDA" w:rsidRPr="00650ED8">
        <w:rPr>
          <w:rFonts w:ascii="Tahoma" w:hAnsi="Tahoma" w:cs="Tahoma"/>
          <w:sz w:val="24"/>
          <w:szCs w:val="24"/>
        </w:rPr>
        <w:t>uțiilor publice și activităților fin</w:t>
      </w:r>
      <w:r w:rsidR="00EB6780" w:rsidRPr="00650ED8">
        <w:rPr>
          <w:rFonts w:ascii="Tahoma" w:hAnsi="Tahoma" w:cs="Tahoma"/>
          <w:sz w:val="24"/>
          <w:szCs w:val="24"/>
        </w:rPr>
        <w:t>an</w:t>
      </w:r>
      <w:r w:rsidR="00887EDA" w:rsidRPr="00650ED8">
        <w:rPr>
          <w:rFonts w:ascii="Tahoma" w:hAnsi="Tahoma" w:cs="Tahoma"/>
          <w:sz w:val="24"/>
          <w:szCs w:val="24"/>
        </w:rPr>
        <w:t>țate integral sau parțial din venituri proprii</w:t>
      </w:r>
      <w:r w:rsidR="009D126E" w:rsidRPr="00650ED8">
        <w:rPr>
          <w:rFonts w:ascii="Tahoma" w:hAnsi="Tahoma" w:cs="Tahoma"/>
          <w:sz w:val="24"/>
          <w:szCs w:val="24"/>
        </w:rPr>
        <w:t xml:space="preserve"> (+</w:t>
      </w:r>
      <w:r w:rsidR="00774B81" w:rsidRPr="00650ED8">
        <w:rPr>
          <w:rFonts w:ascii="Tahoma" w:hAnsi="Tahoma" w:cs="Tahoma"/>
          <w:sz w:val="24"/>
          <w:szCs w:val="24"/>
        </w:rPr>
        <w:t>247,1</w:t>
      </w:r>
      <w:r w:rsidR="009D126E" w:rsidRPr="00650ED8">
        <w:rPr>
          <w:rFonts w:ascii="Tahoma" w:hAnsi="Tahoma" w:cs="Tahoma"/>
          <w:sz w:val="24"/>
          <w:szCs w:val="24"/>
        </w:rPr>
        <w:t>%)</w:t>
      </w:r>
      <w:r w:rsidR="00887EDA" w:rsidRPr="00650ED8">
        <w:rPr>
          <w:rFonts w:ascii="Tahoma" w:hAnsi="Tahoma" w:cs="Tahoma"/>
          <w:sz w:val="24"/>
          <w:szCs w:val="24"/>
        </w:rPr>
        <w:t>.</w:t>
      </w:r>
    </w:p>
    <w:p w:rsidR="003F6F02" w:rsidRPr="00650ED8" w:rsidRDefault="009D126E" w:rsidP="00CB2AE3">
      <w:pPr>
        <w:autoSpaceDE w:val="0"/>
        <w:autoSpaceDN w:val="0"/>
        <w:adjustRightInd w:val="0"/>
        <w:spacing w:after="120" w:line="276" w:lineRule="auto"/>
        <w:jc w:val="both"/>
        <w:rPr>
          <w:rFonts w:ascii="Tahoma" w:eastAsia="Calibri" w:hAnsi="Tahoma" w:cs="Tahoma"/>
          <w:bCs/>
          <w:sz w:val="24"/>
          <w:szCs w:val="24"/>
        </w:rPr>
      </w:pPr>
      <w:r w:rsidRPr="00650ED8">
        <w:rPr>
          <w:rFonts w:ascii="Tahoma" w:eastAsia="Calibri" w:hAnsi="Tahoma" w:cs="Tahoma"/>
          <w:sz w:val="24"/>
          <w:szCs w:val="24"/>
        </w:rPr>
        <w:t xml:space="preserve">La bugetul de stat </w:t>
      </w:r>
      <w:r w:rsidR="00887EDA" w:rsidRPr="00650ED8">
        <w:rPr>
          <w:rFonts w:ascii="Tahoma" w:eastAsia="Calibri" w:hAnsi="Tahoma" w:cs="Tahoma"/>
          <w:sz w:val="24"/>
          <w:szCs w:val="24"/>
        </w:rPr>
        <w:t xml:space="preserve">încasările au înregistrat </w:t>
      </w:r>
      <w:r w:rsidR="00CB2AE3" w:rsidRPr="00650ED8">
        <w:rPr>
          <w:rFonts w:ascii="Tahoma" w:eastAsia="Calibri" w:hAnsi="Tahoma" w:cs="Tahoma"/>
          <w:bCs/>
          <w:sz w:val="24"/>
          <w:szCs w:val="24"/>
        </w:rPr>
        <w:t xml:space="preserve">o creștere cu 8,6% (+0,1 miliarde lei) față de aceeași perioadă a anului 2023 pe fondul evoluției </w:t>
      </w:r>
      <w:r w:rsidR="00CB2AE3" w:rsidRPr="00650ED8">
        <w:rPr>
          <w:rFonts w:ascii="Tahoma" w:eastAsia="Calibri" w:hAnsi="Tahoma" w:cs="Tahoma"/>
          <w:sz w:val="24"/>
          <w:szCs w:val="24"/>
        </w:rPr>
        <w:t>î</w:t>
      </w:r>
      <w:r w:rsidR="00CB2AE3" w:rsidRPr="00650ED8">
        <w:rPr>
          <w:rFonts w:ascii="Tahoma" w:eastAsia="Calibri" w:hAnsi="Tahoma" w:cs="Tahoma"/>
          <w:bCs/>
          <w:sz w:val="24"/>
          <w:szCs w:val="24"/>
        </w:rPr>
        <w:t xml:space="preserve">ncasărilor din taxele pentru jocurile de noroc ce înregistrează față de aceeași perioadă a anului 2023 o dinamică pozitivă de 8,7% (+0,1 miliarde lei). </w:t>
      </w:r>
    </w:p>
    <w:p w:rsidR="003F6F02" w:rsidRPr="00650ED8" w:rsidRDefault="00D64FFE" w:rsidP="003F6F02">
      <w:pPr>
        <w:autoSpaceDE w:val="0"/>
        <w:autoSpaceDN w:val="0"/>
        <w:adjustRightInd w:val="0"/>
        <w:spacing w:after="120" w:line="276" w:lineRule="auto"/>
        <w:jc w:val="both"/>
        <w:rPr>
          <w:rFonts w:ascii="Tahoma" w:hAnsi="Tahoma" w:cs="Tahoma"/>
          <w:bCs/>
          <w:sz w:val="24"/>
          <w:szCs w:val="24"/>
        </w:rPr>
      </w:pPr>
      <w:r w:rsidRPr="00650ED8">
        <w:rPr>
          <w:rFonts w:ascii="Tahoma" w:hAnsi="Tahoma" w:cs="Tahoma"/>
          <w:sz w:val="24"/>
          <w:szCs w:val="24"/>
        </w:rPr>
        <w:t xml:space="preserve">Gradul de realizare al programului de încasări pentru perioada analizată este de </w:t>
      </w:r>
      <w:r w:rsidR="00CB2AE3" w:rsidRPr="00650ED8">
        <w:rPr>
          <w:rFonts w:ascii="Tahoma" w:hAnsi="Tahoma" w:cs="Tahoma"/>
          <w:sz w:val="24"/>
          <w:szCs w:val="24"/>
        </w:rPr>
        <w:t>101,8</w:t>
      </w:r>
      <w:r w:rsidRPr="00650ED8">
        <w:rPr>
          <w:rFonts w:ascii="Tahoma" w:hAnsi="Tahoma" w:cs="Tahoma"/>
          <w:sz w:val="24"/>
          <w:szCs w:val="24"/>
        </w:rPr>
        <w:t xml:space="preserve">%, această evoluție fiind susținută </w:t>
      </w:r>
      <w:r w:rsidR="00774B81" w:rsidRPr="00650ED8">
        <w:rPr>
          <w:rFonts w:ascii="Tahoma" w:hAnsi="Tahoma" w:cs="Tahoma"/>
          <w:sz w:val="24"/>
          <w:szCs w:val="24"/>
        </w:rPr>
        <w:t xml:space="preserve">de </w:t>
      </w:r>
      <w:r w:rsidRPr="00650ED8">
        <w:rPr>
          <w:rFonts w:ascii="Tahoma" w:hAnsi="Tahoma" w:cs="Tahoma"/>
          <w:sz w:val="24"/>
          <w:szCs w:val="24"/>
        </w:rPr>
        <w:t xml:space="preserve">nivelul </w:t>
      </w:r>
      <w:r w:rsidR="00774B81" w:rsidRPr="00650ED8">
        <w:rPr>
          <w:rFonts w:ascii="Tahoma" w:hAnsi="Tahoma" w:cs="Tahoma"/>
          <w:sz w:val="24"/>
          <w:szCs w:val="24"/>
        </w:rPr>
        <w:t xml:space="preserve">superior al încasărilor față de nivelul programat </w:t>
      </w:r>
      <w:r w:rsidR="00F33025" w:rsidRPr="00650ED8">
        <w:rPr>
          <w:rFonts w:ascii="Tahoma" w:hAnsi="Tahoma" w:cs="Tahoma"/>
          <w:sz w:val="24"/>
          <w:szCs w:val="24"/>
        </w:rPr>
        <w:t xml:space="preserve">la </w:t>
      </w:r>
      <w:r w:rsidR="00774B81" w:rsidRPr="00650ED8">
        <w:rPr>
          <w:rFonts w:ascii="Tahoma" w:hAnsi="Tahoma" w:cs="Tahoma"/>
          <w:sz w:val="24"/>
          <w:szCs w:val="24"/>
        </w:rPr>
        <w:t xml:space="preserve">bugetul instituțiilor publice și activităților finanțate integral sau parțial din venituri proprii. </w:t>
      </w:r>
    </w:p>
    <w:p w:rsidR="00B802A4" w:rsidRPr="00650ED8" w:rsidRDefault="00DD52A5" w:rsidP="007A0021">
      <w:pPr>
        <w:shd w:val="clear" w:color="auto" w:fill="FFFFFF"/>
        <w:tabs>
          <w:tab w:val="left" w:pos="810"/>
          <w:tab w:val="left" w:pos="1710"/>
        </w:tabs>
        <w:suppressAutoHyphens/>
        <w:autoSpaceDE w:val="0"/>
        <w:autoSpaceDN w:val="0"/>
        <w:adjustRightInd w:val="0"/>
        <w:spacing w:before="120" w:after="120" w:line="276" w:lineRule="auto"/>
        <w:jc w:val="both"/>
        <w:rPr>
          <w:rFonts w:ascii="Tahoma" w:hAnsi="Tahoma" w:cs="Tahoma"/>
          <w:sz w:val="24"/>
          <w:szCs w:val="24"/>
        </w:rPr>
      </w:pPr>
      <w:r w:rsidRPr="00650ED8">
        <w:rPr>
          <w:rFonts w:ascii="Tahoma" w:hAnsi="Tahoma" w:cs="Tahoma"/>
          <w:sz w:val="24"/>
          <w:szCs w:val="24"/>
        </w:rPr>
        <w:t>Încasările din</w:t>
      </w:r>
      <w:r w:rsidRPr="00650ED8">
        <w:rPr>
          <w:rFonts w:ascii="Tahoma" w:hAnsi="Tahoma" w:cs="Tahoma"/>
          <w:b/>
          <w:bCs/>
          <w:sz w:val="24"/>
          <w:szCs w:val="24"/>
        </w:rPr>
        <w:t xml:space="preserve"> impozitul pe comerț exterior </w:t>
      </w:r>
      <w:r w:rsidR="00640FBB" w:rsidRPr="00650ED8">
        <w:rPr>
          <w:rFonts w:ascii="Tahoma" w:hAnsi="Tahoma" w:cs="Tahoma"/>
          <w:b/>
          <w:bCs/>
          <w:sz w:val="24"/>
          <w:szCs w:val="24"/>
        </w:rPr>
        <w:t>și</w:t>
      </w:r>
      <w:r w:rsidRPr="00650ED8">
        <w:rPr>
          <w:rFonts w:ascii="Tahoma" w:hAnsi="Tahoma" w:cs="Tahoma"/>
          <w:b/>
          <w:bCs/>
          <w:sz w:val="24"/>
          <w:szCs w:val="24"/>
        </w:rPr>
        <w:t xml:space="preserve"> tranzacțiile internaționale</w:t>
      </w:r>
      <w:r w:rsidRPr="00650ED8">
        <w:rPr>
          <w:rFonts w:ascii="Tahoma" w:hAnsi="Tahoma" w:cs="Tahoma"/>
          <w:sz w:val="24"/>
          <w:szCs w:val="24"/>
        </w:rPr>
        <w:t xml:space="preserve"> </w:t>
      </w:r>
      <w:r w:rsidR="00CB2AE3" w:rsidRPr="00650ED8">
        <w:rPr>
          <w:rFonts w:ascii="Tahoma" w:hAnsi="Tahoma" w:cs="Tahoma"/>
          <w:sz w:val="24"/>
          <w:szCs w:val="24"/>
        </w:rPr>
        <w:t xml:space="preserve">au totalizat 0,59 miliarde lei </w:t>
      </w:r>
      <w:r w:rsidR="00A06F7F" w:rsidRPr="00650ED8">
        <w:rPr>
          <w:rFonts w:ascii="Tahoma" w:hAnsi="Tahoma" w:cs="Tahoma"/>
          <w:sz w:val="24"/>
          <w:szCs w:val="24"/>
        </w:rPr>
        <w:t xml:space="preserve">cu </w:t>
      </w:r>
      <w:r w:rsidR="00CB2AE3" w:rsidRPr="00650ED8">
        <w:rPr>
          <w:rFonts w:ascii="Tahoma" w:hAnsi="Tahoma" w:cs="Tahoma"/>
          <w:sz w:val="24"/>
          <w:szCs w:val="24"/>
        </w:rPr>
        <w:t xml:space="preserve">40,5% mai mari comparativ cu trimestrul III 2023, </w:t>
      </w:r>
      <w:r w:rsidR="00B802A4" w:rsidRPr="00650ED8">
        <w:rPr>
          <w:rFonts w:ascii="Tahoma" w:hAnsi="Tahoma" w:cs="Tahoma"/>
          <w:bCs/>
          <w:sz w:val="24"/>
          <w:szCs w:val="24"/>
        </w:rPr>
        <w:t xml:space="preserve">în condițiile unei </w:t>
      </w:r>
      <w:r w:rsidR="009666CD" w:rsidRPr="00650ED8">
        <w:rPr>
          <w:rFonts w:ascii="Tahoma" w:hAnsi="Tahoma" w:cs="Tahoma"/>
          <w:bCs/>
          <w:sz w:val="24"/>
          <w:szCs w:val="24"/>
        </w:rPr>
        <w:t>creșteri</w:t>
      </w:r>
      <w:r w:rsidR="00B802A4" w:rsidRPr="00650ED8">
        <w:rPr>
          <w:rFonts w:ascii="Tahoma" w:hAnsi="Tahoma" w:cs="Tahoma"/>
          <w:sz w:val="24"/>
          <w:szCs w:val="24"/>
        </w:rPr>
        <w:t xml:space="preserve"> a importurilor (Extra-UE27)</w:t>
      </w:r>
      <w:r w:rsidR="00B802A4" w:rsidRPr="00650ED8">
        <w:rPr>
          <w:rFonts w:ascii="Tahoma" w:hAnsi="Tahoma" w:cs="Tahoma"/>
          <w:bCs/>
          <w:sz w:val="24"/>
          <w:szCs w:val="24"/>
        </w:rPr>
        <w:t xml:space="preserve"> </w:t>
      </w:r>
      <w:r w:rsidR="00B802A4" w:rsidRPr="00650ED8">
        <w:rPr>
          <w:rFonts w:ascii="Tahoma" w:hAnsi="Tahoma" w:cs="Tahoma"/>
          <w:sz w:val="24"/>
          <w:szCs w:val="24"/>
        </w:rPr>
        <w:t xml:space="preserve">cu </w:t>
      </w:r>
      <w:r w:rsidR="00803278" w:rsidRPr="00650ED8">
        <w:rPr>
          <w:rFonts w:ascii="Tahoma" w:hAnsi="Tahoma" w:cs="Tahoma"/>
          <w:sz w:val="24"/>
          <w:szCs w:val="24"/>
        </w:rPr>
        <w:t>18</w:t>
      </w:r>
      <w:r w:rsidR="00B802A4" w:rsidRPr="00650ED8">
        <w:rPr>
          <w:rFonts w:ascii="Tahoma" w:hAnsi="Tahoma" w:cs="Tahoma"/>
          <w:sz w:val="24"/>
          <w:szCs w:val="24"/>
        </w:rPr>
        <w:t>%</w:t>
      </w:r>
      <w:r w:rsidR="00B802A4" w:rsidRPr="00650ED8">
        <w:rPr>
          <w:rFonts w:ascii="Tahoma" w:hAnsi="Tahoma" w:cs="Tahoma"/>
          <w:sz w:val="24"/>
          <w:szCs w:val="24"/>
          <w:vertAlign w:val="superscript"/>
        </w:rPr>
        <w:footnoteReference w:id="13"/>
      </w:r>
      <w:r w:rsidR="00D071D7" w:rsidRPr="00650ED8">
        <w:rPr>
          <w:rFonts w:ascii="Tahoma" w:hAnsi="Tahoma" w:cs="Tahoma"/>
          <w:sz w:val="24"/>
          <w:szCs w:val="24"/>
        </w:rPr>
        <w:t>.</w:t>
      </w:r>
      <w:r w:rsidR="00290D1A" w:rsidRPr="00650ED8">
        <w:rPr>
          <w:rFonts w:ascii="Tahoma" w:hAnsi="Tahoma" w:cs="Tahoma"/>
          <w:sz w:val="24"/>
          <w:szCs w:val="24"/>
        </w:rPr>
        <w:t xml:space="preserve"> Încasările din </w:t>
      </w:r>
      <w:r w:rsidR="00290D1A" w:rsidRPr="00650ED8">
        <w:rPr>
          <w:rFonts w:ascii="Tahoma" w:hAnsi="Tahoma" w:cs="Tahoma"/>
          <w:b/>
          <w:bCs/>
          <w:sz w:val="24"/>
          <w:szCs w:val="24"/>
        </w:rPr>
        <w:t>impozitul pe comerț exterior și tranzacțiile internaționale</w:t>
      </w:r>
      <w:r w:rsidR="003B1016" w:rsidRPr="00650ED8">
        <w:rPr>
          <w:rFonts w:ascii="Tahoma" w:hAnsi="Tahoma" w:cs="Tahoma"/>
          <w:sz w:val="24"/>
          <w:szCs w:val="24"/>
        </w:rPr>
        <w:t xml:space="preserve"> </w:t>
      </w:r>
      <w:r w:rsidR="00290D1A" w:rsidRPr="00650ED8">
        <w:rPr>
          <w:rFonts w:ascii="Tahoma" w:hAnsi="Tahoma" w:cs="Tahoma"/>
          <w:sz w:val="24"/>
          <w:szCs w:val="24"/>
        </w:rPr>
        <w:t>au atins nivelul programat pentru perioada analizată.</w:t>
      </w:r>
    </w:p>
    <w:p w:rsidR="003323E2" w:rsidRPr="00650ED8" w:rsidRDefault="009F5BBF" w:rsidP="003323E2">
      <w:pPr>
        <w:tabs>
          <w:tab w:val="left" w:pos="284"/>
        </w:tabs>
        <w:autoSpaceDE w:val="0"/>
        <w:autoSpaceDN w:val="0"/>
        <w:adjustRightInd w:val="0"/>
        <w:spacing w:after="120" w:line="276" w:lineRule="auto"/>
        <w:jc w:val="both"/>
        <w:rPr>
          <w:rFonts w:ascii="Tahoma" w:eastAsia="Calibri" w:hAnsi="Tahoma" w:cs="Tahoma"/>
          <w:sz w:val="24"/>
          <w:szCs w:val="24"/>
        </w:rPr>
      </w:pPr>
      <w:r w:rsidRPr="00650ED8">
        <w:rPr>
          <w:rFonts w:ascii="Tahoma" w:eastAsia="Calibri" w:hAnsi="Tahoma" w:cs="Tahoma"/>
          <w:b/>
          <w:sz w:val="24"/>
          <w:szCs w:val="24"/>
        </w:rPr>
        <w:lastRenderedPageBreak/>
        <w:t>Contribuțiile sociale</w:t>
      </w:r>
      <w:r w:rsidRPr="00650ED8">
        <w:rPr>
          <w:rFonts w:ascii="Tahoma" w:eastAsia="Calibri" w:hAnsi="Tahoma" w:cs="Tahoma"/>
          <w:sz w:val="24"/>
          <w:szCs w:val="24"/>
        </w:rPr>
        <w:t xml:space="preserve"> </w:t>
      </w:r>
      <w:r w:rsidR="003323E2" w:rsidRPr="00650ED8">
        <w:rPr>
          <w:rFonts w:ascii="Tahoma" w:eastAsia="Calibri" w:hAnsi="Tahoma" w:cs="Tahoma"/>
          <w:sz w:val="24"/>
          <w:szCs w:val="24"/>
        </w:rPr>
        <w:t xml:space="preserve">în sumă de </w:t>
      </w:r>
      <w:r w:rsidR="00E77E4C" w:rsidRPr="00650ED8">
        <w:rPr>
          <w:rFonts w:ascii="Tahoma" w:eastAsia="Calibri" w:hAnsi="Tahoma" w:cs="Tahoma"/>
          <w:sz w:val="24"/>
          <w:szCs w:val="24"/>
        </w:rPr>
        <w:t>47,</w:t>
      </w:r>
      <w:r w:rsidR="00290D1A" w:rsidRPr="00650ED8">
        <w:rPr>
          <w:rFonts w:ascii="Tahoma" w:eastAsia="Calibri" w:hAnsi="Tahoma" w:cs="Tahoma"/>
          <w:sz w:val="24"/>
          <w:szCs w:val="24"/>
        </w:rPr>
        <w:t>35</w:t>
      </w:r>
      <w:r w:rsidR="003323E2" w:rsidRPr="00650ED8">
        <w:rPr>
          <w:rFonts w:ascii="Tahoma" w:eastAsia="Calibri" w:hAnsi="Tahoma" w:cs="Tahoma"/>
          <w:sz w:val="24"/>
          <w:szCs w:val="24"/>
        </w:rPr>
        <w:t xml:space="preserve"> miliarde lei, înregistrează, comparativ cu ace</w:t>
      </w:r>
      <w:r w:rsidR="007D68C1" w:rsidRPr="00650ED8">
        <w:rPr>
          <w:rFonts w:ascii="Tahoma" w:eastAsia="Calibri" w:hAnsi="Tahoma" w:cs="Tahoma"/>
          <w:sz w:val="24"/>
          <w:szCs w:val="24"/>
        </w:rPr>
        <w:t>e</w:t>
      </w:r>
      <w:r w:rsidR="003323E2" w:rsidRPr="00650ED8">
        <w:rPr>
          <w:rFonts w:ascii="Tahoma" w:eastAsia="Calibri" w:hAnsi="Tahoma" w:cs="Tahoma"/>
          <w:sz w:val="24"/>
          <w:szCs w:val="24"/>
        </w:rPr>
        <w:t xml:space="preserve">ași perioadă a anului precedent, o creștere de </w:t>
      </w:r>
      <w:r w:rsidR="00290D1A" w:rsidRPr="00650ED8">
        <w:rPr>
          <w:rFonts w:ascii="Tahoma" w:eastAsia="Calibri" w:hAnsi="Tahoma" w:cs="Tahoma"/>
          <w:sz w:val="24"/>
          <w:szCs w:val="24"/>
        </w:rPr>
        <w:t>18,4</w:t>
      </w:r>
      <w:r w:rsidR="003323E2" w:rsidRPr="00650ED8">
        <w:rPr>
          <w:rFonts w:ascii="Tahoma" w:eastAsia="Calibri" w:hAnsi="Tahoma" w:cs="Tahoma"/>
          <w:sz w:val="24"/>
          <w:szCs w:val="24"/>
        </w:rPr>
        <w:t>% (+</w:t>
      </w:r>
      <w:r w:rsidR="00E77E4C" w:rsidRPr="00650ED8">
        <w:rPr>
          <w:rFonts w:ascii="Tahoma" w:eastAsia="Calibri" w:hAnsi="Tahoma" w:cs="Tahoma"/>
          <w:sz w:val="24"/>
          <w:szCs w:val="24"/>
        </w:rPr>
        <w:t>7,</w:t>
      </w:r>
      <w:r w:rsidR="00290D1A" w:rsidRPr="00650ED8">
        <w:rPr>
          <w:rFonts w:ascii="Tahoma" w:eastAsia="Calibri" w:hAnsi="Tahoma" w:cs="Tahoma"/>
          <w:sz w:val="24"/>
          <w:szCs w:val="24"/>
        </w:rPr>
        <w:t>37</w:t>
      </w:r>
      <w:r w:rsidR="003323E2" w:rsidRPr="00650ED8">
        <w:rPr>
          <w:rFonts w:ascii="Tahoma" w:eastAsia="Calibri" w:hAnsi="Tahoma" w:cs="Tahoma"/>
          <w:sz w:val="24"/>
          <w:szCs w:val="24"/>
        </w:rPr>
        <w:t xml:space="preserve"> miliarde lei), </w:t>
      </w:r>
      <w:r w:rsidR="00290D1A" w:rsidRPr="00650ED8">
        <w:rPr>
          <w:rFonts w:ascii="Tahoma" w:eastAsia="Calibri" w:hAnsi="Tahoma" w:cs="Tahoma"/>
          <w:kern w:val="1"/>
          <w:sz w:val="24"/>
          <w:szCs w:val="24"/>
        </w:rPr>
        <w:t>superioară evoluției fondului brut de salarii la nivel de economie de 16,8%</w:t>
      </w:r>
      <w:r w:rsidR="00290D1A" w:rsidRPr="00650ED8">
        <w:rPr>
          <w:rFonts w:ascii="Tahoma" w:eastAsia="Calibri" w:hAnsi="Tahoma" w:cs="Tahoma"/>
          <w:kern w:val="1"/>
          <w:sz w:val="24"/>
          <w:szCs w:val="24"/>
          <w:vertAlign w:val="superscript"/>
        </w:rPr>
        <w:footnoteReference w:id="14"/>
      </w:r>
      <w:r w:rsidR="00290D1A" w:rsidRPr="00650ED8">
        <w:rPr>
          <w:rFonts w:ascii="Tahoma" w:eastAsia="Calibri" w:hAnsi="Tahoma" w:cs="Tahoma"/>
          <w:kern w:val="1"/>
          <w:sz w:val="24"/>
          <w:szCs w:val="24"/>
        </w:rPr>
        <w:t xml:space="preserve">, iar gradul de realizare a programului a fost de </w:t>
      </w:r>
      <w:r w:rsidR="009A6566" w:rsidRPr="00650ED8">
        <w:rPr>
          <w:rFonts w:ascii="Tahoma" w:eastAsia="Calibri" w:hAnsi="Tahoma" w:cs="Tahoma"/>
          <w:kern w:val="1"/>
          <w:sz w:val="24"/>
          <w:szCs w:val="24"/>
        </w:rPr>
        <w:t>100,0%</w:t>
      </w:r>
      <w:r w:rsidR="00290D1A" w:rsidRPr="00650ED8">
        <w:rPr>
          <w:rFonts w:ascii="Tahoma" w:eastAsia="Calibri" w:hAnsi="Tahoma" w:cs="Tahoma"/>
          <w:kern w:val="1"/>
          <w:sz w:val="24"/>
          <w:szCs w:val="24"/>
        </w:rPr>
        <w:t>.</w:t>
      </w:r>
    </w:p>
    <w:p w:rsidR="00290D1A" w:rsidRPr="00650ED8" w:rsidRDefault="00290D1A" w:rsidP="00290D1A">
      <w:pPr>
        <w:spacing w:after="120" w:line="276" w:lineRule="auto"/>
        <w:jc w:val="both"/>
        <w:rPr>
          <w:rFonts w:ascii="Tahoma" w:eastAsia="Calibri" w:hAnsi="Tahoma" w:cs="Tahoma"/>
          <w:kern w:val="1"/>
          <w:sz w:val="24"/>
          <w:szCs w:val="24"/>
          <w:vertAlign w:val="superscript"/>
        </w:rPr>
      </w:pPr>
      <w:r w:rsidRPr="00650ED8">
        <w:rPr>
          <w:rFonts w:ascii="Tahoma" w:eastAsia="Calibri" w:hAnsi="Tahoma" w:cs="Tahoma"/>
          <w:sz w:val="24"/>
          <w:szCs w:val="24"/>
        </w:rPr>
        <w:t xml:space="preserve">Evoluția încasărilor din contribuții sociale în perioada analizată a fost influențată pozitiv de modificarea reglementărilor privind facilitățile fiscale acordate salariaților din sectorul construcții, agricol, industria alimentară și </w:t>
      </w:r>
      <w:r w:rsidRPr="00650ED8">
        <w:rPr>
          <w:rFonts w:ascii="Tahoma" w:eastAsia="SimSun" w:hAnsi="Tahoma" w:cs="Tahoma"/>
          <w:bCs/>
          <w:noProof/>
          <w:sz w:val="24"/>
          <w:szCs w:val="24"/>
          <w:lang w:eastAsia="ro-RO"/>
        </w:rPr>
        <w:t xml:space="preserve">plata CASS pentru tichete de masă și vouchere de vacanță </w:t>
      </w:r>
      <w:r w:rsidRPr="00650ED8">
        <w:rPr>
          <w:rFonts w:ascii="Tahoma" w:eastAsia="Calibri" w:hAnsi="Tahoma" w:cs="Tahoma"/>
          <w:sz w:val="24"/>
          <w:szCs w:val="24"/>
        </w:rPr>
        <w:t xml:space="preserve">(Legea nr. 296/2023), </w:t>
      </w:r>
      <w:r w:rsidRPr="00650ED8">
        <w:rPr>
          <w:rFonts w:ascii="Tahoma" w:eastAsia="SimSun" w:hAnsi="Tahoma" w:cs="Tahoma"/>
          <w:bCs/>
          <w:noProof/>
          <w:sz w:val="24"/>
          <w:szCs w:val="24"/>
          <w:lang w:eastAsia="ro-RO"/>
        </w:rPr>
        <w:t>majo</w:t>
      </w:r>
      <w:r w:rsidR="00A06F7F" w:rsidRPr="00650ED8">
        <w:rPr>
          <w:rFonts w:ascii="Tahoma" w:eastAsia="SimSun" w:hAnsi="Tahoma" w:cs="Tahoma"/>
          <w:bCs/>
          <w:noProof/>
          <w:sz w:val="24"/>
          <w:szCs w:val="24"/>
          <w:lang w:eastAsia="ro-RO"/>
        </w:rPr>
        <w:t>r</w:t>
      </w:r>
      <w:r w:rsidRPr="00650ED8">
        <w:rPr>
          <w:rFonts w:ascii="Tahoma" w:eastAsia="SimSun" w:hAnsi="Tahoma" w:cs="Tahoma"/>
          <w:bCs/>
          <w:noProof/>
          <w:sz w:val="24"/>
          <w:szCs w:val="24"/>
          <w:lang w:eastAsia="ro-RO"/>
        </w:rPr>
        <w:t>area salari</w:t>
      </w:r>
      <w:r w:rsidRPr="00650ED8">
        <w:rPr>
          <w:rFonts w:ascii="Tahoma" w:eastAsia="Calibri" w:hAnsi="Tahoma" w:cs="Tahoma"/>
          <w:bCs/>
          <w:noProof/>
          <w:sz w:val="24"/>
          <w:szCs w:val="24"/>
          <w:lang w:eastAsia="ro-RO"/>
        </w:rPr>
        <w:t xml:space="preserve">ului minim brut pe țară garantat în plată (H.G. nr. 900/2023 și HG nr. 598/2024) </w:t>
      </w:r>
      <w:r w:rsidRPr="00650ED8">
        <w:rPr>
          <w:rFonts w:ascii="Tahoma" w:eastAsia="Calibri" w:hAnsi="Tahoma" w:cs="Tahoma"/>
          <w:sz w:val="24"/>
          <w:szCs w:val="24"/>
        </w:rPr>
        <w:t>și</w:t>
      </w:r>
      <w:r w:rsidRPr="00650ED8">
        <w:rPr>
          <w:rFonts w:ascii="Tahoma" w:eastAsia="SimSun" w:hAnsi="Tahoma" w:cs="Tahoma"/>
          <w:bCs/>
          <w:noProof/>
          <w:sz w:val="24"/>
          <w:szCs w:val="24"/>
          <w:lang w:eastAsia="ro-RO"/>
        </w:rPr>
        <w:t xml:space="preserve"> majorarea salariului minim brut pe ţară garantat în plată pentru sectoarele construcţii, agricol şi industria alimentară ( O.U.G. nr. 93/2023).</w:t>
      </w:r>
    </w:p>
    <w:p w:rsidR="00290D1A" w:rsidRPr="00650ED8" w:rsidRDefault="00290D1A" w:rsidP="00290D1A">
      <w:pPr>
        <w:tabs>
          <w:tab w:val="left" w:pos="284"/>
        </w:tabs>
        <w:suppressAutoHyphens/>
        <w:autoSpaceDE w:val="0"/>
        <w:autoSpaceDN w:val="0"/>
        <w:adjustRightInd w:val="0"/>
        <w:spacing w:after="120" w:line="276" w:lineRule="auto"/>
        <w:jc w:val="both"/>
        <w:rPr>
          <w:rFonts w:eastAsia="Calibri" w:cs="Liberation Serif"/>
          <w:kern w:val="1"/>
          <w:sz w:val="24"/>
          <w:szCs w:val="24"/>
        </w:rPr>
      </w:pPr>
      <w:r w:rsidRPr="00650ED8">
        <w:rPr>
          <w:rFonts w:ascii="Tahoma" w:eastAsia="Calibri" w:hAnsi="Tahoma" w:cs="Tahoma"/>
          <w:kern w:val="1"/>
          <w:sz w:val="24"/>
          <w:szCs w:val="24"/>
        </w:rPr>
        <w:t>Comparativ cu aceeași perioadă a anului precedent, evoluția veniturilor din contribuții sociale, pe bugete componente, se prezintă astfel: bugetul Fondului național unic de asigurări sociale de sănătate (+39,3%), bugetul de stat (+20,2%), bugetul asigurărilor sociale de stat (+10,4%) și bugetul asigurărilor pentru șomaj (-28,2%).</w:t>
      </w:r>
    </w:p>
    <w:p w:rsidR="00A06F7F" w:rsidRPr="00650ED8" w:rsidRDefault="00DD52A5" w:rsidP="00A06F7F">
      <w:pPr>
        <w:pStyle w:val="ListParagraph"/>
        <w:spacing w:before="120" w:after="120" w:line="276" w:lineRule="auto"/>
        <w:ind w:left="0"/>
        <w:contextualSpacing w:val="0"/>
        <w:jc w:val="both"/>
        <w:rPr>
          <w:rFonts w:ascii="Tahoma" w:hAnsi="Tahoma" w:cs="Tahoma"/>
          <w:sz w:val="24"/>
          <w:szCs w:val="24"/>
        </w:rPr>
      </w:pPr>
      <w:r w:rsidRPr="00650ED8">
        <w:rPr>
          <w:rFonts w:ascii="Tahoma" w:hAnsi="Tahoma" w:cs="Tahoma"/>
          <w:b/>
          <w:sz w:val="24"/>
          <w:szCs w:val="24"/>
        </w:rPr>
        <w:t>Veniturile nefiscale</w:t>
      </w:r>
      <w:r w:rsidR="003323E2" w:rsidRPr="00650ED8">
        <w:rPr>
          <w:rFonts w:ascii="Tahoma" w:hAnsi="Tahoma" w:cs="Tahoma"/>
          <w:b/>
          <w:sz w:val="24"/>
          <w:szCs w:val="24"/>
        </w:rPr>
        <w:t>,</w:t>
      </w:r>
      <w:r w:rsidRPr="00650ED8">
        <w:rPr>
          <w:rFonts w:ascii="Tahoma" w:hAnsi="Tahoma" w:cs="Tahoma"/>
          <w:sz w:val="24"/>
          <w:szCs w:val="24"/>
        </w:rPr>
        <w:t xml:space="preserve"> </w:t>
      </w:r>
      <w:r w:rsidR="003323E2" w:rsidRPr="00650ED8">
        <w:rPr>
          <w:rFonts w:ascii="Tahoma" w:hAnsi="Tahoma" w:cs="Tahoma"/>
          <w:sz w:val="24"/>
          <w:szCs w:val="24"/>
        </w:rPr>
        <w:t xml:space="preserve">în perioada analizată, </w:t>
      </w:r>
      <w:r w:rsidRPr="00650ED8">
        <w:rPr>
          <w:rFonts w:ascii="Tahoma" w:hAnsi="Tahoma" w:cs="Tahoma"/>
          <w:sz w:val="24"/>
          <w:szCs w:val="24"/>
        </w:rPr>
        <w:t xml:space="preserve">au fost în sumă de </w:t>
      </w:r>
      <w:r w:rsidR="009A6566" w:rsidRPr="00650ED8">
        <w:rPr>
          <w:rFonts w:ascii="Tahoma" w:hAnsi="Tahoma" w:cs="Tahoma"/>
          <w:bCs/>
          <w:sz w:val="24"/>
          <w:szCs w:val="24"/>
        </w:rPr>
        <w:t>11,82</w:t>
      </w:r>
      <w:r w:rsidRPr="00650ED8">
        <w:rPr>
          <w:rFonts w:ascii="Tahoma" w:hAnsi="Tahoma" w:cs="Tahoma"/>
          <w:bCs/>
          <w:sz w:val="24"/>
          <w:szCs w:val="24"/>
        </w:rPr>
        <w:t xml:space="preserve"> </w:t>
      </w:r>
      <w:r w:rsidR="00602503" w:rsidRPr="00650ED8">
        <w:rPr>
          <w:rFonts w:ascii="Tahoma" w:hAnsi="Tahoma" w:cs="Tahoma"/>
          <w:bCs/>
          <w:sz w:val="24"/>
          <w:szCs w:val="24"/>
        </w:rPr>
        <w:t>miliarde</w:t>
      </w:r>
      <w:r w:rsidR="00713D80" w:rsidRPr="00650ED8">
        <w:rPr>
          <w:rFonts w:ascii="Tahoma" w:hAnsi="Tahoma" w:cs="Tahoma"/>
          <w:bCs/>
          <w:sz w:val="24"/>
          <w:szCs w:val="24"/>
        </w:rPr>
        <w:t xml:space="preserve"> </w:t>
      </w:r>
      <w:r w:rsidRPr="00650ED8">
        <w:rPr>
          <w:rFonts w:ascii="Tahoma" w:hAnsi="Tahoma" w:cs="Tahoma"/>
          <w:bCs/>
          <w:sz w:val="24"/>
          <w:szCs w:val="24"/>
        </w:rPr>
        <w:t xml:space="preserve">lei </w:t>
      </w:r>
      <w:r w:rsidRPr="00650ED8">
        <w:rPr>
          <w:rFonts w:ascii="Tahoma" w:hAnsi="Tahoma" w:cs="Tahoma"/>
          <w:sz w:val="24"/>
          <w:szCs w:val="24"/>
        </w:rPr>
        <w:t>(</w:t>
      </w:r>
      <w:r w:rsidR="006D1425" w:rsidRPr="00650ED8">
        <w:rPr>
          <w:rFonts w:ascii="Tahoma" w:hAnsi="Tahoma" w:cs="Tahoma"/>
          <w:sz w:val="24"/>
          <w:szCs w:val="24"/>
        </w:rPr>
        <w:t>0,</w:t>
      </w:r>
      <w:r w:rsidR="009A6566" w:rsidRPr="00650ED8">
        <w:rPr>
          <w:rFonts w:ascii="Tahoma" w:hAnsi="Tahoma" w:cs="Tahoma"/>
          <w:sz w:val="24"/>
          <w:szCs w:val="24"/>
        </w:rPr>
        <w:t>7</w:t>
      </w:r>
      <w:r w:rsidRPr="00650ED8">
        <w:rPr>
          <w:rFonts w:ascii="Tahoma" w:hAnsi="Tahoma" w:cs="Tahoma"/>
          <w:sz w:val="24"/>
          <w:szCs w:val="24"/>
        </w:rPr>
        <w:t>%</w:t>
      </w:r>
      <w:r w:rsidRPr="00650ED8">
        <w:rPr>
          <w:rFonts w:ascii="Tahoma" w:hAnsi="Tahoma" w:cs="Tahoma"/>
          <w:b/>
          <w:bCs/>
          <w:sz w:val="24"/>
          <w:szCs w:val="24"/>
        </w:rPr>
        <w:t xml:space="preserve"> </w:t>
      </w:r>
      <w:r w:rsidRPr="00650ED8">
        <w:rPr>
          <w:rFonts w:ascii="Tahoma" w:hAnsi="Tahoma" w:cs="Tahoma"/>
          <w:sz w:val="24"/>
          <w:szCs w:val="24"/>
        </w:rPr>
        <w:t xml:space="preserve">din PIB), gradul de realizare al programului trimestrial fiind de </w:t>
      </w:r>
      <w:r w:rsidR="009A6566" w:rsidRPr="00650ED8">
        <w:rPr>
          <w:rFonts w:ascii="Tahoma" w:hAnsi="Tahoma" w:cs="Tahoma"/>
          <w:sz w:val="24"/>
          <w:szCs w:val="24"/>
        </w:rPr>
        <w:t>98,0</w:t>
      </w:r>
      <w:r w:rsidRPr="00650ED8">
        <w:rPr>
          <w:rFonts w:ascii="Tahoma" w:hAnsi="Tahoma" w:cs="Tahoma"/>
          <w:sz w:val="24"/>
          <w:szCs w:val="24"/>
        </w:rPr>
        <w:t>%.</w:t>
      </w:r>
      <w:r w:rsidR="00006CCB" w:rsidRPr="00650ED8">
        <w:rPr>
          <w:rFonts w:ascii="Tahoma" w:hAnsi="Tahoma" w:cs="Tahoma"/>
          <w:sz w:val="24"/>
          <w:szCs w:val="24"/>
        </w:rPr>
        <w:t xml:space="preserve"> </w:t>
      </w:r>
    </w:p>
    <w:p w:rsidR="00D870FD" w:rsidRPr="00650ED8" w:rsidRDefault="004E25FC" w:rsidP="00A06F7F">
      <w:pPr>
        <w:pStyle w:val="ListParagraph"/>
        <w:spacing w:before="120" w:after="120" w:line="276" w:lineRule="auto"/>
        <w:ind w:left="0"/>
        <w:contextualSpacing w:val="0"/>
        <w:jc w:val="both"/>
        <w:rPr>
          <w:rFonts w:ascii="Tahoma" w:hAnsi="Tahoma" w:cs="Tahoma"/>
          <w:sz w:val="24"/>
          <w:szCs w:val="24"/>
        </w:rPr>
      </w:pPr>
      <w:r w:rsidRPr="00650ED8">
        <w:rPr>
          <w:rFonts w:ascii="Tahoma" w:hAnsi="Tahoma" w:cs="Tahoma"/>
          <w:sz w:val="24"/>
          <w:szCs w:val="24"/>
        </w:rPr>
        <w:t xml:space="preserve">Comparativ cu anul anterior încasările din venituri nefiscale </w:t>
      </w:r>
      <w:r w:rsidR="00006CCB" w:rsidRPr="00650ED8">
        <w:rPr>
          <w:rFonts w:ascii="Tahoma" w:hAnsi="Tahoma" w:cs="Tahoma"/>
          <w:sz w:val="24"/>
          <w:szCs w:val="24"/>
        </w:rPr>
        <w:t xml:space="preserve">au crescut cu </w:t>
      </w:r>
      <w:r w:rsidR="009A6566" w:rsidRPr="00650ED8">
        <w:rPr>
          <w:rFonts w:ascii="Tahoma" w:hAnsi="Tahoma" w:cs="Tahoma"/>
          <w:sz w:val="24"/>
          <w:szCs w:val="24"/>
        </w:rPr>
        <w:t>17,1</w:t>
      </w:r>
      <w:r w:rsidR="00006CCB" w:rsidRPr="00650ED8">
        <w:rPr>
          <w:rFonts w:ascii="Tahoma" w:hAnsi="Tahoma" w:cs="Tahoma"/>
          <w:sz w:val="24"/>
          <w:szCs w:val="24"/>
        </w:rPr>
        <w:t>%</w:t>
      </w:r>
      <w:r w:rsidR="00C71C51" w:rsidRPr="00650ED8">
        <w:rPr>
          <w:rFonts w:ascii="Tahoma" w:hAnsi="Tahoma" w:cs="Tahoma"/>
          <w:sz w:val="24"/>
          <w:szCs w:val="24"/>
        </w:rPr>
        <w:t xml:space="preserve"> </w:t>
      </w:r>
      <w:r w:rsidR="00006CCB" w:rsidRPr="00650ED8">
        <w:rPr>
          <w:rFonts w:ascii="Tahoma" w:hAnsi="Tahoma" w:cs="Tahoma"/>
          <w:sz w:val="24"/>
          <w:szCs w:val="24"/>
        </w:rPr>
        <w:t>(+</w:t>
      </w:r>
      <w:r w:rsidR="009A6566" w:rsidRPr="00650ED8">
        <w:rPr>
          <w:rFonts w:ascii="Tahoma" w:hAnsi="Tahoma" w:cs="Tahoma"/>
          <w:sz w:val="24"/>
          <w:szCs w:val="24"/>
        </w:rPr>
        <w:t>1,73</w:t>
      </w:r>
      <w:r w:rsidR="00006CCB" w:rsidRPr="00650ED8">
        <w:rPr>
          <w:rFonts w:ascii="Tahoma" w:hAnsi="Tahoma" w:cs="Tahoma"/>
          <w:sz w:val="24"/>
          <w:szCs w:val="24"/>
        </w:rPr>
        <w:t xml:space="preserve"> miliarde lei) în principal ca urmare a </w:t>
      </w:r>
      <w:r w:rsidR="00DD52A5" w:rsidRPr="00650ED8">
        <w:rPr>
          <w:rFonts w:ascii="Tahoma" w:hAnsi="Tahoma" w:cs="Tahoma"/>
          <w:sz w:val="24"/>
          <w:szCs w:val="24"/>
        </w:rPr>
        <w:t xml:space="preserve">evoluției încasărilor la </w:t>
      </w:r>
      <w:r w:rsidR="00364970" w:rsidRPr="00650ED8">
        <w:rPr>
          <w:rFonts w:ascii="Tahoma" w:hAnsi="Tahoma" w:cs="Tahoma"/>
          <w:sz w:val="24"/>
          <w:szCs w:val="24"/>
        </w:rPr>
        <w:t>bugetul de stat (+</w:t>
      </w:r>
      <w:r w:rsidR="00E5538C" w:rsidRPr="00650ED8">
        <w:rPr>
          <w:rFonts w:ascii="Tahoma" w:hAnsi="Tahoma" w:cs="Tahoma"/>
          <w:sz w:val="24"/>
          <w:szCs w:val="24"/>
        </w:rPr>
        <w:t>19,1</w:t>
      </w:r>
      <w:r w:rsidR="00364970" w:rsidRPr="00650ED8">
        <w:rPr>
          <w:rFonts w:ascii="Tahoma" w:hAnsi="Tahoma" w:cs="Tahoma"/>
          <w:sz w:val="24"/>
          <w:szCs w:val="24"/>
        </w:rPr>
        <w:t xml:space="preserve">%), </w:t>
      </w:r>
      <w:r w:rsidR="003323E2" w:rsidRPr="00650ED8">
        <w:rPr>
          <w:rFonts w:ascii="Tahoma" w:hAnsi="Tahoma" w:cs="Tahoma"/>
          <w:sz w:val="24"/>
          <w:szCs w:val="24"/>
        </w:rPr>
        <w:t>bugetele locale (+</w:t>
      </w:r>
      <w:r w:rsidR="00E5538C" w:rsidRPr="00650ED8">
        <w:rPr>
          <w:rFonts w:ascii="Tahoma" w:hAnsi="Tahoma" w:cs="Tahoma"/>
          <w:sz w:val="24"/>
          <w:szCs w:val="24"/>
        </w:rPr>
        <w:t>10</w:t>
      </w:r>
      <w:r w:rsidR="00364970" w:rsidRPr="00650ED8">
        <w:rPr>
          <w:rFonts w:ascii="Tahoma" w:hAnsi="Tahoma" w:cs="Tahoma"/>
          <w:sz w:val="24"/>
          <w:szCs w:val="24"/>
        </w:rPr>
        <w:t>,3</w:t>
      </w:r>
      <w:r w:rsidR="003323E2" w:rsidRPr="00650ED8">
        <w:rPr>
          <w:rFonts w:ascii="Tahoma" w:hAnsi="Tahoma" w:cs="Tahoma"/>
          <w:sz w:val="24"/>
          <w:szCs w:val="24"/>
        </w:rPr>
        <w:t>%), bugetele instituțiilor/activităților finanțate integral sau parțial din venituri proprii</w:t>
      </w:r>
      <w:r w:rsidR="00966FDB" w:rsidRPr="00650ED8">
        <w:rPr>
          <w:rFonts w:ascii="Tahoma" w:hAnsi="Tahoma" w:cs="Tahoma"/>
          <w:sz w:val="24"/>
          <w:szCs w:val="24"/>
        </w:rPr>
        <w:t xml:space="preserve"> </w:t>
      </w:r>
      <w:r w:rsidR="003323E2" w:rsidRPr="00650ED8">
        <w:rPr>
          <w:rFonts w:ascii="Tahoma" w:hAnsi="Tahoma" w:cs="Tahoma"/>
          <w:sz w:val="24"/>
          <w:szCs w:val="24"/>
        </w:rPr>
        <w:t>(+</w:t>
      </w:r>
      <w:r w:rsidR="00E5538C" w:rsidRPr="00650ED8">
        <w:rPr>
          <w:rFonts w:ascii="Tahoma" w:hAnsi="Tahoma" w:cs="Tahoma"/>
          <w:sz w:val="24"/>
          <w:szCs w:val="24"/>
        </w:rPr>
        <w:t>50,5</w:t>
      </w:r>
      <w:r w:rsidR="003323E2" w:rsidRPr="00650ED8">
        <w:rPr>
          <w:rFonts w:ascii="Tahoma" w:hAnsi="Tahoma" w:cs="Tahoma"/>
          <w:sz w:val="24"/>
          <w:szCs w:val="24"/>
        </w:rPr>
        <w:t xml:space="preserve">%) și bugetului trezoreriei statului </w:t>
      </w:r>
      <w:r w:rsidR="00006CCB" w:rsidRPr="00650ED8">
        <w:rPr>
          <w:rFonts w:ascii="Tahoma" w:hAnsi="Tahoma" w:cs="Tahoma"/>
          <w:sz w:val="24"/>
          <w:szCs w:val="24"/>
        </w:rPr>
        <w:t>(+</w:t>
      </w:r>
      <w:r w:rsidR="00E5538C" w:rsidRPr="00650ED8">
        <w:rPr>
          <w:rFonts w:ascii="Tahoma" w:hAnsi="Tahoma" w:cs="Tahoma"/>
          <w:sz w:val="24"/>
          <w:szCs w:val="24"/>
        </w:rPr>
        <w:t>39,8</w:t>
      </w:r>
      <w:r w:rsidR="00006CCB" w:rsidRPr="00650ED8">
        <w:rPr>
          <w:rFonts w:ascii="Tahoma" w:hAnsi="Tahoma" w:cs="Tahoma"/>
          <w:sz w:val="24"/>
          <w:szCs w:val="24"/>
        </w:rPr>
        <w:t>%)</w:t>
      </w:r>
      <w:r w:rsidR="00C77B5C" w:rsidRPr="00650ED8">
        <w:rPr>
          <w:rFonts w:ascii="Tahoma" w:hAnsi="Tahoma" w:cs="Tahoma"/>
          <w:sz w:val="24"/>
          <w:szCs w:val="24"/>
        </w:rPr>
        <w:t>.</w:t>
      </w:r>
    </w:p>
    <w:p w:rsidR="00E15D34" w:rsidRPr="00650ED8" w:rsidRDefault="00DD52A5" w:rsidP="007A0021">
      <w:pPr>
        <w:pStyle w:val="NormalWeb"/>
        <w:spacing w:before="120" w:after="120"/>
        <w:ind w:firstLine="0"/>
        <w:rPr>
          <w:rFonts w:ascii="Tahoma" w:hAnsi="Tahoma" w:cs="Tahoma"/>
          <w:color w:val="auto"/>
          <w:lang w:val="ro-RO" w:eastAsia="ro-RO"/>
        </w:rPr>
      </w:pPr>
      <w:r w:rsidRPr="00650ED8">
        <w:rPr>
          <w:rFonts w:ascii="Tahoma" w:hAnsi="Tahoma" w:cs="Tahoma"/>
          <w:b/>
          <w:bCs/>
          <w:color w:val="auto"/>
          <w:lang w:val="ro-RO" w:eastAsia="ro-RO"/>
        </w:rPr>
        <w:t>Sumele primite de la Uniunea Europeană</w:t>
      </w:r>
      <w:r w:rsidRPr="00650ED8">
        <w:rPr>
          <w:rFonts w:ascii="Tahoma" w:hAnsi="Tahoma" w:cs="Tahoma"/>
          <w:color w:val="auto"/>
          <w:lang w:val="ro-RO" w:eastAsia="ro-RO"/>
        </w:rPr>
        <w:t xml:space="preserve"> aferente proiectelor finanțate atât din cadrul financiar 2014-2020</w:t>
      </w:r>
      <w:r w:rsidR="00B56642" w:rsidRPr="00650ED8">
        <w:rPr>
          <w:rFonts w:ascii="Tahoma" w:hAnsi="Tahoma" w:cs="Tahoma"/>
          <w:color w:val="auto"/>
          <w:lang w:val="ro-RO" w:eastAsia="ro-RO"/>
        </w:rPr>
        <w:t xml:space="preserve"> dar și </w:t>
      </w:r>
      <w:r w:rsidR="00102D79" w:rsidRPr="00650ED8">
        <w:rPr>
          <w:rFonts w:ascii="Tahoma" w:hAnsi="Tahoma" w:cs="Tahoma"/>
          <w:color w:val="auto"/>
          <w:lang w:val="ro-RO" w:eastAsia="ro-RO"/>
        </w:rPr>
        <w:t>sumele aferente</w:t>
      </w:r>
      <w:r w:rsidR="00102D79" w:rsidRPr="00650ED8">
        <w:rPr>
          <w:rFonts w:ascii="Tahoma" w:hAnsi="Tahoma" w:cs="Tahoma"/>
          <w:b/>
          <w:bCs/>
          <w:color w:val="auto"/>
          <w:lang w:val="ro-RO" w:eastAsia="ro-RO"/>
        </w:rPr>
        <w:t xml:space="preserve"> </w:t>
      </w:r>
      <w:r w:rsidR="00102D79" w:rsidRPr="00650ED8">
        <w:rPr>
          <w:rFonts w:ascii="Tahoma" w:hAnsi="Tahoma" w:cs="Tahoma"/>
          <w:bCs/>
          <w:color w:val="auto"/>
          <w:lang w:val="ro-RO" w:eastAsia="ro-RO"/>
        </w:rPr>
        <w:t>perioadei de programare a Uniunii Europene 2021-2027</w:t>
      </w:r>
      <w:r w:rsidRPr="00650ED8">
        <w:rPr>
          <w:rFonts w:ascii="Tahoma" w:hAnsi="Tahoma" w:cs="Tahoma"/>
          <w:color w:val="auto"/>
          <w:lang w:val="ro-RO" w:eastAsia="ro-RO"/>
        </w:rPr>
        <w:t>,</w:t>
      </w:r>
      <w:r w:rsidR="00D870FD" w:rsidRPr="00650ED8">
        <w:rPr>
          <w:rFonts w:ascii="Tahoma" w:hAnsi="Tahoma" w:cs="Tahoma"/>
          <w:color w:val="auto"/>
          <w:lang w:val="ro-RO" w:eastAsia="ro-RO"/>
        </w:rPr>
        <w:t xml:space="preserve"> </w:t>
      </w:r>
      <w:r w:rsidR="00006CCB" w:rsidRPr="00650ED8">
        <w:rPr>
          <w:rFonts w:ascii="Tahoma" w:hAnsi="Tahoma" w:cs="Tahoma"/>
          <w:color w:val="auto"/>
          <w:lang w:val="ro-RO" w:eastAsia="ro-RO"/>
        </w:rPr>
        <w:t xml:space="preserve">cât și </w:t>
      </w:r>
      <w:r w:rsidR="00705D89" w:rsidRPr="00650ED8">
        <w:rPr>
          <w:rFonts w:ascii="Tahoma" w:hAnsi="Tahoma" w:cs="Tahoma"/>
          <w:color w:val="auto"/>
          <w:lang w:val="ro-RO" w:eastAsia="ro-RO"/>
        </w:rPr>
        <w:t xml:space="preserve">cele </w:t>
      </w:r>
      <w:r w:rsidR="00006CCB" w:rsidRPr="00650ED8">
        <w:rPr>
          <w:rFonts w:ascii="Tahoma" w:hAnsi="Tahoma" w:cs="Tahoma"/>
          <w:color w:val="auto"/>
          <w:lang w:val="ro-RO" w:eastAsia="ro-RO"/>
        </w:rPr>
        <w:t xml:space="preserve">aferente asistenței financiare nerambursabile alocate PNRR </w:t>
      </w:r>
      <w:r w:rsidRPr="00650ED8">
        <w:rPr>
          <w:rFonts w:ascii="Tahoma" w:hAnsi="Tahoma" w:cs="Tahoma"/>
          <w:color w:val="auto"/>
          <w:lang w:val="ro-RO" w:eastAsia="ro-RO"/>
        </w:rPr>
        <w:t>încasate în trimestru</w:t>
      </w:r>
      <w:r w:rsidR="00225656" w:rsidRPr="00650ED8">
        <w:rPr>
          <w:rFonts w:ascii="Tahoma" w:hAnsi="Tahoma" w:cs="Tahoma"/>
          <w:color w:val="auto"/>
          <w:lang w:val="ro-RO" w:eastAsia="ro-RO"/>
        </w:rPr>
        <w:t>l</w:t>
      </w:r>
      <w:r w:rsidRPr="00650ED8">
        <w:rPr>
          <w:rFonts w:ascii="Tahoma" w:hAnsi="Tahoma" w:cs="Tahoma"/>
          <w:color w:val="auto"/>
          <w:lang w:val="ro-RO" w:eastAsia="ro-RO"/>
        </w:rPr>
        <w:t xml:space="preserve"> al </w:t>
      </w:r>
      <w:r w:rsidR="00DF788D" w:rsidRPr="00650ED8">
        <w:rPr>
          <w:rFonts w:ascii="Tahoma" w:hAnsi="Tahoma" w:cs="Tahoma"/>
          <w:color w:val="auto"/>
          <w:lang w:val="ro-RO" w:eastAsia="ro-RO"/>
        </w:rPr>
        <w:t>tre</w:t>
      </w:r>
      <w:r w:rsidR="00225656" w:rsidRPr="00650ED8">
        <w:rPr>
          <w:rFonts w:ascii="Tahoma" w:hAnsi="Tahoma" w:cs="Tahoma"/>
          <w:color w:val="auto"/>
          <w:lang w:val="ro-RO" w:eastAsia="ro-RO"/>
        </w:rPr>
        <w:t xml:space="preserve">ilea al </w:t>
      </w:r>
      <w:r w:rsidRPr="00650ED8">
        <w:rPr>
          <w:rFonts w:ascii="Tahoma" w:hAnsi="Tahoma" w:cs="Tahoma"/>
          <w:color w:val="auto"/>
          <w:lang w:val="ro-RO" w:eastAsia="ro-RO"/>
        </w:rPr>
        <w:t>anului 202</w:t>
      </w:r>
      <w:r w:rsidR="006414CC" w:rsidRPr="00650ED8">
        <w:rPr>
          <w:rFonts w:ascii="Tahoma" w:hAnsi="Tahoma" w:cs="Tahoma"/>
          <w:color w:val="auto"/>
          <w:lang w:val="ro-RO" w:eastAsia="ro-RO"/>
        </w:rPr>
        <w:t>4</w:t>
      </w:r>
      <w:r w:rsidRPr="00650ED8">
        <w:rPr>
          <w:rFonts w:ascii="Tahoma" w:hAnsi="Tahoma" w:cs="Tahoma"/>
          <w:color w:val="auto"/>
          <w:lang w:val="ro-RO" w:eastAsia="ro-RO"/>
        </w:rPr>
        <w:t xml:space="preserve">, au </w:t>
      </w:r>
      <w:r w:rsidR="00006CCB" w:rsidRPr="00650ED8">
        <w:rPr>
          <w:rFonts w:ascii="Tahoma" w:hAnsi="Tahoma" w:cs="Tahoma"/>
          <w:color w:val="auto"/>
          <w:lang w:val="ro-RO" w:eastAsia="ro-RO"/>
        </w:rPr>
        <w:t xml:space="preserve">fost în sumă de </w:t>
      </w:r>
      <w:r w:rsidR="00DF788D" w:rsidRPr="00650ED8">
        <w:rPr>
          <w:rFonts w:ascii="Tahoma" w:hAnsi="Tahoma" w:cs="Tahoma"/>
          <w:color w:val="auto"/>
          <w:lang w:val="ro-RO" w:eastAsia="ro-RO"/>
        </w:rPr>
        <w:t>5,37</w:t>
      </w:r>
      <w:r w:rsidR="00006CCB" w:rsidRPr="00650ED8">
        <w:rPr>
          <w:rFonts w:ascii="Tahoma" w:hAnsi="Tahoma" w:cs="Tahoma"/>
          <w:color w:val="auto"/>
          <w:lang w:val="ro-RO" w:eastAsia="ro-RO"/>
        </w:rPr>
        <w:t xml:space="preserve"> miliarde lei (</w:t>
      </w:r>
      <w:r w:rsidRPr="00650ED8">
        <w:rPr>
          <w:rFonts w:ascii="Tahoma" w:hAnsi="Tahoma" w:cs="Tahoma"/>
          <w:color w:val="auto"/>
          <w:lang w:val="ro-RO" w:eastAsia="ro-RO"/>
        </w:rPr>
        <w:t>0,</w:t>
      </w:r>
      <w:r w:rsidR="00DF788D" w:rsidRPr="00650ED8">
        <w:rPr>
          <w:rFonts w:ascii="Tahoma" w:hAnsi="Tahoma" w:cs="Tahoma"/>
          <w:color w:val="auto"/>
          <w:lang w:val="ro-RO" w:eastAsia="ro-RO"/>
        </w:rPr>
        <w:t>3</w:t>
      </w:r>
      <w:r w:rsidRPr="00650ED8">
        <w:rPr>
          <w:rFonts w:ascii="Tahoma" w:hAnsi="Tahoma" w:cs="Tahoma"/>
          <w:color w:val="auto"/>
          <w:lang w:val="ro-RO" w:eastAsia="ro-RO"/>
        </w:rPr>
        <w:t>% din PIB</w:t>
      </w:r>
      <w:r w:rsidR="00006CCB" w:rsidRPr="00650ED8">
        <w:rPr>
          <w:rFonts w:ascii="Tahoma" w:hAnsi="Tahoma" w:cs="Tahoma"/>
          <w:color w:val="auto"/>
          <w:lang w:val="ro-RO" w:eastAsia="ro-RO"/>
        </w:rPr>
        <w:t>)</w:t>
      </w:r>
      <w:r w:rsidR="0097352C" w:rsidRPr="00650ED8">
        <w:rPr>
          <w:rFonts w:ascii="Tahoma" w:hAnsi="Tahoma" w:cs="Tahoma"/>
          <w:color w:val="auto"/>
          <w:lang w:val="ro-RO" w:eastAsia="ro-RO"/>
        </w:rPr>
        <w:t>, corespunzător</w:t>
      </w:r>
      <w:r w:rsidRPr="00650ED8">
        <w:rPr>
          <w:rFonts w:ascii="Tahoma" w:hAnsi="Tahoma" w:cs="Tahoma"/>
          <w:color w:val="auto"/>
          <w:lang w:val="ro-RO" w:eastAsia="ro-RO"/>
        </w:rPr>
        <w:t xml:space="preserve"> un</w:t>
      </w:r>
      <w:r w:rsidR="0097352C" w:rsidRPr="00650ED8">
        <w:rPr>
          <w:rFonts w:ascii="Tahoma" w:hAnsi="Tahoma" w:cs="Tahoma"/>
          <w:color w:val="auto"/>
          <w:lang w:val="ro-RO" w:eastAsia="ro-RO"/>
        </w:rPr>
        <w:t>ui</w:t>
      </w:r>
      <w:r w:rsidRPr="00650ED8">
        <w:rPr>
          <w:rFonts w:ascii="Tahoma" w:hAnsi="Tahoma" w:cs="Tahoma"/>
          <w:color w:val="auto"/>
          <w:lang w:val="ro-RO" w:eastAsia="ro-RO"/>
        </w:rPr>
        <w:t xml:space="preserve"> grad de realizare</w:t>
      </w:r>
      <w:r w:rsidR="00E001D0" w:rsidRPr="00650ED8">
        <w:rPr>
          <w:rFonts w:ascii="Tahoma" w:hAnsi="Tahoma" w:cs="Tahoma"/>
          <w:color w:val="auto"/>
          <w:lang w:val="ro-RO" w:eastAsia="ro-RO"/>
        </w:rPr>
        <w:t xml:space="preserve"> de </w:t>
      </w:r>
      <w:r w:rsidR="00DF788D" w:rsidRPr="00650ED8">
        <w:rPr>
          <w:rFonts w:ascii="Tahoma" w:hAnsi="Tahoma" w:cs="Tahoma"/>
          <w:color w:val="auto"/>
          <w:lang w:val="ro-RO" w:eastAsia="ro-RO"/>
        </w:rPr>
        <w:t>67,9</w:t>
      </w:r>
      <w:r w:rsidR="00E001D0" w:rsidRPr="00650ED8">
        <w:rPr>
          <w:rFonts w:ascii="Tahoma" w:hAnsi="Tahoma" w:cs="Tahoma"/>
          <w:color w:val="auto"/>
          <w:lang w:val="ro-RO" w:eastAsia="ro-RO"/>
        </w:rPr>
        <w:t>%</w:t>
      </w:r>
      <w:r w:rsidRPr="00650ED8">
        <w:rPr>
          <w:rFonts w:ascii="Tahoma" w:hAnsi="Tahoma" w:cs="Tahoma"/>
          <w:color w:val="auto"/>
          <w:lang w:val="ro-RO" w:eastAsia="ro-RO"/>
        </w:rPr>
        <w:t xml:space="preserve"> </w:t>
      </w:r>
      <w:r w:rsidR="0079445D" w:rsidRPr="00650ED8">
        <w:rPr>
          <w:rFonts w:ascii="Tahoma" w:hAnsi="Tahoma" w:cs="Tahoma"/>
          <w:color w:val="auto"/>
          <w:lang w:val="ro-RO" w:eastAsia="ro-RO"/>
        </w:rPr>
        <w:t>a</w:t>
      </w:r>
      <w:r w:rsidRPr="00650ED8">
        <w:rPr>
          <w:rFonts w:ascii="Tahoma" w:hAnsi="Tahoma" w:cs="Tahoma"/>
          <w:color w:val="auto"/>
          <w:lang w:val="ro-RO" w:eastAsia="ro-RO"/>
        </w:rPr>
        <w:t xml:space="preserve"> programului trimestrial</w:t>
      </w:r>
      <w:r w:rsidR="00E001D0" w:rsidRPr="00650ED8">
        <w:rPr>
          <w:rFonts w:ascii="Tahoma" w:hAnsi="Tahoma" w:cs="Tahoma"/>
          <w:color w:val="auto"/>
          <w:lang w:val="ro-RO" w:eastAsia="ro-RO"/>
        </w:rPr>
        <w:t>.</w:t>
      </w:r>
      <w:r w:rsidR="00102D79" w:rsidRPr="00650ED8">
        <w:rPr>
          <w:rFonts w:ascii="Tahoma" w:hAnsi="Tahoma" w:cs="Tahoma"/>
          <w:color w:val="auto"/>
          <w:lang w:val="ro-RO" w:eastAsia="ro-RO"/>
        </w:rPr>
        <w:t xml:space="preserve"> </w:t>
      </w:r>
      <w:r w:rsidR="006414CC" w:rsidRPr="00650ED8">
        <w:rPr>
          <w:rFonts w:ascii="Tahoma" w:hAnsi="Tahoma" w:cs="Tahoma"/>
          <w:color w:val="auto"/>
          <w:lang w:val="ro-RO" w:eastAsia="ro-RO"/>
        </w:rPr>
        <w:t xml:space="preserve">Nerealizarea veniturilor programate pentru perioada analizată s-a datorat evoluției slabe a sumelor atrase aferente </w:t>
      </w:r>
      <w:r w:rsidR="00DF788D" w:rsidRPr="00650ED8">
        <w:rPr>
          <w:rFonts w:ascii="Tahoma" w:hAnsi="Tahoma" w:cs="Tahoma"/>
          <w:bCs/>
          <w:color w:val="auto"/>
          <w:lang w:val="ro-RO" w:eastAsia="ro-RO"/>
        </w:rPr>
        <w:t xml:space="preserve">perioadei de programare a Uniunii Europene 2021-2027 (53,6%) și a </w:t>
      </w:r>
      <w:r w:rsidR="00DF788D" w:rsidRPr="00650ED8">
        <w:rPr>
          <w:rFonts w:ascii="Tahoma" w:hAnsi="Tahoma" w:cs="Tahoma"/>
          <w:color w:val="auto"/>
          <w:lang w:val="ro-RO" w:eastAsia="ro-RO"/>
        </w:rPr>
        <w:t xml:space="preserve">sumelor aferente </w:t>
      </w:r>
      <w:r w:rsidR="006414CC" w:rsidRPr="00650ED8">
        <w:rPr>
          <w:rFonts w:ascii="Tahoma" w:hAnsi="Tahoma" w:cs="Tahoma"/>
          <w:color w:val="auto"/>
          <w:lang w:val="ro-RO" w:eastAsia="ro-RO"/>
        </w:rPr>
        <w:t>asistenței financiare nerambursabile alocate PNRR (</w:t>
      </w:r>
      <w:r w:rsidR="00DF788D" w:rsidRPr="00650ED8">
        <w:rPr>
          <w:rFonts w:ascii="Tahoma" w:hAnsi="Tahoma" w:cs="Tahoma"/>
          <w:color w:val="auto"/>
          <w:lang w:val="ro-RO" w:eastAsia="ro-RO"/>
        </w:rPr>
        <w:t>73,0%)</w:t>
      </w:r>
      <w:r w:rsidR="006414CC" w:rsidRPr="00650ED8">
        <w:rPr>
          <w:rFonts w:ascii="Tahoma" w:hAnsi="Tahoma" w:cs="Tahoma"/>
          <w:bCs/>
          <w:color w:val="auto"/>
          <w:lang w:val="ro-RO" w:eastAsia="ro-RO"/>
        </w:rPr>
        <w:t>.</w:t>
      </w:r>
    </w:p>
    <w:p w:rsidR="00E77E4C" w:rsidRPr="00650ED8" w:rsidRDefault="009270AB" w:rsidP="003B1016">
      <w:pPr>
        <w:spacing w:after="120" w:line="276" w:lineRule="auto"/>
        <w:jc w:val="both"/>
        <w:rPr>
          <w:rFonts w:ascii="Tahoma" w:hAnsi="Tahoma" w:cs="Tahoma"/>
          <w:sz w:val="24"/>
          <w:szCs w:val="24"/>
          <w:lang w:eastAsia="ro-RO"/>
        </w:rPr>
      </w:pPr>
      <w:r w:rsidRPr="00650ED8">
        <w:rPr>
          <w:rFonts w:ascii="Tahoma" w:hAnsi="Tahoma" w:cs="Tahoma"/>
          <w:sz w:val="24"/>
          <w:szCs w:val="24"/>
          <w:lang w:eastAsia="ro-RO"/>
        </w:rPr>
        <w:t xml:space="preserve">Comparativ cu trimestrul </w:t>
      </w:r>
      <w:r w:rsidR="006D23FD" w:rsidRPr="00650ED8">
        <w:rPr>
          <w:rFonts w:ascii="Tahoma" w:hAnsi="Tahoma" w:cs="Tahoma"/>
          <w:sz w:val="24"/>
          <w:szCs w:val="24"/>
          <w:lang w:eastAsia="ro-RO"/>
        </w:rPr>
        <w:t xml:space="preserve">al </w:t>
      </w:r>
      <w:r w:rsidR="00DF788D" w:rsidRPr="00650ED8">
        <w:rPr>
          <w:rFonts w:ascii="Tahoma" w:hAnsi="Tahoma" w:cs="Tahoma"/>
          <w:sz w:val="24"/>
          <w:szCs w:val="24"/>
          <w:lang w:eastAsia="ro-RO"/>
        </w:rPr>
        <w:t>trei</w:t>
      </w:r>
      <w:r w:rsidR="006D23FD" w:rsidRPr="00650ED8">
        <w:rPr>
          <w:rFonts w:ascii="Tahoma" w:hAnsi="Tahoma" w:cs="Tahoma"/>
          <w:sz w:val="24"/>
          <w:szCs w:val="24"/>
          <w:lang w:eastAsia="ro-RO"/>
        </w:rPr>
        <w:t xml:space="preserve">lea </w:t>
      </w:r>
      <w:r w:rsidRPr="00650ED8">
        <w:rPr>
          <w:rFonts w:ascii="Tahoma" w:hAnsi="Tahoma" w:cs="Tahoma"/>
          <w:sz w:val="24"/>
          <w:szCs w:val="24"/>
          <w:lang w:eastAsia="ro-RO"/>
        </w:rPr>
        <w:t xml:space="preserve">al anului precedent sumele nerambursabile primite de la </w:t>
      </w:r>
      <w:r w:rsidRPr="00650ED8">
        <w:rPr>
          <w:rFonts w:ascii="Tahoma" w:hAnsi="Tahoma" w:cs="Tahoma"/>
          <w:bCs/>
          <w:sz w:val="24"/>
          <w:szCs w:val="24"/>
          <w:lang w:eastAsia="ro-RO"/>
        </w:rPr>
        <w:t>Uniunea Europeană</w:t>
      </w:r>
      <w:r w:rsidRPr="00650ED8">
        <w:rPr>
          <w:rFonts w:ascii="Tahoma" w:hAnsi="Tahoma" w:cs="Tahoma"/>
          <w:sz w:val="24"/>
          <w:szCs w:val="24"/>
          <w:lang w:eastAsia="ro-RO"/>
        </w:rPr>
        <w:t xml:space="preserve"> au înregistrat o </w:t>
      </w:r>
      <w:r w:rsidR="00AA0C67" w:rsidRPr="00650ED8">
        <w:rPr>
          <w:rFonts w:ascii="Tahoma" w:hAnsi="Tahoma" w:cs="Tahoma"/>
          <w:sz w:val="24"/>
          <w:szCs w:val="24"/>
          <w:lang w:eastAsia="ro-RO"/>
        </w:rPr>
        <w:t>scădere</w:t>
      </w:r>
      <w:r w:rsidRPr="00650ED8">
        <w:rPr>
          <w:rFonts w:ascii="Tahoma" w:hAnsi="Tahoma" w:cs="Tahoma"/>
          <w:sz w:val="24"/>
          <w:szCs w:val="24"/>
          <w:lang w:eastAsia="ro-RO"/>
        </w:rPr>
        <w:t xml:space="preserve"> cu </w:t>
      </w:r>
      <w:r w:rsidR="00DF788D" w:rsidRPr="00650ED8">
        <w:rPr>
          <w:rFonts w:ascii="Tahoma" w:hAnsi="Tahoma" w:cs="Tahoma"/>
          <w:sz w:val="24"/>
          <w:szCs w:val="24"/>
          <w:lang w:eastAsia="ro-RO"/>
        </w:rPr>
        <w:t>50,7</w:t>
      </w:r>
      <w:r w:rsidR="002B0928" w:rsidRPr="00650ED8">
        <w:rPr>
          <w:rFonts w:ascii="Tahoma" w:hAnsi="Tahoma" w:cs="Tahoma"/>
          <w:sz w:val="24"/>
          <w:szCs w:val="24"/>
          <w:lang w:eastAsia="ro-RO"/>
        </w:rPr>
        <w:t>%</w:t>
      </w:r>
      <w:r w:rsidRPr="00650ED8">
        <w:rPr>
          <w:rFonts w:ascii="Tahoma" w:hAnsi="Tahoma" w:cs="Tahoma"/>
          <w:sz w:val="24"/>
          <w:szCs w:val="24"/>
          <w:lang w:eastAsia="ro-RO"/>
        </w:rPr>
        <w:t xml:space="preserve"> (+</w:t>
      </w:r>
      <w:r w:rsidR="00AA0C67" w:rsidRPr="00650ED8">
        <w:rPr>
          <w:rFonts w:ascii="Tahoma" w:hAnsi="Tahoma" w:cs="Tahoma"/>
          <w:sz w:val="24"/>
          <w:szCs w:val="24"/>
          <w:lang w:eastAsia="ro-RO"/>
        </w:rPr>
        <w:t>5,5</w:t>
      </w:r>
      <w:r w:rsidR="00DF788D" w:rsidRPr="00650ED8">
        <w:rPr>
          <w:rFonts w:ascii="Tahoma" w:hAnsi="Tahoma" w:cs="Tahoma"/>
          <w:sz w:val="24"/>
          <w:szCs w:val="24"/>
          <w:lang w:eastAsia="ro-RO"/>
        </w:rPr>
        <w:t>3</w:t>
      </w:r>
      <w:r w:rsidR="002B0928" w:rsidRPr="00650ED8">
        <w:rPr>
          <w:rFonts w:ascii="Tahoma" w:hAnsi="Tahoma" w:cs="Tahoma"/>
          <w:sz w:val="24"/>
          <w:szCs w:val="24"/>
          <w:lang w:eastAsia="ro-RO"/>
        </w:rPr>
        <w:t xml:space="preserve"> miliarde lei</w:t>
      </w:r>
      <w:r w:rsidRPr="00650ED8">
        <w:rPr>
          <w:rFonts w:ascii="Tahoma" w:hAnsi="Tahoma" w:cs="Tahoma"/>
          <w:sz w:val="24"/>
          <w:szCs w:val="24"/>
          <w:lang w:eastAsia="ro-RO"/>
        </w:rPr>
        <w:t>)</w:t>
      </w:r>
      <w:r w:rsidR="00AA0C67" w:rsidRPr="00650ED8">
        <w:rPr>
          <w:rFonts w:ascii="Tahoma" w:hAnsi="Tahoma" w:cs="Tahoma"/>
          <w:sz w:val="24"/>
          <w:szCs w:val="24"/>
          <w:lang w:eastAsia="ro-RO"/>
        </w:rPr>
        <w:t xml:space="preserve"> pe fondul reducerii sumelor atrase din</w:t>
      </w:r>
      <w:r w:rsidR="00AA0C67" w:rsidRPr="00650ED8">
        <w:rPr>
          <w:rFonts w:ascii="Tahoma" w:hAnsi="Tahoma" w:cs="Tahoma"/>
          <w:lang w:eastAsia="ro-RO"/>
        </w:rPr>
        <w:t xml:space="preserve"> </w:t>
      </w:r>
      <w:r w:rsidR="00AA0C67" w:rsidRPr="00650ED8">
        <w:rPr>
          <w:rFonts w:ascii="Tahoma" w:hAnsi="Tahoma" w:cs="Tahoma"/>
          <w:sz w:val="24"/>
          <w:szCs w:val="24"/>
          <w:lang w:eastAsia="ro-RO"/>
        </w:rPr>
        <w:t>cadru financiar 2014-2020</w:t>
      </w:r>
      <w:r w:rsidR="00732616" w:rsidRPr="00650ED8">
        <w:rPr>
          <w:rFonts w:ascii="Tahoma" w:hAnsi="Tahoma" w:cs="Tahoma"/>
          <w:sz w:val="24"/>
          <w:szCs w:val="24"/>
          <w:lang w:eastAsia="ro-RO"/>
        </w:rPr>
        <w:t xml:space="preserve"> în condițiile atingerii fazei finale în cazul proiectelor finanțate din acest cadru financiar.</w:t>
      </w:r>
      <w:r w:rsidRPr="00650ED8">
        <w:rPr>
          <w:rFonts w:ascii="Tahoma" w:hAnsi="Tahoma" w:cs="Tahoma"/>
          <w:sz w:val="24"/>
          <w:szCs w:val="24"/>
          <w:lang w:eastAsia="ro-RO"/>
        </w:rPr>
        <w:t xml:space="preserve"> </w:t>
      </w:r>
    </w:p>
    <w:p w:rsidR="00E15D34" w:rsidRPr="00650ED8" w:rsidRDefault="00E15D34" w:rsidP="003B1016">
      <w:pPr>
        <w:spacing w:after="120" w:line="276" w:lineRule="auto"/>
        <w:jc w:val="both"/>
        <w:rPr>
          <w:rFonts w:ascii="Tahoma" w:eastAsia="Times New Roman" w:hAnsi="Tahoma" w:cs="Tahoma"/>
          <w:color w:val="FF0000"/>
          <w:sz w:val="24"/>
          <w:szCs w:val="24"/>
          <w:lang w:eastAsia="ro-RO"/>
        </w:rPr>
      </w:pPr>
      <w:r w:rsidRPr="00650ED8">
        <w:rPr>
          <w:rFonts w:ascii="Tahoma" w:hAnsi="Tahoma" w:cs="Tahoma"/>
          <w:color w:val="FF0000"/>
          <w:lang w:eastAsia="ro-RO"/>
        </w:rPr>
        <w:br w:type="page"/>
      </w:r>
    </w:p>
    <w:p w:rsidR="007D0985" w:rsidRPr="00650ED8" w:rsidRDefault="007D0985" w:rsidP="007D0985">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650ED8">
        <w:rPr>
          <w:rFonts w:ascii="Tahoma" w:hAnsi="Tahoma" w:cs="Tahoma"/>
          <w:b/>
          <w:caps/>
          <w:color w:val="0070C0"/>
          <w:sz w:val="24"/>
          <w:szCs w:val="24"/>
        </w:rPr>
        <w:lastRenderedPageBreak/>
        <w:t>CHELTUIELILE bugetului general consolidat</w:t>
      </w:r>
    </w:p>
    <w:p w:rsidR="007D0985" w:rsidRPr="00650ED8" w:rsidRDefault="00950B7A" w:rsidP="00660150">
      <w:pPr>
        <w:shd w:val="clear" w:color="auto" w:fill="D9D9D9" w:themeFill="background1" w:themeFillShade="D9"/>
        <w:spacing w:after="120" w:line="276" w:lineRule="auto"/>
        <w:jc w:val="both"/>
        <w:rPr>
          <w:rFonts w:ascii="Tahoma" w:hAnsi="Tahoma" w:cs="Tahoma"/>
          <w:sz w:val="24"/>
          <w:szCs w:val="24"/>
        </w:rPr>
      </w:pPr>
      <w:r w:rsidRPr="00650ED8">
        <w:rPr>
          <w:rFonts w:ascii="Tahoma" w:hAnsi="Tahoma" w:cs="Tahoma"/>
          <w:b/>
          <w:sz w:val="24"/>
          <w:szCs w:val="24"/>
        </w:rPr>
        <w:t>Cheltuielile bugetului general consolidat</w:t>
      </w:r>
      <w:r w:rsidR="003C4703" w:rsidRPr="00650ED8">
        <w:rPr>
          <w:rFonts w:ascii="Tahoma" w:hAnsi="Tahoma" w:cs="Tahoma"/>
          <w:sz w:val="24"/>
          <w:szCs w:val="24"/>
        </w:rPr>
        <w:t xml:space="preserve"> </w:t>
      </w:r>
      <w:r w:rsidR="000913C6" w:rsidRPr="00650ED8">
        <w:rPr>
          <w:rFonts w:ascii="Tahoma" w:hAnsi="Tahoma" w:cs="Tahoma"/>
          <w:sz w:val="24"/>
          <w:szCs w:val="24"/>
        </w:rPr>
        <w:t xml:space="preserve">în perioada analizată </w:t>
      </w:r>
      <w:r w:rsidR="003C4703" w:rsidRPr="00650ED8">
        <w:rPr>
          <w:rFonts w:ascii="Tahoma" w:hAnsi="Tahoma" w:cs="Tahoma"/>
          <w:sz w:val="24"/>
          <w:szCs w:val="24"/>
        </w:rPr>
        <w:t xml:space="preserve">au fost în sumă de </w:t>
      </w:r>
      <w:r w:rsidR="002E3F27" w:rsidRPr="00650ED8">
        <w:rPr>
          <w:rFonts w:ascii="Tahoma" w:hAnsi="Tahoma" w:cs="Tahoma"/>
          <w:sz w:val="24"/>
          <w:szCs w:val="24"/>
        </w:rPr>
        <w:t>173,05</w:t>
      </w:r>
      <w:r w:rsidRPr="00650ED8">
        <w:rPr>
          <w:rFonts w:ascii="Tahoma" w:hAnsi="Tahoma" w:cs="Tahoma"/>
          <w:sz w:val="24"/>
          <w:szCs w:val="24"/>
        </w:rPr>
        <w:t xml:space="preserve"> </w:t>
      </w:r>
      <w:r w:rsidR="00602503" w:rsidRPr="00650ED8">
        <w:rPr>
          <w:rFonts w:ascii="Tahoma" w:hAnsi="Tahoma" w:cs="Tahoma"/>
          <w:sz w:val="24"/>
          <w:szCs w:val="24"/>
        </w:rPr>
        <w:t>miliarde</w:t>
      </w:r>
      <w:r w:rsidR="00713D80" w:rsidRPr="00650ED8">
        <w:rPr>
          <w:rFonts w:ascii="Tahoma" w:hAnsi="Tahoma" w:cs="Tahoma"/>
          <w:sz w:val="24"/>
          <w:szCs w:val="24"/>
        </w:rPr>
        <w:t xml:space="preserve"> </w:t>
      </w:r>
      <w:r w:rsidRPr="00650ED8">
        <w:rPr>
          <w:rFonts w:ascii="Tahoma" w:hAnsi="Tahoma" w:cs="Tahoma"/>
          <w:sz w:val="24"/>
          <w:szCs w:val="24"/>
        </w:rPr>
        <w:t xml:space="preserve">lei, au reprezentat </w:t>
      </w:r>
      <w:r w:rsidR="00732434" w:rsidRPr="00650ED8">
        <w:rPr>
          <w:rFonts w:ascii="Tahoma" w:hAnsi="Tahoma" w:cs="Tahoma"/>
          <w:sz w:val="24"/>
          <w:szCs w:val="24"/>
        </w:rPr>
        <w:t>9,</w:t>
      </w:r>
      <w:r w:rsidR="002E3F27" w:rsidRPr="00650ED8">
        <w:rPr>
          <w:rFonts w:ascii="Tahoma" w:hAnsi="Tahoma" w:cs="Tahoma"/>
          <w:sz w:val="24"/>
          <w:szCs w:val="24"/>
        </w:rPr>
        <w:t>8</w:t>
      </w:r>
      <w:r w:rsidRPr="00650ED8">
        <w:rPr>
          <w:rFonts w:ascii="Tahoma" w:hAnsi="Tahoma" w:cs="Tahoma"/>
          <w:sz w:val="24"/>
          <w:szCs w:val="24"/>
        </w:rPr>
        <w:t xml:space="preserve">% ca pondere în PIB și s-au efectuat în proporție de </w:t>
      </w:r>
      <w:r w:rsidR="00434C24" w:rsidRPr="00650ED8">
        <w:rPr>
          <w:rFonts w:ascii="Tahoma" w:hAnsi="Tahoma" w:cs="Tahoma"/>
          <w:sz w:val="24"/>
          <w:szCs w:val="24"/>
        </w:rPr>
        <w:t>95,</w:t>
      </w:r>
      <w:r w:rsidR="002E3F27" w:rsidRPr="00650ED8">
        <w:rPr>
          <w:rFonts w:ascii="Tahoma" w:hAnsi="Tahoma" w:cs="Tahoma"/>
          <w:sz w:val="24"/>
          <w:szCs w:val="24"/>
        </w:rPr>
        <w:t>0</w:t>
      </w:r>
      <w:r w:rsidRPr="00650ED8">
        <w:rPr>
          <w:rFonts w:ascii="Tahoma" w:hAnsi="Tahoma" w:cs="Tahoma"/>
          <w:sz w:val="24"/>
          <w:szCs w:val="24"/>
        </w:rPr>
        <w:t>% comparativ cu programul pentru trimestrul I</w:t>
      </w:r>
      <w:r w:rsidR="00434C24" w:rsidRPr="00650ED8">
        <w:rPr>
          <w:rFonts w:ascii="Tahoma" w:hAnsi="Tahoma" w:cs="Tahoma"/>
          <w:sz w:val="24"/>
          <w:szCs w:val="24"/>
        </w:rPr>
        <w:t>I</w:t>
      </w:r>
      <w:r w:rsidR="002E3F27" w:rsidRPr="00650ED8">
        <w:rPr>
          <w:rFonts w:ascii="Tahoma" w:hAnsi="Tahoma" w:cs="Tahoma"/>
          <w:sz w:val="24"/>
          <w:szCs w:val="24"/>
        </w:rPr>
        <w:t>I</w:t>
      </w:r>
      <w:r w:rsidRPr="00650ED8">
        <w:rPr>
          <w:rFonts w:ascii="Tahoma" w:hAnsi="Tahoma" w:cs="Tahoma"/>
          <w:sz w:val="24"/>
          <w:szCs w:val="24"/>
        </w:rPr>
        <w:t xml:space="preserve"> 202</w:t>
      </w:r>
      <w:r w:rsidR="00732434" w:rsidRPr="00650ED8">
        <w:rPr>
          <w:rFonts w:ascii="Tahoma" w:hAnsi="Tahoma" w:cs="Tahoma"/>
          <w:sz w:val="24"/>
          <w:szCs w:val="24"/>
        </w:rPr>
        <w:t>4</w:t>
      </w:r>
      <w:r w:rsidRPr="00650ED8">
        <w:rPr>
          <w:rFonts w:ascii="Tahoma" w:hAnsi="Tahoma" w:cs="Tahoma"/>
          <w:sz w:val="24"/>
          <w:szCs w:val="24"/>
        </w:rPr>
        <w:t>.</w:t>
      </w:r>
    </w:p>
    <w:p w:rsidR="00B10206" w:rsidRPr="00650ED8" w:rsidRDefault="00B10206" w:rsidP="00660150">
      <w:pPr>
        <w:tabs>
          <w:tab w:val="left" w:pos="567"/>
        </w:tabs>
        <w:spacing w:after="0" w:line="276" w:lineRule="auto"/>
        <w:ind w:right="6"/>
        <w:jc w:val="both"/>
        <w:rPr>
          <w:rFonts w:ascii="Tahoma" w:hAnsi="Tahoma" w:cs="Tahoma"/>
          <w:sz w:val="24"/>
          <w:szCs w:val="24"/>
        </w:rPr>
      </w:pPr>
      <w:r w:rsidRPr="00650ED8">
        <w:rPr>
          <w:rFonts w:ascii="Tahoma" w:hAnsi="Tahoma" w:cs="Tahoma"/>
          <w:sz w:val="24"/>
          <w:szCs w:val="24"/>
        </w:rPr>
        <w:t>Față de nivelul înregistrat în trimestru</w:t>
      </w:r>
      <w:r w:rsidR="00434C24" w:rsidRPr="00650ED8">
        <w:rPr>
          <w:rFonts w:ascii="Tahoma" w:hAnsi="Tahoma" w:cs="Tahoma"/>
          <w:sz w:val="24"/>
          <w:szCs w:val="24"/>
        </w:rPr>
        <w:t>l II</w:t>
      </w:r>
      <w:r w:rsidR="002E3F27" w:rsidRPr="00650ED8">
        <w:rPr>
          <w:rFonts w:ascii="Tahoma" w:hAnsi="Tahoma" w:cs="Tahoma"/>
          <w:sz w:val="24"/>
          <w:szCs w:val="24"/>
        </w:rPr>
        <w:t>I</w:t>
      </w:r>
      <w:r w:rsidRPr="00650ED8">
        <w:rPr>
          <w:rFonts w:ascii="Tahoma" w:hAnsi="Tahoma" w:cs="Tahoma"/>
          <w:sz w:val="24"/>
          <w:szCs w:val="24"/>
        </w:rPr>
        <w:t xml:space="preserve"> 20</w:t>
      </w:r>
      <w:r w:rsidR="004F33F6" w:rsidRPr="00650ED8">
        <w:rPr>
          <w:rFonts w:ascii="Tahoma" w:hAnsi="Tahoma" w:cs="Tahoma"/>
          <w:sz w:val="24"/>
          <w:szCs w:val="24"/>
        </w:rPr>
        <w:t>2</w:t>
      </w:r>
      <w:r w:rsidR="00732434" w:rsidRPr="00650ED8">
        <w:rPr>
          <w:rFonts w:ascii="Tahoma" w:hAnsi="Tahoma" w:cs="Tahoma"/>
          <w:sz w:val="24"/>
          <w:szCs w:val="24"/>
        </w:rPr>
        <w:t>3</w:t>
      </w:r>
      <w:r w:rsidRPr="00650ED8">
        <w:rPr>
          <w:rFonts w:ascii="Tahoma" w:hAnsi="Tahoma" w:cs="Tahoma"/>
          <w:sz w:val="24"/>
          <w:szCs w:val="24"/>
        </w:rPr>
        <w:t xml:space="preserve">, cheltuielile bugetare au fost mai mari cu </w:t>
      </w:r>
      <w:r w:rsidR="00434C24" w:rsidRPr="00650ED8">
        <w:rPr>
          <w:rFonts w:ascii="Tahoma" w:hAnsi="Tahoma" w:cs="Tahoma"/>
          <w:sz w:val="24"/>
          <w:szCs w:val="24"/>
        </w:rPr>
        <w:t>19,</w:t>
      </w:r>
      <w:r w:rsidR="002E3F27" w:rsidRPr="00650ED8">
        <w:rPr>
          <w:rFonts w:ascii="Tahoma" w:hAnsi="Tahoma" w:cs="Tahoma"/>
          <w:sz w:val="24"/>
          <w:szCs w:val="24"/>
        </w:rPr>
        <w:t>7</w:t>
      </w:r>
      <w:r w:rsidRPr="00650ED8">
        <w:rPr>
          <w:rFonts w:ascii="Tahoma" w:hAnsi="Tahoma" w:cs="Tahoma"/>
          <w:sz w:val="24"/>
          <w:szCs w:val="24"/>
        </w:rPr>
        <w:t>%</w:t>
      </w:r>
      <w:r w:rsidR="00434C24" w:rsidRPr="00650ED8">
        <w:rPr>
          <w:rFonts w:ascii="Tahoma" w:hAnsi="Tahoma" w:cs="Tahoma"/>
          <w:sz w:val="24"/>
          <w:szCs w:val="24"/>
        </w:rPr>
        <w:t>(+28,</w:t>
      </w:r>
      <w:r w:rsidR="002E3F27" w:rsidRPr="00650ED8">
        <w:rPr>
          <w:rFonts w:ascii="Tahoma" w:hAnsi="Tahoma" w:cs="Tahoma"/>
          <w:sz w:val="24"/>
          <w:szCs w:val="24"/>
        </w:rPr>
        <w:t>52</w:t>
      </w:r>
      <w:r w:rsidR="00434C24" w:rsidRPr="00650ED8">
        <w:rPr>
          <w:rFonts w:ascii="Tahoma" w:hAnsi="Tahoma" w:cs="Tahoma"/>
          <w:sz w:val="24"/>
          <w:szCs w:val="24"/>
        </w:rPr>
        <w:t xml:space="preserve"> miliarde lei)</w:t>
      </w:r>
      <w:r w:rsidR="00650ED8" w:rsidRPr="00650ED8">
        <w:rPr>
          <w:rFonts w:ascii="Tahoma" w:hAnsi="Tahoma" w:cs="Tahoma"/>
          <w:sz w:val="24"/>
          <w:szCs w:val="24"/>
        </w:rPr>
        <w:t>,</w:t>
      </w:r>
      <w:r w:rsidR="00732434" w:rsidRPr="00650ED8">
        <w:rPr>
          <w:rFonts w:ascii="Tahoma" w:hAnsi="Tahoma" w:cs="Tahoma"/>
          <w:sz w:val="24"/>
          <w:szCs w:val="24"/>
        </w:rPr>
        <w:t xml:space="preserve"> iar ca pondere în PIB cu </w:t>
      </w:r>
      <w:r w:rsidR="00434C24" w:rsidRPr="00650ED8">
        <w:rPr>
          <w:rFonts w:ascii="Tahoma" w:hAnsi="Tahoma" w:cs="Tahoma"/>
          <w:sz w:val="24"/>
          <w:szCs w:val="24"/>
        </w:rPr>
        <w:t>0,8</w:t>
      </w:r>
      <w:r w:rsidR="00732434" w:rsidRPr="00650ED8">
        <w:rPr>
          <w:rFonts w:ascii="Tahoma" w:hAnsi="Tahoma" w:cs="Tahoma"/>
          <w:sz w:val="24"/>
          <w:szCs w:val="24"/>
        </w:rPr>
        <w:t xml:space="preserve"> puncte procentuale de la </w:t>
      </w:r>
      <w:r w:rsidR="002E3F27" w:rsidRPr="00650ED8">
        <w:rPr>
          <w:rFonts w:ascii="Tahoma" w:hAnsi="Tahoma" w:cs="Tahoma"/>
          <w:sz w:val="24"/>
          <w:szCs w:val="24"/>
        </w:rPr>
        <w:t>9,0</w:t>
      </w:r>
      <w:r w:rsidR="00732434" w:rsidRPr="00650ED8">
        <w:rPr>
          <w:rFonts w:ascii="Tahoma" w:hAnsi="Tahoma" w:cs="Tahoma"/>
          <w:sz w:val="24"/>
          <w:szCs w:val="24"/>
        </w:rPr>
        <w:t xml:space="preserve">% din PIB cât au fost </w:t>
      </w:r>
      <w:r w:rsidR="00434C24" w:rsidRPr="00650ED8">
        <w:rPr>
          <w:rFonts w:ascii="Tahoma" w:hAnsi="Tahoma" w:cs="Tahoma"/>
          <w:sz w:val="24"/>
          <w:szCs w:val="24"/>
        </w:rPr>
        <w:t xml:space="preserve">în </w:t>
      </w:r>
      <w:r w:rsidR="00732434" w:rsidRPr="00650ED8">
        <w:rPr>
          <w:rFonts w:ascii="Tahoma" w:hAnsi="Tahoma" w:cs="Tahoma"/>
          <w:sz w:val="24"/>
          <w:szCs w:val="24"/>
        </w:rPr>
        <w:t>trimestru</w:t>
      </w:r>
      <w:r w:rsidR="00434C24" w:rsidRPr="00650ED8">
        <w:rPr>
          <w:rFonts w:ascii="Tahoma" w:hAnsi="Tahoma" w:cs="Tahoma"/>
          <w:sz w:val="24"/>
          <w:szCs w:val="24"/>
        </w:rPr>
        <w:t>l II</w:t>
      </w:r>
      <w:r w:rsidR="002E3F27" w:rsidRPr="00650ED8">
        <w:rPr>
          <w:rFonts w:ascii="Tahoma" w:hAnsi="Tahoma" w:cs="Tahoma"/>
          <w:sz w:val="24"/>
          <w:szCs w:val="24"/>
        </w:rPr>
        <w:t>I</w:t>
      </w:r>
      <w:r w:rsidR="00732434" w:rsidRPr="00650ED8">
        <w:rPr>
          <w:rFonts w:ascii="Tahoma" w:hAnsi="Tahoma" w:cs="Tahoma"/>
          <w:sz w:val="24"/>
          <w:szCs w:val="24"/>
        </w:rPr>
        <w:t xml:space="preserve"> 2023 la 9,</w:t>
      </w:r>
      <w:r w:rsidR="002E3F27" w:rsidRPr="00650ED8">
        <w:rPr>
          <w:rFonts w:ascii="Tahoma" w:hAnsi="Tahoma" w:cs="Tahoma"/>
          <w:sz w:val="24"/>
          <w:szCs w:val="24"/>
        </w:rPr>
        <w:t>8</w:t>
      </w:r>
      <w:r w:rsidR="00732434" w:rsidRPr="00650ED8">
        <w:rPr>
          <w:rFonts w:ascii="Tahoma" w:hAnsi="Tahoma" w:cs="Tahoma"/>
          <w:sz w:val="24"/>
          <w:szCs w:val="24"/>
        </w:rPr>
        <w:t>% din PIB în perioada analizată</w:t>
      </w:r>
      <w:r w:rsidRPr="00650ED8">
        <w:rPr>
          <w:rFonts w:ascii="Tahoma" w:hAnsi="Tahoma" w:cs="Tahoma"/>
          <w:sz w:val="24"/>
          <w:szCs w:val="24"/>
        </w:rPr>
        <w:t>.</w:t>
      </w:r>
    </w:p>
    <w:p w:rsidR="00B10206" w:rsidRPr="00650ED8" w:rsidRDefault="00B10206" w:rsidP="00B10206">
      <w:pPr>
        <w:tabs>
          <w:tab w:val="left" w:pos="567"/>
        </w:tabs>
        <w:spacing w:after="0"/>
        <w:ind w:right="6" w:firstLine="567"/>
        <w:jc w:val="both"/>
        <w:rPr>
          <w:rFonts w:ascii="Tahoma" w:hAnsi="Tahoma" w:cs="Tahoma"/>
          <w:sz w:val="24"/>
          <w:szCs w:val="24"/>
        </w:rPr>
      </w:pPr>
    </w:p>
    <w:p w:rsidR="00B10206" w:rsidRPr="00650ED8" w:rsidRDefault="002D2A9F" w:rsidP="00B10206">
      <w:pPr>
        <w:tabs>
          <w:tab w:val="left" w:pos="567"/>
        </w:tabs>
        <w:ind w:right="6"/>
        <w:jc w:val="both"/>
        <w:rPr>
          <w:rFonts w:ascii="Tahoma" w:hAnsi="Tahoma" w:cs="Tahoma"/>
          <w:sz w:val="24"/>
          <w:szCs w:val="24"/>
        </w:rPr>
      </w:pPr>
      <w:r w:rsidRPr="00650ED8">
        <w:rPr>
          <w:rFonts w:ascii="Tahoma" w:hAnsi="Tahoma" w:cs="Tahoma"/>
          <w:noProof/>
          <w:sz w:val="24"/>
          <w:szCs w:val="24"/>
        </w:rPr>
        <w:object w:dxaOrig="9361" w:dyaOrig="5266">
          <v:shape id="_x0000_i1027" type="#_x0000_t75" style="width:496.5pt;height:267pt" o:ole="">
            <v:imagedata r:id="rId12" o:title=""/>
          </v:shape>
          <o:OLEObject Type="Link" ProgID="Excel.Sheet.12" ShapeID="_x0000_i1027" DrawAspect="Content" r:id="rId13" UpdateMode="Always">
            <o:LinkType>EnhancedMetaFile</o:LinkType>
            <o:LockedField>false</o:LockedField>
          </o:OLEObject>
        </w:object>
      </w:r>
    </w:p>
    <w:p w:rsidR="00BA678C" w:rsidRPr="00650ED8" w:rsidRDefault="00BA678C" w:rsidP="00620B19">
      <w:pPr>
        <w:spacing w:after="0"/>
        <w:jc w:val="both"/>
        <w:rPr>
          <w:rFonts w:ascii="Tahoma" w:hAnsi="Tahoma" w:cs="Tahoma"/>
          <w:b/>
          <w:i/>
          <w:sz w:val="24"/>
          <w:szCs w:val="24"/>
        </w:rPr>
      </w:pPr>
    </w:p>
    <w:p w:rsidR="00024773" w:rsidRPr="00650ED8" w:rsidRDefault="00B10206" w:rsidP="00753D9F">
      <w:pPr>
        <w:spacing w:after="120" w:line="276" w:lineRule="auto"/>
        <w:jc w:val="both"/>
        <w:rPr>
          <w:rFonts w:ascii="Tahoma" w:hAnsi="Tahoma" w:cs="Tahoma"/>
          <w:sz w:val="24"/>
          <w:szCs w:val="24"/>
        </w:rPr>
      </w:pPr>
      <w:r w:rsidRPr="00650ED8">
        <w:rPr>
          <w:rFonts w:ascii="Tahoma" w:hAnsi="Tahoma" w:cs="Tahoma"/>
          <w:b/>
          <w:sz w:val="24"/>
          <w:szCs w:val="24"/>
        </w:rPr>
        <w:t>Cheltuielile de personal</w:t>
      </w:r>
      <w:r w:rsidRPr="00650ED8">
        <w:rPr>
          <w:rFonts w:ascii="Tahoma" w:hAnsi="Tahoma" w:cs="Tahoma"/>
          <w:sz w:val="24"/>
          <w:szCs w:val="24"/>
        </w:rPr>
        <w:t>,</w:t>
      </w:r>
      <w:r w:rsidRPr="00650ED8">
        <w:rPr>
          <w:rFonts w:ascii="Tahoma" w:hAnsi="Tahoma" w:cs="Tahoma"/>
          <w:color w:val="C00000"/>
          <w:sz w:val="24"/>
          <w:szCs w:val="24"/>
        </w:rPr>
        <w:t xml:space="preserve"> </w:t>
      </w:r>
      <w:r w:rsidRPr="00650ED8">
        <w:rPr>
          <w:rFonts w:ascii="Tahoma" w:hAnsi="Tahoma" w:cs="Tahoma"/>
          <w:sz w:val="24"/>
          <w:szCs w:val="24"/>
        </w:rPr>
        <w:t>prezentate detaliat în Anexele n</w:t>
      </w:r>
      <w:r w:rsidR="003C4703" w:rsidRPr="00650ED8">
        <w:rPr>
          <w:rFonts w:ascii="Tahoma" w:hAnsi="Tahoma" w:cs="Tahoma"/>
          <w:sz w:val="24"/>
          <w:szCs w:val="24"/>
        </w:rPr>
        <w:t xml:space="preserve">r.3 </w:t>
      </w:r>
      <w:r w:rsidR="005B36B4" w:rsidRPr="00650ED8">
        <w:rPr>
          <w:rFonts w:ascii="Tahoma" w:hAnsi="Tahoma" w:cs="Tahoma"/>
          <w:sz w:val="24"/>
          <w:szCs w:val="24"/>
        </w:rPr>
        <w:t>și</w:t>
      </w:r>
      <w:r w:rsidR="003C4703" w:rsidRPr="00650ED8">
        <w:rPr>
          <w:rFonts w:ascii="Tahoma" w:hAnsi="Tahoma" w:cs="Tahoma"/>
          <w:sz w:val="24"/>
          <w:szCs w:val="24"/>
        </w:rPr>
        <w:t xml:space="preserve"> 4 au fost în sumă de </w:t>
      </w:r>
      <w:r w:rsidR="00434C24" w:rsidRPr="00650ED8">
        <w:rPr>
          <w:rFonts w:ascii="Tahoma" w:hAnsi="Tahoma" w:cs="Tahoma"/>
          <w:sz w:val="24"/>
          <w:szCs w:val="24"/>
        </w:rPr>
        <w:t>41,</w:t>
      </w:r>
      <w:r w:rsidR="00732616" w:rsidRPr="00650ED8">
        <w:rPr>
          <w:rFonts w:ascii="Tahoma" w:hAnsi="Tahoma" w:cs="Tahoma"/>
          <w:sz w:val="24"/>
          <w:szCs w:val="24"/>
        </w:rPr>
        <w:t>84</w:t>
      </w:r>
      <w:r w:rsidR="003C4703" w:rsidRPr="00650ED8">
        <w:rPr>
          <w:rFonts w:ascii="Tahoma" w:hAnsi="Tahoma" w:cs="Tahoma"/>
          <w:sz w:val="24"/>
          <w:szCs w:val="24"/>
        </w:rPr>
        <w:t xml:space="preserve"> </w:t>
      </w:r>
      <w:r w:rsidR="00602503" w:rsidRPr="00650ED8">
        <w:rPr>
          <w:rFonts w:ascii="Tahoma" w:hAnsi="Tahoma" w:cs="Tahoma"/>
          <w:sz w:val="24"/>
          <w:szCs w:val="24"/>
        </w:rPr>
        <w:t>miliarde</w:t>
      </w:r>
      <w:r w:rsidRPr="00650ED8">
        <w:rPr>
          <w:rFonts w:ascii="Tahoma" w:hAnsi="Tahoma" w:cs="Tahoma"/>
          <w:sz w:val="24"/>
          <w:szCs w:val="24"/>
        </w:rPr>
        <w:t xml:space="preserve"> lei și s-au efectuat în proporție de </w:t>
      </w:r>
      <w:r w:rsidR="00732616" w:rsidRPr="00650ED8">
        <w:rPr>
          <w:rFonts w:ascii="Tahoma" w:hAnsi="Tahoma" w:cs="Tahoma"/>
          <w:sz w:val="24"/>
          <w:szCs w:val="24"/>
        </w:rPr>
        <w:t>98</w:t>
      </w:r>
      <w:r w:rsidR="00434C24" w:rsidRPr="00650ED8">
        <w:rPr>
          <w:rFonts w:ascii="Tahoma" w:hAnsi="Tahoma" w:cs="Tahoma"/>
          <w:sz w:val="24"/>
          <w:szCs w:val="24"/>
        </w:rPr>
        <w:t>,3</w:t>
      </w:r>
      <w:r w:rsidRPr="00650ED8">
        <w:rPr>
          <w:rFonts w:ascii="Tahoma" w:hAnsi="Tahoma" w:cs="Tahoma"/>
          <w:sz w:val="24"/>
          <w:szCs w:val="24"/>
        </w:rPr>
        <w:t xml:space="preserve">% față de nivelul estimat a se efectua în </w:t>
      </w:r>
      <w:r w:rsidR="00434C24" w:rsidRPr="00650ED8">
        <w:rPr>
          <w:rFonts w:ascii="Tahoma" w:hAnsi="Tahoma" w:cs="Tahoma"/>
          <w:sz w:val="24"/>
          <w:szCs w:val="24"/>
        </w:rPr>
        <w:t>perioada analizată</w:t>
      </w:r>
      <w:r w:rsidRPr="00650ED8">
        <w:rPr>
          <w:rFonts w:ascii="Tahoma" w:hAnsi="Tahoma" w:cs="Tahoma"/>
          <w:sz w:val="24"/>
          <w:szCs w:val="24"/>
        </w:rPr>
        <w:t xml:space="preserve">. </w:t>
      </w:r>
      <w:r w:rsidR="00024773" w:rsidRPr="00650ED8">
        <w:rPr>
          <w:rFonts w:ascii="Tahoma" w:hAnsi="Tahoma" w:cs="Tahoma"/>
          <w:sz w:val="24"/>
          <w:szCs w:val="24"/>
        </w:rPr>
        <w:t xml:space="preserve">Exprimate ca pondere în PIB, cheltuielile de personal reprezintă un nivel de </w:t>
      </w:r>
      <w:r w:rsidR="00B75414" w:rsidRPr="00650ED8">
        <w:rPr>
          <w:rFonts w:ascii="Tahoma" w:hAnsi="Tahoma" w:cs="Tahoma"/>
          <w:sz w:val="24"/>
          <w:szCs w:val="24"/>
        </w:rPr>
        <w:t>2,</w:t>
      </w:r>
      <w:r w:rsidR="00732616" w:rsidRPr="00650ED8">
        <w:rPr>
          <w:rFonts w:ascii="Tahoma" w:hAnsi="Tahoma" w:cs="Tahoma"/>
          <w:sz w:val="24"/>
          <w:szCs w:val="24"/>
        </w:rPr>
        <w:t>4</w:t>
      </w:r>
      <w:r w:rsidR="00024773" w:rsidRPr="00650ED8">
        <w:rPr>
          <w:rFonts w:ascii="Tahoma" w:hAnsi="Tahoma" w:cs="Tahoma"/>
          <w:sz w:val="24"/>
          <w:szCs w:val="24"/>
        </w:rPr>
        <w:t>% din PIB, cu 0,</w:t>
      </w:r>
      <w:r w:rsidR="00B75414" w:rsidRPr="00650ED8">
        <w:rPr>
          <w:rFonts w:ascii="Tahoma" w:hAnsi="Tahoma" w:cs="Tahoma"/>
          <w:sz w:val="24"/>
          <w:szCs w:val="24"/>
        </w:rPr>
        <w:t>3</w:t>
      </w:r>
      <w:r w:rsidR="00024773" w:rsidRPr="00650ED8">
        <w:rPr>
          <w:rFonts w:ascii="Tahoma" w:hAnsi="Tahoma" w:cs="Tahoma"/>
          <w:sz w:val="24"/>
          <w:szCs w:val="24"/>
        </w:rPr>
        <w:t xml:space="preserve"> puncte procentuale mai </w:t>
      </w:r>
      <w:r w:rsidR="00B75414" w:rsidRPr="00650ED8">
        <w:rPr>
          <w:rFonts w:ascii="Tahoma" w:hAnsi="Tahoma" w:cs="Tahoma"/>
          <w:sz w:val="24"/>
          <w:szCs w:val="24"/>
        </w:rPr>
        <w:t>mari</w:t>
      </w:r>
      <w:r w:rsidR="00024773" w:rsidRPr="00650ED8">
        <w:rPr>
          <w:rFonts w:ascii="Tahoma" w:hAnsi="Tahoma" w:cs="Tahoma"/>
          <w:sz w:val="24"/>
          <w:szCs w:val="24"/>
        </w:rPr>
        <w:t xml:space="preserve"> față de aceeași perioadă a anului anterior. </w:t>
      </w:r>
    </w:p>
    <w:p w:rsidR="00482979" w:rsidRPr="00650ED8" w:rsidRDefault="00B10206" w:rsidP="00753D9F">
      <w:pPr>
        <w:spacing w:before="120" w:after="120" w:line="276" w:lineRule="auto"/>
        <w:jc w:val="both"/>
        <w:rPr>
          <w:rFonts w:ascii="Tahoma" w:hAnsi="Tahoma" w:cs="Tahoma"/>
          <w:bCs/>
          <w:sz w:val="24"/>
          <w:szCs w:val="24"/>
        </w:rPr>
      </w:pPr>
      <w:r w:rsidRPr="00650ED8">
        <w:rPr>
          <w:rFonts w:ascii="Tahoma" w:hAnsi="Tahoma" w:cs="Tahoma"/>
          <w:bCs/>
          <w:sz w:val="24"/>
          <w:szCs w:val="24"/>
        </w:rPr>
        <w:t xml:space="preserve">Cheltuielile de personal au </w:t>
      </w:r>
      <w:r w:rsidR="00E37855" w:rsidRPr="00650ED8">
        <w:rPr>
          <w:rFonts w:ascii="Tahoma" w:hAnsi="Tahoma" w:cs="Tahoma"/>
          <w:bCs/>
          <w:sz w:val="24"/>
          <w:szCs w:val="24"/>
        </w:rPr>
        <w:t xml:space="preserve">crescut cu </w:t>
      </w:r>
      <w:r w:rsidR="00732616" w:rsidRPr="00650ED8">
        <w:rPr>
          <w:rFonts w:ascii="Tahoma" w:hAnsi="Tahoma" w:cs="Tahoma"/>
          <w:bCs/>
          <w:sz w:val="24"/>
          <w:szCs w:val="24"/>
        </w:rPr>
        <w:t>24,5</w:t>
      </w:r>
      <w:r w:rsidR="00E37855" w:rsidRPr="00650ED8">
        <w:rPr>
          <w:rFonts w:ascii="Tahoma" w:hAnsi="Tahoma" w:cs="Tahoma"/>
          <w:bCs/>
          <w:sz w:val="24"/>
          <w:szCs w:val="24"/>
        </w:rPr>
        <w:t>% comparativ cu trimestrul I</w:t>
      </w:r>
      <w:r w:rsidR="00434C24" w:rsidRPr="00650ED8">
        <w:rPr>
          <w:rFonts w:ascii="Tahoma" w:hAnsi="Tahoma" w:cs="Tahoma"/>
          <w:bCs/>
          <w:sz w:val="24"/>
          <w:szCs w:val="24"/>
        </w:rPr>
        <w:t>I</w:t>
      </w:r>
      <w:r w:rsidR="00732616" w:rsidRPr="00650ED8">
        <w:rPr>
          <w:rFonts w:ascii="Tahoma" w:hAnsi="Tahoma" w:cs="Tahoma"/>
          <w:bCs/>
          <w:sz w:val="24"/>
          <w:szCs w:val="24"/>
        </w:rPr>
        <w:t>I</w:t>
      </w:r>
      <w:r w:rsidR="00E37855" w:rsidRPr="00650ED8">
        <w:rPr>
          <w:rFonts w:ascii="Tahoma" w:hAnsi="Tahoma" w:cs="Tahoma"/>
          <w:bCs/>
          <w:sz w:val="24"/>
          <w:szCs w:val="24"/>
        </w:rPr>
        <w:t xml:space="preserve"> 202</w:t>
      </w:r>
      <w:r w:rsidR="00B75414" w:rsidRPr="00650ED8">
        <w:rPr>
          <w:rFonts w:ascii="Tahoma" w:hAnsi="Tahoma" w:cs="Tahoma"/>
          <w:bCs/>
          <w:sz w:val="24"/>
          <w:szCs w:val="24"/>
        </w:rPr>
        <w:t>3</w:t>
      </w:r>
      <w:r w:rsidR="00E37855" w:rsidRPr="00650ED8">
        <w:rPr>
          <w:rFonts w:ascii="Tahoma" w:hAnsi="Tahoma" w:cs="Tahoma"/>
          <w:bCs/>
          <w:sz w:val="24"/>
          <w:szCs w:val="24"/>
        </w:rPr>
        <w:t xml:space="preserve">, </w:t>
      </w:r>
      <w:r w:rsidR="00883B23" w:rsidRPr="00650ED8">
        <w:rPr>
          <w:rFonts w:ascii="Tahoma" w:hAnsi="Tahoma" w:cs="Tahoma"/>
          <w:bCs/>
          <w:sz w:val="24"/>
          <w:szCs w:val="24"/>
        </w:rPr>
        <w:t xml:space="preserve">pe fondul creșterilor salariale din sectorul bugetar acordate începând cu </w:t>
      </w:r>
      <w:r w:rsidR="00B75414" w:rsidRPr="00650ED8">
        <w:rPr>
          <w:rFonts w:ascii="Tahoma" w:hAnsi="Tahoma" w:cs="Tahoma"/>
          <w:bCs/>
          <w:sz w:val="24"/>
          <w:szCs w:val="24"/>
        </w:rPr>
        <w:t xml:space="preserve">al doilea semestru al anului 2023 cât și </w:t>
      </w:r>
      <w:r w:rsidR="00732616" w:rsidRPr="00650ED8">
        <w:rPr>
          <w:rFonts w:ascii="Tahoma" w:hAnsi="Tahoma" w:cs="Tahoma"/>
          <w:bCs/>
          <w:sz w:val="24"/>
          <w:szCs w:val="24"/>
        </w:rPr>
        <w:t>pe parcursul anului curent.</w:t>
      </w:r>
    </w:p>
    <w:p w:rsidR="00D413A5" w:rsidRPr="00650ED8" w:rsidRDefault="00B10206" w:rsidP="00D413A5">
      <w:pPr>
        <w:spacing w:before="120" w:after="120" w:line="276" w:lineRule="auto"/>
        <w:jc w:val="both"/>
        <w:rPr>
          <w:rFonts w:ascii="Tahoma" w:eastAsia="Calibri" w:hAnsi="Tahoma" w:cs="Tahoma"/>
          <w:sz w:val="24"/>
          <w:szCs w:val="28"/>
        </w:rPr>
      </w:pPr>
      <w:r w:rsidRPr="00650ED8">
        <w:rPr>
          <w:rFonts w:ascii="Tahoma" w:hAnsi="Tahoma" w:cs="Tahoma"/>
          <w:b/>
          <w:bCs/>
          <w:sz w:val="24"/>
          <w:szCs w:val="24"/>
        </w:rPr>
        <w:t>Cheltuielile cu bunuri și servicii</w:t>
      </w:r>
      <w:r w:rsidR="00AB3FB4" w:rsidRPr="00650ED8">
        <w:rPr>
          <w:rFonts w:ascii="Tahoma" w:hAnsi="Tahoma" w:cs="Tahoma"/>
          <w:b/>
          <w:bCs/>
          <w:sz w:val="24"/>
          <w:szCs w:val="24"/>
        </w:rPr>
        <w:t xml:space="preserve"> </w:t>
      </w:r>
      <w:r w:rsidR="003C4703" w:rsidRPr="00650ED8">
        <w:rPr>
          <w:rFonts w:ascii="Tahoma" w:hAnsi="Tahoma" w:cs="Tahoma"/>
          <w:sz w:val="24"/>
          <w:szCs w:val="24"/>
        </w:rPr>
        <w:t xml:space="preserve">au însumat </w:t>
      </w:r>
      <w:r w:rsidR="00732616" w:rsidRPr="00650ED8">
        <w:rPr>
          <w:rFonts w:ascii="Tahoma" w:hAnsi="Tahoma" w:cs="Tahoma"/>
          <w:sz w:val="24"/>
          <w:szCs w:val="24"/>
        </w:rPr>
        <w:t>21,05</w:t>
      </w:r>
      <w:r w:rsidRPr="00650ED8">
        <w:rPr>
          <w:rFonts w:ascii="Tahoma" w:hAnsi="Tahoma" w:cs="Tahoma"/>
          <w:sz w:val="24"/>
          <w:szCs w:val="24"/>
        </w:rPr>
        <w:t xml:space="preserve"> </w:t>
      </w:r>
      <w:r w:rsidR="00602503" w:rsidRPr="00650ED8">
        <w:rPr>
          <w:rFonts w:ascii="Tahoma" w:hAnsi="Tahoma" w:cs="Tahoma"/>
          <w:sz w:val="24"/>
          <w:szCs w:val="24"/>
        </w:rPr>
        <w:t>miliarde</w:t>
      </w:r>
      <w:r w:rsidRPr="00650ED8">
        <w:rPr>
          <w:rFonts w:ascii="Tahoma" w:hAnsi="Tahoma" w:cs="Tahoma"/>
          <w:sz w:val="24"/>
          <w:szCs w:val="24"/>
        </w:rPr>
        <w:t xml:space="preserve"> lei (1,</w:t>
      </w:r>
      <w:r w:rsidR="00732616" w:rsidRPr="00650ED8">
        <w:rPr>
          <w:rFonts w:ascii="Tahoma" w:hAnsi="Tahoma" w:cs="Tahoma"/>
          <w:sz w:val="24"/>
          <w:szCs w:val="24"/>
        </w:rPr>
        <w:t>2</w:t>
      </w:r>
      <w:r w:rsidRPr="00650ED8">
        <w:rPr>
          <w:rFonts w:ascii="Tahoma" w:hAnsi="Tahoma" w:cs="Tahoma"/>
          <w:sz w:val="24"/>
          <w:szCs w:val="24"/>
        </w:rPr>
        <w:t xml:space="preserve">% din PIB) și s-au efectuat în proporție de </w:t>
      </w:r>
      <w:r w:rsidR="00732616" w:rsidRPr="00650ED8">
        <w:rPr>
          <w:rFonts w:ascii="Tahoma" w:hAnsi="Tahoma" w:cs="Tahoma"/>
          <w:sz w:val="24"/>
          <w:szCs w:val="24"/>
        </w:rPr>
        <w:t>87,1</w:t>
      </w:r>
      <w:r w:rsidRPr="00650ED8">
        <w:rPr>
          <w:rFonts w:ascii="Tahoma" w:hAnsi="Tahoma" w:cs="Tahoma"/>
          <w:sz w:val="24"/>
          <w:szCs w:val="24"/>
        </w:rPr>
        <w:t xml:space="preserve">% comparativ cu programul trimestrial. </w:t>
      </w:r>
      <w:r w:rsidR="001B1117" w:rsidRPr="00650ED8">
        <w:rPr>
          <w:rFonts w:ascii="Tahoma" w:hAnsi="Tahoma" w:cs="Tahoma"/>
          <w:sz w:val="24"/>
          <w:szCs w:val="24"/>
        </w:rPr>
        <w:t>Comparativ cu trimestrul I</w:t>
      </w:r>
      <w:r w:rsidR="00434C24" w:rsidRPr="00650ED8">
        <w:rPr>
          <w:rFonts w:ascii="Tahoma" w:hAnsi="Tahoma" w:cs="Tahoma"/>
          <w:sz w:val="24"/>
          <w:szCs w:val="24"/>
        </w:rPr>
        <w:t>I</w:t>
      </w:r>
      <w:r w:rsidR="00732616" w:rsidRPr="00650ED8">
        <w:rPr>
          <w:rFonts w:ascii="Tahoma" w:hAnsi="Tahoma" w:cs="Tahoma"/>
          <w:sz w:val="24"/>
          <w:szCs w:val="24"/>
        </w:rPr>
        <w:t>I</w:t>
      </w:r>
      <w:r w:rsidR="001B1117" w:rsidRPr="00650ED8">
        <w:rPr>
          <w:rFonts w:ascii="Tahoma" w:hAnsi="Tahoma" w:cs="Tahoma"/>
          <w:sz w:val="24"/>
          <w:szCs w:val="24"/>
        </w:rPr>
        <w:t xml:space="preserve"> 202</w:t>
      </w:r>
      <w:r w:rsidR="00421F0A" w:rsidRPr="00650ED8">
        <w:rPr>
          <w:rFonts w:ascii="Tahoma" w:hAnsi="Tahoma" w:cs="Tahoma"/>
          <w:sz w:val="24"/>
          <w:szCs w:val="24"/>
        </w:rPr>
        <w:t>3</w:t>
      </w:r>
      <w:r w:rsidR="001B1117" w:rsidRPr="00650ED8">
        <w:rPr>
          <w:rFonts w:ascii="Tahoma" w:hAnsi="Tahoma" w:cs="Tahoma"/>
          <w:sz w:val="24"/>
          <w:szCs w:val="24"/>
        </w:rPr>
        <w:t xml:space="preserve"> cheltuielile cu bunuri și servicii au crescut cu </w:t>
      </w:r>
      <w:r w:rsidR="00732616" w:rsidRPr="00650ED8">
        <w:rPr>
          <w:rFonts w:ascii="Tahoma" w:hAnsi="Tahoma" w:cs="Tahoma"/>
          <w:sz w:val="24"/>
          <w:szCs w:val="24"/>
        </w:rPr>
        <w:t>17,6</w:t>
      </w:r>
      <w:r w:rsidR="001B1117" w:rsidRPr="00650ED8">
        <w:rPr>
          <w:rFonts w:ascii="Tahoma" w:hAnsi="Tahoma" w:cs="Tahoma"/>
          <w:sz w:val="24"/>
          <w:szCs w:val="24"/>
        </w:rPr>
        <w:t xml:space="preserve">% în special ca urmare a evoluției acestora la nivelul </w:t>
      </w:r>
      <w:r w:rsidR="00E5538C" w:rsidRPr="00650ED8">
        <w:rPr>
          <w:rFonts w:ascii="Tahoma" w:hAnsi="Tahoma" w:cs="Tahoma"/>
          <w:sz w:val="24"/>
          <w:szCs w:val="24"/>
        </w:rPr>
        <w:t xml:space="preserve">bugetului de stat(+18,0%), la </w:t>
      </w:r>
      <w:r w:rsidR="00AB3FB4" w:rsidRPr="00650ED8">
        <w:rPr>
          <w:rFonts w:ascii="Tahoma" w:hAnsi="Tahoma" w:cs="Tahoma"/>
          <w:sz w:val="24"/>
          <w:szCs w:val="24"/>
        </w:rPr>
        <w:t>bugetel</w:t>
      </w:r>
      <w:r w:rsidR="00E5538C" w:rsidRPr="00650ED8">
        <w:rPr>
          <w:rFonts w:ascii="Tahoma" w:hAnsi="Tahoma" w:cs="Tahoma"/>
          <w:sz w:val="24"/>
          <w:szCs w:val="24"/>
        </w:rPr>
        <w:t>e</w:t>
      </w:r>
      <w:r w:rsidR="00AB3FB4" w:rsidRPr="00650ED8">
        <w:rPr>
          <w:rFonts w:ascii="Tahoma" w:hAnsi="Tahoma" w:cs="Tahoma"/>
          <w:sz w:val="24"/>
          <w:szCs w:val="24"/>
        </w:rPr>
        <w:t xml:space="preserve"> locale</w:t>
      </w:r>
      <w:r w:rsidR="00650ED8">
        <w:rPr>
          <w:rFonts w:ascii="Tahoma" w:hAnsi="Tahoma" w:cs="Tahoma"/>
          <w:sz w:val="24"/>
          <w:szCs w:val="24"/>
        </w:rPr>
        <w:t xml:space="preserve"> </w:t>
      </w:r>
      <w:r w:rsidR="00D413A5" w:rsidRPr="00650ED8">
        <w:rPr>
          <w:rFonts w:ascii="Tahoma" w:hAnsi="Tahoma" w:cs="Tahoma"/>
          <w:sz w:val="24"/>
          <w:szCs w:val="24"/>
        </w:rPr>
        <w:t>(+</w:t>
      </w:r>
      <w:r w:rsidR="00E5538C" w:rsidRPr="00650ED8">
        <w:rPr>
          <w:rFonts w:ascii="Tahoma" w:hAnsi="Tahoma" w:cs="Tahoma"/>
          <w:sz w:val="24"/>
          <w:szCs w:val="24"/>
        </w:rPr>
        <w:t>12</w:t>
      </w:r>
      <w:r w:rsidR="00D413A5" w:rsidRPr="00650ED8">
        <w:rPr>
          <w:rFonts w:ascii="Tahoma" w:hAnsi="Tahoma" w:cs="Tahoma"/>
          <w:sz w:val="24"/>
          <w:szCs w:val="24"/>
        </w:rPr>
        <w:t>%)</w:t>
      </w:r>
      <w:r w:rsidR="006E39B6" w:rsidRPr="00650ED8">
        <w:rPr>
          <w:rFonts w:ascii="Tahoma" w:hAnsi="Tahoma" w:cs="Tahoma"/>
          <w:sz w:val="24"/>
          <w:szCs w:val="24"/>
        </w:rPr>
        <w:t xml:space="preserve"> </w:t>
      </w:r>
      <w:r w:rsidR="00362EA3" w:rsidRPr="00650ED8">
        <w:rPr>
          <w:rFonts w:ascii="Tahoma" w:hAnsi="Tahoma" w:cs="Tahoma"/>
          <w:sz w:val="24"/>
          <w:szCs w:val="24"/>
        </w:rPr>
        <w:t xml:space="preserve">și </w:t>
      </w:r>
      <w:r w:rsidR="00D413A5" w:rsidRPr="00650ED8">
        <w:rPr>
          <w:rFonts w:ascii="Tahoma" w:hAnsi="Tahoma" w:cs="Tahoma"/>
          <w:sz w:val="24"/>
          <w:szCs w:val="24"/>
        </w:rPr>
        <w:t xml:space="preserve">la </w:t>
      </w:r>
      <w:r w:rsidR="00362EA3" w:rsidRPr="00650ED8">
        <w:rPr>
          <w:rFonts w:ascii="Tahoma" w:hAnsi="Tahoma" w:cs="Tahoma"/>
          <w:sz w:val="24"/>
          <w:szCs w:val="24"/>
        </w:rPr>
        <w:t xml:space="preserve">bugetul </w:t>
      </w:r>
      <w:r w:rsidR="00362EA3" w:rsidRPr="00650ED8">
        <w:rPr>
          <w:rFonts w:ascii="Tahoma" w:hAnsi="Tahoma" w:cs="Tahoma"/>
          <w:sz w:val="24"/>
          <w:szCs w:val="24"/>
        </w:rPr>
        <w:lastRenderedPageBreak/>
        <w:t>Fondului național unic de asigurări sociale de sănătate</w:t>
      </w:r>
      <w:r w:rsidR="00650ED8">
        <w:rPr>
          <w:rFonts w:ascii="Tahoma" w:hAnsi="Tahoma" w:cs="Tahoma"/>
          <w:sz w:val="24"/>
          <w:szCs w:val="24"/>
        </w:rPr>
        <w:t xml:space="preserve"> </w:t>
      </w:r>
      <w:r w:rsidR="00D413A5" w:rsidRPr="00650ED8">
        <w:rPr>
          <w:rFonts w:ascii="Tahoma" w:hAnsi="Tahoma" w:cs="Tahoma"/>
          <w:sz w:val="24"/>
          <w:szCs w:val="24"/>
        </w:rPr>
        <w:t>(+</w:t>
      </w:r>
      <w:r w:rsidR="00E5538C" w:rsidRPr="00650ED8">
        <w:rPr>
          <w:rFonts w:ascii="Tahoma" w:hAnsi="Tahoma" w:cs="Tahoma"/>
          <w:sz w:val="24"/>
          <w:szCs w:val="24"/>
        </w:rPr>
        <w:t>22,4</w:t>
      </w:r>
      <w:r w:rsidR="00D413A5" w:rsidRPr="00650ED8">
        <w:rPr>
          <w:rFonts w:ascii="Tahoma" w:hAnsi="Tahoma" w:cs="Tahoma"/>
          <w:sz w:val="24"/>
          <w:szCs w:val="24"/>
        </w:rPr>
        <w:t>%)</w:t>
      </w:r>
      <w:r w:rsidR="00D413A5" w:rsidRPr="00650ED8">
        <w:rPr>
          <w:rFonts w:ascii="Tahoma" w:eastAsia="Calibri" w:hAnsi="Tahoma" w:cs="Tahoma"/>
          <w:sz w:val="24"/>
          <w:szCs w:val="28"/>
        </w:rPr>
        <w:t xml:space="preserve"> ca urmare a plăților </w:t>
      </w:r>
      <w:r w:rsidR="00D413A5" w:rsidRPr="00650ED8">
        <w:rPr>
          <w:rFonts w:ascii="Tahoma" w:hAnsi="Tahoma" w:cs="Tahoma"/>
          <w:sz w:val="24"/>
          <w:szCs w:val="24"/>
        </w:rPr>
        <w:t>pentru decontarea medicamentelor cu și fără contribuție personală și a medicamentelor utilizate în programele naționale de sănătate</w:t>
      </w:r>
      <w:r w:rsidR="00F81DCA" w:rsidRPr="00650ED8">
        <w:rPr>
          <w:rFonts w:ascii="Tahoma" w:hAnsi="Tahoma" w:cs="Tahoma"/>
          <w:sz w:val="24"/>
          <w:szCs w:val="24"/>
        </w:rPr>
        <w:t>.</w:t>
      </w:r>
      <w:r w:rsidR="00883B23" w:rsidRPr="00650ED8">
        <w:rPr>
          <w:rFonts w:ascii="Tahoma" w:eastAsia="Calibri" w:hAnsi="Tahoma" w:cs="Tahoma"/>
          <w:sz w:val="24"/>
          <w:szCs w:val="28"/>
        </w:rPr>
        <w:t xml:space="preserve"> </w:t>
      </w:r>
    </w:p>
    <w:p w:rsidR="00F81DCA" w:rsidRPr="00650ED8" w:rsidRDefault="00B10206" w:rsidP="00753D9F">
      <w:pPr>
        <w:spacing w:after="120" w:line="276" w:lineRule="auto"/>
        <w:ind w:right="6"/>
        <w:jc w:val="both"/>
        <w:rPr>
          <w:rFonts w:ascii="Tahoma" w:hAnsi="Tahoma" w:cs="Tahoma"/>
          <w:sz w:val="24"/>
          <w:szCs w:val="24"/>
        </w:rPr>
      </w:pPr>
      <w:r w:rsidRPr="00650ED8">
        <w:rPr>
          <w:rFonts w:ascii="Tahoma" w:hAnsi="Tahoma" w:cs="Tahoma"/>
          <w:b/>
          <w:bCs/>
          <w:sz w:val="24"/>
          <w:szCs w:val="24"/>
        </w:rPr>
        <w:t>Cheltuielile cu dobânzile</w:t>
      </w:r>
      <w:r w:rsidRPr="00650ED8">
        <w:rPr>
          <w:rFonts w:ascii="Tahoma" w:hAnsi="Tahoma" w:cs="Tahoma"/>
          <w:sz w:val="24"/>
          <w:szCs w:val="24"/>
        </w:rPr>
        <w:t xml:space="preserve"> a</w:t>
      </w:r>
      <w:r w:rsidR="003C4703" w:rsidRPr="00650ED8">
        <w:rPr>
          <w:rFonts w:ascii="Tahoma" w:hAnsi="Tahoma" w:cs="Tahoma"/>
          <w:sz w:val="24"/>
          <w:szCs w:val="24"/>
        </w:rPr>
        <w:t xml:space="preserve">u fost în termeni nominali de </w:t>
      </w:r>
      <w:r w:rsidR="00EA1148" w:rsidRPr="00650ED8">
        <w:rPr>
          <w:rFonts w:ascii="Tahoma" w:hAnsi="Tahoma" w:cs="Tahoma"/>
          <w:sz w:val="24"/>
          <w:szCs w:val="24"/>
        </w:rPr>
        <w:t>9,</w:t>
      </w:r>
      <w:r w:rsidR="00732616" w:rsidRPr="00650ED8">
        <w:rPr>
          <w:rFonts w:ascii="Tahoma" w:hAnsi="Tahoma" w:cs="Tahoma"/>
          <w:sz w:val="24"/>
          <w:szCs w:val="24"/>
        </w:rPr>
        <w:t>01</w:t>
      </w:r>
      <w:r w:rsidRPr="00650ED8">
        <w:rPr>
          <w:rFonts w:ascii="Tahoma" w:hAnsi="Tahoma" w:cs="Tahoma"/>
          <w:sz w:val="24"/>
          <w:szCs w:val="24"/>
        </w:rPr>
        <w:t xml:space="preserve"> </w:t>
      </w:r>
      <w:r w:rsidR="00602503" w:rsidRPr="00650ED8">
        <w:rPr>
          <w:rFonts w:ascii="Tahoma" w:hAnsi="Tahoma" w:cs="Tahoma"/>
          <w:sz w:val="24"/>
          <w:szCs w:val="24"/>
        </w:rPr>
        <w:t>miliarde</w:t>
      </w:r>
      <w:r w:rsidRPr="00650ED8">
        <w:rPr>
          <w:rFonts w:ascii="Tahoma" w:hAnsi="Tahoma" w:cs="Tahoma"/>
          <w:sz w:val="24"/>
          <w:szCs w:val="24"/>
        </w:rPr>
        <w:t xml:space="preserve"> lei (0,</w:t>
      </w:r>
      <w:r w:rsidR="00732616" w:rsidRPr="00650ED8">
        <w:rPr>
          <w:rFonts w:ascii="Tahoma" w:hAnsi="Tahoma" w:cs="Tahoma"/>
          <w:sz w:val="24"/>
          <w:szCs w:val="24"/>
        </w:rPr>
        <w:t>5</w:t>
      </w:r>
      <w:r w:rsidRPr="00650ED8">
        <w:rPr>
          <w:rFonts w:ascii="Tahoma" w:hAnsi="Tahoma" w:cs="Tahoma"/>
          <w:sz w:val="24"/>
          <w:szCs w:val="24"/>
        </w:rPr>
        <w:t xml:space="preserve">% din PIB) și s-au efectuat în proporție de </w:t>
      </w:r>
      <w:r w:rsidR="00732616" w:rsidRPr="00650ED8">
        <w:rPr>
          <w:rFonts w:ascii="Tahoma" w:hAnsi="Tahoma" w:cs="Tahoma"/>
          <w:sz w:val="24"/>
          <w:szCs w:val="24"/>
        </w:rPr>
        <w:t>92,7</w:t>
      </w:r>
      <w:r w:rsidRPr="00650ED8">
        <w:rPr>
          <w:rFonts w:ascii="Tahoma" w:hAnsi="Tahoma" w:cs="Tahoma"/>
          <w:sz w:val="24"/>
          <w:szCs w:val="24"/>
        </w:rPr>
        <w:t xml:space="preserve">% din programul trimestrial. </w:t>
      </w:r>
      <w:r w:rsidR="006E39B6" w:rsidRPr="00650ED8">
        <w:rPr>
          <w:rFonts w:ascii="Tahoma" w:hAnsi="Tahoma" w:cs="Tahoma"/>
          <w:sz w:val="24"/>
          <w:szCs w:val="24"/>
        </w:rPr>
        <w:t>Comparativ cu aceeași perioadă a anului precedent</w:t>
      </w:r>
      <w:r w:rsidR="000D5A57" w:rsidRPr="00650ED8">
        <w:rPr>
          <w:rFonts w:ascii="Tahoma" w:hAnsi="Tahoma" w:cs="Tahoma"/>
          <w:sz w:val="24"/>
          <w:szCs w:val="24"/>
        </w:rPr>
        <w:t>,</w:t>
      </w:r>
      <w:r w:rsidR="006E39B6" w:rsidRPr="00650ED8">
        <w:rPr>
          <w:rFonts w:ascii="Tahoma" w:hAnsi="Tahoma" w:cs="Tahoma"/>
          <w:sz w:val="24"/>
          <w:szCs w:val="24"/>
        </w:rPr>
        <w:t xml:space="preserve"> plățile de dobânzi </w:t>
      </w:r>
      <w:r w:rsidR="00732616" w:rsidRPr="00650ED8">
        <w:rPr>
          <w:rFonts w:ascii="Tahoma" w:hAnsi="Tahoma" w:cs="Tahoma"/>
          <w:sz w:val="24"/>
          <w:szCs w:val="24"/>
        </w:rPr>
        <w:t xml:space="preserve">au crescut </w:t>
      </w:r>
      <w:r w:rsidR="006E39B6" w:rsidRPr="00650ED8">
        <w:rPr>
          <w:rFonts w:ascii="Tahoma" w:hAnsi="Tahoma" w:cs="Tahoma"/>
          <w:sz w:val="24"/>
          <w:szCs w:val="24"/>
        </w:rPr>
        <w:t xml:space="preserve">cu </w:t>
      </w:r>
      <w:r w:rsidR="00732616" w:rsidRPr="00650ED8">
        <w:rPr>
          <w:rFonts w:ascii="Tahoma" w:hAnsi="Tahoma" w:cs="Tahoma"/>
          <w:sz w:val="24"/>
          <w:szCs w:val="24"/>
        </w:rPr>
        <w:t>18,5</w:t>
      </w:r>
      <w:r w:rsidR="006E39B6" w:rsidRPr="00650ED8">
        <w:rPr>
          <w:rFonts w:ascii="Tahoma" w:hAnsi="Tahoma" w:cs="Tahoma"/>
          <w:sz w:val="24"/>
          <w:szCs w:val="24"/>
        </w:rPr>
        <w:t>%</w:t>
      </w:r>
      <w:r w:rsidR="001C5D69" w:rsidRPr="00650ED8">
        <w:rPr>
          <w:rFonts w:ascii="Tahoma" w:hAnsi="Tahoma" w:cs="Tahoma"/>
          <w:sz w:val="24"/>
          <w:szCs w:val="24"/>
        </w:rPr>
        <w:t xml:space="preserve"> </w:t>
      </w:r>
      <w:r w:rsidR="006E39B6" w:rsidRPr="00650ED8">
        <w:rPr>
          <w:rFonts w:ascii="Tahoma" w:hAnsi="Tahoma" w:cs="Tahoma"/>
          <w:sz w:val="24"/>
          <w:szCs w:val="24"/>
        </w:rPr>
        <w:t>(+</w:t>
      </w:r>
      <w:r w:rsidR="00732616" w:rsidRPr="00650ED8">
        <w:rPr>
          <w:rFonts w:ascii="Tahoma" w:hAnsi="Tahoma" w:cs="Tahoma"/>
          <w:sz w:val="24"/>
          <w:szCs w:val="24"/>
        </w:rPr>
        <w:t>1,40</w:t>
      </w:r>
      <w:r w:rsidR="006E39B6" w:rsidRPr="00650ED8">
        <w:rPr>
          <w:rFonts w:ascii="Tahoma" w:hAnsi="Tahoma" w:cs="Tahoma"/>
          <w:sz w:val="24"/>
          <w:szCs w:val="24"/>
        </w:rPr>
        <w:t xml:space="preserve"> </w:t>
      </w:r>
      <w:r w:rsidR="00602503" w:rsidRPr="00650ED8">
        <w:rPr>
          <w:rFonts w:ascii="Tahoma" w:hAnsi="Tahoma" w:cs="Tahoma"/>
          <w:sz w:val="24"/>
          <w:szCs w:val="24"/>
        </w:rPr>
        <w:t>miliarde</w:t>
      </w:r>
      <w:r w:rsidR="006E39B6" w:rsidRPr="00650ED8">
        <w:rPr>
          <w:rFonts w:ascii="Tahoma" w:hAnsi="Tahoma" w:cs="Tahoma"/>
          <w:sz w:val="24"/>
          <w:szCs w:val="24"/>
        </w:rPr>
        <w:t xml:space="preserve"> lei)</w:t>
      </w:r>
      <w:r w:rsidR="00F81DCA" w:rsidRPr="00650ED8">
        <w:rPr>
          <w:rFonts w:ascii="Tahoma" w:hAnsi="Tahoma" w:cs="Tahoma"/>
          <w:sz w:val="24"/>
          <w:szCs w:val="24"/>
        </w:rPr>
        <w:t>.</w:t>
      </w:r>
    </w:p>
    <w:p w:rsidR="00D413A5" w:rsidRPr="00650ED8" w:rsidRDefault="00B10206" w:rsidP="00D413A5">
      <w:pPr>
        <w:spacing w:before="120" w:after="120" w:line="276" w:lineRule="auto"/>
        <w:jc w:val="both"/>
        <w:rPr>
          <w:rFonts w:ascii="Tahoma" w:hAnsi="Tahoma" w:cs="Tahoma"/>
          <w:bCs/>
          <w:sz w:val="24"/>
          <w:szCs w:val="24"/>
        </w:rPr>
      </w:pPr>
      <w:r w:rsidRPr="00650ED8">
        <w:rPr>
          <w:rFonts w:ascii="Tahoma" w:hAnsi="Tahoma" w:cs="Tahoma"/>
          <w:b/>
          <w:bCs/>
          <w:sz w:val="24"/>
          <w:szCs w:val="24"/>
        </w:rPr>
        <w:t>Cheltuielile cu subvențiile</w:t>
      </w:r>
      <w:r w:rsidR="003C4703" w:rsidRPr="00650ED8">
        <w:rPr>
          <w:rFonts w:ascii="Tahoma" w:hAnsi="Tahoma" w:cs="Tahoma"/>
          <w:bCs/>
          <w:sz w:val="24"/>
          <w:szCs w:val="24"/>
        </w:rPr>
        <w:t xml:space="preserve"> au fost în sumă de </w:t>
      </w:r>
      <w:r w:rsidR="00732616" w:rsidRPr="00650ED8">
        <w:rPr>
          <w:rFonts w:ascii="Tahoma" w:hAnsi="Tahoma" w:cs="Tahoma"/>
          <w:bCs/>
          <w:sz w:val="24"/>
          <w:szCs w:val="24"/>
        </w:rPr>
        <w:t>4,73</w:t>
      </w:r>
      <w:r w:rsidR="003C4703" w:rsidRPr="00650ED8">
        <w:rPr>
          <w:rFonts w:ascii="Tahoma" w:hAnsi="Tahoma" w:cs="Tahoma"/>
          <w:bCs/>
          <w:sz w:val="24"/>
          <w:szCs w:val="24"/>
        </w:rPr>
        <w:t xml:space="preserve"> </w:t>
      </w:r>
      <w:r w:rsidR="00602503" w:rsidRPr="00650ED8">
        <w:rPr>
          <w:rFonts w:ascii="Tahoma" w:hAnsi="Tahoma" w:cs="Tahoma"/>
          <w:bCs/>
          <w:sz w:val="24"/>
          <w:szCs w:val="24"/>
        </w:rPr>
        <w:t>miliarde</w:t>
      </w:r>
      <w:r w:rsidR="001B1117" w:rsidRPr="00650ED8">
        <w:rPr>
          <w:rFonts w:ascii="Tahoma" w:hAnsi="Tahoma" w:cs="Tahoma"/>
          <w:bCs/>
          <w:sz w:val="24"/>
          <w:szCs w:val="24"/>
        </w:rPr>
        <w:t xml:space="preserve"> lei, au reprezentat 0,</w:t>
      </w:r>
      <w:r w:rsidR="000B44D2" w:rsidRPr="00650ED8">
        <w:rPr>
          <w:rFonts w:ascii="Tahoma" w:hAnsi="Tahoma" w:cs="Tahoma"/>
          <w:bCs/>
          <w:sz w:val="24"/>
          <w:szCs w:val="24"/>
        </w:rPr>
        <w:t>3</w:t>
      </w:r>
      <w:r w:rsidRPr="00650ED8">
        <w:rPr>
          <w:rFonts w:ascii="Tahoma" w:hAnsi="Tahoma" w:cs="Tahoma"/>
          <w:bCs/>
          <w:sz w:val="24"/>
          <w:szCs w:val="24"/>
        </w:rPr>
        <w:t xml:space="preserve">% din PIB și s-au efectuat în proporție de </w:t>
      </w:r>
      <w:r w:rsidR="00732616" w:rsidRPr="00650ED8">
        <w:rPr>
          <w:rFonts w:ascii="Tahoma" w:hAnsi="Tahoma" w:cs="Tahoma"/>
          <w:bCs/>
          <w:sz w:val="24"/>
          <w:szCs w:val="24"/>
        </w:rPr>
        <w:t>100,4</w:t>
      </w:r>
      <w:r w:rsidRPr="00650ED8">
        <w:rPr>
          <w:rFonts w:ascii="Tahoma" w:hAnsi="Tahoma" w:cs="Tahoma"/>
          <w:bCs/>
          <w:sz w:val="24"/>
          <w:szCs w:val="24"/>
        </w:rPr>
        <w:t>% comparativ cu programul trimestrial</w:t>
      </w:r>
      <w:r w:rsidR="00925E6D" w:rsidRPr="00650ED8">
        <w:rPr>
          <w:rFonts w:ascii="Tahoma" w:hAnsi="Tahoma" w:cs="Tahoma"/>
          <w:bCs/>
          <w:sz w:val="24"/>
          <w:szCs w:val="24"/>
        </w:rPr>
        <w:t xml:space="preserve">. </w:t>
      </w:r>
    </w:p>
    <w:p w:rsidR="00D413A5" w:rsidRPr="00650ED8" w:rsidRDefault="00F81DCA" w:rsidP="00D413A5">
      <w:pPr>
        <w:spacing w:before="120" w:after="120" w:line="276" w:lineRule="auto"/>
        <w:jc w:val="both"/>
        <w:rPr>
          <w:rFonts w:ascii="Tahoma" w:hAnsi="Tahoma" w:cs="Tahoma"/>
          <w:bCs/>
          <w:sz w:val="24"/>
          <w:szCs w:val="24"/>
        </w:rPr>
      </w:pPr>
      <w:r w:rsidRPr="00650ED8">
        <w:rPr>
          <w:rFonts w:ascii="Tahoma" w:hAnsi="Tahoma" w:cs="Tahoma"/>
          <w:bCs/>
          <w:sz w:val="24"/>
          <w:szCs w:val="24"/>
        </w:rPr>
        <w:t xml:space="preserve">Cheltuielile efectuate </w:t>
      </w:r>
      <w:r w:rsidRPr="00650ED8">
        <w:rPr>
          <w:rFonts w:ascii="Tahoma" w:eastAsia="Calibri" w:hAnsi="Tahoma" w:cs="Tahoma"/>
          <w:sz w:val="24"/>
          <w:szCs w:val="24"/>
        </w:rPr>
        <w:t xml:space="preserve">reprezintă </w:t>
      </w:r>
      <w:r w:rsidR="00D413A5" w:rsidRPr="00650ED8">
        <w:rPr>
          <w:rFonts w:ascii="Tahoma" w:hAnsi="Tahoma" w:cs="Tahoma"/>
          <w:bCs/>
          <w:sz w:val="24"/>
          <w:szCs w:val="24"/>
        </w:rPr>
        <w:t xml:space="preserve">subvenții pentru transportul de călători, pentru sprijinirea producătorilor agricoli, precum și pentru schema de compensare pentru consumul de energie electrică și gaze naturale al consumatorilor noncasnici </w:t>
      </w:r>
      <w:r w:rsidR="00AE5FFB" w:rsidRPr="00650ED8">
        <w:rPr>
          <w:rFonts w:ascii="Tahoma" w:hAnsi="Tahoma" w:cs="Tahoma"/>
          <w:bCs/>
          <w:sz w:val="24"/>
          <w:szCs w:val="24"/>
        </w:rPr>
        <w:t>(</w:t>
      </w:r>
      <w:r w:rsidR="00D06B13" w:rsidRPr="00650ED8">
        <w:rPr>
          <w:rFonts w:ascii="Tahoma" w:hAnsi="Tahoma" w:cs="Tahoma"/>
          <w:bCs/>
          <w:sz w:val="24"/>
          <w:szCs w:val="24"/>
        </w:rPr>
        <w:t>2,26</w:t>
      </w:r>
      <w:r w:rsidR="00D413A5" w:rsidRPr="00650ED8">
        <w:rPr>
          <w:rFonts w:ascii="Tahoma" w:hAnsi="Tahoma" w:cs="Tahoma"/>
          <w:bCs/>
          <w:sz w:val="24"/>
          <w:szCs w:val="24"/>
        </w:rPr>
        <w:t xml:space="preserve"> mil</w:t>
      </w:r>
      <w:r w:rsidR="00D06B13" w:rsidRPr="00650ED8">
        <w:rPr>
          <w:rFonts w:ascii="Tahoma" w:hAnsi="Tahoma" w:cs="Tahoma"/>
          <w:bCs/>
          <w:sz w:val="24"/>
          <w:szCs w:val="24"/>
        </w:rPr>
        <w:t>iarde</w:t>
      </w:r>
      <w:r w:rsidR="00D413A5" w:rsidRPr="00650ED8">
        <w:rPr>
          <w:rFonts w:ascii="Tahoma" w:hAnsi="Tahoma" w:cs="Tahoma"/>
          <w:bCs/>
          <w:sz w:val="24"/>
          <w:szCs w:val="24"/>
        </w:rPr>
        <w:t xml:space="preserve"> lei)</w:t>
      </w:r>
      <w:r w:rsidR="000B44D2" w:rsidRPr="00650ED8">
        <w:rPr>
          <w:rFonts w:ascii="Tahoma" w:hAnsi="Tahoma" w:cs="Tahoma"/>
          <w:bCs/>
          <w:sz w:val="24"/>
          <w:szCs w:val="24"/>
        </w:rPr>
        <w:t>.</w:t>
      </w:r>
    </w:p>
    <w:p w:rsidR="00E044D0" w:rsidRPr="00650ED8" w:rsidRDefault="00E044D0" w:rsidP="005F4DF1">
      <w:pPr>
        <w:spacing w:before="120" w:after="120" w:line="276" w:lineRule="auto"/>
        <w:jc w:val="both"/>
        <w:rPr>
          <w:rFonts w:ascii="Tahoma" w:eastAsia="Calibri" w:hAnsi="Tahoma" w:cs="Tahoma"/>
          <w:sz w:val="24"/>
          <w:szCs w:val="24"/>
        </w:rPr>
      </w:pPr>
      <w:r w:rsidRPr="00650ED8">
        <w:rPr>
          <w:rFonts w:ascii="Tahoma" w:eastAsia="Calibri" w:hAnsi="Tahoma" w:cs="Tahoma"/>
          <w:sz w:val="24"/>
          <w:szCs w:val="24"/>
        </w:rPr>
        <w:t xml:space="preserve">Comparativ cu aceeași perioada a anului anterior cheltuielile cu subvențiile s-au </w:t>
      </w:r>
      <w:r w:rsidR="00732616" w:rsidRPr="00650ED8">
        <w:rPr>
          <w:rFonts w:ascii="Tahoma" w:eastAsia="Calibri" w:hAnsi="Tahoma" w:cs="Tahoma"/>
          <w:sz w:val="24"/>
          <w:szCs w:val="24"/>
        </w:rPr>
        <w:t>redus</w:t>
      </w:r>
      <w:r w:rsidRPr="00650ED8">
        <w:rPr>
          <w:rFonts w:ascii="Tahoma" w:eastAsia="Calibri" w:hAnsi="Tahoma" w:cs="Tahoma"/>
          <w:sz w:val="24"/>
          <w:szCs w:val="24"/>
        </w:rPr>
        <w:t xml:space="preserve"> cu </w:t>
      </w:r>
      <w:r w:rsidR="00732616" w:rsidRPr="00650ED8">
        <w:rPr>
          <w:rFonts w:ascii="Tahoma" w:eastAsia="Calibri" w:hAnsi="Tahoma" w:cs="Tahoma"/>
          <w:sz w:val="24"/>
          <w:szCs w:val="24"/>
        </w:rPr>
        <w:t>10,0</w:t>
      </w:r>
      <w:r w:rsidR="00D12554" w:rsidRPr="00650ED8">
        <w:rPr>
          <w:rFonts w:ascii="Tahoma" w:eastAsia="Calibri" w:hAnsi="Tahoma" w:cs="Tahoma"/>
          <w:sz w:val="24"/>
          <w:szCs w:val="24"/>
        </w:rPr>
        <w:t>%</w:t>
      </w:r>
      <w:r w:rsidR="001C5D69" w:rsidRPr="00650ED8">
        <w:rPr>
          <w:rFonts w:ascii="Tahoma" w:eastAsia="Calibri" w:hAnsi="Tahoma" w:cs="Tahoma"/>
          <w:sz w:val="24"/>
          <w:szCs w:val="24"/>
        </w:rPr>
        <w:t xml:space="preserve"> </w:t>
      </w:r>
      <w:r w:rsidR="00D12554" w:rsidRPr="00650ED8">
        <w:rPr>
          <w:rFonts w:ascii="Tahoma" w:eastAsia="Calibri" w:hAnsi="Tahoma" w:cs="Tahoma"/>
          <w:sz w:val="24"/>
          <w:szCs w:val="24"/>
        </w:rPr>
        <w:t>(</w:t>
      </w:r>
      <w:r w:rsidR="00732616" w:rsidRPr="00650ED8">
        <w:rPr>
          <w:rFonts w:ascii="Tahoma" w:eastAsia="Calibri" w:hAnsi="Tahoma" w:cs="Tahoma"/>
          <w:sz w:val="24"/>
          <w:szCs w:val="24"/>
        </w:rPr>
        <w:t>-0,53</w:t>
      </w:r>
      <w:r w:rsidR="00D12554" w:rsidRPr="00650ED8">
        <w:rPr>
          <w:rFonts w:ascii="Tahoma" w:eastAsia="Calibri" w:hAnsi="Tahoma" w:cs="Tahoma"/>
          <w:sz w:val="24"/>
          <w:szCs w:val="24"/>
        </w:rPr>
        <w:t xml:space="preserve"> miliarde lei).</w:t>
      </w:r>
    </w:p>
    <w:p w:rsidR="00DB549B" w:rsidRPr="00650ED8" w:rsidRDefault="00B10206" w:rsidP="00753D9F">
      <w:pPr>
        <w:spacing w:after="120" w:line="276" w:lineRule="auto"/>
        <w:jc w:val="both"/>
        <w:rPr>
          <w:rFonts w:ascii="Tahoma" w:hAnsi="Tahoma" w:cs="Tahoma"/>
          <w:sz w:val="24"/>
          <w:szCs w:val="24"/>
        </w:rPr>
      </w:pPr>
      <w:r w:rsidRPr="00650ED8">
        <w:rPr>
          <w:rFonts w:ascii="Tahoma" w:hAnsi="Tahoma" w:cs="Tahoma"/>
          <w:b/>
          <w:bCs/>
          <w:sz w:val="24"/>
          <w:szCs w:val="24"/>
        </w:rPr>
        <w:t>Cheltuielile cu asistența socială</w:t>
      </w:r>
      <w:r w:rsidR="003C4703" w:rsidRPr="00650ED8">
        <w:rPr>
          <w:rFonts w:ascii="Tahoma" w:hAnsi="Tahoma" w:cs="Tahoma"/>
          <w:sz w:val="24"/>
          <w:szCs w:val="24"/>
        </w:rPr>
        <w:t xml:space="preserve"> au fost în sumă de </w:t>
      </w:r>
      <w:r w:rsidR="00732616" w:rsidRPr="00650ED8">
        <w:rPr>
          <w:rFonts w:ascii="Tahoma" w:hAnsi="Tahoma" w:cs="Tahoma"/>
          <w:sz w:val="24"/>
          <w:szCs w:val="24"/>
        </w:rPr>
        <w:t>55,91</w:t>
      </w:r>
      <w:r w:rsidR="003C4703" w:rsidRPr="00650ED8">
        <w:rPr>
          <w:rFonts w:ascii="Tahoma" w:hAnsi="Tahoma" w:cs="Tahoma"/>
          <w:sz w:val="24"/>
          <w:szCs w:val="24"/>
        </w:rPr>
        <w:t xml:space="preserve"> </w:t>
      </w:r>
      <w:r w:rsidR="00602503" w:rsidRPr="00650ED8">
        <w:rPr>
          <w:rFonts w:ascii="Tahoma" w:hAnsi="Tahoma" w:cs="Tahoma"/>
          <w:sz w:val="24"/>
          <w:szCs w:val="24"/>
        </w:rPr>
        <w:t>miliarde</w:t>
      </w:r>
      <w:r w:rsidRPr="00650ED8">
        <w:rPr>
          <w:rFonts w:ascii="Tahoma" w:hAnsi="Tahoma" w:cs="Tahoma"/>
          <w:sz w:val="24"/>
          <w:szCs w:val="24"/>
        </w:rPr>
        <w:t xml:space="preserve"> lei, au reprezentat 3,</w:t>
      </w:r>
      <w:r w:rsidR="00D16183" w:rsidRPr="00650ED8">
        <w:rPr>
          <w:rFonts w:ascii="Tahoma" w:hAnsi="Tahoma" w:cs="Tahoma"/>
          <w:sz w:val="24"/>
          <w:szCs w:val="24"/>
        </w:rPr>
        <w:t>2</w:t>
      </w:r>
      <w:r w:rsidRPr="00650ED8">
        <w:rPr>
          <w:rFonts w:ascii="Tahoma" w:hAnsi="Tahoma" w:cs="Tahoma"/>
          <w:sz w:val="24"/>
          <w:szCs w:val="24"/>
        </w:rPr>
        <w:t xml:space="preserve">% din PIB </w:t>
      </w:r>
      <w:r w:rsidR="00C145D7" w:rsidRPr="00650ED8">
        <w:rPr>
          <w:rFonts w:ascii="Tahoma" w:hAnsi="Tahoma" w:cs="Tahoma"/>
          <w:sz w:val="24"/>
          <w:szCs w:val="24"/>
        </w:rPr>
        <w:t>și</w:t>
      </w:r>
      <w:r w:rsidRPr="00650ED8">
        <w:rPr>
          <w:rFonts w:ascii="Tahoma" w:hAnsi="Tahoma" w:cs="Tahoma"/>
          <w:sz w:val="24"/>
          <w:szCs w:val="24"/>
        </w:rPr>
        <w:t xml:space="preserve"> s-au efectuat în proporție de </w:t>
      </w:r>
      <w:r w:rsidR="00D16183" w:rsidRPr="00650ED8">
        <w:rPr>
          <w:rFonts w:ascii="Tahoma" w:hAnsi="Tahoma" w:cs="Tahoma"/>
          <w:sz w:val="24"/>
          <w:szCs w:val="24"/>
        </w:rPr>
        <w:t>100,3</w:t>
      </w:r>
      <w:r w:rsidRPr="00650ED8">
        <w:rPr>
          <w:rFonts w:ascii="Tahoma" w:hAnsi="Tahoma" w:cs="Tahoma"/>
          <w:sz w:val="24"/>
          <w:szCs w:val="24"/>
        </w:rPr>
        <w:t>% față de programul trimestrial.</w:t>
      </w:r>
      <w:r w:rsidR="006737B0" w:rsidRPr="00650ED8">
        <w:rPr>
          <w:rFonts w:ascii="Tahoma" w:hAnsi="Tahoma" w:cs="Tahoma"/>
          <w:sz w:val="24"/>
          <w:szCs w:val="24"/>
        </w:rPr>
        <w:t xml:space="preserve"> </w:t>
      </w:r>
      <w:r w:rsidR="00EA6101" w:rsidRPr="00650ED8">
        <w:rPr>
          <w:rFonts w:ascii="Tahoma" w:hAnsi="Tahoma" w:cs="Tahoma"/>
          <w:sz w:val="24"/>
          <w:szCs w:val="24"/>
        </w:rPr>
        <w:t xml:space="preserve">Cheltuielile cu </w:t>
      </w:r>
      <w:r w:rsidR="00C145D7" w:rsidRPr="00650ED8">
        <w:rPr>
          <w:rFonts w:ascii="Tahoma" w:hAnsi="Tahoma" w:cs="Tahoma"/>
          <w:sz w:val="24"/>
          <w:szCs w:val="24"/>
        </w:rPr>
        <w:t>asistența</w:t>
      </w:r>
      <w:r w:rsidR="00EA6101" w:rsidRPr="00650ED8">
        <w:rPr>
          <w:rFonts w:ascii="Tahoma" w:hAnsi="Tahoma" w:cs="Tahoma"/>
          <w:sz w:val="24"/>
          <w:szCs w:val="24"/>
        </w:rPr>
        <w:t xml:space="preserve"> socială au crescut comparati</w:t>
      </w:r>
      <w:r w:rsidR="00567D77" w:rsidRPr="00650ED8">
        <w:rPr>
          <w:rFonts w:ascii="Tahoma" w:hAnsi="Tahoma" w:cs="Tahoma"/>
          <w:sz w:val="24"/>
          <w:szCs w:val="24"/>
        </w:rPr>
        <w:t>v</w:t>
      </w:r>
      <w:r w:rsidR="00EA6101" w:rsidRPr="00650ED8">
        <w:rPr>
          <w:rFonts w:ascii="Tahoma" w:hAnsi="Tahoma" w:cs="Tahoma"/>
          <w:sz w:val="24"/>
          <w:szCs w:val="24"/>
        </w:rPr>
        <w:t xml:space="preserve"> cu trimestr</w:t>
      </w:r>
      <w:r w:rsidR="00567D77" w:rsidRPr="00650ED8">
        <w:rPr>
          <w:rFonts w:ascii="Tahoma" w:hAnsi="Tahoma" w:cs="Tahoma"/>
          <w:sz w:val="24"/>
          <w:szCs w:val="24"/>
        </w:rPr>
        <w:t>u</w:t>
      </w:r>
      <w:r w:rsidR="00EA6101" w:rsidRPr="00650ED8">
        <w:rPr>
          <w:rFonts w:ascii="Tahoma" w:hAnsi="Tahoma" w:cs="Tahoma"/>
          <w:sz w:val="24"/>
          <w:szCs w:val="24"/>
        </w:rPr>
        <w:t>l I</w:t>
      </w:r>
      <w:r w:rsidR="000B44D2" w:rsidRPr="00650ED8">
        <w:rPr>
          <w:rFonts w:ascii="Tahoma" w:hAnsi="Tahoma" w:cs="Tahoma"/>
          <w:sz w:val="24"/>
          <w:szCs w:val="24"/>
        </w:rPr>
        <w:t>I</w:t>
      </w:r>
      <w:r w:rsidR="00D16183" w:rsidRPr="00650ED8">
        <w:rPr>
          <w:rFonts w:ascii="Tahoma" w:hAnsi="Tahoma" w:cs="Tahoma"/>
          <w:sz w:val="24"/>
          <w:szCs w:val="24"/>
        </w:rPr>
        <w:t>I</w:t>
      </w:r>
      <w:r w:rsidR="00EA6101" w:rsidRPr="00650ED8">
        <w:rPr>
          <w:rFonts w:ascii="Tahoma" w:hAnsi="Tahoma" w:cs="Tahoma"/>
          <w:sz w:val="24"/>
          <w:szCs w:val="24"/>
        </w:rPr>
        <w:t xml:space="preserve"> 202</w:t>
      </w:r>
      <w:r w:rsidR="00DB549B" w:rsidRPr="00650ED8">
        <w:rPr>
          <w:rFonts w:ascii="Tahoma" w:hAnsi="Tahoma" w:cs="Tahoma"/>
          <w:sz w:val="24"/>
          <w:szCs w:val="24"/>
        </w:rPr>
        <w:t>3</w:t>
      </w:r>
      <w:r w:rsidR="00EA6101" w:rsidRPr="00650ED8">
        <w:rPr>
          <w:rFonts w:ascii="Tahoma" w:hAnsi="Tahoma" w:cs="Tahoma"/>
          <w:sz w:val="24"/>
          <w:szCs w:val="24"/>
        </w:rPr>
        <w:t xml:space="preserve"> cu </w:t>
      </w:r>
      <w:r w:rsidR="00D16183" w:rsidRPr="00650ED8">
        <w:rPr>
          <w:rFonts w:ascii="Tahoma" w:hAnsi="Tahoma" w:cs="Tahoma"/>
          <w:sz w:val="24"/>
          <w:szCs w:val="24"/>
        </w:rPr>
        <w:t>18</w:t>
      </w:r>
      <w:r w:rsidR="00DB549B" w:rsidRPr="00650ED8">
        <w:rPr>
          <w:rFonts w:ascii="Tahoma" w:hAnsi="Tahoma" w:cs="Tahoma"/>
          <w:sz w:val="24"/>
          <w:szCs w:val="24"/>
        </w:rPr>
        <w:t>,</w:t>
      </w:r>
      <w:r w:rsidR="000B44D2" w:rsidRPr="00650ED8">
        <w:rPr>
          <w:rFonts w:ascii="Tahoma" w:hAnsi="Tahoma" w:cs="Tahoma"/>
          <w:sz w:val="24"/>
          <w:szCs w:val="24"/>
        </w:rPr>
        <w:t>1</w:t>
      </w:r>
      <w:r w:rsidR="00EA6101" w:rsidRPr="00650ED8">
        <w:rPr>
          <w:rFonts w:ascii="Tahoma" w:hAnsi="Tahoma" w:cs="Tahoma"/>
          <w:sz w:val="24"/>
          <w:szCs w:val="24"/>
        </w:rPr>
        <w:t>%</w:t>
      </w:r>
      <w:r w:rsidR="00C80BC9">
        <w:rPr>
          <w:rFonts w:ascii="Tahoma" w:hAnsi="Tahoma" w:cs="Tahoma"/>
          <w:sz w:val="24"/>
          <w:szCs w:val="24"/>
        </w:rPr>
        <w:t>,</w:t>
      </w:r>
      <w:r w:rsidR="00DB549B" w:rsidRPr="00650ED8">
        <w:rPr>
          <w:rFonts w:ascii="Tahoma" w:hAnsi="Tahoma" w:cs="Tahoma"/>
          <w:sz w:val="24"/>
          <w:szCs w:val="24"/>
        </w:rPr>
        <w:t xml:space="preserve"> iar ca pondere în PIB cu 0,</w:t>
      </w:r>
      <w:r w:rsidR="00D16183" w:rsidRPr="00650ED8">
        <w:rPr>
          <w:rFonts w:ascii="Tahoma" w:hAnsi="Tahoma" w:cs="Tahoma"/>
          <w:sz w:val="24"/>
          <w:szCs w:val="24"/>
        </w:rPr>
        <w:t>2</w:t>
      </w:r>
      <w:r w:rsidR="00DB549B" w:rsidRPr="00650ED8">
        <w:rPr>
          <w:rFonts w:ascii="Tahoma" w:hAnsi="Tahoma" w:cs="Tahoma"/>
          <w:sz w:val="24"/>
          <w:szCs w:val="24"/>
        </w:rPr>
        <w:t xml:space="preserve"> puncte procentuale</w:t>
      </w:r>
      <w:r w:rsidR="00490EF6" w:rsidRPr="00650ED8">
        <w:rPr>
          <w:rFonts w:ascii="Tahoma" w:hAnsi="Tahoma" w:cs="Tahoma"/>
          <w:sz w:val="24"/>
          <w:szCs w:val="24"/>
        </w:rPr>
        <w:t>,</w:t>
      </w:r>
      <w:r w:rsidR="00DB549B" w:rsidRPr="00650ED8">
        <w:rPr>
          <w:rFonts w:ascii="Tahoma" w:hAnsi="Tahoma" w:cs="Tahoma"/>
          <w:sz w:val="24"/>
          <w:szCs w:val="24"/>
        </w:rPr>
        <w:t xml:space="preserve"> de la </w:t>
      </w:r>
      <w:r w:rsidR="00D16183" w:rsidRPr="00650ED8">
        <w:rPr>
          <w:rFonts w:ascii="Tahoma" w:hAnsi="Tahoma" w:cs="Tahoma"/>
          <w:sz w:val="24"/>
          <w:szCs w:val="24"/>
        </w:rPr>
        <w:t>3,0</w:t>
      </w:r>
      <w:r w:rsidR="00DB549B" w:rsidRPr="00650ED8">
        <w:rPr>
          <w:rFonts w:ascii="Tahoma" w:hAnsi="Tahoma" w:cs="Tahoma"/>
          <w:sz w:val="24"/>
          <w:szCs w:val="24"/>
        </w:rPr>
        <w:t>% din PIB în trimestrul I</w:t>
      </w:r>
      <w:r w:rsidR="00D16183" w:rsidRPr="00650ED8">
        <w:rPr>
          <w:rFonts w:ascii="Tahoma" w:hAnsi="Tahoma" w:cs="Tahoma"/>
          <w:sz w:val="24"/>
          <w:szCs w:val="24"/>
        </w:rPr>
        <w:t>II</w:t>
      </w:r>
      <w:r w:rsidR="00DB549B" w:rsidRPr="00650ED8">
        <w:rPr>
          <w:rFonts w:ascii="Tahoma" w:hAnsi="Tahoma" w:cs="Tahoma"/>
          <w:sz w:val="24"/>
          <w:szCs w:val="24"/>
        </w:rPr>
        <w:t xml:space="preserve"> 2023 la 3,</w:t>
      </w:r>
      <w:r w:rsidR="00D16183" w:rsidRPr="00650ED8">
        <w:rPr>
          <w:rFonts w:ascii="Tahoma" w:hAnsi="Tahoma" w:cs="Tahoma"/>
          <w:sz w:val="24"/>
          <w:szCs w:val="24"/>
        </w:rPr>
        <w:t>2</w:t>
      </w:r>
      <w:r w:rsidR="00DB549B" w:rsidRPr="00650ED8">
        <w:rPr>
          <w:rFonts w:ascii="Tahoma" w:hAnsi="Tahoma" w:cs="Tahoma"/>
          <w:sz w:val="24"/>
          <w:szCs w:val="24"/>
        </w:rPr>
        <w:t>% din PIB în perioada analizată.</w:t>
      </w:r>
    </w:p>
    <w:p w:rsidR="00586FB9" w:rsidRPr="00650ED8" w:rsidRDefault="00CA4DCF" w:rsidP="00586FB9">
      <w:pPr>
        <w:spacing w:after="120" w:line="276" w:lineRule="auto"/>
        <w:ind w:right="-57"/>
        <w:jc w:val="both"/>
        <w:rPr>
          <w:rFonts w:ascii="Tahoma" w:eastAsia="Calibri" w:hAnsi="Tahoma" w:cs="Tahoma"/>
          <w:bCs/>
          <w:sz w:val="24"/>
          <w:szCs w:val="24"/>
        </w:rPr>
      </w:pPr>
      <w:r w:rsidRPr="00650ED8">
        <w:rPr>
          <w:rFonts w:ascii="Tahoma" w:eastAsia="Calibri" w:hAnsi="Tahoma" w:cs="Tahoma"/>
          <w:sz w:val="24"/>
          <w:szCs w:val="24"/>
        </w:rPr>
        <w:t xml:space="preserve">Evoluția cheltuielilor cu asistența socială a fost influențată, în principal, de majorarea de la 1 ianuarie 2024, cu 13,8% a punctului de pensie, respectiv de la 1.785 lei la 2.032 lei, a îndemnizației sociale pentru pensionari (pensia minimă) de la 1.125 lei la 1.281 lei, </w:t>
      </w:r>
      <w:r w:rsidR="00586FB9" w:rsidRPr="00650ED8">
        <w:rPr>
          <w:rFonts w:ascii="Tahoma" w:eastAsia="Calibri" w:hAnsi="Tahoma" w:cs="Tahoma"/>
          <w:sz w:val="24"/>
          <w:szCs w:val="24"/>
        </w:rPr>
        <w:t>respectiv de implementarea măsurilor de recalculare a pensiilor din sistemul public cu începere de la 1 septembrie anul curent, în conformitate cu prevederile Legii nr. 360/2023 privind sistemul public de pensii.</w:t>
      </w:r>
    </w:p>
    <w:p w:rsidR="00D06B13" w:rsidRPr="00650ED8" w:rsidRDefault="00D06B13" w:rsidP="00D06B13">
      <w:pPr>
        <w:spacing w:after="120" w:line="276" w:lineRule="auto"/>
        <w:jc w:val="both"/>
        <w:rPr>
          <w:rFonts w:ascii="Tahoma" w:hAnsi="Tahoma" w:cs="Tahoma"/>
          <w:bCs/>
          <w:sz w:val="24"/>
          <w:szCs w:val="24"/>
        </w:rPr>
      </w:pPr>
      <w:r w:rsidRPr="00650ED8">
        <w:rPr>
          <w:rFonts w:ascii="Tahoma" w:hAnsi="Tahoma" w:cs="Tahoma"/>
          <w:bCs/>
          <w:sz w:val="24"/>
          <w:szCs w:val="24"/>
        </w:rPr>
        <w:t>Cheltuielile cu asistența socială au fost influențate și de plățile suportate de la bugetul de stat pentru compensarea facturilor aferente consumului de energie electrică și gaze naturale care în perioada analizată au fost în sumă de 1,2 miliarde lei.</w:t>
      </w:r>
    </w:p>
    <w:p w:rsidR="006737B0" w:rsidRPr="00650ED8" w:rsidRDefault="006737B0" w:rsidP="00753D9F">
      <w:pPr>
        <w:spacing w:after="120" w:line="276" w:lineRule="auto"/>
        <w:jc w:val="both"/>
        <w:rPr>
          <w:rFonts w:ascii="Tahoma" w:hAnsi="Tahoma" w:cs="Tahoma"/>
          <w:bCs/>
          <w:sz w:val="24"/>
          <w:szCs w:val="24"/>
        </w:rPr>
      </w:pPr>
      <w:r w:rsidRPr="00650ED8">
        <w:rPr>
          <w:rFonts w:ascii="Tahoma" w:hAnsi="Tahoma" w:cs="Tahoma"/>
          <w:b/>
          <w:bCs/>
          <w:sz w:val="24"/>
          <w:szCs w:val="24"/>
        </w:rPr>
        <w:t>Alte cheltuieli</w:t>
      </w:r>
      <w:r w:rsidR="008B61BD" w:rsidRPr="00650ED8">
        <w:rPr>
          <w:rFonts w:ascii="Tahoma" w:hAnsi="Tahoma" w:cs="Tahoma"/>
          <w:bCs/>
          <w:sz w:val="24"/>
          <w:szCs w:val="24"/>
        </w:rPr>
        <w:t xml:space="preserve"> reprezentând, în principal,</w:t>
      </w:r>
      <w:r w:rsidR="00D413A5" w:rsidRPr="00650ED8">
        <w:rPr>
          <w:rFonts w:ascii="Tahoma" w:hAnsi="Tahoma" w:cs="Tahoma"/>
          <w:bCs/>
          <w:sz w:val="24"/>
          <w:szCs w:val="24"/>
        </w:rPr>
        <w:t xml:space="preserve"> burse pentru elevi și studenți, susținerea cultelor, despăgubiri civile, </w:t>
      </w:r>
      <w:r w:rsidRPr="00650ED8">
        <w:rPr>
          <w:rFonts w:ascii="Tahoma" w:hAnsi="Tahoma" w:cs="Tahoma"/>
          <w:bCs/>
          <w:sz w:val="24"/>
          <w:szCs w:val="24"/>
        </w:rPr>
        <w:t xml:space="preserve">au însumat </w:t>
      </w:r>
      <w:r w:rsidR="00D16183" w:rsidRPr="00650ED8">
        <w:rPr>
          <w:rFonts w:ascii="Tahoma" w:hAnsi="Tahoma" w:cs="Tahoma"/>
          <w:bCs/>
          <w:sz w:val="24"/>
          <w:szCs w:val="24"/>
        </w:rPr>
        <w:t>3,43</w:t>
      </w:r>
      <w:r w:rsidRPr="00650ED8">
        <w:rPr>
          <w:rFonts w:ascii="Tahoma" w:hAnsi="Tahoma" w:cs="Tahoma"/>
          <w:bCs/>
          <w:sz w:val="24"/>
          <w:szCs w:val="24"/>
        </w:rPr>
        <w:t xml:space="preserve"> </w:t>
      </w:r>
      <w:r w:rsidR="00602503" w:rsidRPr="00650ED8">
        <w:rPr>
          <w:rFonts w:ascii="Tahoma" w:hAnsi="Tahoma" w:cs="Tahoma"/>
          <w:bCs/>
          <w:sz w:val="24"/>
          <w:szCs w:val="24"/>
        </w:rPr>
        <w:t>miliarde</w:t>
      </w:r>
      <w:r w:rsidRPr="00650ED8">
        <w:rPr>
          <w:rFonts w:ascii="Tahoma" w:hAnsi="Tahoma" w:cs="Tahoma"/>
          <w:bCs/>
          <w:sz w:val="24"/>
          <w:szCs w:val="24"/>
        </w:rPr>
        <w:t xml:space="preserve"> lei</w:t>
      </w:r>
      <w:r w:rsidR="004260FF" w:rsidRPr="00650ED8">
        <w:rPr>
          <w:rFonts w:ascii="Tahoma" w:hAnsi="Tahoma" w:cs="Tahoma"/>
          <w:bCs/>
          <w:sz w:val="24"/>
          <w:szCs w:val="24"/>
        </w:rPr>
        <w:t xml:space="preserve">, reprezentând </w:t>
      </w:r>
      <w:r w:rsidR="00D16183" w:rsidRPr="00650ED8">
        <w:rPr>
          <w:rFonts w:ascii="Tahoma" w:hAnsi="Tahoma" w:cs="Tahoma"/>
          <w:bCs/>
          <w:sz w:val="24"/>
          <w:szCs w:val="24"/>
        </w:rPr>
        <w:t>99,7</w:t>
      </w:r>
      <w:r w:rsidRPr="00650ED8">
        <w:rPr>
          <w:rFonts w:ascii="Tahoma" w:hAnsi="Tahoma" w:cs="Tahoma"/>
          <w:bCs/>
          <w:sz w:val="24"/>
          <w:szCs w:val="24"/>
        </w:rPr>
        <w:t>% din programul estimat pe</w:t>
      </w:r>
      <w:r w:rsidR="00CC56B5" w:rsidRPr="00650ED8">
        <w:rPr>
          <w:rFonts w:ascii="Tahoma" w:hAnsi="Tahoma" w:cs="Tahoma"/>
          <w:bCs/>
          <w:sz w:val="24"/>
          <w:szCs w:val="24"/>
        </w:rPr>
        <w:t>ntru</w:t>
      </w:r>
      <w:r w:rsidR="00DB3A55" w:rsidRPr="00650ED8">
        <w:rPr>
          <w:rFonts w:ascii="Tahoma" w:hAnsi="Tahoma" w:cs="Tahoma"/>
          <w:bCs/>
          <w:sz w:val="24"/>
          <w:szCs w:val="24"/>
        </w:rPr>
        <w:t xml:space="preserve"> </w:t>
      </w:r>
      <w:r w:rsidR="00977FB9" w:rsidRPr="00650ED8">
        <w:rPr>
          <w:rFonts w:ascii="Tahoma" w:hAnsi="Tahoma" w:cs="Tahoma"/>
          <w:bCs/>
          <w:sz w:val="24"/>
          <w:szCs w:val="24"/>
        </w:rPr>
        <w:t xml:space="preserve">al </w:t>
      </w:r>
      <w:r w:rsidR="00D16183" w:rsidRPr="00650ED8">
        <w:rPr>
          <w:rFonts w:ascii="Tahoma" w:hAnsi="Tahoma" w:cs="Tahoma"/>
          <w:bCs/>
          <w:sz w:val="24"/>
          <w:szCs w:val="24"/>
        </w:rPr>
        <w:t>tre</w:t>
      </w:r>
      <w:r w:rsidR="00977FB9" w:rsidRPr="00650ED8">
        <w:rPr>
          <w:rFonts w:ascii="Tahoma" w:hAnsi="Tahoma" w:cs="Tahoma"/>
          <w:bCs/>
          <w:sz w:val="24"/>
          <w:szCs w:val="24"/>
        </w:rPr>
        <w:t xml:space="preserve">ilea </w:t>
      </w:r>
      <w:r w:rsidR="00DB3A55" w:rsidRPr="00650ED8">
        <w:rPr>
          <w:rFonts w:ascii="Tahoma" w:hAnsi="Tahoma" w:cs="Tahoma"/>
          <w:bCs/>
          <w:sz w:val="24"/>
          <w:szCs w:val="24"/>
        </w:rPr>
        <w:t>trimestru a</w:t>
      </w:r>
      <w:r w:rsidR="00BA3242" w:rsidRPr="00650ED8">
        <w:rPr>
          <w:rFonts w:ascii="Tahoma" w:hAnsi="Tahoma" w:cs="Tahoma"/>
          <w:bCs/>
          <w:sz w:val="24"/>
          <w:szCs w:val="24"/>
        </w:rPr>
        <w:t>l</w:t>
      </w:r>
      <w:r w:rsidR="00DB3A55" w:rsidRPr="00650ED8">
        <w:rPr>
          <w:rFonts w:ascii="Tahoma" w:hAnsi="Tahoma" w:cs="Tahoma"/>
          <w:bCs/>
          <w:sz w:val="24"/>
          <w:szCs w:val="24"/>
        </w:rPr>
        <w:t xml:space="preserve"> anului 202</w:t>
      </w:r>
      <w:r w:rsidR="00501118" w:rsidRPr="00650ED8">
        <w:rPr>
          <w:rFonts w:ascii="Tahoma" w:hAnsi="Tahoma" w:cs="Tahoma"/>
          <w:bCs/>
          <w:sz w:val="24"/>
          <w:szCs w:val="24"/>
        </w:rPr>
        <w:t>4</w:t>
      </w:r>
      <w:r w:rsidRPr="00650ED8">
        <w:rPr>
          <w:rFonts w:ascii="Tahoma" w:hAnsi="Tahoma" w:cs="Tahoma"/>
          <w:bCs/>
          <w:sz w:val="24"/>
          <w:szCs w:val="24"/>
        </w:rPr>
        <w:t>.</w:t>
      </w:r>
      <w:r w:rsidR="00D413A5" w:rsidRPr="00650ED8">
        <w:rPr>
          <w:rFonts w:ascii="Tahoma" w:hAnsi="Tahoma" w:cs="Tahoma"/>
          <w:bCs/>
          <w:sz w:val="24"/>
          <w:szCs w:val="24"/>
        </w:rPr>
        <w:t xml:space="preserve"> Comparativ cu aceeași perioadă a anului anterior acestea s-au majorat cu </w:t>
      </w:r>
      <w:r w:rsidR="00D16183" w:rsidRPr="00650ED8">
        <w:rPr>
          <w:rFonts w:ascii="Tahoma" w:hAnsi="Tahoma" w:cs="Tahoma"/>
          <w:bCs/>
          <w:sz w:val="24"/>
          <w:szCs w:val="24"/>
        </w:rPr>
        <w:t>37,4</w:t>
      </w:r>
      <w:r w:rsidR="00D413A5" w:rsidRPr="00650ED8">
        <w:rPr>
          <w:rFonts w:ascii="Tahoma" w:hAnsi="Tahoma" w:cs="Tahoma"/>
          <w:bCs/>
          <w:sz w:val="24"/>
          <w:szCs w:val="24"/>
        </w:rPr>
        <w:t>%</w:t>
      </w:r>
      <w:r w:rsidR="00793AFE">
        <w:rPr>
          <w:rFonts w:ascii="Tahoma" w:hAnsi="Tahoma" w:cs="Tahoma"/>
          <w:bCs/>
          <w:sz w:val="24"/>
          <w:szCs w:val="24"/>
        </w:rPr>
        <w:t xml:space="preserve"> </w:t>
      </w:r>
      <w:r w:rsidR="00D413A5" w:rsidRPr="00650ED8">
        <w:rPr>
          <w:rFonts w:ascii="Tahoma" w:hAnsi="Tahoma" w:cs="Tahoma"/>
          <w:bCs/>
          <w:sz w:val="24"/>
          <w:szCs w:val="24"/>
        </w:rPr>
        <w:t>(+</w:t>
      </w:r>
      <w:r w:rsidR="00D16183" w:rsidRPr="00650ED8">
        <w:rPr>
          <w:rFonts w:ascii="Tahoma" w:hAnsi="Tahoma" w:cs="Tahoma"/>
          <w:bCs/>
          <w:sz w:val="24"/>
          <w:szCs w:val="24"/>
        </w:rPr>
        <w:t>0,93</w:t>
      </w:r>
      <w:r w:rsidR="00D413A5" w:rsidRPr="00650ED8">
        <w:rPr>
          <w:rFonts w:ascii="Tahoma" w:hAnsi="Tahoma" w:cs="Tahoma"/>
          <w:bCs/>
          <w:sz w:val="24"/>
          <w:szCs w:val="24"/>
        </w:rPr>
        <w:t xml:space="preserve"> miliarde lei)</w:t>
      </w:r>
      <w:r w:rsidR="00977FB9" w:rsidRPr="00650ED8">
        <w:rPr>
          <w:rFonts w:ascii="Tahoma" w:hAnsi="Tahoma" w:cs="Tahoma"/>
          <w:bCs/>
          <w:sz w:val="24"/>
          <w:szCs w:val="24"/>
        </w:rPr>
        <w:t>.</w:t>
      </w:r>
    </w:p>
    <w:p w:rsidR="0087489E" w:rsidRPr="00650ED8" w:rsidRDefault="00B10206" w:rsidP="0087489E">
      <w:pPr>
        <w:spacing w:before="120" w:after="120" w:line="276" w:lineRule="auto"/>
        <w:jc w:val="both"/>
        <w:rPr>
          <w:rFonts w:ascii="Tahoma" w:hAnsi="Tahoma" w:cs="Tahoma"/>
          <w:sz w:val="24"/>
          <w:szCs w:val="24"/>
        </w:rPr>
      </w:pPr>
      <w:r w:rsidRPr="00650ED8">
        <w:rPr>
          <w:rFonts w:ascii="Tahoma" w:hAnsi="Tahoma" w:cs="Tahoma"/>
          <w:b/>
          <w:bCs/>
          <w:sz w:val="24"/>
          <w:szCs w:val="24"/>
        </w:rPr>
        <w:t>Plățile pentru proiectele cu finanțare din fonduri UE</w:t>
      </w:r>
      <w:r w:rsidR="001C5D69" w:rsidRPr="00650ED8">
        <w:rPr>
          <w:rFonts w:ascii="Tahoma" w:hAnsi="Tahoma" w:cs="Tahoma"/>
          <w:b/>
          <w:bCs/>
          <w:sz w:val="24"/>
          <w:szCs w:val="24"/>
        </w:rPr>
        <w:t xml:space="preserve"> </w:t>
      </w:r>
      <w:r w:rsidR="00AE2267" w:rsidRPr="00650ED8">
        <w:rPr>
          <w:rFonts w:ascii="Tahoma" w:hAnsi="Tahoma" w:cs="Tahoma"/>
          <w:bCs/>
          <w:sz w:val="24"/>
          <w:szCs w:val="24"/>
        </w:rPr>
        <w:t>(inclusiv cele finanțate din asistența financiară nerambursabilă aferentă PNRR)</w:t>
      </w:r>
      <w:r w:rsidR="00AE2267" w:rsidRPr="00650ED8">
        <w:rPr>
          <w:rFonts w:ascii="Tahoma" w:hAnsi="Tahoma" w:cs="Tahoma"/>
          <w:b/>
          <w:bCs/>
          <w:sz w:val="24"/>
          <w:szCs w:val="24"/>
        </w:rPr>
        <w:t xml:space="preserve"> </w:t>
      </w:r>
      <w:r w:rsidRPr="00650ED8">
        <w:rPr>
          <w:rFonts w:ascii="Tahoma" w:hAnsi="Tahoma" w:cs="Tahoma"/>
          <w:sz w:val="24"/>
          <w:szCs w:val="24"/>
        </w:rPr>
        <w:t>au reprezentat 0,</w:t>
      </w:r>
      <w:r w:rsidR="00D16183" w:rsidRPr="00650ED8">
        <w:rPr>
          <w:rFonts w:ascii="Tahoma" w:hAnsi="Tahoma" w:cs="Tahoma"/>
          <w:sz w:val="24"/>
          <w:szCs w:val="24"/>
        </w:rPr>
        <w:t>5</w:t>
      </w:r>
      <w:r w:rsidRPr="00650ED8">
        <w:rPr>
          <w:rFonts w:ascii="Tahoma" w:hAnsi="Tahoma" w:cs="Tahoma"/>
          <w:sz w:val="24"/>
          <w:szCs w:val="24"/>
        </w:rPr>
        <w:t xml:space="preserve">% din PIB </w:t>
      </w:r>
      <w:r w:rsidR="00030BC0" w:rsidRPr="00650ED8">
        <w:rPr>
          <w:rFonts w:ascii="Tahoma" w:hAnsi="Tahoma" w:cs="Tahoma"/>
          <w:sz w:val="24"/>
          <w:szCs w:val="24"/>
        </w:rPr>
        <w:t>și</w:t>
      </w:r>
      <w:r w:rsidRPr="00650ED8">
        <w:rPr>
          <w:rFonts w:ascii="Tahoma" w:hAnsi="Tahoma" w:cs="Tahoma"/>
          <w:sz w:val="24"/>
          <w:szCs w:val="24"/>
        </w:rPr>
        <w:t xml:space="preserve"> </w:t>
      </w:r>
      <w:r w:rsidR="00030BC0" w:rsidRPr="00650ED8">
        <w:rPr>
          <w:rFonts w:ascii="Tahoma" w:hAnsi="Tahoma" w:cs="Tahoma"/>
          <w:sz w:val="24"/>
          <w:szCs w:val="24"/>
        </w:rPr>
        <w:t>s-</w:t>
      </w:r>
      <w:r w:rsidRPr="00650ED8">
        <w:rPr>
          <w:rFonts w:ascii="Tahoma" w:hAnsi="Tahoma" w:cs="Tahoma"/>
          <w:sz w:val="24"/>
          <w:szCs w:val="24"/>
        </w:rPr>
        <w:t xml:space="preserve">au efectuat în proporție de </w:t>
      </w:r>
      <w:r w:rsidR="00D16183" w:rsidRPr="00650ED8">
        <w:rPr>
          <w:rFonts w:ascii="Tahoma" w:hAnsi="Tahoma" w:cs="Tahoma"/>
          <w:sz w:val="24"/>
          <w:szCs w:val="24"/>
        </w:rPr>
        <w:t>72,9</w:t>
      </w:r>
      <w:r w:rsidRPr="00650ED8">
        <w:rPr>
          <w:rFonts w:ascii="Tahoma" w:hAnsi="Tahoma" w:cs="Tahoma"/>
          <w:sz w:val="24"/>
          <w:szCs w:val="24"/>
        </w:rPr>
        <w:t>%</w:t>
      </w:r>
      <w:r w:rsidR="00102D79" w:rsidRPr="00650ED8">
        <w:rPr>
          <w:rFonts w:ascii="Tahoma" w:hAnsi="Tahoma" w:cs="Tahoma"/>
          <w:sz w:val="24"/>
          <w:szCs w:val="24"/>
        </w:rPr>
        <w:t xml:space="preserve"> din plățile prog</w:t>
      </w:r>
      <w:r w:rsidR="00AD3A0B" w:rsidRPr="00650ED8">
        <w:rPr>
          <w:rFonts w:ascii="Tahoma" w:hAnsi="Tahoma" w:cs="Tahoma"/>
          <w:sz w:val="24"/>
          <w:szCs w:val="24"/>
        </w:rPr>
        <w:t xml:space="preserve">ramate pentru perioada analizată. </w:t>
      </w:r>
    </w:p>
    <w:p w:rsidR="004B5B8A" w:rsidRPr="00650ED8" w:rsidRDefault="00BA3242" w:rsidP="00AD3A0B">
      <w:pPr>
        <w:spacing w:before="120" w:after="120" w:line="276" w:lineRule="auto"/>
        <w:ind w:right="6"/>
        <w:jc w:val="both"/>
        <w:rPr>
          <w:rFonts w:ascii="Tahoma" w:hAnsi="Tahoma" w:cs="Tahoma"/>
          <w:sz w:val="24"/>
          <w:szCs w:val="24"/>
        </w:rPr>
      </w:pPr>
      <w:r w:rsidRPr="00650ED8">
        <w:rPr>
          <w:rFonts w:ascii="Tahoma" w:hAnsi="Tahoma" w:cs="Tahoma"/>
          <w:sz w:val="24"/>
          <w:szCs w:val="24"/>
        </w:rPr>
        <w:lastRenderedPageBreak/>
        <w:t>Comparativ cu trimestrul I</w:t>
      </w:r>
      <w:r w:rsidR="00977FB9" w:rsidRPr="00650ED8">
        <w:rPr>
          <w:rFonts w:ascii="Tahoma" w:hAnsi="Tahoma" w:cs="Tahoma"/>
          <w:sz w:val="24"/>
          <w:szCs w:val="24"/>
        </w:rPr>
        <w:t>I</w:t>
      </w:r>
      <w:r w:rsidR="00D16183" w:rsidRPr="00650ED8">
        <w:rPr>
          <w:rFonts w:ascii="Tahoma" w:hAnsi="Tahoma" w:cs="Tahoma"/>
          <w:sz w:val="24"/>
          <w:szCs w:val="24"/>
        </w:rPr>
        <w:t>I</w:t>
      </w:r>
      <w:r w:rsidRPr="00650ED8">
        <w:rPr>
          <w:rFonts w:ascii="Tahoma" w:hAnsi="Tahoma" w:cs="Tahoma"/>
          <w:sz w:val="24"/>
          <w:szCs w:val="24"/>
        </w:rPr>
        <w:t xml:space="preserve"> 202</w:t>
      </w:r>
      <w:r w:rsidR="004B5B8A" w:rsidRPr="00650ED8">
        <w:rPr>
          <w:rFonts w:ascii="Tahoma" w:hAnsi="Tahoma" w:cs="Tahoma"/>
          <w:sz w:val="24"/>
          <w:szCs w:val="24"/>
        </w:rPr>
        <w:t>3</w:t>
      </w:r>
      <w:r w:rsidRPr="00650ED8">
        <w:rPr>
          <w:rFonts w:ascii="Tahoma" w:hAnsi="Tahoma" w:cs="Tahoma"/>
          <w:sz w:val="24"/>
          <w:szCs w:val="24"/>
        </w:rPr>
        <w:t xml:space="preserve"> plățile pentru proiectele cu finanțare din fonduri externe nerambursabile </w:t>
      </w:r>
      <w:r w:rsidR="00977FB9" w:rsidRPr="00650ED8">
        <w:rPr>
          <w:rFonts w:ascii="Tahoma" w:hAnsi="Tahoma" w:cs="Tahoma"/>
          <w:sz w:val="24"/>
          <w:szCs w:val="24"/>
        </w:rPr>
        <w:t xml:space="preserve">s-au redus cu </w:t>
      </w:r>
      <w:r w:rsidR="00D16183" w:rsidRPr="00650ED8">
        <w:rPr>
          <w:rFonts w:ascii="Tahoma" w:hAnsi="Tahoma" w:cs="Tahoma"/>
          <w:sz w:val="24"/>
          <w:szCs w:val="24"/>
        </w:rPr>
        <w:t>41,1</w:t>
      </w:r>
      <w:r w:rsidR="00977FB9" w:rsidRPr="00650ED8">
        <w:rPr>
          <w:rFonts w:ascii="Tahoma" w:hAnsi="Tahoma" w:cs="Tahoma"/>
          <w:sz w:val="24"/>
          <w:szCs w:val="24"/>
        </w:rPr>
        <w:t>%</w:t>
      </w:r>
      <w:r w:rsidR="00030BC0" w:rsidRPr="00650ED8">
        <w:rPr>
          <w:rFonts w:ascii="Tahoma" w:hAnsi="Tahoma" w:cs="Tahoma"/>
          <w:sz w:val="24"/>
          <w:szCs w:val="24"/>
        </w:rPr>
        <w:t>,</w:t>
      </w:r>
      <w:r w:rsidRPr="00650ED8">
        <w:rPr>
          <w:rFonts w:ascii="Tahoma" w:hAnsi="Tahoma" w:cs="Tahoma"/>
          <w:sz w:val="24"/>
          <w:szCs w:val="24"/>
        </w:rPr>
        <w:t xml:space="preserve"> iar ca procent în PIB </w:t>
      </w:r>
      <w:r w:rsidR="00AE5FFB" w:rsidRPr="00650ED8">
        <w:rPr>
          <w:rFonts w:ascii="Tahoma" w:hAnsi="Tahoma" w:cs="Tahoma"/>
          <w:sz w:val="24"/>
          <w:szCs w:val="24"/>
        </w:rPr>
        <w:t>s-</w:t>
      </w:r>
      <w:r w:rsidR="00116D7D" w:rsidRPr="00650ED8">
        <w:rPr>
          <w:rFonts w:ascii="Tahoma" w:hAnsi="Tahoma" w:cs="Tahoma"/>
          <w:sz w:val="24"/>
          <w:szCs w:val="24"/>
        </w:rPr>
        <w:t xml:space="preserve">au </w:t>
      </w:r>
      <w:r w:rsidR="00AE5FFB" w:rsidRPr="00650ED8">
        <w:rPr>
          <w:rFonts w:ascii="Tahoma" w:hAnsi="Tahoma" w:cs="Tahoma"/>
          <w:sz w:val="24"/>
          <w:szCs w:val="24"/>
        </w:rPr>
        <w:t>redus</w:t>
      </w:r>
      <w:r w:rsidR="00116D7D" w:rsidRPr="00650ED8">
        <w:rPr>
          <w:rFonts w:ascii="Tahoma" w:hAnsi="Tahoma" w:cs="Tahoma"/>
          <w:sz w:val="24"/>
          <w:szCs w:val="24"/>
        </w:rPr>
        <w:t xml:space="preserve"> cu 0,</w:t>
      </w:r>
      <w:r w:rsidR="00977FB9" w:rsidRPr="00650ED8">
        <w:rPr>
          <w:rFonts w:ascii="Tahoma" w:hAnsi="Tahoma" w:cs="Tahoma"/>
          <w:sz w:val="24"/>
          <w:szCs w:val="24"/>
        </w:rPr>
        <w:t>3</w:t>
      </w:r>
      <w:r w:rsidR="00116D7D" w:rsidRPr="00650ED8">
        <w:rPr>
          <w:rFonts w:ascii="Tahoma" w:hAnsi="Tahoma" w:cs="Tahoma"/>
          <w:sz w:val="24"/>
          <w:szCs w:val="24"/>
        </w:rPr>
        <w:t xml:space="preserve"> puncte procentuale de la </w:t>
      </w:r>
      <w:r w:rsidR="00D16183" w:rsidRPr="00650ED8">
        <w:rPr>
          <w:rFonts w:ascii="Tahoma" w:hAnsi="Tahoma" w:cs="Tahoma"/>
          <w:sz w:val="24"/>
          <w:szCs w:val="24"/>
        </w:rPr>
        <w:t>0,8</w:t>
      </w:r>
      <w:r w:rsidR="00116D7D" w:rsidRPr="00650ED8">
        <w:rPr>
          <w:rFonts w:ascii="Tahoma" w:hAnsi="Tahoma" w:cs="Tahoma"/>
          <w:sz w:val="24"/>
          <w:szCs w:val="24"/>
        </w:rPr>
        <w:t xml:space="preserve">% din PIB </w:t>
      </w:r>
      <w:r w:rsidR="00D0224D" w:rsidRPr="00650ED8">
        <w:rPr>
          <w:rFonts w:ascii="Tahoma" w:hAnsi="Tahoma" w:cs="Tahoma"/>
          <w:sz w:val="24"/>
          <w:szCs w:val="24"/>
        </w:rPr>
        <w:t>î</w:t>
      </w:r>
      <w:r w:rsidR="00116D7D" w:rsidRPr="00650ED8">
        <w:rPr>
          <w:rFonts w:ascii="Tahoma" w:hAnsi="Tahoma" w:cs="Tahoma"/>
          <w:sz w:val="24"/>
          <w:szCs w:val="24"/>
        </w:rPr>
        <w:t xml:space="preserve">n </w:t>
      </w:r>
      <w:r w:rsidR="00977FB9" w:rsidRPr="00650ED8">
        <w:rPr>
          <w:rFonts w:ascii="Tahoma" w:hAnsi="Tahoma" w:cs="Tahoma"/>
          <w:sz w:val="24"/>
          <w:szCs w:val="24"/>
        </w:rPr>
        <w:t xml:space="preserve">al </w:t>
      </w:r>
      <w:r w:rsidR="00D16183" w:rsidRPr="00650ED8">
        <w:rPr>
          <w:rFonts w:ascii="Tahoma" w:hAnsi="Tahoma" w:cs="Tahoma"/>
          <w:sz w:val="24"/>
          <w:szCs w:val="24"/>
        </w:rPr>
        <w:t>tre</w:t>
      </w:r>
      <w:r w:rsidR="00977FB9" w:rsidRPr="00650ED8">
        <w:rPr>
          <w:rFonts w:ascii="Tahoma" w:hAnsi="Tahoma" w:cs="Tahoma"/>
          <w:sz w:val="24"/>
          <w:szCs w:val="24"/>
        </w:rPr>
        <w:t>ilea</w:t>
      </w:r>
      <w:r w:rsidR="00116D7D" w:rsidRPr="00650ED8">
        <w:rPr>
          <w:rFonts w:ascii="Tahoma" w:hAnsi="Tahoma" w:cs="Tahoma"/>
          <w:sz w:val="24"/>
          <w:szCs w:val="24"/>
        </w:rPr>
        <w:t xml:space="preserve"> trimestru al anului 2023 la </w:t>
      </w:r>
      <w:r w:rsidR="00374F46" w:rsidRPr="00650ED8">
        <w:rPr>
          <w:rFonts w:ascii="Tahoma" w:hAnsi="Tahoma" w:cs="Tahoma"/>
          <w:sz w:val="24"/>
          <w:szCs w:val="24"/>
        </w:rPr>
        <w:t>0,</w:t>
      </w:r>
      <w:r w:rsidR="00D16183" w:rsidRPr="00650ED8">
        <w:rPr>
          <w:rFonts w:ascii="Tahoma" w:hAnsi="Tahoma" w:cs="Tahoma"/>
          <w:sz w:val="24"/>
          <w:szCs w:val="24"/>
        </w:rPr>
        <w:t>5</w:t>
      </w:r>
      <w:r w:rsidR="00116D7D" w:rsidRPr="00650ED8">
        <w:rPr>
          <w:rFonts w:ascii="Tahoma" w:hAnsi="Tahoma" w:cs="Tahoma"/>
          <w:sz w:val="24"/>
          <w:szCs w:val="24"/>
        </w:rPr>
        <w:t>% din PIB în perioada analizată.</w:t>
      </w:r>
      <w:r w:rsidRPr="00650ED8">
        <w:rPr>
          <w:rFonts w:ascii="Tahoma" w:hAnsi="Tahoma" w:cs="Tahoma"/>
          <w:sz w:val="24"/>
          <w:szCs w:val="24"/>
        </w:rPr>
        <w:t xml:space="preserve"> </w:t>
      </w:r>
      <w:r w:rsidR="00AD3A0B" w:rsidRPr="00650ED8">
        <w:rPr>
          <w:rFonts w:ascii="Tahoma" w:hAnsi="Tahoma" w:cs="Tahoma"/>
          <w:sz w:val="24"/>
          <w:szCs w:val="24"/>
        </w:rPr>
        <w:t xml:space="preserve">În comparație cu </w:t>
      </w:r>
      <w:r w:rsidR="00374F46" w:rsidRPr="00650ED8">
        <w:rPr>
          <w:rFonts w:ascii="Tahoma" w:hAnsi="Tahoma" w:cs="Tahoma"/>
          <w:sz w:val="24"/>
          <w:szCs w:val="24"/>
        </w:rPr>
        <w:t xml:space="preserve">al </w:t>
      </w:r>
      <w:r w:rsidR="00D16183" w:rsidRPr="00650ED8">
        <w:rPr>
          <w:rFonts w:ascii="Tahoma" w:hAnsi="Tahoma" w:cs="Tahoma"/>
          <w:sz w:val="24"/>
          <w:szCs w:val="24"/>
        </w:rPr>
        <w:t>tre</w:t>
      </w:r>
      <w:r w:rsidR="00374F46" w:rsidRPr="00650ED8">
        <w:rPr>
          <w:rFonts w:ascii="Tahoma" w:hAnsi="Tahoma" w:cs="Tahoma"/>
          <w:sz w:val="24"/>
          <w:szCs w:val="24"/>
        </w:rPr>
        <w:t xml:space="preserve">ilea </w:t>
      </w:r>
      <w:r w:rsidR="00AD3A0B" w:rsidRPr="00650ED8">
        <w:rPr>
          <w:rFonts w:ascii="Tahoma" w:hAnsi="Tahoma" w:cs="Tahoma"/>
          <w:sz w:val="24"/>
          <w:szCs w:val="24"/>
        </w:rPr>
        <w:t>trimestru al anului 202</w:t>
      </w:r>
      <w:r w:rsidR="004B5B8A" w:rsidRPr="00650ED8">
        <w:rPr>
          <w:rFonts w:ascii="Tahoma" w:hAnsi="Tahoma" w:cs="Tahoma"/>
          <w:sz w:val="24"/>
          <w:szCs w:val="24"/>
        </w:rPr>
        <w:t>3</w:t>
      </w:r>
      <w:r w:rsidR="00AD3A0B" w:rsidRPr="00650ED8">
        <w:rPr>
          <w:rFonts w:ascii="Tahoma" w:hAnsi="Tahoma" w:cs="Tahoma"/>
          <w:sz w:val="24"/>
          <w:szCs w:val="24"/>
        </w:rPr>
        <w:t xml:space="preserve"> în perioada analizată au fost înregistrate </w:t>
      </w:r>
      <w:r w:rsidR="004B5B8A" w:rsidRPr="00650ED8">
        <w:rPr>
          <w:rFonts w:ascii="Tahoma" w:hAnsi="Tahoma" w:cs="Tahoma"/>
          <w:sz w:val="24"/>
          <w:szCs w:val="24"/>
        </w:rPr>
        <w:t xml:space="preserve">creșteri semnificative în cazul </w:t>
      </w:r>
      <w:r w:rsidR="00AD3A0B" w:rsidRPr="00650ED8">
        <w:rPr>
          <w:rFonts w:ascii="Tahoma" w:hAnsi="Tahoma" w:cs="Tahoma"/>
          <w:sz w:val="24"/>
          <w:szCs w:val="24"/>
        </w:rPr>
        <w:t>plăți</w:t>
      </w:r>
      <w:r w:rsidR="004B5B8A" w:rsidRPr="00650ED8">
        <w:rPr>
          <w:rFonts w:ascii="Tahoma" w:hAnsi="Tahoma" w:cs="Tahoma"/>
          <w:sz w:val="24"/>
          <w:szCs w:val="24"/>
        </w:rPr>
        <w:t>lor</w:t>
      </w:r>
      <w:r w:rsidR="00AD3A0B" w:rsidRPr="00650ED8">
        <w:rPr>
          <w:rFonts w:ascii="Tahoma" w:hAnsi="Tahoma" w:cs="Tahoma"/>
          <w:sz w:val="24"/>
          <w:szCs w:val="24"/>
        </w:rPr>
        <w:t xml:space="preserve"> aferente proiectelor finanțate din fonduri externe nerambursabile aferente noului cadru financiar 2021-2027 </w:t>
      </w:r>
      <w:r w:rsidR="004B5B8A" w:rsidRPr="00650ED8">
        <w:rPr>
          <w:rFonts w:ascii="Tahoma" w:hAnsi="Tahoma" w:cs="Tahoma"/>
          <w:sz w:val="24"/>
          <w:szCs w:val="24"/>
        </w:rPr>
        <w:t>(+</w:t>
      </w:r>
      <w:r w:rsidR="00D16183" w:rsidRPr="00650ED8">
        <w:rPr>
          <w:rFonts w:ascii="Tahoma" w:hAnsi="Tahoma" w:cs="Tahoma"/>
          <w:sz w:val="24"/>
          <w:szCs w:val="24"/>
        </w:rPr>
        <w:t>2,99</w:t>
      </w:r>
      <w:r w:rsidR="004B5B8A" w:rsidRPr="00650ED8">
        <w:rPr>
          <w:rFonts w:ascii="Tahoma" w:hAnsi="Tahoma" w:cs="Tahoma"/>
          <w:sz w:val="24"/>
          <w:szCs w:val="24"/>
        </w:rPr>
        <w:t xml:space="preserve"> miliarde lei) </w:t>
      </w:r>
      <w:r w:rsidR="00AD3A0B" w:rsidRPr="00650ED8">
        <w:rPr>
          <w:rFonts w:ascii="Tahoma" w:hAnsi="Tahoma" w:cs="Tahoma"/>
          <w:sz w:val="24"/>
          <w:szCs w:val="24"/>
        </w:rPr>
        <w:t xml:space="preserve">cât și </w:t>
      </w:r>
      <w:r w:rsidR="004B5B8A" w:rsidRPr="00650ED8">
        <w:rPr>
          <w:rFonts w:ascii="Tahoma" w:hAnsi="Tahoma" w:cs="Tahoma"/>
          <w:sz w:val="24"/>
          <w:szCs w:val="24"/>
        </w:rPr>
        <w:t xml:space="preserve">a celor </w:t>
      </w:r>
      <w:r w:rsidR="00AD3A0B" w:rsidRPr="00650ED8">
        <w:rPr>
          <w:rFonts w:ascii="Tahoma" w:hAnsi="Tahoma" w:cs="Tahoma"/>
          <w:sz w:val="24"/>
          <w:szCs w:val="24"/>
        </w:rPr>
        <w:t>aferente proiectelor cu finanțare din sumele reprezentând asistența financiară nerambursabilă aferentă PNRR</w:t>
      </w:r>
      <w:r w:rsidR="00793AFE">
        <w:rPr>
          <w:rFonts w:ascii="Tahoma" w:hAnsi="Tahoma" w:cs="Tahoma"/>
          <w:sz w:val="24"/>
          <w:szCs w:val="24"/>
        </w:rPr>
        <w:t xml:space="preserve"> </w:t>
      </w:r>
      <w:r w:rsidR="007261F0" w:rsidRPr="00650ED8">
        <w:rPr>
          <w:rFonts w:ascii="Tahoma" w:hAnsi="Tahoma" w:cs="Tahoma"/>
          <w:sz w:val="24"/>
          <w:szCs w:val="24"/>
        </w:rPr>
        <w:t>(</w:t>
      </w:r>
      <w:r w:rsidR="004B5B8A" w:rsidRPr="00650ED8">
        <w:rPr>
          <w:rFonts w:ascii="Tahoma" w:hAnsi="Tahoma" w:cs="Tahoma"/>
          <w:sz w:val="24"/>
          <w:szCs w:val="24"/>
        </w:rPr>
        <w:t>+</w:t>
      </w:r>
      <w:r w:rsidR="00D16183" w:rsidRPr="00650ED8">
        <w:rPr>
          <w:rFonts w:ascii="Tahoma" w:hAnsi="Tahoma" w:cs="Tahoma"/>
          <w:sz w:val="24"/>
          <w:szCs w:val="24"/>
        </w:rPr>
        <w:t>2,33</w:t>
      </w:r>
      <w:r w:rsidR="004B5B8A" w:rsidRPr="00650ED8">
        <w:rPr>
          <w:rFonts w:ascii="Tahoma" w:hAnsi="Tahoma" w:cs="Tahoma"/>
          <w:sz w:val="24"/>
          <w:szCs w:val="24"/>
        </w:rPr>
        <w:t xml:space="preserve"> miliarde lei).</w:t>
      </w:r>
      <w:r w:rsidR="00AD3A0B" w:rsidRPr="00650ED8">
        <w:rPr>
          <w:rFonts w:ascii="Tahoma" w:hAnsi="Tahoma" w:cs="Tahoma"/>
          <w:sz w:val="24"/>
          <w:szCs w:val="24"/>
        </w:rPr>
        <w:t xml:space="preserve"> </w:t>
      </w:r>
      <w:r w:rsidR="00374F46" w:rsidRPr="00650ED8">
        <w:rPr>
          <w:rFonts w:ascii="Tahoma" w:hAnsi="Tahoma" w:cs="Tahoma"/>
          <w:sz w:val="24"/>
          <w:szCs w:val="24"/>
        </w:rPr>
        <w:t>C</w:t>
      </w:r>
      <w:r w:rsidR="007261F0" w:rsidRPr="00650ED8">
        <w:rPr>
          <w:rFonts w:ascii="Tahoma" w:hAnsi="Tahoma" w:cs="Tahoma"/>
          <w:sz w:val="24"/>
          <w:szCs w:val="24"/>
        </w:rPr>
        <w:t xml:space="preserve">heltuielile aferente proiectelor cu finanțare din fonduri externe nerambursabile nu au atins nivelul programat pentru perioada analizată discrepanțe majore fiind înregistrate în cazul celor aferente proiectelor cu finanțare </w:t>
      </w:r>
      <w:r w:rsidR="00D16183" w:rsidRPr="00650ED8">
        <w:rPr>
          <w:rFonts w:ascii="Tahoma" w:hAnsi="Tahoma" w:cs="Tahoma"/>
          <w:sz w:val="24"/>
          <w:szCs w:val="24"/>
        </w:rPr>
        <w:t>din fonduri externe nerambursabile aferent</w:t>
      </w:r>
      <w:r w:rsidR="00C00A0C" w:rsidRPr="00650ED8">
        <w:rPr>
          <w:rFonts w:ascii="Tahoma" w:hAnsi="Tahoma" w:cs="Tahoma"/>
          <w:sz w:val="24"/>
          <w:szCs w:val="24"/>
        </w:rPr>
        <w:t xml:space="preserve">e </w:t>
      </w:r>
      <w:r w:rsidR="00D16183" w:rsidRPr="00650ED8">
        <w:rPr>
          <w:rFonts w:ascii="Tahoma" w:hAnsi="Tahoma" w:cs="Tahoma"/>
          <w:sz w:val="24"/>
          <w:szCs w:val="24"/>
        </w:rPr>
        <w:t xml:space="preserve">cadrului financiar </w:t>
      </w:r>
      <w:r w:rsidR="00C00A0C" w:rsidRPr="00650ED8">
        <w:rPr>
          <w:rFonts w:ascii="Tahoma" w:hAnsi="Tahoma" w:cs="Tahoma"/>
          <w:sz w:val="24"/>
          <w:szCs w:val="24"/>
        </w:rPr>
        <w:t>2021-2027</w:t>
      </w:r>
      <w:r w:rsidR="00490EF6" w:rsidRPr="00650ED8">
        <w:rPr>
          <w:rFonts w:ascii="Tahoma" w:hAnsi="Tahoma" w:cs="Tahoma"/>
          <w:sz w:val="24"/>
          <w:szCs w:val="24"/>
        </w:rPr>
        <w:t>.</w:t>
      </w:r>
      <w:r w:rsidR="00C00A0C" w:rsidRPr="00650ED8">
        <w:rPr>
          <w:rFonts w:ascii="Tahoma" w:hAnsi="Tahoma" w:cs="Tahoma"/>
          <w:sz w:val="24"/>
          <w:szCs w:val="24"/>
        </w:rPr>
        <w:t xml:space="preserve"> </w:t>
      </w:r>
    </w:p>
    <w:p w:rsidR="004B5B8A" w:rsidRPr="00650ED8" w:rsidRDefault="00B10206" w:rsidP="00AD3A0B">
      <w:pPr>
        <w:spacing w:before="120" w:after="120" w:line="276" w:lineRule="auto"/>
        <w:ind w:right="6"/>
        <w:jc w:val="both"/>
        <w:rPr>
          <w:rFonts w:ascii="Tahoma" w:hAnsi="Tahoma" w:cs="Tahoma"/>
          <w:bCs/>
          <w:sz w:val="24"/>
          <w:szCs w:val="24"/>
        </w:rPr>
      </w:pPr>
      <w:r w:rsidRPr="00650ED8">
        <w:rPr>
          <w:rFonts w:ascii="Tahoma" w:hAnsi="Tahoma" w:cs="Tahoma"/>
          <w:b/>
          <w:sz w:val="24"/>
          <w:szCs w:val="24"/>
        </w:rPr>
        <w:t xml:space="preserve">Cheltuielile de capital </w:t>
      </w:r>
      <w:r w:rsidRPr="00650ED8">
        <w:rPr>
          <w:rFonts w:ascii="Tahoma" w:hAnsi="Tahoma" w:cs="Tahoma"/>
          <w:sz w:val="24"/>
          <w:szCs w:val="24"/>
        </w:rPr>
        <w:t>au reprezentat 0,</w:t>
      </w:r>
      <w:r w:rsidR="00C00A0C" w:rsidRPr="00650ED8">
        <w:rPr>
          <w:rFonts w:ascii="Tahoma" w:hAnsi="Tahoma" w:cs="Tahoma"/>
          <w:sz w:val="24"/>
          <w:szCs w:val="24"/>
        </w:rPr>
        <w:t>9</w:t>
      </w:r>
      <w:r w:rsidRPr="00650ED8">
        <w:rPr>
          <w:rFonts w:ascii="Tahoma" w:hAnsi="Tahoma" w:cs="Tahoma"/>
          <w:sz w:val="24"/>
          <w:szCs w:val="24"/>
        </w:rPr>
        <w:t xml:space="preserve">% din PIB și s-au efectuat în proporție de </w:t>
      </w:r>
      <w:r w:rsidR="00C00A0C" w:rsidRPr="00650ED8">
        <w:rPr>
          <w:rFonts w:ascii="Tahoma" w:hAnsi="Tahoma" w:cs="Tahoma"/>
          <w:sz w:val="24"/>
          <w:szCs w:val="24"/>
        </w:rPr>
        <w:t>102,4</w:t>
      </w:r>
      <w:r w:rsidRPr="00650ED8">
        <w:rPr>
          <w:rFonts w:ascii="Tahoma" w:hAnsi="Tahoma" w:cs="Tahoma"/>
          <w:sz w:val="24"/>
          <w:szCs w:val="24"/>
        </w:rPr>
        <w:t>% comparativ cu programul trimestrial.</w:t>
      </w:r>
      <w:r w:rsidR="000D317D" w:rsidRPr="00650ED8">
        <w:rPr>
          <w:rFonts w:ascii="Tahoma" w:hAnsi="Tahoma" w:cs="Tahoma"/>
          <w:sz w:val="24"/>
          <w:szCs w:val="24"/>
        </w:rPr>
        <w:t xml:space="preserve"> </w:t>
      </w:r>
      <w:r w:rsidR="004D41CA" w:rsidRPr="00650ED8">
        <w:rPr>
          <w:rFonts w:ascii="Tahoma" w:hAnsi="Tahoma" w:cs="Tahoma"/>
          <w:bCs/>
          <w:sz w:val="24"/>
          <w:szCs w:val="24"/>
        </w:rPr>
        <w:t>Comparativ cu ace</w:t>
      </w:r>
      <w:r w:rsidR="007D68C1" w:rsidRPr="00650ED8">
        <w:rPr>
          <w:rFonts w:ascii="Tahoma" w:hAnsi="Tahoma" w:cs="Tahoma"/>
          <w:bCs/>
          <w:sz w:val="24"/>
          <w:szCs w:val="24"/>
        </w:rPr>
        <w:t>e</w:t>
      </w:r>
      <w:r w:rsidR="004D41CA" w:rsidRPr="00650ED8">
        <w:rPr>
          <w:rFonts w:ascii="Tahoma" w:hAnsi="Tahoma" w:cs="Tahoma"/>
          <w:bCs/>
          <w:sz w:val="24"/>
          <w:szCs w:val="24"/>
        </w:rPr>
        <w:t>ași perioadă a anului 202</w:t>
      </w:r>
      <w:r w:rsidR="004B5B8A" w:rsidRPr="00650ED8">
        <w:rPr>
          <w:rFonts w:ascii="Tahoma" w:hAnsi="Tahoma" w:cs="Tahoma"/>
          <w:bCs/>
          <w:sz w:val="24"/>
          <w:szCs w:val="24"/>
        </w:rPr>
        <w:t>3</w:t>
      </w:r>
      <w:r w:rsidR="004D41CA" w:rsidRPr="00650ED8">
        <w:rPr>
          <w:rFonts w:ascii="Tahoma" w:hAnsi="Tahoma" w:cs="Tahoma"/>
          <w:bCs/>
          <w:sz w:val="24"/>
          <w:szCs w:val="24"/>
        </w:rPr>
        <w:t xml:space="preserve"> cheltuielile de capital </w:t>
      </w:r>
      <w:r w:rsidR="00D60A49" w:rsidRPr="00650ED8">
        <w:rPr>
          <w:rFonts w:ascii="Tahoma" w:hAnsi="Tahoma" w:cs="Tahoma"/>
          <w:bCs/>
          <w:sz w:val="24"/>
          <w:szCs w:val="24"/>
        </w:rPr>
        <w:t>au crescut</w:t>
      </w:r>
      <w:r w:rsidR="004D41CA" w:rsidRPr="00650ED8">
        <w:rPr>
          <w:rFonts w:ascii="Tahoma" w:hAnsi="Tahoma" w:cs="Tahoma"/>
          <w:bCs/>
          <w:sz w:val="24"/>
          <w:szCs w:val="24"/>
        </w:rPr>
        <w:t xml:space="preserve"> în termeni nominali cu </w:t>
      </w:r>
      <w:r w:rsidR="00C00A0C" w:rsidRPr="00650ED8">
        <w:rPr>
          <w:rFonts w:ascii="Tahoma" w:hAnsi="Tahoma" w:cs="Tahoma"/>
          <w:bCs/>
          <w:sz w:val="24"/>
          <w:szCs w:val="24"/>
        </w:rPr>
        <w:t>59,3</w:t>
      </w:r>
      <w:r w:rsidR="004D41CA" w:rsidRPr="00650ED8">
        <w:rPr>
          <w:rFonts w:ascii="Tahoma" w:hAnsi="Tahoma" w:cs="Tahoma"/>
          <w:bCs/>
          <w:sz w:val="24"/>
          <w:szCs w:val="24"/>
        </w:rPr>
        <w:t>%</w:t>
      </w:r>
      <w:r w:rsidR="004B5B8A" w:rsidRPr="00650ED8">
        <w:rPr>
          <w:rFonts w:ascii="Tahoma" w:hAnsi="Tahoma" w:cs="Tahoma"/>
          <w:bCs/>
          <w:sz w:val="24"/>
          <w:szCs w:val="24"/>
        </w:rPr>
        <w:t>(+</w:t>
      </w:r>
      <w:r w:rsidR="00C00A0C" w:rsidRPr="00650ED8">
        <w:rPr>
          <w:rFonts w:ascii="Tahoma" w:hAnsi="Tahoma" w:cs="Tahoma"/>
          <w:bCs/>
          <w:sz w:val="24"/>
          <w:szCs w:val="24"/>
        </w:rPr>
        <w:t>5,84</w:t>
      </w:r>
      <w:r w:rsidR="004B5B8A" w:rsidRPr="00650ED8">
        <w:rPr>
          <w:rFonts w:ascii="Tahoma" w:hAnsi="Tahoma" w:cs="Tahoma"/>
          <w:bCs/>
          <w:sz w:val="24"/>
          <w:szCs w:val="24"/>
        </w:rPr>
        <w:t xml:space="preserve"> miliarde lei)</w:t>
      </w:r>
      <w:r w:rsidR="00030BC0" w:rsidRPr="00650ED8">
        <w:rPr>
          <w:rFonts w:ascii="Tahoma" w:hAnsi="Tahoma" w:cs="Tahoma"/>
          <w:bCs/>
          <w:sz w:val="24"/>
          <w:szCs w:val="24"/>
        </w:rPr>
        <w:t>,</w:t>
      </w:r>
      <w:r w:rsidR="004D41CA" w:rsidRPr="00650ED8">
        <w:rPr>
          <w:rFonts w:ascii="Tahoma" w:hAnsi="Tahoma" w:cs="Tahoma"/>
          <w:bCs/>
          <w:sz w:val="24"/>
          <w:szCs w:val="24"/>
        </w:rPr>
        <w:t xml:space="preserve"> iar ca pondere în PIB </w:t>
      </w:r>
      <w:r w:rsidR="008D3853" w:rsidRPr="00650ED8">
        <w:rPr>
          <w:rFonts w:ascii="Tahoma" w:hAnsi="Tahoma" w:cs="Tahoma"/>
          <w:bCs/>
          <w:sz w:val="24"/>
          <w:szCs w:val="24"/>
        </w:rPr>
        <w:t>cu</w:t>
      </w:r>
      <w:r w:rsidR="004B5B8A" w:rsidRPr="00650ED8">
        <w:rPr>
          <w:rFonts w:ascii="Tahoma" w:hAnsi="Tahoma" w:cs="Tahoma"/>
          <w:bCs/>
          <w:sz w:val="24"/>
          <w:szCs w:val="24"/>
        </w:rPr>
        <w:t xml:space="preserve"> 0,</w:t>
      </w:r>
      <w:r w:rsidR="00C00A0C" w:rsidRPr="00650ED8">
        <w:rPr>
          <w:rFonts w:ascii="Tahoma" w:hAnsi="Tahoma" w:cs="Tahoma"/>
          <w:bCs/>
          <w:sz w:val="24"/>
          <w:szCs w:val="24"/>
        </w:rPr>
        <w:t>3</w:t>
      </w:r>
      <w:r w:rsidR="004B5B8A" w:rsidRPr="00650ED8">
        <w:rPr>
          <w:rFonts w:ascii="Tahoma" w:hAnsi="Tahoma" w:cs="Tahoma"/>
          <w:bCs/>
          <w:sz w:val="24"/>
          <w:szCs w:val="24"/>
        </w:rPr>
        <w:t xml:space="preserve"> puncte procentuale de la 0,</w:t>
      </w:r>
      <w:r w:rsidR="008D3853" w:rsidRPr="00650ED8">
        <w:rPr>
          <w:rFonts w:ascii="Tahoma" w:hAnsi="Tahoma" w:cs="Tahoma"/>
          <w:bCs/>
          <w:sz w:val="24"/>
          <w:szCs w:val="24"/>
        </w:rPr>
        <w:t>6</w:t>
      </w:r>
      <w:r w:rsidR="004B5B8A" w:rsidRPr="00650ED8">
        <w:rPr>
          <w:rFonts w:ascii="Tahoma" w:hAnsi="Tahoma" w:cs="Tahoma"/>
          <w:bCs/>
          <w:sz w:val="24"/>
          <w:szCs w:val="24"/>
        </w:rPr>
        <w:t>% din PIB cât au reprezentat în trimestrul I</w:t>
      </w:r>
      <w:r w:rsidR="008D3853" w:rsidRPr="00650ED8">
        <w:rPr>
          <w:rFonts w:ascii="Tahoma" w:hAnsi="Tahoma" w:cs="Tahoma"/>
          <w:bCs/>
          <w:sz w:val="24"/>
          <w:szCs w:val="24"/>
        </w:rPr>
        <w:t>I</w:t>
      </w:r>
      <w:r w:rsidR="00C00A0C" w:rsidRPr="00650ED8">
        <w:rPr>
          <w:rFonts w:ascii="Tahoma" w:hAnsi="Tahoma" w:cs="Tahoma"/>
          <w:bCs/>
          <w:sz w:val="24"/>
          <w:szCs w:val="24"/>
        </w:rPr>
        <w:t>I</w:t>
      </w:r>
      <w:r w:rsidR="004B5B8A" w:rsidRPr="00650ED8">
        <w:rPr>
          <w:rFonts w:ascii="Tahoma" w:hAnsi="Tahoma" w:cs="Tahoma"/>
          <w:bCs/>
          <w:sz w:val="24"/>
          <w:szCs w:val="24"/>
        </w:rPr>
        <w:t xml:space="preserve"> 2023 la 0,</w:t>
      </w:r>
      <w:r w:rsidR="00C00A0C" w:rsidRPr="00650ED8">
        <w:rPr>
          <w:rFonts w:ascii="Tahoma" w:hAnsi="Tahoma" w:cs="Tahoma"/>
          <w:bCs/>
          <w:sz w:val="24"/>
          <w:szCs w:val="24"/>
        </w:rPr>
        <w:t>9</w:t>
      </w:r>
      <w:r w:rsidR="004B5B8A" w:rsidRPr="00650ED8">
        <w:rPr>
          <w:rFonts w:ascii="Tahoma" w:hAnsi="Tahoma" w:cs="Tahoma"/>
          <w:bCs/>
          <w:sz w:val="24"/>
          <w:szCs w:val="24"/>
        </w:rPr>
        <w:t xml:space="preserve">% din PIB în perioada analizată. </w:t>
      </w:r>
    </w:p>
    <w:p w:rsidR="000E2365" w:rsidRPr="00650ED8" w:rsidRDefault="007261F0" w:rsidP="000E2365">
      <w:pPr>
        <w:spacing w:before="120" w:after="120" w:line="276" w:lineRule="auto"/>
        <w:ind w:right="6"/>
        <w:jc w:val="both"/>
        <w:rPr>
          <w:rFonts w:ascii="Tahoma" w:hAnsi="Tahoma" w:cs="Tahoma"/>
          <w:bCs/>
          <w:sz w:val="24"/>
          <w:szCs w:val="24"/>
        </w:rPr>
      </w:pPr>
      <w:r w:rsidRPr="00650ED8">
        <w:rPr>
          <w:rFonts w:ascii="Tahoma" w:hAnsi="Tahoma" w:cs="Tahoma"/>
          <w:bCs/>
          <w:sz w:val="24"/>
          <w:szCs w:val="24"/>
        </w:rPr>
        <w:t xml:space="preserve">Performanța înregistrată față de perioada similară a anului anterior a fost determinată în principal de evoluția plăților la </w:t>
      </w:r>
      <w:r w:rsidR="00E5538C" w:rsidRPr="00650ED8">
        <w:rPr>
          <w:rFonts w:ascii="Tahoma" w:hAnsi="Tahoma" w:cs="Tahoma"/>
          <w:bCs/>
          <w:sz w:val="24"/>
          <w:szCs w:val="24"/>
        </w:rPr>
        <w:t>bugetul de stat (+214,1%)</w:t>
      </w:r>
      <w:r w:rsidR="000E2365" w:rsidRPr="00650ED8">
        <w:rPr>
          <w:rFonts w:ascii="Tahoma" w:hAnsi="Tahoma" w:cs="Tahoma"/>
          <w:bCs/>
          <w:sz w:val="24"/>
          <w:szCs w:val="24"/>
        </w:rPr>
        <w:t xml:space="preserve"> și la </w:t>
      </w:r>
      <w:r w:rsidR="008D3853" w:rsidRPr="00650ED8">
        <w:rPr>
          <w:rFonts w:ascii="Tahoma" w:hAnsi="Tahoma" w:cs="Tahoma"/>
          <w:bCs/>
          <w:sz w:val="24"/>
          <w:szCs w:val="24"/>
        </w:rPr>
        <w:t xml:space="preserve">bugetele locale </w:t>
      </w:r>
      <w:r w:rsidRPr="00650ED8">
        <w:rPr>
          <w:rFonts w:ascii="Tahoma" w:hAnsi="Tahoma" w:cs="Tahoma"/>
          <w:bCs/>
          <w:sz w:val="24"/>
          <w:szCs w:val="24"/>
        </w:rPr>
        <w:t>(+</w:t>
      </w:r>
      <w:r w:rsidR="00E5538C" w:rsidRPr="00650ED8">
        <w:rPr>
          <w:rFonts w:ascii="Tahoma" w:hAnsi="Tahoma" w:cs="Tahoma"/>
          <w:bCs/>
          <w:sz w:val="24"/>
          <w:szCs w:val="24"/>
        </w:rPr>
        <w:t>75,2</w:t>
      </w:r>
      <w:r w:rsidRPr="00650ED8">
        <w:rPr>
          <w:rFonts w:ascii="Tahoma" w:hAnsi="Tahoma" w:cs="Tahoma"/>
          <w:bCs/>
          <w:sz w:val="24"/>
          <w:szCs w:val="24"/>
        </w:rPr>
        <w:t xml:space="preserve"> </w:t>
      </w:r>
      <w:r w:rsidR="000E2365" w:rsidRPr="00650ED8">
        <w:rPr>
          <w:rFonts w:ascii="Tahoma" w:hAnsi="Tahoma" w:cs="Tahoma"/>
          <w:bCs/>
          <w:sz w:val="24"/>
          <w:szCs w:val="24"/>
        </w:rPr>
        <w:t>%).</w:t>
      </w:r>
    </w:p>
    <w:p w:rsidR="00CB7882" w:rsidRPr="00650ED8" w:rsidRDefault="00B10206" w:rsidP="000E2365">
      <w:pPr>
        <w:spacing w:before="120" w:after="120" w:line="276" w:lineRule="auto"/>
        <w:ind w:right="6"/>
        <w:jc w:val="both"/>
        <w:rPr>
          <w:rFonts w:ascii="Tahoma" w:eastAsia="Calibri" w:hAnsi="Tahoma" w:cs="Tahoma"/>
          <w:sz w:val="24"/>
          <w:szCs w:val="24"/>
        </w:rPr>
      </w:pPr>
      <w:r w:rsidRPr="00650ED8">
        <w:rPr>
          <w:rFonts w:ascii="Tahoma" w:hAnsi="Tahoma" w:cs="Tahoma"/>
          <w:b/>
          <w:sz w:val="24"/>
          <w:szCs w:val="24"/>
        </w:rPr>
        <w:t>Cheltuielile pentru investiții</w:t>
      </w:r>
      <w:r w:rsidRPr="00650ED8">
        <w:rPr>
          <w:rFonts w:ascii="Tahoma" w:hAnsi="Tahoma" w:cs="Tahoma"/>
          <w:sz w:val="24"/>
          <w:szCs w:val="24"/>
        </w:rPr>
        <w:t xml:space="preserve"> (includ cheltuielile de capital, precum </w:t>
      </w:r>
      <w:r w:rsidR="00030BC0" w:rsidRPr="00650ED8">
        <w:rPr>
          <w:rFonts w:ascii="Tahoma" w:hAnsi="Tahoma" w:cs="Tahoma"/>
          <w:sz w:val="24"/>
          <w:szCs w:val="24"/>
        </w:rPr>
        <w:t>și</w:t>
      </w:r>
      <w:r w:rsidRPr="00650ED8">
        <w:rPr>
          <w:rFonts w:ascii="Tahoma" w:hAnsi="Tahoma" w:cs="Tahoma"/>
          <w:sz w:val="24"/>
          <w:szCs w:val="24"/>
        </w:rPr>
        <w:t xml:space="preserve"> cele aferente programelor de dezvoltare finanțate din surse interne </w:t>
      </w:r>
      <w:r w:rsidR="00030BC0" w:rsidRPr="00650ED8">
        <w:rPr>
          <w:rFonts w:ascii="Tahoma" w:hAnsi="Tahoma" w:cs="Tahoma"/>
          <w:sz w:val="24"/>
          <w:szCs w:val="24"/>
        </w:rPr>
        <w:t>și</w:t>
      </w:r>
      <w:r w:rsidRPr="00650ED8">
        <w:rPr>
          <w:rFonts w:ascii="Tahoma" w:hAnsi="Tahoma" w:cs="Tahoma"/>
          <w:sz w:val="24"/>
          <w:szCs w:val="24"/>
        </w:rPr>
        <w:t xml:space="preserve"> externe) în </w:t>
      </w:r>
      <w:r w:rsidR="00503360" w:rsidRPr="00650ED8">
        <w:rPr>
          <w:rFonts w:ascii="Tahoma" w:hAnsi="Tahoma" w:cs="Tahoma"/>
          <w:sz w:val="24"/>
          <w:szCs w:val="24"/>
        </w:rPr>
        <w:t xml:space="preserve">al </w:t>
      </w:r>
      <w:r w:rsidR="00C00A0C" w:rsidRPr="00650ED8">
        <w:rPr>
          <w:rFonts w:ascii="Tahoma" w:hAnsi="Tahoma" w:cs="Tahoma"/>
          <w:sz w:val="24"/>
          <w:szCs w:val="24"/>
        </w:rPr>
        <w:t>tre</w:t>
      </w:r>
      <w:r w:rsidR="00503360" w:rsidRPr="00650ED8">
        <w:rPr>
          <w:rFonts w:ascii="Tahoma" w:hAnsi="Tahoma" w:cs="Tahoma"/>
          <w:sz w:val="24"/>
          <w:szCs w:val="24"/>
        </w:rPr>
        <w:t>ilea</w:t>
      </w:r>
      <w:r w:rsidRPr="00650ED8">
        <w:rPr>
          <w:rFonts w:ascii="Tahoma" w:hAnsi="Tahoma" w:cs="Tahoma"/>
          <w:sz w:val="24"/>
          <w:szCs w:val="24"/>
        </w:rPr>
        <w:t xml:space="preserve"> trimestru al anului 202</w:t>
      </w:r>
      <w:r w:rsidR="007261F0" w:rsidRPr="00650ED8">
        <w:rPr>
          <w:rFonts w:ascii="Tahoma" w:hAnsi="Tahoma" w:cs="Tahoma"/>
          <w:sz w:val="24"/>
          <w:szCs w:val="24"/>
        </w:rPr>
        <w:t>4</w:t>
      </w:r>
      <w:r w:rsidRPr="00650ED8">
        <w:rPr>
          <w:rFonts w:ascii="Tahoma" w:hAnsi="Tahoma" w:cs="Tahoma"/>
          <w:sz w:val="24"/>
          <w:szCs w:val="24"/>
        </w:rPr>
        <w:t xml:space="preserve"> au totalizat în termeni nominali </w:t>
      </w:r>
      <w:r w:rsidR="00A86D4B" w:rsidRPr="00650ED8">
        <w:rPr>
          <w:rFonts w:ascii="Tahoma" w:hAnsi="Tahoma" w:cs="Tahoma"/>
          <w:bCs/>
          <w:sz w:val="24"/>
          <w:szCs w:val="24"/>
        </w:rPr>
        <w:t>28,66</w:t>
      </w:r>
      <w:r w:rsidR="004D41CA" w:rsidRPr="00650ED8">
        <w:rPr>
          <w:rFonts w:ascii="Tahoma" w:hAnsi="Tahoma" w:cs="Tahoma"/>
          <w:b/>
          <w:bCs/>
          <w:sz w:val="24"/>
          <w:szCs w:val="24"/>
        </w:rPr>
        <w:t xml:space="preserve"> </w:t>
      </w:r>
      <w:r w:rsidR="00602503" w:rsidRPr="00650ED8">
        <w:rPr>
          <w:rFonts w:ascii="Tahoma" w:hAnsi="Tahoma" w:cs="Tahoma"/>
          <w:bCs/>
          <w:sz w:val="24"/>
          <w:szCs w:val="24"/>
        </w:rPr>
        <w:t>miliarde</w:t>
      </w:r>
      <w:r w:rsidR="004D41CA" w:rsidRPr="00650ED8">
        <w:rPr>
          <w:rFonts w:ascii="Tahoma" w:hAnsi="Tahoma" w:cs="Tahoma"/>
          <w:bCs/>
          <w:sz w:val="24"/>
          <w:szCs w:val="24"/>
        </w:rPr>
        <w:t xml:space="preserve"> lei (</w:t>
      </w:r>
      <w:r w:rsidR="007261F0" w:rsidRPr="00650ED8">
        <w:rPr>
          <w:rFonts w:ascii="Tahoma" w:hAnsi="Tahoma" w:cs="Tahoma"/>
          <w:bCs/>
          <w:sz w:val="24"/>
          <w:szCs w:val="24"/>
        </w:rPr>
        <w:t>1,</w:t>
      </w:r>
      <w:r w:rsidR="00A86D4B" w:rsidRPr="00650ED8">
        <w:rPr>
          <w:rFonts w:ascii="Tahoma" w:hAnsi="Tahoma" w:cs="Tahoma"/>
          <w:bCs/>
          <w:sz w:val="24"/>
          <w:szCs w:val="24"/>
        </w:rPr>
        <w:t>62</w:t>
      </w:r>
      <w:r w:rsidR="004D41CA" w:rsidRPr="00650ED8">
        <w:rPr>
          <w:rFonts w:ascii="Tahoma" w:hAnsi="Tahoma" w:cs="Tahoma"/>
          <w:bCs/>
          <w:sz w:val="24"/>
          <w:szCs w:val="24"/>
        </w:rPr>
        <w:t xml:space="preserve"> % din PIB)</w:t>
      </w:r>
      <w:r w:rsidR="004D41CA" w:rsidRPr="00650ED8">
        <w:rPr>
          <w:rFonts w:ascii="Tahoma" w:eastAsia="Calibri" w:hAnsi="Tahoma" w:cs="Tahoma"/>
          <w:sz w:val="24"/>
          <w:szCs w:val="24"/>
        </w:rPr>
        <w:t xml:space="preserve"> în creștere cu </w:t>
      </w:r>
      <w:r w:rsidR="00A86D4B" w:rsidRPr="00650ED8">
        <w:rPr>
          <w:rFonts w:ascii="Tahoma" w:eastAsia="Calibri" w:hAnsi="Tahoma" w:cs="Tahoma"/>
          <w:sz w:val="24"/>
          <w:szCs w:val="24"/>
        </w:rPr>
        <w:t>33,6</w:t>
      </w:r>
      <w:r w:rsidR="004D41CA" w:rsidRPr="00650ED8">
        <w:rPr>
          <w:rFonts w:ascii="Tahoma" w:eastAsia="Calibri" w:hAnsi="Tahoma" w:cs="Tahoma"/>
          <w:sz w:val="24"/>
          <w:szCs w:val="24"/>
        </w:rPr>
        <w:t>% comparativ cu aceeași perioadă a anului precedent</w:t>
      </w:r>
      <w:r w:rsidR="003774BA" w:rsidRPr="00650ED8">
        <w:rPr>
          <w:rFonts w:ascii="Tahoma" w:eastAsia="Calibri" w:hAnsi="Tahoma" w:cs="Tahoma"/>
          <w:sz w:val="24"/>
          <w:szCs w:val="24"/>
        </w:rPr>
        <w:t>.</w:t>
      </w:r>
      <w:r w:rsidR="004D41CA" w:rsidRPr="00650ED8">
        <w:rPr>
          <w:rFonts w:ascii="Tahoma" w:eastAsia="Calibri" w:hAnsi="Tahoma" w:cs="Tahoma"/>
          <w:sz w:val="24"/>
          <w:szCs w:val="24"/>
        </w:rPr>
        <w:t xml:space="preserve"> </w:t>
      </w:r>
      <w:r w:rsidR="000A680C" w:rsidRPr="00650ED8">
        <w:rPr>
          <w:rFonts w:ascii="Tahoma" w:eastAsia="Calibri" w:hAnsi="Tahoma" w:cs="Tahoma"/>
          <w:sz w:val="24"/>
          <w:szCs w:val="24"/>
        </w:rPr>
        <w:t>Ca pondere în PI</w:t>
      </w:r>
      <w:r w:rsidR="00A931D4" w:rsidRPr="00650ED8">
        <w:rPr>
          <w:rFonts w:ascii="Tahoma" w:eastAsia="Calibri" w:hAnsi="Tahoma" w:cs="Tahoma"/>
          <w:sz w:val="24"/>
          <w:szCs w:val="24"/>
        </w:rPr>
        <w:t>B</w:t>
      </w:r>
      <w:r w:rsidR="000A680C" w:rsidRPr="00650ED8">
        <w:rPr>
          <w:rFonts w:ascii="Tahoma" w:eastAsia="Calibri" w:hAnsi="Tahoma" w:cs="Tahoma"/>
          <w:sz w:val="24"/>
          <w:szCs w:val="24"/>
        </w:rPr>
        <w:t xml:space="preserve"> cheltuielile cu investițiile au crescut cu 0,</w:t>
      </w:r>
      <w:r w:rsidR="00A86D4B" w:rsidRPr="00650ED8">
        <w:rPr>
          <w:rFonts w:ascii="Tahoma" w:eastAsia="Calibri" w:hAnsi="Tahoma" w:cs="Tahoma"/>
          <w:sz w:val="24"/>
          <w:szCs w:val="24"/>
        </w:rPr>
        <w:t>28</w:t>
      </w:r>
      <w:r w:rsidR="000A680C" w:rsidRPr="00650ED8">
        <w:rPr>
          <w:rFonts w:ascii="Tahoma" w:eastAsia="Calibri" w:hAnsi="Tahoma" w:cs="Tahoma"/>
          <w:sz w:val="24"/>
          <w:szCs w:val="24"/>
        </w:rPr>
        <w:t xml:space="preserve"> puncte procentuale de la </w:t>
      </w:r>
      <w:r w:rsidR="00503360" w:rsidRPr="00650ED8">
        <w:rPr>
          <w:rFonts w:ascii="Tahoma" w:eastAsia="Calibri" w:hAnsi="Tahoma" w:cs="Tahoma"/>
          <w:sz w:val="24"/>
          <w:szCs w:val="24"/>
        </w:rPr>
        <w:t>1,</w:t>
      </w:r>
      <w:r w:rsidR="00A86D4B" w:rsidRPr="00650ED8">
        <w:rPr>
          <w:rFonts w:ascii="Tahoma" w:eastAsia="Calibri" w:hAnsi="Tahoma" w:cs="Tahoma"/>
          <w:sz w:val="24"/>
          <w:szCs w:val="24"/>
        </w:rPr>
        <w:t>34</w:t>
      </w:r>
      <w:r w:rsidR="000A680C" w:rsidRPr="00650ED8">
        <w:rPr>
          <w:rFonts w:ascii="Tahoma" w:eastAsia="Calibri" w:hAnsi="Tahoma" w:cs="Tahoma"/>
          <w:sz w:val="24"/>
          <w:szCs w:val="24"/>
        </w:rPr>
        <w:t>% din PIB în trimestrul I</w:t>
      </w:r>
      <w:r w:rsidR="00503360" w:rsidRPr="00650ED8">
        <w:rPr>
          <w:rFonts w:ascii="Tahoma" w:eastAsia="Calibri" w:hAnsi="Tahoma" w:cs="Tahoma"/>
          <w:sz w:val="24"/>
          <w:szCs w:val="24"/>
        </w:rPr>
        <w:t>I</w:t>
      </w:r>
      <w:r w:rsidR="00A86D4B" w:rsidRPr="00650ED8">
        <w:rPr>
          <w:rFonts w:ascii="Tahoma" w:eastAsia="Calibri" w:hAnsi="Tahoma" w:cs="Tahoma"/>
          <w:sz w:val="24"/>
          <w:szCs w:val="24"/>
        </w:rPr>
        <w:t>I</w:t>
      </w:r>
      <w:r w:rsidR="000A680C" w:rsidRPr="00650ED8">
        <w:rPr>
          <w:rFonts w:ascii="Tahoma" w:eastAsia="Calibri" w:hAnsi="Tahoma" w:cs="Tahoma"/>
          <w:sz w:val="24"/>
          <w:szCs w:val="24"/>
        </w:rPr>
        <w:t xml:space="preserve"> 2023 la 1,</w:t>
      </w:r>
      <w:r w:rsidR="00A86D4B" w:rsidRPr="00650ED8">
        <w:rPr>
          <w:rFonts w:ascii="Tahoma" w:eastAsia="Calibri" w:hAnsi="Tahoma" w:cs="Tahoma"/>
          <w:sz w:val="24"/>
          <w:szCs w:val="24"/>
        </w:rPr>
        <w:t>62</w:t>
      </w:r>
      <w:r w:rsidR="000A680C" w:rsidRPr="00650ED8">
        <w:rPr>
          <w:rFonts w:ascii="Tahoma" w:eastAsia="Calibri" w:hAnsi="Tahoma" w:cs="Tahoma"/>
          <w:sz w:val="24"/>
          <w:szCs w:val="24"/>
        </w:rPr>
        <w:t>% din PIB în perioada analizată.</w:t>
      </w:r>
    </w:p>
    <w:p w:rsidR="003774BA" w:rsidRPr="00650ED8" w:rsidRDefault="003774BA" w:rsidP="00753D9F">
      <w:pPr>
        <w:spacing w:after="120" w:line="276" w:lineRule="auto"/>
        <w:jc w:val="both"/>
        <w:rPr>
          <w:rFonts w:ascii="Tahoma" w:eastAsia="Calibri" w:hAnsi="Tahoma" w:cs="Tahoma"/>
          <w:sz w:val="24"/>
          <w:szCs w:val="24"/>
        </w:rPr>
      </w:pPr>
    </w:p>
    <w:p w:rsidR="00753D9F" w:rsidRPr="00650ED8" w:rsidRDefault="00753D9F">
      <w:pPr>
        <w:rPr>
          <w:rFonts w:ascii="Tahoma" w:hAnsi="Tahoma" w:cs="Tahoma"/>
          <w:bCs/>
          <w:sz w:val="24"/>
          <w:szCs w:val="24"/>
        </w:rPr>
      </w:pPr>
      <w:r w:rsidRPr="00650ED8">
        <w:rPr>
          <w:rFonts w:ascii="Tahoma" w:hAnsi="Tahoma" w:cs="Tahoma"/>
          <w:bCs/>
          <w:sz w:val="24"/>
          <w:szCs w:val="24"/>
        </w:rPr>
        <w:br w:type="page"/>
      </w:r>
    </w:p>
    <w:p w:rsidR="00373FDE" w:rsidRPr="00650ED8" w:rsidRDefault="00373FDE" w:rsidP="00373FDE">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4"/>
          <w:szCs w:val="24"/>
        </w:rPr>
      </w:pPr>
      <w:r w:rsidRPr="00650ED8">
        <w:rPr>
          <w:rFonts w:ascii="Tahoma" w:hAnsi="Tahoma" w:cs="Tahoma"/>
          <w:b/>
          <w:caps/>
          <w:color w:val="0070C0"/>
          <w:sz w:val="24"/>
          <w:szCs w:val="24"/>
        </w:rPr>
        <w:lastRenderedPageBreak/>
        <w:t>CONCLUZII</w:t>
      </w:r>
    </w:p>
    <w:p w:rsidR="00415B7E" w:rsidRPr="00650ED8" w:rsidRDefault="00415B7E" w:rsidP="00662448">
      <w:pPr>
        <w:spacing w:after="120" w:line="276" w:lineRule="auto"/>
        <w:ind w:right="6"/>
        <w:jc w:val="both"/>
        <w:rPr>
          <w:rFonts w:ascii="Tahoma" w:hAnsi="Tahoma" w:cs="Tahoma"/>
          <w:bCs/>
          <w:sz w:val="24"/>
          <w:szCs w:val="24"/>
        </w:rPr>
      </w:pPr>
      <w:r w:rsidRPr="00650ED8">
        <w:rPr>
          <w:rFonts w:ascii="Tahoma" w:hAnsi="Tahoma" w:cs="Tahoma"/>
          <w:bCs/>
          <w:sz w:val="24"/>
          <w:szCs w:val="24"/>
        </w:rPr>
        <w:t>Având în vedere evoluția veniturilor</w:t>
      </w:r>
      <w:r w:rsidR="00315666" w:rsidRPr="00650ED8">
        <w:rPr>
          <w:rFonts w:ascii="Tahoma" w:hAnsi="Tahoma" w:cs="Tahoma"/>
          <w:bCs/>
          <w:sz w:val="24"/>
          <w:szCs w:val="24"/>
        </w:rPr>
        <w:t xml:space="preserve"> și cheltuielilor</w:t>
      </w:r>
      <w:r w:rsidRPr="00650ED8">
        <w:rPr>
          <w:rFonts w:ascii="Tahoma" w:hAnsi="Tahoma" w:cs="Tahoma"/>
          <w:bCs/>
          <w:sz w:val="24"/>
          <w:szCs w:val="24"/>
        </w:rPr>
        <w:t xml:space="preserve"> bugetare, soldul bugetar </w:t>
      </w:r>
      <w:r w:rsidR="00315666" w:rsidRPr="00650ED8">
        <w:rPr>
          <w:rFonts w:ascii="Tahoma" w:hAnsi="Tahoma" w:cs="Tahoma"/>
          <w:bCs/>
          <w:sz w:val="24"/>
          <w:szCs w:val="24"/>
        </w:rPr>
        <w:t>aferent</w:t>
      </w:r>
      <w:r w:rsidRPr="00650ED8">
        <w:rPr>
          <w:rFonts w:ascii="Tahoma" w:hAnsi="Tahoma" w:cs="Tahoma"/>
          <w:bCs/>
          <w:sz w:val="24"/>
          <w:szCs w:val="24"/>
        </w:rPr>
        <w:t xml:space="preserve"> </w:t>
      </w:r>
      <w:r w:rsidR="002C2AA8" w:rsidRPr="00650ED8">
        <w:rPr>
          <w:rFonts w:ascii="Tahoma" w:hAnsi="Tahoma" w:cs="Tahoma"/>
          <w:bCs/>
          <w:sz w:val="24"/>
          <w:szCs w:val="24"/>
        </w:rPr>
        <w:t xml:space="preserve">perioadei analizate </w:t>
      </w:r>
      <w:r w:rsidR="00A1466E" w:rsidRPr="00650ED8">
        <w:rPr>
          <w:rFonts w:ascii="Tahoma" w:hAnsi="Tahoma" w:cs="Tahoma"/>
          <w:bCs/>
          <w:sz w:val="24"/>
          <w:szCs w:val="24"/>
        </w:rPr>
        <w:t xml:space="preserve">s-a situat sub </w:t>
      </w:r>
      <w:r w:rsidR="003C4703" w:rsidRPr="00650ED8">
        <w:rPr>
          <w:rFonts w:ascii="Tahoma" w:hAnsi="Tahoma" w:cs="Tahoma"/>
          <w:bCs/>
          <w:sz w:val="24"/>
          <w:szCs w:val="24"/>
        </w:rPr>
        <w:t xml:space="preserve">ținta stabilită cu </w:t>
      </w:r>
      <w:r w:rsidR="002C2AA8" w:rsidRPr="00650ED8">
        <w:rPr>
          <w:rFonts w:ascii="Tahoma" w:hAnsi="Tahoma" w:cs="Tahoma"/>
          <w:bCs/>
          <w:sz w:val="24"/>
          <w:szCs w:val="24"/>
        </w:rPr>
        <w:t>6,48</w:t>
      </w:r>
      <w:r w:rsidR="003C4703" w:rsidRPr="00650ED8">
        <w:rPr>
          <w:rFonts w:ascii="Tahoma" w:hAnsi="Tahoma" w:cs="Tahoma"/>
          <w:bCs/>
          <w:sz w:val="24"/>
          <w:szCs w:val="24"/>
        </w:rPr>
        <w:t xml:space="preserve"> </w:t>
      </w:r>
      <w:r w:rsidR="00602503" w:rsidRPr="00650ED8">
        <w:rPr>
          <w:rFonts w:ascii="Tahoma" w:hAnsi="Tahoma" w:cs="Tahoma"/>
          <w:bCs/>
          <w:sz w:val="24"/>
          <w:szCs w:val="24"/>
        </w:rPr>
        <w:t>miliarde</w:t>
      </w:r>
      <w:r w:rsidRPr="00650ED8">
        <w:rPr>
          <w:rFonts w:ascii="Tahoma" w:hAnsi="Tahoma" w:cs="Tahoma"/>
          <w:bCs/>
          <w:sz w:val="24"/>
          <w:szCs w:val="24"/>
        </w:rPr>
        <w:t xml:space="preserve"> lei.</w:t>
      </w:r>
    </w:p>
    <w:p w:rsidR="005D6935" w:rsidRPr="00650ED8" w:rsidRDefault="001E19BB" w:rsidP="00662448">
      <w:pPr>
        <w:spacing w:after="120"/>
        <w:ind w:right="6"/>
        <w:jc w:val="both"/>
        <w:rPr>
          <w:rFonts w:ascii="Tahoma" w:hAnsi="Tahoma" w:cs="Tahoma"/>
          <w:bCs/>
          <w:sz w:val="24"/>
          <w:szCs w:val="24"/>
        </w:rPr>
      </w:pPr>
      <w:r w:rsidRPr="00650ED8">
        <w:rPr>
          <w:rFonts w:ascii="Tahoma" w:hAnsi="Tahoma" w:cs="Tahoma"/>
          <w:bCs/>
          <w:sz w:val="24"/>
          <w:szCs w:val="24"/>
        </w:rPr>
        <w:t>În perioada analizată</w:t>
      </w:r>
      <w:r w:rsidR="008849D9" w:rsidRPr="00650ED8">
        <w:rPr>
          <w:rFonts w:ascii="Tahoma" w:hAnsi="Tahoma" w:cs="Tahoma"/>
          <w:bCs/>
          <w:sz w:val="24"/>
          <w:szCs w:val="24"/>
        </w:rPr>
        <w:t xml:space="preserve"> </w:t>
      </w:r>
      <w:r w:rsidRPr="00650ED8">
        <w:rPr>
          <w:rFonts w:ascii="Tahoma" w:hAnsi="Tahoma" w:cs="Tahoma"/>
          <w:bCs/>
          <w:sz w:val="24"/>
          <w:szCs w:val="24"/>
        </w:rPr>
        <w:t xml:space="preserve">veniturile bugetului general consolidat </w:t>
      </w:r>
      <w:r w:rsidR="005D6935" w:rsidRPr="00650ED8">
        <w:rPr>
          <w:rFonts w:ascii="Tahoma" w:hAnsi="Tahoma" w:cs="Tahoma"/>
          <w:bCs/>
          <w:sz w:val="24"/>
          <w:szCs w:val="24"/>
        </w:rPr>
        <w:t xml:space="preserve">nu au reușit să atingă nivelul programat ca urmare a performanței slabe înregistrate în cazul veniturilor suplimentare încasate din digitalizare și a sumelor </w:t>
      </w:r>
      <w:r w:rsidR="00F43473" w:rsidRPr="00650ED8">
        <w:rPr>
          <w:rFonts w:ascii="Tahoma" w:hAnsi="Tahoma" w:cs="Tahoma"/>
          <w:bCs/>
          <w:sz w:val="24"/>
          <w:szCs w:val="24"/>
        </w:rPr>
        <w:t xml:space="preserve">aferente </w:t>
      </w:r>
      <w:r w:rsidR="00021BE4" w:rsidRPr="00650ED8">
        <w:rPr>
          <w:rFonts w:ascii="Tahoma" w:hAnsi="Tahoma" w:cs="Tahoma"/>
          <w:bCs/>
          <w:sz w:val="24"/>
          <w:szCs w:val="24"/>
        </w:rPr>
        <w:t>fonduril</w:t>
      </w:r>
      <w:r w:rsidR="00F43473" w:rsidRPr="00650ED8">
        <w:rPr>
          <w:rFonts w:ascii="Tahoma" w:hAnsi="Tahoma" w:cs="Tahoma"/>
          <w:bCs/>
          <w:sz w:val="24"/>
          <w:szCs w:val="24"/>
        </w:rPr>
        <w:t>or</w:t>
      </w:r>
      <w:r w:rsidR="00021BE4" w:rsidRPr="00650ED8">
        <w:rPr>
          <w:rFonts w:ascii="Tahoma" w:hAnsi="Tahoma" w:cs="Tahoma"/>
          <w:bCs/>
          <w:sz w:val="24"/>
          <w:szCs w:val="24"/>
        </w:rPr>
        <w:t xml:space="preserve"> externe nerambursabile</w:t>
      </w:r>
      <w:r w:rsidR="00F43473" w:rsidRPr="00650ED8">
        <w:rPr>
          <w:rFonts w:ascii="Tahoma" w:hAnsi="Tahoma" w:cs="Tahoma"/>
          <w:bCs/>
          <w:sz w:val="24"/>
          <w:szCs w:val="24"/>
        </w:rPr>
        <w:t xml:space="preserve"> inclusiv PNRR. </w:t>
      </w:r>
    </w:p>
    <w:p w:rsidR="00AB3FA4" w:rsidRPr="00650ED8" w:rsidRDefault="005D6935" w:rsidP="000B5F72">
      <w:pPr>
        <w:spacing w:after="120" w:line="276" w:lineRule="auto"/>
        <w:ind w:right="6"/>
        <w:jc w:val="both"/>
        <w:rPr>
          <w:rFonts w:ascii="Tahoma" w:hAnsi="Tahoma" w:cs="Tahoma"/>
          <w:bCs/>
          <w:sz w:val="24"/>
          <w:szCs w:val="24"/>
        </w:rPr>
      </w:pPr>
      <w:r w:rsidRPr="00650ED8">
        <w:rPr>
          <w:rFonts w:ascii="Tahoma" w:hAnsi="Tahoma" w:cs="Tahoma"/>
          <w:bCs/>
          <w:sz w:val="24"/>
          <w:szCs w:val="24"/>
        </w:rPr>
        <w:t>V</w:t>
      </w:r>
      <w:r w:rsidR="00D750B6" w:rsidRPr="00650ED8">
        <w:rPr>
          <w:rFonts w:ascii="Tahoma" w:hAnsi="Tahoma" w:cs="Tahoma"/>
          <w:bCs/>
          <w:sz w:val="24"/>
          <w:szCs w:val="24"/>
        </w:rPr>
        <w:t>enituril</w:t>
      </w:r>
      <w:r w:rsidR="00F43473" w:rsidRPr="00650ED8">
        <w:rPr>
          <w:rFonts w:ascii="Tahoma" w:hAnsi="Tahoma" w:cs="Tahoma"/>
          <w:bCs/>
          <w:sz w:val="24"/>
          <w:szCs w:val="24"/>
        </w:rPr>
        <w:t>e</w:t>
      </w:r>
      <w:r w:rsidR="00D750B6" w:rsidRPr="00650ED8">
        <w:rPr>
          <w:rFonts w:ascii="Tahoma" w:hAnsi="Tahoma" w:cs="Tahoma"/>
          <w:bCs/>
          <w:sz w:val="24"/>
          <w:szCs w:val="24"/>
        </w:rPr>
        <w:t xml:space="preserve"> prevăzute a fi încasate din fonduri externe nerambursabile</w:t>
      </w:r>
      <w:r w:rsidR="00AB3FA4" w:rsidRPr="00650ED8">
        <w:rPr>
          <w:rFonts w:ascii="Tahoma" w:hAnsi="Tahoma" w:cs="Tahoma"/>
          <w:bCs/>
          <w:sz w:val="24"/>
          <w:szCs w:val="24"/>
        </w:rPr>
        <w:t xml:space="preserve"> în perioada analizată au fost inferioare nivelului programat discrepanțe majore între nivelul sumelor încasate și cele progr</w:t>
      </w:r>
      <w:r w:rsidR="00AE5FFB" w:rsidRPr="00650ED8">
        <w:rPr>
          <w:rFonts w:ascii="Tahoma" w:hAnsi="Tahoma" w:cs="Tahoma"/>
          <w:bCs/>
          <w:sz w:val="24"/>
          <w:szCs w:val="24"/>
        </w:rPr>
        <w:t>a</w:t>
      </w:r>
      <w:r w:rsidR="00AB3FA4" w:rsidRPr="00650ED8">
        <w:rPr>
          <w:rFonts w:ascii="Tahoma" w:hAnsi="Tahoma" w:cs="Tahoma"/>
          <w:bCs/>
          <w:sz w:val="24"/>
          <w:szCs w:val="24"/>
        </w:rPr>
        <w:t xml:space="preserve">mate înregistrându-se în special în cazul sumelor aferente </w:t>
      </w:r>
      <w:r w:rsidR="002C2AA8" w:rsidRPr="00650ED8">
        <w:rPr>
          <w:rFonts w:ascii="Tahoma" w:hAnsi="Tahoma" w:cs="Tahoma"/>
          <w:bCs/>
          <w:sz w:val="24"/>
          <w:szCs w:val="24"/>
        </w:rPr>
        <w:t>proiectelor finanțate din cadrul financiar 2021-2027</w:t>
      </w:r>
      <w:r w:rsidR="00AB3FA4" w:rsidRPr="00650ED8">
        <w:rPr>
          <w:rFonts w:ascii="Tahoma" w:hAnsi="Tahoma" w:cs="Tahoma"/>
          <w:bCs/>
          <w:sz w:val="24"/>
          <w:szCs w:val="24"/>
        </w:rPr>
        <w:t>.</w:t>
      </w:r>
    </w:p>
    <w:p w:rsidR="002C2AA8" w:rsidRPr="00650ED8" w:rsidRDefault="00FC0CA1" w:rsidP="000B5F72">
      <w:pPr>
        <w:spacing w:after="120" w:line="276" w:lineRule="auto"/>
        <w:ind w:right="6"/>
        <w:jc w:val="both"/>
        <w:rPr>
          <w:rFonts w:ascii="Tahoma" w:hAnsi="Tahoma" w:cs="Tahoma"/>
          <w:bCs/>
          <w:sz w:val="24"/>
          <w:szCs w:val="24"/>
        </w:rPr>
      </w:pPr>
      <w:r w:rsidRPr="00650ED8">
        <w:rPr>
          <w:rFonts w:ascii="Tahoma" w:hAnsi="Tahoma" w:cs="Tahoma"/>
          <w:bCs/>
          <w:sz w:val="24"/>
          <w:szCs w:val="24"/>
        </w:rPr>
        <w:t>Cheltuielile</w:t>
      </w:r>
      <w:r w:rsidR="00BA3E99" w:rsidRPr="00650ED8">
        <w:rPr>
          <w:rFonts w:ascii="Tahoma" w:hAnsi="Tahoma" w:cs="Tahoma"/>
          <w:bCs/>
          <w:sz w:val="24"/>
          <w:szCs w:val="24"/>
        </w:rPr>
        <w:t xml:space="preserve"> bugetului general consolidat</w:t>
      </w:r>
      <w:r w:rsidRPr="00650ED8">
        <w:rPr>
          <w:rFonts w:ascii="Tahoma" w:hAnsi="Tahoma" w:cs="Tahoma"/>
          <w:bCs/>
          <w:sz w:val="24"/>
          <w:szCs w:val="24"/>
        </w:rPr>
        <w:t xml:space="preserve"> </w:t>
      </w:r>
      <w:r w:rsidR="00BA3E99" w:rsidRPr="00650ED8">
        <w:rPr>
          <w:rFonts w:ascii="Tahoma" w:hAnsi="Tahoma" w:cs="Tahoma"/>
          <w:bCs/>
          <w:sz w:val="24"/>
          <w:szCs w:val="24"/>
        </w:rPr>
        <w:t>e</w:t>
      </w:r>
      <w:r w:rsidRPr="00650ED8">
        <w:rPr>
          <w:rFonts w:ascii="Tahoma" w:hAnsi="Tahoma" w:cs="Tahoma"/>
          <w:bCs/>
          <w:sz w:val="24"/>
          <w:szCs w:val="24"/>
        </w:rPr>
        <w:t xml:space="preserve">fectuate în </w:t>
      </w:r>
      <w:r w:rsidR="00AB3FA4" w:rsidRPr="00650ED8">
        <w:rPr>
          <w:rFonts w:ascii="Tahoma" w:hAnsi="Tahoma" w:cs="Tahoma"/>
          <w:bCs/>
          <w:sz w:val="24"/>
          <w:szCs w:val="24"/>
        </w:rPr>
        <w:t xml:space="preserve">perioada analizată </w:t>
      </w:r>
      <w:r w:rsidRPr="00650ED8">
        <w:rPr>
          <w:rFonts w:ascii="Tahoma" w:hAnsi="Tahoma" w:cs="Tahoma"/>
          <w:bCs/>
          <w:sz w:val="24"/>
          <w:szCs w:val="24"/>
        </w:rPr>
        <w:t xml:space="preserve">s-au situat sub nivelul programat </w:t>
      </w:r>
      <w:r w:rsidR="00AB3FA4" w:rsidRPr="00650ED8">
        <w:rPr>
          <w:rFonts w:ascii="Tahoma" w:hAnsi="Tahoma" w:cs="Tahoma"/>
          <w:bCs/>
          <w:sz w:val="24"/>
          <w:szCs w:val="24"/>
        </w:rPr>
        <w:t xml:space="preserve">în special ca urmare a evoluției cheltuielilor cu proiectele finanțate </w:t>
      </w:r>
      <w:r w:rsidR="002C2AA8" w:rsidRPr="00650ED8">
        <w:rPr>
          <w:rFonts w:ascii="Tahoma" w:hAnsi="Tahoma" w:cs="Tahoma"/>
          <w:bCs/>
          <w:sz w:val="24"/>
          <w:szCs w:val="24"/>
        </w:rPr>
        <w:t>din cadrul financiar 2021-2027</w:t>
      </w:r>
      <w:r w:rsidR="00793AFE">
        <w:rPr>
          <w:rFonts w:ascii="Tahoma" w:hAnsi="Tahoma" w:cs="Tahoma"/>
          <w:bCs/>
          <w:sz w:val="24"/>
          <w:szCs w:val="24"/>
        </w:rPr>
        <w:t>,</w:t>
      </w:r>
      <w:r w:rsidR="002C2AA8" w:rsidRPr="00650ED8">
        <w:rPr>
          <w:rFonts w:ascii="Tahoma" w:hAnsi="Tahoma" w:cs="Tahoma"/>
          <w:bCs/>
          <w:sz w:val="24"/>
          <w:szCs w:val="24"/>
        </w:rPr>
        <w:t xml:space="preserve"> dar și a cheltuielilor cu bunuri și servicii. </w:t>
      </w:r>
    </w:p>
    <w:p w:rsidR="000B5F72" w:rsidRPr="00650ED8" w:rsidRDefault="00AD3613" w:rsidP="000B5F72">
      <w:pPr>
        <w:spacing w:after="120" w:line="276" w:lineRule="auto"/>
        <w:ind w:right="6"/>
        <w:jc w:val="both"/>
        <w:rPr>
          <w:rFonts w:ascii="Tahoma" w:hAnsi="Tahoma" w:cs="Tahoma"/>
          <w:bCs/>
          <w:sz w:val="24"/>
          <w:szCs w:val="24"/>
        </w:rPr>
      </w:pPr>
      <w:r w:rsidRPr="00650ED8">
        <w:rPr>
          <w:rFonts w:ascii="Tahoma" w:hAnsi="Tahoma" w:cs="Tahoma"/>
          <w:bCs/>
          <w:sz w:val="24"/>
          <w:szCs w:val="24"/>
        </w:rPr>
        <w:t>Cheltuielile pentru investiții în perioada analizată au fost superioare celor înregistrate în trimestru I</w:t>
      </w:r>
      <w:r w:rsidR="0031168D" w:rsidRPr="00650ED8">
        <w:rPr>
          <w:rFonts w:ascii="Tahoma" w:hAnsi="Tahoma" w:cs="Tahoma"/>
          <w:bCs/>
          <w:sz w:val="24"/>
          <w:szCs w:val="24"/>
        </w:rPr>
        <w:t>I</w:t>
      </w:r>
      <w:r w:rsidR="002C2AA8" w:rsidRPr="00650ED8">
        <w:rPr>
          <w:rFonts w:ascii="Tahoma" w:hAnsi="Tahoma" w:cs="Tahoma"/>
          <w:bCs/>
          <w:sz w:val="24"/>
          <w:szCs w:val="24"/>
        </w:rPr>
        <w:t>I</w:t>
      </w:r>
      <w:r w:rsidRPr="00650ED8">
        <w:rPr>
          <w:rFonts w:ascii="Tahoma" w:hAnsi="Tahoma" w:cs="Tahoma"/>
          <w:bCs/>
          <w:sz w:val="24"/>
          <w:szCs w:val="24"/>
        </w:rPr>
        <w:t xml:space="preserve"> 2023 înregistrând o creștere</w:t>
      </w:r>
      <w:r w:rsidR="00BD041B" w:rsidRPr="00650ED8">
        <w:rPr>
          <w:rFonts w:ascii="Tahoma" w:hAnsi="Tahoma" w:cs="Tahoma"/>
          <w:bCs/>
          <w:sz w:val="24"/>
          <w:szCs w:val="24"/>
        </w:rPr>
        <w:t>,</w:t>
      </w:r>
      <w:r w:rsidRPr="00650ED8">
        <w:rPr>
          <w:rFonts w:ascii="Tahoma" w:hAnsi="Tahoma" w:cs="Tahoma"/>
          <w:bCs/>
          <w:sz w:val="24"/>
          <w:szCs w:val="24"/>
        </w:rPr>
        <w:t xml:space="preserve"> în termeni nominali</w:t>
      </w:r>
      <w:r w:rsidR="00BD041B" w:rsidRPr="00650ED8">
        <w:rPr>
          <w:rFonts w:ascii="Tahoma" w:hAnsi="Tahoma" w:cs="Tahoma"/>
          <w:bCs/>
          <w:sz w:val="24"/>
          <w:szCs w:val="24"/>
        </w:rPr>
        <w:t>,</w:t>
      </w:r>
      <w:r w:rsidRPr="00650ED8">
        <w:rPr>
          <w:rFonts w:ascii="Tahoma" w:hAnsi="Tahoma" w:cs="Tahoma"/>
          <w:bCs/>
          <w:sz w:val="24"/>
          <w:szCs w:val="24"/>
        </w:rPr>
        <w:t xml:space="preserve"> cu </w:t>
      </w:r>
      <w:r w:rsidR="000B5F72" w:rsidRPr="00650ED8">
        <w:rPr>
          <w:rFonts w:ascii="Tahoma" w:hAnsi="Tahoma" w:cs="Tahoma"/>
          <w:bCs/>
          <w:sz w:val="24"/>
          <w:szCs w:val="24"/>
        </w:rPr>
        <w:t>28,66</w:t>
      </w:r>
      <w:r w:rsidRPr="00650ED8">
        <w:rPr>
          <w:rFonts w:ascii="Tahoma" w:hAnsi="Tahoma" w:cs="Tahoma"/>
          <w:bCs/>
          <w:sz w:val="24"/>
          <w:szCs w:val="24"/>
        </w:rPr>
        <w:t xml:space="preserve"> miliarde lei (+</w:t>
      </w:r>
      <w:r w:rsidR="000B5F72" w:rsidRPr="00650ED8">
        <w:rPr>
          <w:rFonts w:ascii="Tahoma" w:hAnsi="Tahoma" w:cs="Tahoma"/>
          <w:bCs/>
          <w:sz w:val="24"/>
          <w:szCs w:val="24"/>
        </w:rPr>
        <w:t>33,6</w:t>
      </w:r>
      <w:r w:rsidRPr="00650ED8">
        <w:rPr>
          <w:rFonts w:ascii="Tahoma" w:hAnsi="Tahoma" w:cs="Tahoma"/>
          <w:bCs/>
          <w:sz w:val="24"/>
          <w:szCs w:val="24"/>
        </w:rPr>
        <w:t xml:space="preserve">%). </w:t>
      </w:r>
    </w:p>
    <w:p w:rsidR="000B5F72" w:rsidRPr="00650ED8" w:rsidRDefault="0064606E" w:rsidP="000B5F72">
      <w:pPr>
        <w:spacing w:after="120" w:line="276" w:lineRule="auto"/>
        <w:ind w:right="6"/>
        <w:jc w:val="both"/>
        <w:rPr>
          <w:rFonts w:ascii="Tahoma" w:hAnsi="Tahoma" w:cs="Tahoma"/>
          <w:bCs/>
          <w:sz w:val="24"/>
          <w:szCs w:val="24"/>
        </w:rPr>
      </w:pPr>
      <w:r w:rsidRPr="00650ED8">
        <w:rPr>
          <w:rFonts w:ascii="Tahoma" w:hAnsi="Tahoma" w:cs="Tahoma"/>
          <w:bCs/>
          <w:sz w:val="24"/>
          <w:szCs w:val="24"/>
        </w:rPr>
        <w:t>Absorbția fondurilor externe nerambursabile, cât și a sumelor</w:t>
      </w:r>
      <w:r w:rsidR="00793AFE">
        <w:rPr>
          <w:rFonts w:ascii="Tahoma" w:hAnsi="Tahoma" w:cs="Tahoma"/>
          <w:bCs/>
          <w:sz w:val="24"/>
          <w:szCs w:val="24"/>
        </w:rPr>
        <w:t xml:space="preserve"> atrase din Planul Național de Redresare și R</w:t>
      </w:r>
      <w:r w:rsidRPr="00650ED8">
        <w:rPr>
          <w:rFonts w:ascii="Tahoma" w:hAnsi="Tahoma" w:cs="Tahoma"/>
          <w:bCs/>
          <w:sz w:val="24"/>
          <w:szCs w:val="24"/>
        </w:rPr>
        <w:t xml:space="preserve">eziliență </w:t>
      </w:r>
      <w:r w:rsidR="000B5F72" w:rsidRPr="00650ED8">
        <w:rPr>
          <w:rFonts w:ascii="Tahoma" w:hAnsi="Tahoma" w:cs="Tahoma"/>
          <w:bCs/>
          <w:sz w:val="24"/>
          <w:szCs w:val="24"/>
        </w:rPr>
        <w:t>în perioada analizată a fost îmbunătățită în comparativ cu trimestrele anterioare</w:t>
      </w:r>
      <w:r w:rsidR="00793AFE">
        <w:rPr>
          <w:rFonts w:ascii="Tahoma" w:hAnsi="Tahoma" w:cs="Tahoma"/>
          <w:bCs/>
          <w:sz w:val="24"/>
          <w:szCs w:val="24"/>
        </w:rPr>
        <w:t>,</w:t>
      </w:r>
      <w:bookmarkStart w:id="0" w:name="_GoBack"/>
      <w:bookmarkEnd w:id="0"/>
      <w:r w:rsidR="000B5F72" w:rsidRPr="00650ED8">
        <w:rPr>
          <w:rFonts w:ascii="Tahoma" w:hAnsi="Tahoma" w:cs="Tahoma"/>
          <w:bCs/>
          <w:sz w:val="24"/>
          <w:szCs w:val="24"/>
        </w:rPr>
        <w:t xml:space="preserve"> dar nu au atins nivelul programat în special în cazul sumelor aferente noului cadru financiar multianual 2021-2027.</w:t>
      </w:r>
    </w:p>
    <w:p w:rsidR="00AD3613" w:rsidRPr="00650ED8" w:rsidRDefault="000B5F72" w:rsidP="000B5F72">
      <w:pPr>
        <w:spacing w:after="120" w:line="276" w:lineRule="auto"/>
        <w:ind w:right="6"/>
        <w:jc w:val="both"/>
        <w:rPr>
          <w:rFonts w:ascii="Tahoma" w:hAnsi="Tahoma" w:cs="Tahoma"/>
          <w:bCs/>
          <w:sz w:val="24"/>
          <w:szCs w:val="24"/>
        </w:rPr>
      </w:pPr>
      <w:r w:rsidRPr="00650ED8">
        <w:rPr>
          <w:rFonts w:ascii="Tahoma" w:hAnsi="Tahoma" w:cs="Tahoma"/>
          <w:bCs/>
          <w:sz w:val="24"/>
          <w:szCs w:val="24"/>
        </w:rPr>
        <w:t xml:space="preserve">Ca urmare este necesar ca în perioada următoare </w:t>
      </w:r>
      <w:r w:rsidR="0064606E" w:rsidRPr="00650ED8">
        <w:rPr>
          <w:rFonts w:ascii="Tahoma" w:hAnsi="Tahoma" w:cs="Tahoma"/>
          <w:bCs/>
          <w:sz w:val="24"/>
          <w:szCs w:val="24"/>
        </w:rPr>
        <w:t>ordonatorii principali de credite să acorde o atenție deosebită și să întreprindă toate eforturile în vederea utilizării creditelor bugetare alocate cu această destinație</w:t>
      </w:r>
      <w:r w:rsidR="00BA3E99" w:rsidRPr="00650ED8">
        <w:rPr>
          <w:rFonts w:ascii="Tahoma" w:hAnsi="Tahoma" w:cs="Tahoma"/>
          <w:bCs/>
          <w:sz w:val="24"/>
          <w:szCs w:val="24"/>
        </w:rPr>
        <w:t xml:space="preserve">, să fie depuse eforturi de accelerare a implementării proiectelor astfel încât sumele atrase din fonduri externe nerambursabile cât și cele aferente proiectelor finanțate din PNRR în perioada următoare să recupereze din decalajul înregistrat </w:t>
      </w:r>
      <w:r w:rsidR="00BD041B" w:rsidRPr="00650ED8">
        <w:rPr>
          <w:rFonts w:ascii="Tahoma" w:hAnsi="Tahoma" w:cs="Tahoma"/>
          <w:bCs/>
          <w:sz w:val="24"/>
          <w:szCs w:val="24"/>
        </w:rPr>
        <w:t>în primele 9 luni ale anului curent</w:t>
      </w:r>
      <w:r w:rsidR="00AD3613" w:rsidRPr="00650ED8">
        <w:rPr>
          <w:rFonts w:ascii="Tahoma" w:hAnsi="Tahoma" w:cs="Tahoma"/>
          <w:bCs/>
          <w:sz w:val="24"/>
          <w:szCs w:val="24"/>
        </w:rPr>
        <w:t>.</w:t>
      </w:r>
      <w:r w:rsidR="006C08A3" w:rsidRPr="00650ED8">
        <w:rPr>
          <w:rFonts w:ascii="Tahoma" w:hAnsi="Tahoma" w:cs="Tahoma"/>
          <w:bCs/>
          <w:sz w:val="24"/>
          <w:szCs w:val="24"/>
        </w:rPr>
        <w:t xml:space="preserve"> </w:t>
      </w:r>
    </w:p>
    <w:p w:rsidR="00AD3613" w:rsidRPr="00650ED8" w:rsidRDefault="000B5F72" w:rsidP="000B5F72">
      <w:pPr>
        <w:spacing w:after="120" w:line="276" w:lineRule="auto"/>
        <w:ind w:right="6"/>
        <w:jc w:val="both"/>
        <w:rPr>
          <w:rFonts w:ascii="Tahoma" w:hAnsi="Tahoma" w:cs="Tahoma"/>
          <w:bCs/>
          <w:sz w:val="24"/>
          <w:szCs w:val="24"/>
        </w:rPr>
      </w:pPr>
      <w:r w:rsidRPr="00650ED8">
        <w:rPr>
          <w:rFonts w:ascii="Tahoma" w:hAnsi="Tahoma" w:cs="Tahoma"/>
          <w:bCs/>
          <w:sz w:val="24"/>
          <w:szCs w:val="24"/>
        </w:rPr>
        <w:t xml:space="preserve">Având în vedere evoluția </w:t>
      </w:r>
      <w:r w:rsidR="00C8368D" w:rsidRPr="00650ED8">
        <w:rPr>
          <w:rFonts w:ascii="Tahoma" w:hAnsi="Tahoma" w:cs="Tahoma"/>
          <w:bCs/>
          <w:sz w:val="24"/>
          <w:szCs w:val="24"/>
        </w:rPr>
        <w:t>soldului bugetar</w:t>
      </w:r>
      <w:r w:rsidRPr="00650ED8">
        <w:rPr>
          <w:rFonts w:ascii="Tahoma" w:hAnsi="Tahoma" w:cs="Tahoma"/>
          <w:bCs/>
          <w:sz w:val="24"/>
          <w:szCs w:val="24"/>
        </w:rPr>
        <w:t xml:space="preserve"> </w:t>
      </w:r>
      <w:r w:rsidR="004B73DA" w:rsidRPr="00650ED8">
        <w:rPr>
          <w:rFonts w:ascii="Tahoma" w:hAnsi="Tahoma" w:cs="Tahoma"/>
          <w:bCs/>
          <w:sz w:val="24"/>
          <w:szCs w:val="24"/>
        </w:rPr>
        <w:t xml:space="preserve">în primele 9 luni ale anului 2024 </w:t>
      </w:r>
      <w:r w:rsidR="00753D9F" w:rsidRPr="00650ED8">
        <w:rPr>
          <w:rFonts w:ascii="Tahoma" w:hAnsi="Tahoma" w:cs="Tahoma"/>
          <w:bCs/>
          <w:sz w:val="24"/>
          <w:szCs w:val="24"/>
        </w:rPr>
        <w:t xml:space="preserve">este necesar ca în perioada următoare să fie </w:t>
      </w:r>
      <w:r w:rsidR="0031168D" w:rsidRPr="00650ED8">
        <w:rPr>
          <w:rFonts w:ascii="Tahoma" w:hAnsi="Tahoma" w:cs="Tahoma"/>
          <w:bCs/>
          <w:sz w:val="24"/>
          <w:szCs w:val="24"/>
        </w:rPr>
        <w:t xml:space="preserve">intensificate </w:t>
      </w:r>
      <w:r w:rsidR="00AD3613" w:rsidRPr="00650ED8">
        <w:rPr>
          <w:rFonts w:ascii="Tahoma" w:hAnsi="Tahoma" w:cs="Tahoma"/>
          <w:bCs/>
          <w:sz w:val="24"/>
          <w:szCs w:val="24"/>
        </w:rPr>
        <w:t xml:space="preserve">eforturile de colectare </w:t>
      </w:r>
      <w:r w:rsidR="00753D9F" w:rsidRPr="00650ED8">
        <w:rPr>
          <w:rFonts w:ascii="Tahoma" w:hAnsi="Tahoma" w:cs="Tahoma"/>
          <w:bCs/>
          <w:sz w:val="24"/>
          <w:szCs w:val="24"/>
        </w:rPr>
        <w:t xml:space="preserve">astfel încât să fie </w:t>
      </w:r>
      <w:r w:rsidR="0031168D" w:rsidRPr="00650ED8">
        <w:rPr>
          <w:rFonts w:ascii="Tahoma" w:hAnsi="Tahoma" w:cs="Tahoma"/>
          <w:bCs/>
          <w:sz w:val="24"/>
          <w:szCs w:val="24"/>
        </w:rPr>
        <w:t xml:space="preserve">atins </w:t>
      </w:r>
      <w:r w:rsidR="00AD3613" w:rsidRPr="00650ED8">
        <w:rPr>
          <w:rFonts w:ascii="Tahoma" w:hAnsi="Tahoma" w:cs="Tahoma"/>
          <w:bCs/>
          <w:sz w:val="24"/>
          <w:szCs w:val="24"/>
        </w:rPr>
        <w:t xml:space="preserve">nivelul programat al veniturilor </w:t>
      </w:r>
      <w:r w:rsidR="0031168D" w:rsidRPr="00650ED8">
        <w:rPr>
          <w:rFonts w:ascii="Tahoma" w:hAnsi="Tahoma" w:cs="Tahoma"/>
          <w:bCs/>
          <w:sz w:val="24"/>
          <w:szCs w:val="24"/>
        </w:rPr>
        <w:t xml:space="preserve">pentru anul curent. </w:t>
      </w:r>
    </w:p>
    <w:p w:rsidR="00244D97" w:rsidRPr="00650ED8" w:rsidRDefault="00D0224D" w:rsidP="000B5F72">
      <w:pPr>
        <w:spacing w:after="120" w:line="276" w:lineRule="auto"/>
        <w:ind w:right="6"/>
        <w:jc w:val="both"/>
        <w:rPr>
          <w:rFonts w:ascii="Tahoma" w:hAnsi="Tahoma" w:cs="Tahoma"/>
          <w:sz w:val="24"/>
          <w:szCs w:val="24"/>
        </w:rPr>
      </w:pPr>
      <w:r w:rsidRPr="00650ED8">
        <w:rPr>
          <w:rFonts w:ascii="Tahoma" w:hAnsi="Tahoma" w:cs="Tahoma"/>
          <w:bCs/>
          <w:sz w:val="24"/>
          <w:szCs w:val="24"/>
        </w:rPr>
        <w:t>De asemenea, în cazul ordonatorilor principali de credite este necesară prudență în angajarea de noi cheltuieli și o mai mare rigurozitate în programarea cheltuielilor bugetare, precum și urgentarea de atragere a fondurilor externe nerambursabile atât pe cadrul de programare 2021-2027 cât și cele aferente PNRR.</w:t>
      </w:r>
    </w:p>
    <w:sectPr w:rsidR="00244D97" w:rsidRPr="00650ED8" w:rsidSect="005E607E">
      <w:headerReference w:type="even" r:id="rId14"/>
      <w:headerReference w:type="default" r:id="rId15"/>
      <w:footerReference w:type="even" r:id="rId16"/>
      <w:footerReference w:type="default" r:id="rId17"/>
      <w:headerReference w:type="first" r:id="rId18"/>
      <w:footerReference w:type="first" r:id="rId19"/>
      <w:pgSz w:w="12240" w:h="15840"/>
      <w:pgMar w:top="1166" w:right="1253" w:bottom="1440" w:left="1166"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331" w:rsidRDefault="00FE7331" w:rsidP="006704C5">
      <w:pPr>
        <w:spacing w:after="0" w:line="240" w:lineRule="auto"/>
      </w:pPr>
      <w:r>
        <w:separator/>
      </w:r>
    </w:p>
  </w:endnote>
  <w:endnote w:type="continuationSeparator" w:id="0">
    <w:p w:rsidR="00FE7331" w:rsidRDefault="00FE7331" w:rsidP="0067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97" w:rsidRDefault="005637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515"/>
      <w:gridCol w:w="1306"/>
    </w:tblGrid>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jc w:val="center"/>
      </w:trPr>
      <w:sdt>
        <w:sdtPr>
          <w:rPr>
            <w:rFonts w:ascii="Tahoma" w:hAnsi="Tahoma" w:cs="Tahoma"/>
            <w:caps/>
            <w:color w:val="808080" w:themeColor="background1" w:themeShade="80"/>
            <w:sz w:val="18"/>
            <w:szCs w:val="18"/>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8505" w:type="dxa"/>
              <w:shd w:val="clear" w:color="auto" w:fill="auto"/>
              <w:vAlign w:val="center"/>
            </w:tcPr>
            <w:p w:rsidR="0090217B" w:rsidRPr="00CA4A92" w:rsidRDefault="0090217B" w:rsidP="00563797">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 xml:space="preserve">RAPORT PRIVIND EXECUȚIA BUGETARĂ PE </w:t>
              </w:r>
              <w:r w:rsidR="00312CD3">
                <w:rPr>
                  <w:rFonts w:ascii="Tahoma" w:hAnsi="Tahoma" w:cs="Tahoma"/>
                  <w:caps/>
                  <w:color w:val="808080" w:themeColor="background1" w:themeShade="80"/>
                  <w:sz w:val="18"/>
                  <w:szCs w:val="18"/>
                </w:rPr>
                <w:t xml:space="preserve">al </w:t>
              </w:r>
              <w:r w:rsidR="00563797">
                <w:rPr>
                  <w:rFonts w:ascii="Tahoma" w:hAnsi="Tahoma" w:cs="Tahoma"/>
                  <w:caps/>
                  <w:color w:val="808080" w:themeColor="background1" w:themeShade="80"/>
                  <w:sz w:val="18"/>
                  <w:szCs w:val="18"/>
                </w:rPr>
                <w:t>TRE</w:t>
              </w:r>
              <w:r w:rsidR="00312CD3">
                <w:rPr>
                  <w:rFonts w:ascii="Tahoma" w:hAnsi="Tahoma" w:cs="Tahoma"/>
                  <w:caps/>
                  <w:color w:val="808080" w:themeColor="background1" w:themeShade="80"/>
                  <w:sz w:val="18"/>
                  <w:szCs w:val="18"/>
                </w:rPr>
                <w:t>ilea</w:t>
              </w:r>
              <w:r>
                <w:rPr>
                  <w:rFonts w:ascii="Tahoma" w:hAnsi="Tahoma" w:cs="Tahoma"/>
                  <w:caps/>
                  <w:color w:val="808080" w:themeColor="background1" w:themeShade="80"/>
                  <w:sz w:val="18"/>
                  <w:szCs w:val="18"/>
                </w:rPr>
                <w:t xml:space="preserve"> TRIMESTRU AL ANULUI 202</w:t>
              </w:r>
              <w:r w:rsidR="00A40E4A">
                <w:rPr>
                  <w:rFonts w:ascii="Tahoma" w:hAnsi="Tahoma" w:cs="Tahoma"/>
                  <w:caps/>
                  <w:color w:val="808080" w:themeColor="background1" w:themeShade="80"/>
                  <w:sz w:val="18"/>
                  <w:szCs w:val="18"/>
                </w:rPr>
                <w:t>4</w:t>
              </w:r>
            </w:p>
          </w:tc>
        </w:sdtContent>
      </w:sdt>
      <w:tc>
        <w:tcPr>
          <w:tcW w:w="1305" w:type="dxa"/>
          <w:shd w:val="clear" w:color="auto" w:fill="auto"/>
          <w:vAlign w:val="center"/>
        </w:tcPr>
        <w:p w:rsidR="0090217B" w:rsidRPr="00CA4A92" w:rsidRDefault="00885473"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793AFE">
            <w:rPr>
              <w:rFonts w:ascii="Tahoma" w:hAnsi="Tahoma" w:cs="Tahoma"/>
              <w:caps/>
              <w:noProof/>
              <w:color w:val="808080" w:themeColor="background1" w:themeShade="80"/>
              <w:sz w:val="18"/>
              <w:szCs w:val="18"/>
            </w:rPr>
            <w:t>9</w:t>
          </w:r>
          <w:r w:rsidRPr="00CA4A92">
            <w:rPr>
              <w:rFonts w:ascii="Tahoma" w:hAnsi="Tahoma" w:cs="Tahoma"/>
              <w:caps/>
              <w:noProof/>
              <w:color w:val="808080" w:themeColor="background1" w:themeShade="80"/>
              <w:sz w:val="18"/>
              <w:szCs w:val="18"/>
            </w:rPr>
            <w:fldChar w:fldCharType="end"/>
          </w:r>
        </w:p>
      </w:tc>
    </w:tr>
  </w:tbl>
  <w:p w:rsidR="0090217B" w:rsidRDefault="0090217B" w:rsidP="002E613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97" w:rsidRDefault="005637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331" w:rsidRDefault="00FE7331" w:rsidP="006704C5">
      <w:pPr>
        <w:spacing w:after="0" w:line="240" w:lineRule="auto"/>
      </w:pPr>
      <w:r>
        <w:separator/>
      </w:r>
    </w:p>
  </w:footnote>
  <w:footnote w:type="continuationSeparator" w:id="0">
    <w:p w:rsidR="00FE7331" w:rsidRDefault="00FE7331" w:rsidP="006704C5">
      <w:pPr>
        <w:spacing w:after="0" w:line="240" w:lineRule="auto"/>
      </w:pPr>
      <w:r>
        <w:continuationSeparator/>
      </w:r>
    </w:p>
  </w:footnote>
  <w:footnote w:id="1">
    <w:p w:rsidR="00E9065F" w:rsidRDefault="00E9065F" w:rsidP="00C86369">
      <w:pPr>
        <w:autoSpaceDE w:val="0"/>
        <w:autoSpaceDN w:val="0"/>
        <w:adjustRightInd w:val="0"/>
        <w:spacing w:after="0"/>
        <w:rPr>
          <w:rFonts w:eastAsia="Calibri" w:cstheme="minorHAnsi"/>
          <w:sz w:val="20"/>
          <w:szCs w:val="20"/>
        </w:rPr>
      </w:pPr>
      <w:r>
        <w:rPr>
          <w:rStyle w:val="FootnoteReference"/>
        </w:rPr>
        <w:footnoteRef/>
      </w:r>
      <w:r>
        <w:t xml:space="preserve"> </w:t>
      </w:r>
      <w:r>
        <w:rPr>
          <w:rFonts w:eastAsia="Calibri" w:cstheme="minorHAnsi"/>
          <w:sz w:val="20"/>
          <w:szCs w:val="20"/>
        </w:rPr>
        <w:t>Legea nr. 322/2021 pentru completarea Legii nr. 227/2015 privind Codul fiscal</w:t>
      </w:r>
    </w:p>
  </w:footnote>
  <w:footnote w:id="2">
    <w:p w:rsidR="00E9065F" w:rsidRPr="00776D3B" w:rsidRDefault="00E9065F" w:rsidP="00C86369">
      <w:pPr>
        <w:pStyle w:val="FootnoteText"/>
      </w:pPr>
      <w:r>
        <w:rPr>
          <w:rStyle w:val="FootnoteReference"/>
        </w:rPr>
        <w:footnoteRef/>
      </w:r>
      <w:r>
        <w:t xml:space="preserve"> </w:t>
      </w:r>
      <w:r w:rsidRPr="00031049">
        <w:rPr>
          <w:rFonts w:cstheme="minorHAnsi"/>
        </w:rPr>
        <w:t>Iunie 2024-august2024/iunie 2023-august 2023</w:t>
      </w:r>
    </w:p>
  </w:footnote>
  <w:footnote w:id="3">
    <w:p w:rsidR="00E9065F" w:rsidRPr="00031049" w:rsidRDefault="00E9065F" w:rsidP="00C86369">
      <w:pPr>
        <w:autoSpaceDE w:val="0"/>
        <w:autoSpaceDN w:val="0"/>
        <w:adjustRightInd w:val="0"/>
        <w:spacing w:after="0"/>
        <w:rPr>
          <w:rFonts w:eastAsia="Calibri" w:cstheme="minorHAnsi"/>
          <w:sz w:val="20"/>
          <w:szCs w:val="20"/>
        </w:rPr>
      </w:pPr>
      <w:r w:rsidRPr="00E53188">
        <w:rPr>
          <w:rStyle w:val="FootnoteReference"/>
          <w:rFonts w:eastAsia="Calibri" w:cstheme="minorHAnsi"/>
          <w:sz w:val="20"/>
          <w:szCs w:val="20"/>
        </w:rPr>
        <w:footnoteRef/>
      </w:r>
      <w:r w:rsidRPr="000E040D">
        <w:rPr>
          <w:rFonts w:cstheme="minorHAnsi"/>
        </w:rPr>
        <w:t xml:space="preserve"> </w:t>
      </w:r>
      <w:r w:rsidRPr="00B00FA0">
        <w:rPr>
          <w:rFonts w:eastAsia="Calibri" w:cstheme="minorHAnsi"/>
          <w:sz w:val="20"/>
          <w:szCs w:val="20"/>
        </w:rPr>
        <w:t>O.U.G. nr. 93/2023</w:t>
      </w:r>
      <w:r w:rsidRPr="00031049">
        <w:rPr>
          <w:rFonts w:eastAsia="Calibri" w:cstheme="minorHAnsi"/>
          <w:sz w:val="20"/>
          <w:szCs w:val="20"/>
        </w:rPr>
        <w:t xml:space="preserve"> </w:t>
      </w:r>
      <w:r w:rsidRPr="00B00FA0">
        <w:rPr>
          <w:rFonts w:eastAsia="Calibri" w:cstheme="minorHAnsi"/>
          <w:sz w:val="20"/>
          <w:szCs w:val="20"/>
        </w:rPr>
        <w:t xml:space="preserve">pentru stabilirea salariului de bază minim brut pe </w:t>
      </w:r>
      <w:proofErr w:type="spellStart"/>
      <w:r w:rsidRPr="00B00FA0">
        <w:rPr>
          <w:rFonts w:eastAsia="Calibri" w:cstheme="minorHAnsi"/>
          <w:sz w:val="20"/>
          <w:szCs w:val="20"/>
        </w:rPr>
        <w:t>ţară</w:t>
      </w:r>
      <w:proofErr w:type="spellEnd"/>
      <w:r w:rsidRPr="00B00FA0">
        <w:rPr>
          <w:rFonts w:eastAsia="Calibri" w:cstheme="minorHAnsi"/>
          <w:sz w:val="20"/>
          <w:szCs w:val="20"/>
        </w:rPr>
        <w:t xml:space="preserve"> garantat în plată pentru sectoarele </w:t>
      </w:r>
      <w:proofErr w:type="spellStart"/>
      <w:r w:rsidRPr="00B00FA0">
        <w:rPr>
          <w:rFonts w:eastAsia="Calibri" w:cstheme="minorHAnsi"/>
          <w:sz w:val="20"/>
          <w:szCs w:val="20"/>
        </w:rPr>
        <w:t>construcţii</w:t>
      </w:r>
      <w:proofErr w:type="spellEnd"/>
      <w:r w:rsidRPr="00B00FA0">
        <w:rPr>
          <w:rFonts w:eastAsia="Calibri" w:cstheme="minorHAnsi"/>
          <w:sz w:val="20"/>
          <w:szCs w:val="20"/>
        </w:rPr>
        <w:t xml:space="preserve">, agricol </w:t>
      </w:r>
      <w:proofErr w:type="spellStart"/>
      <w:r w:rsidRPr="00B00FA0">
        <w:rPr>
          <w:rFonts w:eastAsia="Calibri" w:cstheme="minorHAnsi"/>
          <w:sz w:val="20"/>
          <w:szCs w:val="20"/>
        </w:rPr>
        <w:t>şi</w:t>
      </w:r>
      <w:proofErr w:type="spellEnd"/>
      <w:r w:rsidRPr="00B00FA0">
        <w:rPr>
          <w:rFonts w:eastAsia="Calibri" w:cstheme="minorHAnsi"/>
          <w:sz w:val="20"/>
          <w:szCs w:val="20"/>
        </w:rPr>
        <w:t xml:space="preserve"> industria alimentară</w:t>
      </w:r>
    </w:p>
  </w:footnote>
  <w:footnote w:id="4">
    <w:p w:rsidR="00E9065F" w:rsidRPr="00B00FA0" w:rsidRDefault="00E9065F" w:rsidP="00C86369">
      <w:pPr>
        <w:pStyle w:val="FootnoteText"/>
        <w:rPr>
          <w:rFonts w:cstheme="minorHAnsi"/>
        </w:rPr>
      </w:pPr>
      <w:r w:rsidRPr="007C5977">
        <w:rPr>
          <w:rStyle w:val="FootnoteReference"/>
        </w:rPr>
        <w:footnoteRef/>
      </w:r>
      <w:r w:rsidRPr="000E040D">
        <w:rPr>
          <w:rFonts w:cstheme="minorHAnsi"/>
        </w:rPr>
        <w:t xml:space="preserve"> </w:t>
      </w:r>
      <w:r w:rsidRPr="0012758E">
        <w:rPr>
          <w:rFonts w:cstheme="minorHAnsi"/>
        </w:rPr>
        <w:t>Legea nr. 296</w:t>
      </w:r>
      <w:r w:rsidRPr="00B00FA0">
        <w:rPr>
          <w:rFonts w:cstheme="minorHAnsi"/>
        </w:rPr>
        <w:t xml:space="preserve"> </w:t>
      </w:r>
      <w:r w:rsidRPr="0012758E">
        <w:rPr>
          <w:rFonts w:cstheme="minorHAnsi"/>
        </w:rPr>
        <w:t xml:space="preserve">privind unele măsuri fiscal-bugetare pentru asigurarea </w:t>
      </w:r>
      <w:proofErr w:type="spellStart"/>
      <w:r w:rsidRPr="0012758E">
        <w:rPr>
          <w:rFonts w:cstheme="minorHAnsi"/>
        </w:rPr>
        <w:t>sustenabilităţii</w:t>
      </w:r>
      <w:proofErr w:type="spellEnd"/>
      <w:r w:rsidRPr="0012758E">
        <w:rPr>
          <w:rFonts w:cstheme="minorHAnsi"/>
        </w:rPr>
        <w:t xml:space="preserve"> financiare a României pe termen lung</w:t>
      </w:r>
    </w:p>
  </w:footnote>
  <w:footnote w:id="5">
    <w:p w:rsidR="00E9065F" w:rsidRPr="00031049" w:rsidRDefault="00E9065F" w:rsidP="00C86369">
      <w:pPr>
        <w:pStyle w:val="FootnoteText"/>
        <w:rPr>
          <w:rFonts w:cstheme="minorHAnsi"/>
        </w:rPr>
      </w:pPr>
      <w:r w:rsidRPr="00D66EA7">
        <w:rPr>
          <w:rStyle w:val="FootnoteReference"/>
          <w:sz w:val="18"/>
          <w:szCs w:val="18"/>
        </w:rPr>
        <w:footnoteRef/>
      </w:r>
      <w:r w:rsidRPr="00D66EA7">
        <w:rPr>
          <w:sz w:val="18"/>
          <w:szCs w:val="18"/>
        </w:rPr>
        <w:t xml:space="preserve"> </w:t>
      </w:r>
      <w:r w:rsidRPr="00031049">
        <w:rPr>
          <w:rFonts w:cstheme="minorHAnsi"/>
        </w:rPr>
        <w:t xml:space="preserve">Hotărârea nr. 900/2023 din 28 septembrie 2023 pentru stabilirea salariului de bază minim brut pe </w:t>
      </w:r>
      <w:proofErr w:type="spellStart"/>
      <w:r w:rsidRPr="00031049">
        <w:rPr>
          <w:rFonts w:cstheme="minorHAnsi"/>
        </w:rPr>
        <w:t>ţară</w:t>
      </w:r>
      <w:proofErr w:type="spellEnd"/>
      <w:r w:rsidRPr="00031049">
        <w:rPr>
          <w:rFonts w:cstheme="minorHAnsi"/>
        </w:rPr>
        <w:t xml:space="preserve"> garantat în plată</w:t>
      </w:r>
    </w:p>
  </w:footnote>
  <w:footnote w:id="6">
    <w:p w:rsidR="00E9065F" w:rsidRPr="00387C67" w:rsidRDefault="00E9065F" w:rsidP="00C86369">
      <w:pPr>
        <w:autoSpaceDE w:val="0"/>
        <w:autoSpaceDN w:val="0"/>
        <w:adjustRightInd w:val="0"/>
        <w:spacing w:after="0"/>
        <w:jc w:val="both"/>
      </w:pPr>
      <w:r w:rsidRPr="00E53188">
        <w:rPr>
          <w:rStyle w:val="FootnoteReference"/>
          <w:rFonts w:ascii="Times New Roman" w:eastAsia="Calibri" w:hAnsi="Times New Roman" w:cs="Times New Roman"/>
          <w:sz w:val="20"/>
          <w:szCs w:val="20"/>
          <w:lang w:val="en-GB"/>
        </w:rPr>
        <w:footnoteRef/>
      </w:r>
      <w:r w:rsidRPr="000E040D">
        <w:rPr>
          <w:rFonts w:cstheme="minorHAnsi"/>
        </w:rPr>
        <w:t xml:space="preserve"> </w:t>
      </w:r>
      <w:r>
        <w:rPr>
          <w:rFonts w:eastAsia="Calibri" w:cstheme="minorHAnsi"/>
          <w:sz w:val="20"/>
          <w:szCs w:val="20"/>
        </w:rPr>
        <w:t>Hotărârea n</w:t>
      </w:r>
      <w:r w:rsidRPr="00387C67">
        <w:rPr>
          <w:rFonts w:eastAsia="Calibri" w:cstheme="minorHAnsi"/>
          <w:sz w:val="20"/>
          <w:szCs w:val="20"/>
        </w:rPr>
        <w:t xml:space="preserve">r. </w:t>
      </w:r>
      <w:r>
        <w:rPr>
          <w:rFonts w:eastAsia="Calibri" w:cstheme="minorHAnsi"/>
          <w:sz w:val="20"/>
          <w:szCs w:val="20"/>
        </w:rPr>
        <w:t>598</w:t>
      </w:r>
      <w:r w:rsidRPr="00387C67">
        <w:rPr>
          <w:rFonts w:eastAsia="Calibri" w:cstheme="minorHAnsi"/>
          <w:sz w:val="20"/>
          <w:szCs w:val="20"/>
        </w:rPr>
        <w:t>/202</w:t>
      </w:r>
      <w:r>
        <w:rPr>
          <w:rFonts w:eastAsia="Calibri" w:cstheme="minorHAnsi"/>
          <w:sz w:val="20"/>
          <w:szCs w:val="20"/>
        </w:rPr>
        <w:t>4</w:t>
      </w:r>
      <w:r w:rsidRPr="00387C67">
        <w:rPr>
          <w:rFonts w:eastAsia="Calibri" w:cstheme="minorHAnsi"/>
          <w:sz w:val="20"/>
          <w:szCs w:val="20"/>
        </w:rPr>
        <w:t xml:space="preserve"> din </w:t>
      </w:r>
      <w:r>
        <w:rPr>
          <w:rFonts w:eastAsia="Calibri" w:cstheme="minorHAnsi"/>
          <w:sz w:val="20"/>
          <w:szCs w:val="20"/>
        </w:rPr>
        <w:t>6 iunie</w:t>
      </w:r>
      <w:r w:rsidRPr="00387C67">
        <w:rPr>
          <w:rFonts w:eastAsia="Calibri" w:cstheme="minorHAnsi"/>
          <w:sz w:val="20"/>
          <w:szCs w:val="20"/>
        </w:rPr>
        <w:t xml:space="preserve"> 202</w:t>
      </w:r>
      <w:r>
        <w:rPr>
          <w:rFonts w:eastAsia="Calibri" w:cstheme="minorHAnsi"/>
          <w:sz w:val="20"/>
          <w:szCs w:val="20"/>
        </w:rPr>
        <w:t xml:space="preserve">4 </w:t>
      </w:r>
      <w:r w:rsidRPr="00387C67">
        <w:rPr>
          <w:rFonts w:eastAsia="Calibri" w:cstheme="minorHAnsi"/>
          <w:sz w:val="20"/>
          <w:szCs w:val="20"/>
        </w:rPr>
        <w:t xml:space="preserve">pentru stabilirea salariului de bază minim brut pe </w:t>
      </w:r>
      <w:proofErr w:type="spellStart"/>
      <w:r w:rsidRPr="00387C67">
        <w:rPr>
          <w:rFonts w:eastAsia="Calibri" w:cstheme="minorHAnsi"/>
          <w:sz w:val="20"/>
          <w:szCs w:val="20"/>
        </w:rPr>
        <w:t>ţară</w:t>
      </w:r>
      <w:proofErr w:type="spellEnd"/>
      <w:r w:rsidRPr="00387C67">
        <w:rPr>
          <w:rFonts w:eastAsia="Calibri" w:cstheme="minorHAnsi"/>
          <w:sz w:val="20"/>
          <w:szCs w:val="20"/>
        </w:rPr>
        <w:t xml:space="preserve"> garantat în plată</w:t>
      </w:r>
    </w:p>
  </w:footnote>
  <w:footnote w:id="7">
    <w:p w:rsidR="00E9065F" w:rsidRPr="00E9242F" w:rsidRDefault="00E9065F" w:rsidP="00C86369">
      <w:pPr>
        <w:pStyle w:val="FootnoteText"/>
        <w:jc w:val="both"/>
        <w:rPr>
          <w:rFonts w:cstheme="minorHAnsi"/>
        </w:rPr>
      </w:pPr>
      <w:r w:rsidRPr="005472A5">
        <w:rPr>
          <w:rStyle w:val="FootnoteReference"/>
          <w:rFonts w:cstheme="minorHAnsi"/>
        </w:rPr>
        <w:footnoteRef/>
      </w:r>
      <w:r w:rsidRPr="005472A5">
        <w:rPr>
          <w:rFonts w:cstheme="minorHAnsi"/>
        </w:rPr>
        <w:t xml:space="preserve"> majorarea valorii punctului de pensie de la 1.785 lei</w:t>
      </w:r>
      <w:r>
        <w:rPr>
          <w:rFonts w:cstheme="minorHAnsi"/>
        </w:rPr>
        <w:t xml:space="preserve"> la 2.032 lei</w:t>
      </w:r>
      <w:r w:rsidRPr="005472A5">
        <w:rPr>
          <w:rFonts w:cstheme="minorHAnsi"/>
        </w:rPr>
        <w:t>, începând cu data de 1 ianuarie 202</w:t>
      </w:r>
      <w:r>
        <w:rPr>
          <w:rFonts w:cstheme="minorHAnsi"/>
        </w:rPr>
        <w:t>4</w:t>
      </w:r>
      <w:r w:rsidRPr="005472A5">
        <w:rPr>
          <w:rFonts w:cstheme="minorHAnsi"/>
        </w:rPr>
        <w:t xml:space="preserve">, conform </w:t>
      </w:r>
      <w:r>
        <w:rPr>
          <w:rFonts w:cstheme="minorHAnsi"/>
        </w:rPr>
        <w:t>Legii</w:t>
      </w:r>
      <w:r w:rsidRPr="00E9242F">
        <w:rPr>
          <w:rFonts w:cstheme="minorHAnsi"/>
        </w:rPr>
        <w:t xml:space="preserve"> nr. </w:t>
      </w:r>
      <w:r>
        <w:rPr>
          <w:rFonts w:cstheme="minorHAnsi"/>
        </w:rPr>
        <w:t>360</w:t>
      </w:r>
      <w:r w:rsidRPr="00E9242F">
        <w:rPr>
          <w:rFonts w:cstheme="minorHAnsi"/>
        </w:rPr>
        <w:t>/202</w:t>
      </w:r>
      <w:r>
        <w:rPr>
          <w:rFonts w:cstheme="minorHAnsi"/>
        </w:rPr>
        <w:t>3</w:t>
      </w:r>
      <w:r w:rsidRPr="00E9242F">
        <w:rPr>
          <w:rFonts w:cstheme="minorHAnsi"/>
        </w:rPr>
        <w:t xml:space="preserve"> </w:t>
      </w:r>
      <w:r w:rsidRPr="006D0EEE">
        <w:rPr>
          <w:rFonts w:cstheme="minorHAnsi"/>
        </w:rPr>
        <w:t xml:space="preserve">privind </w:t>
      </w:r>
      <w:r>
        <w:rPr>
          <w:rFonts w:cstheme="minorHAnsi"/>
        </w:rPr>
        <w:t>sistemul public de pensii</w:t>
      </w:r>
    </w:p>
  </w:footnote>
  <w:footnote w:id="8">
    <w:p w:rsidR="00C86369" w:rsidRPr="005D3DCD" w:rsidRDefault="00C86369" w:rsidP="00C86369">
      <w:pPr>
        <w:pStyle w:val="FootnoteText"/>
        <w:jc w:val="both"/>
        <w:rPr>
          <w:rFonts w:cstheme="minorHAnsi"/>
        </w:rPr>
      </w:pPr>
      <w:r w:rsidRPr="009B13E2">
        <w:rPr>
          <w:rStyle w:val="FootnoteReference"/>
          <w:rFonts w:cstheme="minorHAnsi"/>
        </w:rPr>
        <w:footnoteRef/>
      </w:r>
      <w:r w:rsidRPr="009B13E2">
        <w:rPr>
          <w:rStyle w:val="FootnoteReference"/>
          <w:rFonts w:cstheme="minorHAnsi"/>
        </w:rPr>
        <w:t xml:space="preserve"> </w:t>
      </w:r>
      <w:r w:rsidRPr="005D3DCD">
        <w:rPr>
          <w:rFonts w:cstheme="minorHAnsi"/>
        </w:rPr>
        <w:t>exclusiv restituiri și majorări de întârziere</w:t>
      </w:r>
    </w:p>
  </w:footnote>
  <w:footnote w:id="9">
    <w:p w:rsidR="00C86369" w:rsidRPr="005D3DCD" w:rsidRDefault="00C86369" w:rsidP="00C86369">
      <w:pPr>
        <w:pStyle w:val="FootnoteText"/>
        <w:jc w:val="both"/>
        <w:rPr>
          <w:rFonts w:cstheme="minorHAnsi"/>
        </w:rPr>
      </w:pPr>
      <w:r w:rsidRPr="009B13E2">
        <w:rPr>
          <w:rStyle w:val="FootnoteReference"/>
          <w:rFonts w:cstheme="minorHAnsi"/>
        </w:rPr>
        <w:footnoteRef/>
      </w:r>
      <w:r w:rsidRPr="009B13E2">
        <w:rPr>
          <w:rFonts w:cstheme="minorHAnsi"/>
        </w:rPr>
        <w:t xml:space="preserve"> </w:t>
      </w:r>
      <w:r w:rsidRPr="005D3DCD">
        <w:rPr>
          <w:rFonts w:cstheme="minorHAnsi"/>
        </w:rPr>
        <w:t xml:space="preserve">TVA din operațiuni interne au crescut cu </w:t>
      </w:r>
      <w:r>
        <w:rPr>
          <w:rFonts w:cstheme="minorHAnsi"/>
        </w:rPr>
        <w:t>11,1</w:t>
      </w:r>
      <w:r w:rsidRPr="005D3DCD">
        <w:rPr>
          <w:rFonts w:cstheme="minorHAnsi"/>
        </w:rPr>
        <w:t xml:space="preserve">%, iar TVA din importurile de bunuri au </w:t>
      </w:r>
      <w:r>
        <w:rPr>
          <w:rFonts w:cstheme="minorHAnsi"/>
        </w:rPr>
        <w:t>crescut</w:t>
      </w:r>
      <w:r w:rsidRPr="005D3DCD">
        <w:rPr>
          <w:rFonts w:cstheme="minorHAnsi"/>
        </w:rPr>
        <w:t xml:space="preserve"> cu </w:t>
      </w:r>
      <w:r>
        <w:rPr>
          <w:rFonts w:cstheme="minorHAnsi"/>
        </w:rPr>
        <w:t>15,5</w:t>
      </w:r>
      <w:r w:rsidRPr="005D3DCD">
        <w:rPr>
          <w:rFonts w:cstheme="minorHAnsi"/>
        </w:rPr>
        <w:t>%</w:t>
      </w:r>
    </w:p>
  </w:footnote>
  <w:footnote w:id="10">
    <w:p w:rsidR="00C86369" w:rsidRPr="00966FDB" w:rsidRDefault="00C86369" w:rsidP="00C86369">
      <w:pPr>
        <w:pStyle w:val="FootnoteText"/>
        <w:jc w:val="both"/>
        <w:rPr>
          <w:lang w:val="es-ES"/>
        </w:rPr>
      </w:pPr>
      <w:r>
        <w:rPr>
          <w:rStyle w:val="FootnoteReference"/>
        </w:rPr>
        <w:footnoteRef/>
      </w:r>
      <w:r>
        <w:t xml:space="preserve"> </w:t>
      </w:r>
      <w:r w:rsidRPr="00935B9F">
        <w:rPr>
          <w:rFonts w:cstheme="minorHAnsi"/>
        </w:rPr>
        <w:t>n</w:t>
      </w:r>
      <w:r w:rsidRPr="003B4564">
        <w:rPr>
          <w:rFonts w:cstheme="minorHAnsi"/>
        </w:rPr>
        <w:t xml:space="preserve">ivel accize la benzină fără plumb de </w:t>
      </w:r>
      <w:r>
        <w:rPr>
          <w:rFonts w:cstheme="minorHAnsi"/>
        </w:rPr>
        <w:t>la 2305,64</w:t>
      </w:r>
      <w:r w:rsidRPr="003B4564">
        <w:rPr>
          <w:rFonts w:cstheme="minorHAnsi"/>
        </w:rPr>
        <w:t xml:space="preserve"> lei/</w:t>
      </w:r>
      <w:r w:rsidRPr="00776A39">
        <w:rPr>
          <w:rFonts w:cstheme="minorHAnsi"/>
        </w:rPr>
        <w:t xml:space="preserve"> </w:t>
      </w:r>
      <w:r w:rsidRPr="003B4564">
        <w:rPr>
          <w:rFonts w:cstheme="minorHAnsi"/>
        </w:rPr>
        <w:t>ton</w:t>
      </w:r>
      <w:r>
        <w:rPr>
          <w:rFonts w:cstheme="minorHAnsi"/>
        </w:rPr>
        <w:t>ă</w:t>
      </w:r>
      <w:r w:rsidRPr="003B4564">
        <w:rPr>
          <w:rFonts w:cstheme="minorHAnsi"/>
        </w:rPr>
        <w:t xml:space="preserve"> </w:t>
      </w:r>
      <w:r>
        <w:rPr>
          <w:rFonts w:cstheme="minorHAnsi"/>
        </w:rPr>
        <w:t xml:space="preserve">valabil la 01.07.2023, la 3094,62 </w:t>
      </w:r>
      <w:r w:rsidRPr="003B4564">
        <w:rPr>
          <w:rFonts w:cstheme="minorHAnsi"/>
        </w:rPr>
        <w:t>lei/</w:t>
      </w:r>
      <w:r w:rsidRPr="00776A39">
        <w:rPr>
          <w:rFonts w:cstheme="minorHAnsi"/>
        </w:rPr>
        <w:t xml:space="preserve"> </w:t>
      </w:r>
      <w:r w:rsidRPr="003B4564">
        <w:rPr>
          <w:rFonts w:cstheme="minorHAnsi"/>
        </w:rPr>
        <w:t>ton</w:t>
      </w:r>
      <w:r>
        <w:rPr>
          <w:rFonts w:cstheme="minorHAnsi"/>
        </w:rPr>
        <w:t>ă cu 01.07.2024,</w:t>
      </w:r>
      <w:r w:rsidRPr="004E54CB">
        <w:rPr>
          <w:rFonts w:cstheme="minorHAnsi"/>
        </w:rPr>
        <w:t xml:space="preserve"> </w:t>
      </w:r>
      <w:r w:rsidRPr="00935B9F">
        <w:rPr>
          <w:rFonts w:cstheme="minorHAnsi"/>
        </w:rPr>
        <w:t>n</w:t>
      </w:r>
      <w:r>
        <w:rPr>
          <w:rFonts w:cstheme="minorHAnsi"/>
        </w:rPr>
        <w:t>ivel accize la benzină cu</w:t>
      </w:r>
      <w:r w:rsidRPr="003B4564">
        <w:rPr>
          <w:rFonts w:cstheme="minorHAnsi"/>
        </w:rPr>
        <w:t xml:space="preserve"> plumb de </w:t>
      </w:r>
      <w:r>
        <w:rPr>
          <w:rFonts w:cstheme="minorHAnsi"/>
        </w:rPr>
        <w:t>la 2703,83</w:t>
      </w:r>
      <w:r w:rsidRPr="003B4564">
        <w:rPr>
          <w:rFonts w:cstheme="minorHAnsi"/>
        </w:rPr>
        <w:t xml:space="preserve"> lei/</w:t>
      </w:r>
      <w:r w:rsidRPr="00776A39">
        <w:rPr>
          <w:rFonts w:cstheme="minorHAnsi"/>
        </w:rPr>
        <w:t xml:space="preserve"> </w:t>
      </w:r>
      <w:r w:rsidRPr="003B4564">
        <w:rPr>
          <w:rFonts w:cstheme="minorHAnsi"/>
        </w:rPr>
        <w:t>ton</w:t>
      </w:r>
      <w:r>
        <w:rPr>
          <w:rFonts w:cstheme="minorHAnsi"/>
        </w:rPr>
        <w:t>ă</w:t>
      </w:r>
      <w:r w:rsidRPr="003B4564">
        <w:rPr>
          <w:rFonts w:cstheme="minorHAnsi"/>
        </w:rPr>
        <w:t xml:space="preserve"> </w:t>
      </w:r>
      <w:r>
        <w:rPr>
          <w:rFonts w:cstheme="minorHAnsi"/>
        </w:rPr>
        <w:t xml:space="preserve">valabil la 01.07.2023, la 3639,90 </w:t>
      </w:r>
      <w:r w:rsidRPr="003B4564">
        <w:rPr>
          <w:rFonts w:cstheme="minorHAnsi"/>
        </w:rPr>
        <w:t>lei/</w:t>
      </w:r>
      <w:r w:rsidRPr="00776A39">
        <w:rPr>
          <w:rFonts w:cstheme="minorHAnsi"/>
        </w:rPr>
        <w:t xml:space="preserve"> </w:t>
      </w:r>
      <w:r w:rsidRPr="003B4564">
        <w:rPr>
          <w:rFonts w:cstheme="minorHAnsi"/>
        </w:rPr>
        <w:t>ton</w:t>
      </w:r>
      <w:r>
        <w:rPr>
          <w:rFonts w:cstheme="minorHAnsi"/>
        </w:rPr>
        <w:t>ă cu 01.07.2024</w:t>
      </w:r>
    </w:p>
  </w:footnote>
  <w:footnote w:id="11">
    <w:p w:rsidR="00C86369" w:rsidRPr="00966FDB" w:rsidRDefault="00C86369" w:rsidP="00C86369">
      <w:pPr>
        <w:pStyle w:val="FootnoteText"/>
        <w:rPr>
          <w:lang w:val="es-ES"/>
        </w:rPr>
      </w:pPr>
      <w:r>
        <w:rPr>
          <w:rStyle w:val="FootnoteReference"/>
        </w:rPr>
        <w:footnoteRef/>
      </w:r>
      <w:r>
        <w:t xml:space="preserve"> </w:t>
      </w:r>
      <w:r>
        <w:rPr>
          <w:rFonts w:cstheme="minorHAnsi"/>
        </w:rPr>
        <w:t xml:space="preserve">nivel accize la motorină de la 1931,61 </w:t>
      </w:r>
      <w:r w:rsidRPr="003B4564">
        <w:rPr>
          <w:rFonts w:cstheme="minorHAnsi"/>
        </w:rPr>
        <w:t xml:space="preserve"> lei/ton</w:t>
      </w:r>
      <w:r>
        <w:rPr>
          <w:rFonts w:cstheme="minorHAnsi"/>
        </w:rPr>
        <w:t>ă</w:t>
      </w:r>
      <w:r w:rsidRPr="003B4564">
        <w:rPr>
          <w:rFonts w:cstheme="minorHAnsi"/>
        </w:rPr>
        <w:t xml:space="preserve"> </w:t>
      </w:r>
      <w:r>
        <w:rPr>
          <w:rFonts w:cstheme="minorHAnsi"/>
        </w:rPr>
        <w:t xml:space="preserve">valabil la 01.07.2023, la 2584,49 </w:t>
      </w:r>
      <w:r w:rsidRPr="003B4564">
        <w:rPr>
          <w:rFonts w:cstheme="minorHAnsi"/>
        </w:rPr>
        <w:t>lei/</w:t>
      </w:r>
      <w:r w:rsidRPr="00776A39">
        <w:rPr>
          <w:rFonts w:cstheme="minorHAnsi"/>
        </w:rPr>
        <w:t xml:space="preserve"> </w:t>
      </w:r>
      <w:r w:rsidRPr="003B4564">
        <w:rPr>
          <w:rFonts w:cstheme="minorHAnsi"/>
        </w:rPr>
        <w:t>ton</w:t>
      </w:r>
      <w:r>
        <w:rPr>
          <w:rFonts w:cstheme="minorHAnsi"/>
        </w:rPr>
        <w:t>ă cu 01.07.2024</w:t>
      </w:r>
    </w:p>
  </w:footnote>
  <w:footnote w:id="12">
    <w:p w:rsidR="00C86369" w:rsidRPr="00966FDB" w:rsidRDefault="00C86369" w:rsidP="00C86369">
      <w:pPr>
        <w:pStyle w:val="FootnoteText"/>
        <w:jc w:val="both"/>
        <w:rPr>
          <w:lang w:val="es-ES"/>
        </w:rPr>
      </w:pPr>
      <w:r>
        <w:rPr>
          <w:rStyle w:val="FootnoteReference"/>
        </w:rPr>
        <w:footnoteRef/>
      </w:r>
      <w:r>
        <w:t xml:space="preserve"> </w:t>
      </w:r>
      <w:r>
        <w:rPr>
          <w:rFonts w:cstheme="minorHAnsi"/>
        </w:rPr>
        <w:t>nivel accize la țigarete de la 625,97 lei/1000 țigarete valabil la 01.07.2023 la 672,92 lei/1000 țigarete valabil la 01.07.2024</w:t>
      </w:r>
    </w:p>
  </w:footnote>
  <w:footnote w:id="13">
    <w:p w:rsidR="00B802A4" w:rsidRPr="005D3DCD" w:rsidRDefault="00B802A4" w:rsidP="003323E2">
      <w:pPr>
        <w:pStyle w:val="FootnoteText"/>
        <w:jc w:val="both"/>
        <w:rPr>
          <w:rFonts w:cstheme="minorHAnsi"/>
        </w:rPr>
      </w:pPr>
      <w:r w:rsidRPr="001D006E">
        <w:rPr>
          <w:rStyle w:val="FootnoteReference"/>
        </w:rPr>
        <w:footnoteRef/>
      </w:r>
      <w:r w:rsidRPr="00497BD8">
        <w:rPr>
          <w:rFonts w:cstheme="minorHAnsi"/>
        </w:rPr>
        <w:t xml:space="preserve"> </w:t>
      </w:r>
      <w:r w:rsidR="009666CD">
        <w:rPr>
          <w:rFonts w:cstheme="minorHAnsi"/>
        </w:rPr>
        <w:t xml:space="preserve">Date INS </w:t>
      </w:r>
      <w:r w:rsidR="00F76F85" w:rsidRPr="005D3DCD">
        <w:rPr>
          <w:rFonts w:cstheme="minorHAnsi"/>
        </w:rPr>
        <w:t>Comerț internațional cu bunuri (calcule interne)</w:t>
      </w:r>
      <w:r w:rsidR="009666CD">
        <w:rPr>
          <w:rFonts w:cstheme="minorHAnsi"/>
        </w:rPr>
        <w:t xml:space="preserve"> perioada </w:t>
      </w:r>
      <w:r w:rsidR="00803278">
        <w:rPr>
          <w:rFonts w:cstheme="minorHAnsi"/>
        </w:rPr>
        <w:t>iulie august</w:t>
      </w:r>
      <w:r w:rsidR="009666CD">
        <w:rPr>
          <w:rFonts w:cstheme="minorHAnsi"/>
        </w:rPr>
        <w:t xml:space="preserve"> 2024/ </w:t>
      </w:r>
      <w:r w:rsidR="00803278">
        <w:rPr>
          <w:rFonts w:cstheme="minorHAnsi"/>
        </w:rPr>
        <w:t>iulie august</w:t>
      </w:r>
      <w:r w:rsidR="009666CD">
        <w:rPr>
          <w:rFonts w:cstheme="minorHAnsi"/>
        </w:rPr>
        <w:t xml:space="preserve"> 2023</w:t>
      </w:r>
      <w:r w:rsidRPr="005D3DCD">
        <w:rPr>
          <w:rFonts w:cstheme="minorHAnsi"/>
        </w:rPr>
        <w:t xml:space="preserve"> - </w:t>
      </w:r>
    </w:p>
  </w:footnote>
  <w:footnote w:id="14">
    <w:p w:rsidR="00290D1A" w:rsidRDefault="00290D1A" w:rsidP="00290D1A">
      <w:pPr>
        <w:pStyle w:val="FootnoteText"/>
        <w:rPr>
          <w:rFonts w:cstheme="minorHAnsi"/>
        </w:rPr>
      </w:pPr>
      <w:r w:rsidRPr="00BB2FDA">
        <w:rPr>
          <w:rStyle w:val="FootnoteReference"/>
          <w:rFonts w:cstheme="minorHAnsi"/>
          <w:sz w:val="18"/>
          <w:szCs w:val="18"/>
        </w:rPr>
        <w:footnoteRef/>
      </w:r>
      <w:r w:rsidRPr="00BB2FDA">
        <w:rPr>
          <w:rStyle w:val="FootnoteReference"/>
          <w:sz w:val="18"/>
          <w:szCs w:val="18"/>
        </w:rPr>
        <w:t xml:space="preserve"> </w:t>
      </w:r>
      <w:r w:rsidRPr="00031049">
        <w:rPr>
          <w:rFonts w:cstheme="minorHAnsi"/>
        </w:rPr>
        <w:t>Iunie 2024-august2024/iunie 2023-august 2023</w:t>
      </w:r>
    </w:p>
    <w:p w:rsidR="00290D1A" w:rsidRPr="003D7FB2" w:rsidRDefault="00290D1A" w:rsidP="00290D1A">
      <w:pPr>
        <w:pStyle w:val="FootnoteText"/>
        <w:rPr>
          <w:rFonts w:cstheme="minorHAns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97" w:rsidRDefault="005637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97" w:rsidRDefault="0056379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97" w:rsidRDefault="005637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3" w15:restartNumberingAfterBreak="0">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15:restartNumberingAfterBreak="0">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8" w15:restartNumberingAfterBreak="0">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6A173B6C"/>
    <w:multiLevelType w:val="hybridMultilevel"/>
    <w:tmpl w:val="4D8C4404"/>
    <w:lvl w:ilvl="0" w:tplc="04180001">
      <w:start w:val="1"/>
      <w:numFmt w:val="bullet"/>
      <w:lvlText w:val=""/>
      <w:lvlJc w:val="left"/>
      <w:pPr>
        <w:ind w:left="720" w:hanging="360"/>
      </w:pPr>
      <w:rPr>
        <w:rFonts w:ascii="Symbol" w:hAnsi="Symbol" w:hint="default"/>
      </w:rPr>
    </w:lvl>
    <w:lvl w:ilvl="1" w:tplc="ADBC729A">
      <w:start w:val="1"/>
      <w:numFmt w:val="bullet"/>
      <w:lvlText w:val=""/>
      <w:lvlJc w:val="left"/>
      <w:pPr>
        <w:ind w:left="1440" w:hanging="360"/>
      </w:pPr>
      <w:rPr>
        <w:rFonts w:ascii="Symbol" w:hAnsi="Symbo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6" w15:restartNumberingAfterBreak="0">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6"/>
  </w:num>
  <w:num w:numId="5">
    <w:abstractNumId w:val="11"/>
  </w:num>
  <w:num w:numId="6">
    <w:abstractNumId w:val="2"/>
  </w:num>
  <w:num w:numId="7">
    <w:abstractNumId w:val="10"/>
  </w:num>
  <w:num w:numId="8">
    <w:abstractNumId w:val="13"/>
  </w:num>
  <w:num w:numId="9">
    <w:abstractNumId w:val="15"/>
  </w:num>
  <w:num w:numId="10">
    <w:abstractNumId w:val="7"/>
  </w:num>
  <w:num w:numId="11">
    <w:abstractNumId w:val="4"/>
  </w:num>
  <w:num w:numId="12">
    <w:abstractNumId w:val="5"/>
  </w:num>
  <w:num w:numId="13">
    <w:abstractNumId w:val="0"/>
  </w:num>
  <w:num w:numId="14">
    <w:abstractNumId w:val="1"/>
  </w:num>
  <w:num w:numId="15">
    <w:abstractNumId w:val="16"/>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001E8C"/>
    <w:rsid w:val="00005729"/>
    <w:rsid w:val="00005DE0"/>
    <w:rsid w:val="00006CCB"/>
    <w:rsid w:val="00011138"/>
    <w:rsid w:val="00012C3B"/>
    <w:rsid w:val="000141BF"/>
    <w:rsid w:val="00016F63"/>
    <w:rsid w:val="00017361"/>
    <w:rsid w:val="00020D5F"/>
    <w:rsid w:val="00021A38"/>
    <w:rsid w:val="00021BE4"/>
    <w:rsid w:val="0002471B"/>
    <w:rsid w:val="00024773"/>
    <w:rsid w:val="000248D3"/>
    <w:rsid w:val="00024AD2"/>
    <w:rsid w:val="0002609C"/>
    <w:rsid w:val="00026DEC"/>
    <w:rsid w:val="00030BC0"/>
    <w:rsid w:val="00032A05"/>
    <w:rsid w:val="00035CE6"/>
    <w:rsid w:val="00041D0D"/>
    <w:rsid w:val="000434BF"/>
    <w:rsid w:val="00052351"/>
    <w:rsid w:val="000557D4"/>
    <w:rsid w:val="00056BE3"/>
    <w:rsid w:val="000573AD"/>
    <w:rsid w:val="0005779D"/>
    <w:rsid w:val="00061787"/>
    <w:rsid w:val="00062A56"/>
    <w:rsid w:val="00066FE7"/>
    <w:rsid w:val="000722B5"/>
    <w:rsid w:val="000812A0"/>
    <w:rsid w:val="0008264F"/>
    <w:rsid w:val="00083B75"/>
    <w:rsid w:val="000842A5"/>
    <w:rsid w:val="0008642C"/>
    <w:rsid w:val="00086871"/>
    <w:rsid w:val="00090FD5"/>
    <w:rsid w:val="000913C6"/>
    <w:rsid w:val="000916B5"/>
    <w:rsid w:val="000923D7"/>
    <w:rsid w:val="000942F8"/>
    <w:rsid w:val="000951A2"/>
    <w:rsid w:val="00095242"/>
    <w:rsid w:val="000A2574"/>
    <w:rsid w:val="000A25FA"/>
    <w:rsid w:val="000A386A"/>
    <w:rsid w:val="000A3B0F"/>
    <w:rsid w:val="000A4203"/>
    <w:rsid w:val="000A48D8"/>
    <w:rsid w:val="000A62E1"/>
    <w:rsid w:val="000A680C"/>
    <w:rsid w:val="000A7436"/>
    <w:rsid w:val="000B44D2"/>
    <w:rsid w:val="000B579B"/>
    <w:rsid w:val="000B5F72"/>
    <w:rsid w:val="000C30DF"/>
    <w:rsid w:val="000C5478"/>
    <w:rsid w:val="000C7AF8"/>
    <w:rsid w:val="000D0F65"/>
    <w:rsid w:val="000D1820"/>
    <w:rsid w:val="000D293A"/>
    <w:rsid w:val="000D2B64"/>
    <w:rsid w:val="000D317D"/>
    <w:rsid w:val="000D5417"/>
    <w:rsid w:val="000D5A57"/>
    <w:rsid w:val="000D653B"/>
    <w:rsid w:val="000D6F9B"/>
    <w:rsid w:val="000D7561"/>
    <w:rsid w:val="000E0D58"/>
    <w:rsid w:val="000E2365"/>
    <w:rsid w:val="000F0A63"/>
    <w:rsid w:val="000F10A9"/>
    <w:rsid w:val="000F1E3F"/>
    <w:rsid w:val="000F48B4"/>
    <w:rsid w:val="000F62DB"/>
    <w:rsid w:val="001005D0"/>
    <w:rsid w:val="00102D79"/>
    <w:rsid w:val="00107875"/>
    <w:rsid w:val="00111330"/>
    <w:rsid w:val="00116D7D"/>
    <w:rsid w:val="001176FC"/>
    <w:rsid w:val="00121595"/>
    <w:rsid w:val="00122DF5"/>
    <w:rsid w:val="001236DE"/>
    <w:rsid w:val="00124758"/>
    <w:rsid w:val="00125818"/>
    <w:rsid w:val="00141717"/>
    <w:rsid w:val="00142FC5"/>
    <w:rsid w:val="00145872"/>
    <w:rsid w:val="001506F4"/>
    <w:rsid w:val="00153418"/>
    <w:rsid w:val="001535C1"/>
    <w:rsid w:val="001546A2"/>
    <w:rsid w:val="00155AFB"/>
    <w:rsid w:val="00156388"/>
    <w:rsid w:val="00163874"/>
    <w:rsid w:val="00164710"/>
    <w:rsid w:val="001648BC"/>
    <w:rsid w:val="00170657"/>
    <w:rsid w:val="001707DC"/>
    <w:rsid w:val="00175AD6"/>
    <w:rsid w:val="0017667A"/>
    <w:rsid w:val="00176C2F"/>
    <w:rsid w:val="00177F2F"/>
    <w:rsid w:val="0018055E"/>
    <w:rsid w:val="00180AC2"/>
    <w:rsid w:val="00181707"/>
    <w:rsid w:val="00182B0D"/>
    <w:rsid w:val="00184295"/>
    <w:rsid w:val="00186A0B"/>
    <w:rsid w:val="00187781"/>
    <w:rsid w:val="001915F6"/>
    <w:rsid w:val="00191CC0"/>
    <w:rsid w:val="00197545"/>
    <w:rsid w:val="001A2254"/>
    <w:rsid w:val="001A66AF"/>
    <w:rsid w:val="001B1117"/>
    <w:rsid w:val="001B13BC"/>
    <w:rsid w:val="001B1E6F"/>
    <w:rsid w:val="001B20A6"/>
    <w:rsid w:val="001B435B"/>
    <w:rsid w:val="001B60DA"/>
    <w:rsid w:val="001B70D2"/>
    <w:rsid w:val="001B7D89"/>
    <w:rsid w:val="001C52B3"/>
    <w:rsid w:val="001C5D69"/>
    <w:rsid w:val="001C6E10"/>
    <w:rsid w:val="001D03AF"/>
    <w:rsid w:val="001D06A7"/>
    <w:rsid w:val="001D29DC"/>
    <w:rsid w:val="001D44C7"/>
    <w:rsid w:val="001D65FC"/>
    <w:rsid w:val="001D6927"/>
    <w:rsid w:val="001E19BB"/>
    <w:rsid w:val="001E4EAE"/>
    <w:rsid w:val="001E6762"/>
    <w:rsid w:val="001F1E8A"/>
    <w:rsid w:val="001F36DD"/>
    <w:rsid w:val="00202269"/>
    <w:rsid w:val="00206989"/>
    <w:rsid w:val="00207E04"/>
    <w:rsid w:val="00210FCE"/>
    <w:rsid w:val="00212F98"/>
    <w:rsid w:val="00214764"/>
    <w:rsid w:val="00217F5C"/>
    <w:rsid w:val="002200B1"/>
    <w:rsid w:val="00220A5A"/>
    <w:rsid w:val="00222906"/>
    <w:rsid w:val="00223065"/>
    <w:rsid w:val="002244DA"/>
    <w:rsid w:val="00225656"/>
    <w:rsid w:val="00225829"/>
    <w:rsid w:val="0022634D"/>
    <w:rsid w:val="00231361"/>
    <w:rsid w:val="00231AE5"/>
    <w:rsid w:val="00232E16"/>
    <w:rsid w:val="00233AC4"/>
    <w:rsid w:val="0023449A"/>
    <w:rsid w:val="00235ACA"/>
    <w:rsid w:val="00237850"/>
    <w:rsid w:val="00240604"/>
    <w:rsid w:val="00241CAA"/>
    <w:rsid w:val="00244ACB"/>
    <w:rsid w:val="00244D97"/>
    <w:rsid w:val="0025301D"/>
    <w:rsid w:val="00253FAE"/>
    <w:rsid w:val="002554DF"/>
    <w:rsid w:val="00256949"/>
    <w:rsid w:val="00264789"/>
    <w:rsid w:val="0026505E"/>
    <w:rsid w:val="00267D26"/>
    <w:rsid w:val="00272B9B"/>
    <w:rsid w:val="00273697"/>
    <w:rsid w:val="00274B69"/>
    <w:rsid w:val="00274F7D"/>
    <w:rsid w:val="00290A07"/>
    <w:rsid w:val="00290D1A"/>
    <w:rsid w:val="002914A1"/>
    <w:rsid w:val="002915B1"/>
    <w:rsid w:val="0029776C"/>
    <w:rsid w:val="002A7F1B"/>
    <w:rsid w:val="002B01DC"/>
    <w:rsid w:val="002B0928"/>
    <w:rsid w:val="002B0F64"/>
    <w:rsid w:val="002B3CC9"/>
    <w:rsid w:val="002B58E0"/>
    <w:rsid w:val="002B64BB"/>
    <w:rsid w:val="002C1755"/>
    <w:rsid w:val="002C17E1"/>
    <w:rsid w:val="002C2AA8"/>
    <w:rsid w:val="002C3474"/>
    <w:rsid w:val="002C3B7D"/>
    <w:rsid w:val="002C50FD"/>
    <w:rsid w:val="002C7C10"/>
    <w:rsid w:val="002C7EFF"/>
    <w:rsid w:val="002D0BFF"/>
    <w:rsid w:val="002D0E08"/>
    <w:rsid w:val="002D2A9F"/>
    <w:rsid w:val="002D304B"/>
    <w:rsid w:val="002D4811"/>
    <w:rsid w:val="002E36A6"/>
    <w:rsid w:val="002E3F27"/>
    <w:rsid w:val="002E4DC6"/>
    <w:rsid w:val="002E5330"/>
    <w:rsid w:val="002E593E"/>
    <w:rsid w:val="002E613A"/>
    <w:rsid w:val="002E7628"/>
    <w:rsid w:val="002E7E35"/>
    <w:rsid w:val="002F2CFC"/>
    <w:rsid w:val="002F44EA"/>
    <w:rsid w:val="002F4790"/>
    <w:rsid w:val="00302BA3"/>
    <w:rsid w:val="00311431"/>
    <w:rsid w:val="0031168D"/>
    <w:rsid w:val="00312CD3"/>
    <w:rsid w:val="00313230"/>
    <w:rsid w:val="00313CA3"/>
    <w:rsid w:val="00315666"/>
    <w:rsid w:val="00322A56"/>
    <w:rsid w:val="003308B1"/>
    <w:rsid w:val="003323E2"/>
    <w:rsid w:val="00332916"/>
    <w:rsid w:val="0033447D"/>
    <w:rsid w:val="00334D05"/>
    <w:rsid w:val="00335354"/>
    <w:rsid w:val="0033573F"/>
    <w:rsid w:val="00344677"/>
    <w:rsid w:val="00346296"/>
    <w:rsid w:val="0034724E"/>
    <w:rsid w:val="003477B4"/>
    <w:rsid w:val="00353276"/>
    <w:rsid w:val="00353ACF"/>
    <w:rsid w:val="003565E1"/>
    <w:rsid w:val="00356F6A"/>
    <w:rsid w:val="00360906"/>
    <w:rsid w:val="00362EA3"/>
    <w:rsid w:val="00363C11"/>
    <w:rsid w:val="00364970"/>
    <w:rsid w:val="003700C3"/>
    <w:rsid w:val="0037130B"/>
    <w:rsid w:val="00373FDE"/>
    <w:rsid w:val="00374899"/>
    <w:rsid w:val="00374F46"/>
    <w:rsid w:val="00376542"/>
    <w:rsid w:val="003773F4"/>
    <w:rsid w:val="003774BA"/>
    <w:rsid w:val="003836BC"/>
    <w:rsid w:val="00391CC2"/>
    <w:rsid w:val="00392457"/>
    <w:rsid w:val="00392E3D"/>
    <w:rsid w:val="0039710E"/>
    <w:rsid w:val="003A18B2"/>
    <w:rsid w:val="003A4F72"/>
    <w:rsid w:val="003A6D4C"/>
    <w:rsid w:val="003B1016"/>
    <w:rsid w:val="003B44A7"/>
    <w:rsid w:val="003C25D1"/>
    <w:rsid w:val="003C28B1"/>
    <w:rsid w:val="003C3948"/>
    <w:rsid w:val="003C4703"/>
    <w:rsid w:val="003C663D"/>
    <w:rsid w:val="003C6E28"/>
    <w:rsid w:val="003C7FE7"/>
    <w:rsid w:val="003D2A0E"/>
    <w:rsid w:val="003D66A9"/>
    <w:rsid w:val="003E621C"/>
    <w:rsid w:val="003F0AE0"/>
    <w:rsid w:val="003F0E7F"/>
    <w:rsid w:val="003F37F1"/>
    <w:rsid w:val="003F4337"/>
    <w:rsid w:val="003F4E84"/>
    <w:rsid w:val="003F6F02"/>
    <w:rsid w:val="00400409"/>
    <w:rsid w:val="00402F29"/>
    <w:rsid w:val="004071E1"/>
    <w:rsid w:val="00407EFE"/>
    <w:rsid w:val="00410E69"/>
    <w:rsid w:val="00411D71"/>
    <w:rsid w:val="00414D79"/>
    <w:rsid w:val="00415B7E"/>
    <w:rsid w:val="00421F0A"/>
    <w:rsid w:val="00423CAE"/>
    <w:rsid w:val="004246D1"/>
    <w:rsid w:val="004260FF"/>
    <w:rsid w:val="00426972"/>
    <w:rsid w:val="0043013B"/>
    <w:rsid w:val="004320A1"/>
    <w:rsid w:val="00432FF1"/>
    <w:rsid w:val="00434C24"/>
    <w:rsid w:val="00434C82"/>
    <w:rsid w:val="00452843"/>
    <w:rsid w:val="00452ACC"/>
    <w:rsid w:val="004546CE"/>
    <w:rsid w:val="0045592C"/>
    <w:rsid w:val="0045688B"/>
    <w:rsid w:val="00476FCC"/>
    <w:rsid w:val="00482979"/>
    <w:rsid w:val="0048352B"/>
    <w:rsid w:val="004840C3"/>
    <w:rsid w:val="00484DB4"/>
    <w:rsid w:val="0048518E"/>
    <w:rsid w:val="00487677"/>
    <w:rsid w:val="004901E4"/>
    <w:rsid w:val="00490EF6"/>
    <w:rsid w:val="004943F0"/>
    <w:rsid w:val="004A1E84"/>
    <w:rsid w:val="004A31C5"/>
    <w:rsid w:val="004B17F8"/>
    <w:rsid w:val="004B3151"/>
    <w:rsid w:val="004B5B8A"/>
    <w:rsid w:val="004B73DA"/>
    <w:rsid w:val="004B7A33"/>
    <w:rsid w:val="004C373B"/>
    <w:rsid w:val="004C3A0E"/>
    <w:rsid w:val="004C5DB9"/>
    <w:rsid w:val="004C6D1D"/>
    <w:rsid w:val="004D1156"/>
    <w:rsid w:val="004D29BD"/>
    <w:rsid w:val="004D41CA"/>
    <w:rsid w:val="004D5422"/>
    <w:rsid w:val="004D5984"/>
    <w:rsid w:val="004D6936"/>
    <w:rsid w:val="004E0E38"/>
    <w:rsid w:val="004E0EDE"/>
    <w:rsid w:val="004E0F07"/>
    <w:rsid w:val="004E126B"/>
    <w:rsid w:val="004E13C1"/>
    <w:rsid w:val="004E25FC"/>
    <w:rsid w:val="004E2A7B"/>
    <w:rsid w:val="004E3BAE"/>
    <w:rsid w:val="004E4143"/>
    <w:rsid w:val="004E65F1"/>
    <w:rsid w:val="004F2959"/>
    <w:rsid w:val="004F33F6"/>
    <w:rsid w:val="004F35DA"/>
    <w:rsid w:val="004F42DC"/>
    <w:rsid w:val="004F7E86"/>
    <w:rsid w:val="00501118"/>
    <w:rsid w:val="00502722"/>
    <w:rsid w:val="00502B73"/>
    <w:rsid w:val="00503360"/>
    <w:rsid w:val="00503F46"/>
    <w:rsid w:val="0050613A"/>
    <w:rsid w:val="00506D31"/>
    <w:rsid w:val="00506ECF"/>
    <w:rsid w:val="005072F2"/>
    <w:rsid w:val="00511104"/>
    <w:rsid w:val="005233AC"/>
    <w:rsid w:val="00526E8B"/>
    <w:rsid w:val="00527A5F"/>
    <w:rsid w:val="005316E8"/>
    <w:rsid w:val="00536E8D"/>
    <w:rsid w:val="00541D4E"/>
    <w:rsid w:val="005458DC"/>
    <w:rsid w:val="00547F5F"/>
    <w:rsid w:val="005623F6"/>
    <w:rsid w:val="00563797"/>
    <w:rsid w:val="00564AF7"/>
    <w:rsid w:val="00565196"/>
    <w:rsid w:val="005656AD"/>
    <w:rsid w:val="00565CBB"/>
    <w:rsid w:val="00567D77"/>
    <w:rsid w:val="005704E0"/>
    <w:rsid w:val="00571D08"/>
    <w:rsid w:val="00573703"/>
    <w:rsid w:val="00573953"/>
    <w:rsid w:val="00581AF2"/>
    <w:rsid w:val="005842BD"/>
    <w:rsid w:val="0058551F"/>
    <w:rsid w:val="00586FB9"/>
    <w:rsid w:val="005879EE"/>
    <w:rsid w:val="005922C0"/>
    <w:rsid w:val="005927B9"/>
    <w:rsid w:val="005952D5"/>
    <w:rsid w:val="00595DE7"/>
    <w:rsid w:val="005964AB"/>
    <w:rsid w:val="005A2C17"/>
    <w:rsid w:val="005A37CF"/>
    <w:rsid w:val="005A4448"/>
    <w:rsid w:val="005B36B4"/>
    <w:rsid w:val="005B6514"/>
    <w:rsid w:val="005C04F8"/>
    <w:rsid w:val="005C1DD0"/>
    <w:rsid w:val="005C32C7"/>
    <w:rsid w:val="005D07BD"/>
    <w:rsid w:val="005D3714"/>
    <w:rsid w:val="005D3A4C"/>
    <w:rsid w:val="005D6935"/>
    <w:rsid w:val="005D6D51"/>
    <w:rsid w:val="005E58C4"/>
    <w:rsid w:val="005E5AB8"/>
    <w:rsid w:val="005E607E"/>
    <w:rsid w:val="005F1823"/>
    <w:rsid w:val="005F3004"/>
    <w:rsid w:val="005F4DF1"/>
    <w:rsid w:val="00601884"/>
    <w:rsid w:val="00602503"/>
    <w:rsid w:val="0060525E"/>
    <w:rsid w:val="0060609A"/>
    <w:rsid w:val="006165B6"/>
    <w:rsid w:val="00620465"/>
    <w:rsid w:val="00620B19"/>
    <w:rsid w:val="00622AC2"/>
    <w:rsid w:val="00622B86"/>
    <w:rsid w:val="00622EAC"/>
    <w:rsid w:val="00623A5E"/>
    <w:rsid w:val="00625493"/>
    <w:rsid w:val="006254C8"/>
    <w:rsid w:val="006306E1"/>
    <w:rsid w:val="006326E1"/>
    <w:rsid w:val="00633E45"/>
    <w:rsid w:val="0063551B"/>
    <w:rsid w:val="0063711C"/>
    <w:rsid w:val="00640FBB"/>
    <w:rsid w:val="006414CC"/>
    <w:rsid w:val="00642F16"/>
    <w:rsid w:val="00643323"/>
    <w:rsid w:val="0064606E"/>
    <w:rsid w:val="006477A6"/>
    <w:rsid w:val="00647AE3"/>
    <w:rsid w:val="00650ED8"/>
    <w:rsid w:val="006523E6"/>
    <w:rsid w:val="00660150"/>
    <w:rsid w:val="00660290"/>
    <w:rsid w:val="00660554"/>
    <w:rsid w:val="00661A38"/>
    <w:rsid w:val="00661C32"/>
    <w:rsid w:val="00662448"/>
    <w:rsid w:val="00666D81"/>
    <w:rsid w:val="00667C1C"/>
    <w:rsid w:val="006704C5"/>
    <w:rsid w:val="00671CB8"/>
    <w:rsid w:val="00672393"/>
    <w:rsid w:val="006730CA"/>
    <w:rsid w:val="006737B0"/>
    <w:rsid w:val="006741FB"/>
    <w:rsid w:val="00675166"/>
    <w:rsid w:val="00675E23"/>
    <w:rsid w:val="006815B0"/>
    <w:rsid w:val="00682712"/>
    <w:rsid w:val="00682DEE"/>
    <w:rsid w:val="006913E2"/>
    <w:rsid w:val="0069273C"/>
    <w:rsid w:val="00692AF8"/>
    <w:rsid w:val="00692B95"/>
    <w:rsid w:val="00692CE7"/>
    <w:rsid w:val="00694A9A"/>
    <w:rsid w:val="00695E9B"/>
    <w:rsid w:val="00696A35"/>
    <w:rsid w:val="00696BE5"/>
    <w:rsid w:val="006A012D"/>
    <w:rsid w:val="006A0560"/>
    <w:rsid w:val="006A20D2"/>
    <w:rsid w:val="006A2C26"/>
    <w:rsid w:val="006A2FAF"/>
    <w:rsid w:val="006A3329"/>
    <w:rsid w:val="006B3457"/>
    <w:rsid w:val="006B50AB"/>
    <w:rsid w:val="006B6A3A"/>
    <w:rsid w:val="006C0750"/>
    <w:rsid w:val="006C08A3"/>
    <w:rsid w:val="006C31A6"/>
    <w:rsid w:val="006C76FA"/>
    <w:rsid w:val="006C7DA9"/>
    <w:rsid w:val="006D1425"/>
    <w:rsid w:val="006D23FD"/>
    <w:rsid w:val="006E2931"/>
    <w:rsid w:val="006E331D"/>
    <w:rsid w:val="006E39B6"/>
    <w:rsid w:val="006E493A"/>
    <w:rsid w:val="006E734C"/>
    <w:rsid w:val="006F3F63"/>
    <w:rsid w:val="006F6BF2"/>
    <w:rsid w:val="00703ACE"/>
    <w:rsid w:val="0070453D"/>
    <w:rsid w:val="00705D89"/>
    <w:rsid w:val="007108BD"/>
    <w:rsid w:val="00712127"/>
    <w:rsid w:val="007121BE"/>
    <w:rsid w:val="00712417"/>
    <w:rsid w:val="007131CE"/>
    <w:rsid w:val="00713D80"/>
    <w:rsid w:val="00714122"/>
    <w:rsid w:val="00717788"/>
    <w:rsid w:val="00721CAF"/>
    <w:rsid w:val="0072241B"/>
    <w:rsid w:val="00722B03"/>
    <w:rsid w:val="007261F0"/>
    <w:rsid w:val="00731902"/>
    <w:rsid w:val="00732434"/>
    <w:rsid w:val="00732616"/>
    <w:rsid w:val="00733B62"/>
    <w:rsid w:val="00733F08"/>
    <w:rsid w:val="00734D13"/>
    <w:rsid w:val="0073637C"/>
    <w:rsid w:val="0073781B"/>
    <w:rsid w:val="00740BCB"/>
    <w:rsid w:val="00740FA8"/>
    <w:rsid w:val="00741961"/>
    <w:rsid w:val="00742502"/>
    <w:rsid w:val="00742F88"/>
    <w:rsid w:val="00744377"/>
    <w:rsid w:val="00744E04"/>
    <w:rsid w:val="00746D5E"/>
    <w:rsid w:val="00750523"/>
    <w:rsid w:val="007507EE"/>
    <w:rsid w:val="00751B0D"/>
    <w:rsid w:val="00751BF9"/>
    <w:rsid w:val="007536F7"/>
    <w:rsid w:val="00753D9F"/>
    <w:rsid w:val="00754831"/>
    <w:rsid w:val="00771F9D"/>
    <w:rsid w:val="00774B81"/>
    <w:rsid w:val="00780EAB"/>
    <w:rsid w:val="00782EB2"/>
    <w:rsid w:val="00787B09"/>
    <w:rsid w:val="00790ED9"/>
    <w:rsid w:val="0079184B"/>
    <w:rsid w:val="00791FEB"/>
    <w:rsid w:val="00793AFE"/>
    <w:rsid w:val="0079445D"/>
    <w:rsid w:val="007A0021"/>
    <w:rsid w:val="007A0DDC"/>
    <w:rsid w:val="007A23F1"/>
    <w:rsid w:val="007A3AFD"/>
    <w:rsid w:val="007A5BD6"/>
    <w:rsid w:val="007B4E71"/>
    <w:rsid w:val="007B5527"/>
    <w:rsid w:val="007B5BD7"/>
    <w:rsid w:val="007C1785"/>
    <w:rsid w:val="007C6A86"/>
    <w:rsid w:val="007C6F2E"/>
    <w:rsid w:val="007D0985"/>
    <w:rsid w:val="007D381A"/>
    <w:rsid w:val="007D4378"/>
    <w:rsid w:val="007D68C1"/>
    <w:rsid w:val="007D76CC"/>
    <w:rsid w:val="007D782E"/>
    <w:rsid w:val="007E2111"/>
    <w:rsid w:val="007E295A"/>
    <w:rsid w:val="007E48B7"/>
    <w:rsid w:val="007E6BCA"/>
    <w:rsid w:val="007E6CF5"/>
    <w:rsid w:val="007F440C"/>
    <w:rsid w:val="007F4FE7"/>
    <w:rsid w:val="00800AC8"/>
    <w:rsid w:val="00803278"/>
    <w:rsid w:val="00804263"/>
    <w:rsid w:val="008045BB"/>
    <w:rsid w:val="00807147"/>
    <w:rsid w:val="00807885"/>
    <w:rsid w:val="00811D17"/>
    <w:rsid w:val="00812166"/>
    <w:rsid w:val="00813174"/>
    <w:rsid w:val="008154B0"/>
    <w:rsid w:val="008160DE"/>
    <w:rsid w:val="008201C6"/>
    <w:rsid w:val="0082174B"/>
    <w:rsid w:val="0082715B"/>
    <w:rsid w:val="008272EE"/>
    <w:rsid w:val="0082791D"/>
    <w:rsid w:val="0083203F"/>
    <w:rsid w:val="008343FE"/>
    <w:rsid w:val="008365AB"/>
    <w:rsid w:val="00845E89"/>
    <w:rsid w:val="00854170"/>
    <w:rsid w:val="00854A05"/>
    <w:rsid w:val="00856530"/>
    <w:rsid w:val="00860E4A"/>
    <w:rsid w:val="00865817"/>
    <w:rsid w:val="0086613A"/>
    <w:rsid w:val="008732EC"/>
    <w:rsid w:val="0087489E"/>
    <w:rsid w:val="00877230"/>
    <w:rsid w:val="00883977"/>
    <w:rsid w:val="00883B23"/>
    <w:rsid w:val="0088400F"/>
    <w:rsid w:val="008841E4"/>
    <w:rsid w:val="008844FF"/>
    <w:rsid w:val="008849D9"/>
    <w:rsid w:val="00885473"/>
    <w:rsid w:val="00886DFA"/>
    <w:rsid w:val="00887EDA"/>
    <w:rsid w:val="00895655"/>
    <w:rsid w:val="00896686"/>
    <w:rsid w:val="00896FB3"/>
    <w:rsid w:val="008A2ED1"/>
    <w:rsid w:val="008A34D2"/>
    <w:rsid w:val="008A3F97"/>
    <w:rsid w:val="008A6AFE"/>
    <w:rsid w:val="008B1FD4"/>
    <w:rsid w:val="008B44CC"/>
    <w:rsid w:val="008B61BD"/>
    <w:rsid w:val="008C4402"/>
    <w:rsid w:val="008D3853"/>
    <w:rsid w:val="008D4EFA"/>
    <w:rsid w:val="008D5E65"/>
    <w:rsid w:val="008E08AA"/>
    <w:rsid w:val="008E2FC1"/>
    <w:rsid w:val="008E39D6"/>
    <w:rsid w:val="008E4687"/>
    <w:rsid w:val="008E6500"/>
    <w:rsid w:val="008E7299"/>
    <w:rsid w:val="008F1328"/>
    <w:rsid w:val="008F4429"/>
    <w:rsid w:val="008F6106"/>
    <w:rsid w:val="008F636D"/>
    <w:rsid w:val="008F63B1"/>
    <w:rsid w:val="008F735B"/>
    <w:rsid w:val="009008DE"/>
    <w:rsid w:val="0090217B"/>
    <w:rsid w:val="0090243B"/>
    <w:rsid w:val="00907645"/>
    <w:rsid w:val="00910F23"/>
    <w:rsid w:val="0092174A"/>
    <w:rsid w:val="00925E6D"/>
    <w:rsid w:val="009270AB"/>
    <w:rsid w:val="009279D5"/>
    <w:rsid w:val="009300C7"/>
    <w:rsid w:val="00933253"/>
    <w:rsid w:val="0093341F"/>
    <w:rsid w:val="00933946"/>
    <w:rsid w:val="00934745"/>
    <w:rsid w:val="00934D73"/>
    <w:rsid w:val="0093611B"/>
    <w:rsid w:val="00936276"/>
    <w:rsid w:val="00936318"/>
    <w:rsid w:val="00936B61"/>
    <w:rsid w:val="00943365"/>
    <w:rsid w:val="00943E38"/>
    <w:rsid w:val="00944C2A"/>
    <w:rsid w:val="00950B7A"/>
    <w:rsid w:val="00964866"/>
    <w:rsid w:val="00964CBD"/>
    <w:rsid w:val="009666CD"/>
    <w:rsid w:val="00966FDB"/>
    <w:rsid w:val="009670AA"/>
    <w:rsid w:val="009714B3"/>
    <w:rsid w:val="00971F18"/>
    <w:rsid w:val="009723DE"/>
    <w:rsid w:val="0097352C"/>
    <w:rsid w:val="00973651"/>
    <w:rsid w:val="009746E7"/>
    <w:rsid w:val="00974E99"/>
    <w:rsid w:val="00975E6F"/>
    <w:rsid w:val="009775C3"/>
    <w:rsid w:val="00977FB9"/>
    <w:rsid w:val="009833EE"/>
    <w:rsid w:val="009843F2"/>
    <w:rsid w:val="00986F04"/>
    <w:rsid w:val="00993264"/>
    <w:rsid w:val="009A25BD"/>
    <w:rsid w:val="009A2E62"/>
    <w:rsid w:val="009A2FA1"/>
    <w:rsid w:val="009A320D"/>
    <w:rsid w:val="009A3E60"/>
    <w:rsid w:val="009A4D06"/>
    <w:rsid w:val="009A5714"/>
    <w:rsid w:val="009A579A"/>
    <w:rsid w:val="009A5F48"/>
    <w:rsid w:val="009A6166"/>
    <w:rsid w:val="009A6566"/>
    <w:rsid w:val="009A7463"/>
    <w:rsid w:val="009B4EFE"/>
    <w:rsid w:val="009B5876"/>
    <w:rsid w:val="009B7E76"/>
    <w:rsid w:val="009C05D2"/>
    <w:rsid w:val="009C2214"/>
    <w:rsid w:val="009C3388"/>
    <w:rsid w:val="009C3BE1"/>
    <w:rsid w:val="009C614B"/>
    <w:rsid w:val="009C6F20"/>
    <w:rsid w:val="009C72B0"/>
    <w:rsid w:val="009D126E"/>
    <w:rsid w:val="009D16DA"/>
    <w:rsid w:val="009D6EDB"/>
    <w:rsid w:val="009D71C3"/>
    <w:rsid w:val="009D729F"/>
    <w:rsid w:val="009E337B"/>
    <w:rsid w:val="009E35E8"/>
    <w:rsid w:val="009E4B9C"/>
    <w:rsid w:val="009F5BBF"/>
    <w:rsid w:val="00A02EF0"/>
    <w:rsid w:val="00A06F7F"/>
    <w:rsid w:val="00A07EEA"/>
    <w:rsid w:val="00A131A4"/>
    <w:rsid w:val="00A13FDB"/>
    <w:rsid w:val="00A1466E"/>
    <w:rsid w:val="00A15402"/>
    <w:rsid w:val="00A21C68"/>
    <w:rsid w:val="00A263BF"/>
    <w:rsid w:val="00A40E4A"/>
    <w:rsid w:val="00A44D76"/>
    <w:rsid w:val="00A45580"/>
    <w:rsid w:val="00A45C4C"/>
    <w:rsid w:val="00A46A47"/>
    <w:rsid w:val="00A5347B"/>
    <w:rsid w:val="00A725CE"/>
    <w:rsid w:val="00A73F57"/>
    <w:rsid w:val="00A74835"/>
    <w:rsid w:val="00A77E5D"/>
    <w:rsid w:val="00A811A1"/>
    <w:rsid w:val="00A819BB"/>
    <w:rsid w:val="00A86B38"/>
    <w:rsid w:val="00A86D4B"/>
    <w:rsid w:val="00A9277C"/>
    <w:rsid w:val="00A931D4"/>
    <w:rsid w:val="00A95591"/>
    <w:rsid w:val="00AA06C8"/>
    <w:rsid w:val="00AA0C67"/>
    <w:rsid w:val="00AA6EE5"/>
    <w:rsid w:val="00AB3FA4"/>
    <w:rsid w:val="00AB3FB4"/>
    <w:rsid w:val="00AB7B38"/>
    <w:rsid w:val="00AC08DB"/>
    <w:rsid w:val="00AC33D2"/>
    <w:rsid w:val="00AC4064"/>
    <w:rsid w:val="00AC5273"/>
    <w:rsid w:val="00AC6937"/>
    <w:rsid w:val="00AC7A87"/>
    <w:rsid w:val="00AD3613"/>
    <w:rsid w:val="00AD3A0B"/>
    <w:rsid w:val="00AD433F"/>
    <w:rsid w:val="00AD5997"/>
    <w:rsid w:val="00AD661E"/>
    <w:rsid w:val="00AD74AC"/>
    <w:rsid w:val="00AE1765"/>
    <w:rsid w:val="00AE2267"/>
    <w:rsid w:val="00AE5117"/>
    <w:rsid w:val="00AE54C4"/>
    <w:rsid w:val="00AE579B"/>
    <w:rsid w:val="00AE5FFB"/>
    <w:rsid w:val="00AE619D"/>
    <w:rsid w:val="00AF077A"/>
    <w:rsid w:val="00AF0A9B"/>
    <w:rsid w:val="00AF2145"/>
    <w:rsid w:val="00AF3117"/>
    <w:rsid w:val="00AF475F"/>
    <w:rsid w:val="00AF5A15"/>
    <w:rsid w:val="00AF7AEA"/>
    <w:rsid w:val="00B0181F"/>
    <w:rsid w:val="00B03261"/>
    <w:rsid w:val="00B06151"/>
    <w:rsid w:val="00B06A32"/>
    <w:rsid w:val="00B10206"/>
    <w:rsid w:val="00B117B9"/>
    <w:rsid w:val="00B13844"/>
    <w:rsid w:val="00B14A5D"/>
    <w:rsid w:val="00B16FC7"/>
    <w:rsid w:val="00B17760"/>
    <w:rsid w:val="00B23C06"/>
    <w:rsid w:val="00B25F58"/>
    <w:rsid w:val="00B26476"/>
    <w:rsid w:val="00B27620"/>
    <w:rsid w:val="00B27A1D"/>
    <w:rsid w:val="00B3358B"/>
    <w:rsid w:val="00B339DC"/>
    <w:rsid w:val="00B4077C"/>
    <w:rsid w:val="00B42D64"/>
    <w:rsid w:val="00B42F67"/>
    <w:rsid w:val="00B43EF4"/>
    <w:rsid w:val="00B44140"/>
    <w:rsid w:val="00B44913"/>
    <w:rsid w:val="00B4588B"/>
    <w:rsid w:val="00B50A7D"/>
    <w:rsid w:val="00B519D8"/>
    <w:rsid w:val="00B51A1B"/>
    <w:rsid w:val="00B55707"/>
    <w:rsid w:val="00B561AA"/>
    <w:rsid w:val="00B56642"/>
    <w:rsid w:val="00B60435"/>
    <w:rsid w:val="00B646E0"/>
    <w:rsid w:val="00B6727A"/>
    <w:rsid w:val="00B67AE1"/>
    <w:rsid w:val="00B67E3C"/>
    <w:rsid w:val="00B734CD"/>
    <w:rsid w:val="00B75414"/>
    <w:rsid w:val="00B760DB"/>
    <w:rsid w:val="00B802A4"/>
    <w:rsid w:val="00B87BDE"/>
    <w:rsid w:val="00B87D40"/>
    <w:rsid w:val="00B921B0"/>
    <w:rsid w:val="00B92CB3"/>
    <w:rsid w:val="00B92EB8"/>
    <w:rsid w:val="00BA152F"/>
    <w:rsid w:val="00BA17B1"/>
    <w:rsid w:val="00BA3242"/>
    <w:rsid w:val="00BA3E99"/>
    <w:rsid w:val="00BA47F5"/>
    <w:rsid w:val="00BA63CD"/>
    <w:rsid w:val="00BA66BF"/>
    <w:rsid w:val="00BA678C"/>
    <w:rsid w:val="00BA7231"/>
    <w:rsid w:val="00BB1057"/>
    <w:rsid w:val="00BC7A5A"/>
    <w:rsid w:val="00BD041B"/>
    <w:rsid w:val="00BD4CA5"/>
    <w:rsid w:val="00BD76A9"/>
    <w:rsid w:val="00BE168E"/>
    <w:rsid w:val="00BE3856"/>
    <w:rsid w:val="00BE4BB6"/>
    <w:rsid w:val="00BE4FC7"/>
    <w:rsid w:val="00BE5D00"/>
    <w:rsid w:val="00BE6357"/>
    <w:rsid w:val="00BE7B9B"/>
    <w:rsid w:val="00BF0246"/>
    <w:rsid w:val="00BF0415"/>
    <w:rsid w:val="00BF2FB7"/>
    <w:rsid w:val="00BF41BE"/>
    <w:rsid w:val="00C00A0C"/>
    <w:rsid w:val="00C067B1"/>
    <w:rsid w:val="00C06FA2"/>
    <w:rsid w:val="00C12274"/>
    <w:rsid w:val="00C1370B"/>
    <w:rsid w:val="00C145D7"/>
    <w:rsid w:val="00C16D94"/>
    <w:rsid w:val="00C1718B"/>
    <w:rsid w:val="00C24803"/>
    <w:rsid w:val="00C267BD"/>
    <w:rsid w:val="00C361BA"/>
    <w:rsid w:val="00C447E9"/>
    <w:rsid w:val="00C50AC2"/>
    <w:rsid w:val="00C51147"/>
    <w:rsid w:val="00C56676"/>
    <w:rsid w:val="00C6120B"/>
    <w:rsid w:val="00C624BA"/>
    <w:rsid w:val="00C7035B"/>
    <w:rsid w:val="00C71C51"/>
    <w:rsid w:val="00C72463"/>
    <w:rsid w:val="00C7250A"/>
    <w:rsid w:val="00C728CC"/>
    <w:rsid w:val="00C76E83"/>
    <w:rsid w:val="00C77514"/>
    <w:rsid w:val="00C77B5C"/>
    <w:rsid w:val="00C80231"/>
    <w:rsid w:val="00C80BC9"/>
    <w:rsid w:val="00C83108"/>
    <w:rsid w:val="00C8368D"/>
    <w:rsid w:val="00C86369"/>
    <w:rsid w:val="00C865DA"/>
    <w:rsid w:val="00C86C65"/>
    <w:rsid w:val="00C87154"/>
    <w:rsid w:val="00C8723C"/>
    <w:rsid w:val="00C87486"/>
    <w:rsid w:val="00C877EE"/>
    <w:rsid w:val="00C90455"/>
    <w:rsid w:val="00C92DEA"/>
    <w:rsid w:val="00C9325A"/>
    <w:rsid w:val="00C96474"/>
    <w:rsid w:val="00C9727F"/>
    <w:rsid w:val="00CA2A40"/>
    <w:rsid w:val="00CA3901"/>
    <w:rsid w:val="00CA4A92"/>
    <w:rsid w:val="00CA4DCF"/>
    <w:rsid w:val="00CA50CD"/>
    <w:rsid w:val="00CA52C0"/>
    <w:rsid w:val="00CA79E1"/>
    <w:rsid w:val="00CA7C81"/>
    <w:rsid w:val="00CB1087"/>
    <w:rsid w:val="00CB2AE3"/>
    <w:rsid w:val="00CB4A48"/>
    <w:rsid w:val="00CB50DB"/>
    <w:rsid w:val="00CB5101"/>
    <w:rsid w:val="00CB72EB"/>
    <w:rsid w:val="00CB7882"/>
    <w:rsid w:val="00CC03AF"/>
    <w:rsid w:val="00CC04B4"/>
    <w:rsid w:val="00CC1F6A"/>
    <w:rsid w:val="00CC402A"/>
    <w:rsid w:val="00CC4F2C"/>
    <w:rsid w:val="00CC56B5"/>
    <w:rsid w:val="00CC6F97"/>
    <w:rsid w:val="00CD33CA"/>
    <w:rsid w:val="00CD37CA"/>
    <w:rsid w:val="00CD3EBC"/>
    <w:rsid w:val="00CD578B"/>
    <w:rsid w:val="00CD7C03"/>
    <w:rsid w:val="00CE2B39"/>
    <w:rsid w:val="00CE4909"/>
    <w:rsid w:val="00CE54D7"/>
    <w:rsid w:val="00CE6770"/>
    <w:rsid w:val="00CE721E"/>
    <w:rsid w:val="00CF0B91"/>
    <w:rsid w:val="00CF1ED7"/>
    <w:rsid w:val="00CF2189"/>
    <w:rsid w:val="00CF2B0B"/>
    <w:rsid w:val="00CF55E5"/>
    <w:rsid w:val="00D0224D"/>
    <w:rsid w:val="00D05158"/>
    <w:rsid w:val="00D06B13"/>
    <w:rsid w:val="00D071D7"/>
    <w:rsid w:val="00D1037B"/>
    <w:rsid w:val="00D109D6"/>
    <w:rsid w:val="00D1244B"/>
    <w:rsid w:val="00D12554"/>
    <w:rsid w:val="00D13094"/>
    <w:rsid w:val="00D13C76"/>
    <w:rsid w:val="00D16183"/>
    <w:rsid w:val="00D16CCD"/>
    <w:rsid w:val="00D215C1"/>
    <w:rsid w:val="00D2421D"/>
    <w:rsid w:val="00D24BB3"/>
    <w:rsid w:val="00D3098C"/>
    <w:rsid w:val="00D333E6"/>
    <w:rsid w:val="00D342AA"/>
    <w:rsid w:val="00D36298"/>
    <w:rsid w:val="00D374AE"/>
    <w:rsid w:val="00D37654"/>
    <w:rsid w:val="00D40303"/>
    <w:rsid w:val="00D413A5"/>
    <w:rsid w:val="00D43F8B"/>
    <w:rsid w:val="00D506AC"/>
    <w:rsid w:val="00D60A49"/>
    <w:rsid w:val="00D60BC0"/>
    <w:rsid w:val="00D61B7E"/>
    <w:rsid w:val="00D61C8C"/>
    <w:rsid w:val="00D630AC"/>
    <w:rsid w:val="00D64FFE"/>
    <w:rsid w:val="00D716F8"/>
    <w:rsid w:val="00D719EF"/>
    <w:rsid w:val="00D750B6"/>
    <w:rsid w:val="00D75F3E"/>
    <w:rsid w:val="00D81272"/>
    <w:rsid w:val="00D86BC6"/>
    <w:rsid w:val="00D870FD"/>
    <w:rsid w:val="00D872D5"/>
    <w:rsid w:val="00D90D07"/>
    <w:rsid w:val="00D96816"/>
    <w:rsid w:val="00DA1CBE"/>
    <w:rsid w:val="00DA35E4"/>
    <w:rsid w:val="00DA4DCA"/>
    <w:rsid w:val="00DB2D92"/>
    <w:rsid w:val="00DB3A55"/>
    <w:rsid w:val="00DB549B"/>
    <w:rsid w:val="00DB67BD"/>
    <w:rsid w:val="00DC09CB"/>
    <w:rsid w:val="00DD03A2"/>
    <w:rsid w:val="00DD1C70"/>
    <w:rsid w:val="00DD32B7"/>
    <w:rsid w:val="00DD3FBA"/>
    <w:rsid w:val="00DD52A5"/>
    <w:rsid w:val="00DD5C43"/>
    <w:rsid w:val="00DE15CB"/>
    <w:rsid w:val="00DE2EB1"/>
    <w:rsid w:val="00DE388E"/>
    <w:rsid w:val="00DE5601"/>
    <w:rsid w:val="00DE6286"/>
    <w:rsid w:val="00DF01F7"/>
    <w:rsid w:val="00DF166E"/>
    <w:rsid w:val="00DF4F15"/>
    <w:rsid w:val="00DF5205"/>
    <w:rsid w:val="00DF6426"/>
    <w:rsid w:val="00DF707F"/>
    <w:rsid w:val="00DF73CB"/>
    <w:rsid w:val="00DF788D"/>
    <w:rsid w:val="00E001D0"/>
    <w:rsid w:val="00E0129F"/>
    <w:rsid w:val="00E01455"/>
    <w:rsid w:val="00E033D1"/>
    <w:rsid w:val="00E044D0"/>
    <w:rsid w:val="00E103A8"/>
    <w:rsid w:val="00E15D34"/>
    <w:rsid w:val="00E16164"/>
    <w:rsid w:val="00E16DED"/>
    <w:rsid w:val="00E21827"/>
    <w:rsid w:val="00E21979"/>
    <w:rsid w:val="00E23BE8"/>
    <w:rsid w:val="00E25FC5"/>
    <w:rsid w:val="00E261B4"/>
    <w:rsid w:val="00E27A1E"/>
    <w:rsid w:val="00E33517"/>
    <w:rsid w:val="00E37855"/>
    <w:rsid w:val="00E40643"/>
    <w:rsid w:val="00E42080"/>
    <w:rsid w:val="00E42AAB"/>
    <w:rsid w:val="00E42BEC"/>
    <w:rsid w:val="00E46933"/>
    <w:rsid w:val="00E47F7B"/>
    <w:rsid w:val="00E511C3"/>
    <w:rsid w:val="00E5538C"/>
    <w:rsid w:val="00E56254"/>
    <w:rsid w:val="00E74759"/>
    <w:rsid w:val="00E74A8C"/>
    <w:rsid w:val="00E75196"/>
    <w:rsid w:val="00E762E4"/>
    <w:rsid w:val="00E77E4C"/>
    <w:rsid w:val="00E812EF"/>
    <w:rsid w:val="00E81B51"/>
    <w:rsid w:val="00E82CC6"/>
    <w:rsid w:val="00E84D15"/>
    <w:rsid w:val="00E87431"/>
    <w:rsid w:val="00E9065F"/>
    <w:rsid w:val="00E92C88"/>
    <w:rsid w:val="00E94D84"/>
    <w:rsid w:val="00E95181"/>
    <w:rsid w:val="00EA1148"/>
    <w:rsid w:val="00EA6101"/>
    <w:rsid w:val="00EA7E68"/>
    <w:rsid w:val="00EB0ECB"/>
    <w:rsid w:val="00EB37A1"/>
    <w:rsid w:val="00EB6780"/>
    <w:rsid w:val="00EB6BD9"/>
    <w:rsid w:val="00EB7155"/>
    <w:rsid w:val="00EC0E42"/>
    <w:rsid w:val="00EC3F79"/>
    <w:rsid w:val="00EC6E30"/>
    <w:rsid w:val="00EC7BB5"/>
    <w:rsid w:val="00ED10AC"/>
    <w:rsid w:val="00ED29A0"/>
    <w:rsid w:val="00ED2E0A"/>
    <w:rsid w:val="00ED2E85"/>
    <w:rsid w:val="00ED3C31"/>
    <w:rsid w:val="00ED6201"/>
    <w:rsid w:val="00ED6635"/>
    <w:rsid w:val="00ED6AC1"/>
    <w:rsid w:val="00EE3559"/>
    <w:rsid w:val="00EE4334"/>
    <w:rsid w:val="00EE7641"/>
    <w:rsid w:val="00EF2503"/>
    <w:rsid w:val="00EF6134"/>
    <w:rsid w:val="00EF74C2"/>
    <w:rsid w:val="00F000F1"/>
    <w:rsid w:val="00F04A7F"/>
    <w:rsid w:val="00F072D2"/>
    <w:rsid w:val="00F07738"/>
    <w:rsid w:val="00F12863"/>
    <w:rsid w:val="00F13D2C"/>
    <w:rsid w:val="00F14666"/>
    <w:rsid w:val="00F155D7"/>
    <w:rsid w:val="00F156D5"/>
    <w:rsid w:val="00F160D8"/>
    <w:rsid w:val="00F170F2"/>
    <w:rsid w:val="00F228D9"/>
    <w:rsid w:val="00F22F81"/>
    <w:rsid w:val="00F24FA0"/>
    <w:rsid w:val="00F2551A"/>
    <w:rsid w:val="00F25BB6"/>
    <w:rsid w:val="00F263F6"/>
    <w:rsid w:val="00F27AD3"/>
    <w:rsid w:val="00F30899"/>
    <w:rsid w:val="00F33025"/>
    <w:rsid w:val="00F34109"/>
    <w:rsid w:val="00F34894"/>
    <w:rsid w:val="00F37AB4"/>
    <w:rsid w:val="00F405DB"/>
    <w:rsid w:val="00F42E28"/>
    <w:rsid w:val="00F43473"/>
    <w:rsid w:val="00F438BF"/>
    <w:rsid w:val="00F46295"/>
    <w:rsid w:val="00F46722"/>
    <w:rsid w:val="00F51834"/>
    <w:rsid w:val="00F53291"/>
    <w:rsid w:val="00F5546F"/>
    <w:rsid w:val="00F5559E"/>
    <w:rsid w:val="00F578E9"/>
    <w:rsid w:val="00F62C9A"/>
    <w:rsid w:val="00F67270"/>
    <w:rsid w:val="00F71A10"/>
    <w:rsid w:val="00F7321C"/>
    <w:rsid w:val="00F7443E"/>
    <w:rsid w:val="00F76F85"/>
    <w:rsid w:val="00F8178B"/>
    <w:rsid w:val="00F81DCA"/>
    <w:rsid w:val="00F83B9B"/>
    <w:rsid w:val="00F859E9"/>
    <w:rsid w:val="00F859F4"/>
    <w:rsid w:val="00F85C60"/>
    <w:rsid w:val="00F90F76"/>
    <w:rsid w:val="00F91725"/>
    <w:rsid w:val="00F94C90"/>
    <w:rsid w:val="00F96070"/>
    <w:rsid w:val="00F972DC"/>
    <w:rsid w:val="00FA06A2"/>
    <w:rsid w:val="00FA10B7"/>
    <w:rsid w:val="00FA11D3"/>
    <w:rsid w:val="00FA1E35"/>
    <w:rsid w:val="00FA2524"/>
    <w:rsid w:val="00FB03C6"/>
    <w:rsid w:val="00FB6A82"/>
    <w:rsid w:val="00FB7DD4"/>
    <w:rsid w:val="00FC0CA1"/>
    <w:rsid w:val="00FC0E54"/>
    <w:rsid w:val="00FC1C56"/>
    <w:rsid w:val="00FD1E06"/>
    <w:rsid w:val="00FD1F6D"/>
    <w:rsid w:val="00FD656B"/>
    <w:rsid w:val="00FE00AD"/>
    <w:rsid w:val="00FE0E8B"/>
    <w:rsid w:val="00FE1EA0"/>
    <w:rsid w:val="00FE57E7"/>
    <w:rsid w:val="00FE5DCD"/>
    <w:rsid w:val="00FE7331"/>
    <w:rsid w:val="00FF06B4"/>
    <w:rsid w:val="00FF15AC"/>
    <w:rsid w:val="00FF1D8D"/>
    <w:rsid w:val="00FF29DD"/>
    <w:rsid w:val="00FF30AA"/>
    <w:rsid w:val="00FF60CF"/>
    <w:rsid w:val="00FF695E"/>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51D87"/>
  <w15:docId w15:val="{44C0D1D3-7248-4A5F-8538-23603F0C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unhideWhenUsed/>
    <w:qFormat/>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iPriority w:val="99"/>
    <w:unhideWhenUsed/>
    <w:qFormat/>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DB67BD"/>
    <w:rPr>
      <w:rFonts w:eastAsia="Calibri"/>
      <w:lang w:val="en-GB"/>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locked/>
    <w:rsid w:val="00DB67BD"/>
    <w:rPr>
      <w:lang w:val="ro-RO"/>
    </w:rPr>
  </w:style>
  <w:style w:type="paragraph" w:customStyle="1" w:styleId="SUPERSChar1">
    <w:name w:val="SUPERS Char1"/>
    <w:basedOn w:val="Normal"/>
    <w:next w:val="Normal"/>
    <w:link w:val="FootnoteReference"/>
    <w:uiPriority w:val="99"/>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 w:type="paragraph" w:styleId="EndnoteText">
    <w:name w:val="endnote text"/>
    <w:basedOn w:val="Normal"/>
    <w:link w:val="EndnoteTextChar"/>
    <w:uiPriority w:val="99"/>
    <w:semiHidden/>
    <w:unhideWhenUsed/>
    <w:rsid w:val="00D125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2554"/>
    <w:rPr>
      <w:sz w:val="20"/>
      <w:szCs w:val="20"/>
      <w:lang w:val="ro-RO"/>
    </w:rPr>
  </w:style>
  <w:style w:type="character" w:styleId="EndnoteReference">
    <w:name w:val="endnote reference"/>
    <w:basedOn w:val="DefaultParagraphFont"/>
    <w:uiPriority w:val="99"/>
    <w:semiHidden/>
    <w:unhideWhenUsed/>
    <w:rsid w:val="00D125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1096">
      <w:bodyDiv w:val="1"/>
      <w:marLeft w:val="0"/>
      <w:marRight w:val="0"/>
      <w:marTop w:val="0"/>
      <w:marBottom w:val="0"/>
      <w:divBdr>
        <w:top w:val="none" w:sz="0" w:space="0" w:color="auto"/>
        <w:left w:val="none" w:sz="0" w:space="0" w:color="auto"/>
        <w:bottom w:val="none" w:sz="0" w:space="0" w:color="auto"/>
        <w:right w:val="none" w:sz="0" w:space="0" w:color="auto"/>
      </w:divBdr>
    </w:div>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257566859">
      <w:bodyDiv w:val="1"/>
      <w:marLeft w:val="0"/>
      <w:marRight w:val="0"/>
      <w:marTop w:val="0"/>
      <w:marBottom w:val="0"/>
      <w:divBdr>
        <w:top w:val="none" w:sz="0" w:space="0" w:color="auto"/>
        <w:left w:val="none" w:sz="0" w:space="0" w:color="auto"/>
        <w:bottom w:val="none" w:sz="0" w:space="0" w:color="auto"/>
        <w:right w:val="none" w:sz="0" w:space="0" w:color="auto"/>
      </w:divBdr>
    </w:div>
    <w:div w:id="329451865">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213">
      <w:bodyDiv w:val="1"/>
      <w:marLeft w:val="0"/>
      <w:marRight w:val="0"/>
      <w:marTop w:val="0"/>
      <w:marBottom w:val="0"/>
      <w:divBdr>
        <w:top w:val="none" w:sz="0" w:space="0" w:color="auto"/>
        <w:left w:val="none" w:sz="0" w:space="0" w:color="auto"/>
        <w:bottom w:val="none" w:sz="0" w:space="0" w:color="auto"/>
        <w:right w:val="none" w:sz="0" w:space="0" w:color="auto"/>
      </w:divBdr>
    </w:div>
    <w:div w:id="582842441">
      <w:bodyDiv w:val="1"/>
      <w:marLeft w:val="0"/>
      <w:marRight w:val="0"/>
      <w:marTop w:val="0"/>
      <w:marBottom w:val="0"/>
      <w:divBdr>
        <w:top w:val="none" w:sz="0" w:space="0" w:color="auto"/>
        <w:left w:val="none" w:sz="0" w:space="0" w:color="auto"/>
        <w:bottom w:val="none" w:sz="0" w:space="0" w:color="auto"/>
        <w:right w:val="none" w:sz="0" w:space="0" w:color="auto"/>
      </w:divBdr>
    </w:div>
    <w:div w:id="604922824">
      <w:bodyDiv w:val="1"/>
      <w:marLeft w:val="0"/>
      <w:marRight w:val="0"/>
      <w:marTop w:val="0"/>
      <w:marBottom w:val="0"/>
      <w:divBdr>
        <w:top w:val="none" w:sz="0" w:space="0" w:color="auto"/>
        <w:left w:val="none" w:sz="0" w:space="0" w:color="auto"/>
        <w:bottom w:val="none" w:sz="0" w:space="0" w:color="auto"/>
        <w:right w:val="none" w:sz="0" w:space="0" w:color="auto"/>
      </w:divBdr>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888960937">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69441386">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243372905">
      <w:bodyDiv w:val="1"/>
      <w:marLeft w:val="0"/>
      <w:marRight w:val="0"/>
      <w:marTop w:val="0"/>
      <w:marBottom w:val="0"/>
      <w:divBdr>
        <w:top w:val="none" w:sz="0" w:space="0" w:color="auto"/>
        <w:left w:val="none" w:sz="0" w:space="0" w:color="auto"/>
        <w:bottom w:val="none" w:sz="0" w:space="0" w:color="auto"/>
        <w:right w:val="none" w:sz="0" w:space="0" w:color="auto"/>
      </w:divBdr>
    </w:div>
    <w:div w:id="1327434603">
      <w:bodyDiv w:val="1"/>
      <w:marLeft w:val="0"/>
      <w:marRight w:val="0"/>
      <w:marTop w:val="0"/>
      <w:marBottom w:val="0"/>
      <w:divBdr>
        <w:top w:val="none" w:sz="0" w:space="0" w:color="auto"/>
        <w:left w:val="none" w:sz="0" w:space="0" w:color="auto"/>
        <w:bottom w:val="none" w:sz="0" w:space="0" w:color="auto"/>
        <w:right w:val="none" w:sz="0" w:space="0" w:color="auto"/>
      </w:divBdr>
    </w:div>
    <w:div w:id="1522427494">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791708713">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MFP1934\retea%20on%2010.236.1.89\Executii\Executii%202024\RAPOARTE%20LRF%202024\RAPORT%20TRIM%20III\grafice%202024.xlsx!Sheet2%20(2)!%5bgrafice%202024.xlsx%5dSheet2%20(2)%20Chart%20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MFP1934\retea%20on%2010.236.1.89\Executii\Executii%202024\RAPOARTE%20LRF%202024\RAPORT%20TRIM%20III\grafice%202024.xlsx!Sheet2%20(2)!%5bgrafice%202024.xlsx%5dSheet2%20(2)%20Chart%203-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file:///\\MFP1934\retea%20on%2010.236.1.89\Executii\Executii%202024\RAPOARTE%20LRF%202024\RAPORT%20TRIM%20III\grafice%202024.xlsx!Sheet2%20(2)!%5bgrafice%202024.xlsx%5dSheet2%20(2)%20Chart%201"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C30AA"/>
    <w:rsid w:val="000069C4"/>
    <w:rsid w:val="00272F1E"/>
    <w:rsid w:val="002C34E8"/>
    <w:rsid w:val="00380767"/>
    <w:rsid w:val="003A3581"/>
    <w:rsid w:val="003C565D"/>
    <w:rsid w:val="004A1BA2"/>
    <w:rsid w:val="004C41A1"/>
    <w:rsid w:val="004D7935"/>
    <w:rsid w:val="00521A6A"/>
    <w:rsid w:val="00527ADB"/>
    <w:rsid w:val="005F4EA3"/>
    <w:rsid w:val="005F5A98"/>
    <w:rsid w:val="006569BF"/>
    <w:rsid w:val="007260C7"/>
    <w:rsid w:val="007E2DAF"/>
    <w:rsid w:val="0086095F"/>
    <w:rsid w:val="009A59A7"/>
    <w:rsid w:val="00A6098D"/>
    <w:rsid w:val="00AA72C7"/>
    <w:rsid w:val="00C87E60"/>
    <w:rsid w:val="00DC1E8B"/>
    <w:rsid w:val="00DC6C38"/>
    <w:rsid w:val="00DF7914"/>
    <w:rsid w:val="00E41BD3"/>
    <w:rsid w:val="00EC30AA"/>
    <w:rsid w:val="00ED5B3A"/>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F8C64A9800D0422085EDA2283C482DCF">
    <w:name w:val="F8C64A9800D0422085EDA2283C482DCF"/>
    <w:rsid w:val="00EC30AA"/>
  </w:style>
  <w:style w:type="paragraph" w:customStyle="1" w:styleId="6BF091545DF5430EA6AAEAE65AB5A483">
    <w:name w:val="6BF091545DF5430EA6AAEAE65AB5A483"/>
    <w:rsid w:val="005F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3139C-780C-409A-9C56-28E3BE3A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9</Pages>
  <Words>2919</Words>
  <Characters>16639</Characters>
  <Application>Microsoft Office Word</Application>
  <DocSecurity>0</DocSecurity>
  <Lines>138</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RAPORT PRIVIND EXECUȚIA BUGETARĂ PE al TREilea TRIMESTRU AL ANULUI 2024</dc:creator>
  <cp:lastModifiedBy>IOANA-ALINA BURLA</cp:lastModifiedBy>
  <cp:revision>28</cp:revision>
  <cp:lastPrinted>2024-10-28T09:40:00Z</cp:lastPrinted>
  <dcterms:created xsi:type="dcterms:W3CDTF">2024-08-05T09:26:00Z</dcterms:created>
  <dcterms:modified xsi:type="dcterms:W3CDTF">2024-10-30T16:55:00Z</dcterms:modified>
</cp:coreProperties>
</file>