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1D" w:rsidRDefault="0021581D" w:rsidP="0021581D">
      <w:pPr>
        <w:jc w:val="right"/>
        <w:rPr>
          <w:rFonts w:ascii="Trebuchet MS" w:hAnsi="Trebuchet MS" w:cs="Trebuchet MS"/>
          <w:b/>
          <w:sz w:val="24"/>
          <w:szCs w:val="24"/>
          <w:vertAlign w:val="superscript"/>
          <w:lang w:val="ro-RO"/>
        </w:rPr>
      </w:pPr>
      <w:r>
        <w:rPr>
          <w:rFonts w:ascii="Trebuchet MS" w:hAnsi="Trebuchet MS" w:cs="Trebuchet MS"/>
          <w:b/>
          <w:sz w:val="24"/>
          <w:szCs w:val="24"/>
          <w:lang w:val="ro-RO"/>
        </w:rPr>
        <w:t>Aprob,</w:t>
      </w:r>
    </w:p>
    <w:p w:rsidR="0021581D" w:rsidRDefault="0021581D" w:rsidP="0021581D">
      <w:pPr>
        <w:jc w:val="right"/>
        <w:rPr>
          <w:rFonts w:ascii="Trebuchet MS" w:hAnsi="Trebuchet MS" w:cs="Trebuchet MS"/>
          <w:b/>
          <w:sz w:val="24"/>
          <w:szCs w:val="24"/>
          <w:lang w:val="ro-RO"/>
        </w:rPr>
      </w:pPr>
      <w:r>
        <w:rPr>
          <w:rFonts w:ascii="Trebuchet MS" w:hAnsi="Trebuchet MS" w:cs="Trebuchet MS"/>
          <w:b/>
          <w:sz w:val="24"/>
          <w:szCs w:val="24"/>
          <w:lang w:val="ro-RO"/>
        </w:rPr>
        <w:t>p. Ministrul Finanțelor</w:t>
      </w:r>
    </w:p>
    <w:p w:rsidR="0021581D" w:rsidRDefault="0021581D" w:rsidP="0021581D">
      <w:pPr>
        <w:ind w:left="5760" w:firstLine="720"/>
        <w:jc w:val="center"/>
        <w:rPr>
          <w:rFonts w:ascii="Trebuchet MS" w:hAnsi="Trebuchet MS" w:cs="Trebuchet MS"/>
          <w:b/>
          <w:sz w:val="24"/>
          <w:szCs w:val="24"/>
          <w:lang w:val="ro-RO"/>
        </w:rPr>
      </w:pPr>
      <w:r>
        <w:rPr>
          <w:rFonts w:ascii="Trebuchet MS" w:hAnsi="Trebuchet MS" w:cs="Trebuchet MS"/>
          <w:b/>
          <w:sz w:val="24"/>
          <w:szCs w:val="24"/>
          <w:lang w:val="ro-RO"/>
        </w:rPr>
        <w:t>Secretar de stat</w:t>
      </w:r>
    </w:p>
    <w:p w:rsidR="003213A0" w:rsidRPr="00F47699" w:rsidRDefault="003213A0" w:rsidP="00607E50">
      <w:pPr>
        <w:ind w:left="7200" w:firstLine="720"/>
        <w:jc w:val="center"/>
        <w:rPr>
          <w:rFonts w:ascii="Trebuchet MS" w:hAnsi="Trebuchet MS"/>
          <w:b/>
          <w:sz w:val="24"/>
          <w:szCs w:val="24"/>
          <w:lang w:val="ro-RO"/>
        </w:rPr>
      </w:pPr>
      <w:bookmarkStart w:id="0" w:name="_GoBack"/>
      <w:bookmarkEnd w:id="0"/>
    </w:p>
    <w:tbl>
      <w:tblPr>
        <w:tblpPr w:leftFromText="180" w:rightFromText="180" w:vertAnchor="text" w:horzAnchor="page" w:tblpX="1303" w:tblpY="238"/>
        <w:tblOverlap w:val="never"/>
        <w:tblW w:w="9861" w:type="dxa"/>
        <w:tblLayout w:type="fixed"/>
        <w:tblLook w:val="0000" w:firstRow="0" w:lastRow="0" w:firstColumn="0" w:lastColumn="0" w:noHBand="0" w:noVBand="0"/>
      </w:tblPr>
      <w:tblGrid>
        <w:gridCol w:w="3865"/>
        <w:gridCol w:w="5996"/>
      </w:tblGrid>
      <w:tr w:rsidR="00607E50" w:rsidRPr="00F47699" w:rsidTr="00317588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50" w:rsidRPr="00F47699" w:rsidRDefault="00607E50" w:rsidP="00B8612C">
            <w:pPr>
              <w:ind w:left="3" w:hanging="3"/>
              <w:rPr>
                <w:b/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Denumirea </w:t>
            </w:r>
            <w:r w:rsidR="008F70EC"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autorității</w:t>
            </w: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sau </w:t>
            </w:r>
            <w:r w:rsidR="008F70EC"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instituției</w:t>
            </w: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publice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3213A0" w:rsidP="00B8612C">
            <w:pPr>
              <w:rPr>
                <w:b/>
                <w:sz w:val="22"/>
                <w:vertAlign w:val="superscript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Ministerul Finanțelor</w:t>
            </w:r>
          </w:p>
        </w:tc>
      </w:tr>
      <w:tr w:rsidR="003213A0" w:rsidRPr="00F47699" w:rsidTr="00317588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3A0" w:rsidRPr="00F47699" w:rsidRDefault="008F70EC" w:rsidP="003213A0">
            <w:pPr>
              <w:ind w:left="3" w:hanging="3"/>
              <w:rPr>
                <w:b/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Direcția</w:t>
            </w:r>
            <w:r w:rsidR="003213A0"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generală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0" w:rsidRPr="00F47699" w:rsidRDefault="00DE0FEC" w:rsidP="00DE0FEC">
            <w:pPr>
              <w:rPr>
                <w:b/>
                <w:sz w:val="22"/>
                <w:vertAlign w:val="superscript"/>
                <w:lang w:val="ro-RO"/>
              </w:rPr>
            </w:pPr>
            <w:r w:rsidRPr="00DE0FEC">
              <w:rPr>
                <w:rFonts w:ascii="Trebuchet MS" w:hAnsi="Trebuchet MS" w:cs="Trebuchet MS"/>
                <w:sz w:val="22"/>
                <w:szCs w:val="22"/>
                <w:lang w:val="ro-RO"/>
              </w:rPr>
              <w:t>DIREC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Ț</w:t>
            </w:r>
            <w:r w:rsidRPr="00DE0FEC">
              <w:rPr>
                <w:rFonts w:ascii="Trebuchet MS" w:hAnsi="Trebuchet MS" w:cs="Trebuchet MS"/>
                <w:sz w:val="22"/>
                <w:szCs w:val="22"/>
                <w:lang w:val="ro-RO"/>
              </w:rPr>
              <w:t>IA GENERAL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Ă</w:t>
            </w:r>
            <w:r w:rsidRPr="00DE0FEC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DE MACROECONOMIE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Ș</w:t>
            </w:r>
            <w:r w:rsidRPr="00DE0FEC">
              <w:rPr>
                <w:rFonts w:ascii="Trebuchet MS" w:hAnsi="Trebuchet MS" w:cs="Trebuchet MS"/>
                <w:sz w:val="22"/>
                <w:szCs w:val="22"/>
                <w:lang w:val="ro-RO"/>
              </w:rPr>
              <w:t>I VENITURI</w:t>
            </w:r>
          </w:p>
        </w:tc>
      </w:tr>
      <w:tr w:rsidR="003213A0" w:rsidRPr="00F47699" w:rsidTr="00317588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3A0" w:rsidRPr="00F47699" w:rsidRDefault="008F70EC" w:rsidP="003213A0">
            <w:pPr>
              <w:ind w:left="3" w:hanging="3"/>
              <w:rPr>
                <w:b/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Direcția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0" w:rsidRPr="00F47699" w:rsidRDefault="008005FF" w:rsidP="003213A0">
            <w:pPr>
              <w:rPr>
                <w:b/>
                <w:sz w:val="22"/>
                <w:vertAlign w:val="superscript"/>
                <w:lang w:val="ro-RO"/>
              </w:rPr>
            </w:pPr>
            <w:r>
              <w:rPr>
                <w:b/>
                <w:sz w:val="22"/>
                <w:vertAlign w:val="superscript"/>
                <w:lang w:val="ro-RO"/>
              </w:rPr>
              <w:t>-</w:t>
            </w:r>
          </w:p>
        </w:tc>
      </w:tr>
      <w:tr w:rsidR="003213A0" w:rsidRPr="00F47699" w:rsidTr="00317588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3A0" w:rsidRPr="00F47699" w:rsidRDefault="003213A0" w:rsidP="003213A0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Serviciul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0" w:rsidRPr="00F47699" w:rsidRDefault="003213A0" w:rsidP="003213A0">
            <w:pPr>
              <w:rPr>
                <w:b/>
                <w:sz w:val="22"/>
                <w:vertAlign w:val="superscript"/>
                <w:lang w:val="ro-RO"/>
              </w:rPr>
            </w:pPr>
            <w:r w:rsidRPr="00F47699">
              <w:rPr>
                <w:b/>
                <w:sz w:val="22"/>
                <w:vertAlign w:val="superscript"/>
                <w:lang w:val="ro-RO"/>
              </w:rPr>
              <w:t>-</w:t>
            </w:r>
          </w:p>
        </w:tc>
      </w:tr>
      <w:tr w:rsidR="003213A0" w:rsidRPr="00F47699" w:rsidTr="00317588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3A0" w:rsidRPr="00F47699" w:rsidRDefault="003213A0" w:rsidP="003213A0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Compartimentul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0" w:rsidRPr="00F47699" w:rsidRDefault="008005FF" w:rsidP="003A68B1">
            <w:pPr>
              <w:rPr>
                <w:b/>
                <w:sz w:val="22"/>
                <w:vertAlign w:val="superscript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Compartimentul de </w:t>
            </w:r>
            <w:r w:rsidR="003A68B1">
              <w:rPr>
                <w:rFonts w:ascii="Trebuchet MS" w:hAnsi="Trebuchet MS" w:cs="Trebuchet MS"/>
                <w:sz w:val="22"/>
                <w:szCs w:val="22"/>
                <w:lang w:val="ro-RO"/>
              </w:rPr>
              <w:t>dezvoltare modele și studii economice</w:t>
            </w:r>
          </w:p>
        </w:tc>
      </w:tr>
    </w:tbl>
    <w:p w:rsidR="00607E50" w:rsidRPr="00F47699" w:rsidRDefault="00607E50" w:rsidP="00607E50">
      <w:pPr>
        <w:rPr>
          <w:b/>
          <w:sz w:val="22"/>
          <w:lang w:val="ro-RO"/>
        </w:rPr>
      </w:pPr>
    </w:p>
    <w:p w:rsidR="004113C5" w:rsidRPr="00F47699" w:rsidRDefault="00607E50" w:rsidP="004113C5">
      <w:pPr>
        <w:jc w:val="center"/>
        <w:rPr>
          <w:rFonts w:ascii="Trebuchet MS" w:hAnsi="Trebuchet MS" w:cs="Trebuchet MS"/>
          <w:b/>
          <w:sz w:val="22"/>
          <w:szCs w:val="22"/>
          <w:lang w:val="ro-RO"/>
        </w:rPr>
      </w:pPr>
      <w:r w:rsidRPr="00F47699">
        <w:rPr>
          <w:rFonts w:ascii="Trebuchet MS" w:hAnsi="Trebuchet MS" w:cs="Trebuchet MS"/>
          <w:b/>
          <w:sz w:val="22"/>
          <w:szCs w:val="22"/>
          <w:lang w:val="ro-RO"/>
        </w:rPr>
        <w:t>FIŞA POSTULUI STANDARDIZATĂ</w:t>
      </w:r>
    </w:p>
    <w:p w:rsidR="00607E50" w:rsidRPr="00F47699" w:rsidRDefault="003213A0" w:rsidP="00607E50">
      <w:pPr>
        <w:framePr w:w="8947" w:wrap="notBeside" w:vAnchor="text" w:hAnchor="text" w:xAlign="center" w:y="1"/>
        <w:jc w:val="center"/>
        <w:rPr>
          <w:b/>
          <w:sz w:val="22"/>
          <w:lang w:val="ro-RO"/>
        </w:rPr>
      </w:pPr>
      <w:r w:rsidRPr="00F47699">
        <w:rPr>
          <w:rFonts w:ascii="Trebuchet MS" w:hAnsi="Trebuchet MS" w:cs="Trebuchet MS"/>
          <w:b/>
          <w:sz w:val="22"/>
          <w:szCs w:val="22"/>
          <w:lang w:val="ro-RO"/>
        </w:rPr>
        <w:t xml:space="preserve"> Nr.</w:t>
      </w:r>
      <w:r w:rsidR="00A93EA9">
        <w:rPr>
          <w:rFonts w:ascii="Trebuchet MS" w:hAnsi="Trebuchet MS" w:cs="Trebuchet MS"/>
          <w:b/>
          <w:sz w:val="22"/>
          <w:szCs w:val="22"/>
          <w:lang w:val="ro-RO"/>
        </w:rPr>
        <w:t>1935</w:t>
      </w:r>
    </w:p>
    <w:tbl>
      <w:tblPr>
        <w:tblpPr w:leftFromText="180" w:rightFromText="180" w:vertAnchor="text" w:horzAnchor="page" w:tblpX="1278" w:tblpY="266"/>
        <w:tblOverlap w:val="never"/>
        <w:tblW w:w="9869" w:type="dxa"/>
        <w:tblLayout w:type="fixed"/>
        <w:tblLook w:val="0000" w:firstRow="0" w:lastRow="0" w:firstColumn="0" w:lastColumn="0" w:noHBand="0" w:noVBand="0"/>
      </w:tblPr>
      <w:tblGrid>
        <w:gridCol w:w="1225"/>
        <w:gridCol w:w="2453"/>
        <w:gridCol w:w="4078"/>
        <w:gridCol w:w="2113"/>
      </w:tblGrid>
      <w:tr w:rsidR="00607E50" w:rsidRPr="00F47699" w:rsidTr="005C1179">
        <w:trPr>
          <w:trHeight w:val="251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50" w:rsidRPr="00F47699" w:rsidRDefault="00607E50" w:rsidP="00B8612C">
            <w:pPr>
              <w:jc w:val="center"/>
              <w:rPr>
                <w:b/>
                <w:sz w:val="22"/>
                <w:vertAlign w:val="superscript"/>
                <w:lang w:val="ro-RO"/>
              </w:rPr>
            </w:pPr>
            <w:r w:rsidRPr="00F47699"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Informaţii generale privind postul</w:t>
            </w:r>
          </w:p>
        </w:tc>
      </w:tr>
      <w:tr w:rsidR="00607E50" w:rsidRPr="00F47699" w:rsidTr="00E571BB">
        <w:trPr>
          <w:trHeight w:val="255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50" w:rsidRPr="00F47699" w:rsidRDefault="00607E50" w:rsidP="00B8612C">
            <w:pPr>
              <w:ind w:left="3" w:hanging="3"/>
              <w:rPr>
                <w:b/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Denumirea postului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A93EA9" w:rsidP="00B8612C">
            <w:pPr>
              <w:rPr>
                <w:bCs/>
                <w:sz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Expert</w:t>
            </w:r>
          </w:p>
        </w:tc>
      </w:tr>
      <w:tr w:rsidR="00607E50" w:rsidRPr="00F47699" w:rsidTr="00E571BB">
        <w:trPr>
          <w:trHeight w:val="301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Nivelul postului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3F0790" w:rsidP="00B8612C">
            <w:pPr>
              <w:rPr>
                <w:bCs/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Funcţie publică de execuţie</w:t>
            </w:r>
          </w:p>
        </w:tc>
      </w:tr>
      <w:tr w:rsidR="00607E50" w:rsidRPr="00F47699" w:rsidTr="00E571BB">
        <w:trPr>
          <w:trHeight w:val="255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Clasa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3F0790" w:rsidP="00B8612C">
            <w:pPr>
              <w:rPr>
                <w:bCs/>
                <w:sz w:val="22"/>
                <w:lang w:val="ro-RO"/>
              </w:rPr>
            </w:pPr>
            <w:r w:rsidRPr="00F47699">
              <w:rPr>
                <w:bCs/>
                <w:sz w:val="22"/>
                <w:lang w:val="ro-RO"/>
              </w:rPr>
              <w:t>I</w:t>
            </w:r>
          </w:p>
        </w:tc>
      </w:tr>
      <w:tr w:rsidR="00317588" w:rsidRPr="00F47699" w:rsidTr="00E571BB">
        <w:trPr>
          <w:trHeight w:val="407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17588" w:rsidRPr="00F47699" w:rsidRDefault="00317588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Gradul profesional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588" w:rsidRPr="00F47699" w:rsidRDefault="009E2A92" w:rsidP="00B8612C">
            <w:pPr>
              <w:rPr>
                <w:bCs/>
                <w:sz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Superior</w:t>
            </w:r>
          </w:p>
        </w:tc>
      </w:tr>
      <w:tr w:rsidR="00607E50" w:rsidRPr="00F47699" w:rsidTr="005C1179">
        <w:trPr>
          <w:trHeight w:val="494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50" w:rsidRPr="00F47699" w:rsidRDefault="00607E50" w:rsidP="00B8612C">
            <w:pPr>
              <w:jc w:val="center"/>
              <w:rPr>
                <w:b/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Descrierea postului</w:t>
            </w:r>
          </w:p>
          <w:p w:rsidR="00607E50" w:rsidRPr="00F47699" w:rsidRDefault="00607E50" w:rsidP="00B8612C">
            <w:pPr>
              <w:jc w:val="center"/>
              <w:rPr>
                <w:b/>
                <w:sz w:val="22"/>
                <w:lang w:val="ro-RO"/>
              </w:rPr>
            </w:pPr>
          </w:p>
        </w:tc>
      </w:tr>
      <w:tr w:rsidR="00607E50" w:rsidRPr="00F47699" w:rsidTr="00E571BB">
        <w:trPr>
          <w:trHeight w:val="255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Scopul principal al postului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F47699" w:rsidP="00B8612C">
            <w:pPr>
              <w:rPr>
                <w:bCs/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Realizarea de analize în domeniul finanțelor publice</w:t>
            </w:r>
          </w:p>
        </w:tc>
      </w:tr>
      <w:tr w:rsidR="00607E50" w:rsidRPr="00F47699" w:rsidTr="005C1179">
        <w:trPr>
          <w:trHeight w:val="6460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50" w:rsidRDefault="00607E50" w:rsidP="00F47699">
            <w:pPr>
              <w:spacing w:before="120"/>
              <w:ind w:left="3" w:hanging="3"/>
              <w:jc w:val="both"/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</w:pPr>
            <w:r w:rsidRPr="00DC3281"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Atribuţiile postului</w:t>
            </w:r>
          </w:p>
          <w:p w:rsidR="00A93EA9" w:rsidRPr="00DC3281" w:rsidRDefault="00A93EA9" w:rsidP="00F47699">
            <w:pPr>
              <w:spacing w:before="120"/>
              <w:ind w:left="3" w:hanging="3"/>
              <w:jc w:val="both"/>
              <w:rPr>
                <w:rFonts w:ascii="Trebuchet MS" w:hAnsi="Trebuchet MS"/>
                <w:sz w:val="22"/>
                <w:lang w:val="ro-RO"/>
              </w:rPr>
            </w:pPr>
          </w:p>
          <w:p w:rsidR="003600F0" w:rsidRDefault="003600F0" w:rsidP="003600F0">
            <w:pPr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U</w:t>
            </w:r>
            <w:r w:rsidRPr="00A93EA9">
              <w:rPr>
                <w:rFonts w:ascii="Trebuchet MS" w:hAnsi="Trebuchet MS" w:cs="Arial"/>
                <w:sz w:val="22"/>
                <w:szCs w:val="22"/>
                <w:lang w:val="ro-RO"/>
              </w:rPr>
              <w:t>tilizează modelele economice (în colaborare cu asistență locală și/sau internațională) în paralel cu modelele de fundament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are existente (se are în vedere</w:t>
            </w:r>
            <w:r w:rsidRPr="00A93EA9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reducerea riscului subevaluării/ supraevaluării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impactului economic și social):</w:t>
            </w:r>
          </w:p>
          <w:p w:rsidR="003600F0" w:rsidRDefault="003600F0" w:rsidP="003600F0">
            <w:pPr>
              <w:suppressAutoHyphens w:val="0"/>
              <w:spacing w:line="360" w:lineRule="auto"/>
              <w:ind w:left="720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– modelul </w:t>
            </w:r>
            <w:r w:rsidRPr="002965C2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PROST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- </w:t>
            </w:r>
            <w:r w:rsidRPr="002965C2">
              <w:rPr>
                <w:rFonts w:ascii="Trebuchet MS" w:hAnsi="Trebuchet MS" w:cs="Arial"/>
                <w:sz w:val="22"/>
                <w:szCs w:val="22"/>
                <w:lang w:val="ro-RO"/>
              </w:rPr>
              <w:t>Set de Instrumente de Simulare privind Opțiunile de Reformă a Pensiilor operațional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);</w:t>
            </w:r>
          </w:p>
          <w:p w:rsidR="003600F0" w:rsidRPr="00A93EA9" w:rsidRDefault="003600F0" w:rsidP="003600F0">
            <w:pPr>
              <w:suppressAutoHyphens w:val="0"/>
              <w:spacing w:line="360" w:lineRule="auto"/>
              <w:ind w:left="720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- Euromod - instrumentul de microsimulare  a sistemului de taxe și beneficii;</w:t>
            </w:r>
          </w:p>
          <w:p w:rsidR="00A93EA9" w:rsidRPr="00A93EA9" w:rsidRDefault="00A93EA9" w:rsidP="00D124CB">
            <w:pPr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D</w:t>
            </w:r>
            <w:r w:rsidRPr="00A93EA9">
              <w:rPr>
                <w:rFonts w:ascii="Trebuchet MS" w:hAnsi="Trebuchet MS" w:cs="Arial"/>
                <w:sz w:val="22"/>
                <w:szCs w:val="22"/>
                <w:lang w:val="ro-RO"/>
              </w:rPr>
              <w:t>ezvoltă modele economice generale sau sectoriale și baze de date macroeconomice necesare rulării modelelor utilizate;</w:t>
            </w:r>
          </w:p>
          <w:p w:rsidR="00A93EA9" w:rsidRPr="00A93EA9" w:rsidRDefault="00A93EA9" w:rsidP="00D124CB">
            <w:pPr>
              <w:pStyle w:val="ListParagraph"/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R</w:t>
            </w:r>
            <w:r w:rsidRPr="00A93EA9">
              <w:rPr>
                <w:rFonts w:ascii="Trebuchet MS" w:hAnsi="Trebuchet MS" w:cs="Arial"/>
                <w:sz w:val="22"/>
                <w:szCs w:val="22"/>
                <w:lang w:val="ro-RO"/>
              </w:rPr>
              <w:t>ealizează analize de impact economic și social  pentru principalele inițiative sau politici fiscal-bugetare cu impact substanțial asupra bugetului general consolidat;</w:t>
            </w:r>
          </w:p>
          <w:p w:rsidR="00A93EA9" w:rsidRPr="00A93EA9" w:rsidRDefault="00A93EA9" w:rsidP="00D124CB">
            <w:pPr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E</w:t>
            </w:r>
            <w:r w:rsidRPr="00A93EA9">
              <w:rPr>
                <w:rFonts w:ascii="Trebuchet MS" w:hAnsi="Trebuchet MS" w:cs="Arial"/>
                <w:sz w:val="22"/>
                <w:szCs w:val="22"/>
                <w:lang w:val="ro-RO"/>
              </w:rPr>
              <w:t>laborează materialele necesare discuțiilor cu instituțiile și organismele financiare interne/internaționale conform specificului compartimentului;</w:t>
            </w:r>
          </w:p>
          <w:p w:rsidR="00A93EA9" w:rsidRPr="003600F0" w:rsidRDefault="00A93EA9" w:rsidP="003600F0">
            <w:pPr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A93EA9">
              <w:rPr>
                <w:rFonts w:ascii="Trebuchet MS" w:hAnsi="Trebuchet MS" w:cs="Arial"/>
                <w:sz w:val="22"/>
                <w:szCs w:val="22"/>
                <w:lang w:val="ro-RO"/>
              </w:rPr>
              <w:t>sigură reprezentarea instituției în grupuri de lucru la nivel intern/internațional</w:t>
            </w:r>
            <w:r w:rsidR="003600F0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(membru supleant Comitetul Economic și Financiar – supleanți</w:t>
            </w:r>
            <w:r w:rsidR="003600F0" w:rsidRPr="003600F0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– EFC-A</w:t>
            </w:r>
            <w:r w:rsidRPr="003600F0">
              <w:rPr>
                <w:rFonts w:ascii="Trebuchet MS" w:hAnsi="Trebuchet MS" w:cs="Arial"/>
                <w:sz w:val="22"/>
                <w:szCs w:val="22"/>
                <w:lang w:val="ro-RO"/>
              </w:rPr>
              <w:t>;</w:t>
            </w:r>
            <w:r w:rsidR="008F70EC">
              <w:rPr>
                <w:rFonts w:ascii="Trebuchet MS" w:hAnsi="Trebuchet MS" w:cs="Arial"/>
                <w:sz w:val="22"/>
                <w:szCs w:val="22"/>
                <w:lang w:val="ro-RO"/>
              </w:rPr>
              <w:t>membru principal</w:t>
            </w:r>
            <w:r w:rsidR="003600F0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Grupul de Lucru privind Metodologia aferentă Strategiei Lisabona – LIME);</w:t>
            </w:r>
          </w:p>
          <w:p w:rsidR="00A93EA9" w:rsidRPr="00A93EA9" w:rsidRDefault="00A93EA9" w:rsidP="00D124CB">
            <w:pPr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E</w:t>
            </w:r>
            <w:r w:rsidRPr="00A93EA9">
              <w:rPr>
                <w:rFonts w:ascii="Trebuchet MS" w:hAnsi="Trebuchet MS" w:cs="Arial"/>
                <w:sz w:val="22"/>
                <w:szCs w:val="22"/>
                <w:lang w:val="ro-RO"/>
              </w:rPr>
              <w:t>mite puncte de vedere pe documentele primite în cadrul grupurilor de lucru la nivel intern/internațional și elaborează analize și rapoarte privind subiecte relevante pentru România care se discută la nivelul Comisiei Europene în cadrul acestor grupuri de lucru;</w:t>
            </w:r>
          </w:p>
          <w:p w:rsidR="00A93EA9" w:rsidRPr="00A93EA9" w:rsidRDefault="003A68B1" w:rsidP="00D124CB">
            <w:pPr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lastRenderedPageBreak/>
              <w:t>C</w:t>
            </w:r>
            <w:r w:rsidR="00A93EA9" w:rsidRPr="00A93EA9">
              <w:rPr>
                <w:rFonts w:ascii="Trebuchet MS" w:hAnsi="Trebuchet MS" w:cs="Arial"/>
                <w:sz w:val="22"/>
                <w:szCs w:val="22"/>
                <w:lang w:val="ro-RO"/>
              </w:rPr>
              <w:t>ontribuie la realizarea și actualizarea unor documente programatice și strategice cu Uniunea Europeană, OECD etc, pe probleme legate de specificului compartimentului;</w:t>
            </w:r>
          </w:p>
          <w:p w:rsidR="00A93EA9" w:rsidRDefault="003A68B1" w:rsidP="00D124CB">
            <w:pPr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E</w:t>
            </w:r>
            <w:r w:rsidR="00A93EA9" w:rsidRPr="00A93EA9">
              <w:rPr>
                <w:rFonts w:ascii="Trebuchet MS" w:hAnsi="Trebuchet MS" w:cs="Arial"/>
                <w:sz w:val="22"/>
                <w:szCs w:val="22"/>
                <w:lang w:val="ro-RO"/>
              </w:rPr>
              <w:t>laborează răspunsuri, propuneri și observații la interpelări/ întrebări/adrese pe probleme legate de specificului compartimentului;</w:t>
            </w:r>
          </w:p>
          <w:p w:rsidR="007057CC" w:rsidRPr="007057CC" w:rsidRDefault="007057CC" w:rsidP="007057CC">
            <w:pPr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Realizează analize specifice privind impactul ex-post al principalelor modificări legislative fiscale</w:t>
            </w:r>
            <w:r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:rsidR="005B7CEF" w:rsidRPr="005B7CEF" w:rsidRDefault="005B7CEF" w:rsidP="005B7CEF">
            <w:pPr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Elaborează analize specifice privind evoluția lunară a indicatorilor relevanți în domeniul </w:t>
            </w:r>
            <w:r w:rsidRPr="005B7CEF">
              <w:rPr>
                <w:rFonts w:ascii="Trebuchet MS" w:hAnsi="Trebuchet MS" w:cs="Arial"/>
                <w:sz w:val="22"/>
                <w:szCs w:val="22"/>
                <w:lang w:val="ro-RO"/>
              </w:rPr>
              <w:t>PIB și sectoare;</w:t>
            </w:r>
          </w:p>
          <w:p w:rsidR="00A93EA9" w:rsidRDefault="003A68B1" w:rsidP="00D124CB">
            <w:pPr>
              <w:numPr>
                <w:ilvl w:val="0"/>
                <w:numId w:val="2"/>
              </w:numPr>
              <w:tabs>
                <w:tab w:val="left" w:pos="810"/>
              </w:tabs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P</w:t>
            </w:r>
            <w:r w:rsidR="00A93EA9" w:rsidRPr="00A93EA9">
              <w:rPr>
                <w:rFonts w:ascii="Trebuchet MS" w:hAnsi="Trebuchet MS" w:cs="Arial"/>
                <w:sz w:val="22"/>
                <w:szCs w:val="22"/>
                <w:lang w:val="ro-RO"/>
              </w:rPr>
              <w:t>articipă la implementarea proiectelor de asistență financiară nerambursabilă din partea Uniunii Europene în domeniul de activitate;</w:t>
            </w:r>
          </w:p>
          <w:p w:rsidR="00D124CB" w:rsidRPr="00D124CB" w:rsidRDefault="00D124CB" w:rsidP="00D124CB">
            <w:pPr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Realizează analize specifice privind impactul ex-post al principalelor modificări legislative fiscale</w:t>
            </w:r>
            <w:r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:rsidR="00A93EA9" w:rsidRPr="00A93EA9" w:rsidRDefault="003A68B1" w:rsidP="00D124CB">
            <w:pPr>
              <w:numPr>
                <w:ilvl w:val="0"/>
                <w:numId w:val="2"/>
              </w:numPr>
              <w:tabs>
                <w:tab w:val="left" w:pos="810"/>
              </w:tabs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P</w:t>
            </w:r>
            <w:r w:rsidR="00A93EA9" w:rsidRPr="00A93EA9">
              <w:rPr>
                <w:rFonts w:ascii="Trebuchet MS" w:hAnsi="Trebuchet MS" w:cs="Arial"/>
                <w:sz w:val="22"/>
                <w:szCs w:val="22"/>
                <w:lang w:val="ro-RO"/>
              </w:rPr>
              <w:t>articipă la implementarea proiectelor realizate din fonduri europene alocate României în cadrul Mecanismului de Redresare și Reziliență</w:t>
            </w:r>
            <w:r w:rsidR="008F70EC">
              <w:rPr>
                <w:rFonts w:ascii="Trebuchet MS" w:hAnsi="Trebuchet MS" w:cs="Arial"/>
                <w:sz w:val="22"/>
                <w:szCs w:val="22"/>
                <w:lang w:val="ro-RO"/>
              </w:rPr>
              <w:t>;</w:t>
            </w:r>
          </w:p>
          <w:p w:rsidR="00A93EA9" w:rsidRPr="00A93EA9" w:rsidRDefault="003A68B1" w:rsidP="00D124CB">
            <w:pPr>
              <w:numPr>
                <w:ilvl w:val="0"/>
                <w:numId w:val="2"/>
              </w:numPr>
              <w:tabs>
                <w:tab w:val="left" w:pos="810"/>
              </w:tabs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C</w:t>
            </w:r>
            <w:r w:rsidR="00A93EA9" w:rsidRPr="00A93EA9">
              <w:rPr>
                <w:rFonts w:ascii="Trebuchet MS" w:hAnsi="Trebuchet MS" w:cs="Arial"/>
                <w:sz w:val="22"/>
                <w:szCs w:val="22"/>
                <w:lang w:val="ro-RO"/>
              </w:rPr>
              <w:t>ontribuie la stimularea dezbaterii economice prin participarea la seminarii și conferințe atât interne cât și internaționale;</w:t>
            </w:r>
          </w:p>
          <w:p w:rsidR="00A93EA9" w:rsidRPr="00A93EA9" w:rsidRDefault="003A68B1" w:rsidP="00D124CB">
            <w:pPr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C</w:t>
            </w:r>
            <w:r w:rsidR="00A93EA9" w:rsidRPr="00A93EA9">
              <w:rPr>
                <w:rFonts w:ascii="Trebuchet MS" w:hAnsi="Trebuchet MS" w:cs="Arial"/>
                <w:sz w:val="22"/>
                <w:szCs w:val="22"/>
                <w:lang w:val="ro-RO"/>
              </w:rPr>
              <w:t>ontribuie la perfecționarea profesională a personalului din cadrul ministerului împreună cu Școala de Finanțe Publice și Vamă;</w:t>
            </w:r>
          </w:p>
          <w:p w:rsidR="00A93EA9" w:rsidRPr="00A93EA9" w:rsidRDefault="003A68B1" w:rsidP="00D124CB">
            <w:pPr>
              <w:numPr>
                <w:ilvl w:val="0"/>
                <w:numId w:val="2"/>
              </w:numPr>
              <w:tabs>
                <w:tab w:val="left" w:pos="810"/>
              </w:tabs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E</w:t>
            </w:r>
            <w:r w:rsidR="00A93EA9" w:rsidRPr="00A93EA9">
              <w:rPr>
                <w:rFonts w:ascii="Trebuchet MS" w:hAnsi="Trebuchet MS" w:cs="Arial"/>
                <w:sz w:val="22"/>
                <w:szCs w:val="22"/>
                <w:lang w:val="ro-RO"/>
              </w:rPr>
              <w:t>laborează și actualizează procedurile operaționale pentru Compartimentul de dezvoltare modele și studii economice;</w:t>
            </w:r>
          </w:p>
          <w:p w:rsidR="00A93EA9" w:rsidRPr="00A93EA9" w:rsidRDefault="003A68B1" w:rsidP="00D124CB">
            <w:pPr>
              <w:numPr>
                <w:ilvl w:val="0"/>
                <w:numId w:val="2"/>
              </w:numPr>
              <w:tabs>
                <w:tab w:val="left" w:pos="900"/>
              </w:tabs>
              <w:suppressAutoHyphens w:val="0"/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E</w:t>
            </w:r>
            <w:r w:rsidR="00A93EA9" w:rsidRPr="00A93EA9">
              <w:rPr>
                <w:rFonts w:ascii="Trebuchet MS" w:hAnsi="Trebuchet MS" w:cs="Arial"/>
                <w:sz w:val="22"/>
                <w:szCs w:val="22"/>
                <w:lang w:val="ro-RO"/>
              </w:rPr>
              <w:t>xecută orice alte sarcini primite de la conducerea direcției generale.</w:t>
            </w:r>
          </w:p>
          <w:p w:rsidR="00607E50" w:rsidRPr="00DC3281" w:rsidRDefault="00607E50" w:rsidP="00A93EA9">
            <w:pPr>
              <w:suppressAutoHyphens w:val="0"/>
              <w:spacing w:line="360" w:lineRule="auto"/>
              <w:ind w:left="360"/>
              <w:jc w:val="both"/>
              <w:rPr>
                <w:rFonts w:ascii="Trebuchet MS" w:hAnsi="Trebuchet MS"/>
                <w:b/>
                <w:sz w:val="22"/>
                <w:vertAlign w:val="superscript"/>
                <w:lang w:val="ro-RO"/>
              </w:rPr>
            </w:pPr>
          </w:p>
        </w:tc>
      </w:tr>
      <w:tr w:rsidR="00607E50" w:rsidRPr="00F47699" w:rsidTr="005C1179">
        <w:trPr>
          <w:trHeight w:val="494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50" w:rsidRPr="00F47699" w:rsidRDefault="00607E50" w:rsidP="00B8612C">
            <w:pPr>
              <w:jc w:val="center"/>
              <w:rPr>
                <w:b/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lastRenderedPageBreak/>
              <w:t>Condiții pentru ocuparea postului</w:t>
            </w:r>
          </w:p>
          <w:p w:rsidR="00607E50" w:rsidRPr="00F47699" w:rsidRDefault="00607E50" w:rsidP="00B8612C">
            <w:pPr>
              <w:jc w:val="center"/>
              <w:rPr>
                <w:b/>
                <w:sz w:val="22"/>
                <w:lang w:val="ro-RO"/>
              </w:rPr>
            </w:pPr>
          </w:p>
        </w:tc>
      </w:tr>
      <w:tr w:rsidR="00607E50" w:rsidRPr="00F47699" w:rsidTr="00E571BB">
        <w:trPr>
          <w:trHeight w:val="511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Nivelul studiilor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F47699" w:rsidP="00B8612C">
            <w:pPr>
              <w:rPr>
                <w:bCs/>
                <w:sz w:val="22"/>
                <w:lang w:val="ro-RO"/>
              </w:rPr>
            </w:pP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>Studii universitare de licență absolvite  cu diploma de licență sau echivalentă;</w:t>
            </w:r>
          </w:p>
        </w:tc>
      </w:tr>
      <w:tr w:rsidR="00607E50" w:rsidRPr="00F47699" w:rsidTr="00E571BB">
        <w:trPr>
          <w:trHeight w:val="238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Domeniul studiilor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C51731" w:rsidRDefault="00E571BB" w:rsidP="00B8612C">
            <w:pPr>
              <w:rPr>
                <w:bCs/>
                <w:color w:val="FF0000"/>
                <w:sz w:val="22"/>
                <w:lang w:val="ro-RO"/>
              </w:rPr>
            </w:pPr>
            <w:r>
              <w:rPr>
                <w:bCs/>
                <w:color w:val="FF0000"/>
                <w:sz w:val="22"/>
                <w:lang w:val="ro-RO"/>
              </w:rPr>
              <w:t>-</w:t>
            </w:r>
          </w:p>
        </w:tc>
      </w:tr>
      <w:tr w:rsidR="00607E50" w:rsidRPr="00F47699" w:rsidTr="00E571BB">
        <w:trPr>
          <w:trHeight w:val="255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Perfecționări/specializări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F47699" w:rsidP="00B8612C">
            <w:pPr>
              <w:rPr>
                <w:bCs/>
                <w:sz w:val="22"/>
                <w:lang w:val="ro-RO"/>
              </w:rPr>
            </w:pPr>
            <w:r>
              <w:rPr>
                <w:bCs/>
                <w:sz w:val="22"/>
                <w:lang w:val="ro-RO"/>
              </w:rPr>
              <w:t>-</w:t>
            </w:r>
          </w:p>
        </w:tc>
      </w:tr>
      <w:tr w:rsidR="00317588" w:rsidRPr="00F47699" w:rsidTr="00E571BB">
        <w:trPr>
          <w:trHeight w:val="749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588" w:rsidRPr="00F47699" w:rsidRDefault="00317588" w:rsidP="00B8612C">
            <w:pPr>
              <w:ind w:left="3" w:hanging="3"/>
              <w:rPr>
                <w:rFonts w:ascii="Trebuchet MS" w:hAnsi="Trebuchet MS" w:cs="Trebuchet MS"/>
                <w:sz w:val="22"/>
                <w:szCs w:val="22"/>
                <w:vertAlign w:val="superscript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Vechimea în specialitate prevăzută de lege pentru ocuparea funcției publice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88" w:rsidRPr="00F47699" w:rsidRDefault="009E2A92" w:rsidP="00F47699">
            <w:pPr>
              <w:ind w:left="3" w:hanging="3"/>
              <w:rPr>
                <w:bCs/>
                <w:sz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7</w:t>
            </w:r>
            <w:r w:rsidR="00F47699"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an</w:t>
            </w:r>
            <w:r w:rsidR="00D57335">
              <w:rPr>
                <w:rFonts w:ascii="Trebuchet MS" w:hAnsi="Trebuchet MS" w:cs="Trebuchet MS"/>
                <w:sz w:val="22"/>
                <w:szCs w:val="22"/>
                <w:lang w:val="ro-RO"/>
              </w:rPr>
              <w:t>i</w:t>
            </w:r>
          </w:p>
        </w:tc>
      </w:tr>
      <w:tr w:rsidR="00607E50" w:rsidRPr="00F47699" w:rsidTr="00E571BB">
        <w:trPr>
          <w:trHeight w:val="238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50" w:rsidRPr="00F47699" w:rsidRDefault="00317588" w:rsidP="00B8612C">
            <w:pPr>
              <w:ind w:left="3" w:hanging="3"/>
              <w:rPr>
                <w:sz w:val="22"/>
                <w:vertAlign w:val="superscript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Cunoștințe generale privind competențe lingvistice de comunicare în limba engleză/franceză/spaniolă/germană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99" w:rsidRPr="00FC058E" w:rsidRDefault="008E036F" w:rsidP="00F47699">
            <w:pPr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-</w:t>
            </w:r>
          </w:p>
          <w:p w:rsidR="00607E50" w:rsidRPr="00F47699" w:rsidRDefault="00607E50" w:rsidP="00B8612C">
            <w:pPr>
              <w:rPr>
                <w:bCs/>
                <w:sz w:val="22"/>
                <w:lang w:val="ro-RO"/>
              </w:rPr>
            </w:pPr>
          </w:p>
        </w:tc>
      </w:tr>
      <w:tr w:rsidR="00607E50" w:rsidRPr="00F47699" w:rsidTr="00E571BB">
        <w:trPr>
          <w:trHeight w:val="331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50" w:rsidRPr="00F47699" w:rsidRDefault="007545FD" w:rsidP="00B8612C">
            <w:pPr>
              <w:ind w:left="3" w:hanging="3"/>
              <w:rPr>
                <w:rFonts w:ascii="Trebuchet MS" w:hAnsi="Trebuchet MS"/>
                <w:sz w:val="22"/>
                <w:vertAlign w:val="superscript"/>
                <w:lang w:val="ro-RO"/>
              </w:rPr>
            </w:pPr>
            <w:r w:rsidRPr="00F47699">
              <w:rPr>
                <w:rFonts w:ascii="Trebuchet MS" w:hAnsi="Trebuchet MS"/>
                <w:sz w:val="22"/>
                <w:lang w:val="ro-RO"/>
              </w:rPr>
              <w:t>Cunoștințe teoretice în domeniul tehnologiei informației, nivel utilizator începător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F47699" w:rsidP="00B8612C">
            <w:pPr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Nivel utilizator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începător</w:t>
            </w:r>
          </w:p>
          <w:p w:rsidR="00607E50" w:rsidRPr="00F47699" w:rsidRDefault="00607E50" w:rsidP="00B8612C">
            <w:pPr>
              <w:rPr>
                <w:bCs/>
                <w:sz w:val="22"/>
                <w:lang w:val="ro-RO"/>
              </w:rPr>
            </w:pPr>
          </w:p>
        </w:tc>
      </w:tr>
      <w:tr w:rsidR="004113C5" w:rsidRPr="00F47699" w:rsidTr="00E571BB">
        <w:trPr>
          <w:trHeight w:val="331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3C5" w:rsidRPr="00F47699" w:rsidRDefault="004113C5" w:rsidP="00B8612C">
            <w:pPr>
              <w:ind w:left="3" w:hanging="3"/>
              <w:rPr>
                <w:rFonts w:ascii="Trebuchet MS" w:hAnsi="Trebuchet MS"/>
                <w:sz w:val="22"/>
                <w:vertAlign w:val="superscript"/>
                <w:lang w:val="ro-RO"/>
              </w:rPr>
            </w:pPr>
            <w:r w:rsidRPr="00F47699">
              <w:rPr>
                <w:rFonts w:ascii="Trebuchet MS" w:hAnsi="Trebuchet MS"/>
                <w:sz w:val="22"/>
                <w:lang w:val="ro-RO"/>
              </w:rPr>
              <w:t xml:space="preserve">Obținerea unui/unei aviz/autorizații prevăzut/prevăzute de lege, cu </w:t>
            </w:r>
            <w:r w:rsidRPr="00F47699">
              <w:rPr>
                <w:rFonts w:ascii="Trebuchet MS" w:hAnsi="Trebuchet MS"/>
                <w:sz w:val="22"/>
                <w:lang w:val="ro-RO"/>
              </w:rPr>
              <w:lastRenderedPageBreak/>
              <w:t>respectarea prevederilor legislației specific cu privire la îndeplinirea condiției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C5" w:rsidRPr="00F47699" w:rsidRDefault="00F47699" w:rsidP="00B8612C">
            <w:pPr>
              <w:rPr>
                <w:bCs/>
                <w:sz w:val="22"/>
                <w:lang w:val="ro-RO"/>
              </w:rPr>
            </w:pPr>
            <w:r>
              <w:rPr>
                <w:bCs/>
                <w:sz w:val="22"/>
                <w:lang w:val="ro-RO"/>
              </w:rPr>
              <w:lastRenderedPageBreak/>
              <w:t>-</w:t>
            </w:r>
          </w:p>
        </w:tc>
      </w:tr>
      <w:tr w:rsidR="004113C5" w:rsidRPr="00F47699" w:rsidTr="00E571BB">
        <w:trPr>
          <w:trHeight w:val="331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3C5" w:rsidRPr="00F47699" w:rsidRDefault="004113C5" w:rsidP="00B8612C">
            <w:pPr>
              <w:ind w:left="3" w:hanging="3"/>
              <w:rPr>
                <w:rFonts w:ascii="Trebuchet MS" w:hAnsi="Trebuchet MS"/>
                <w:sz w:val="22"/>
                <w:vertAlign w:val="superscript"/>
                <w:lang w:val="ro-RO"/>
              </w:rPr>
            </w:pPr>
            <w:r w:rsidRPr="00F47699">
              <w:rPr>
                <w:rFonts w:ascii="Trebuchet MS" w:hAnsi="Trebuchet MS"/>
                <w:sz w:val="22"/>
                <w:lang w:val="ro-RO"/>
              </w:rPr>
              <w:lastRenderedPageBreak/>
              <w:t>Alte condiții pentru ocuparea unei funcții publice prevăzute în acte normative specifice aplicabile autorităților sau instituțiilor publice respective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C5" w:rsidRPr="00F47699" w:rsidRDefault="00F47699" w:rsidP="00B8612C">
            <w:pPr>
              <w:rPr>
                <w:bCs/>
                <w:sz w:val="22"/>
                <w:lang w:val="ro-RO"/>
              </w:rPr>
            </w:pPr>
            <w:r>
              <w:rPr>
                <w:bCs/>
                <w:sz w:val="22"/>
                <w:lang w:val="ro-RO"/>
              </w:rPr>
              <w:t>-</w:t>
            </w:r>
          </w:p>
        </w:tc>
      </w:tr>
      <w:tr w:rsidR="00607E50" w:rsidRPr="00F47699" w:rsidTr="005C1179">
        <w:trPr>
          <w:trHeight w:val="525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50" w:rsidRPr="00F47699" w:rsidRDefault="00607E50" w:rsidP="00B8612C">
            <w:pPr>
              <w:ind w:left="3" w:hanging="3"/>
              <w:jc w:val="center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bCs/>
                <w:sz w:val="22"/>
                <w:szCs w:val="22"/>
                <w:lang w:val="ro-RO"/>
              </w:rPr>
              <w:t>Competențe necesare exercitării funcți</w:t>
            </w:r>
            <w:r w:rsidR="00D37279" w:rsidRPr="00F47699">
              <w:rPr>
                <w:rFonts w:ascii="Trebuchet MS" w:hAnsi="Trebuchet MS" w:cs="Trebuchet MS"/>
                <w:bCs/>
                <w:sz w:val="22"/>
                <w:szCs w:val="22"/>
                <w:lang w:val="ro-RO"/>
              </w:rPr>
              <w:t>e</w:t>
            </w:r>
            <w:r w:rsidRPr="00F47699">
              <w:rPr>
                <w:rFonts w:ascii="Trebuchet MS" w:hAnsi="Trebuchet MS" w:cs="Trebuchet MS"/>
                <w:bCs/>
                <w:sz w:val="22"/>
                <w:szCs w:val="22"/>
                <w:lang w:val="ro-RO"/>
              </w:rPr>
              <w:t>i publice</w:t>
            </w:r>
          </w:p>
        </w:tc>
      </w:tr>
      <w:tr w:rsidR="00607E50" w:rsidRPr="00F47699" w:rsidTr="00E571BB">
        <w:trPr>
          <w:trHeight w:val="258"/>
        </w:trPr>
        <w:tc>
          <w:tcPr>
            <w:tcW w:w="3678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607E50" w:rsidRPr="00F47699" w:rsidRDefault="00607E50" w:rsidP="004113C5">
            <w:pPr>
              <w:pStyle w:val="ListParagraph"/>
              <w:numPr>
                <w:ilvl w:val="0"/>
                <w:numId w:val="1"/>
              </w:num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Competențe generale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hanging="3"/>
              <w:jc w:val="center"/>
              <w:rPr>
                <w:rFonts w:ascii="Trebuchet MS" w:hAnsi="Trebuchet MS"/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Denumirea competenței generale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607E50" w:rsidP="00B8612C">
            <w:pPr>
              <w:ind w:left="3" w:hanging="3"/>
              <w:jc w:val="center"/>
              <w:rPr>
                <w:rFonts w:ascii="Trebuchet MS" w:hAnsi="Trebuchet MS"/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Nivelul de comp</w:t>
            </w:r>
            <w:r w:rsidR="00D57335">
              <w:rPr>
                <w:rFonts w:ascii="Trebuchet MS" w:hAnsi="Trebuchet MS" w:cs="Trebuchet MS"/>
                <w:sz w:val="22"/>
                <w:szCs w:val="22"/>
                <w:lang w:val="ro-RO"/>
              </w:rPr>
              <w:t>l</w:t>
            </w: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exitate</w:t>
            </w:r>
          </w:p>
        </w:tc>
      </w:tr>
      <w:tr w:rsidR="00607E50" w:rsidRPr="00F47699" w:rsidTr="00E571BB">
        <w:trPr>
          <w:trHeight w:val="258"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1. Rezolvarea de probleme și luarea deciziilor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D57335" w:rsidP="00F47699">
            <w:pPr>
              <w:ind w:left="3" w:hanging="3"/>
              <w:rPr>
                <w:sz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Nivel operațional</w:t>
            </w:r>
          </w:p>
        </w:tc>
      </w:tr>
      <w:tr w:rsidR="00607E50" w:rsidRPr="00F47699" w:rsidTr="00E571BB">
        <w:trPr>
          <w:trHeight w:val="255"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2. Inițiativă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F47699" w:rsidP="002559F4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Nivel </w:t>
            </w:r>
            <w:r w:rsidR="002559F4">
              <w:rPr>
                <w:rFonts w:ascii="Trebuchet MS" w:hAnsi="Trebuchet MS" w:cs="Trebuchet MS"/>
                <w:sz w:val="22"/>
                <w:szCs w:val="22"/>
                <w:lang w:val="ro-RO"/>
              </w:rPr>
              <w:t>operațional</w:t>
            </w:r>
          </w:p>
        </w:tc>
      </w:tr>
      <w:tr w:rsidR="00607E50" w:rsidRPr="00F47699" w:rsidTr="00E571BB">
        <w:trPr>
          <w:trHeight w:val="272"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3. Planificare și organizare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2559F4" w:rsidP="00B8612C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Nivel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operațional</w:t>
            </w:r>
          </w:p>
        </w:tc>
      </w:tr>
      <w:tr w:rsidR="00607E50" w:rsidRPr="00F47699" w:rsidTr="00E571BB">
        <w:trPr>
          <w:trHeight w:val="255"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4. Comunicare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2559F4" w:rsidP="00B8612C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Nivel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operațional</w:t>
            </w:r>
          </w:p>
        </w:tc>
      </w:tr>
      <w:tr w:rsidR="00607E50" w:rsidRPr="00F47699" w:rsidTr="00E571BB">
        <w:trPr>
          <w:trHeight w:val="272"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5. Lucru în echipă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2559F4" w:rsidP="00B8612C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Nivel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operațional</w:t>
            </w:r>
          </w:p>
        </w:tc>
      </w:tr>
      <w:tr w:rsidR="00607E50" w:rsidRPr="00F47699" w:rsidTr="00E571BB">
        <w:trPr>
          <w:trHeight w:val="255"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6. Orientare către cetățean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2559F4" w:rsidP="00B8612C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Nivel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operațional</w:t>
            </w:r>
          </w:p>
        </w:tc>
      </w:tr>
      <w:tr w:rsidR="00607E50" w:rsidRPr="00F47699" w:rsidTr="00E571BB">
        <w:trPr>
          <w:trHeight w:val="272"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7. Integritate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2559F4" w:rsidP="00B8612C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Nivel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operațional</w:t>
            </w:r>
          </w:p>
        </w:tc>
      </w:tr>
      <w:tr w:rsidR="00607E50" w:rsidRPr="00F47699" w:rsidTr="00E571BB">
        <w:trPr>
          <w:trHeight w:val="255"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8. Managementul performanței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B324D2" w:rsidP="00B8612C">
            <w:pPr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-</w:t>
            </w:r>
          </w:p>
        </w:tc>
      </w:tr>
      <w:tr w:rsidR="00607E50" w:rsidRPr="00F47699" w:rsidTr="00E571BB">
        <w:trPr>
          <w:trHeight w:val="272"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9. Dezvoltarea echipei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B324D2" w:rsidP="00B8612C">
            <w:pPr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-</w:t>
            </w:r>
          </w:p>
        </w:tc>
      </w:tr>
      <w:tr w:rsidR="00607E50" w:rsidRPr="00F47699" w:rsidTr="00E571BB">
        <w:trPr>
          <w:trHeight w:val="255"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10.Generarea angajamentului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B324D2" w:rsidP="00B8612C">
            <w:pPr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-</w:t>
            </w:r>
          </w:p>
        </w:tc>
      </w:tr>
      <w:tr w:rsidR="00607E50" w:rsidRPr="00F47699" w:rsidTr="00E571BB">
        <w:trPr>
          <w:trHeight w:val="528"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11.Promovarea in</w:t>
            </w:r>
            <w:r w:rsidRPr="00F47699">
              <w:rPr>
                <w:rFonts w:cs="Trebuchet MS"/>
                <w:sz w:val="22"/>
                <w:szCs w:val="22"/>
                <w:lang w:val="ro-RO"/>
              </w:rPr>
              <w:t>ov</w:t>
            </w: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ației și inițierea schimbării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B324D2" w:rsidP="00B8612C">
            <w:pPr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-</w:t>
            </w:r>
          </w:p>
        </w:tc>
      </w:tr>
      <w:tr w:rsidR="00607E50" w:rsidRPr="00F47699" w:rsidTr="00E571BB">
        <w:trPr>
          <w:trHeight w:val="494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07E50" w:rsidRPr="00F47699" w:rsidRDefault="00607E50" w:rsidP="004113C5">
            <w:pPr>
              <w:pStyle w:val="ListParagraph"/>
              <w:numPr>
                <w:ilvl w:val="0"/>
                <w:numId w:val="1"/>
              </w:numPr>
              <w:rPr>
                <w:sz w:val="22"/>
                <w:vertAlign w:val="superscript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Competențe specifice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Competențe lingvistice de comunicare în limbi străine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8E036F" w:rsidP="008E036F">
            <w:pPr>
              <w:rPr>
                <w:sz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-</w:t>
            </w:r>
          </w:p>
        </w:tc>
      </w:tr>
      <w:tr w:rsidR="00607E50" w:rsidRPr="00F47699" w:rsidTr="00E571BB">
        <w:trPr>
          <w:trHeight w:val="511"/>
        </w:trPr>
        <w:tc>
          <w:tcPr>
            <w:tcW w:w="3678" w:type="dxa"/>
            <w:gridSpan w:val="2"/>
            <w:vMerge/>
            <w:tcBorders>
              <w:left w:val="single" w:sz="4" w:space="0" w:color="000000"/>
            </w:tcBorders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Competențe lingvistice în limba minorității naționale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B324D2" w:rsidP="00B8612C">
            <w:pPr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-</w:t>
            </w:r>
          </w:p>
        </w:tc>
      </w:tr>
      <w:tr w:rsidR="00607E50" w:rsidRPr="00F47699" w:rsidTr="00E571BB">
        <w:trPr>
          <w:trHeight w:val="272"/>
        </w:trPr>
        <w:tc>
          <w:tcPr>
            <w:tcW w:w="3678" w:type="dxa"/>
            <w:gridSpan w:val="2"/>
            <w:vMerge/>
            <w:tcBorders>
              <w:left w:val="single" w:sz="4" w:space="0" w:color="000000"/>
            </w:tcBorders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Competenț</w:t>
            </w:r>
            <w:r w:rsidR="004113C5"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e digitale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</w:tc>
      </w:tr>
      <w:tr w:rsidR="00607E50" w:rsidRPr="00F47699" w:rsidTr="00E571BB">
        <w:trPr>
          <w:trHeight w:val="608"/>
        </w:trPr>
        <w:tc>
          <w:tcPr>
            <w:tcW w:w="367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Alte competențe specifice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3A68B1" w:rsidP="008E036F">
            <w:pPr>
              <w:ind w:left="3" w:hanging="3"/>
              <w:rPr>
                <w:sz w:val="22"/>
                <w:lang w:val="ro-RO"/>
              </w:rPr>
            </w:pPr>
            <w:r w:rsidRPr="003A68B1">
              <w:rPr>
                <w:rFonts w:ascii="Trebuchet MS" w:hAnsi="Trebuchet MS" w:cs="Trebuchet MS"/>
                <w:sz w:val="22"/>
                <w:szCs w:val="22"/>
                <w:lang w:val="ro-RO"/>
              </w:rPr>
              <w:t>Utilizare și dezvoltare modele economice.</w:t>
            </w:r>
          </w:p>
        </w:tc>
      </w:tr>
      <w:tr w:rsidR="00607E50" w:rsidRPr="00F47699" w:rsidTr="005C1179">
        <w:trPr>
          <w:trHeight w:val="494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607E50" w:rsidP="00B8612C">
            <w:pPr>
              <w:jc w:val="center"/>
              <w:rPr>
                <w:b/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Sfera relațională a titularului postului</w:t>
            </w:r>
          </w:p>
          <w:p w:rsidR="00607E50" w:rsidRPr="00F47699" w:rsidRDefault="00607E50" w:rsidP="00B8612C">
            <w:pPr>
              <w:jc w:val="center"/>
              <w:rPr>
                <w:b/>
                <w:sz w:val="22"/>
                <w:lang w:val="ro-RO"/>
              </w:rPr>
            </w:pPr>
          </w:p>
        </w:tc>
      </w:tr>
      <w:tr w:rsidR="00607E50" w:rsidRPr="00F47699" w:rsidTr="00E571BB">
        <w:trPr>
          <w:trHeight w:val="89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7E50" w:rsidRPr="00F47699" w:rsidRDefault="00607E50" w:rsidP="00B8612C">
            <w:pPr>
              <w:ind w:left="3" w:right="-132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Sfera relațională internă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right="-68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Relații ierarhice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F75D5D" w:rsidP="00B8612C">
            <w:pPr>
              <w:rPr>
                <w:sz w:val="22"/>
                <w:lang w:val="ro-RO"/>
              </w:rPr>
            </w:pP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Subordonat </w:t>
            </w:r>
            <w:r w:rsidR="00A22C4F"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>față</w:t>
            </w: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de: </w:t>
            </w:r>
            <w:r w:rsidR="00A51634">
              <w:rPr>
                <w:rFonts w:ascii="Trebuchet MS" w:hAnsi="Trebuchet MS" w:cs="Trebuchet MS"/>
                <w:sz w:val="22"/>
                <w:szCs w:val="22"/>
                <w:lang w:val="ro-RO"/>
              </w:rPr>
              <w:t>Director general adjunct</w:t>
            </w:r>
          </w:p>
        </w:tc>
      </w:tr>
      <w:tr w:rsidR="00607E50" w:rsidRPr="00F47699" w:rsidTr="00E571BB">
        <w:trPr>
          <w:trHeight w:val="255"/>
        </w:trPr>
        <w:tc>
          <w:tcPr>
            <w:tcW w:w="1225" w:type="dxa"/>
            <w:vMerge/>
            <w:tcBorders>
              <w:left w:val="single" w:sz="4" w:space="0" w:color="000000"/>
            </w:tcBorders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right="-68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Relații funcționale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F75D5D" w:rsidP="00B8612C">
            <w:pPr>
              <w:rPr>
                <w:sz w:val="22"/>
                <w:lang w:val="ro-RO"/>
              </w:rPr>
            </w:pP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>Cu toate compartimentele din cadrul M.F.</w:t>
            </w:r>
          </w:p>
        </w:tc>
      </w:tr>
      <w:tr w:rsidR="00607E50" w:rsidRPr="00F47699" w:rsidTr="00E571BB">
        <w:trPr>
          <w:trHeight w:val="272"/>
        </w:trPr>
        <w:tc>
          <w:tcPr>
            <w:tcW w:w="1225" w:type="dxa"/>
            <w:vMerge/>
            <w:tcBorders>
              <w:left w:val="single" w:sz="4" w:space="0" w:color="000000"/>
            </w:tcBorders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right="-68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Relații de control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</w:tc>
      </w:tr>
      <w:tr w:rsidR="00607E50" w:rsidRPr="00F47699" w:rsidTr="00E571BB">
        <w:trPr>
          <w:trHeight w:val="255"/>
        </w:trPr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right="-68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Relații de reprezentare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</w:tc>
      </w:tr>
      <w:tr w:rsidR="00607E50" w:rsidRPr="00F47699" w:rsidTr="00E571BB">
        <w:trPr>
          <w:trHeight w:val="511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7E50" w:rsidRPr="00F47699" w:rsidRDefault="00607E50" w:rsidP="00B8612C">
            <w:pPr>
              <w:ind w:right="-188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Sfera relațională externă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right="-68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Autorități și instituții publice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F75D5D" w:rsidP="00B8612C">
            <w:pPr>
              <w:rPr>
                <w:sz w:val="22"/>
                <w:lang w:val="ro-RO"/>
              </w:rPr>
            </w:pP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Cu toate </w:t>
            </w:r>
            <w:r w:rsidR="00A22C4F"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>unitățile</w:t>
            </w: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subordonate M.F. precum şi cu alte </w:t>
            </w:r>
            <w:r w:rsidR="00A22C4F"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>autorități</w:t>
            </w: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şi </w:t>
            </w:r>
            <w:r w:rsidR="00A22C4F"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>instituții</w:t>
            </w: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publice</w:t>
            </w:r>
          </w:p>
        </w:tc>
      </w:tr>
      <w:tr w:rsidR="00607E50" w:rsidRPr="00F47699" w:rsidTr="00E571BB">
        <w:trPr>
          <w:trHeight w:val="511"/>
        </w:trPr>
        <w:tc>
          <w:tcPr>
            <w:tcW w:w="1225" w:type="dxa"/>
            <w:vMerge/>
            <w:tcBorders>
              <w:left w:val="single" w:sz="4" w:space="0" w:color="000000"/>
            </w:tcBorders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right="-68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Organizații internaționale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F75D5D" w:rsidP="00B8612C">
            <w:pPr>
              <w:rPr>
                <w:sz w:val="22"/>
                <w:lang w:val="ro-RO"/>
              </w:rPr>
            </w:pP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>După caz</w:t>
            </w:r>
          </w:p>
        </w:tc>
      </w:tr>
      <w:tr w:rsidR="00607E50" w:rsidRPr="00F47699" w:rsidTr="00E571BB">
        <w:trPr>
          <w:trHeight w:val="511"/>
        </w:trPr>
        <w:tc>
          <w:tcPr>
            <w:tcW w:w="1225" w:type="dxa"/>
            <w:vMerge/>
            <w:tcBorders>
              <w:left w:val="single" w:sz="4" w:space="0" w:color="000000"/>
            </w:tcBorders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50" w:rsidRPr="00F47699" w:rsidRDefault="00607E50" w:rsidP="00B8612C">
            <w:pPr>
              <w:ind w:left="3" w:right="-68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Persoane juridice </w:t>
            </w:r>
            <w:r w:rsidR="00A22C4F"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private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F75D5D" w:rsidP="00B8612C">
            <w:pPr>
              <w:rPr>
                <w:sz w:val="22"/>
                <w:lang w:val="ro-RO"/>
              </w:rPr>
            </w:pP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>După caz</w:t>
            </w:r>
          </w:p>
        </w:tc>
      </w:tr>
      <w:tr w:rsidR="00607E50" w:rsidRPr="00F47699" w:rsidTr="00E571BB">
        <w:trPr>
          <w:trHeight w:val="255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Libertatea decizională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F75D5D" w:rsidP="00B8612C">
            <w:pPr>
              <w:rPr>
                <w:sz w:val="22"/>
                <w:lang w:val="ro-RO"/>
              </w:rPr>
            </w:pP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>Potrivit reglementărilor interne şi deciziilor conducerii</w:t>
            </w:r>
          </w:p>
        </w:tc>
      </w:tr>
      <w:tr w:rsidR="00607E50" w:rsidRPr="00F47699" w:rsidTr="00E571BB">
        <w:trPr>
          <w:trHeight w:val="1517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Delegarea de atribuții și competență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F75D5D" w:rsidP="00F75D5D">
            <w:pPr>
              <w:jc w:val="both"/>
              <w:rPr>
                <w:sz w:val="22"/>
                <w:lang w:val="ro-RO"/>
              </w:rPr>
            </w:pP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Delegarea de </w:t>
            </w:r>
            <w:r w:rsidR="00A22C4F"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>atribuţii</w:t>
            </w: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corespunzătoare titularului postului pe perioada concediului, în </w:t>
            </w:r>
            <w:r w:rsidR="00A22C4F"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>condiţiile</w:t>
            </w: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legii sau pe perioada în care acesta se află în deplasare în interesul serviciului se realizează conform cererii de concediu de odihnă/notei interne si/sau a planului permanent de înlocuire a </w:t>
            </w:r>
            <w:r w:rsidR="00A22C4F"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>angajaților</w:t>
            </w: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>.</w:t>
            </w:r>
          </w:p>
        </w:tc>
      </w:tr>
      <w:tr w:rsidR="00607E50" w:rsidRPr="00F47699" w:rsidTr="005C1179">
        <w:trPr>
          <w:trHeight w:val="749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50" w:rsidRPr="00F47699" w:rsidRDefault="00607E50" w:rsidP="00B8612C">
            <w:pPr>
              <w:jc w:val="center"/>
              <w:rPr>
                <w:b/>
                <w:sz w:val="22"/>
                <w:vertAlign w:val="superscript"/>
                <w:lang w:val="ro-RO"/>
              </w:rPr>
            </w:pPr>
            <w:r w:rsidRPr="00F47699"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lastRenderedPageBreak/>
              <w:t>Întocmit</w:t>
            </w:r>
          </w:p>
          <w:p w:rsidR="00B02382" w:rsidRPr="00F47699" w:rsidRDefault="00B02382" w:rsidP="003C10CD">
            <w:pPr>
              <w:rPr>
                <w:b/>
                <w:sz w:val="22"/>
                <w:vertAlign w:val="superscript"/>
                <w:lang w:val="ro-RO"/>
              </w:rPr>
            </w:pPr>
          </w:p>
        </w:tc>
      </w:tr>
      <w:tr w:rsidR="00607E50" w:rsidRPr="00F47699" w:rsidTr="00E571BB">
        <w:trPr>
          <w:trHeight w:val="238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Numele și prenumele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</w:tc>
      </w:tr>
      <w:tr w:rsidR="00607E50" w:rsidRPr="00F47699" w:rsidTr="00E571BB">
        <w:trPr>
          <w:trHeight w:val="255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Funcția publică de conducere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F75D5D" w:rsidP="00B8612C">
            <w:pPr>
              <w:rPr>
                <w:sz w:val="22"/>
                <w:lang w:val="ro-RO"/>
              </w:rPr>
            </w:pP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>Director</w:t>
            </w:r>
            <w:r w:rsidR="00D57335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general</w:t>
            </w:r>
            <w:r w:rsidR="00E571BB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adjunct</w:t>
            </w:r>
          </w:p>
        </w:tc>
      </w:tr>
      <w:tr w:rsidR="00607E50" w:rsidRPr="00F47699" w:rsidTr="00E571BB">
        <w:trPr>
          <w:trHeight w:val="238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Semnătura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</w:tc>
      </w:tr>
      <w:tr w:rsidR="00607E50" w:rsidRPr="00F47699" w:rsidTr="00E571BB">
        <w:trPr>
          <w:trHeight w:val="494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Data întocmirii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  <w:p w:rsidR="00B02382" w:rsidRPr="00F47699" w:rsidRDefault="00B02382" w:rsidP="00B8612C">
            <w:pPr>
              <w:rPr>
                <w:sz w:val="22"/>
                <w:lang w:val="ro-RO"/>
              </w:rPr>
            </w:pPr>
          </w:p>
        </w:tc>
      </w:tr>
      <w:tr w:rsidR="00607E50" w:rsidRPr="00F47699" w:rsidTr="005C1179">
        <w:trPr>
          <w:trHeight w:val="511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50" w:rsidRPr="00F47699" w:rsidRDefault="00607E50" w:rsidP="00B8612C">
            <w:pPr>
              <w:jc w:val="center"/>
              <w:rPr>
                <w:b/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Luat la cunoștință de ocupantul postului</w:t>
            </w:r>
          </w:p>
          <w:p w:rsidR="00607E50" w:rsidRPr="00F47699" w:rsidRDefault="00607E50" w:rsidP="00B8612C">
            <w:pPr>
              <w:rPr>
                <w:b/>
                <w:sz w:val="22"/>
                <w:lang w:val="ro-RO"/>
              </w:rPr>
            </w:pPr>
          </w:p>
        </w:tc>
      </w:tr>
      <w:tr w:rsidR="00607E50" w:rsidRPr="00F47699" w:rsidTr="00E571BB">
        <w:trPr>
          <w:trHeight w:val="238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Numele și prenumele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</w:tc>
      </w:tr>
      <w:tr w:rsidR="00607E50" w:rsidRPr="00F47699" w:rsidTr="00E571BB">
        <w:trPr>
          <w:trHeight w:val="255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Semnătura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</w:tc>
      </w:tr>
      <w:tr w:rsidR="00607E50" w:rsidRPr="00F47699" w:rsidTr="00E571BB">
        <w:trPr>
          <w:trHeight w:val="238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E50" w:rsidRPr="00F47699" w:rsidRDefault="00607E50" w:rsidP="00B8612C">
            <w:pPr>
              <w:ind w:left="3" w:hanging="3"/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Data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50" w:rsidRPr="00F47699" w:rsidRDefault="00607E50" w:rsidP="00B8612C">
            <w:pPr>
              <w:rPr>
                <w:sz w:val="22"/>
                <w:lang w:val="ro-RO"/>
              </w:rPr>
            </w:pPr>
          </w:p>
        </w:tc>
      </w:tr>
      <w:tr w:rsidR="00607E50" w:rsidRPr="00F47699" w:rsidTr="005C1179">
        <w:trPr>
          <w:trHeight w:val="511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50" w:rsidRPr="00F47699" w:rsidRDefault="00607E50" w:rsidP="00B8612C">
            <w:pPr>
              <w:jc w:val="center"/>
              <w:rPr>
                <w:b/>
                <w:bCs/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b/>
                <w:bCs/>
                <w:sz w:val="22"/>
                <w:szCs w:val="22"/>
                <w:lang w:val="ro-RO"/>
              </w:rPr>
              <w:t>Contrasemnează</w:t>
            </w:r>
          </w:p>
          <w:p w:rsidR="00607E50" w:rsidRPr="00F47699" w:rsidRDefault="00607E50" w:rsidP="00B8612C">
            <w:pPr>
              <w:jc w:val="center"/>
              <w:rPr>
                <w:b/>
                <w:bCs/>
                <w:sz w:val="22"/>
                <w:lang w:val="ro-RO"/>
              </w:rPr>
            </w:pPr>
          </w:p>
        </w:tc>
      </w:tr>
      <w:tr w:rsidR="00E571BB" w:rsidRPr="00F47699" w:rsidTr="00E571BB">
        <w:trPr>
          <w:trHeight w:val="238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1BB" w:rsidRPr="00F47699" w:rsidRDefault="00E571BB" w:rsidP="00E571BB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Numele și prenumele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1BB" w:rsidRPr="00F47699" w:rsidRDefault="00E571BB" w:rsidP="00E571BB">
            <w:pPr>
              <w:rPr>
                <w:sz w:val="22"/>
                <w:lang w:val="ro-RO"/>
              </w:rPr>
            </w:pPr>
          </w:p>
        </w:tc>
      </w:tr>
      <w:tr w:rsidR="00E571BB" w:rsidRPr="00F47699" w:rsidTr="00E571BB">
        <w:trPr>
          <w:trHeight w:val="255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1BB" w:rsidRPr="00F47699" w:rsidRDefault="00E571BB" w:rsidP="00E571BB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Funcția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1BB" w:rsidRPr="00F47699" w:rsidRDefault="00E571BB" w:rsidP="00E571BB">
            <w:pPr>
              <w:rPr>
                <w:sz w:val="22"/>
                <w:lang w:val="ro-RO"/>
              </w:rPr>
            </w:pPr>
            <w:r w:rsidRPr="00FC058E">
              <w:rPr>
                <w:rFonts w:ascii="Trebuchet MS" w:hAnsi="Trebuchet MS" w:cs="Trebuchet MS"/>
                <w:sz w:val="22"/>
                <w:szCs w:val="22"/>
                <w:lang w:val="ro-RO"/>
              </w:rPr>
              <w:t>Director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general</w:t>
            </w:r>
          </w:p>
        </w:tc>
      </w:tr>
      <w:tr w:rsidR="00E571BB" w:rsidRPr="00F47699" w:rsidTr="00E571BB">
        <w:trPr>
          <w:trHeight w:val="238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1BB" w:rsidRPr="00F47699" w:rsidRDefault="00E571BB" w:rsidP="00E571BB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Semnătura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1BB" w:rsidRPr="00F47699" w:rsidRDefault="00E571BB" w:rsidP="00E571BB">
            <w:pPr>
              <w:rPr>
                <w:sz w:val="22"/>
                <w:lang w:val="ro-RO"/>
              </w:rPr>
            </w:pPr>
          </w:p>
        </w:tc>
      </w:tr>
      <w:tr w:rsidR="00E571BB" w:rsidRPr="00F47699" w:rsidTr="00E571BB">
        <w:trPr>
          <w:trHeight w:val="238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1BB" w:rsidRPr="00F47699" w:rsidRDefault="00E571BB" w:rsidP="00E571BB">
            <w:pPr>
              <w:rPr>
                <w:sz w:val="22"/>
                <w:lang w:val="ro-RO"/>
              </w:rPr>
            </w:pPr>
            <w:r w:rsidRPr="00F47699">
              <w:rPr>
                <w:rFonts w:ascii="Trebuchet MS" w:hAnsi="Trebuchet MS" w:cs="Trebuchet MS"/>
                <w:sz w:val="22"/>
                <w:szCs w:val="22"/>
                <w:lang w:val="ro-RO"/>
              </w:rPr>
              <w:t>Data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1BB" w:rsidRPr="00F47699" w:rsidRDefault="00E571BB" w:rsidP="00E571BB">
            <w:pPr>
              <w:rPr>
                <w:sz w:val="22"/>
                <w:lang w:val="ro-RO"/>
              </w:rPr>
            </w:pPr>
          </w:p>
        </w:tc>
      </w:tr>
    </w:tbl>
    <w:p w:rsidR="00607E50" w:rsidRPr="00F47699" w:rsidRDefault="00607E50" w:rsidP="00607E50">
      <w:pPr>
        <w:spacing w:before="60"/>
        <w:ind w:leftChars="199" w:left="398" w:rightChars="185" w:right="370" w:firstLine="2"/>
        <w:rPr>
          <w:rFonts w:ascii="Trebuchet MS" w:hAnsi="Trebuchet MS" w:cs="Trebuchet MS"/>
          <w:vertAlign w:val="superscript"/>
          <w:lang w:val="ro-RO"/>
        </w:rPr>
      </w:pPr>
    </w:p>
    <w:p w:rsidR="002930A8" w:rsidRPr="00F47699" w:rsidRDefault="002930A8">
      <w:pPr>
        <w:rPr>
          <w:lang w:val="ro-RO"/>
        </w:rPr>
      </w:pPr>
    </w:p>
    <w:sectPr w:rsidR="002930A8" w:rsidRPr="00F47699" w:rsidSect="00C7041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723D"/>
    <w:multiLevelType w:val="hybridMultilevel"/>
    <w:tmpl w:val="24A2B3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662E3"/>
    <w:multiLevelType w:val="hybridMultilevel"/>
    <w:tmpl w:val="D0B2C9A0"/>
    <w:lvl w:ilvl="0" w:tplc="7F4299A2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332B0"/>
    <w:multiLevelType w:val="hybridMultilevel"/>
    <w:tmpl w:val="E16C729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07076B"/>
    <w:multiLevelType w:val="hybridMultilevel"/>
    <w:tmpl w:val="7FA68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53A55"/>
    <w:rsid w:val="00053A55"/>
    <w:rsid w:val="001014FC"/>
    <w:rsid w:val="00113E70"/>
    <w:rsid w:val="00197722"/>
    <w:rsid w:val="0021581D"/>
    <w:rsid w:val="002559F4"/>
    <w:rsid w:val="002930A8"/>
    <w:rsid w:val="003074B8"/>
    <w:rsid w:val="00317588"/>
    <w:rsid w:val="003213A0"/>
    <w:rsid w:val="003600F0"/>
    <w:rsid w:val="003A68B1"/>
    <w:rsid w:val="003C10CD"/>
    <w:rsid w:val="003F0790"/>
    <w:rsid w:val="004113C5"/>
    <w:rsid w:val="00416623"/>
    <w:rsid w:val="0046700C"/>
    <w:rsid w:val="004A6847"/>
    <w:rsid w:val="004F4B7C"/>
    <w:rsid w:val="00524BDD"/>
    <w:rsid w:val="005B7CEF"/>
    <w:rsid w:val="005C1179"/>
    <w:rsid w:val="00607E50"/>
    <w:rsid w:val="0066360E"/>
    <w:rsid w:val="006D4EA1"/>
    <w:rsid w:val="007057CC"/>
    <w:rsid w:val="007314E9"/>
    <w:rsid w:val="007545FD"/>
    <w:rsid w:val="00767ECE"/>
    <w:rsid w:val="00797775"/>
    <w:rsid w:val="008005FF"/>
    <w:rsid w:val="008E036F"/>
    <w:rsid w:val="008F70EC"/>
    <w:rsid w:val="009E2A92"/>
    <w:rsid w:val="009F64D3"/>
    <w:rsid w:val="00A22C4F"/>
    <w:rsid w:val="00A51634"/>
    <w:rsid w:val="00A93EA9"/>
    <w:rsid w:val="00B02382"/>
    <w:rsid w:val="00B324D2"/>
    <w:rsid w:val="00C51731"/>
    <w:rsid w:val="00C70419"/>
    <w:rsid w:val="00C9265E"/>
    <w:rsid w:val="00D00729"/>
    <w:rsid w:val="00D124CB"/>
    <w:rsid w:val="00D37279"/>
    <w:rsid w:val="00D57335"/>
    <w:rsid w:val="00DC3281"/>
    <w:rsid w:val="00DE0FEC"/>
    <w:rsid w:val="00E046C7"/>
    <w:rsid w:val="00E571BB"/>
    <w:rsid w:val="00F1038C"/>
    <w:rsid w:val="00F47699"/>
    <w:rsid w:val="00F75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F4DC3-0CDC-4831-A374-06583411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E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317588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175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0EC5D-1809-41D6-B395-12AFEAFA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ALINA-CERASELA MANAC</dc:creator>
  <cp:lastModifiedBy>DELIA-LOREDANA REBEDEA</cp:lastModifiedBy>
  <cp:revision>4</cp:revision>
  <dcterms:created xsi:type="dcterms:W3CDTF">2024-11-29T07:56:00Z</dcterms:created>
  <dcterms:modified xsi:type="dcterms:W3CDTF">2025-01-09T13:21:00Z</dcterms:modified>
</cp:coreProperties>
</file>