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7" w:rsidRDefault="0008244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 wp14:anchorId="01452170" wp14:editId="5420835A">
            <wp:simplePos x="0" y="0"/>
            <wp:positionH relativeFrom="column">
              <wp:posOffset>-26670</wp:posOffset>
            </wp:positionH>
            <wp:positionV relativeFrom="margin">
              <wp:posOffset>203200</wp:posOffset>
            </wp:positionV>
            <wp:extent cx="750570" cy="750570"/>
            <wp:effectExtent l="0" t="0" r="0" b="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83" w:rsidRDefault="004F2B83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</w:p>
    <w:p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4F2B83" w:rsidRDefault="00DB3FE1">
      <w:pPr>
        <w:pStyle w:val="FrameContents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color w:val="333333"/>
          <w:lang w:val="fr-FR"/>
        </w:rPr>
        <w:t>Direcţia genera</w:t>
      </w:r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4F2B83" w:rsidRDefault="00DB3FE1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4F2B83" w:rsidRDefault="004F2B83">
      <w:pPr>
        <w:pStyle w:val="Heading1"/>
        <w:rPr>
          <w:rFonts w:ascii="Arial" w:hAnsi="Arial"/>
          <w:lang w:val="ro-RO"/>
        </w:rPr>
      </w:pPr>
    </w:p>
    <w:p w:rsidR="004F2B83" w:rsidRPr="00B35ADD" w:rsidRDefault="00DB3FE1">
      <w:pPr>
        <w:pStyle w:val="Heading1"/>
        <w:ind w:firstLineChars="550" w:firstLine="1215"/>
      </w:pPr>
      <w:r w:rsidRPr="00B35ADD">
        <w:rPr>
          <w:rFonts w:ascii="Arial" w:hAnsi="Arial"/>
          <w:lang w:val="ro-RO"/>
        </w:rPr>
        <w:t>Nr.</w:t>
      </w:r>
      <w:r w:rsidR="00710602" w:rsidRPr="00B35ADD">
        <w:rPr>
          <w:rFonts w:ascii="Arial" w:hAnsi="Arial"/>
          <w:lang w:val="ro-RO"/>
        </w:rPr>
        <w:t xml:space="preserve"> </w:t>
      </w:r>
      <w:r w:rsidR="005E26A7">
        <w:rPr>
          <w:rFonts w:ascii="Arial" w:hAnsi="Arial"/>
          <w:lang w:val="ro-RO"/>
        </w:rPr>
        <w:t>389749/28.04.2023</w:t>
      </w:r>
    </w:p>
    <w:p w:rsidR="004F2B83" w:rsidRDefault="004F2B83">
      <w:pPr>
        <w:jc w:val="both"/>
        <w:rPr>
          <w:rFonts w:ascii="Arial" w:hAnsi="Arial"/>
          <w:b/>
          <w:bCs/>
          <w:lang w:val="ro-RO"/>
        </w:rPr>
      </w:pPr>
    </w:p>
    <w:p w:rsidR="004F2B83" w:rsidRDefault="00DB3FE1" w:rsidP="00402EB5">
      <w:pPr>
        <w:rPr>
          <w:rFonts w:ascii="Trebuchet MS" w:hAnsi="Trebuchet MS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>
        <w:rPr>
          <w:rFonts w:ascii="Trebuchet MS" w:hAnsi="Trebuchet MS"/>
          <w:b/>
          <w:bCs/>
          <w:lang w:val="ro-RO"/>
        </w:rPr>
        <w:t>ANUNȚ</w:t>
      </w:r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Pr="00B71ABE" w:rsidRDefault="00DB3FE1" w:rsidP="004B665F">
      <w:pPr>
        <w:jc w:val="center"/>
        <w:rPr>
          <w:rFonts w:ascii="Trebuchet MS" w:hAnsi="Trebuchet MS"/>
          <w:b/>
          <w:bCs/>
          <w:lang w:val="ro-RO"/>
        </w:rPr>
      </w:pPr>
      <w:r w:rsidRPr="00B71ABE"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</w:t>
      </w:r>
      <w:r w:rsidR="00FC078F" w:rsidRPr="00B71ABE">
        <w:rPr>
          <w:rFonts w:ascii="Trebuchet MS" w:hAnsi="Trebuchet MS"/>
          <w:b/>
          <w:bCs/>
          <w:iCs/>
          <w:lang w:val="ro-RO"/>
        </w:rPr>
        <w:t>lor</w:t>
      </w:r>
      <w:r w:rsidRPr="00B71ABE">
        <w:rPr>
          <w:rFonts w:ascii="Trebuchet MS" w:hAnsi="Trebuchet MS"/>
          <w:b/>
          <w:bCs/>
          <w:iCs/>
          <w:lang w:val="ro-RO"/>
        </w:rPr>
        <w:t xml:space="preserve"> publice de execuţie vacante de </w:t>
      </w:r>
      <w:r w:rsidR="004B665F" w:rsidRPr="00B71ABE">
        <w:rPr>
          <w:rFonts w:ascii="Trebuchet MS" w:hAnsi="Trebuchet MS"/>
          <w:b/>
          <w:bCs/>
          <w:iCs/>
          <w:lang w:val="ro-RO"/>
        </w:rPr>
        <w:t>consilier clasa I grad profesional superior</w:t>
      </w:r>
      <w:r w:rsidR="00B71ABE">
        <w:rPr>
          <w:rFonts w:ascii="Trebuchet MS" w:hAnsi="Trebuchet MS"/>
          <w:b/>
          <w:bCs/>
          <w:iCs/>
          <w:lang w:val="ro-RO"/>
        </w:rPr>
        <w:t xml:space="preserve"> (2 posturi)</w:t>
      </w:r>
      <w:r w:rsidR="004B665F" w:rsidRPr="00B71ABE">
        <w:rPr>
          <w:rFonts w:ascii="Trebuchet MS" w:hAnsi="Trebuchet MS"/>
          <w:b/>
          <w:bCs/>
          <w:iCs/>
          <w:lang w:val="ro-RO"/>
        </w:rPr>
        <w:t xml:space="preserve"> la Unitatea de evaluare a investițiilor publice, Direcția de programare a investițiilor publice din cadrul Direcției generale de programare bugetară</w:t>
      </w:r>
    </w:p>
    <w:bookmarkEnd w:id="0"/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Pr="00343073" w:rsidRDefault="00DB3FE1">
      <w:pPr>
        <w:ind w:firstLine="709"/>
        <w:jc w:val="both"/>
        <w:rPr>
          <w:rFonts w:ascii="Trebuchet MS" w:hAnsi="Trebuchet MS"/>
          <w:color w:val="000000"/>
          <w:lang w:val="ro-RO"/>
        </w:rPr>
      </w:pPr>
      <w:r w:rsidRPr="00343073">
        <w:rPr>
          <w:rFonts w:ascii="Trebuchet MS" w:hAnsi="Trebuchet MS"/>
          <w:lang w:val="ro-RO"/>
        </w:rPr>
        <w:t xml:space="preserve">Transferul la cerere se va realiza în temeiul </w:t>
      </w:r>
      <w:r w:rsidRPr="00343073">
        <w:rPr>
          <w:rFonts w:ascii="Trebuchet MS" w:hAnsi="Trebuchet MS"/>
          <w:color w:val="000000"/>
          <w:lang w:val="ro-RO"/>
        </w:rPr>
        <w:t>prevederilor art. 502 alin. (1) lit. c), ale art. 506 alin. (1) lit. b), alin. (2), alin. (5), alin. (8) și alin. (9) din Ordonanța de urgență a Guvernului nr. 57/2019 privind Codul administrativ, cu modificările și completările ulterioare.</w:t>
      </w:r>
    </w:p>
    <w:p w:rsidR="004F2B83" w:rsidRPr="00343073" w:rsidRDefault="004F2B83">
      <w:pPr>
        <w:ind w:firstLine="709"/>
        <w:jc w:val="both"/>
        <w:rPr>
          <w:rFonts w:ascii="Trebuchet MS" w:hAnsi="Trebuchet MS"/>
          <w:color w:val="000000"/>
          <w:lang w:val="ro-RO"/>
        </w:rPr>
      </w:pPr>
    </w:p>
    <w:p w:rsidR="004F2B83" w:rsidRPr="00343073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 w:rsidRPr="00343073"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 w:rsidRPr="00343073"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4F2B83" w:rsidRPr="00343073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4F2B83" w:rsidRPr="0034307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343073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:rsidR="004F2B83" w:rsidRPr="0034307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343073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4F2B83" w:rsidRPr="00343073" w:rsidRDefault="00DB3FE1">
      <w:pPr>
        <w:ind w:firstLine="709"/>
        <w:jc w:val="both"/>
        <w:rPr>
          <w:rFonts w:ascii="Trebuchet MS" w:hAnsi="Trebuchet MS"/>
          <w:color w:val="000000"/>
        </w:rPr>
      </w:pPr>
      <w:r w:rsidRPr="00343073"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:rsidR="004F2B83" w:rsidRPr="00343073" w:rsidRDefault="004F2B83">
      <w:pPr>
        <w:jc w:val="both"/>
        <w:rPr>
          <w:rFonts w:ascii="Trebuchet MS" w:hAnsi="Trebuchet MS"/>
          <w:color w:val="000000"/>
          <w:lang w:val="ro-RO"/>
        </w:rPr>
      </w:pPr>
    </w:p>
    <w:p w:rsidR="004F2B83" w:rsidRPr="00343073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 w:rsidRPr="00343073">
        <w:rPr>
          <w:rFonts w:ascii="Trebuchet MS" w:hAnsi="Trebuchet MS"/>
          <w:b/>
          <w:bCs/>
          <w:color w:val="000000"/>
          <w:lang w:val="ro-RO"/>
        </w:rPr>
        <w:t xml:space="preserve">Cererea de transfer se depune de către </w:t>
      </w:r>
      <w:r w:rsidRPr="00343073">
        <w:rPr>
          <w:rFonts w:ascii="Trebuchet MS" w:hAnsi="Trebuchet MS"/>
          <w:b/>
          <w:bCs/>
          <w:lang w:val="ro-RO"/>
        </w:rPr>
        <w:t>persoanele interesate, în termen de 8 zile lucrătoare de la data publicării a</w:t>
      </w:r>
      <w:r w:rsidR="00CC375C" w:rsidRPr="00343073">
        <w:rPr>
          <w:rFonts w:ascii="Trebuchet MS" w:hAnsi="Trebuchet MS"/>
          <w:b/>
          <w:bCs/>
          <w:lang w:val="ro-RO"/>
        </w:rPr>
        <w:t>nunțului, respectiv în perioada</w:t>
      </w:r>
      <w:r w:rsidR="00FF63CF" w:rsidRPr="00343073">
        <w:rPr>
          <w:rFonts w:ascii="Trebuchet MS" w:hAnsi="Trebuchet MS"/>
          <w:b/>
          <w:bCs/>
          <w:lang w:val="ro-RO"/>
        </w:rPr>
        <w:t xml:space="preserve"> </w:t>
      </w:r>
      <w:r w:rsidR="00522FA2" w:rsidRPr="00343073">
        <w:rPr>
          <w:rFonts w:ascii="Trebuchet MS" w:hAnsi="Trebuchet MS"/>
          <w:b/>
          <w:bCs/>
          <w:lang w:val="ro-RO"/>
        </w:rPr>
        <w:t>28.04</w:t>
      </w:r>
      <w:r w:rsidR="00DC2E3D" w:rsidRPr="00343073">
        <w:rPr>
          <w:rFonts w:ascii="Trebuchet MS" w:hAnsi="Trebuchet MS"/>
          <w:b/>
          <w:bCs/>
          <w:lang w:val="ro-RO"/>
        </w:rPr>
        <w:t xml:space="preserve"> - </w:t>
      </w:r>
      <w:r w:rsidR="00522FA2" w:rsidRPr="00343073">
        <w:rPr>
          <w:rFonts w:ascii="Trebuchet MS" w:hAnsi="Trebuchet MS"/>
          <w:b/>
          <w:bCs/>
          <w:lang w:val="ro-RO"/>
        </w:rPr>
        <w:t>10</w:t>
      </w:r>
      <w:r w:rsidRPr="00343073">
        <w:rPr>
          <w:rFonts w:ascii="Trebuchet MS" w:hAnsi="Trebuchet MS"/>
          <w:b/>
          <w:bCs/>
          <w:lang w:val="ro-RO"/>
        </w:rPr>
        <w:t>.</w:t>
      </w:r>
      <w:r w:rsidR="00FF63CF" w:rsidRPr="00343073">
        <w:rPr>
          <w:rFonts w:ascii="Trebuchet MS" w:hAnsi="Trebuchet MS"/>
          <w:b/>
          <w:bCs/>
          <w:lang w:val="ro-RO"/>
        </w:rPr>
        <w:t>0</w:t>
      </w:r>
      <w:r w:rsidR="00522FA2" w:rsidRPr="00343073">
        <w:rPr>
          <w:rFonts w:ascii="Trebuchet MS" w:hAnsi="Trebuchet MS"/>
          <w:b/>
          <w:bCs/>
          <w:lang w:val="ro-RO"/>
        </w:rPr>
        <w:t>5</w:t>
      </w:r>
      <w:r w:rsidR="00FF63CF" w:rsidRPr="00343073">
        <w:rPr>
          <w:rFonts w:ascii="Trebuchet MS" w:hAnsi="Trebuchet MS"/>
          <w:b/>
          <w:bCs/>
          <w:lang w:val="ro-RO"/>
        </w:rPr>
        <w:t>.</w:t>
      </w:r>
      <w:r w:rsidRPr="00343073">
        <w:rPr>
          <w:rFonts w:ascii="Trebuchet MS" w:hAnsi="Trebuchet MS"/>
          <w:b/>
          <w:bCs/>
          <w:lang w:val="ro-RO"/>
        </w:rPr>
        <w:t>2023 inclusiv,</w:t>
      </w:r>
      <w:r w:rsidRPr="00343073">
        <w:rPr>
          <w:rFonts w:ascii="Trebuchet MS" w:hAnsi="Trebuchet MS"/>
          <w:lang w:val="ro-RO"/>
        </w:rPr>
        <w:t xml:space="preserve"> la sediul Ministerului Finanțelor din </w:t>
      </w:r>
      <w:r w:rsidRPr="00343073">
        <w:rPr>
          <w:rFonts w:ascii="Trebuchet MS" w:eastAsia="Times New Roman" w:hAnsi="Trebuchet MS"/>
          <w:lang w:val="ro-RO"/>
        </w:rPr>
        <w:t>Bd. Libertății, nr.16, sector 5, București - Direcția generală managementul resur</w:t>
      </w:r>
      <w:r w:rsidR="003B4081" w:rsidRPr="00343073">
        <w:rPr>
          <w:rFonts w:ascii="Trebuchet MS" w:eastAsia="Times New Roman" w:hAnsi="Trebuchet MS"/>
          <w:lang w:val="ro-RO"/>
        </w:rPr>
        <w:t xml:space="preserve">selor umane – etaj 2, camera </w:t>
      </w:r>
      <w:r w:rsidR="00A960AE" w:rsidRPr="00343073">
        <w:rPr>
          <w:rFonts w:ascii="Trebuchet MS" w:eastAsia="Times New Roman" w:hAnsi="Trebuchet MS"/>
          <w:lang w:val="ro-RO"/>
        </w:rPr>
        <w:t>419</w:t>
      </w:r>
      <w:r w:rsidRPr="00343073">
        <w:rPr>
          <w:rFonts w:ascii="Trebuchet MS" w:eastAsia="Times New Roman" w:hAnsi="Trebuchet MS"/>
          <w:lang w:val="ro-RO"/>
        </w:rPr>
        <w:t xml:space="preserve">, în intervalele orare </w:t>
      </w:r>
      <w:r w:rsidRPr="00343073">
        <w:rPr>
          <w:rFonts w:ascii="Trebuchet MS" w:eastAsia="Times New Roman" w:hAnsi="Trebuchet MS"/>
          <w:bCs/>
          <w:lang w:val="ro-RO"/>
        </w:rPr>
        <w:t>8.30-17.00 (luni-joi) și 08.30-14.30 (vineri)</w:t>
      </w:r>
      <w:r w:rsidRPr="00343073"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:rsidR="004F2B83" w:rsidRPr="0034307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343073">
        <w:rPr>
          <w:rFonts w:ascii="Trebuchet MS" w:eastAsia="Times New Roman" w:hAnsi="Trebuchet MS"/>
          <w:lang w:val="ro-RO"/>
        </w:rPr>
        <w:t>curriculum vitae, modelul comun european;</w:t>
      </w:r>
    </w:p>
    <w:p w:rsidR="004F2B83" w:rsidRPr="0034307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343073">
        <w:rPr>
          <w:rFonts w:ascii="Trebuchet MS" w:eastAsia="Times New Roman" w:hAnsi="Trebuchet MS"/>
          <w:lang w:val="ro-RO"/>
        </w:rPr>
        <w:t>copia actului de identitate;</w:t>
      </w:r>
    </w:p>
    <w:p w:rsidR="004F2B83" w:rsidRPr="0034307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343073"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4F2B83" w:rsidRPr="0034307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343073"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4F2B83" w:rsidRPr="0034307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343073">
        <w:rPr>
          <w:rFonts w:ascii="Trebuchet MS" w:eastAsia="Times New Roman" w:hAnsi="Trebuchet MS"/>
          <w:lang w:val="ro-RO"/>
        </w:rPr>
        <w:lastRenderedPageBreak/>
        <w:t>adeverința medicală, care să ateste starea de sănătate corespunzătoare funcției solicitate.</w:t>
      </w:r>
    </w:p>
    <w:p w:rsidR="004F2B83" w:rsidRPr="00343073" w:rsidRDefault="004F2B83">
      <w:pPr>
        <w:ind w:firstLine="709"/>
        <w:jc w:val="both"/>
        <w:rPr>
          <w:bCs/>
          <w:lang w:val="ro-RO"/>
        </w:rPr>
      </w:pPr>
    </w:p>
    <w:p w:rsidR="004F2B83" w:rsidRPr="0034307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343073"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4F2B83" w:rsidRPr="00343073" w:rsidRDefault="004F2B83">
      <w:pPr>
        <w:jc w:val="both"/>
        <w:rPr>
          <w:rFonts w:ascii="Trebuchet MS" w:eastAsia="Times New Roman" w:hAnsi="Trebuchet MS"/>
          <w:lang w:val="ro-RO"/>
        </w:rPr>
      </w:pPr>
    </w:p>
    <w:p w:rsidR="004F2B83" w:rsidRPr="0034307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343073"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:rsidR="004F2B83" w:rsidRPr="0034307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 w:rsidRPr="00343073"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4F2B83" w:rsidRPr="0034307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 w:rsidRPr="00343073"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4F2B83" w:rsidRPr="0034307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CC375C" w:rsidRPr="00343073" w:rsidRDefault="00DB3FE1" w:rsidP="00402EB5">
      <w:pPr>
        <w:jc w:val="both"/>
        <w:rPr>
          <w:rFonts w:ascii="Trebuchet MS" w:eastAsia="Arial" w:hAnsi="Trebuchet MS"/>
          <w:lang w:val="ro-RO" w:eastAsia="en-US"/>
        </w:rPr>
      </w:pPr>
      <w:r w:rsidRPr="00343073"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 w:rsidRPr="00343073">
        <w:rPr>
          <w:rFonts w:ascii="Trebuchet MS" w:eastAsia="Times New Roman" w:hAnsi="Trebuchet MS"/>
          <w:lang w:val="ro-RO"/>
        </w:rPr>
        <w:br/>
      </w:r>
    </w:p>
    <w:p w:rsidR="004F2B83" w:rsidRPr="00343073" w:rsidRDefault="00A4310A" w:rsidP="00CC375C">
      <w:pPr>
        <w:pStyle w:val="Header"/>
        <w:tabs>
          <w:tab w:val="clear" w:pos="4680"/>
          <w:tab w:val="clear" w:pos="9360"/>
        </w:tabs>
        <w:jc w:val="both"/>
        <w:rPr>
          <w:i/>
          <w:color w:val="000000" w:themeColor="text1"/>
          <w:lang w:val="ro-RO"/>
        </w:rPr>
      </w:pPr>
      <w:r w:rsidRPr="00343073">
        <w:rPr>
          <w:rFonts w:ascii="Trebuchet MS" w:hAnsi="Trebuchet MS"/>
          <w:b/>
          <w:bCs/>
          <w:i/>
          <w:color w:val="000000" w:themeColor="text1"/>
          <w:lang w:val="ro-RO" w:eastAsia="en-US"/>
        </w:rPr>
        <w:t>1.</w:t>
      </w:r>
      <w:r w:rsidR="00DB3FE1" w:rsidRPr="00343073">
        <w:rPr>
          <w:rFonts w:ascii="Trebuchet MS" w:hAnsi="Trebuchet MS"/>
          <w:b/>
          <w:bCs/>
          <w:i/>
          <w:color w:val="000000" w:themeColor="text1"/>
          <w:lang w:val="ro-RO" w:eastAsia="en-US"/>
        </w:rPr>
        <w:t xml:space="preserve">Condiţii </w:t>
      </w:r>
      <w:r w:rsidR="00DB3FE1" w:rsidRPr="00343073">
        <w:rPr>
          <w:rFonts w:ascii="Trebuchet MS" w:hAnsi="Trebuchet MS"/>
          <w:b/>
          <w:bCs/>
          <w:i/>
          <w:color w:val="000000" w:themeColor="text1"/>
          <w:lang w:eastAsia="en-US"/>
        </w:rPr>
        <w:t>specifice pentru ocuparea prin transfer la cerere a func</w:t>
      </w:r>
      <w:r w:rsidR="00DB3FE1" w:rsidRPr="00343073">
        <w:rPr>
          <w:rFonts w:ascii="Trebuchet MS" w:hAnsi="Trebuchet MS"/>
          <w:b/>
          <w:bCs/>
          <w:i/>
          <w:color w:val="000000" w:themeColor="text1"/>
          <w:lang w:val="ro-RO" w:eastAsia="en-US"/>
        </w:rPr>
        <w:t>ț</w:t>
      </w:r>
      <w:r w:rsidR="00DB3FE1" w:rsidRPr="00343073">
        <w:rPr>
          <w:rFonts w:ascii="Trebuchet MS" w:hAnsi="Trebuchet MS"/>
          <w:b/>
          <w:bCs/>
          <w:i/>
          <w:color w:val="000000" w:themeColor="text1"/>
          <w:lang w:eastAsia="en-US"/>
        </w:rPr>
        <w:t>ii</w:t>
      </w:r>
      <w:r w:rsidR="003F33E4" w:rsidRPr="00343073">
        <w:rPr>
          <w:rFonts w:ascii="Trebuchet MS" w:hAnsi="Trebuchet MS"/>
          <w:b/>
          <w:bCs/>
          <w:i/>
          <w:color w:val="000000" w:themeColor="text1"/>
          <w:lang w:eastAsia="en-US"/>
        </w:rPr>
        <w:t>lor</w:t>
      </w:r>
      <w:r w:rsidR="00CC375C" w:rsidRPr="00343073">
        <w:rPr>
          <w:rFonts w:ascii="Trebuchet MS" w:hAnsi="Trebuchet MS"/>
          <w:b/>
          <w:bCs/>
          <w:i/>
          <w:color w:val="000000" w:themeColor="text1"/>
          <w:lang w:eastAsia="en-US"/>
        </w:rPr>
        <w:t xml:space="preserve"> publice de execuție vacante de </w:t>
      </w:r>
      <w:r w:rsidR="003F33E4" w:rsidRPr="00343073">
        <w:rPr>
          <w:rFonts w:ascii="Trebuchet MS" w:hAnsi="Trebuchet MS"/>
          <w:b/>
          <w:i/>
          <w:iCs/>
          <w:color w:val="000000" w:themeColor="text1"/>
          <w:lang w:val="ro-RO"/>
        </w:rPr>
        <w:t>consilier clasa I, grad profesional superior (2 posturi) – ID</w:t>
      </w:r>
      <w:r w:rsidR="003F33E4" w:rsidRPr="00343073">
        <w:rPr>
          <w:rFonts w:ascii="Trebuchet MS" w:hAnsi="Trebuchet MS"/>
          <w:b/>
          <w:i/>
          <w:iCs/>
          <w:color w:val="000000" w:themeColor="text1"/>
        </w:rPr>
        <w:t>:</w:t>
      </w:r>
      <w:r w:rsidR="003F33E4" w:rsidRPr="00343073">
        <w:rPr>
          <w:i/>
          <w:color w:val="000000" w:themeColor="text1"/>
        </w:rPr>
        <w:t xml:space="preserve"> </w:t>
      </w:r>
      <w:r w:rsidR="00343073" w:rsidRPr="00343073">
        <w:rPr>
          <w:rFonts w:ascii="Trebuchet MS" w:hAnsi="Trebuchet MS"/>
          <w:b/>
          <w:i/>
          <w:iCs/>
          <w:color w:val="000000" w:themeColor="text1"/>
        </w:rPr>
        <w:t>4241</w:t>
      </w:r>
      <w:r w:rsidR="0065319D">
        <w:rPr>
          <w:rFonts w:ascii="Trebuchet MS" w:hAnsi="Trebuchet MS"/>
          <w:b/>
          <w:i/>
          <w:iCs/>
          <w:color w:val="000000" w:themeColor="text1"/>
        </w:rPr>
        <w:t>2</w:t>
      </w:r>
      <w:r w:rsidR="00343073" w:rsidRPr="00343073">
        <w:rPr>
          <w:rFonts w:ascii="Trebuchet MS" w:hAnsi="Trebuchet MS"/>
          <w:b/>
          <w:i/>
          <w:iCs/>
          <w:color w:val="000000" w:themeColor="text1"/>
        </w:rPr>
        <w:t>7</w:t>
      </w:r>
      <w:r w:rsidR="003F33E4" w:rsidRPr="00343073">
        <w:rPr>
          <w:rFonts w:ascii="Trebuchet MS" w:hAnsi="Trebuchet MS"/>
          <w:b/>
          <w:i/>
          <w:iCs/>
          <w:color w:val="000000" w:themeColor="text1"/>
        </w:rPr>
        <w:t xml:space="preserve"> </w:t>
      </w:r>
      <w:r w:rsidR="003F33E4" w:rsidRPr="00343073">
        <w:rPr>
          <w:rFonts w:ascii="Trebuchet MS" w:hAnsi="Trebuchet MS"/>
          <w:b/>
          <w:i/>
          <w:iCs/>
          <w:color w:val="000000" w:themeColor="text1"/>
          <w:lang w:val="ro-RO"/>
        </w:rPr>
        <w:t>și</w:t>
      </w:r>
      <w:r w:rsidR="003F33E4" w:rsidRPr="00343073">
        <w:rPr>
          <w:i/>
          <w:color w:val="000000" w:themeColor="text1"/>
        </w:rPr>
        <w:t xml:space="preserve"> </w:t>
      </w:r>
      <w:r w:rsidR="00343073" w:rsidRPr="00343073">
        <w:rPr>
          <w:rFonts w:ascii="Trebuchet MS" w:hAnsi="Trebuchet MS"/>
          <w:b/>
          <w:i/>
          <w:iCs/>
          <w:color w:val="000000" w:themeColor="text1"/>
          <w:lang w:val="ro-RO"/>
        </w:rPr>
        <w:t>323538</w:t>
      </w:r>
      <w:r w:rsidR="003F33E4" w:rsidRPr="00343073">
        <w:rPr>
          <w:rFonts w:ascii="Trebuchet MS" w:hAnsi="Trebuchet MS"/>
          <w:b/>
          <w:i/>
          <w:iCs/>
          <w:color w:val="000000" w:themeColor="text1"/>
          <w:lang w:val="ro-RO"/>
        </w:rPr>
        <w:t xml:space="preserve"> la </w:t>
      </w:r>
      <w:r w:rsidR="00813706" w:rsidRPr="00343073">
        <w:rPr>
          <w:rFonts w:ascii="Trebuchet MS" w:hAnsi="Trebuchet MS"/>
          <w:b/>
          <w:i/>
          <w:iCs/>
          <w:color w:val="000000" w:themeColor="text1"/>
          <w:lang w:val="ro-RO"/>
        </w:rPr>
        <w:t>Unitatea de evaluare a investițiilor publice</w:t>
      </w:r>
      <w:r w:rsidR="00D00CB2" w:rsidRPr="00343073">
        <w:rPr>
          <w:rFonts w:ascii="Trebuchet MS" w:hAnsi="Trebuchet MS"/>
          <w:b/>
          <w:bCs/>
          <w:i/>
          <w:color w:val="000000" w:themeColor="text1"/>
          <w:lang w:val="ro-RO"/>
        </w:rPr>
        <w:t>:</w:t>
      </w:r>
    </w:p>
    <w:p w:rsidR="004F2B83" w:rsidRPr="00343073" w:rsidRDefault="004F2B83">
      <w:pPr>
        <w:pStyle w:val="ListParagraph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:rsidR="004F2B83" w:rsidRPr="00343073" w:rsidRDefault="00DB3FE1">
      <w:pPr>
        <w:pStyle w:val="ListParagraph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343073">
        <w:rPr>
          <w:rFonts w:ascii="Trebuchet MS" w:hAnsi="Trebuchet MS"/>
          <w:color w:val="000000" w:themeColor="text1"/>
          <w:sz w:val="24"/>
          <w:szCs w:val="24"/>
          <w:lang w:val="ro-RO"/>
        </w:rPr>
        <w:t>S</w:t>
      </w:r>
      <w:r w:rsidRPr="00343073">
        <w:rPr>
          <w:rFonts w:ascii="Trebuchet MS" w:hAnsi="Trebuchet MS" w:cs="Trebuchet MS"/>
          <w:color w:val="000000" w:themeColor="text1"/>
          <w:sz w:val="24"/>
          <w:szCs w:val="24"/>
          <w:lang w:val="it-IT"/>
        </w:rPr>
        <w:t>tudii</w:t>
      </w:r>
      <w:r w:rsidRPr="00343073">
        <w:rPr>
          <w:rFonts w:ascii="Trebuchet MS" w:hAnsi="Trebuchet MS" w:cs="Trebuchet MS"/>
          <w:color w:val="000000" w:themeColor="text1"/>
          <w:sz w:val="24"/>
          <w:szCs w:val="24"/>
          <w:lang w:val="ro-RO"/>
        </w:rPr>
        <w:t xml:space="preserve"> de specialitate: studii</w:t>
      </w:r>
      <w:r w:rsidRPr="00343073">
        <w:rPr>
          <w:rFonts w:ascii="Trebuchet MS" w:hAnsi="Trebuchet MS" w:cs="Trebuchet MS"/>
          <w:color w:val="000000" w:themeColor="text1"/>
          <w:sz w:val="24"/>
          <w:szCs w:val="24"/>
          <w:lang w:val="it-IT"/>
        </w:rPr>
        <w:t xml:space="preserve"> universitare de licenţă, absolvite cu diplomă de licenţă sau </w:t>
      </w:r>
      <w:r w:rsidRPr="00343073">
        <w:rPr>
          <w:rFonts w:ascii="Trebuchet MS" w:hAnsi="Trebuchet MS" w:cs="Trebuchet MS"/>
          <w:sz w:val="24"/>
          <w:szCs w:val="24"/>
          <w:lang w:val="it-IT"/>
        </w:rPr>
        <w:t xml:space="preserve">echivalentă în domeniul </w:t>
      </w:r>
      <w:r w:rsidR="003823FD" w:rsidRPr="00343073">
        <w:rPr>
          <w:rFonts w:ascii="Trebuchet MS" w:hAnsi="Trebuchet MS" w:cs="Trebuchet MS"/>
          <w:sz w:val="24"/>
          <w:szCs w:val="24"/>
          <w:lang w:val="en-US"/>
        </w:rPr>
        <w:t>științe</w:t>
      </w:r>
      <w:r w:rsidR="00CC375C" w:rsidRPr="00343073">
        <w:rPr>
          <w:rFonts w:ascii="Trebuchet MS" w:hAnsi="Trebuchet MS" w:cs="Trebuchet MS"/>
          <w:sz w:val="24"/>
          <w:szCs w:val="24"/>
          <w:lang w:val="en-US"/>
        </w:rPr>
        <w:t>lor</w:t>
      </w:r>
      <w:r w:rsidR="003823FD" w:rsidRPr="00343073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="00343073" w:rsidRPr="00343073">
        <w:rPr>
          <w:rFonts w:ascii="Trebuchet MS" w:hAnsi="Trebuchet MS" w:cs="Trebuchet MS"/>
          <w:sz w:val="24"/>
          <w:szCs w:val="24"/>
          <w:lang w:val="en-US"/>
        </w:rPr>
        <w:t xml:space="preserve">inginerești, </w:t>
      </w:r>
      <w:r w:rsidR="00570CE7" w:rsidRPr="00343073">
        <w:rPr>
          <w:rFonts w:ascii="Trebuchet MS" w:hAnsi="Trebuchet MS" w:cs="Trebuchet MS"/>
          <w:sz w:val="24"/>
          <w:szCs w:val="24"/>
          <w:lang w:val="en-US"/>
        </w:rPr>
        <w:t>științelor</w:t>
      </w:r>
      <w:r w:rsidR="00343073" w:rsidRPr="00343073">
        <w:rPr>
          <w:rFonts w:ascii="Trebuchet MS" w:hAnsi="Trebuchet MS" w:cs="Trebuchet MS"/>
          <w:sz w:val="24"/>
          <w:szCs w:val="24"/>
          <w:lang w:val="en-US"/>
        </w:rPr>
        <w:t xml:space="preserve"> economice, </w:t>
      </w:r>
      <w:r w:rsidR="00570CE7" w:rsidRPr="00343073">
        <w:rPr>
          <w:rFonts w:ascii="Trebuchet MS" w:hAnsi="Trebuchet MS" w:cs="Trebuchet MS"/>
          <w:sz w:val="24"/>
          <w:szCs w:val="24"/>
          <w:lang w:val="en-US"/>
        </w:rPr>
        <w:t xml:space="preserve">științelor </w:t>
      </w:r>
      <w:r w:rsidR="00343073" w:rsidRPr="00343073">
        <w:rPr>
          <w:rFonts w:ascii="Trebuchet MS" w:hAnsi="Trebuchet MS" w:cs="Trebuchet MS"/>
          <w:sz w:val="24"/>
          <w:szCs w:val="24"/>
          <w:lang w:val="en-US"/>
        </w:rPr>
        <w:t>juridice</w:t>
      </w:r>
      <w:r w:rsidR="003823FD" w:rsidRPr="00343073">
        <w:rPr>
          <w:rFonts w:ascii="Trebuchet MS" w:hAnsi="Trebuchet MS" w:cs="Trebuchet MS"/>
          <w:sz w:val="24"/>
          <w:szCs w:val="24"/>
          <w:lang w:val="en-US"/>
        </w:rPr>
        <w:t>;</w:t>
      </w:r>
    </w:p>
    <w:p w:rsidR="00CC375C" w:rsidRPr="00343073" w:rsidRDefault="00DB3FE1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eastAsia="Calibri" w:hAnsi="Trebuchet MS" w:cs="Trebuchet MS"/>
          <w:sz w:val="24"/>
          <w:szCs w:val="24"/>
          <w:lang w:val="it-IT"/>
        </w:rPr>
      </w:pPr>
      <w:r w:rsidRPr="00343073">
        <w:rPr>
          <w:rFonts w:ascii="Trebuchet MS" w:eastAsia="Calibri" w:hAnsi="Trebuchet MS" w:cs="Trebuchet MS"/>
          <w:sz w:val="24"/>
          <w:szCs w:val="24"/>
          <w:lang w:val="it-IT"/>
        </w:rPr>
        <w:t>Cunoştinţe de operare /programare pe calculator</w:t>
      </w:r>
      <w:r w:rsidR="00CC375C" w:rsidRPr="00343073">
        <w:rPr>
          <w:rFonts w:ascii="Trebuchet MS" w:eastAsia="Calibri" w:hAnsi="Trebuchet MS" w:cs="Trebuchet MS"/>
          <w:sz w:val="24"/>
          <w:szCs w:val="24"/>
          <w:lang w:val="it-IT"/>
        </w:rPr>
        <w:t xml:space="preserve">: </w:t>
      </w:r>
      <w:r w:rsidR="00813706" w:rsidRPr="00343073">
        <w:rPr>
          <w:rFonts w:ascii="Trebuchet MS" w:eastAsia="Calibri" w:hAnsi="Trebuchet MS" w:cs="Trebuchet MS"/>
          <w:sz w:val="24"/>
          <w:szCs w:val="24"/>
          <w:lang w:val="it-IT"/>
        </w:rPr>
        <w:t>aplicații tip Office (editor de texte, prezentări, calcul tabelar) email sau alte programe similare</w:t>
      </w:r>
      <w:r w:rsidR="002825B7" w:rsidRPr="00343073">
        <w:rPr>
          <w:rFonts w:ascii="Trebuchet MS" w:eastAsia="Calibri" w:hAnsi="Trebuchet MS" w:cs="Trebuchet MS"/>
          <w:sz w:val="24"/>
          <w:szCs w:val="24"/>
          <w:lang w:val="it-IT"/>
        </w:rPr>
        <w:t xml:space="preserve"> – </w:t>
      </w:r>
      <w:r w:rsidR="00813706" w:rsidRPr="00343073">
        <w:rPr>
          <w:rFonts w:ascii="Trebuchet MS" w:eastAsia="Calibri" w:hAnsi="Trebuchet MS" w:cs="Trebuchet MS"/>
          <w:sz w:val="24"/>
          <w:szCs w:val="24"/>
          <w:lang w:val="it-IT"/>
        </w:rPr>
        <w:t>nivel mediu</w:t>
      </w:r>
      <w:r w:rsidR="002825B7" w:rsidRPr="00343073">
        <w:rPr>
          <w:rFonts w:ascii="Trebuchet MS" w:eastAsia="Calibri" w:hAnsi="Trebuchet MS" w:cs="Trebuchet MS"/>
          <w:sz w:val="24"/>
          <w:szCs w:val="24"/>
          <w:lang w:val="it-IT"/>
        </w:rPr>
        <w:t>,</w:t>
      </w:r>
    </w:p>
    <w:p w:rsidR="004F2B83" w:rsidRPr="00343073" w:rsidRDefault="00DB3FE1">
      <w:pPr>
        <w:pStyle w:val="ListParagraph"/>
        <w:widowControl w:val="0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43073">
        <w:rPr>
          <w:rFonts w:ascii="Trebuchet MS" w:hAnsi="Trebuchet MS" w:cs="Trebuchet MS"/>
          <w:color w:val="000000" w:themeColor="text1"/>
          <w:sz w:val="24"/>
          <w:szCs w:val="24"/>
          <w:lang w:val="ro-RO"/>
        </w:rPr>
        <w:t>Vechime în specialitatea studiilor necesare exercitării funcției publice - minimum 7 ani.</w:t>
      </w:r>
    </w:p>
    <w:p w:rsidR="004F2B83" w:rsidRPr="00343073" w:rsidRDefault="004F2B83">
      <w:pPr>
        <w:pStyle w:val="ListParagraph"/>
        <w:widowControl w:val="0"/>
        <w:jc w:val="both"/>
        <w:rPr>
          <w:rFonts w:ascii="Trebuchet MS" w:eastAsia="Calibri" w:hAnsi="Trebuchet MS" w:cs="Trebuchet MS"/>
          <w:sz w:val="24"/>
          <w:szCs w:val="24"/>
          <w:lang w:val="it-IT"/>
        </w:rPr>
      </w:pPr>
    </w:p>
    <w:p w:rsidR="004F2B83" w:rsidRPr="00343073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4"/>
          <w:lang w:val="it-IT"/>
        </w:rPr>
      </w:pPr>
      <w:r w:rsidRPr="00343073">
        <w:rPr>
          <w:rFonts w:ascii="Trebuchet MS" w:eastAsia="Calibri" w:hAnsi="Trebuchet MS" w:cs="Trebuchet MS"/>
          <w:sz w:val="24"/>
          <w:szCs w:val="24"/>
          <w:lang w:val="it-IT"/>
        </w:rPr>
        <w:t>Abilităţi, calităţi şi aptitudini necesare:</w:t>
      </w:r>
    </w:p>
    <w:p w:rsidR="005A5E1C" w:rsidRPr="00343073" w:rsidRDefault="00CC375C" w:rsidP="005A5E1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4"/>
          <w:lang w:val="it-IT"/>
        </w:rPr>
      </w:pPr>
      <w:r w:rsidRPr="00343073">
        <w:rPr>
          <w:rFonts w:ascii="Trebuchet MS" w:eastAsia="Calibri" w:hAnsi="Trebuchet MS" w:cs="Trebuchet MS"/>
          <w:sz w:val="24"/>
          <w:szCs w:val="24"/>
          <w:lang w:val="it-IT"/>
        </w:rPr>
        <w:t>-</w:t>
      </w:r>
      <w:bookmarkStart w:id="1" w:name="__DdeLink__1441_1042641606"/>
      <w:r w:rsidRPr="00343073">
        <w:rPr>
          <w:rFonts w:ascii="Trebuchet MS" w:eastAsia="Calibri" w:hAnsi="Trebuchet MS" w:cs="Trebuchet MS"/>
          <w:sz w:val="24"/>
          <w:szCs w:val="24"/>
          <w:lang w:val="it-IT"/>
        </w:rPr>
        <w:t xml:space="preserve"> </w:t>
      </w:r>
      <w:bookmarkEnd w:id="1"/>
      <w:r w:rsidR="005A5E1C" w:rsidRPr="00343073">
        <w:rPr>
          <w:rFonts w:ascii="Trebuchet MS" w:eastAsia="Calibri" w:hAnsi="Trebuchet MS" w:cs="Trebuchet MS"/>
          <w:sz w:val="24"/>
          <w:szCs w:val="24"/>
          <w:lang w:val="it-IT"/>
        </w:rPr>
        <w:t>orientare către rezultate: planificare și prioritizare, orientat spre soluționare, rezistență la factori externi, personalitate proactivă și responsabilă;</w:t>
      </w:r>
    </w:p>
    <w:p w:rsidR="005A5E1C" w:rsidRPr="00343073" w:rsidRDefault="005A5E1C" w:rsidP="005A5E1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4"/>
          <w:lang w:val="it-IT"/>
        </w:rPr>
      </w:pPr>
      <w:r w:rsidRPr="00343073">
        <w:rPr>
          <w:rFonts w:ascii="Trebuchet MS" w:eastAsia="Calibri" w:hAnsi="Trebuchet MS" w:cs="Trebuchet MS"/>
          <w:sz w:val="24"/>
          <w:szCs w:val="24"/>
          <w:lang w:val="it-IT"/>
        </w:rPr>
        <w:t>- adaptabilitate, gândire critică şi analitică, capacitate de evaluare a riscurilor, capacitate de a identifica şi de a implementa soluţii, creativitate şi inovativitate, abilităţi de comunicare, inclusiv mediere şi negociere, capacitate de a lucra eficient în echipă.</w:t>
      </w:r>
    </w:p>
    <w:p w:rsidR="005C78E1" w:rsidRPr="00343073" w:rsidRDefault="005C78E1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4"/>
          <w:lang w:val="it-IT"/>
        </w:rPr>
      </w:pPr>
    </w:p>
    <w:p w:rsidR="00570CE7" w:rsidRDefault="005C78E1" w:rsidP="00570CE7">
      <w:pPr>
        <w:widowControl w:val="0"/>
        <w:rPr>
          <w:rFonts w:ascii="Trebuchet MS" w:hAnsi="Trebuchet MS" w:cs="Trebuchet MS"/>
          <w:bCs/>
          <w:lang w:val="ro-RO"/>
        </w:rPr>
      </w:pPr>
      <w:r w:rsidRPr="00343073">
        <w:rPr>
          <w:rFonts w:ascii="Trebuchet MS" w:hAnsi="Trebuchet MS" w:cs="Trebuchet MS"/>
          <w:bCs/>
          <w:lang w:val="ro-RO"/>
        </w:rPr>
        <w:t>Cerințe specifice:</w:t>
      </w:r>
    </w:p>
    <w:p w:rsidR="004A401A" w:rsidRPr="00343073" w:rsidRDefault="005C78E1" w:rsidP="00570CE7">
      <w:pPr>
        <w:widowControl w:val="0"/>
        <w:ind w:firstLine="540"/>
        <w:rPr>
          <w:rFonts w:ascii="Trebuchet MS" w:hAnsi="Trebuchet MS"/>
          <w:color w:val="000000"/>
          <w:lang w:val="ro-RO"/>
        </w:rPr>
      </w:pPr>
      <w:r w:rsidRPr="00343073">
        <w:rPr>
          <w:rFonts w:ascii="Trebuchet MS" w:hAnsi="Trebuchet MS" w:cs="Trebuchet MS"/>
          <w:bCs/>
          <w:lang w:val="ro-RO"/>
        </w:rPr>
        <w:t xml:space="preserve">- </w:t>
      </w:r>
      <w:r w:rsidR="00692D0B" w:rsidRPr="00343073">
        <w:rPr>
          <w:rFonts w:ascii="Trebuchet MS" w:eastAsia="Calibri" w:hAnsi="Trebuchet MS" w:cs="Trebuchet MS"/>
          <w:lang w:val="it-IT"/>
        </w:rPr>
        <w:t>deplasări, delegări, disponibilitate pentru lucru în program prelungit în anumite condiții, după caz</w:t>
      </w:r>
      <w:r w:rsidR="00617112" w:rsidRPr="00343073">
        <w:rPr>
          <w:rFonts w:ascii="Trebuchet MS" w:eastAsia="Calibri" w:hAnsi="Trebuchet MS" w:cs="Trebuchet MS"/>
          <w:lang w:val="it-IT"/>
        </w:rPr>
        <w:t>.</w:t>
      </w:r>
    </w:p>
    <w:p w:rsidR="005C78E1" w:rsidRPr="00343073" w:rsidRDefault="005C78E1" w:rsidP="005C78E1">
      <w:pPr>
        <w:widowControl w:val="0"/>
        <w:rPr>
          <w:rFonts w:ascii="Trebuchet MS" w:hAnsi="Trebuchet MS" w:cs="Trebuchet MS"/>
          <w:b/>
          <w:bCs/>
          <w:color w:val="FF0000"/>
          <w:lang w:val="ro-RO"/>
        </w:rPr>
      </w:pPr>
    </w:p>
    <w:p w:rsidR="00343073" w:rsidRP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343073" w:rsidRP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343073" w:rsidRP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343073" w:rsidRP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343073" w:rsidRP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343073" w:rsidRP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343073" w:rsidRDefault="00343073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BIBLIOGRAFIE PRIVIND OCUPAREA FUNCȚII</w:t>
      </w:r>
      <w:r w:rsidR="0082617F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 </w:t>
      </w: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E376B3">
        <w:rPr>
          <w:rFonts w:ascii="Trebuchet MS" w:hAnsi="Trebuchet MS"/>
          <w:sz w:val="24"/>
          <w:szCs w:val="24"/>
          <w:lang w:val="ro-RO"/>
        </w:rPr>
        <w:t>Hotărârea Guvernului nr. 34/2009 privind organizarea și funcționarea Ministerului finanțelor, cu modificările și completările ulterioare;</w:t>
      </w:r>
    </w:p>
    <w:p w:rsidR="00076EED" w:rsidRDefault="00076EED" w:rsidP="00076EED">
      <w:pPr>
        <w:pStyle w:val="Normal1"/>
        <w:spacing w:line="276" w:lineRule="auto"/>
        <w:ind w:left="720" w:firstLine="0"/>
        <w:rPr>
          <w:rFonts w:ascii="Trebuchet MS" w:hAnsi="Trebuchet MS"/>
          <w:sz w:val="24"/>
          <w:szCs w:val="24"/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1E3694">
        <w:rPr>
          <w:rFonts w:ascii="Trebuchet MS" w:hAnsi="Trebuchet MS"/>
          <w:sz w:val="24"/>
          <w:szCs w:val="24"/>
          <w:lang w:val="ro-RO"/>
        </w:rPr>
        <w:t>Secțiunea a 3-a din Legea nr. 500/2002 privind finanțele publice, cu modificările și completările ulterioare;</w:t>
      </w:r>
    </w:p>
    <w:p w:rsidR="00076EED" w:rsidRDefault="00076EED" w:rsidP="00076EED">
      <w:pPr>
        <w:pStyle w:val="ListParagraph"/>
        <w:rPr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1E3694">
        <w:rPr>
          <w:rFonts w:ascii="Trebuchet MS" w:hAnsi="Trebuchet MS"/>
          <w:sz w:val="24"/>
          <w:szCs w:val="24"/>
          <w:lang w:val="ro-RO"/>
        </w:rPr>
        <w:t>Capitolul II din Ordonanța de Urgență a Guvernului nr. 88/2013, privind adoptarea unor măsuri fiscal-bugetare pentru îndeplinirea unor angajamente convenite cu organismele internaţionale, precum şi pentru modificarea şi completarea unor acte normative, cu modifică</w:t>
      </w:r>
      <w:r>
        <w:rPr>
          <w:rFonts w:ascii="Trebuchet MS" w:hAnsi="Trebuchet MS"/>
          <w:sz w:val="24"/>
          <w:szCs w:val="24"/>
          <w:lang w:val="ro-RO"/>
        </w:rPr>
        <w:t>rile și completările ulterioare;</w:t>
      </w:r>
    </w:p>
    <w:p w:rsidR="00076EED" w:rsidRDefault="00076EED" w:rsidP="00076EED">
      <w:pPr>
        <w:pStyle w:val="ListParagraph"/>
        <w:rPr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1E3694">
        <w:rPr>
          <w:rFonts w:ascii="Trebuchet MS" w:hAnsi="Trebuchet MS"/>
          <w:sz w:val="24"/>
          <w:szCs w:val="24"/>
          <w:lang w:val="ro-RO"/>
        </w:rPr>
        <w:t>Hotărârea Guvernului nr. 225/2014, pentru aprobarea Normelor metodologice privind evaluarea și prioritizarea proiectelor de i</w:t>
      </w:r>
      <w:r>
        <w:rPr>
          <w:rFonts w:ascii="Trebuchet MS" w:hAnsi="Trebuchet MS"/>
          <w:sz w:val="24"/>
          <w:szCs w:val="24"/>
          <w:lang w:val="ro-RO"/>
        </w:rPr>
        <w:t>nvestiții publice semnificative;</w:t>
      </w:r>
    </w:p>
    <w:p w:rsidR="00076EED" w:rsidRDefault="00076EED" w:rsidP="00076EED">
      <w:pPr>
        <w:pStyle w:val="ListParagraph"/>
        <w:rPr>
          <w:lang w:val="ro-RO"/>
        </w:rPr>
      </w:pPr>
    </w:p>
    <w:p w:rsidR="00076EED" w:rsidRPr="001E3694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Ordinul Ministrului Finanțelor Publice nr. 3903/2018 privind stabilirea structurii situațiilor referitoare la monitorizarea derulării programului de investiții publice </w:t>
      </w:r>
      <w:r w:rsidRPr="001E3694">
        <w:rPr>
          <w:rFonts w:ascii="Trebuchet MS" w:hAnsi="Trebuchet MS"/>
          <w:sz w:val="24"/>
          <w:szCs w:val="24"/>
          <w:lang w:val="ro-RO"/>
        </w:rPr>
        <w:t>potrivit prevederilor art. 44 din Legea nr. 500/2002 privind finanţele publice, precum şi pentru stabilirea conţinutului-cadru al raportărilor privind stadiul de implementare a proiectelor de investiţii publice semnificative potrivit prevederilor art. II din Hotărârea Guvernului nr. 363/2018 pentru modificarea şi completarea Normelor metodologice privind prioritizarea proiectelor de investiţii publice, aprobate prin Hotărârea Guvernului nr. 225/2014</w:t>
      </w:r>
    </w:p>
    <w:p w:rsidR="00E800A1" w:rsidRDefault="00E800A1" w:rsidP="00E800A1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 w:rsidR="00076EED">
        <w:rPr>
          <w:rFonts w:ascii="Trebuchet MS" w:eastAsia="Times New Roman" w:hAnsi="Trebuchet MS"/>
          <w:lang w:val="ro-RO"/>
        </w:rPr>
        <w:t>Raluca Păun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4A401A">
        <w:rPr>
          <w:rFonts w:ascii="Trebuchet MS" w:eastAsia="Times New Roman" w:hAnsi="Trebuchet MS"/>
          <w:lang w:val="ro-RO"/>
        </w:rPr>
        <w:t>superior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</w:t>
      </w:r>
      <w:r w:rsidR="00076EED">
        <w:rPr>
          <w:rFonts w:ascii="Trebuchet MS" w:eastAsia="Times New Roman" w:hAnsi="Trebuchet MS"/>
          <w:lang w:val="ro-RO"/>
        </w:rPr>
        <w:t>25</w:t>
      </w:r>
      <w:r>
        <w:rPr>
          <w:rFonts w:ascii="Trebuchet MS" w:eastAsia="Times New Roman" w:hAnsi="Trebuchet MS"/>
          <w:lang w:val="ro-RO"/>
        </w:rPr>
        <w:t>.</w:t>
      </w:r>
    </w:p>
    <w:p w:rsidR="009E2EA3" w:rsidRDefault="009E2EA3" w:rsidP="00D17638">
      <w:pPr>
        <w:suppressAutoHyphens/>
        <w:jc w:val="both"/>
        <w:rPr>
          <w:rFonts w:ascii="Trebuchet MS" w:eastAsia="Times New Roman" w:hAnsi="Trebuchet MS"/>
          <w:lang w:val="ro-RO"/>
        </w:rPr>
      </w:pPr>
    </w:p>
    <w:sectPr w:rsidR="009E2EA3" w:rsidSect="00E800A1">
      <w:pgSz w:w="12240" w:h="15840"/>
      <w:pgMar w:top="576" w:right="979" w:bottom="1134" w:left="141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A7" w:rsidRDefault="00F21EA7" w:rsidP="00E800A1">
      <w:r>
        <w:separator/>
      </w:r>
    </w:p>
  </w:endnote>
  <w:endnote w:type="continuationSeparator" w:id="0">
    <w:p w:rsidR="00F21EA7" w:rsidRDefault="00F21EA7" w:rsidP="00E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A7" w:rsidRDefault="00F21EA7" w:rsidP="00E800A1">
      <w:r>
        <w:separator/>
      </w:r>
    </w:p>
  </w:footnote>
  <w:footnote w:type="continuationSeparator" w:id="0">
    <w:p w:rsidR="00F21EA7" w:rsidRDefault="00F21EA7" w:rsidP="00E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162473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color w:val="000000"/>
        <w:sz w:val="28"/>
        <w:szCs w:val="28"/>
      </w:rPr>
    </w:lvl>
  </w:abstractNum>
  <w:abstractNum w:abstractNumId="5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7DDC"/>
    <w:multiLevelType w:val="hybridMultilevel"/>
    <w:tmpl w:val="048A70DC"/>
    <w:lvl w:ilvl="0" w:tplc="48180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337FA3"/>
    <w:multiLevelType w:val="hybridMultilevel"/>
    <w:tmpl w:val="B1A8086C"/>
    <w:lvl w:ilvl="0" w:tplc="DE32DA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565A5"/>
    <w:rsid w:val="00060B40"/>
    <w:rsid w:val="00067EE1"/>
    <w:rsid w:val="000755AE"/>
    <w:rsid w:val="00076EED"/>
    <w:rsid w:val="0008104E"/>
    <w:rsid w:val="00082441"/>
    <w:rsid w:val="000A0992"/>
    <w:rsid w:val="000C0E47"/>
    <w:rsid w:val="000D07A1"/>
    <w:rsid w:val="000E12CA"/>
    <w:rsid w:val="000F23C1"/>
    <w:rsid w:val="000F3628"/>
    <w:rsid w:val="00110177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B2095"/>
    <w:rsid w:val="001D08AC"/>
    <w:rsid w:val="001D611F"/>
    <w:rsid w:val="001E4CFC"/>
    <w:rsid w:val="001E626C"/>
    <w:rsid w:val="0020511B"/>
    <w:rsid w:val="00211171"/>
    <w:rsid w:val="002121AB"/>
    <w:rsid w:val="00250929"/>
    <w:rsid w:val="00264536"/>
    <w:rsid w:val="002825B7"/>
    <w:rsid w:val="00285301"/>
    <w:rsid w:val="002872DD"/>
    <w:rsid w:val="002A7BB4"/>
    <w:rsid w:val="002C0E6A"/>
    <w:rsid w:val="002D471C"/>
    <w:rsid w:val="00301398"/>
    <w:rsid w:val="00312CBD"/>
    <w:rsid w:val="00320A98"/>
    <w:rsid w:val="00321276"/>
    <w:rsid w:val="003344E4"/>
    <w:rsid w:val="00343073"/>
    <w:rsid w:val="003823FD"/>
    <w:rsid w:val="003933FB"/>
    <w:rsid w:val="003A1040"/>
    <w:rsid w:val="003A3D10"/>
    <w:rsid w:val="003A6D58"/>
    <w:rsid w:val="003B12EA"/>
    <w:rsid w:val="003B4081"/>
    <w:rsid w:val="003B57B8"/>
    <w:rsid w:val="003B676F"/>
    <w:rsid w:val="003C1944"/>
    <w:rsid w:val="003C36F2"/>
    <w:rsid w:val="003C4A1E"/>
    <w:rsid w:val="003D5744"/>
    <w:rsid w:val="003F33E4"/>
    <w:rsid w:val="003F65C4"/>
    <w:rsid w:val="00400206"/>
    <w:rsid w:val="00402EB5"/>
    <w:rsid w:val="0043644E"/>
    <w:rsid w:val="00436E61"/>
    <w:rsid w:val="004471D0"/>
    <w:rsid w:val="00462F22"/>
    <w:rsid w:val="0046563E"/>
    <w:rsid w:val="00480B26"/>
    <w:rsid w:val="00483EBA"/>
    <w:rsid w:val="00490ECB"/>
    <w:rsid w:val="004A04FC"/>
    <w:rsid w:val="004A401A"/>
    <w:rsid w:val="004A46BC"/>
    <w:rsid w:val="004A6CFF"/>
    <w:rsid w:val="004A7C05"/>
    <w:rsid w:val="004A7EF1"/>
    <w:rsid w:val="004B665F"/>
    <w:rsid w:val="004D40E9"/>
    <w:rsid w:val="004D434C"/>
    <w:rsid w:val="004F2B83"/>
    <w:rsid w:val="004F41C4"/>
    <w:rsid w:val="00501508"/>
    <w:rsid w:val="00503CE2"/>
    <w:rsid w:val="005040D9"/>
    <w:rsid w:val="0050653E"/>
    <w:rsid w:val="00522517"/>
    <w:rsid w:val="00522FA2"/>
    <w:rsid w:val="0053456B"/>
    <w:rsid w:val="00534AB5"/>
    <w:rsid w:val="005370A6"/>
    <w:rsid w:val="005417DF"/>
    <w:rsid w:val="0055687B"/>
    <w:rsid w:val="00562EFA"/>
    <w:rsid w:val="005649BE"/>
    <w:rsid w:val="00570CE7"/>
    <w:rsid w:val="00591969"/>
    <w:rsid w:val="0059590F"/>
    <w:rsid w:val="005A5E1C"/>
    <w:rsid w:val="005B0630"/>
    <w:rsid w:val="005C347D"/>
    <w:rsid w:val="005C78E1"/>
    <w:rsid w:val="005D3B1E"/>
    <w:rsid w:val="005E26A7"/>
    <w:rsid w:val="006104F9"/>
    <w:rsid w:val="00617112"/>
    <w:rsid w:val="00624117"/>
    <w:rsid w:val="00630F9D"/>
    <w:rsid w:val="00634D2B"/>
    <w:rsid w:val="006421E5"/>
    <w:rsid w:val="006450BC"/>
    <w:rsid w:val="006464E7"/>
    <w:rsid w:val="00646849"/>
    <w:rsid w:val="00646F8A"/>
    <w:rsid w:val="00652673"/>
    <w:rsid w:val="0065319D"/>
    <w:rsid w:val="006548B0"/>
    <w:rsid w:val="00656C9F"/>
    <w:rsid w:val="00657E88"/>
    <w:rsid w:val="006760B3"/>
    <w:rsid w:val="0067684E"/>
    <w:rsid w:val="006768A5"/>
    <w:rsid w:val="00692994"/>
    <w:rsid w:val="00692D0B"/>
    <w:rsid w:val="006C1AFA"/>
    <w:rsid w:val="006D230B"/>
    <w:rsid w:val="006D4A0C"/>
    <w:rsid w:val="006E08E3"/>
    <w:rsid w:val="006F3E4F"/>
    <w:rsid w:val="006F7A7B"/>
    <w:rsid w:val="007024B1"/>
    <w:rsid w:val="00707246"/>
    <w:rsid w:val="00710049"/>
    <w:rsid w:val="00710602"/>
    <w:rsid w:val="00750187"/>
    <w:rsid w:val="007745CC"/>
    <w:rsid w:val="00775CCB"/>
    <w:rsid w:val="007776FC"/>
    <w:rsid w:val="00784E75"/>
    <w:rsid w:val="00793A85"/>
    <w:rsid w:val="007A6889"/>
    <w:rsid w:val="007F2CC6"/>
    <w:rsid w:val="00807BDB"/>
    <w:rsid w:val="00813706"/>
    <w:rsid w:val="00815639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0C07"/>
    <w:rsid w:val="008E638A"/>
    <w:rsid w:val="00914D4F"/>
    <w:rsid w:val="0091705B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1A89"/>
    <w:rsid w:val="009B64FC"/>
    <w:rsid w:val="009B6BB2"/>
    <w:rsid w:val="009C26AF"/>
    <w:rsid w:val="009E2EA3"/>
    <w:rsid w:val="009E3EC8"/>
    <w:rsid w:val="009F135B"/>
    <w:rsid w:val="009F2934"/>
    <w:rsid w:val="00A12EBF"/>
    <w:rsid w:val="00A34AD2"/>
    <w:rsid w:val="00A34E3F"/>
    <w:rsid w:val="00A4310A"/>
    <w:rsid w:val="00A44D37"/>
    <w:rsid w:val="00A6429D"/>
    <w:rsid w:val="00A645EB"/>
    <w:rsid w:val="00A906E1"/>
    <w:rsid w:val="00A95A1F"/>
    <w:rsid w:val="00A960AE"/>
    <w:rsid w:val="00A96E57"/>
    <w:rsid w:val="00AA43B5"/>
    <w:rsid w:val="00AB3C9D"/>
    <w:rsid w:val="00AF18AE"/>
    <w:rsid w:val="00AF48C4"/>
    <w:rsid w:val="00AF4A55"/>
    <w:rsid w:val="00B0359D"/>
    <w:rsid w:val="00B05B54"/>
    <w:rsid w:val="00B05CF9"/>
    <w:rsid w:val="00B14354"/>
    <w:rsid w:val="00B16BB8"/>
    <w:rsid w:val="00B35ADD"/>
    <w:rsid w:val="00B40B06"/>
    <w:rsid w:val="00B42874"/>
    <w:rsid w:val="00B47BDC"/>
    <w:rsid w:val="00B55AC5"/>
    <w:rsid w:val="00B6422A"/>
    <w:rsid w:val="00B71ABE"/>
    <w:rsid w:val="00B71DE6"/>
    <w:rsid w:val="00B72676"/>
    <w:rsid w:val="00B7278B"/>
    <w:rsid w:val="00B76812"/>
    <w:rsid w:val="00B76D65"/>
    <w:rsid w:val="00B911DC"/>
    <w:rsid w:val="00B9295C"/>
    <w:rsid w:val="00B975D4"/>
    <w:rsid w:val="00B97CD1"/>
    <w:rsid w:val="00BC0554"/>
    <w:rsid w:val="00C013D3"/>
    <w:rsid w:val="00C41EF1"/>
    <w:rsid w:val="00C61FDC"/>
    <w:rsid w:val="00C83005"/>
    <w:rsid w:val="00C86D45"/>
    <w:rsid w:val="00C940D1"/>
    <w:rsid w:val="00CA5D65"/>
    <w:rsid w:val="00CB399E"/>
    <w:rsid w:val="00CB4427"/>
    <w:rsid w:val="00CB7DC8"/>
    <w:rsid w:val="00CC375C"/>
    <w:rsid w:val="00CD1647"/>
    <w:rsid w:val="00CD3163"/>
    <w:rsid w:val="00CF229C"/>
    <w:rsid w:val="00CF28F6"/>
    <w:rsid w:val="00D00CB2"/>
    <w:rsid w:val="00D11AE7"/>
    <w:rsid w:val="00D120DB"/>
    <w:rsid w:val="00D15E61"/>
    <w:rsid w:val="00D17638"/>
    <w:rsid w:val="00D2124A"/>
    <w:rsid w:val="00D27BD5"/>
    <w:rsid w:val="00D345B0"/>
    <w:rsid w:val="00D57F0F"/>
    <w:rsid w:val="00D64A37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C2E3D"/>
    <w:rsid w:val="00DC65BB"/>
    <w:rsid w:val="00DD3FED"/>
    <w:rsid w:val="00DD706E"/>
    <w:rsid w:val="00DF02BE"/>
    <w:rsid w:val="00DF042D"/>
    <w:rsid w:val="00DF668A"/>
    <w:rsid w:val="00E16348"/>
    <w:rsid w:val="00E2767A"/>
    <w:rsid w:val="00E469D0"/>
    <w:rsid w:val="00E52E12"/>
    <w:rsid w:val="00E800A1"/>
    <w:rsid w:val="00E83B95"/>
    <w:rsid w:val="00E8581A"/>
    <w:rsid w:val="00ED6555"/>
    <w:rsid w:val="00ED6A1D"/>
    <w:rsid w:val="00ED724A"/>
    <w:rsid w:val="00EE1413"/>
    <w:rsid w:val="00EF2763"/>
    <w:rsid w:val="00F00725"/>
    <w:rsid w:val="00F05E5F"/>
    <w:rsid w:val="00F14DFC"/>
    <w:rsid w:val="00F216D1"/>
    <w:rsid w:val="00F21EA7"/>
    <w:rsid w:val="00F304A1"/>
    <w:rsid w:val="00F4154B"/>
    <w:rsid w:val="00F60AE6"/>
    <w:rsid w:val="00F908B2"/>
    <w:rsid w:val="00FA491A"/>
    <w:rsid w:val="00FB12C7"/>
    <w:rsid w:val="00FC078F"/>
    <w:rsid w:val="00FE1E5C"/>
    <w:rsid w:val="00FE2A00"/>
    <w:rsid w:val="00FE3864"/>
    <w:rsid w:val="00FE68DA"/>
    <w:rsid w:val="00FE75B8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7C00CC-A77E-40B6-9131-6B16CE3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800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00A1"/>
    <w:rPr>
      <w:rFonts w:cs="Mangal"/>
      <w:kern w:val="2"/>
      <w:sz w:val="24"/>
      <w:szCs w:val="21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1"/>
    <w:uiPriority w:val="99"/>
    <w:qFormat/>
    <w:rsid w:val="00C61FDC"/>
    <w:rPr>
      <w:sz w:val="24"/>
      <w:szCs w:val="24"/>
    </w:rPr>
  </w:style>
  <w:style w:type="paragraph" w:customStyle="1" w:styleId="BodyTextIndent1">
    <w:name w:val="Body Text Indent1"/>
    <w:basedOn w:val="Normal"/>
    <w:link w:val="BodyTextIndentChar"/>
    <w:uiPriority w:val="99"/>
    <w:qFormat/>
    <w:rsid w:val="00C61FDC"/>
    <w:pPr>
      <w:suppressAutoHyphens/>
      <w:overflowPunct w:val="0"/>
      <w:spacing w:after="120"/>
      <w:ind w:left="360"/>
    </w:pPr>
    <w:rPr>
      <w:kern w:val="0"/>
      <w:lang w:eastAsia="en-US" w:bidi="ar-SA"/>
    </w:rPr>
  </w:style>
  <w:style w:type="paragraph" w:customStyle="1" w:styleId="Normal1">
    <w:name w:val="Normal1"/>
    <w:basedOn w:val="Normal"/>
    <w:rsid w:val="005A5E1C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val="en-GB" w:eastAsia="en-US" w:bidi="ar-SA"/>
    </w:rPr>
  </w:style>
  <w:style w:type="character" w:customStyle="1" w:styleId="Fontdeparagrafimplicit1">
    <w:name w:val="Font de paragraf implicit1"/>
    <w:rsid w:val="005A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8C5A6-3A9F-4AB7-8908-68F605D2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2023-04-05T13:37:00Z</cp:lastPrinted>
  <dcterms:created xsi:type="dcterms:W3CDTF">2023-04-28T08:21:00Z</dcterms:created>
  <dcterms:modified xsi:type="dcterms:W3CDTF">2023-04-28T08:21:00Z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