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50" w:rsidRPr="008911CA" w:rsidRDefault="00607E50" w:rsidP="00607E50">
      <w:pPr>
        <w:rPr>
          <w:rFonts w:ascii="Trebuchet MS" w:hAnsi="Trebuchet MS"/>
          <w:sz w:val="24"/>
          <w:szCs w:val="24"/>
        </w:rPr>
      </w:pPr>
    </w:p>
    <w:p w:rsidR="008679C0" w:rsidRDefault="008679C0" w:rsidP="00FB1B9C">
      <w:pPr>
        <w:ind w:left="6480" w:firstLine="720"/>
        <w:rPr>
          <w:rFonts w:ascii="Trebuchet MS" w:hAnsi="Trebuchet MS" w:cs="Trebuchet MS"/>
          <w:b/>
          <w:sz w:val="24"/>
          <w:szCs w:val="24"/>
        </w:rPr>
      </w:pPr>
      <w:r w:rsidRPr="008911CA">
        <w:rPr>
          <w:rFonts w:ascii="Trebuchet MS" w:hAnsi="Trebuchet MS" w:cs="Trebuchet MS"/>
          <w:b/>
          <w:sz w:val="24"/>
          <w:szCs w:val="24"/>
        </w:rPr>
        <w:t>Aprob</w:t>
      </w:r>
      <w:r>
        <w:rPr>
          <w:rFonts w:ascii="Trebuchet MS" w:hAnsi="Trebuchet MS" w:cs="Trebuchet MS"/>
          <w:b/>
          <w:sz w:val="24"/>
          <w:szCs w:val="24"/>
        </w:rPr>
        <w:t>,</w:t>
      </w:r>
    </w:p>
    <w:p w:rsidR="008679C0" w:rsidRPr="00C64874" w:rsidRDefault="008679C0" w:rsidP="00FB1B9C">
      <w:pPr>
        <w:ind w:left="6480"/>
        <w:rPr>
          <w:rFonts w:ascii="Trebuchet MS" w:hAnsi="Trebuchet MS" w:cs="Trebuchet MS"/>
          <w:b/>
          <w:sz w:val="24"/>
          <w:szCs w:val="24"/>
        </w:rPr>
      </w:pPr>
      <w:r w:rsidRPr="003D3564">
        <w:rPr>
          <w:rFonts w:ascii="Trebuchet MS" w:hAnsi="Trebuchet MS" w:cs="Arial"/>
          <w:b/>
          <w:sz w:val="26"/>
          <w:szCs w:val="26"/>
          <w:lang w:val="es-ES"/>
        </w:rPr>
        <w:t>p. MINISTRUL FINANȚELOR</w:t>
      </w:r>
    </w:p>
    <w:p w:rsidR="008679C0" w:rsidRDefault="008679C0" w:rsidP="00FB1B9C">
      <w:pPr>
        <w:snapToGrid w:val="0"/>
        <w:ind w:left="5040" w:firstLine="720"/>
        <w:jc w:val="center"/>
        <w:rPr>
          <w:rFonts w:ascii="Trebuchet MS" w:hAnsi="Trebuchet MS" w:cs="Arial"/>
          <w:b/>
          <w:sz w:val="26"/>
          <w:szCs w:val="26"/>
          <w:lang w:val="es-ES"/>
        </w:rPr>
      </w:pPr>
      <w:r w:rsidRPr="00B136C5">
        <w:rPr>
          <w:rFonts w:ascii="Trebuchet MS" w:hAnsi="Trebuchet MS" w:cs="Arial"/>
          <w:b/>
          <w:sz w:val="26"/>
          <w:szCs w:val="26"/>
          <w:lang w:val="es-ES"/>
        </w:rPr>
        <w:t xml:space="preserve">Ardeleanu Iulian </w:t>
      </w:r>
    </w:p>
    <w:p w:rsidR="008679C0" w:rsidRPr="00FB34E8" w:rsidRDefault="008679C0" w:rsidP="008679C0">
      <w:pPr>
        <w:snapToGrid w:val="0"/>
        <w:ind w:left="5040" w:firstLine="720"/>
        <w:jc w:val="center"/>
        <w:rPr>
          <w:rFonts w:ascii="Trebuchet MS" w:hAnsi="Trebuchet MS" w:cs="Arial"/>
          <w:b/>
          <w:color w:val="000000"/>
          <w:sz w:val="26"/>
          <w:szCs w:val="26"/>
        </w:rPr>
      </w:pPr>
      <w:r w:rsidRPr="00B136C5">
        <w:rPr>
          <w:rFonts w:ascii="Trebuchet MS" w:hAnsi="Trebuchet MS" w:cs="Arial"/>
          <w:b/>
          <w:color w:val="000000"/>
          <w:sz w:val="26"/>
          <w:szCs w:val="26"/>
        </w:rPr>
        <w:t>Director general</w:t>
      </w:r>
    </w:p>
    <w:tbl>
      <w:tblPr>
        <w:tblpPr w:leftFromText="180" w:rightFromText="180" w:vertAnchor="text" w:horzAnchor="page" w:tblpX="1303" w:tblpY="238"/>
        <w:tblOverlap w:val="never"/>
        <w:tblW w:w="10255" w:type="dxa"/>
        <w:tblLayout w:type="fixed"/>
        <w:tblLook w:val="0000" w:firstRow="0" w:lastRow="0" w:firstColumn="0" w:lastColumn="0" w:noHBand="0" w:noVBand="0"/>
      </w:tblPr>
      <w:tblGrid>
        <w:gridCol w:w="3865"/>
        <w:gridCol w:w="6390"/>
      </w:tblGrid>
      <w:tr w:rsidR="00607E50" w:rsidTr="00DD2D9B">
        <w:tc>
          <w:tcPr>
            <w:tcW w:w="3865" w:type="dxa"/>
            <w:tcBorders>
              <w:top w:val="single" w:sz="4" w:space="0" w:color="000000"/>
              <w:left w:val="single" w:sz="4" w:space="0" w:color="000000"/>
              <w:bottom w:val="single" w:sz="4" w:space="0" w:color="000000"/>
            </w:tcBorders>
          </w:tcPr>
          <w:p w:rsidR="00607E50" w:rsidRDefault="00607E50" w:rsidP="00B8612C">
            <w:pPr>
              <w:ind w:left="3" w:hanging="3"/>
              <w:rPr>
                <w:b/>
                <w:sz w:val="22"/>
              </w:rPr>
            </w:pPr>
            <w:r>
              <w:rPr>
                <w:rFonts w:ascii="Trebuchet MS" w:hAnsi="Trebuchet MS" w:cs="Trebuchet MS"/>
                <w:sz w:val="22"/>
                <w:szCs w:val="22"/>
              </w:rPr>
              <w:t>Denumirea autorităţii sau instituţiei publice</w:t>
            </w:r>
          </w:p>
        </w:tc>
        <w:tc>
          <w:tcPr>
            <w:tcW w:w="6390" w:type="dxa"/>
            <w:tcBorders>
              <w:top w:val="single" w:sz="4" w:space="0" w:color="000000"/>
              <w:left w:val="single" w:sz="4" w:space="0" w:color="000000"/>
              <w:bottom w:val="single" w:sz="4" w:space="0" w:color="000000"/>
              <w:right w:val="single" w:sz="4" w:space="0" w:color="000000"/>
            </w:tcBorders>
            <w:vAlign w:val="center"/>
          </w:tcPr>
          <w:p w:rsidR="0035228A" w:rsidRPr="0035228A" w:rsidRDefault="0035228A" w:rsidP="0035228A">
            <w:pPr>
              <w:rPr>
                <w:rFonts w:ascii="Trebuchet MS" w:hAnsi="Trebuchet MS" w:cs="Trebuchet MS"/>
                <w:sz w:val="22"/>
                <w:szCs w:val="22"/>
              </w:rPr>
            </w:pPr>
            <w:r w:rsidRPr="0035228A">
              <w:rPr>
                <w:rFonts w:ascii="Trebuchet MS" w:hAnsi="Trebuchet MS" w:cs="Trebuchet MS"/>
                <w:sz w:val="22"/>
                <w:szCs w:val="22"/>
              </w:rPr>
              <w:t xml:space="preserve">MINISTERUL FINANŢELOR </w:t>
            </w:r>
          </w:p>
          <w:p w:rsidR="00607E50" w:rsidRPr="0035228A" w:rsidRDefault="00607E50" w:rsidP="00B8612C">
            <w:pPr>
              <w:rPr>
                <w:rFonts w:ascii="Trebuchet MS" w:hAnsi="Trebuchet MS" w:cs="Trebuchet MS"/>
                <w:sz w:val="22"/>
                <w:szCs w:val="22"/>
              </w:rPr>
            </w:pPr>
          </w:p>
        </w:tc>
      </w:tr>
      <w:tr w:rsidR="00607E50" w:rsidRPr="000C341F" w:rsidTr="00DD2D9B">
        <w:tc>
          <w:tcPr>
            <w:tcW w:w="3865" w:type="dxa"/>
            <w:tcBorders>
              <w:top w:val="single" w:sz="4" w:space="0" w:color="000000"/>
              <w:left w:val="single" w:sz="4" w:space="0" w:color="000000"/>
              <w:bottom w:val="single" w:sz="4" w:space="0" w:color="000000"/>
            </w:tcBorders>
          </w:tcPr>
          <w:p w:rsidR="00607E50" w:rsidRDefault="00607E50" w:rsidP="00B8612C">
            <w:pPr>
              <w:ind w:left="3" w:hanging="3"/>
              <w:rPr>
                <w:b/>
                <w:sz w:val="22"/>
              </w:rPr>
            </w:pPr>
            <w:r>
              <w:rPr>
                <w:rFonts w:ascii="Trebuchet MS" w:hAnsi="Trebuchet MS" w:cs="Trebuchet MS"/>
                <w:sz w:val="22"/>
                <w:szCs w:val="22"/>
              </w:rPr>
              <w:t>Direcţia generală</w:t>
            </w:r>
          </w:p>
        </w:tc>
        <w:tc>
          <w:tcPr>
            <w:tcW w:w="6390" w:type="dxa"/>
            <w:tcBorders>
              <w:top w:val="single" w:sz="4" w:space="0" w:color="000000"/>
              <w:left w:val="single" w:sz="4" w:space="0" w:color="000000"/>
              <w:bottom w:val="single" w:sz="4" w:space="0" w:color="000000"/>
              <w:right w:val="single" w:sz="4" w:space="0" w:color="000000"/>
            </w:tcBorders>
            <w:vAlign w:val="center"/>
          </w:tcPr>
          <w:p w:rsidR="00552AB9" w:rsidRPr="00101376" w:rsidRDefault="00552AB9" w:rsidP="00552AB9">
            <w:pPr>
              <w:jc w:val="both"/>
              <w:rPr>
                <w:rFonts w:ascii="Trebuchet MS" w:hAnsi="Trebuchet MS" w:cs="Trebuchet MS"/>
                <w:sz w:val="22"/>
                <w:szCs w:val="22"/>
                <w:lang w:val="es-ES_tradnl"/>
              </w:rPr>
            </w:pPr>
            <w:r>
              <w:rPr>
                <w:rFonts w:ascii="Trebuchet MS" w:hAnsi="Trebuchet MS" w:cs="Trebuchet MS"/>
                <w:sz w:val="22"/>
                <w:szCs w:val="22"/>
              </w:rPr>
              <w:t>Direcţia generală</w:t>
            </w:r>
            <w:r w:rsidRPr="00101376">
              <w:rPr>
                <w:rFonts w:ascii="Trebuchet MS" w:hAnsi="Trebuchet MS" w:cs="Trebuchet MS"/>
                <w:sz w:val="22"/>
                <w:szCs w:val="22"/>
                <w:lang w:val="es-ES_tradnl"/>
              </w:rPr>
              <w:t xml:space="preserve"> </w:t>
            </w:r>
            <w:r>
              <w:rPr>
                <w:rFonts w:ascii="Trebuchet MS" w:hAnsi="Trebuchet MS" w:cs="Trebuchet MS"/>
                <w:sz w:val="22"/>
                <w:szCs w:val="22"/>
                <w:lang w:val="es-ES_tradnl"/>
              </w:rPr>
              <w:t xml:space="preserve">de </w:t>
            </w:r>
            <w:r w:rsidRPr="00101376">
              <w:rPr>
                <w:rFonts w:ascii="Trebuchet MS" w:hAnsi="Trebuchet MS" w:cs="Trebuchet MS"/>
                <w:sz w:val="22"/>
                <w:szCs w:val="22"/>
                <w:lang w:val="es-ES_tradnl"/>
              </w:rPr>
              <w:t>legislație fiscală și reglementări vamale și contabile</w:t>
            </w:r>
          </w:p>
          <w:p w:rsidR="00607E50" w:rsidRPr="00101376" w:rsidRDefault="00607E50" w:rsidP="00B8612C">
            <w:pPr>
              <w:rPr>
                <w:rFonts w:ascii="Trebuchet MS" w:hAnsi="Trebuchet MS" w:cs="Trebuchet MS"/>
                <w:sz w:val="22"/>
                <w:szCs w:val="22"/>
                <w:lang w:val="es-ES_tradnl"/>
              </w:rPr>
            </w:pPr>
          </w:p>
        </w:tc>
      </w:tr>
      <w:tr w:rsidR="000C341F" w:rsidRPr="000C341F" w:rsidTr="00DD2D9B">
        <w:tc>
          <w:tcPr>
            <w:tcW w:w="3865" w:type="dxa"/>
            <w:tcBorders>
              <w:top w:val="single" w:sz="4" w:space="0" w:color="000000"/>
              <w:left w:val="single" w:sz="4" w:space="0" w:color="000000"/>
              <w:bottom w:val="single" w:sz="4" w:space="0" w:color="000000"/>
            </w:tcBorders>
          </w:tcPr>
          <w:p w:rsidR="000C341F" w:rsidRPr="000C341F" w:rsidRDefault="000C341F" w:rsidP="00B8612C">
            <w:pPr>
              <w:ind w:left="3" w:hanging="3"/>
              <w:rPr>
                <w:rFonts w:ascii="Trebuchet MS" w:hAnsi="Trebuchet MS" w:cs="Trebuchet MS"/>
                <w:sz w:val="22"/>
                <w:szCs w:val="22"/>
                <w:lang w:val="es-ES_tradnl"/>
              </w:rPr>
            </w:pPr>
            <w:r>
              <w:rPr>
                <w:rFonts w:ascii="Trebuchet MS" w:hAnsi="Trebuchet MS" w:cs="Trebuchet MS"/>
                <w:sz w:val="22"/>
                <w:szCs w:val="22"/>
                <w:lang w:val="ro-RO"/>
              </w:rPr>
              <w:t>Direcţia</w:t>
            </w:r>
          </w:p>
        </w:tc>
        <w:tc>
          <w:tcPr>
            <w:tcW w:w="6390" w:type="dxa"/>
            <w:tcBorders>
              <w:top w:val="single" w:sz="4" w:space="0" w:color="000000"/>
              <w:left w:val="single" w:sz="4" w:space="0" w:color="000000"/>
              <w:bottom w:val="single" w:sz="4" w:space="0" w:color="000000"/>
              <w:right w:val="single" w:sz="4" w:space="0" w:color="000000"/>
            </w:tcBorders>
            <w:vAlign w:val="center"/>
          </w:tcPr>
          <w:p w:rsidR="000C341F" w:rsidRPr="000C341F" w:rsidRDefault="000C341F" w:rsidP="0035228A">
            <w:pPr>
              <w:rPr>
                <w:rFonts w:ascii="Trebuchet MS" w:hAnsi="Trebuchet MS" w:cs="Trebuchet MS"/>
                <w:sz w:val="22"/>
                <w:szCs w:val="22"/>
                <w:lang w:val="es-ES_tradnl"/>
              </w:rPr>
            </w:pPr>
          </w:p>
        </w:tc>
      </w:tr>
      <w:tr w:rsidR="00607E50" w:rsidTr="00DD2D9B">
        <w:tc>
          <w:tcPr>
            <w:tcW w:w="3865" w:type="dxa"/>
            <w:tcBorders>
              <w:top w:val="single" w:sz="4" w:space="0" w:color="000000"/>
              <w:left w:val="single" w:sz="4" w:space="0" w:color="000000"/>
              <w:bottom w:val="single" w:sz="4" w:space="0" w:color="000000"/>
            </w:tcBorders>
          </w:tcPr>
          <w:p w:rsidR="00607E50" w:rsidRDefault="00607E50" w:rsidP="00B8612C">
            <w:pPr>
              <w:ind w:left="3" w:hanging="3"/>
              <w:rPr>
                <w:sz w:val="22"/>
              </w:rPr>
            </w:pPr>
            <w:r>
              <w:rPr>
                <w:rFonts w:ascii="Trebuchet MS" w:hAnsi="Trebuchet MS" w:cs="Trebuchet MS"/>
                <w:sz w:val="22"/>
                <w:szCs w:val="22"/>
              </w:rPr>
              <w:t>Serviciul</w:t>
            </w:r>
          </w:p>
        </w:tc>
        <w:tc>
          <w:tcPr>
            <w:tcW w:w="6390" w:type="dxa"/>
            <w:tcBorders>
              <w:top w:val="single" w:sz="4" w:space="0" w:color="000000"/>
              <w:left w:val="single" w:sz="4" w:space="0" w:color="000000"/>
              <w:bottom w:val="single" w:sz="4" w:space="0" w:color="000000"/>
              <w:right w:val="single" w:sz="4" w:space="0" w:color="000000"/>
            </w:tcBorders>
            <w:vAlign w:val="center"/>
          </w:tcPr>
          <w:p w:rsidR="00552AB9" w:rsidRPr="0035228A" w:rsidRDefault="00552AB9" w:rsidP="00552AB9">
            <w:pPr>
              <w:rPr>
                <w:rFonts w:ascii="Trebuchet MS" w:hAnsi="Trebuchet MS" w:cs="Trebuchet MS"/>
                <w:sz w:val="22"/>
                <w:szCs w:val="22"/>
              </w:rPr>
            </w:pPr>
            <w:r>
              <w:rPr>
                <w:rFonts w:ascii="Trebuchet MS" w:hAnsi="Trebuchet MS" w:cs="Trebuchet MS"/>
                <w:sz w:val="22"/>
                <w:szCs w:val="22"/>
              </w:rPr>
              <w:t xml:space="preserve">Serviciul </w:t>
            </w:r>
            <w:r w:rsidRPr="0035228A">
              <w:rPr>
                <w:rFonts w:ascii="Trebuchet MS" w:hAnsi="Trebuchet MS" w:cs="Trebuchet MS"/>
                <w:sz w:val="22"/>
                <w:szCs w:val="22"/>
              </w:rPr>
              <w:t xml:space="preserve">legislație TVA </w:t>
            </w:r>
            <w:r>
              <w:rPr>
                <w:rFonts w:ascii="Trebuchet MS" w:hAnsi="Trebuchet MS" w:cs="Trebuchet MS"/>
                <w:sz w:val="22"/>
                <w:szCs w:val="22"/>
              </w:rPr>
              <w:t>1</w:t>
            </w:r>
          </w:p>
          <w:p w:rsidR="00607E50" w:rsidRPr="0035228A" w:rsidRDefault="00607E50" w:rsidP="00B8612C">
            <w:pPr>
              <w:rPr>
                <w:rFonts w:ascii="Trebuchet MS" w:hAnsi="Trebuchet MS" w:cs="Trebuchet MS"/>
                <w:sz w:val="22"/>
                <w:szCs w:val="22"/>
              </w:rPr>
            </w:pPr>
          </w:p>
        </w:tc>
      </w:tr>
      <w:tr w:rsidR="000C341F" w:rsidTr="00DD2D9B">
        <w:tc>
          <w:tcPr>
            <w:tcW w:w="3865" w:type="dxa"/>
            <w:tcBorders>
              <w:top w:val="single" w:sz="4" w:space="0" w:color="000000"/>
              <w:left w:val="single" w:sz="4" w:space="0" w:color="000000"/>
              <w:bottom w:val="single" w:sz="4" w:space="0" w:color="000000"/>
            </w:tcBorders>
          </w:tcPr>
          <w:p w:rsidR="000C341F" w:rsidRDefault="000C341F" w:rsidP="00B8612C">
            <w:pPr>
              <w:ind w:left="3" w:hanging="3"/>
              <w:rPr>
                <w:rFonts w:ascii="Trebuchet MS" w:hAnsi="Trebuchet MS" w:cs="Trebuchet MS"/>
                <w:sz w:val="22"/>
                <w:szCs w:val="22"/>
              </w:rPr>
            </w:pPr>
            <w:r>
              <w:rPr>
                <w:rFonts w:ascii="Trebuchet MS" w:hAnsi="Trebuchet MS" w:cs="Trebuchet MS"/>
                <w:sz w:val="22"/>
                <w:szCs w:val="22"/>
                <w:lang w:val="ro-RO"/>
              </w:rPr>
              <w:t>Compartimentul</w:t>
            </w:r>
          </w:p>
        </w:tc>
        <w:tc>
          <w:tcPr>
            <w:tcW w:w="6390" w:type="dxa"/>
            <w:tcBorders>
              <w:top w:val="single" w:sz="4" w:space="0" w:color="000000"/>
              <w:left w:val="single" w:sz="4" w:space="0" w:color="000000"/>
              <w:bottom w:val="single" w:sz="4" w:space="0" w:color="000000"/>
              <w:right w:val="single" w:sz="4" w:space="0" w:color="000000"/>
            </w:tcBorders>
            <w:vAlign w:val="center"/>
          </w:tcPr>
          <w:p w:rsidR="000C341F" w:rsidRPr="0035228A" w:rsidRDefault="000C341F" w:rsidP="0035228A">
            <w:pPr>
              <w:rPr>
                <w:rFonts w:ascii="Trebuchet MS" w:hAnsi="Trebuchet MS" w:cs="Trebuchet MS"/>
                <w:sz w:val="22"/>
                <w:szCs w:val="22"/>
              </w:rPr>
            </w:pPr>
          </w:p>
        </w:tc>
      </w:tr>
    </w:tbl>
    <w:p w:rsidR="00607E50" w:rsidRDefault="00607E50" w:rsidP="00607E50">
      <w:pPr>
        <w:rPr>
          <w:b/>
          <w:sz w:val="22"/>
        </w:rPr>
      </w:pPr>
    </w:p>
    <w:p w:rsidR="0035228A" w:rsidRPr="00317588" w:rsidRDefault="00607E50" w:rsidP="0035228A">
      <w:pPr>
        <w:jc w:val="center"/>
        <w:rPr>
          <w:rFonts w:ascii="Trebuchet MS" w:hAnsi="Trebuchet MS" w:cs="Trebuchet MS"/>
          <w:b/>
          <w:sz w:val="22"/>
          <w:szCs w:val="22"/>
        </w:rPr>
      </w:pPr>
      <w:r>
        <w:rPr>
          <w:rFonts w:ascii="Trebuchet MS" w:hAnsi="Trebuchet MS" w:cs="Trebuchet MS"/>
          <w:b/>
          <w:sz w:val="22"/>
          <w:szCs w:val="22"/>
        </w:rPr>
        <w:t>FIŞA POSTULUI STANDARDIZATĂ</w:t>
      </w:r>
    </w:p>
    <w:p w:rsidR="00607E50" w:rsidRDefault="0035228A" w:rsidP="00607E50">
      <w:pPr>
        <w:framePr w:w="8947" w:wrap="notBeside" w:vAnchor="text" w:hAnchor="text" w:xAlign="center" w:y="1"/>
        <w:jc w:val="center"/>
        <w:rPr>
          <w:rFonts w:ascii="Trebuchet MS" w:hAnsi="Trebuchet MS" w:cs="Trebuchet MS"/>
          <w:b/>
          <w:sz w:val="22"/>
          <w:szCs w:val="22"/>
        </w:rPr>
      </w:pPr>
      <w:r>
        <w:rPr>
          <w:rFonts w:ascii="Trebuchet MS" w:hAnsi="Trebuchet MS" w:cs="Trebuchet MS"/>
          <w:b/>
          <w:sz w:val="22"/>
          <w:szCs w:val="22"/>
        </w:rPr>
        <w:t xml:space="preserve"> Nr. </w:t>
      </w:r>
      <w:r w:rsidR="00672AEC">
        <w:rPr>
          <w:rFonts w:ascii="Trebuchet MS" w:hAnsi="Trebuchet MS" w:cs="Trebuchet MS"/>
          <w:b/>
          <w:sz w:val="22"/>
          <w:szCs w:val="22"/>
        </w:rPr>
        <w:t>6</w:t>
      </w:r>
      <w:r w:rsidR="003433DE">
        <w:rPr>
          <w:rFonts w:ascii="Trebuchet MS" w:hAnsi="Trebuchet MS" w:cs="Trebuchet MS"/>
          <w:b/>
          <w:sz w:val="22"/>
          <w:szCs w:val="22"/>
        </w:rPr>
        <w:t>73</w:t>
      </w:r>
    </w:p>
    <w:p w:rsidR="0035228A" w:rsidRDefault="0035228A" w:rsidP="00607E50">
      <w:pPr>
        <w:framePr w:w="8947" w:wrap="notBeside" w:vAnchor="text" w:hAnchor="text" w:xAlign="center" w:y="1"/>
        <w:jc w:val="center"/>
        <w:rPr>
          <w:b/>
          <w:sz w:val="22"/>
        </w:rPr>
      </w:pPr>
    </w:p>
    <w:p w:rsidR="00607E50" w:rsidRDefault="00607E50" w:rsidP="00607E50">
      <w:pPr>
        <w:framePr w:w="8947" w:wrap="notBeside" w:vAnchor="text" w:hAnchor="text" w:xAlign="center" w:y="1"/>
        <w:jc w:val="center"/>
        <w:rPr>
          <w:b/>
          <w:sz w:val="22"/>
        </w:rPr>
      </w:pPr>
    </w:p>
    <w:tbl>
      <w:tblPr>
        <w:tblpPr w:leftFromText="180" w:rightFromText="180" w:vertAnchor="text" w:horzAnchor="page" w:tblpX="1278" w:tblpY="266"/>
        <w:tblOverlap w:val="never"/>
        <w:tblW w:w="10255" w:type="dxa"/>
        <w:tblLayout w:type="fixed"/>
        <w:tblLook w:val="0000" w:firstRow="0" w:lastRow="0" w:firstColumn="0" w:lastColumn="0" w:noHBand="0" w:noVBand="0"/>
      </w:tblPr>
      <w:tblGrid>
        <w:gridCol w:w="1228"/>
        <w:gridCol w:w="2457"/>
        <w:gridCol w:w="4086"/>
        <w:gridCol w:w="2484"/>
      </w:tblGrid>
      <w:tr w:rsidR="00607E50" w:rsidTr="004A0318">
        <w:trPr>
          <w:trHeight w:val="253"/>
        </w:trPr>
        <w:tc>
          <w:tcPr>
            <w:tcW w:w="10255" w:type="dxa"/>
            <w:gridSpan w:val="4"/>
            <w:tcBorders>
              <w:top w:val="single" w:sz="4" w:space="0" w:color="000000"/>
              <w:left w:val="single" w:sz="4" w:space="0" w:color="000000"/>
              <w:bottom w:val="single" w:sz="4" w:space="0" w:color="000000"/>
              <w:right w:val="single" w:sz="4" w:space="0" w:color="000000"/>
            </w:tcBorders>
          </w:tcPr>
          <w:p w:rsidR="0035228A" w:rsidRDefault="0035228A" w:rsidP="00B8612C">
            <w:pPr>
              <w:jc w:val="center"/>
              <w:rPr>
                <w:rFonts w:ascii="Trebuchet MS" w:hAnsi="Trebuchet MS" w:cs="Trebuchet MS"/>
                <w:b/>
                <w:sz w:val="22"/>
                <w:szCs w:val="22"/>
              </w:rPr>
            </w:pPr>
          </w:p>
          <w:p w:rsidR="00607E50" w:rsidRDefault="00607E50" w:rsidP="00B8612C">
            <w:pPr>
              <w:jc w:val="center"/>
              <w:rPr>
                <w:rFonts w:ascii="Trebuchet MS" w:hAnsi="Trebuchet MS" w:cs="Trebuchet MS"/>
                <w:b/>
                <w:sz w:val="22"/>
                <w:szCs w:val="22"/>
              </w:rPr>
            </w:pPr>
            <w:r>
              <w:rPr>
                <w:rFonts w:ascii="Trebuchet MS" w:hAnsi="Trebuchet MS" w:cs="Trebuchet MS"/>
                <w:b/>
                <w:sz w:val="22"/>
                <w:szCs w:val="22"/>
              </w:rPr>
              <w:t>Informaţii generale privind postul</w:t>
            </w:r>
          </w:p>
          <w:p w:rsidR="0035228A" w:rsidRDefault="0035228A" w:rsidP="00B8612C">
            <w:pPr>
              <w:jc w:val="center"/>
              <w:rPr>
                <w:b/>
                <w:sz w:val="22"/>
                <w:vertAlign w:val="superscript"/>
              </w:rPr>
            </w:pPr>
          </w:p>
        </w:tc>
      </w:tr>
      <w:tr w:rsidR="00607E50" w:rsidTr="004A0318">
        <w:tc>
          <w:tcPr>
            <w:tcW w:w="3685" w:type="dxa"/>
            <w:gridSpan w:val="2"/>
            <w:tcBorders>
              <w:top w:val="single" w:sz="4" w:space="0" w:color="000000"/>
              <w:left w:val="single" w:sz="4" w:space="0" w:color="000000"/>
              <w:bottom w:val="single" w:sz="4" w:space="0" w:color="000000"/>
            </w:tcBorders>
          </w:tcPr>
          <w:p w:rsidR="00607E50" w:rsidRDefault="00607E50" w:rsidP="00B8612C">
            <w:pPr>
              <w:ind w:left="3" w:hanging="3"/>
              <w:rPr>
                <w:b/>
                <w:sz w:val="22"/>
              </w:rPr>
            </w:pPr>
            <w:r>
              <w:rPr>
                <w:rFonts w:ascii="Trebuchet MS" w:hAnsi="Trebuchet MS" w:cs="Trebuchet MS"/>
                <w:sz w:val="22"/>
                <w:szCs w:val="22"/>
              </w:rPr>
              <w:t>Denumirea postului</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Pr="0035228A" w:rsidRDefault="006E6E95" w:rsidP="000C67B3">
            <w:pPr>
              <w:rPr>
                <w:rFonts w:ascii="Trebuchet MS" w:hAnsi="Trebuchet MS" w:cs="Trebuchet MS"/>
                <w:sz w:val="22"/>
                <w:szCs w:val="22"/>
              </w:rPr>
            </w:pPr>
            <w:r>
              <w:rPr>
                <w:rFonts w:ascii="Trebuchet MS" w:hAnsi="Trebuchet MS" w:cs="Trebuchet MS"/>
                <w:sz w:val="22"/>
                <w:szCs w:val="22"/>
              </w:rPr>
              <w:t>Consilier</w:t>
            </w:r>
            <w:r w:rsidR="00F00159">
              <w:rPr>
                <w:rFonts w:ascii="Trebuchet MS" w:hAnsi="Trebuchet MS" w:cs="Trebuchet MS"/>
                <w:sz w:val="22"/>
                <w:szCs w:val="22"/>
              </w:rPr>
              <w:t xml:space="preserve"> </w:t>
            </w:r>
          </w:p>
        </w:tc>
      </w:tr>
      <w:tr w:rsidR="00607E50" w:rsidTr="004A0318">
        <w:trPr>
          <w:trHeight w:val="303"/>
        </w:trPr>
        <w:tc>
          <w:tcPr>
            <w:tcW w:w="3685" w:type="dxa"/>
            <w:gridSpan w:val="2"/>
            <w:tcBorders>
              <w:top w:val="single" w:sz="4" w:space="0" w:color="000000"/>
              <w:left w:val="single" w:sz="4" w:space="0" w:color="000000"/>
              <w:bottom w:val="single" w:sz="4" w:space="0" w:color="000000"/>
            </w:tcBorders>
          </w:tcPr>
          <w:p w:rsidR="00607E50" w:rsidRDefault="00607E50" w:rsidP="00B8612C">
            <w:pPr>
              <w:ind w:left="3" w:hanging="3"/>
              <w:rPr>
                <w:sz w:val="22"/>
              </w:rPr>
            </w:pPr>
            <w:r>
              <w:rPr>
                <w:rFonts w:ascii="Trebuchet MS" w:hAnsi="Trebuchet MS" w:cs="Trebuchet MS"/>
                <w:sz w:val="22"/>
                <w:szCs w:val="22"/>
              </w:rPr>
              <w:t>Nivelul postului</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Pr="0035228A" w:rsidRDefault="00FB34E8" w:rsidP="00F00159">
            <w:pPr>
              <w:rPr>
                <w:rFonts w:ascii="Trebuchet MS" w:hAnsi="Trebuchet MS" w:cs="Trebuchet MS"/>
                <w:sz w:val="22"/>
                <w:szCs w:val="22"/>
              </w:rPr>
            </w:pPr>
            <w:r>
              <w:rPr>
                <w:rFonts w:ascii="Trebuchet MS" w:hAnsi="Trebuchet MS" w:cs="Trebuchet MS"/>
                <w:sz w:val="22"/>
                <w:szCs w:val="22"/>
              </w:rPr>
              <w:t>F</w:t>
            </w:r>
            <w:r w:rsidR="0035228A" w:rsidRPr="0035228A">
              <w:rPr>
                <w:rFonts w:ascii="Trebuchet MS" w:hAnsi="Trebuchet MS" w:cs="Trebuchet MS"/>
                <w:sz w:val="22"/>
                <w:szCs w:val="22"/>
              </w:rPr>
              <w:t xml:space="preserve">uncţie publică de </w:t>
            </w:r>
            <w:r w:rsidR="00F00159">
              <w:rPr>
                <w:rFonts w:ascii="Trebuchet MS" w:hAnsi="Trebuchet MS" w:cs="Trebuchet MS"/>
                <w:sz w:val="22"/>
                <w:szCs w:val="22"/>
              </w:rPr>
              <w:t>execuție</w:t>
            </w:r>
          </w:p>
        </w:tc>
      </w:tr>
      <w:tr w:rsidR="000C341F" w:rsidTr="004A0318">
        <w:trPr>
          <w:trHeight w:val="303"/>
        </w:trPr>
        <w:tc>
          <w:tcPr>
            <w:tcW w:w="3685" w:type="dxa"/>
            <w:gridSpan w:val="2"/>
            <w:tcBorders>
              <w:top w:val="single" w:sz="4" w:space="0" w:color="000000"/>
              <w:left w:val="single" w:sz="4" w:space="0" w:color="000000"/>
              <w:bottom w:val="single" w:sz="4" w:space="0" w:color="000000"/>
            </w:tcBorders>
          </w:tcPr>
          <w:p w:rsidR="000C341F" w:rsidRDefault="000C341F" w:rsidP="00B8612C">
            <w:pPr>
              <w:ind w:left="3" w:hanging="3"/>
              <w:rPr>
                <w:rFonts w:ascii="Trebuchet MS" w:hAnsi="Trebuchet MS" w:cs="Trebuchet MS"/>
                <w:sz w:val="22"/>
                <w:szCs w:val="22"/>
              </w:rPr>
            </w:pPr>
            <w:bookmarkStart w:id="0" w:name="_GoBack" w:colFirst="0" w:colLast="1"/>
            <w:r>
              <w:rPr>
                <w:rFonts w:ascii="Trebuchet MS" w:hAnsi="Trebuchet MS" w:cs="Trebuchet MS"/>
                <w:sz w:val="22"/>
                <w:szCs w:val="22"/>
                <w:lang w:val="ro-RO"/>
              </w:rPr>
              <w:t>Clasa</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0C341F" w:rsidRPr="000C67B3" w:rsidRDefault="000C67B3" w:rsidP="00B8612C">
            <w:pPr>
              <w:rPr>
                <w:rFonts w:ascii="Trebuchet MS" w:hAnsi="Trebuchet MS" w:cs="Trebuchet MS"/>
                <w:sz w:val="22"/>
                <w:szCs w:val="22"/>
              </w:rPr>
            </w:pPr>
            <w:r>
              <w:rPr>
                <w:rFonts w:ascii="Trebuchet MS" w:hAnsi="Trebuchet MS" w:cs="Trebuchet MS"/>
                <w:sz w:val="22"/>
                <w:szCs w:val="22"/>
              </w:rPr>
              <w:t>I</w:t>
            </w:r>
          </w:p>
        </w:tc>
      </w:tr>
      <w:tr w:rsidR="000C341F" w:rsidTr="004A0318">
        <w:trPr>
          <w:trHeight w:val="303"/>
        </w:trPr>
        <w:tc>
          <w:tcPr>
            <w:tcW w:w="3685" w:type="dxa"/>
            <w:gridSpan w:val="2"/>
            <w:tcBorders>
              <w:top w:val="single" w:sz="4" w:space="0" w:color="000000"/>
              <w:left w:val="single" w:sz="4" w:space="0" w:color="000000"/>
              <w:bottom w:val="single" w:sz="4" w:space="0" w:color="000000"/>
            </w:tcBorders>
          </w:tcPr>
          <w:p w:rsidR="000C341F" w:rsidRDefault="000C341F" w:rsidP="00B8612C">
            <w:pPr>
              <w:ind w:left="3" w:hanging="3"/>
              <w:rPr>
                <w:rFonts w:ascii="Trebuchet MS" w:hAnsi="Trebuchet MS" w:cs="Trebuchet MS"/>
                <w:sz w:val="22"/>
                <w:szCs w:val="22"/>
              </w:rPr>
            </w:pPr>
            <w:r>
              <w:rPr>
                <w:rFonts w:ascii="Trebuchet MS" w:hAnsi="Trebuchet MS" w:cs="Trebuchet MS"/>
                <w:sz w:val="22"/>
                <w:szCs w:val="22"/>
                <w:lang w:val="ro-RO"/>
              </w:rPr>
              <w:t>Gradul profesional</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0C341F" w:rsidRDefault="000C67B3" w:rsidP="00B8612C">
            <w:pPr>
              <w:rPr>
                <w:rFonts w:ascii="Trebuchet MS" w:hAnsi="Trebuchet MS" w:cs="Trebuchet MS"/>
                <w:sz w:val="22"/>
                <w:szCs w:val="22"/>
              </w:rPr>
            </w:pPr>
            <w:r>
              <w:rPr>
                <w:rFonts w:ascii="Trebuchet MS" w:hAnsi="Trebuchet MS" w:cs="Trebuchet MS"/>
                <w:sz w:val="22"/>
                <w:szCs w:val="22"/>
              </w:rPr>
              <w:t>S</w:t>
            </w:r>
            <w:r w:rsidRPr="000C67B3">
              <w:rPr>
                <w:rFonts w:ascii="Trebuchet MS" w:hAnsi="Trebuchet MS" w:cs="Trebuchet MS"/>
                <w:sz w:val="22"/>
                <w:szCs w:val="22"/>
              </w:rPr>
              <w:t>uperior</w:t>
            </w:r>
          </w:p>
        </w:tc>
      </w:tr>
      <w:bookmarkEnd w:id="0"/>
      <w:tr w:rsidR="00607E50" w:rsidTr="004A0318">
        <w:tc>
          <w:tcPr>
            <w:tcW w:w="10255" w:type="dxa"/>
            <w:gridSpan w:val="4"/>
            <w:tcBorders>
              <w:top w:val="single" w:sz="4" w:space="0" w:color="000000"/>
              <w:left w:val="single" w:sz="4" w:space="0" w:color="000000"/>
              <w:bottom w:val="single" w:sz="4" w:space="0" w:color="000000"/>
              <w:right w:val="single" w:sz="4" w:space="0" w:color="000000"/>
            </w:tcBorders>
          </w:tcPr>
          <w:p w:rsidR="0035228A" w:rsidRDefault="0035228A" w:rsidP="00B8612C">
            <w:pPr>
              <w:jc w:val="center"/>
              <w:rPr>
                <w:rFonts w:ascii="Trebuchet MS" w:hAnsi="Trebuchet MS" w:cs="Trebuchet MS"/>
                <w:b/>
                <w:sz w:val="22"/>
                <w:szCs w:val="22"/>
              </w:rPr>
            </w:pPr>
          </w:p>
          <w:p w:rsidR="00607E50" w:rsidRDefault="00607E50" w:rsidP="00B8612C">
            <w:pPr>
              <w:jc w:val="center"/>
              <w:rPr>
                <w:b/>
                <w:sz w:val="22"/>
              </w:rPr>
            </w:pPr>
            <w:r>
              <w:rPr>
                <w:rFonts w:ascii="Trebuchet MS" w:hAnsi="Trebuchet MS" w:cs="Trebuchet MS"/>
                <w:b/>
                <w:sz w:val="22"/>
                <w:szCs w:val="22"/>
              </w:rPr>
              <w:t>Descrierea postului</w:t>
            </w:r>
          </w:p>
          <w:p w:rsidR="00607E50" w:rsidRDefault="00607E50" w:rsidP="00B8612C">
            <w:pPr>
              <w:jc w:val="center"/>
              <w:rPr>
                <w:b/>
                <w:sz w:val="22"/>
              </w:rPr>
            </w:pPr>
          </w:p>
        </w:tc>
      </w:tr>
      <w:tr w:rsidR="00607E50" w:rsidRPr="000C341F" w:rsidTr="004A0318">
        <w:tc>
          <w:tcPr>
            <w:tcW w:w="3685" w:type="dxa"/>
            <w:gridSpan w:val="2"/>
            <w:tcBorders>
              <w:top w:val="single" w:sz="4" w:space="0" w:color="000000"/>
              <w:left w:val="single" w:sz="4" w:space="0" w:color="000000"/>
              <w:bottom w:val="single" w:sz="4" w:space="0" w:color="000000"/>
            </w:tcBorders>
          </w:tcPr>
          <w:p w:rsidR="00607E50" w:rsidRDefault="00607E50" w:rsidP="00B8612C">
            <w:pPr>
              <w:rPr>
                <w:sz w:val="22"/>
              </w:rPr>
            </w:pPr>
            <w:r>
              <w:rPr>
                <w:rFonts w:ascii="Trebuchet MS" w:hAnsi="Trebuchet MS" w:cs="Trebuchet MS"/>
                <w:sz w:val="22"/>
                <w:szCs w:val="22"/>
              </w:rPr>
              <w:t>Scopul principal al postului</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Pr="00101376" w:rsidRDefault="00F00159" w:rsidP="00B8612C">
            <w:pPr>
              <w:rPr>
                <w:bCs/>
                <w:sz w:val="22"/>
                <w:lang w:val="es-ES_tradnl"/>
              </w:rPr>
            </w:pPr>
            <w:r>
              <w:rPr>
                <w:rFonts w:ascii="Trebuchet MS" w:hAnsi="Trebuchet MS" w:cs="Trebuchet MS"/>
                <w:sz w:val="22"/>
                <w:szCs w:val="22"/>
                <w:lang w:val="es-ES_tradnl"/>
              </w:rPr>
              <w:t>a</w:t>
            </w:r>
            <w:r w:rsidRPr="00F00159">
              <w:rPr>
                <w:rFonts w:ascii="Trebuchet MS" w:hAnsi="Trebuchet MS" w:cs="Trebuchet MS"/>
                <w:sz w:val="22"/>
                <w:szCs w:val="22"/>
                <w:lang w:val="es-ES_tradnl"/>
              </w:rPr>
              <w:t>sigurarea realizării activităților/lucrărilor specifice pentru îndeplinirea obiectivelor individuale referitoare la reglementările în domeniul TVA.</w:t>
            </w:r>
          </w:p>
        </w:tc>
      </w:tr>
      <w:tr w:rsidR="00607E50" w:rsidRPr="000C341F" w:rsidTr="004A0318">
        <w:tc>
          <w:tcPr>
            <w:tcW w:w="10255" w:type="dxa"/>
            <w:gridSpan w:val="4"/>
            <w:tcBorders>
              <w:top w:val="single" w:sz="4" w:space="0" w:color="000000"/>
              <w:left w:val="single" w:sz="4" w:space="0" w:color="000000"/>
              <w:bottom w:val="single" w:sz="4" w:space="0" w:color="000000"/>
              <w:right w:val="single" w:sz="4" w:space="0" w:color="000000"/>
            </w:tcBorders>
          </w:tcPr>
          <w:p w:rsidR="000C67B3" w:rsidRPr="000C67B3" w:rsidRDefault="0086507F" w:rsidP="006027E7">
            <w:pPr>
              <w:pStyle w:val="ListParagraph"/>
              <w:ind w:left="67"/>
              <w:jc w:val="both"/>
              <w:rPr>
                <w:rFonts w:ascii="Trebuchet MS" w:hAnsi="Trebuchet MS" w:cs="Trebuchet MS"/>
                <w:b/>
                <w:sz w:val="22"/>
                <w:szCs w:val="22"/>
                <w:lang w:val="es-ES_tradnl"/>
              </w:rPr>
            </w:pPr>
            <w:r w:rsidRPr="000C67B3">
              <w:rPr>
                <w:rFonts w:ascii="Trebuchet MS" w:hAnsi="Trebuchet MS" w:cs="Trebuchet MS"/>
                <w:b/>
                <w:sz w:val="22"/>
                <w:szCs w:val="22"/>
                <w:lang w:val="es-ES_tradnl"/>
              </w:rPr>
              <w:t>Atribuţiile postului</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Elaborează legislaţia primară și secundară în domeniul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Elaborează proiecte de ordine, instrucțiuni și norme în aplicarea actelor normative care reglementează taxa pe valoarea adăugată.</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Elaborează soluții cu caracter general, pentru care se vor emite, după caz, ordine ale ministrului finanțelor sau decizii ale Comisiei centrale fiscale.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Elaborează note, studii, informări pentru conducerea ministerului la propunerile legislative la care Ministerul Finanțelor este inițiator, co-inițiator sau avizator și care au implicații în domeniul TVA, în vederea susținerii acestora în Guvern sau Parlament.</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Analizează și propune avizarea proiectelor de acte normative și instrucțiuni elaborate de alte direcții sau instituții care vizează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Asigură promovarea actelor normative, la propunerea Agenției Naționale de Administrare Fiscală sau din inițiativa conducerii ministerului, care contribuie la creșterea conformării fiscale a contribuabililor și reducerea gap-ului de TVA, cum ar fi: RO e-Factura, etc.</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Analizează și propune modificarea legislației care reglementează organizarea și exercitarea activității de consultanță fiscală.</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Emite decizii de aprobare a aplicării unei pro-rata specială sau de autorizare a aplicării unei pro-rata specială pentru fiecare sector de activitate, în situații speciale, când pro-rata calculată conform prevederilor Codului fiscal nu asigură determinarea corectă a taxei pe valoarea adăugată de dedus.</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lastRenderedPageBreak/>
              <w:t>Pregătește documentația necesară în vederea aprobării de către Parlament a actelor normative pentru modificarea Codului fiscal și a legislaţiei în domeniul TVA și asigură participarea la lucrările parlamentare.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Analizează şi formulează punctul de vedere privind proiectele legislative care vizează aspecte privind TVA, iniţiate de Guvern, Parlament sau de alte entităţi.</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Asigură aplicarea unitară a legislației privind TVA prin asigurarea de asistență de specialitate structurilor aparatului central al ANAF, inclusiv prin emiterea de circulare.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Asigură elaborarea de răspunsuri la solicitarea agenților economici, care conțin probleme de complexitate deosebita, necesită clarificarea intenției de reglementare, precum și modificarea prevederilor legale în domeniul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Asigură legătura cu Consiliul Uniunii Europene, Comisia Europeană și alte instituții ale Uniunii Europene în domeniul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Analizează documentele transmise de Consiliul Uniunii Europene și de Comisia Europeană și pregătește poziția României cu privire la modificările de directive sau regulamente pe probleme de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Participă la reuniunile Grupului de lucru „Aspecte fiscale - Impozitarea indirectă - TVA” din cadrul Consiliului Uniunii Europene şi la şedinţele organizate de Comitetul de TVA sau de alte grupuri de lucru din cadrul Comisiei Europene, precum şi la reuniunile organizate de alte foruri europene/internaționale şi asigură pregătirea în vederea participării la aceste reuniuni.</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Întreprinde demersurile necesare în vederea obținerii unor derogări de la prevederile legislației europene în domeniul TVA şi implementează măsurile derogatorii în legislaţia naţională.</w:t>
            </w:r>
          </w:p>
          <w:p w:rsid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Asigură demersurile necesare în vederea consultării sau notificării Comitetului de TVA din cadrul Comisiei Europene, conform prevederilor directivei europene în materie de TVA.</w:t>
            </w:r>
          </w:p>
          <w:p w:rsidR="000A7296" w:rsidRPr="000A7296" w:rsidRDefault="000A7296" w:rsidP="006027E7">
            <w:pPr>
              <w:pStyle w:val="ListParagraph"/>
              <w:numPr>
                <w:ilvl w:val="0"/>
                <w:numId w:val="3"/>
              </w:numPr>
              <w:contextualSpacing w:val="0"/>
              <w:jc w:val="both"/>
              <w:rPr>
                <w:rFonts w:ascii="Trebuchet MS" w:hAnsi="Trebuchet MS" w:cs="Trebuchet MS"/>
                <w:sz w:val="22"/>
                <w:szCs w:val="22"/>
                <w:lang w:val="es-ES_tradnl"/>
              </w:rPr>
            </w:pPr>
            <w:r w:rsidRPr="007C03F4">
              <w:rPr>
                <w:rFonts w:ascii="Trebuchet MS" w:hAnsi="Trebuchet MS"/>
                <w:bCs/>
                <w:sz w:val="22"/>
                <w:szCs w:val="22"/>
              </w:rPr>
              <w:t>Formulează puncte de vedere către Ministerul Afacerilor Externe cu privire la sesizarea acestuia privind solicitarea de informaţii introduse în sistemul EU Pilot de către Comisia Europeană pe domeniul legislaţiei privind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Formulează observaţii la notificările Comisiei Europene privind cazurile de încălcare a dreptului comunitar în domeniul TVA care pot duce la declanşarea procedurii de infringement.</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Formulează puncte de vedere către Ministerul Afacerilor Externe cu privire la cauzele în domeniul TVA transmise de instanțele din România către Curtea de Justiție a Uniunii Europene.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Urmăreşte cazurile prezentate la Curtea de Justiţie a Uniunii Europene în domeniul TVA şi evaluează impactul hotărârilor Curţii asupra legislaţiei naţionale.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Actualizează website-ul Ministerului Finanțelor cu informații privind TVA.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Coordonează metodologic activitate de aplicare unitară a legislației în domeniul TVA desfășurate de serviciile de asistență contribuabili organizate în cadrul Agenției Naționale de Administrare Fiscală și a unităților subordonate, în conformitate cu prevederile legale/procedurile în vigoare.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Formulează puncte de vedere potrivit domeniului de competență pentru soluționarea în mod corespunzător a soluției fiscale individuale anticipate.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Participă, la solicitarea structurii care are ca atribuție gestionarea soluțiilor fiscale individuale anticipate de la nivelul direcției generale, la discuția preliminară în vederea stabilirii existenței stării fiscale de fapt viitoare pentru emiterea unei soluții fiscale individuale anticipate.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Analizează și propune conducerii direcției generale modificarea cadrului legislativ din domeniul de competență ca urmare a solicitării unei soluții fiscale individuale anticipate și care necesită intervenție legislative.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Participă la cursuri, seminarii şi schimburi de experienţă organizate în ţară şi străinătate, care au ca obiect legislaţia privind taxa pe valoarea adăugată.</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Îndeplineşte orice alte sarcini/atribuții dispuse de conducerea ministerului/direcției generale.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Răspunde şi semnează pentru legalitatea şi corectitudinea de fond şi de formă a tuturor lucrărilor pe care le întocmeşte.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lastRenderedPageBreak/>
              <w:t>Respectă prevederile legislației din domeniul securității și sănătății în muncă, apărării împotriva incendiilor și măsurile de aplicare a acestora.</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Utilizează corect și eficient aparatura (calculator, imprimantă etc.) și rechizitele, manipulează și întreține corespunzător mobilierul din dotare.</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Informează conducerea structurii privind eventualele accidente de muncă pe care le suferă.</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Nu are dreptul de a folosi sau dezvălui nici în timpul activităţii nici după încetarea acesteia, fapte sau date care, devenite publice, ar dăuna prestigiului ministerului.</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 xml:space="preserve">Participă activ la identificarea potențialelor riscuri, care pot afecta activitatea direcției, prin completarea </w:t>
            </w:r>
            <w:proofErr w:type="gramStart"/>
            <w:r w:rsidRPr="0086507F">
              <w:rPr>
                <w:rFonts w:ascii="Trebuchet MS" w:hAnsi="Trebuchet MS" w:cs="Trebuchet MS"/>
                <w:sz w:val="22"/>
                <w:szCs w:val="22"/>
                <w:lang w:val="es-ES_tradnl"/>
              </w:rPr>
              <w:t>formularului ”Alertă</w:t>
            </w:r>
            <w:proofErr w:type="gramEnd"/>
            <w:r w:rsidRPr="0086507F">
              <w:rPr>
                <w:rFonts w:ascii="Trebuchet MS" w:hAnsi="Trebuchet MS" w:cs="Trebuchet MS"/>
                <w:sz w:val="22"/>
                <w:szCs w:val="22"/>
                <w:lang w:val="es-ES_tradnl"/>
              </w:rPr>
              <w:t xml:space="preserve"> la risc” și are obligația de a transmite formularul către responsabilul de risc din cadrul direcției, conform procedurii de sistem PS-12 privind Managementul riscului.</w:t>
            </w:r>
          </w:p>
          <w:p w:rsidR="0086507F" w:rsidRPr="0086507F"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Îndeplinește orice alte sarcini primite de la conducerea serviciului, în conformitate cu prevederile legale în vigoare și care duc la îndeplinirea scopului postului.</w:t>
            </w:r>
          </w:p>
          <w:p w:rsidR="00607E50" w:rsidRPr="00AA63F6" w:rsidRDefault="0086507F" w:rsidP="006027E7">
            <w:pPr>
              <w:pStyle w:val="ListParagraph"/>
              <w:numPr>
                <w:ilvl w:val="0"/>
                <w:numId w:val="3"/>
              </w:numPr>
              <w:jc w:val="both"/>
              <w:rPr>
                <w:rFonts w:ascii="Trebuchet MS" w:hAnsi="Trebuchet MS" w:cs="Trebuchet MS"/>
                <w:sz w:val="22"/>
                <w:szCs w:val="22"/>
                <w:lang w:val="es-ES_tradnl"/>
              </w:rPr>
            </w:pPr>
            <w:r w:rsidRPr="0086507F">
              <w:rPr>
                <w:rFonts w:ascii="Trebuchet MS" w:hAnsi="Trebuchet MS" w:cs="Trebuchet MS"/>
                <w:sz w:val="22"/>
                <w:szCs w:val="22"/>
                <w:lang w:val="es-ES_tradnl"/>
              </w:rPr>
              <w:t>Îndeplinește în realizarea atribuțiilor de serviciu, obligațiile ce derivă din legislația specifică privind prelucrarea datelor cu caracter personal, securitatea și sănătatea în muncă, arhivarea/păstrarea documentelor.</w:t>
            </w:r>
          </w:p>
        </w:tc>
      </w:tr>
      <w:tr w:rsidR="00607E50" w:rsidTr="004A0318">
        <w:tc>
          <w:tcPr>
            <w:tcW w:w="10255" w:type="dxa"/>
            <w:gridSpan w:val="4"/>
            <w:tcBorders>
              <w:top w:val="single" w:sz="4" w:space="0" w:color="000000"/>
              <w:left w:val="single" w:sz="4" w:space="0" w:color="000000"/>
              <w:bottom w:val="single" w:sz="4" w:space="0" w:color="000000"/>
              <w:right w:val="single" w:sz="4" w:space="0" w:color="000000"/>
            </w:tcBorders>
          </w:tcPr>
          <w:p w:rsidR="00607E50" w:rsidRDefault="00607E50" w:rsidP="00B8612C">
            <w:pPr>
              <w:jc w:val="center"/>
              <w:rPr>
                <w:b/>
                <w:sz w:val="22"/>
              </w:rPr>
            </w:pPr>
            <w:r>
              <w:rPr>
                <w:rFonts w:ascii="Trebuchet MS" w:hAnsi="Trebuchet MS" w:cs="Trebuchet MS"/>
                <w:b/>
                <w:sz w:val="22"/>
                <w:szCs w:val="22"/>
              </w:rPr>
              <w:lastRenderedPageBreak/>
              <w:t>Condiții pentru ocuparea postului</w:t>
            </w:r>
          </w:p>
        </w:tc>
      </w:tr>
      <w:tr w:rsidR="00607E50" w:rsidTr="004A0318">
        <w:tc>
          <w:tcPr>
            <w:tcW w:w="3685" w:type="dxa"/>
            <w:gridSpan w:val="2"/>
            <w:tcBorders>
              <w:top w:val="single" w:sz="4" w:space="0" w:color="000000"/>
              <w:left w:val="single" w:sz="4" w:space="0" w:color="000000"/>
              <w:bottom w:val="single" w:sz="4" w:space="0" w:color="000000"/>
            </w:tcBorders>
          </w:tcPr>
          <w:p w:rsidR="00607E50" w:rsidRDefault="00607E50" w:rsidP="00B8612C">
            <w:pPr>
              <w:ind w:left="3" w:hanging="3"/>
              <w:rPr>
                <w:sz w:val="22"/>
              </w:rPr>
            </w:pPr>
            <w:r>
              <w:rPr>
                <w:rFonts w:ascii="Trebuchet MS" w:hAnsi="Trebuchet MS" w:cs="Trebuchet MS"/>
                <w:sz w:val="22"/>
                <w:szCs w:val="22"/>
              </w:rPr>
              <w:t>Nivelul studiilor</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Pr="000A7296" w:rsidRDefault="00E04CB5" w:rsidP="000A7296">
            <w:pPr>
              <w:pStyle w:val="BodyText"/>
              <w:ind w:left="21"/>
              <w:rPr>
                <w:rFonts w:ascii="Trebuchet MS" w:hAnsi="Trebuchet MS" w:cs="Trebuchet MS"/>
                <w:sz w:val="22"/>
                <w:szCs w:val="22"/>
                <w:lang w:val="es-ES_tradnl"/>
              </w:rPr>
            </w:pPr>
            <w:r>
              <w:rPr>
                <w:rFonts w:ascii="Trebuchet MS" w:hAnsi="Trebuchet MS" w:cs="Trebuchet MS"/>
                <w:sz w:val="22"/>
                <w:szCs w:val="22"/>
                <w:lang w:val="es-ES_tradnl"/>
              </w:rPr>
              <w:t>s</w:t>
            </w:r>
            <w:r w:rsidR="00A90482" w:rsidRPr="000C341F">
              <w:rPr>
                <w:rFonts w:ascii="Trebuchet MS" w:hAnsi="Trebuchet MS" w:cs="Trebuchet MS"/>
                <w:sz w:val="22"/>
                <w:szCs w:val="22"/>
                <w:lang w:val="es-ES_tradnl"/>
              </w:rPr>
              <w:t>tudii universitare de licenţă absolvite cu dipl</w:t>
            </w:r>
            <w:r w:rsidR="000C341F">
              <w:rPr>
                <w:rFonts w:ascii="Trebuchet MS" w:hAnsi="Trebuchet MS" w:cs="Trebuchet MS"/>
                <w:sz w:val="22"/>
                <w:szCs w:val="22"/>
                <w:lang w:val="es-ES_tradnl"/>
              </w:rPr>
              <w:t>omă de licentă sau echivalentă;</w:t>
            </w:r>
          </w:p>
        </w:tc>
      </w:tr>
      <w:tr w:rsidR="00607E50" w:rsidTr="004A0318">
        <w:tc>
          <w:tcPr>
            <w:tcW w:w="3685" w:type="dxa"/>
            <w:gridSpan w:val="2"/>
            <w:tcBorders>
              <w:top w:val="single" w:sz="4" w:space="0" w:color="000000"/>
              <w:left w:val="single" w:sz="4" w:space="0" w:color="000000"/>
              <w:bottom w:val="single" w:sz="4" w:space="0" w:color="000000"/>
            </w:tcBorders>
          </w:tcPr>
          <w:p w:rsidR="00607E50" w:rsidRDefault="00607E50" w:rsidP="00B8612C">
            <w:pPr>
              <w:ind w:left="3" w:hanging="3"/>
              <w:rPr>
                <w:sz w:val="22"/>
              </w:rPr>
            </w:pPr>
            <w:r>
              <w:rPr>
                <w:rFonts w:ascii="Trebuchet MS" w:hAnsi="Trebuchet MS" w:cs="Trebuchet MS"/>
                <w:sz w:val="22"/>
                <w:szCs w:val="22"/>
              </w:rPr>
              <w:t>Domeniul studiilor</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C376B6" w:rsidRPr="005862C5" w:rsidRDefault="00A90482" w:rsidP="000C341F">
            <w:pPr>
              <w:jc w:val="both"/>
              <w:rPr>
                <w:rFonts w:ascii="Trebuchet MS" w:hAnsi="Trebuchet MS" w:cs="Trebuchet MS"/>
                <w:color w:val="FF0000"/>
                <w:sz w:val="22"/>
                <w:szCs w:val="22"/>
              </w:rPr>
            </w:pPr>
            <w:r w:rsidRPr="00101376">
              <w:rPr>
                <w:rFonts w:ascii="Trebuchet MS" w:hAnsi="Trebuchet MS" w:cs="Trebuchet MS"/>
                <w:sz w:val="22"/>
                <w:szCs w:val="22"/>
              </w:rPr>
              <w:t xml:space="preserve">științe </w:t>
            </w:r>
            <w:r w:rsidR="004D2995" w:rsidRPr="00101376">
              <w:rPr>
                <w:rFonts w:ascii="Trebuchet MS" w:hAnsi="Trebuchet MS" w:cs="Trebuchet MS"/>
                <w:sz w:val="22"/>
                <w:szCs w:val="22"/>
              </w:rPr>
              <w:t xml:space="preserve">economice, </w:t>
            </w:r>
            <w:r w:rsidRPr="00101376">
              <w:rPr>
                <w:rFonts w:ascii="Trebuchet MS" w:hAnsi="Trebuchet MS" w:cs="Trebuchet MS"/>
                <w:sz w:val="22"/>
                <w:szCs w:val="22"/>
              </w:rPr>
              <w:t xml:space="preserve">juridice sau </w:t>
            </w:r>
            <w:r w:rsidR="000C341F">
              <w:rPr>
                <w:rFonts w:ascii="Trebuchet MS" w:hAnsi="Trebuchet MS" w:cs="Trebuchet MS"/>
                <w:sz w:val="22"/>
                <w:szCs w:val="22"/>
              </w:rPr>
              <w:t xml:space="preserve">științe </w:t>
            </w:r>
            <w:r w:rsidRPr="00101376">
              <w:rPr>
                <w:rFonts w:ascii="Trebuchet MS" w:hAnsi="Trebuchet MS" w:cs="Trebuchet MS"/>
                <w:sz w:val="22"/>
                <w:szCs w:val="22"/>
              </w:rPr>
              <w:t>administrative</w:t>
            </w:r>
          </w:p>
        </w:tc>
      </w:tr>
      <w:tr w:rsidR="00607E50" w:rsidTr="004A0318">
        <w:tc>
          <w:tcPr>
            <w:tcW w:w="3685" w:type="dxa"/>
            <w:gridSpan w:val="2"/>
            <w:tcBorders>
              <w:top w:val="single" w:sz="4" w:space="0" w:color="000000"/>
              <w:left w:val="single" w:sz="4" w:space="0" w:color="000000"/>
              <w:bottom w:val="single" w:sz="4" w:space="0" w:color="000000"/>
            </w:tcBorders>
          </w:tcPr>
          <w:p w:rsidR="00607E50" w:rsidRDefault="00607E50" w:rsidP="00B8612C">
            <w:pPr>
              <w:ind w:left="3" w:hanging="3"/>
              <w:rPr>
                <w:sz w:val="22"/>
              </w:rPr>
            </w:pPr>
            <w:r>
              <w:rPr>
                <w:rFonts w:ascii="Trebuchet MS" w:hAnsi="Trebuchet MS" w:cs="Trebuchet MS"/>
                <w:sz w:val="22"/>
                <w:szCs w:val="22"/>
              </w:rPr>
              <w:t>Perfecționări/specializări</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Default="00607E50" w:rsidP="00B8612C">
            <w:pPr>
              <w:rPr>
                <w:bCs/>
                <w:sz w:val="22"/>
              </w:rPr>
            </w:pPr>
          </w:p>
        </w:tc>
      </w:tr>
      <w:tr w:rsidR="00317588" w:rsidRPr="000C341F" w:rsidTr="004A0318">
        <w:tc>
          <w:tcPr>
            <w:tcW w:w="3685" w:type="dxa"/>
            <w:gridSpan w:val="2"/>
            <w:tcBorders>
              <w:top w:val="single" w:sz="4" w:space="0" w:color="000000"/>
              <w:left w:val="single" w:sz="4" w:space="0" w:color="000000"/>
              <w:bottom w:val="single" w:sz="4" w:space="0" w:color="000000"/>
            </w:tcBorders>
          </w:tcPr>
          <w:p w:rsidR="00317588" w:rsidRPr="00317588" w:rsidRDefault="00317588" w:rsidP="00B8612C">
            <w:pPr>
              <w:ind w:left="3" w:hanging="3"/>
              <w:rPr>
                <w:rFonts w:ascii="Trebuchet MS" w:hAnsi="Trebuchet MS" w:cs="Trebuchet MS"/>
                <w:sz w:val="22"/>
                <w:szCs w:val="22"/>
                <w:vertAlign w:val="superscript"/>
              </w:rPr>
            </w:pPr>
            <w:r>
              <w:rPr>
                <w:rFonts w:ascii="Trebuchet MS" w:hAnsi="Trebuchet MS" w:cs="Trebuchet MS"/>
                <w:sz w:val="22"/>
                <w:szCs w:val="22"/>
              </w:rPr>
              <w:t>Vechimea în specialitate prevăzută de lege pentru ocuparea funcției publice</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317588" w:rsidRPr="00101376" w:rsidRDefault="00101376" w:rsidP="00B136C5">
            <w:pPr>
              <w:jc w:val="both"/>
              <w:rPr>
                <w:bCs/>
                <w:sz w:val="22"/>
                <w:lang w:val="es-ES_tradnl"/>
              </w:rPr>
            </w:pPr>
            <w:r>
              <w:rPr>
                <w:rFonts w:ascii="Trebuchet MS" w:hAnsi="Trebuchet MS" w:cs="Trebuchet MS"/>
                <w:sz w:val="22"/>
                <w:szCs w:val="22"/>
                <w:lang w:val="es-ES_tradnl"/>
              </w:rPr>
              <w:t xml:space="preserve">minim </w:t>
            </w:r>
            <w:r w:rsidR="00B136C5">
              <w:rPr>
                <w:rFonts w:ascii="Trebuchet MS" w:hAnsi="Trebuchet MS" w:cs="Trebuchet MS"/>
                <w:sz w:val="22"/>
                <w:szCs w:val="22"/>
                <w:lang w:val="es-ES_tradnl"/>
              </w:rPr>
              <w:t>7</w:t>
            </w:r>
            <w:r w:rsidR="00C376B6" w:rsidRPr="00101376">
              <w:rPr>
                <w:rFonts w:ascii="Trebuchet MS" w:hAnsi="Trebuchet MS" w:cs="Trebuchet MS"/>
                <w:sz w:val="22"/>
                <w:szCs w:val="22"/>
                <w:lang w:val="es-ES_tradnl"/>
              </w:rPr>
              <w:t xml:space="preserve"> ani </w:t>
            </w:r>
          </w:p>
        </w:tc>
      </w:tr>
      <w:tr w:rsidR="00607E50" w:rsidTr="004A0318">
        <w:trPr>
          <w:trHeight w:val="240"/>
        </w:trPr>
        <w:tc>
          <w:tcPr>
            <w:tcW w:w="3685" w:type="dxa"/>
            <w:gridSpan w:val="2"/>
            <w:tcBorders>
              <w:top w:val="single" w:sz="4" w:space="0" w:color="000000"/>
              <w:left w:val="single" w:sz="4" w:space="0" w:color="000000"/>
              <w:bottom w:val="single" w:sz="4" w:space="0" w:color="000000"/>
            </w:tcBorders>
          </w:tcPr>
          <w:p w:rsidR="00607E50" w:rsidRPr="00317588" w:rsidRDefault="00317588" w:rsidP="00B8612C">
            <w:pPr>
              <w:ind w:left="3" w:hanging="3"/>
              <w:rPr>
                <w:sz w:val="22"/>
                <w:vertAlign w:val="superscript"/>
              </w:rPr>
            </w:pPr>
            <w:r>
              <w:rPr>
                <w:rFonts w:ascii="Trebuchet MS" w:hAnsi="Trebuchet MS" w:cs="Trebuchet MS"/>
                <w:sz w:val="22"/>
                <w:szCs w:val="22"/>
              </w:rPr>
              <w:t>Cunoștințe generale privind competențe lingvistice de comunicare în limba engleză/</w:t>
            </w:r>
            <w:r w:rsidR="007545FD">
              <w:rPr>
                <w:rFonts w:ascii="Trebuchet MS" w:hAnsi="Trebuchet MS" w:cs="Trebuchet MS"/>
                <w:sz w:val="22"/>
                <w:szCs w:val="22"/>
              </w:rPr>
              <w:t xml:space="preserve"> </w:t>
            </w:r>
            <w:r>
              <w:rPr>
                <w:rFonts w:ascii="Trebuchet MS" w:hAnsi="Trebuchet MS" w:cs="Trebuchet MS"/>
                <w:sz w:val="22"/>
                <w:szCs w:val="22"/>
              </w:rPr>
              <w:t>franceză/spaniolă/germană</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Default="00607E50" w:rsidP="009B7DEE">
            <w:pPr>
              <w:jc w:val="both"/>
              <w:rPr>
                <w:bCs/>
                <w:sz w:val="22"/>
              </w:rPr>
            </w:pPr>
          </w:p>
        </w:tc>
      </w:tr>
      <w:tr w:rsidR="00607E50" w:rsidTr="004A0318">
        <w:trPr>
          <w:trHeight w:val="333"/>
        </w:trPr>
        <w:tc>
          <w:tcPr>
            <w:tcW w:w="3685" w:type="dxa"/>
            <w:gridSpan w:val="2"/>
            <w:tcBorders>
              <w:top w:val="single" w:sz="4" w:space="0" w:color="000000"/>
              <w:left w:val="single" w:sz="4" w:space="0" w:color="000000"/>
              <w:bottom w:val="single" w:sz="4" w:space="0" w:color="000000"/>
            </w:tcBorders>
          </w:tcPr>
          <w:p w:rsidR="00607E50" w:rsidRPr="00101376" w:rsidRDefault="007545FD" w:rsidP="00B8612C">
            <w:pPr>
              <w:ind w:left="3" w:hanging="3"/>
              <w:rPr>
                <w:rFonts w:ascii="Trebuchet MS" w:hAnsi="Trebuchet MS"/>
                <w:sz w:val="22"/>
                <w:vertAlign w:val="superscript"/>
                <w:lang w:val="es-ES_tradnl"/>
              </w:rPr>
            </w:pPr>
            <w:r w:rsidRPr="00101376">
              <w:rPr>
                <w:rFonts w:ascii="Trebuchet MS" w:hAnsi="Trebuchet MS"/>
                <w:sz w:val="22"/>
                <w:lang w:val="es-ES_tradnl"/>
              </w:rPr>
              <w:t>Cunoștințe teoretice în domeniul tehnologiei informației, nivel utilizator începător</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607E50" w:rsidRPr="00101376" w:rsidRDefault="002076E8" w:rsidP="009B7DEE">
            <w:pPr>
              <w:jc w:val="both"/>
              <w:rPr>
                <w:bCs/>
                <w:sz w:val="22"/>
              </w:rPr>
            </w:pPr>
            <w:r w:rsidRPr="00101376">
              <w:rPr>
                <w:rFonts w:ascii="Trebuchet MS" w:hAnsi="Trebuchet MS" w:cs="Trebuchet MS"/>
                <w:sz w:val="22"/>
                <w:szCs w:val="22"/>
              </w:rPr>
              <w:t>nivel utilizator începător</w:t>
            </w:r>
          </w:p>
          <w:p w:rsidR="00607E50" w:rsidRDefault="00607E50" w:rsidP="00B8612C">
            <w:pPr>
              <w:rPr>
                <w:bCs/>
                <w:sz w:val="22"/>
              </w:rPr>
            </w:pPr>
          </w:p>
        </w:tc>
      </w:tr>
      <w:tr w:rsidR="004113C5" w:rsidRPr="000C341F" w:rsidTr="004A0318">
        <w:trPr>
          <w:trHeight w:val="333"/>
        </w:trPr>
        <w:tc>
          <w:tcPr>
            <w:tcW w:w="3685" w:type="dxa"/>
            <w:gridSpan w:val="2"/>
            <w:tcBorders>
              <w:top w:val="single" w:sz="4" w:space="0" w:color="000000"/>
              <w:left w:val="single" w:sz="4" w:space="0" w:color="000000"/>
              <w:bottom w:val="single" w:sz="4" w:space="0" w:color="000000"/>
            </w:tcBorders>
          </w:tcPr>
          <w:p w:rsidR="004113C5" w:rsidRPr="00101376" w:rsidRDefault="004113C5" w:rsidP="00B8612C">
            <w:pPr>
              <w:ind w:left="3" w:hanging="3"/>
              <w:rPr>
                <w:rFonts w:ascii="Trebuchet MS" w:hAnsi="Trebuchet MS"/>
                <w:sz w:val="22"/>
                <w:vertAlign w:val="superscript"/>
                <w:lang w:val="es-ES_tradnl"/>
              </w:rPr>
            </w:pPr>
            <w:r w:rsidRPr="00101376">
              <w:rPr>
                <w:rFonts w:ascii="Trebuchet MS" w:hAnsi="Trebuchet MS"/>
                <w:sz w:val="22"/>
                <w:lang w:val="es-ES_tradnl"/>
              </w:rPr>
              <w:t>Obținerea unui/unei aviz/autorizații prevăzut/prevăzute de lege, cu respectarea prevederilor legislației specific cu privire la îndeplinirea condiției</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4113C5" w:rsidRPr="00101376" w:rsidRDefault="004113C5" w:rsidP="00B8612C">
            <w:pPr>
              <w:rPr>
                <w:bCs/>
                <w:sz w:val="22"/>
                <w:lang w:val="es-ES_tradnl"/>
              </w:rPr>
            </w:pPr>
          </w:p>
        </w:tc>
      </w:tr>
      <w:tr w:rsidR="004113C5" w:rsidTr="004A0318">
        <w:trPr>
          <w:trHeight w:val="333"/>
        </w:trPr>
        <w:tc>
          <w:tcPr>
            <w:tcW w:w="3685" w:type="dxa"/>
            <w:gridSpan w:val="2"/>
            <w:tcBorders>
              <w:top w:val="single" w:sz="4" w:space="0" w:color="000000"/>
              <w:left w:val="single" w:sz="4" w:space="0" w:color="000000"/>
              <w:bottom w:val="single" w:sz="4" w:space="0" w:color="000000"/>
            </w:tcBorders>
          </w:tcPr>
          <w:p w:rsidR="004113C5" w:rsidRPr="004113C5" w:rsidRDefault="004113C5" w:rsidP="00B8612C">
            <w:pPr>
              <w:ind w:left="3" w:hanging="3"/>
              <w:rPr>
                <w:rFonts w:ascii="Trebuchet MS" w:hAnsi="Trebuchet MS"/>
                <w:sz w:val="22"/>
                <w:vertAlign w:val="superscript"/>
              </w:rPr>
            </w:pPr>
            <w:r>
              <w:rPr>
                <w:rFonts w:ascii="Trebuchet MS" w:hAnsi="Trebuchet MS"/>
                <w:sz w:val="22"/>
              </w:rPr>
              <w:t>Alte condiții pentru ocuparea unei funcții publice prevăzute în acte normative specifice aplicabile autorităților sau instituțiilor publice respective</w:t>
            </w:r>
          </w:p>
        </w:tc>
        <w:tc>
          <w:tcPr>
            <w:tcW w:w="6570" w:type="dxa"/>
            <w:gridSpan w:val="2"/>
            <w:tcBorders>
              <w:top w:val="single" w:sz="4" w:space="0" w:color="000000"/>
              <w:left w:val="single" w:sz="4" w:space="0" w:color="000000"/>
              <w:bottom w:val="single" w:sz="4" w:space="0" w:color="000000"/>
              <w:right w:val="single" w:sz="4" w:space="0" w:color="000000"/>
            </w:tcBorders>
            <w:vAlign w:val="center"/>
          </w:tcPr>
          <w:p w:rsidR="004113C5" w:rsidRDefault="004113C5" w:rsidP="00B8612C">
            <w:pPr>
              <w:rPr>
                <w:bCs/>
                <w:sz w:val="22"/>
              </w:rPr>
            </w:pPr>
          </w:p>
          <w:p w:rsidR="000C67B3" w:rsidRDefault="000C67B3" w:rsidP="00B8612C">
            <w:pPr>
              <w:rPr>
                <w:bCs/>
                <w:sz w:val="22"/>
              </w:rPr>
            </w:pPr>
          </w:p>
          <w:p w:rsidR="000C67B3" w:rsidRDefault="000C67B3" w:rsidP="00B8612C">
            <w:pPr>
              <w:rPr>
                <w:bCs/>
                <w:sz w:val="22"/>
              </w:rPr>
            </w:pPr>
          </w:p>
          <w:p w:rsidR="000C67B3" w:rsidRDefault="000C67B3" w:rsidP="00B8612C">
            <w:pPr>
              <w:rPr>
                <w:bCs/>
                <w:sz w:val="22"/>
              </w:rPr>
            </w:pPr>
          </w:p>
          <w:p w:rsidR="000C67B3" w:rsidRDefault="000C67B3" w:rsidP="00B8612C">
            <w:pPr>
              <w:rPr>
                <w:bCs/>
                <w:sz w:val="22"/>
              </w:rPr>
            </w:pPr>
          </w:p>
        </w:tc>
      </w:tr>
      <w:tr w:rsidR="00607E50" w:rsidRPr="000C341F" w:rsidTr="004A0318">
        <w:trPr>
          <w:trHeight w:val="528"/>
        </w:trPr>
        <w:tc>
          <w:tcPr>
            <w:tcW w:w="10255" w:type="dxa"/>
            <w:gridSpan w:val="4"/>
            <w:tcBorders>
              <w:top w:val="single" w:sz="4" w:space="0" w:color="000000"/>
              <w:left w:val="single" w:sz="4" w:space="0" w:color="000000"/>
              <w:bottom w:val="single" w:sz="4" w:space="0" w:color="000000"/>
              <w:right w:val="single" w:sz="4" w:space="0" w:color="000000"/>
            </w:tcBorders>
          </w:tcPr>
          <w:p w:rsidR="00607E50" w:rsidRPr="00075056" w:rsidRDefault="00607E50" w:rsidP="00B8612C">
            <w:pPr>
              <w:ind w:left="3" w:hanging="3"/>
              <w:jc w:val="center"/>
              <w:rPr>
                <w:sz w:val="22"/>
                <w:lang w:val="es-ES_tradnl"/>
              </w:rPr>
            </w:pPr>
            <w:r w:rsidRPr="00075056">
              <w:rPr>
                <w:rFonts w:ascii="Trebuchet MS" w:hAnsi="Trebuchet MS" w:cs="Trebuchet MS"/>
                <w:bCs/>
                <w:sz w:val="22"/>
                <w:szCs w:val="22"/>
                <w:lang w:val="es-ES_tradnl"/>
              </w:rPr>
              <w:t>Competențe necesare exercitării funcți</w:t>
            </w:r>
            <w:r w:rsidR="00D37279" w:rsidRPr="00075056">
              <w:rPr>
                <w:rFonts w:ascii="Trebuchet MS" w:hAnsi="Trebuchet MS" w:cs="Trebuchet MS"/>
                <w:bCs/>
                <w:sz w:val="22"/>
                <w:szCs w:val="22"/>
                <w:lang w:val="es-ES_tradnl"/>
              </w:rPr>
              <w:t>e</w:t>
            </w:r>
            <w:r w:rsidRPr="00075056">
              <w:rPr>
                <w:rFonts w:ascii="Trebuchet MS" w:hAnsi="Trebuchet MS" w:cs="Trebuchet MS"/>
                <w:bCs/>
                <w:sz w:val="22"/>
                <w:szCs w:val="22"/>
                <w:lang w:val="es-ES_tradnl"/>
              </w:rPr>
              <w:t>i publice</w:t>
            </w:r>
          </w:p>
        </w:tc>
      </w:tr>
      <w:tr w:rsidR="00607E50" w:rsidTr="004A0318">
        <w:trPr>
          <w:trHeight w:val="260"/>
        </w:trPr>
        <w:tc>
          <w:tcPr>
            <w:tcW w:w="3685" w:type="dxa"/>
            <w:gridSpan w:val="2"/>
            <w:vMerge w:val="restart"/>
            <w:tcBorders>
              <w:left w:val="single" w:sz="4" w:space="0" w:color="000000"/>
              <w:bottom w:val="single" w:sz="4" w:space="0" w:color="auto"/>
            </w:tcBorders>
          </w:tcPr>
          <w:p w:rsidR="00607E50" w:rsidRPr="004113C5" w:rsidRDefault="00607E50" w:rsidP="004113C5">
            <w:pPr>
              <w:pStyle w:val="ListParagraph"/>
              <w:numPr>
                <w:ilvl w:val="0"/>
                <w:numId w:val="1"/>
              </w:numPr>
              <w:rPr>
                <w:sz w:val="22"/>
              </w:rPr>
            </w:pPr>
            <w:r w:rsidRPr="004113C5">
              <w:rPr>
                <w:rFonts w:ascii="Trebuchet MS" w:hAnsi="Trebuchet MS" w:cs="Trebuchet MS"/>
                <w:sz w:val="22"/>
                <w:szCs w:val="22"/>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Pr="00075056" w:rsidRDefault="00607E50" w:rsidP="00B8612C">
            <w:pPr>
              <w:ind w:left="3" w:hanging="3"/>
              <w:jc w:val="center"/>
              <w:rPr>
                <w:rFonts w:ascii="Trebuchet MS" w:hAnsi="Trebuchet MS"/>
                <w:sz w:val="22"/>
              </w:rPr>
            </w:pPr>
            <w:r w:rsidRPr="00075056">
              <w:rPr>
                <w:rFonts w:ascii="Trebuchet MS" w:hAnsi="Trebuchet MS" w:cs="Trebuchet MS"/>
                <w:sz w:val="22"/>
                <w:szCs w:val="22"/>
              </w:rPr>
              <w:t>Denumirea competenței generale</w:t>
            </w:r>
          </w:p>
        </w:tc>
        <w:tc>
          <w:tcPr>
            <w:tcW w:w="2484" w:type="dxa"/>
            <w:tcBorders>
              <w:top w:val="single" w:sz="4" w:space="0" w:color="000000"/>
              <w:left w:val="single" w:sz="4" w:space="0" w:color="auto"/>
              <w:bottom w:val="single" w:sz="4" w:space="0" w:color="000000"/>
              <w:right w:val="single" w:sz="4" w:space="0" w:color="000000"/>
            </w:tcBorders>
            <w:vAlign w:val="center"/>
          </w:tcPr>
          <w:p w:rsidR="00607E50" w:rsidRPr="008911CA" w:rsidRDefault="00607E50" w:rsidP="00B8612C">
            <w:pPr>
              <w:ind w:left="3" w:hanging="3"/>
              <w:jc w:val="center"/>
              <w:rPr>
                <w:rFonts w:ascii="Trebuchet MS" w:hAnsi="Trebuchet MS"/>
                <w:sz w:val="22"/>
              </w:rPr>
            </w:pPr>
            <w:r w:rsidRPr="008911CA">
              <w:rPr>
                <w:rFonts w:ascii="Trebuchet MS" w:hAnsi="Trebuchet MS" w:cs="Trebuchet MS"/>
                <w:sz w:val="22"/>
                <w:szCs w:val="22"/>
              </w:rPr>
              <w:t>Nivelul de compexitate</w:t>
            </w:r>
          </w:p>
        </w:tc>
      </w:tr>
      <w:tr w:rsidR="00607E50" w:rsidTr="004A0318">
        <w:trPr>
          <w:trHeight w:val="260"/>
        </w:trPr>
        <w:tc>
          <w:tcPr>
            <w:tcW w:w="3685" w:type="dxa"/>
            <w:gridSpan w:val="2"/>
            <w:vMerge/>
            <w:tcBorders>
              <w:top w:val="single" w:sz="4" w:space="0" w:color="auto"/>
              <w:left w:val="single" w:sz="4" w:space="0" w:color="000000"/>
              <w:bottom w:val="single" w:sz="4" w:space="0" w:color="auto"/>
            </w:tcBorders>
          </w:tcPr>
          <w:p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Pr="00101376" w:rsidRDefault="00607E50" w:rsidP="00B8612C">
            <w:pPr>
              <w:ind w:left="3" w:hanging="3"/>
              <w:rPr>
                <w:sz w:val="22"/>
                <w:lang w:val="es-ES_tradnl"/>
              </w:rPr>
            </w:pPr>
            <w:r w:rsidRPr="00101376">
              <w:rPr>
                <w:rFonts w:ascii="Trebuchet MS" w:hAnsi="Trebuchet MS" w:cs="Trebuchet MS"/>
                <w:sz w:val="22"/>
                <w:szCs w:val="22"/>
                <w:lang w:val="es-ES_tradnl"/>
              </w:rPr>
              <w:t>1. Rezolvarea de probleme și luarea deciziilor</w:t>
            </w:r>
          </w:p>
        </w:tc>
        <w:tc>
          <w:tcPr>
            <w:tcW w:w="2484" w:type="dxa"/>
            <w:tcBorders>
              <w:top w:val="single" w:sz="4" w:space="0" w:color="000000"/>
              <w:left w:val="single" w:sz="4" w:space="0" w:color="auto"/>
              <w:bottom w:val="single" w:sz="4" w:space="0" w:color="000000"/>
              <w:right w:val="single" w:sz="4" w:space="0" w:color="000000"/>
            </w:tcBorders>
            <w:vAlign w:val="center"/>
          </w:tcPr>
          <w:p w:rsidR="00607E50" w:rsidRPr="00101376" w:rsidRDefault="003C4A34" w:rsidP="00075056">
            <w:pPr>
              <w:rPr>
                <w:rFonts w:ascii="Trebuchet MS" w:hAnsi="Trebuchet MS" w:cs="Trebuchet MS"/>
                <w:sz w:val="22"/>
                <w:szCs w:val="22"/>
              </w:rPr>
            </w:pPr>
            <w:r w:rsidRPr="00101376">
              <w:rPr>
                <w:rFonts w:ascii="Trebuchet MS" w:hAnsi="Trebuchet MS" w:cs="Trebuchet MS"/>
                <w:sz w:val="22"/>
                <w:szCs w:val="22"/>
              </w:rPr>
              <w:t xml:space="preserve">nivel </w:t>
            </w:r>
            <w:r w:rsidR="00075056">
              <w:rPr>
                <w:rFonts w:ascii="Trebuchet MS" w:hAnsi="Trebuchet MS" w:cs="Trebuchet MS"/>
                <w:sz w:val="22"/>
                <w:szCs w:val="22"/>
              </w:rPr>
              <w:t>operațional</w:t>
            </w:r>
          </w:p>
        </w:tc>
      </w:tr>
      <w:tr w:rsidR="00075056" w:rsidTr="004A0318">
        <w:tc>
          <w:tcPr>
            <w:tcW w:w="3685" w:type="dxa"/>
            <w:gridSpan w:val="2"/>
            <w:vMerge/>
            <w:tcBorders>
              <w:top w:val="single" w:sz="4" w:space="0" w:color="auto"/>
              <w:left w:val="single" w:sz="4" w:space="0" w:color="000000"/>
              <w:bottom w:val="single" w:sz="4" w:space="0" w:color="auto"/>
            </w:tcBorders>
          </w:tcPr>
          <w:p w:rsidR="00075056" w:rsidRDefault="00075056" w:rsidP="00075056">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075056" w:rsidRDefault="00075056" w:rsidP="00075056">
            <w:pPr>
              <w:ind w:left="3" w:hanging="3"/>
              <w:rPr>
                <w:sz w:val="22"/>
              </w:rPr>
            </w:pPr>
            <w:r>
              <w:rPr>
                <w:rFonts w:ascii="Trebuchet MS" w:hAnsi="Trebuchet MS" w:cs="Trebuchet MS"/>
                <w:sz w:val="22"/>
                <w:szCs w:val="22"/>
              </w:rPr>
              <w:t>2. Inițiativă</w:t>
            </w:r>
          </w:p>
        </w:tc>
        <w:tc>
          <w:tcPr>
            <w:tcW w:w="2484" w:type="dxa"/>
            <w:tcBorders>
              <w:top w:val="single" w:sz="4" w:space="0" w:color="000000"/>
              <w:left w:val="single" w:sz="4" w:space="0" w:color="auto"/>
              <w:bottom w:val="single" w:sz="4" w:space="0" w:color="000000"/>
              <w:right w:val="single" w:sz="4" w:space="0" w:color="000000"/>
            </w:tcBorders>
            <w:vAlign w:val="center"/>
          </w:tcPr>
          <w:p w:rsidR="00075056" w:rsidRPr="00101376" w:rsidRDefault="00075056" w:rsidP="00075056">
            <w:pPr>
              <w:rPr>
                <w:rFonts w:ascii="Trebuchet MS" w:hAnsi="Trebuchet MS" w:cs="Trebuchet MS"/>
                <w:sz w:val="22"/>
                <w:szCs w:val="22"/>
              </w:rPr>
            </w:pPr>
            <w:r w:rsidRPr="00101376">
              <w:rPr>
                <w:rFonts w:ascii="Trebuchet MS" w:hAnsi="Trebuchet MS" w:cs="Trebuchet MS"/>
                <w:sz w:val="22"/>
                <w:szCs w:val="22"/>
              </w:rPr>
              <w:t xml:space="preserve">nivel </w:t>
            </w:r>
            <w:r>
              <w:rPr>
                <w:rFonts w:ascii="Trebuchet MS" w:hAnsi="Trebuchet MS" w:cs="Trebuchet MS"/>
                <w:sz w:val="22"/>
                <w:szCs w:val="22"/>
              </w:rPr>
              <w:t xml:space="preserve"> operaț</w:t>
            </w:r>
            <w:r w:rsidRPr="00101376">
              <w:rPr>
                <w:rFonts w:ascii="Trebuchet MS" w:hAnsi="Trebuchet MS" w:cs="Trebuchet MS"/>
                <w:sz w:val="22"/>
                <w:szCs w:val="22"/>
              </w:rPr>
              <w:t>ional</w:t>
            </w:r>
            <w:r w:rsidRPr="00101376" w:rsidDel="002076E8">
              <w:rPr>
                <w:rFonts w:ascii="Trebuchet MS" w:hAnsi="Trebuchet MS" w:cs="Trebuchet MS"/>
                <w:sz w:val="22"/>
                <w:szCs w:val="22"/>
              </w:rPr>
              <w:t xml:space="preserve"> </w:t>
            </w:r>
          </w:p>
        </w:tc>
      </w:tr>
      <w:tr w:rsidR="00075056" w:rsidTr="004A0318">
        <w:tc>
          <w:tcPr>
            <w:tcW w:w="3685" w:type="dxa"/>
            <w:gridSpan w:val="2"/>
            <w:vMerge/>
            <w:tcBorders>
              <w:top w:val="single" w:sz="4" w:space="0" w:color="auto"/>
              <w:left w:val="single" w:sz="4" w:space="0" w:color="000000"/>
              <w:bottom w:val="single" w:sz="4" w:space="0" w:color="auto"/>
            </w:tcBorders>
          </w:tcPr>
          <w:p w:rsidR="00075056" w:rsidRDefault="00075056" w:rsidP="00075056">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075056" w:rsidRDefault="00075056" w:rsidP="00075056">
            <w:pPr>
              <w:ind w:left="3" w:hanging="3"/>
              <w:rPr>
                <w:sz w:val="22"/>
              </w:rPr>
            </w:pPr>
            <w:r>
              <w:rPr>
                <w:rFonts w:ascii="Trebuchet MS" w:hAnsi="Trebuchet MS" w:cs="Trebuchet MS"/>
                <w:sz w:val="22"/>
                <w:szCs w:val="22"/>
              </w:rPr>
              <w:t>3. Planificare și organizare</w:t>
            </w:r>
          </w:p>
        </w:tc>
        <w:tc>
          <w:tcPr>
            <w:tcW w:w="2484" w:type="dxa"/>
            <w:tcBorders>
              <w:top w:val="single" w:sz="4" w:space="0" w:color="000000"/>
              <w:left w:val="single" w:sz="4" w:space="0" w:color="auto"/>
              <w:bottom w:val="single" w:sz="4" w:space="0" w:color="000000"/>
              <w:right w:val="single" w:sz="4" w:space="0" w:color="000000"/>
            </w:tcBorders>
            <w:vAlign w:val="center"/>
          </w:tcPr>
          <w:p w:rsidR="00075056" w:rsidRPr="00101376" w:rsidRDefault="00075056" w:rsidP="00075056">
            <w:pPr>
              <w:rPr>
                <w:rFonts w:ascii="Trebuchet MS" w:hAnsi="Trebuchet MS" w:cs="Trebuchet MS"/>
                <w:sz w:val="22"/>
                <w:szCs w:val="22"/>
              </w:rPr>
            </w:pPr>
            <w:r w:rsidRPr="00101376">
              <w:rPr>
                <w:rFonts w:ascii="Trebuchet MS" w:hAnsi="Trebuchet MS" w:cs="Trebuchet MS"/>
                <w:sz w:val="22"/>
                <w:szCs w:val="22"/>
              </w:rPr>
              <w:t xml:space="preserve">nivel </w:t>
            </w:r>
            <w:r>
              <w:rPr>
                <w:rFonts w:ascii="Trebuchet MS" w:hAnsi="Trebuchet MS" w:cs="Trebuchet MS"/>
                <w:sz w:val="22"/>
                <w:szCs w:val="22"/>
              </w:rPr>
              <w:t xml:space="preserve"> operaț</w:t>
            </w:r>
            <w:r w:rsidRPr="00101376">
              <w:rPr>
                <w:rFonts w:ascii="Trebuchet MS" w:hAnsi="Trebuchet MS" w:cs="Trebuchet MS"/>
                <w:sz w:val="22"/>
                <w:szCs w:val="22"/>
              </w:rPr>
              <w:t>ional</w:t>
            </w:r>
            <w:r w:rsidRPr="00101376" w:rsidDel="002076E8">
              <w:rPr>
                <w:rFonts w:ascii="Trebuchet MS" w:hAnsi="Trebuchet MS" w:cs="Trebuchet MS"/>
                <w:sz w:val="22"/>
                <w:szCs w:val="22"/>
              </w:rPr>
              <w:t xml:space="preserve"> </w:t>
            </w:r>
          </w:p>
        </w:tc>
      </w:tr>
      <w:tr w:rsidR="00075056" w:rsidTr="004A0318">
        <w:tc>
          <w:tcPr>
            <w:tcW w:w="3685" w:type="dxa"/>
            <w:gridSpan w:val="2"/>
            <w:vMerge/>
            <w:tcBorders>
              <w:top w:val="single" w:sz="4" w:space="0" w:color="auto"/>
              <w:left w:val="single" w:sz="4" w:space="0" w:color="000000"/>
              <w:bottom w:val="single" w:sz="4" w:space="0" w:color="auto"/>
            </w:tcBorders>
          </w:tcPr>
          <w:p w:rsidR="00075056" w:rsidRDefault="00075056" w:rsidP="00075056">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075056" w:rsidRDefault="00075056" w:rsidP="00075056">
            <w:pPr>
              <w:ind w:left="3" w:hanging="3"/>
              <w:rPr>
                <w:sz w:val="22"/>
              </w:rPr>
            </w:pPr>
            <w:r>
              <w:rPr>
                <w:rFonts w:ascii="Trebuchet MS" w:hAnsi="Trebuchet MS" w:cs="Trebuchet MS"/>
                <w:sz w:val="22"/>
                <w:szCs w:val="22"/>
              </w:rPr>
              <w:t>4. Comunicare</w:t>
            </w:r>
          </w:p>
        </w:tc>
        <w:tc>
          <w:tcPr>
            <w:tcW w:w="2484" w:type="dxa"/>
            <w:tcBorders>
              <w:top w:val="single" w:sz="4" w:space="0" w:color="000000"/>
              <w:left w:val="single" w:sz="4" w:space="0" w:color="auto"/>
              <w:bottom w:val="single" w:sz="4" w:space="0" w:color="000000"/>
              <w:right w:val="single" w:sz="4" w:space="0" w:color="000000"/>
            </w:tcBorders>
            <w:vAlign w:val="center"/>
          </w:tcPr>
          <w:p w:rsidR="00075056" w:rsidRPr="00101376" w:rsidRDefault="00075056" w:rsidP="00075056">
            <w:pPr>
              <w:rPr>
                <w:rFonts w:ascii="Trebuchet MS" w:hAnsi="Trebuchet MS" w:cs="Trebuchet MS"/>
                <w:sz w:val="22"/>
                <w:szCs w:val="22"/>
              </w:rPr>
            </w:pPr>
            <w:r w:rsidRPr="00101376">
              <w:rPr>
                <w:rFonts w:ascii="Trebuchet MS" w:hAnsi="Trebuchet MS" w:cs="Trebuchet MS"/>
                <w:sz w:val="22"/>
                <w:szCs w:val="22"/>
              </w:rPr>
              <w:t xml:space="preserve">nivel </w:t>
            </w:r>
            <w:r>
              <w:rPr>
                <w:rFonts w:ascii="Trebuchet MS" w:hAnsi="Trebuchet MS" w:cs="Trebuchet MS"/>
                <w:sz w:val="22"/>
                <w:szCs w:val="22"/>
              </w:rPr>
              <w:t xml:space="preserve"> operaț</w:t>
            </w:r>
            <w:r w:rsidRPr="00101376">
              <w:rPr>
                <w:rFonts w:ascii="Trebuchet MS" w:hAnsi="Trebuchet MS" w:cs="Trebuchet MS"/>
                <w:sz w:val="22"/>
                <w:szCs w:val="22"/>
              </w:rPr>
              <w:t>ional</w:t>
            </w:r>
            <w:r w:rsidRPr="00101376" w:rsidDel="002076E8">
              <w:rPr>
                <w:rFonts w:ascii="Trebuchet MS" w:hAnsi="Trebuchet MS" w:cs="Trebuchet MS"/>
                <w:sz w:val="22"/>
                <w:szCs w:val="22"/>
              </w:rPr>
              <w:t xml:space="preserve"> </w:t>
            </w: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5. Lucru în echipă</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sz w:val="22"/>
                <w:szCs w:val="22"/>
              </w:rPr>
            </w:pPr>
            <w:r w:rsidRPr="00101376">
              <w:rPr>
                <w:rFonts w:ascii="Trebuchet MS" w:hAnsi="Trebuchet MS" w:cs="Trebuchet MS"/>
                <w:sz w:val="22"/>
                <w:szCs w:val="22"/>
              </w:rPr>
              <w:t xml:space="preserve">nivel </w:t>
            </w:r>
            <w:r w:rsidR="00075056">
              <w:rPr>
                <w:rFonts w:ascii="Trebuchet MS" w:hAnsi="Trebuchet MS" w:cs="Trebuchet MS"/>
                <w:sz w:val="22"/>
                <w:szCs w:val="22"/>
              </w:rPr>
              <w:t>operaț</w:t>
            </w:r>
            <w:r w:rsidR="002076E8" w:rsidRPr="00101376">
              <w:rPr>
                <w:rFonts w:ascii="Trebuchet MS" w:hAnsi="Trebuchet MS" w:cs="Trebuchet MS"/>
                <w:sz w:val="22"/>
                <w:szCs w:val="22"/>
              </w:rPr>
              <w:t>ional</w:t>
            </w: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6. Orientare către cetățean</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sz w:val="22"/>
                <w:szCs w:val="22"/>
              </w:rPr>
            </w:pPr>
            <w:r w:rsidRPr="00101376">
              <w:rPr>
                <w:rFonts w:ascii="Trebuchet MS" w:hAnsi="Trebuchet MS" w:cs="Trebuchet MS"/>
                <w:sz w:val="22"/>
                <w:szCs w:val="22"/>
              </w:rPr>
              <w:t xml:space="preserve">nivel </w:t>
            </w:r>
            <w:r w:rsidR="00075056">
              <w:rPr>
                <w:rFonts w:ascii="Trebuchet MS" w:hAnsi="Trebuchet MS" w:cs="Trebuchet MS"/>
                <w:sz w:val="22"/>
                <w:szCs w:val="22"/>
              </w:rPr>
              <w:t xml:space="preserve"> operaț</w:t>
            </w:r>
            <w:r w:rsidR="002076E8" w:rsidRPr="00101376">
              <w:rPr>
                <w:rFonts w:ascii="Trebuchet MS" w:hAnsi="Trebuchet MS" w:cs="Trebuchet MS"/>
                <w:sz w:val="22"/>
                <w:szCs w:val="22"/>
              </w:rPr>
              <w:t>ional</w:t>
            </w:r>
            <w:r w:rsidR="002076E8" w:rsidRPr="00101376" w:rsidDel="002076E8">
              <w:rPr>
                <w:rFonts w:ascii="Trebuchet MS" w:hAnsi="Trebuchet MS" w:cs="Trebuchet MS"/>
                <w:sz w:val="22"/>
                <w:szCs w:val="22"/>
              </w:rPr>
              <w:t xml:space="preserve"> </w:t>
            </w: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7. Integritate</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sz w:val="22"/>
                <w:szCs w:val="22"/>
              </w:rPr>
            </w:pPr>
            <w:r w:rsidRPr="00101376">
              <w:rPr>
                <w:rFonts w:ascii="Trebuchet MS" w:hAnsi="Trebuchet MS" w:cs="Trebuchet MS"/>
                <w:sz w:val="22"/>
                <w:szCs w:val="22"/>
              </w:rPr>
              <w:t xml:space="preserve">nivel </w:t>
            </w:r>
            <w:r w:rsidR="00075056">
              <w:rPr>
                <w:rFonts w:ascii="Trebuchet MS" w:hAnsi="Trebuchet MS" w:cs="Trebuchet MS"/>
                <w:sz w:val="22"/>
                <w:szCs w:val="22"/>
              </w:rPr>
              <w:t xml:space="preserve"> operaț</w:t>
            </w:r>
            <w:r w:rsidR="002076E8" w:rsidRPr="00101376">
              <w:rPr>
                <w:rFonts w:ascii="Trebuchet MS" w:hAnsi="Trebuchet MS" w:cs="Trebuchet MS"/>
                <w:sz w:val="22"/>
                <w:szCs w:val="22"/>
              </w:rPr>
              <w:t>ional</w:t>
            </w:r>
            <w:r w:rsidR="002076E8" w:rsidRPr="00101376" w:rsidDel="002076E8">
              <w:rPr>
                <w:rFonts w:ascii="Trebuchet MS" w:hAnsi="Trebuchet MS" w:cs="Trebuchet MS"/>
                <w:sz w:val="22"/>
                <w:szCs w:val="22"/>
              </w:rPr>
              <w:t xml:space="preserve"> </w:t>
            </w: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8. Managementul performanței</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sz w:val="22"/>
                <w:szCs w:val="22"/>
              </w:rPr>
            </w:pP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9. Dezvoltarea echipei</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sz w:val="22"/>
                <w:szCs w:val="22"/>
              </w:rPr>
            </w:pPr>
          </w:p>
        </w:tc>
      </w:tr>
      <w:tr w:rsidR="003C4A34"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Default="003C4A34" w:rsidP="003C4A34">
            <w:pPr>
              <w:ind w:left="3" w:hanging="3"/>
              <w:rPr>
                <w:sz w:val="22"/>
              </w:rPr>
            </w:pPr>
            <w:r>
              <w:rPr>
                <w:rFonts w:ascii="Trebuchet MS" w:hAnsi="Trebuchet MS" w:cs="Trebuchet MS"/>
                <w:sz w:val="22"/>
                <w:szCs w:val="22"/>
              </w:rPr>
              <w:t>10.</w:t>
            </w:r>
            <w:r>
              <w:rPr>
                <w:rFonts w:cs="Trebuchet MS"/>
                <w:sz w:val="22"/>
                <w:szCs w:val="22"/>
              </w:rPr>
              <w:t xml:space="preserve"> </w:t>
            </w:r>
            <w:r>
              <w:rPr>
                <w:rFonts w:ascii="Trebuchet MS" w:hAnsi="Trebuchet MS" w:cs="Trebuchet MS"/>
                <w:sz w:val="22"/>
                <w:szCs w:val="22"/>
              </w:rPr>
              <w:t>Generarea angajamentului</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FB34E8" w:rsidRDefault="003C4A34" w:rsidP="003C4A34">
            <w:pPr>
              <w:rPr>
                <w:rFonts w:ascii="Trebuchet MS" w:hAnsi="Trebuchet MS" w:cs="Trebuchet MS"/>
                <w:color w:val="FF0000"/>
                <w:sz w:val="22"/>
                <w:szCs w:val="22"/>
              </w:rPr>
            </w:pPr>
          </w:p>
        </w:tc>
      </w:tr>
      <w:tr w:rsidR="003C4A34" w:rsidRPr="000C341F" w:rsidTr="004A0318">
        <w:tc>
          <w:tcPr>
            <w:tcW w:w="3685" w:type="dxa"/>
            <w:gridSpan w:val="2"/>
            <w:vMerge/>
            <w:tcBorders>
              <w:top w:val="single" w:sz="4" w:space="0" w:color="auto"/>
              <w:left w:val="single" w:sz="4" w:space="0" w:color="000000"/>
              <w:bottom w:val="single" w:sz="4" w:space="0" w:color="auto"/>
            </w:tcBorders>
          </w:tcPr>
          <w:p w:rsidR="003C4A34" w:rsidRDefault="003C4A34" w:rsidP="003C4A34">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3C4A34" w:rsidRPr="00101376" w:rsidRDefault="003C4A34" w:rsidP="003C4A34">
            <w:pPr>
              <w:ind w:left="3" w:hanging="3"/>
              <w:rPr>
                <w:sz w:val="22"/>
                <w:lang w:val="es-ES_tradnl"/>
              </w:rPr>
            </w:pPr>
            <w:r w:rsidRPr="00101376">
              <w:rPr>
                <w:rFonts w:ascii="Trebuchet MS" w:hAnsi="Trebuchet MS" w:cs="Trebuchet MS"/>
                <w:sz w:val="22"/>
                <w:szCs w:val="22"/>
                <w:lang w:val="es-ES_tradnl"/>
              </w:rPr>
              <w:t>11.</w:t>
            </w:r>
            <w:r w:rsidRPr="00101376">
              <w:rPr>
                <w:rFonts w:cs="Trebuchet MS"/>
                <w:sz w:val="22"/>
                <w:szCs w:val="22"/>
                <w:lang w:val="es-ES_tradnl"/>
              </w:rPr>
              <w:t xml:space="preserve"> </w:t>
            </w:r>
            <w:r w:rsidRPr="00101376">
              <w:rPr>
                <w:rFonts w:ascii="Trebuchet MS" w:hAnsi="Trebuchet MS" w:cs="Trebuchet MS"/>
                <w:sz w:val="22"/>
                <w:szCs w:val="22"/>
                <w:lang w:val="es-ES_tradnl"/>
              </w:rPr>
              <w:t>Promovarea in</w:t>
            </w:r>
            <w:r w:rsidRPr="00101376">
              <w:rPr>
                <w:rFonts w:cs="Trebuchet MS"/>
                <w:sz w:val="22"/>
                <w:szCs w:val="22"/>
                <w:lang w:val="es-ES_tradnl"/>
              </w:rPr>
              <w:t>ov</w:t>
            </w:r>
            <w:r w:rsidRPr="00101376">
              <w:rPr>
                <w:rFonts w:ascii="Trebuchet MS" w:hAnsi="Trebuchet MS" w:cs="Trebuchet MS"/>
                <w:sz w:val="22"/>
                <w:szCs w:val="22"/>
                <w:lang w:val="es-ES_tradnl"/>
              </w:rPr>
              <w:t>ației și inițierea schimbării</w:t>
            </w:r>
          </w:p>
        </w:tc>
        <w:tc>
          <w:tcPr>
            <w:tcW w:w="2484" w:type="dxa"/>
            <w:tcBorders>
              <w:top w:val="single" w:sz="4" w:space="0" w:color="000000"/>
              <w:left w:val="single" w:sz="4" w:space="0" w:color="auto"/>
              <w:bottom w:val="single" w:sz="4" w:space="0" w:color="000000"/>
              <w:right w:val="single" w:sz="4" w:space="0" w:color="000000"/>
            </w:tcBorders>
            <w:vAlign w:val="center"/>
          </w:tcPr>
          <w:p w:rsidR="003C4A34" w:rsidRPr="00101376" w:rsidRDefault="003C4A34" w:rsidP="003C4A34">
            <w:pPr>
              <w:rPr>
                <w:rFonts w:ascii="Trebuchet MS" w:hAnsi="Trebuchet MS" w:cs="Trebuchet MS"/>
                <w:color w:val="FF0000"/>
                <w:sz w:val="22"/>
                <w:szCs w:val="22"/>
                <w:lang w:val="es-ES_tradnl"/>
              </w:rPr>
            </w:pPr>
          </w:p>
        </w:tc>
      </w:tr>
      <w:tr w:rsidR="00607E50" w:rsidRPr="000C341F" w:rsidTr="004A0318">
        <w:tc>
          <w:tcPr>
            <w:tcW w:w="3685" w:type="dxa"/>
            <w:gridSpan w:val="2"/>
            <w:vMerge w:val="restart"/>
            <w:tcBorders>
              <w:top w:val="single" w:sz="4" w:space="0" w:color="auto"/>
              <w:left w:val="single" w:sz="4" w:space="0" w:color="000000"/>
            </w:tcBorders>
          </w:tcPr>
          <w:p w:rsidR="00607E50" w:rsidRPr="004113C5" w:rsidRDefault="00607E50" w:rsidP="004113C5">
            <w:pPr>
              <w:pStyle w:val="ListParagraph"/>
              <w:numPr>
                <w:ilvl w:val="0"/>
                <w:numId w:val="1"/>
              </w:numPr>
              <w:rPr>
                <w:sz w:val="22"/>
                <w:vertAlign w:val="superscript"/>
              </w:rPr>
            </w:pPr>
            <w:r w:rsidRPr="004113C5">
              <w:rPr>
                <w:rFonts w:ascii="Trebuchet MS" w:hAnsi="Trebuchet MS" w:cs="Trebuchet MS"/>
                <w:sz w:val="22"/>
                <w:szCs w:val="22"/>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Pr="00101376" w:rsidRDefault="00607E50" w:rsidP="00B8612C">
            <w:pPr>
              <w:ind w:left="3" w:hanging="3"/>
              <w:rPr>
                <w:sz w:val="22"/>
                <w:lang w:val="es-ES_tradnl"/>
              </w:rPr>
            </w:pPr>
            <w:r w:rsidRPr="00101376">
              <w:rPr>
                <w:rFonts w:ascii="Trebuchet MS" w:hAnsi="Trebuchet MS" w:cs="Trebuchet MS"/>
                <w:sz w:val="22"/>
                <w:szCs w:val="22"/>
                <w:lang w:val="es-ES_tradnl"/>
              </w:rPr>
              <w:t>Competențe lingvistice de comunicare în limbi străine</w:t>
            </w:r>
          </w:p>
        </w:tc>
        <w:tc>
          <w:tcPr>
            <w:tcW w:w="2484" w:type="dxa"/>
            <w:tcBorders>
              <w:top w:val="single" w:sz="4" w:space="0" w:color="000000"/>
              <w:left w:val="single" w:sz="4" w:space="0" w:color="auto"/>
              <w:bottom w:val="single" w:sz="4" w:space="0" w:color="000000"/>
              <w:right w:val="single" w:sz="4" w:space="0" w:color="000000"/>
            </w:tcBorders>
            <w:vAlign w:val="center"/>
          </w:tcPr>
          <w:p w:rsidR="00607E50" w:rsidRPr="00101376" w:rsidRDefault="00607E50" w:rsidP="00B8612C">
            <w:pPr>
              <w:rPr>
                <w:color w:val="FF0000"/>
                <w:sz w:val="22"/>
                <w:lang w:val="es-ES_tradnl"/>
              </w:rPr>
            </w:pPr>
          </w:p>
        </w:tc>
      </w:tr>
      <w:tr w:rsidR="00607E50" w:rsidRPr="000C341F" w:rsidTr="004A0318">
        <w:tc>
          <w:tcPr>
            <w:tcW w:w="3685" w:type="dxa"/>
            <w:gridSpan w:val="2"/>
            <w:vMerge/>
            <w:tcBorders>
              <w:left w:val="single" w:sz="4" w:space="0" w:color="000000"/>
            </w:tcBorders>
          </w:tcPr>
          <w:p w:rsidR="00607E50" w:rsidRPr="00101376" w:rsidRDefault="00607E50" w:rsidP="00B8612C">
            <w:pPr>
              <w:rPr>
                <w:sz w:val="22"/>
                <w:lang w:val="es-ES_tradnl"/>
              </w:rPr>
            </w:pP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Pr="00101376" w:rsidRDefault="00607E50" w:rsidP="00B8612C">
            <w:pPr>
              <w:ind w:left="3" w:hanging="3"/>
              <w:rPr>
                <w:sz w:val="22"/>
                <w:lang w:val="es-ES_tradnl"/>
              </w:rPr>
            </w:pPr>
            <w:r w:rsidRPr="00101376">
              <w:rPr>
                <w:rFonts w:ascii="Trebuchet MS" w:hAnsi="Trebuchet MS" w:cs="Trebuchet MS"/>
                <w:sz w:val="22"/>
                <w:szCs w:val="22"/>
                <w:lang w:val="es-ES_tradnl"/>
              </w:rPr>
              <w:t>Competențe lingvistice în limba minorității naționale</w:t>
            </w:r>
          </w:p>
        </w:tc>
        <w:tc>
          <w:tcPr>
            <w:tcW w:w="2484" w:type="dxa"/>
            <w:tcBorders>
              <w:top w:val="single" w:sz="4" w:space="0" w:color="000000"/>
              <w:left w:val="single" w:sz="4" w:space="0" w:color="auto"/>
              <w:bottom w:val="single" w:sz="4" w:space="0" w:color="000000"/>
              <w:right w:val="single" w:sz="4" w:space="0" w:color="000000"/>
            </w:tcBorders>
            <w:vAlign w:val="center"/>
          </w:tcPr>
          <w:p w:rsidR="00607E50" w:rsidRPr="00101376" w:rsidRDefault="00607E50" w:rsidP="00B8612C">
            <w:pPr>
              <w:rPr>
                <w:color w:val="FF0000"/>
                <w:sz w:val="22"/>
                <w:lang w:val="es-ES_tradnl"/>
              </w:rPr>
            </w:pPr>
          </w:p>
        </w:tc>
      </w:tr>
      <w:tr w:rsidR="00607E50" w:rsidTr="004A0318">
        <w:tc>
          <w:tcPr>
            <w:tcW w:w="3685" w:type="dxa"/>
            <w:gridSpan w:val="2"/>
            <w:vMerge/>
            <w:tcBorders>
              <w:left w:val="single" w:sz="4" w:space="0" w:color="000000"/>
            </w:tcBorders>
          </w:tcPr>
          <w:p w:rsidR="00607E50" w:rsidRPr="00101376" w:rsidRDefault="00607E50" w:rsidP="00B8612C">
            <w:pPr>
              <w:rPr>
                <w:sz w:val="22"/>
                <w:lang w:val="es-ES_tradnl"/>
              </w:rPr>
            </w:pP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hanging="3"/>
              <w:rPr>
                <w:sz w:val="22"/>
              </w:rPr>
            </w:pPr>
            <w:r>
              <w:rPr>
                <w:rFonts w:ascii="Trebuchet MS" w:hAnsi="Trebuchet MS" w:cs="Trebuchet MS"/>
                <w:sz w:val="22"/>
                <w:szCs w:val="22"/>
              </w:rPr>
              <w:t>Competenț</w:t>
            </w:r>
            <w:r w:rsidR="004113C5">
              <w:rPr>
                <w:rFonts w:ascii="Trebuchet MS" w:hAnsi="Trebuchet MS" w:cs="Trebuchet MS"/>
                <w:sz w:val="22"/>
                <w:szCs w:val="22"/>
              </w:rPr>
              <w:t>e digitale</w:t>
            </w:r>
          </w:p>
        </w:tc>
        <w:tc>
          <w:tcPr>
            <w:tcW w:w="2484" w:type="dxa"/>
            <w:tcBorders>
              <w:top w:val="single" w:sz="4" w:space="0" w:color="000000"/>
              <w:left w:val="single" w:sz="4" w:space="0" w:color="auto"/>
              <w:bottom w:val="single" w:sz="4" w:space="0" w:color="000000"/>
              <w:right w:val="single" w:sz="4" w:space="0" w:color="000000"/>
            </w:tcBorders>
            <w:vAlign w:val="center"/>
          </w:tcPr>
          <w:p w:rsidR="00607E50" w:rsidRPr="00FB34E8" w:rsidRDefault="00607E50" w:rsidP="00B8612C">
            <w:pPr>
              <w:rPr>
                <w:color w:val="FF0000"/>
                <w:sz w:val="22"/>
              </w:rPr>
            </w:pPr>
          </w:p>
        </w:tc>
      </w:tr>
      <w:tr w:rsidR="00607E50" w:rsidRPr="004E65EC" w:rsidTr="004A0318">
        <w:trPr>
          <w:trHeight w:val="612"/>
        </w:trPr>
        <w:tc>
          <w:tcPr>
            <w:tcW w:w="3685" w:type="dxa"/>
            <w:gridSpan w:val="2"/>
            <w:vMerge/>
            <w:tcBorders>
              <w:left w:val="single" w:sz="4" w:space="0" w:color="000000"/>
              <w:bottom w:val="single" w:sz="4" w:space="0" w:color="000000"/>
            </w:tcBorders>
          </w:tcPr>
          <w:p w:rsidR="00607E50" w:rsidRDefault="00607E50" w:rsidP="00B8612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hanging="3"/>
              <w:rPr>
                <w:sz w:val="22"/>
              </w:rPr>
            </w:pPr>
            <w:r>
              <w:rPr>
                <w:rFonts w:ascii="Trebuchet MS" w:hAnsi="Trebuchet MS" w:cs="Trebuchet MS"/>
                <w:sz w:val="22"/>
                <w:szCs w:val="22"/>
              </w:rPr>
              <w:t>Alte competențe specifice</w:t>
            </w:r>
          </w:p>
        </w:tc>
        <w:tc>
          <w:tcPr>
            <w:tcW w:w="2484" w:type="dxa"/>
            <w:tcBorders>
              <w:top w:val="single" w:sz="4" w:space="0" w:color="000000"/>
              <w:left w:val="single" w:sz="4" w:space="0" w:color="auto"/>
              <w:bottom w:val="single" w:sz="4" w:space="0" w:color="000000"/>
              <w:right w:val="single" w:sz="4" w:space="0" w:color="000000"/>
            </w:tcBorders>
            <w:vAlign w:val="center"/>
          </w:tcPr>
          <w:p w:rsidR="00297AAE" w:rsidRPr="00E04CB5" w:rsidRDefault="000935FC" w:rsidP="00E05328">
            <w:pPr>
              <w:jc w:val="both"/>
              <w:rPr>
                <w:rFonts w:ascii="Trebuchet MS" w:hAnsi="Trebuchet MS" w:cs="Trebuchet MS"/>
                <w:sz w:val="22"/>
                <w:lang w:val="ro-RO"/>
              </w:rPr>
            </w:pPr>
            <w:r w:rsidRPr="000935FC">
              <w:rPr>
                <w:rFonts w:ascii="Trebuchet MS" w:hAnsi="Trebuchet MS" w:cs="Trebuchet MS"/>
                <w:sz w:val="22"/>
                <w:lang w:val="ro-RO"/>
              </w:rPr>
              <w:t>Competențe în interpretarea/aplicarea/elaborarea și/sau promovarea actelor normative în domeniul fiscal</w:t>
            </w:r>
          </w:p>
        </w:tc>
      </w:tr>
      <w:tr w:rsidR="00607E50" w:rsidTr="004A0318">
        <w:tc>
          <w:tcPr>
            <w:tcW w:w="10255" w:type="dxa"/>
            <w:gridSpan w:val="4"/>
            <w:tcBorders>
              <w:top w:val="single" w:sz="4" w:space="0" w:color="000000"/>
              <w:left w:val="single" w:sz="4" w:space="0" w:color="000000"/>
              <w:bottom w:val="single" w:sz="4" w:space="0" w:color="000000"/>
              <w:right w:val="single" w:sz="4" w:space="0" w:color="000000"/>
            </w:tcBorders>
            <w:vAlign w:val="center"/>
          </w:tcPr>
          <w:p w:rsidR="00607E50" w:rsidRDefault="00607E50" w:rsidP="00B8612C">
            <w:pPr>
              <w:jc w:val="center"/>
              <w:rPr>
                <w:b/>
                <w:sz w:val="22"/>
              </w:rPr>
            </w:pPr>
            <w:r>
              <w:rPr>
                <w:rFonts w:ascii="Trebuchet MS" w:hAnsi="Trebuchet MS" w:cs="Trebuchet MS"/>
                <w:b/>
                <w:sz w:val="22"/>
                <w:szCs w:val="22"/>
              </w:rPr>
              <w:t>Sfera relațională a titularului postului</w:t>
            </w:r>
          </w:p>
          <w:p w:rsidR="00607E50" w:rsidRDefault="00607E50" w:rsidP="00B8612C">
            <w:pPr>
              <w:jc w:val="center"/>
              <w:rPr>
                <w:b/>
                <w:sz w:val="22"/>
              </w:rPr>
            </w:pPr>
          </w:p>
        </w:tc>
      </w:tr>
      <w:tr w:rsidR="00607E50" w:rsidTr="004A0318">
        <w:trPr>
          <w:trHeight w:val="90"/>
        </w:trPr>
        <w:tc>
          <w:tcPr>
            <w:tcW w:w="1228" w:type="dxa"/>
            <w:vMerge w:val="restart"/>
            <w:tcBorders>
              <w:top w:val="single" w:sz="4" w:space="0" w:color="000000"/>
              <w:left w:val="single" w:sz="4" w:space="0" w:color="000000"/>
            </w:tcBorders>
          </w:tcPr>
          <w:p w:rsidR="00607E50" w:rsidRDefault="00607E50" w:rsidP="00B8612C">
            <w:pPr>
              <w:ind w:left="3" w:right="-132" w:hanging="3"/>
              <w:rPr>
                <w:sz w:val="22"/>
              </w:rPr>
            </w:pPr>
            <w:r>
              <w:rPr>
                <w:rFonts w:ascii="Trebuchet MS" w:hAnsi="Trebuchet MS" w:cs="Trebuchet MS"/>
                <w:sz w:val="22"/>
                <w:szCs w:val="22"/>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Relații ierarhice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70163B" w:rsidRPr="00DC334E" w:rsidRDefault="0070163B" w:rsidP="0070163B">
            <w:pPr>
              <w:ind w:left="3" w:right="-68" w:hanging="3"/>
              <w:jc w:val="both"/>
              <w:rPr>
                <w:rFonts w:ascii="Trebuchet MS" w:hAnsi="Trebuchet MS" w:cs="Trebuchet MS"/>
                <w:sz w:val="22"/>
                <w:szCs w:val="22"/>
                <w:lang w:val="ro-RO"/>
              </w:rPr>
            </w:pPr>
            <w:r w:rsidRPr="00101376">
              <w:rPr>
                <w:rFonts w:ascii="Trebuchet MS" w:hAnsi="Trebuchet MS" w:cs="Trebuchet MS"/>
                <w:sz w:val="22"/>
                <w:szCs w:val="22"/>
                <w:lang w:val="es-ES_tradnl"/>
              </w:rPr>
              <w:t>- subordonat faţă</w:t>
            </w:r>
            <w:r>
              <w:rPr>
                <w:rFonts w:ascii="Trebuchet MS" w:hAnsi="Trebuchet MS" w:cs="Trebuchet MS"/>
                <w:sz w:val="22"/>
                <w:szCs w:val="22"/>
                <w:lang w:val="es-ES_tradnl"/>
              </w:rPr>
              <w:t xml:space="preserve"> de:</w:t>
            </w:r>
            <w:r>
              <w:t xml:space="preserve"> </w:t>
            </w:r>
            <w:r w:rsidRPr="00B136C5">
              <w:rPr>
                <w:rFonts w:ascii="Trebuchet MS" w:hAnsi="Trebuchet MS" w:cs="Trebuchet MS"/>
                <w:sz w:val="22"/>
                <w:szCs w:val="22"/>
                <w:lang w:val="es-ES_tradnl"/>
              </w:rPr>
              <w:t>şeful de serviciu, directorul gene</w:t>
            </w:r>
            <w:r>
              <w:rPr>
                <w:rFonts w:ascii="Trebuchet MS" w:hAnsi="Trebuchet MS" w:cs="Trebuchet MS"/>
                <w:sz w:val="22"/>
                <w:szCs w:val="22"/>
                <w:lang w:val="es-ES_tradnl"/>
              </w:rPr>
              <w:t>ral adjunct, directorul general</w:t>
            </w:r>
            <w:r w:rsidRPr="00DC334E">
              <w:rPr>
                <w:rFonts w:ascii="Trebuchet MS" w:hAnsi="Trebuchet MS" w:cs="Trebuchet MS"/>
                <w:sz w:val="22"/>
                <w:szCs w:val="22"/>
                <w:lang w:val="ro-RO"/>
              </w:rPr>
              <w:t xml:space="preserve"> al Direcţiei generale de legislaţie fiscală şi reglementări vamale și contabile;</w:t>
            </w:r>
          </w:p>
          <w:p w:rsidR="00607E50" w:rsidRDefault="0070163B" w:rsidP="0070163B">
            <w:pPr>
              <w:rPr>
                <w:sz w:val="22"/>
              </w:rPr>
            </w:pPr>
            <w:r w:rsidRPr="00DC334E">
              <w:rPr>
                <w:rFonts w:ascii="Trebuchet MS" w:hAnsi="Trebuchet MS" w:cs="Trebuchet MS"/>
                <w:sz w:val="22"/>
                <w:szCs w:val="22"/>
                <w:lang w:val="ro-RO"/>
              </w:rPr>
              <w:t>- superior pentru: nu este cazul</w:t>
            </w:r>
            <w:r>
              <w:rPr>
                <w:sz w:val="22"/>
              </w:rPr>
              <w:t xml:space="preserve"> </w:t>
            </w:r>
          </w:p>
        </w:tc>
      </w:tr>
      <w:tr w:rsidR="00607E50" w:rsidRPr="000C341F" w:rsidTr="004A0318">
        <w:tc>
          <w:tcPr>
            <w:tcW w:w="1228" w:type="dxa"/>
            <w:vMerge/>
            <w:tcBorders>
              <w:left w:val="single" w:sz="4" w:space="0" w:color="000000"/>
            </w:tcBorders>
          </w:tcPr>
          <w:p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Relații funcționale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5F36E6" w:rsidRPr="00F77931" w:rsidRDefault="00B136C5" w:rsidP="00F77931">
            <w:pPr>
              <w:ind w:left="21"/>
              <w:jc w:val="both"/>
              <w:rPr>
                <w:rFonts w:ascii="Trebuchet MS" w:hAnsi="Trebuchet MS" w:cs="Trebuchet MS"/>
                <w:sz w:val="22"/>
                <w:szCs w:val="22"/>
                <w:lang w:val="es-ES_tradnl"/>
              </w:rPr>
            </w:pPr>
            <w:r w:rsidRPr="00B136C5">
              <w:rPr>
                <w:rFonts w:ascii="Trebuchet MS" w:hAnsi="Trebuchet MS" w:cs="Trebuchet MS"/>
                <w:sz w:val="22"/>
                <w:szCs w:val="22"/>
                <w:lang w:val="es-ES_tradnl"/>
              </w:rPr>
              <w:t xml:space="preserve">cu alte compartimente în măsura în care deciziile acestora au  influenţă asupra obiectivului postului </w:t>
            </w:r>
          </w:p>
        </w:tc>
      </w:tr>
      <w:tr w:rsidR="00607E50" w:rsidTr="004A0318">
        <w:tc>
          <w:tcPr>
            <w:tcW w:w="1228" w:type="dxa"/>
            <w:vMerge/>
            <w:tcBorders>
              <w:left w:val="single" w:sz="4" w:space="0" w:color="000000"/>
            </w:tcBorders>
          </w:tcPr>
          <w:p w:rsidR="00607E50" w:rsidRPr="00101376" w:rsidRDefault="00607E50" w:rsidP="00B8612C">
            <w:pPr>
              <w:rPr>
                <w:sz w:val="22"/>
                <w:lang w:val="es-ES_tradnl"/>
              </w:rPr>
            </w:pP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Relații de control</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0C67B3" w:rsidRDefault="000C67B3" w:rsidP="00B8612C">
            <w:pPr>
              <w:rPr>
                <w:rFonts w:ascii="Trebuchet MS" w:hAnsi="Trebuchet MS"/>
                <w:sz w:val="22"/>
              </w:rPr>
            </w:pPr>
            <w:r w:rsidRPr="000C67B3">
              <w:rPr>
                <w:rFonts w:ascii="Trebuchet MS" w:hAnsi="Trebuchet MS"/>
                <w:sz w:val="22"/>
              </w:rPr>
              <w:t>nu</w:t>
            </w:r>
          </w:p>
        </w:tc>
      </w:tr>
      <w:tr w:rsidR="00607E50" w:rsidRPr="000C341F" w:rsidTr="004A0318">
        <w:tc>
          <w:tcPr>
            <w:tcW w:w="1228" w:type="dxa"/>
            <w:vMerge/>
            <w:tcBorders>
              <w:left w:val="single" w:sz="4" w:space="0" w:color="000000"/>
              <w:bottom w:val="single" w:sz="4" w:space="0" w:color="000000"/>
            </w:tcBorders>
          </w:tcPr>
          <w:p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 xml:space="preserve">Relații de reprezentare </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101376" w:rsidRDefault="00B136C5" w:rsidP="00B8612C">
            <w:pPr>
              <w:rPr>
                <w:sz w:val="22"/>
                <w:lang w:val="es-ES_tradnl"/>
              </w:rPr>
            </w:pPr>
            <w:r w:rsidRPr="00B136C5">
              <w:rPr>
                <w:rFonts w:ascii="Trebuchet MS" w:hAnsi="Trebuchet MS" w:cs="Trebuchet MS"/>
                <w:sz w:val="22"/>
                <w:szCs w:val="22"/>
                <w:lang w:val="es-ES_tradnl"/>
              </w:rPr>
              <w:t>atunci când şeful ierarhic împuterniceşte persoana de execuţie să reprezinte serviciul în anumite probleme specifice activităţii pe care o desfăşoară.</w:t>
            </w:r>
          </w:p>
        </w:tc>
      </w:tr>
      <w:tr w:rsidR="00607E50" w:rsidRPr="000C341F" w:rsidTr="004A0318">
        <w:tc>
          <w:tcPr>
            <w:tcW w:w="1228" w:type="dxa"/>
            <w:vMerge w:val="restart"/>
            <w:tcBorders>
              <w:top w:val="single" w:sz="4" w:space="0" w:color="000000"/>
              <w:left w:val="single" w:sz="4" w:space="0" w:color="000000"/>
            </w:tcBorders>
          </w:tcPr>
          <w:p w:rsidR="00607E50" w:rsidRDefault="00607E50" w:rsidP="00B8612C">
            <w:pPr>
              <w:ind w:right="-188"/>
              <w:rPr>
                <w:sz w:val="22"/>
              </w:rPr>
            </w:pPr>
            <w:r>
              <w:rPr>
                <w:rFonts w:ascii="Trebuchet MS" w:hAnsi="Trebuchet MS" w:cs="Trebuchet MS"/>
                <w:sz w:val="22"/>
                <w:szCs w:val="22"/>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Autorități și instituții publice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AA728D" w:rsidRPr="00101376" w:rsidRDefault="00AA728D" w:rsidP="00AA728D">
            <w:pPr>
              <w:pStyle w:val="HTMLPreformatted"/>
              <w:jc w:val="both"/>
              <w:rPr>
                <w:rFonts w:ascii="Trebuchet MS" w:eastAsia="Times New Roman" w:hAnsi="Trebuchet MS" w:cs="Trebuchet MS"/>
                <w:sz w:val="22"/>
                <w:szCs w:val="22"/>
                <w:lang w:val="es-ES_tradnl"/>
              </w:rPr>
            </w:pPr>
            <w:r w:rsidRPr="00101376">
              <w:rPr>
                <w:rFonts w:ascii="Trebuchet MS" w:eastAsia="Times New Roman" w:hAnsi="Trebuchet MS" w:cs="Trebuchet MS"/>
                <w:sz w:val="22"/>
                <w:szCs w:val="22"/>
                <w:lang w:val="es-ES_tradnl"/>
              </w:rPr>
              <w:t>relații de cooperare cu alte ministere și instituții publice pentru buna desfășurare a activității de elaborare și aplicare a legislației fiscal</w:t>
            </w:r>
            <w:r w:rsidR="005F36E6">
              <w:rPr>
                <w:rFonts w:ascii="Trebuchet MS" w:eastAsia="Times New Roman" w:hAnsi="Trebuchet MS" w:cs="Trebuchet MS"/>
                <w:sz w:val="22"/>
                <w:szCs w:val="22"/>
                <w:lang w:val="es-ES_tradnl"/>
              </w:rPr>
              <w:t>e</w:t>
            </w:r>
          </w:p>
          <w:p w:rsidR="00607E50" w:rsidRPr="00101376" w:rsidRDefault="00607E50" w:rsidP="00B8612C">
            <w:pPr>
              <w:rPr>
                <w:sz w:val="22"/>
                <w:lang w:val="es-ES_tradnl"/>
              </w:rPr>
            </w:pPr>
          </w:p>
        </w:tc>
      </w:tr>
      <w:tr w:rsidR="00607E50" w:rsidRPr="000C341F" w:rsidTr="004A0318">
        <w:tc>
          <w:tcPr>
            <w:tcW w:w="1228" w:type="dxa"/>
            <w:vMerge/>
            <w:tcBorders>
              <w:left w:val="single" w:sz="4" w:space="0" w:color="000000"/>
            </w:tcBorders>
          </w:tcPr>
          <w:p w:rsidR="00607E50" w:rsidRPr="00101376" w:rsidRDefault="00607E50" w:rsidP="00B8612C">
            <w:pPr>
              <w:rPr>
                <w:sz w:val="22"/>
                <w:lang w:val="es-ES_tradnl"/>
              </w:rPr>
            </w:pP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Organizații internaționale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5F36E6" w:rsidRPr="00E04CB5" w:rsidRDefault="00AA728D" w:rsidP="00B8612C">
            <w:pPr>
              <w:rPr>
                <w:rFonts w:ascii="Trebuchet MS" w:hAnsi="Trebuchet MS" w:cs="Trebuchet MS"/>
                <w:sz w:val="22"/>
                <w:szCs w:val="22"/>
                <w:lang w:val="es-ES_tradnl"/>
              </w:rPr>
            </w:pPr>
            <w:r w:rsidRPr="00101376">
              <w:rPr>
                <w:rFonts w:ascii="Trebuchet MS" w:hAnsi="Trebuchet MS" w:cs="Trebuchet MS"/>
                <w:sz w:val="22"/>
                <w:szCs w:val="22"/>
                <w:lang w:val="es-ES_tradnl"/>
              </w:rPr>
              <w:t>rela</w:t>
            </w:r>
            <w:r w:rsidR="00E04CB5">
              <w:rPr>
                <w:rFonts w:ascii="Trebuchet MS" w:hAnsi="Trebuchet MS" w:cs="Trebuchet MS"/>
                <w:sz w:val="22"/>
                <w:szCs w:val="22"/>
                <w:lang w:val="es-ES_tradnl"/>
              </w:rPr>
              <w:t>ții de colaborare cu UE și OECD</w:t>
            </w:r>
          </w:p>
        </w:tc>
      </w:tr>
      <w:tr w:rsidR="00607E50" w:rsidRPr="000C341F" w:rsidTr="004A0318">
        <w:tc>
          <w:tcPr>
            <w:tcW w:w="1228" w:type="dxa"/>
            <w:vMerge/>
            <w:tcBorders>
              <w:left w:val="single" w:sz="4" w:space="0" w:color="000000"/>
            </w:tcBorders>
          </w:tcPr>
          <w:p w:rsidR="00607E50" w:rsidRPr="00101376" w:rsidRDefault="00607E50" w:rsidP="00B8612C">
            <w:pPr>
              <w:rPr>
                <w:sz w:val="22"/>
                <w:lang w:val="es-ES_tradnl"/>
              </w:rPr>
            </w:pPr>
          </w:p>
        </w:tc>
        <w:tc>
          <w:tcPr>
            <w:tcW w:w="2457" w:type="dxa"/>
            <w:tcBorders>
              <w:top w:val="single" w:sz="4" w:space="0" w:color="000000"/>
              <w:left w:val="single" w:sz="4" w:space="0" w:color="000000"/>
              <w:bottom w:val="single" w:sz="4" w:space="0" w:color="000000"/>
              <w:right w:val="single" w:sz="4" w:space="0" w:color="auto"/>
            </w:tcBorders>
            <w:vAlign w:val="center"/>
          </w:tcPr>
          <w:p w:rsidR="00607E50" w:rsidRDefault="00607E50" w:rsidP="00B8612C">
            <w:pPr>
              <w:ind w:left="3" w:right="-68" w:hanging="3"/>
              <w:rPr>
                <w:sz w:val="22"/>
              </w:rPr>
            </w:pPr>
            <w:r>
              <w:rPr>
                <w:rFonts w:ascii="Trebuchet MS" w:hAnsi="Trebuchet MS" w:cs="Trebuchet MS"/>
                <w:sz w:val="22"/>
                <w:szCs w:val="22"/>
              </w:rPr>
              <w:t xml:space="preserve">Persoane juridice priviate </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AA728D" w:rsidRPr="00101376" w:rsidRDefault="00AA728D" w:rsidP="00AA728D">
            <w:pPr>
              <w:pStyle w:val="HTMLPreformatted"/>
              <w:tabs>
                <w:tab w:val="left" w:pos="252"/>
              </w:tabs>
              <w:jc w:val="both"/>
              <w:rPr>
                <w:rFonts w:ascii="Trebuchet MS" w:eastAsia="Times New Roman" w:hAnsi="Trebuchet MS" w:cs="Trebuchet MS"/>
                <w:sz w:val="22"/>
                <w:szCs w:val="22"/>
                <w:lang w:val="es-ES_tradnl"/>
              </w:rPr>
            </w:pPr>
            <w:r w:rsidRPr="00101376">
              <w:rPr>
                <w:rFonts w:ascii="Trebuchet MS" w:eastAsia="Times New Roman" w:hAnsi="Trebuchet MS" w:cs="Trebuchet MS"/>
                <w:sz w:val="22"/>
                <w:szCs w:val="22"/>
                <w:lang w:val="es-ES_tradnl"/>
              </w:rPr>
              <w:t xml:space="preserve">în funcție de cerințele realizării atribuțiilor, cu aprobarea conducerii </w:t>
            </w:r>
            <w:r w:rsidR="00E04CB5">
              <w:rPr>
                <w:rFonts w:ascii="Trebuchet MS" w:eastAsia="Times New Roman" w:hAnsi="Trebuchet MS" w:cs="Trebuchet MS"/>
                <w:sz w:val="22"/>
                <w:szCs w:val="22"/>
                <w:lang w:val="es-ES_tradnl"/>
              </w:rPr>
              <w:t>direcției generale</w:t>
            </w:r>
          </w:p>
          <w:p w:rsidR="00607E50" w:rsidRPr="00101376" w:rsidRDefault="00607E50" w:rsidP="00B8612C">
            <w:pPr>
              <w:rPr>
                <w:rFonts w:ascii="Trebuchet MS" w:hAnsi="Trebuchet MS" w:cs="Trebuchet MS"/>
                <w:sz w:val="22"/>
                <w:szCs w:val="22"/>
                <w:lang w:val="es-ES_tradnl"/>
              </w:rPr>
            </w:pPr>
          </w:p>
        </w:tc>
      </w:tr>
      <w:tr w:rsidR="00607E50" w:rsidRPr="000C341F"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Libertatea decizională</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AA728D" w:rsidRPr="005F36E6" w:rsidRDefault="00AA728D" w:rsidP="00AA728D">
            <w:pPr>
              <w:jc w:val="both"/>
              <w:rPr>
                <w:rFonts w:ascii="Trebuchet MS" w:hAnsi="Trebuchet MS" w:cs="Arial"/>
                <w:sz w:val="28"/>
                <w:szCs w:val="28"/>
                <w:lang w:val="es-ES_tradnl"/>
              </w:rPr>
            </w:pPr>
            <w:r w:rsidRPr="00101376">
              <w:rPr>
                <w:rFonts w:ascii="Trebuchet MS" w:hAnsi="Trebuchet MS" w:cs="Trebuchet MS"/>
                <w:sz w:val="22"/>
                <w:szCs w:val="22"/>
                <w:lang w:val="es-ES_tradnl"/>
              </w:rPr>
              <w:t xml:space="preserve">este limitată de atribuțiile postului, prevederile legale în vigoare și mandatul primit de la conducerea </w:t>
            </w:r>
            <w:r w:rsidR="00E04CB5">
              <w:rPr>
                <w:rFonts w:ascii="Trebuchet MS" w:hAnsi="Trebuchet MS" w:cs="Trebuchet MS"/>
                <w:sz w:val="22"/>
                <w:szCs w:val="22"/>
                <w:lang w:val="es-ES_tradnl"/>
              </w:rPr>
              <w:t>direcției generale</w:t>
            </w:r>
          </w:p>
          <w:p w:rsidR="00607E50" w:rsidRPr="005F36E6" w:rsidRDefault="00607E50" w:rsidP="00B8612C">
            <w:pPr>
              <w:rPr>
                <w:sz w:val="22"/>
                <w:lang w:val="es-ES_tradnl"/>
              </w:rPr>
            </w:pPr>
          </w:p>
        </w:tc>
      </w:tr>
      <w:tr w:rsidR="00607E50" w:rsidRPr="000C341F"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Pr="00101376" w:rsidRDefault="00607E50" w:rsidP="00B8612C">
            <w:pPr>
              <w:rPr>
                <w:sz w:val="22"/>
                <w:lang w:val="es-ES_tradnl"/>
              </w:rPr>
            </w:pPr>
            <w:r w:rsidRPr="00101376">
              <w:rPr>
                <w:rFonts w:ascii="Trebuchet MS" w:hAnsi="Trebuchet MS" w:cs="Trebuchet MS"/>
                <w:sz w:val="22"/>
                <w:szCs w:val="22"/>
                <w:lang w:val="es-ES_tradnl"/>
              </w:rPr>
              <w:t>Delegarea de atribuții și competență</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5F36E6" w:rsidRPr="000A7296" w:rsidRDefault="00AA728D" w:rsidP="005F36E6">
            <w:pPr>
              <w:jc w:val="both"/>
              <w:rPr>
                <w:rFonts w:ascii="Trebuchet MS" w:hAnsi="Trebuchet MS" w:cs="Trebuchet MS"/>
                <w:sz w:val="22"/>
                <w:szCs w:val="22"/>
                <w:lang w:val="es-ES_tradnl"/>
              </w:rPr>
            </w:pPr>
            <w:r w:rsidRPr="00101376">
              <w:rPr>
                <w:rFonts w:ascii="Trebuchet MS" w:hAnsi="Trebuchet MS" w:cs="Trebuchet MS"/>
                <w:sz w:val="22"/>
                <w:szCs w:val="22"/>
                <w:lang w:val="es-ES_tradnl"/>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w:t>
            </w:r>
            <w:r w:rsidR="00E04CB5">
              <w:rPr>
                <w:rFonts w:ascii="Trebuchet MS" w:hAnsi="Trebuchet MS" w:cs="Trebuchet MS"/>
                <w:sz w:val="22"/>
                <w:szCs w:val="22"/>
                <w:lang w:val="es-ES_tradnl"/>
              </w:rPr>
              <w:t>anent de înocuire a angajaților</w:t>
            </w:r>
          </w:p>
        </w:tc>
      </w:tr>
      <w:tr w:rsidR="00607E50" w:rsidTr="004A0318">
        <w:tc>
          <w:tcPr>
            <w:tcW w:w="10255" w:type="dxa"/>
            <w:gridSpan w:val="4"/>
            <w:tcBorders>
              <w:top w:val="single" w:sz="4" w:space="0" w:color="000000"/>
              <w:left w:val="single" w:sz="4" w:space="0" w:color="000000"/>
              <w:bottom w:val="single" w:sz="4" w:space="0" w:color="000000"/>
              <w:right w:val="single" w:sz="4" w:space="0" w:color="000000"/>
            </w:tcBorders>
          </w:tcPr>
          <w:p w:rsidR="006027E7" w:rsidRDefault="006027E7" w:rsidP="00B8612C">
            <w:pPr>
              <w:jc w:val="center"/>
              <w:rPr>
                <w:rFonts w:ascii="Trebuchet MS" w:hAnsi="Trebuchet MS" w:cs="Trebuchet MS"/>
                <w:b/>
                <w:sz w:val="22"/>
                <w:szCs w:val="22"/>
              </w:rPr>
            </w:pPr>
          </w:p>
          <w:p w:rsidR="00607E50" w:rsidRDefault="00607E50" w:rsidP="00B8612C">
            <w:pPr>
              <w:jc w:val="center"/>
              <w:rPr>
                <w:b/>
                <w:sz w:val="22"/>
                <w:vertAlign w:val="superscript"/>
              </w:rPr>
            </w:pPr>
            <w:r>
              <w:rPr>
                <w:rFonts w:ascii="Trebuchet MS" w:hAnsi="Trebuchet MS" w:cs="Trebuchet MS"/>
                <w:b/>
                <w:sz w:val="22"/>
                <w:szCs w:val="22"/>
              </w:rPr>
              <w:t>Întocmit</w:t>
            </w:r>
          </w:p>
          <w:p w:rsidR="00607E50" w:rsidRDefault="00607E50" w:rsidP="00B8612C">
            <w:pPr>
              <w:jc w:val="center"/>
              <w:rPr>
                <w:b/>
                <w:sz w:val="22"/>
                <w:vertAlign w:val="superscript"/>
              </w:rPr>
            </w:pPr>
          </w:p>
          <w:p w:rsidR="00B02382" w:rsidRDefault="00B02382" w:rsidP="00B8612C">
            <w:pPr>
              <w:jc w:val="center"/>
              <w:rPr>
                <w:b/>
                <w:sz w:val="22"/>
                <w:vertAlign w:val="superscript"/>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Numele și prenumele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AA728D" w:rsidRDefault="00B136C5" w:rsidP="00AA728D">
            <w:pPr>
              <w:rPr>
                <w:rFonts w:ascii="Trebuchet MS" w:hAnsi="Trebuchet MS" w:cs="Trebuchet MS"/>
                <w:sz w:val="22"/>
                <w:szCs w:val="22"/>
              </w:rPr>
            </w:pPr>
            <w:r w:rsidRPr="00B136C5">
              <w:rPr>
                <w:rFonts w:ascii="Trebuchet MS" w:hAnsi="Trebuchet MS" w:cs="Trebuchet MS"/>
                <w:sz w:val="22"/>
                <w:szCs w:val="22"/>
              </w:rPr>
              <w:t>Nedelcu Elena-Marina</w:t>
            </w: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Funcția publică de conducere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AA728D" w:rsidRDefault="00B136C5" w:rsidP="00B136C5">
            <w:pPr>
              <w:rPr>
                <w:rFonts w:ascii="Trebuchet MS" w:hAnsi="Trebuchet MS" w:cs="Trebuchet MS"/>
                <w:sz w:val="22"/>
                <w:szCs w:val="22"/>
              </w:rPr>
            </w:pPr>
            <w:r>
              <w:rPr>
                <w:rFonts w:ascii="Trebuchet MS" w:hAnsi="Trebuchet MS" w:cs="Trebuchet MS"/>
                <w:sz w:val="22"/>
                <w:szCs w:val="22"/>
              </w:rPr>
              <w:t>Șef serviciu</w:t>
            </w: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Semnătura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lastRenderedPageBreak/>
              <w:t xml:space="preserve">Data întocmirii </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p w:rsidR="00B02382" w:rsidRDefault="00B02382" w:rsidP="00B8612C">
            <w:pPr>
              <w:rPr>
                <w:sz w:val="22"/>
              </w:rPr>
            </w:pPr>
          </w:p>
        </w:tc>
      </w:tr>
      <w:tr w:rsidR="00607E50" w:rsidRPr="000C341F" w:rsidTr="004A0318">
        <w:tc>
          <w:tcPr>
            <w:tcW w:w="10255" w:type="dxa"/>
            <w:gridSpan w:val="4"/>
            <w:tcBorders>
              <w:top w:val="single" w:sz="4" w:space="0" w:color="000000"/>
              <w:left w:val="single" w:sz="4" w:space="0" w:color="000000"/>
              <w:bottom w:val="single" w:sz="4" w:space="0" w:color="000000"/>
              <w:right w:val="single" w:sz="4" w:space="0" w:color="000000"/>
            </w:tcBorders>
          </w:tcPr>
          <w:p w:rsidR="00607E50" w:rsidRPr="00101376" w:rsidRDefault="00607E50" w:rsidP="00B8612C">
            <w:pPr>
              <w:jc w:val="center"/>
              <w:rPr>
                <w:b/>
                <w:sz w:val="22"/>
                <w:lang w:val="es-ES_tradnl"/>
              </w:rPr>
            </w:pPr>
            <w:r w:rsidRPr="00101376">
              <w:rPr>
                <w:rFonts w:ascii="Trebuchet MS" w:hAnsi="Trebuchet MS" w:cs="Trebuchet MS"/>
                <w:b/>
                <w:sz w:val="22"/>
                <w:szCs w:val="22"/>
                <w:lang w:val="es-ES_tradnl"/>
              </w:rPr>
              <w:t>Luat la cunoștință de ocupantul postului</w:t>
            </w:r>
          </w:p>
          <w:p w:rsidR="00607E50" w:rsidRPr="00101376" w:rsidRDefault="00607E50" w:rsidP="00B8612C">
            <w:pPr>
              <w:rPr>
                <w:b/>
                <w:sz w:val="22"/>
                <w:lang w:val="es-ES_tradnl"/>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ind w:left="3" w:hanging="3"/>
              <w:rPr>
                <w:sz w:val="22"/>
              </w:rPr>
            </w:pPr>
            <w:r>
              <w:rPr>
                <w:rFonts w:ascii="Trebuchet MS" w:hAnsi="Trebuchet MS" w:cs="Trebuchet MS"/>
                <w:sz w:val="22"/>
                <w:szCs w:val="22"/>
              </w:rPr>
              <w:t>Numele și prenumele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ind w:left="3" w:hanging="3"/>
              <w:rPr>
                <w:sz w:val="22"/>
              </w:rPr>
            </w:pPr>
            <w:r>
              <w:rPr>
                <w:rFonts w:ascii="Trebuchet MS" w:hAnsi="Trebuchet MS" w:cs="Trebuchet MS"/>
                <w:sz w:val="22"/>
                <w:szCs w:val="22"/>
              </w:rPr>
              <w:t>Semnătura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ind w:left="3" w:hanging="3"/>
              <w:rPr>
                <w:sz w:val="22"/>
              </w:rPr>
            </w:pPr>
            <w:r>
              <w:rPr>
                <w:rFonts w:ascii="Trebuchet MS" w:hAnsi="Trebuchet MS" w:cs="Trebuchet MS"/>
                <w:sz w:val="22"/>
                <w:szCs w:val="22"/>
              </w:rPr>
              <w:t>Data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r w:rsidR="00607E50" w:rsidTr="004A0318">
        <w:tc>
          <w:tcPr>
            <w:tcW w:w="10255" w:type="dxa"/>
            <w:gridSpan w:val="4"/>
            <w:tcBorders>
              <w:top w:val="single" w:sz="4" w:space="0" w:color="000000"/>
              <w:left w:val="single" w:sz="4" w:space="0" w:color="000000"/>
              <w:bottom w:val="single" w:sz="4" w:space="0" w:color="000000"/>
              <w:right w:val="single" w:sz="4" w:space="0" w:color="000000"/>
            </w:tcBorders>
          </w:tcPr>
          <w:p w:rsidR="00607E50" w:rsidRDefault="00607E50" w:rsidP="00B8612C">
            <w:pPr>
              <w:jc w:val="center"/>
              <w:rPr>
                <w:b/>
                <w:bCs/>
                <w:sz w:val="22"/>
              </w:rPr>
            </w:pPr>
            <w:r>
              <w:rPr>
                <w:rFonts w:ascii="Trebuchet MS" w:hAnsi="Trebuchet MS" w:cs="Trebuchet MS"/>
                <w:b/>
                <w:bCs/>
                <w:sz w:val="22"/>
                <w:szCs w:val="22"/>
              </w:rPr>
              <w:t>Contrasemnează</w:t>
            </w:r>
          </w:p>
          <w:p w:rsidR="00607E50" w:rsidRDefault="00607E50" w:rsidP="00B8612C">
            <w:pPr>
              <w:jc w:val="center"/>
              <w:rPr>
                <w:b/>
                <w:bCs/>
                <w:sz w:val="22"/>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Numele și prenumele</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D5459C" w:rsidRDefault="00B136C5" w:rsidP="00297AAE">
            <w:pPr>
              <w:rPr>
                <w:rFonts w:ascii="Trebuchet MS" w:hAnsi="Trebuchet MS" w:cs="Trebuchet MS"/>
                <w:sz w:val="22"/>
                <w:szCs w:val="22"/>
              </w:rPr>
            </w:pPr>
            <w:r>
              <w:rPr>
                <w:rFonts w:ascii="Trebuchet MS" w:hAnsi="Trebuchet MS" w:cs="Trebuchet MS"/>
                <w:sz w:val="22"/>
                <w:szCs w:val="22"/>
              </w:rPr>
              <w:t>Tănase Daniela</w:t>
            </w:r>
            <w:r w:rsidR="00297AAE">
              <w:rPr>
                <w:rFonts w:ascii="Trebuchet MS" w:hAnsi="Trebuchet MS" w:cs="Trebuchet MS"/>
                <w:sz w:val="22"/>
                <w:szCs w:val="22"/>
              </w:rPr>
              <w:t xml:space="preserve"> </w:t>
            </w: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Funcția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Pr="00D5459C" w:rsidRDefault="00D5459C" w:rsidP="00B8612C">
            <w:pPr>
              <w:rPr>
                <w:rFonts w:ascii="Trebuchet MS" w:hAnsi="Trebuchet MS" w:cs="Trebuchet MS"/>
                <w:sz w:val="22"/>
                <w:szCs w:val="22"/>
              </w:rPr>
            </w:pPr>
            <w:r w:rsidRPr="00AA728D">
              <w:rPr>
                <w:rFonts w:ascii="Trebuchet MS" w:hAnsi="Trebuchet MS" w:cs="Trebuchet MS"/>
                <w:sz w:val="22"/>
                <w:szCs w:val="22"/>
              </w:rPr>
              <w:t>Director general</w:t>
            </w:r>
            <w:r w:rsidR="00B136C5">
              <w:rPr>
                <w:rFonts w:ascii="Trebuchet MS" w:hAnsi="Trebuchet MS" w:cs="Trebuchet MS"/>
                <w:sz w:val="22"/>
                <w:szCs w:val="22"/>
              </w:rPr>
              <w:t xml:space="preserve"> adjunct</w:t>
            </w: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Semnătura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r w:rsidR="00607E50" w:rsidTr="004A0318">
        <w:tc>
          <w:tcPr>
            <w:tcW w:w="3685" w:type="dxa"/>
            <w:gridSpan w:val="2"/>
            <w:tcBorders>
              <w:top w:val="single" w:sz="4" w:space="0" w:color="000000"/>
              <w:left w:val="single" w:sz="4" w:space="0" w:color="000000"/>
              <w:bottom w:val="single" w:sz="4" w:space="0" w:color="000000"/>
              <w:right w:val="single" w:sz="4" w:space="0" w:color="auto"/>
            </w:tcBorders>
          </w:tcPr>
          <w:p w:rsidR="00607E50" w:rsidRDefault="00607E50" w:rsidP="00B8612C">
            <w:pPr>
              <w:rPr>
                <w:sz w:val="22"/>
              </w:rPr>
            </w:pPr>
            <w:r>
              <w:rPr>
                <w:rFonts w:ascii="Trebuchet MS" w:hAnsi="Trebuchet MS" w:cs="Trebuchet MS"/>
                <w:sz w:val="22"/>
                <w:szCs w:val="22"/>
              </w:rPr>
              <w:t>Data</w:t>
            </w:r>
          </w:p>
        </w:tc>
        <w:tc>
          <w:tcPr>
            <w:tcW w:w="6570" w:type="dxa"/>
            <w:gridSpan w:val="2"/>
            <w:tcBorders>
              <w:top w:val="single" w:sz="4" w:space="0" w:color="000000"/>
              <w:left w:val="single" w:sz="4" w:space="0" w:color="auto"/>
              <w:bottom w:val="single" w:sz="4" w:space="0" w:color="000000"/>
              <w:right w:val="single" w:sz="4" w:space="0" w:color="000000"/>
            </w:tcBorders>
            <w:vAlign w:val="center"/>
          </w:tcPr>
          <w:p w:rsidR="00607E50" w:rsidRDefault="00607E50" w:rsidP="00B8612C">
            <w:pPr>
              <w:rPr>
                <w:sz w:val="22"/>
              </w:rPr>
            </w:pPr>
          </w:p>
        </w:tc>
      </w:tr>
    </w:tbl>
    <w:p w:rsidR="005A7DCE" w:rsidRDefault="005A7DCE" w:rsidP="00B02382">
      <w:pPr>
        <w:pStyle w:val="spar"/>
        <w:jc w:val="both"/>
        <w:rPr>
          <w:rFonts w:ascii="Trebuchet MS" w:hAnsi="Trebuchet MS"/>
          <w:sz w:val="28"/>
          <w:szCs w:val="28"/>
          <w:vertAlign w:val="superscript"/>
        </w:rPr>
      </w:pPr>
    </w:p>
    <w:p w:rsidR="00B02382" w:rsidRPr="00101376" w:rsidRDefault="00B02382" w:rsidP="00B02382">
      <w:pPr>
        <w:spacing w:before="60"/>
        <w:ind w:leftChars="199" w:left="398" w:rightChars="185" w:right="370" w:firstLine="2"/>
        <w:jc w:val="both"/>
        <w:rPr>
          <w:rFonts w:ascii="Trebuchet MS" w:hAnsi="Trebuchet MS" w:cs="Trebuchet MS"/>
          <w:sz w:val="22"/>
          <w:szCs w:val="22"/>
          <w:vertAlign w:val="superscript"/>
          <w:lang w:val="es-ES_tradnl"/>
        </w:rPr>
      </w:pPr>
    </w:p>
    <w:p w:rsidR="002930A8" w:rsidRPr="00101376" w:rsidRDefault="002930A8">
      <w:pPr>
        <w:rPr>
          <w:lang w:val="es-ES_tradnl"/>
        </w:rPr>
      </w:pPr>
    </w:p>
    <w:sectPr w:rsidR="002930A8" w:rsidRPr="00101376" w:rsidSect="004A0318">
      <w:pgSz w:w="12240" w:h="15840"/>
      <w:pgMar w:top="630" w:right="108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5009E2" w16cex:dateUtc="2024-07-08T11:44:00Z"/>
  <w16cex:commentExtensible w16cex:durableId="4DF5430C" w16cex:dateUtc="2024-07-0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093C4D" w16cid:durableId="685009E2"/>
  <w16cid:commentId w16cid:paraId="58BC0914" w16cid:durableId="4DF543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C08B7"/>
    <w:multiLevelType w:val="hybridMultilevel"/>
    <w:tmpl w:val="F7EE1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15725"/>
    <w:multiLevelType w:val="hybridMultilevel"/>
    <w:tmpl w:val="12F490C8"/>
    <w:lvl w:ilvl="0" w:tplc="E836EAF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75056"/>
    <w:rsid w:val="000935FC"/>
    <w:rsid w:val="000A7296"/>
    <w:rsid w:val="000C341F"/>
    <w:rsid w:val="000C67B3"/>
    <w:rsid w:val="000E020A"/>
    <w:rsid w:val="00101376"/>
    <w:rsid w:val="00107C08"/>
    <w:rsid w:val="001453C9"/>
    <w:rsid w:val="00170A99"/>
    <w:rsid w:val="00171C0C"/>
    <w:rsid w:val="00197722"/>
    <w:rsid w:val="002076E8"/>
    <w:rsid w:val="00222DF5"/>
    <w:rsid w:val="0026580C"/>
    <w:rsid w:val="002930A8"/>
    <w:rsid w:val="00297AAE"/>
    <w:rsid w:val="002A1228"/>
    <w:rsid w:val="002A6389"/>
    <w:rsid w:val="002B7885"/>
    <w:rsid w:val="002C7109"/>
    <w:rsid w:val="002C74E9"/>
    <w:rsid w:val="002E4B2B"/>
    <w:rsid w:val="003074B8"/>
    <w:rsid w:val="00317588"/>
    <w:rsid w:val="00321333"/>
    <w:rsid w:val="003246C3"/>
    <w:rsid w:val="003433DE"/>
    <w:rsid w:val="0035228A"/>
    <w:rsid w:val="003C4A34"/>
    <w:rsid w:val="004113C5"/>
    <w:rsid w:val="00443207"/>
    <w:rsid w:val="0046700C"/>
    <w:rsid w:val="004A0318"/>
    <w:rsid w:val="004D2995"/>
    <w:rsid w:val="004E65EC"/>
    <w:rsid w:val="00531C7B"/>
    <w:rsid w:val="00544B45"/>
    <w:rsid w:val="00552AB9"/>
    <w:rsid w:val="005862C5"/>
    <w:rsid w:val="005A7DCE"/>
    <w:rsid w:val="005F36E6"/>
    <w:rsid w:val="006027E7"/>
    <w:rsid w:val="00607E50"/>
    <w:rsid w:val="006175F1"/>
    <w:rsid w:val="0066360E"/>
    <w:rsid w:val="00672AEC"/>
    <w:rsid w:val="006866E7"/>
    <w:rsid w:val="006E6E95"/>
    <w:rsid w:val="0070163B"/>
    <w:rsid w:val="007314E9"/>
    <w:rsid w:val="007545FD"/>
    <w:rsid w:val="00755441"/>
    <w:rsid w:val="007D7EAA"/>
    <w:rsid w:val="007F1579"/>
    <w:rsid w:val="00825828"/>
    <w:rsid w:val="0086507F"/>
    <w:rsid w:val="008679C0"/>
    <w:rsid w:val="008B13AA"/>
    <w:rsid w:val="008F21BB"/>
    <w:rsid w:val="0093641E"/>
    <w:rsid w:val="00976368"/>
    <w:rsid w:val="009B7DEE"/>
    <w:rsid w:val="00A90482"/>
    <w:rsid w:val="00AA6021"/>
    <w:rsid w:val="00AA63F6"/>
    <w:rsid w:val="00AA728D"/>
    <w:rsid w:val="00AF295B"/>
    <w:rsid w:val="00B02382"/>
    <w:rsid w:val="00B07504"/>
    <w:rsid w:val="00B136C5"/>
    <w:rsid w:val="00B67F1F"/>
    <w:rsid w:val="00B93ECF"/>
    <w:rsid w:val="00BA30A3"/>
    <w:rsid w:val="00C376B6"/>
    <w:rsid w:val="00C53042"/>
    <w:rsid w:val="00C70419"/>
    <w:rsid w:val="00CA6F3E"/>
    <w:rsid w:val="00D21DA3"/>
    <w:rsid w:val="00D274B2"/>
    <w:rsid w:val="00D37279"/>
    <w:rsid w:val="00D5459C"/>
    <w:rsid w:val="00DD2D9B"/>
    <w:rsid w:val="00DF606C"/>
    <w:rsid w:val="00E04CB5"/>
    <w:rsid w:val="00E05328"/>
    <w:rsid w:val="00E825C9"/>
    <w:rsid w:val="00E96D10"/>
    <w:rsid w:val="00F00159"/>
    <w:rsid w:val="00F1038C"/>
    <w:rsid w:val="00F6299A"/>
    <w:rsid w:val="00F77931"/>
    <w:rsid w:val="00FB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BalloonText">
    <w:name w:val="Balloon Text"/>
    <w:basedOn w:val="Normal"/>
    <w:link w:val="BalloonTextChar"/>
    <w:uiPriority w:val="99"/>
    <w:semiHidden/>
    <w:unhideWhenUsed/>
    <w:rsid w:val="00B67F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1F"/>
    <w:rPr>
      <w:rFonts w:ascii="Segoe UI" w:eastAsia="Times New Roman" w:hAnsi="Segoe UI" w:cs="Segoe UI"/>
      <w:sz w:val="18"/>
      <w:szCs w:val="18"/>
      <w:lang w:eastAsia="zh-CN"/>
    </w:rPr>
  </w:style>
  <w:style w:type="paragraph" w:styleId="FootnoteText">
    <w:name w:val="footnote text"/>
    <w:basedOn w:val="Normal"/>
    <w:link w:val="FootnoteTextChar"/>
    <w:uiPriority w:val="99"/>
    <w:unhideWhenUsed/>
    <w:rsid w:val="0035228A"/>
    <w:pPr>
      <w:suppressAutoHyphens w:val="0"/>
    </w:pPr>
    <w:rPr>
      <w:lang w:val="x-none" w:eastAsia="x-none"/>
    </w:rPr>
  </w:style>
  <w:style w:type="character" w:customStyle="1" w:styleId="FootnoteTextChar">
    <w:name w:val="Footnote Text Char"/>
    <w:basedOn w:val="DefaultParagraphFont"/>
    <w:link w:val="FootnoteText"/>
    <w:uiPriority w:val="99"/>
    <w:rsid w:val="0035228A"/>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A90482"/>
    <w:pPr>
      <w:jc w:val="both"/>
    </w:pPr>
    <w:rPr>
      <w:sz w:val="28"/>
    </w:rPr>
  </w:style>
  <w:style w:type="character" w:customStyle="1" w:styleId="BodyTextChar">
    <w:name w:val="Body Text Char"/>
    <w:basedOn w:val="DefaultParagraphFont"/>
    <w:link w:val="BodyText"/>
    <w:rsid w:val="00A90482"/>
    <w:rPr>
      <w:rFonts w:ascii="Times New Roman" w:eastAsia="Times New Roman" w:hAnsi="Times New Roman" w:cs="Times New Roman"/>
      <w:sz w:val="28"/>
      <w:szCs w:val="20"/>
      <w:lang w:eastAsia="zh-CN"/>
    </w:rPr>
  </w:style>
  <w:style w:type="paragraph" w:styleId="HTMLPreformatted">
    <w:name w:val="HTML Preformatted"/>
    <w:basedOn w:val="Normal"/>
    <w:link w:val="HTMLPreformattedChar"/>
    <w:rsid w:val="00AA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ro-RO"/>
    </w:rPr>
  </w:style>
  <w:style w:type="character" w:customStyle="1" w:styleId="HTMLPreformattedChar">
    <w:name w:val="HTML Preformatted Char"/>
    <w:basedOn w:val="DefaultParagraphFont"/>
    <w:link w:val="HTMLPreformatted"/>
    <w:rsid w:val="00AA728D"/>
    <w:rPr>
      <w:rFonts w:ascii="Courier New" w:eastAsia="Courier New" w:hAnsi="Courier New" w:cs="Courier New"/>
      <w:sz w:val="20"/>
      <w:szCs w:val="20"/>
      <w:lang w:val="ro-RO" w:eastAsia="zh-CN"/>
    </w:rPr>
  </w:style>
  <w:style w:type="paragraph" w:styleId="Revision">
    <w:name w:val="Revision"/>
    <w:hidden/>
    <w:uiPriority w:val="99"/>
    <w:semiHidden/>
    <w:rsid w:val="002076E8"/>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2076E8"/>
    <w:rPr>
      <w:sz w:val="16"/>
      <w:szCs w:val="16"/>
    </w:rPr>
  </w:style>
  <w:style w:type="paragraph" w:styleId="CommentText">
    <w:name w:val="annotation text"/>
    <w:basedOn w:val="Normal"/>
    <w:link w:val="CommentTextChar"/>
    <w:uiPriority w:val="99"/>
    <w:semiHidden/>
    <w:unhideWhenUsed/>
    <w:rsid w:val="002076E8"/>
  </w:style>
  <w:style w:type="character" w:customStyle="1" w:styleId="CommentTextChar">
    <w:name w:val="Comment Text Char"/>
    <w:basedOn w:val="DefaultParagraphFont"/>
    <w:link w:val="CommentText"/>
    <w:uiPriority w:val="99"/>
    <w:semiHidden/>
    <w:rsid w:val="002076E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076E8"/>
    <w:rPr>
      <w:b/>
      <w:bCs/>
    </w:rPr>
  </w:style>
  <w:style w:type="character" w:customStyle="1" w:styleId="CommentSubjectChar">
    <w:name w:val="Comment Subject Char"/>
    <w:basedOn w:val="CommentTextChar"/>
    <w:link w:val="CommentSubject"/>
    <w:uiPriority w:val="99"/>
    <w:semiHidden/>
    <w:rsid w:val="002076E8"/>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 w:id="1405760880">
      <w:bodyDiv w:val="1"/>
      <w:marLeft w:val="0"/>
      <w:marRight w:val="0"/>
      <w:marTop w:val="0"/>
      <w:marBottom w:val="0"/>
      <w:divBdr>
        <w:top w:val="none" w:sz="0" w:space="0" w:color="auto"/>
        <w:left w:val="none" w:sz="0" w:space="0" w:color="auto"/>
        <w:bottom w:val="none" w:sz="0" w:space="0" w:color="auto"/>
        <w:right w:val="none" w:sz="0" w:space="0" w:color="auto"/>
      </w:divBdr>
    </w:div>
    <w:div w:id="21007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3E68-0D44-44CA-B933-F1F0B4A3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ROXANA-DESPINA MADIRJAC</cp:lastModifiedBy>
  <cp:revision>2</cp:revision>
  <cp:lastPrinted>2024-10-17T08:51:00Z</cp:lastPrinted>
  <dcterms:created xsi:type="dcterms:W3CDTF">2024-12-09T09:04:00Z</dcterms:created>
  <dcterms:modified xsi:type="dcterms:W3CDTF">2024-12-09T09:04:00Z</dcterms:modified>
</cp:coreProperties>
</file>