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6F5" w:rsidRDefault="0080346C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F316F5" w:rsidRDefault="0080346C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 genera</w:t>
      </w:r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</w:p>
    <w:p w:rsidR="00F316F5" w:rsidRDefault="0080346C">
      <w:pPr>
        <w:pStyle w:val="Heading1"/>
        <w:ind w:firstLineChars="50" w:firstLine="60"/>
        <w:rPr>
          <w:rFonts w:ascii="Arial" w:hAnsi="Arial"/>
          <w:lang w:val="ro-RO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</w:t>
      </w:r>
      <w:r w:rsidR="0080346C">
        <w:rPr>
          <w:rFonts w:ascii="Trebuchet MS" w:hAnsi="Trebuchet MS" w:cs="Trebuchet MS"/>
          <w:sz w:val="24"/>
          <w:lang w:val="ro-RO"/>
        </w:rPr>
        <w:t>Nr.</w:t>
      </w:r>
      <w:r w:rsidR="00E87B55">
        <w:rPr>
          <w:rFonts w:ascii="Trebuchet MS" w:hAnsi="Trebuchet MS" w:cs="Trebuchet MS"/>
          <w:sz w:val="24"/>
          <w:lang w:val="ro-RO"/>
        </w:rPr>
        <w:t>687922</w:t>
      </w:r>
      <w:r w:rsidR="0080346C" w:rsidRPr="00AC6649">
        <w:rPr>
          <w:rFonts w:ascii="Trebuchet MS" w:hAnsi="Trebuchet MS" w:cs="Trebuchet MS"/>
          <w:sz w:val="24"/>
          <w:lang w:val="ro-RO"/>
        </w:rPr>
        <w:t>/</w:t>
      </w:r>
      <w:r w:rsidR="00E87B55">
        <w:rPr>
          <w:rFonts w:ascii="Trebuchet MS" w:hAnsi="Trebuchet MS" w:cs="Trebuchet MS"/>
          <w:sz w:val="24"/>
          <w:lang w:val="ro-RO"/>
        </w:rPr>
        <w:t>22.01</w:t>
      </w:r>
      <w:r w:rsidR="00FC2654">
        <w:rPr>
          <w:rFonts w:ascii="Trebuchet MS" w:hAnsi="Trebuchet MS" w:cs="Trebuchet MS"/>
          <w:sz w:val="24"/>
          <w:lang w:val="ro-RO"/>
        </w:rPr>
        <w:t>.</w:t>
      </w:r>
      <w:r w:rsidR="005C38B7">
        <w:rPr>
          <w:rFonts w:ascii="Trebuchet MS" w:hAnsi="Trebuchet MS" w:cs="Trebuchet MS"/>
          <w:sz w:val="24"/>
          <w:lang w:val="ro-RO"/>
        </w:rPr>
        <w:t>2025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ANUNȚ</w:t>
      </w:r>
    </w:p>
    <w:p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bookmarkStart w:id="0" w:name="_GoBack"/>
      <w:r>
        <w:rPr>
          <w:rFonts w:ascii="Trebuchet MS" w:hAnsi="Trebuchet MS"/>
          <w:b/>
          <w:bCs/>
          <w:iCs/>
          <w:lang w:val="ro-RO"/>
        </w:rPr>
        <w:t xml:space="preserve">Ministerul Finanțelor cu sediul în Bd. Libertății nr.16, sector 5, </w:t>
      </w:r>
    </w:p>
    <w:p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organizează procedura de selecție în vederea ocupării prin transfer la cerere </w:t>
      </w:r>
    </w:p>
    <w:p w:rsidR="00F316F5" w:rsidRDefault="0080346C" w:rsidP="00694A2E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>a funcţi</w:t>
      </w:r>
      <w:r w:rsidR="00FC2654">
        <w:rPr>
          <w:rFonts w:ascii="Trebuchet MS" w:hAnsi="Trebuchet MS"/>
          <w:b/>
          <w:bCs/>
          <w:iCs/>
          <w:lang w:val="ro-RO"/>
        </w:rPr>
        <w:t>ei</w:t>
      </w:r>
      <w:r>
        <w:rPr>
          <w:rFonts w:ascii="Trebuchet MS" w:hAnsi="Trebuchet MS"/>
          <w:b/>
          <w:bCs/>
          <w:iCs/>
          <w:lang w:val="ro-RO"/>
        </w:rPr>
        <w:t xml:space="preserve"> publice de execuţie vacante </w:t>
      </w:r>
      <w:r w:rsidR="00FC2654">
        <w:rPr>
          <w:rFonts w:ascii="Trebuchet MS" w:hAnsi="Trebuchet MS"/>
          <w:b/>
          <w:bCs/>
          <w:iCs/>
          <w:lang w:val="ro-RO"/>
        </w:rPr>
        <w:t xml:space="preserve">de consilier clasa I, grad profesional superior </w:t>
      </w:r>
      <w:r w:rsidR="00036CED">
        <w:rPr>
          <w:rFonts w:ascii="Trebuchet MS" w:hAnsi="Trebuchet MS"/>
          <w:b/>
          <w:bCs/>
          <w:iCs/>
          <w:lang w:val="ro-RO"/>
        </w:rPr>
        <w:t xml:space="preserve"> (1 post) </w:t>
      </w:r>
      <w:r>
        <w:rPr>
          <w:rFonts w:ascii="Trebuchet MS" w:hAnsi="Trebuchet MS"/>
          <w:b/>
          <w:bCs/>
          <w:iCs/>
          <w:lang w:val="ro-RO"/>
        </w:rPr>
        <w:t xml:space="preserve">din cadrul Direcției generale de </w:t>
      </w:r>
      <w:r w:rsidR="00FC2654">
        <w:rPr>
          <w:rFonts w:ascii="Trebuchet MS" w:hAnsi="Trebuchet MS"/>
          <w:b/>
          <w:bCs/>
          <w:iCs/>
          <w:lang w:val="ro-RO"/>
        </w:rPr>
        <w:t>programare bugetară – Direcția de programare bugetară în sectorul social-cultural</w:t>
      </w:r>
      <w:r>
        <w:rPr>
          <w:rFonts w:ascii="Trebuchet MS" w:hAnsi="Trebuchet MS"/>
          <w:b/>
          <w:bCs/>
          <w:iCs/>
          <w:lang w:val="ro-RO"/>
        </w:rPr>
        <w:t xml:space="preserve"> - </w:t>
      </w:r>
      <w:r w:rsidR="00FC2654" w:rsidRPr="00FC2654">
        <w:rPr>
          <w:rFonts w:ascii="Trebuchet MS" w:eastAsia="Times New Roman" w:hAnsi="Trebuchet MS"/>
          <w:b/>
          <w:kern w:val="0"/>
          <w:lang w:val="ro-RO" w:bidi="ar-SA"/>
        </w:rPr>
        <w:t>Serviciul de programare bugetară în domeniul securității sociale</w:t>
      </w:r>
    </w:p>
    <w:bookmarkEnd w:id="0"/>
    <w:p w:rsidR="00F316F5" w:rsidRDefault="00F316F5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C38B7" w:rsidRDefault="005C38B7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F316F5" w:rsidRDefault="0080346C">
      <w:pPr>
        <w:ind w:firstLine="709"/>
        <w:jc w:val="both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 xml:space="preserve">Transferul la cerere se va realiza în temeiul </w:t>
      </w:r>
      <w:r>
        <w:rPr>
          <w:rFonts w:ascii="Trebuchet MS" w:hAnsi="Trebuchet MS"/>
          <w:color w:val="000000"/>
          <w:lang w:val="ro-RO"/>
        </w:rPr>
        <w:t>prevederilor art. 502 alin. (1) lit. c), ale art. 506 alin. (1) lit. b), alin. (2), alin. (5)  și alin. (9) din Ordonanța de urgență a Guvernului nr. 57/2019 privind Codul administrativ, cu modificările și completările ulterioare.</w:t>
      </w:r>
    </w:p>
    <w:p w:rsidR="00F316F5" w:rsidRDefault="0080346C">
      <w:pPr>
        <w:ind w:firstLine="709"/>
        <w:jc w:val="both"/>
        <w:rPr>
          <w:rFonts w:ascii="Trebuchet MS" w:hAnsi="Trebuchet MS"/>
          <w:i/>
          <w:iCs/>
          <w:lang w:val="ro-RO"/>
        </w:rPr>
      </w:pPr>
      <w:r>
        <w:rPr>
          <w:rFonts w:ascii="Trebuchet MS" w:hAnsi="Trebuchet MS"/>
          <w:lang w:val="ro-RO"/>
        </w:rPr>
        <w:t xml:space="preserve">Precizăm că potrivit dispozițiilor punctului 5.4 alin. (1)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i/>
          <w:iCs/>
          <w:lang w:val="ro-RO"/>
        </w:rPr>
        <w:t>transferul la cerere se face la solicitarea funcționarului public, cu a</w:t>
      </w:r>
      <w:r w:rsidR="00E00F96">
        <w:rPr>
          <w:rFonts w:ascii="Trebuchet MS" w:hAnsi="Trebuchet MS"/>
          <w:b/>
          <w:bCs/>
          <w:i/>
          <w:iCs/>
          <w:lang w:val="ro-RO"/>
        </w:rPr>
        <w:t>probarea ministrului finanțelor</w:t>
      </w:r>
      <w:r>
        <w:rPr>
          <w:rFonts w:ascii="Trebuchet MS" w:hAnsi="Trebuchet MS"/>
          <w:b/>
          <w:bCs/>
          <w:i/>
          <w:iCs/>
          <w:lang w:val="ro-RO"/>
        </w:rPr>
        <w:t xml:space="preserve"> </w:t>
      </w:r>
      <w:r w:rsidR="00FC2654">
        <w:rPr>
          <w:rFonts w:ascii="Trebuchet MS" w:hAnsi="Trebuchet MS"/>
          <w:b/>
          <w:bCs/>
          <w:i/>
          <w:iCs/>
          <w:lang w:val="ro-RO"/>
        </w:rPr>
        <w:t>(</w:t>
      </w:r>
      <w:r>
        <w:rPr>
          <w:rFonts w:ascii="Trebuchet MS" w:hAnsi="Trebuchet MS"/>
          <w:b/>
          <w:bCs/>
          <w:i/>
          <w:iCs/>
          <w:lang w:val="ro-RO"/>
        </w:rPr>
        <w:t>după parcurgerea etapelor procedurii interne</w:t>
      </w:r>
      <w:r w:rsidR="00FC2654">
        <w:rPr>
          <w:rFonts w:ascii="Trebuchet MS" w:hAnsi="Trebuchet MS"/>
          <w:b/>
          <w:bCs/>
          <w:i/>
          <w:iCs/>
          <w:lang w:val="ro-RO"/>
        </w:rPr>
        <w:t>)</w:t>
      </w:r>
      <w:r>
        <w:rPr>
          <w:rFonts w:ascii="Trebuchet MS" w:hAnsi="Trebuchet MS"/>
          <w:b/>
          <w:bCs/>
          <w:i/>
          <w:iCs/>
          <w:lang w:val="ro-RO"/>
        </w:rPr>
        <w:t xml:space="preserve"> și a conducătorului autorității sau instituției publice în care își desfășoară activitatea funcționarul public.</w:t>
      </w:r>
    </w:p>
    <w:p w:rsidR="00F316F5" w:rsidRDefault="0080346C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  <w:r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F316F5" w:rsidRDefault="0080346C">
      <w:pPr>
        <w:ind w:firstLine="709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/>
          <w:lang w:val="ro-RO"/>
        </w:rPr>
        <w:t xml:space="preserve">Date desfășurare procedură de selecție și documente </w:t>
      </w:r>
      <w:r>
        <w:rPr>
          <w:rFonts w:ascii="Trebuchet MS" w:hAnsi="Trebuchet MS"/>
          <w:b/>
          <w:bCs/>
          <w:lang w:val="ro-RO"/>
        </w:rPr>
        <w:t>necesare:</w:t>
      </w:r>
    </w:p>
    <w:p w:rsidR="00F316F5" w:rsidRDefault="00F316F5">
      <w:pPr>
        <w:jc w:val="both"/>
        <w:rPr>
          <w:rFonts w:ascii="Trebuchet MS" w:hAnsi="Trebuchet MS"/>
          <w:lang w:val="ro-RO"/>
        </w:rPr>
      </w:pPr>
    </w:p>
    <w:p w:rsidR="00F316F5" w:rsidRDefault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Cererea de transfer se depune de către persoanele interesate, în termen de 8 zile lucrătoare de la data publicării anunțului, respectiv în perioada </w:t>
      </w:r>
      <w:r w:rsidR="00E00F96">
        <w:rPr>
          <w:rFonts w:ascii="Trebuchet MS" w:hAnsi="Trebuchet MS"/>
          <w:b/>
          <w:bCs/>
          <w:lang w:val="ro-RO"/>
        </w:rPr>
        <w:t>22</w:t>
      </w:r>
      <w:r>
        <w:rPr>
          <w:rFonts w:ascii="Trebuchet MS" w:hAnsi="Trebuchet MS"/>
          <w:b/>
          <w:bCs/>
          <w:lang w:val="ro-RO"/>
        </w:rPr>
        <w:t>.0</w:t>
      </w:r>
      <w:r w:rsidR="00E00F96">
        <w:rPr>
          <w:rFonts w:ascii="Trebuchet MS" w:hAnsi="Trebuchet MS"/>
          <w:b/>
          <w:bCs/>
          <w:lang w:val="ro-RO"/>
        </w:rPr>
        <w:t>1</w:t>
      </w:r>
      <w:r>
        <w:rPr>
          <w:rFonts w:ascii="Trebuchet MS" w:hAnsi="Trebuchet MS"/>
          <w:b/>
          <w:bCs/>
          <w:lang w:val="ro-RO"/>
        </w:rPr>
        <w:t xml:space="preserve"> - </w:t>
      </w:r>
      <w:r w:rsidR="00E00F96">
        <w:rPr>
          <w:rFonts w:ascii="Trebuchet MS" w:hAnsi="Trebuchet MS"/>
          <w:b/>
          <w:bCs/>
          <w:lang w:val="ro-RO"/>
        </w:rPr>
        <w:t>03</w:t>
      </w:r>
      <w:r>
        <w:rPr>
          <w:rFonts w:ascii="Trebuchet MS" w:hAnsi="Trebuchet MS"/>
          <w:b/>
          <w:bCs/>
          <w:lang w:val="ro-RO"/>
        </w:rPr>
        <w:t>.0</w:t>
      </w:r>
      <w:r w:rsidR="00E00F96">
        <w:rPr>
          <w:rFonts w:ascii="Trebuchet MS" w:hAnsi="Trebuchet MS"/>
          <w:b/>
          <w:bCs/>
          <w:lang w:val="ro-RO"/>
        </w:rPr>
        <w:t>2</w:t>
      </w:r>
      <w:r>
        <w:rPr>
          <w:rFonts w:ascii="Trebuchet MS" w:hAnsi="Trebuchet MS"/>
          <w:b/>
          <w:bCs/>
          <w:lang w:val="ro-RO"/>
        </w:rPr>
        <w:t>.2024 inclusiv,</w:t>
      </w:r>
      <w:r>
        <w:rPr>
          <w:rFonts w:ascii="Trebuchet MS" w:hAnsi="Trebuchet MS"/>
          <w:lang w:val="ro-RO"/>
        </w:rPr>
        <w:t xml:space="preserve"> la sediul Ministerului Finanțelor din </w:t>
      </w:r>
      <w:r>
        <w:rPr>
          <w:rFonts w:ascii="Trebuchet MS" w:eastAsia="Times New Roman" w:hAnsi="Trebuchet MS"/>
          <w:lang w:val="ro-RO"/>
        </w:rPr>
        <w:t>Bd. Libertății, nr.16, sector 5, București - Direcția generală managementul resurselor umane – etaj 2, camera 4</w:t>
      </w:r>
      <w:r w:rsidR="00FC2654">
        <w:rPr>
          <w:rFonts w:ascii="Trebuchet MS" w:eastAsia="Times New Roman" w:hAnsi="Trebuchet MS"/>
          <w:lang w:val="ro-RO"/>
        </w:rPr>
        <w:t>19</w:t>
      </w:r>
      <w:r>
        <w:rPr>
          <w:rFonts w:ascii="Trebuchet MS" w:eastAsia="Times New Roman" w:hAnsi="Trebuchet MS"/>
          <w:lang w:val="ro-RO"/>
        </w:rPr>
        <w:t xml:space="preserve">, în intervalele orare </w:t>
      </w:r>
      <w:r>
        <w:rPr>
          <w:rFonts w:ascii="Trebuchet MS" w:eastAsia="Times New Roman" w:hAnsi="Trebuchet MS"/>
          <w:bCs/>
          <w:lang w:val="ro-RO"/>
        </w:rPr>
        <w:t>8.30-17.00 (luni-joi) și 08.30-14.30 (vineri)</w:t>
      </w:r>
      <w:r>
        <w:rPr>
          <w:rFonts w:ascii="Trebuchet MS" w:eastAsia="Times New Roman" w:hAnsi="Trebuchet MS"/>
          <w:lang w:val="ro-RO"/>
        </w:rPr>
        <w:t xml:space="preserve"> și va fi însoțită de următoarele documente: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curriculum vitae, modelul comun european;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actului de identitate;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F316F5" w:rsidRPr="003C1EA8" w:rsidRDefault="0080346C" w:rsidP="003C1EA8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adeverința medicală, care să ateste starea de sănătate corespunzătoare funcției solicitate.</w:t>
      </w:r>
    </w:p>
    <w:p w:rsidR="00F316F5" w:rsidRP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:rsidR="005C38B7" w:rsidRDefault="005C38B7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</w:p>
    <w:p w:rsid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lastRenderedPageBreak/>
        <w:t>Procedura de selecție în cazul transferului la cerere cuprinde următoarele etape succesive:</w:t>
      </w:r>
    </w:p>
    <w:p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F316F5" w:rsidRDefault="00F316F5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:rsidR="00F316F5" w:rsidRPr="0080346C" w:rsidRDefault="0080346C" w:rsidP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lang w:val="ro-RO"/>
        </w:rPr>
        <w:t xml:space="preserve">Potrivit dispozițiilor punctului 5.4 alin. (7)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lang w:val="ro-RO"/>
        </w:rPr>
        <w:t>în termen de 48 de ore de la data expirării termenului de depunere a cererilor de transfer, comisia de evaluare verifică îndeplinirea condițiilor de transfer la cerere</w:t>
      </w:r>
      <w:r>
        <w:rPr>
          <w:rFonts w:ascii="Trebuchet MS" w:hAnsi="Trebuchet MS"/>
          <w:lang w:val="ro-RO"/>
        </w:rPr>
        <w:t>.</w:t>
      </w:r>
    </w:p>
    <w:p w:rsidR="00F316F5" w:rsidRPr="0080346C" w:rsidRDefault="0080346C" w:rsidP="0080346C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</w:rPr>
      </w:pPr>
      <w:r>
        <w:rPr>
          <w:rFonts w:ascii="Trebuchet MS" w:eastAsia="MS Mincho" w:hAnsi="Trebuchet MS"/>
          <w:lang w:val="ro-RO"/>
        </w:rPr>
        <w:tab/>
        <w:t>U</w:t>
      </w:r>
      <w:r>
        <w:rPr>
          <w:rFonts w:ascii="Trebuchet MS" w:eastAsia="MS Mincho" w:hAnsi="Trebuchet MS"/>
        </w:rPr>
        <w:t>lterior</w:t>
      </w:r>
      <w:r>
        <w:rPr>
          <w:rFonts w:ascii="Trebuchet MS" w:eastAsia="MS Mincho" w:hAnsi="Trebuchet MS"/>
          <w:i/>
        </w:rPr>
        <w:t xml:space="preserve"> </w:t>
      </w:r>
      <w:r>
        <w:rPr>
          <w:rFonts w:ascii="Trebuchet MS" w:eastAsia="MS Mincho" w:hAnsi="Trebuchet MS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/>
          <w:b/>
          <w:u w:val="single"/>
        </w:rPr>
        <w:t xml:space="preserve">proba interviu în data de </w:t>
      </w:r>
      <w:r w:rsidR="00EA4EB6">
        <w:rPr>
          <w:rFonts w:ascii="Trebuchet MS" w:eastAsia="MS Mincho" w:hAnsi="Trebuchet MS"/>
          <w:b/>
          <w:u w:val="single"/>
          <w:lang w:val="ro-RO"/>
        </w:rPr>
        <w:t>24</w:t>
      </w:r>
      <w:r>
        <w:rPr>
          <w:rFonts w:ascii="Trebuchet MS" w:eastAsia="MS Mincho" w:hAnsi="Trebuchet MS"/>
          <w:b/>
          <w:u w:val="single"/>
        </w:rPr>
        <w:t xml:space="preserve"> </w:t>
      </w:r>
      <w:r w:rsidR="00EA4EB6">
        <w:rPr>
          <w:rFonts w:ascii="Trebuchet MS" w:eastAsia="MS Mincho" w:hAnsi="Trebuchet MS"/>
          <w:b/>
          <w:u w:val="single"/>
          <w:lang w:val="ro-RO"/>
        </w:rPr>
        <w:t>februarie</w:t>
      </w:r>
      <w:r>
        <w:rPr>
          <w:rFonts w:ascii="Trebuchet MS" w:eastAsia="MS Mincho" w:hAnsi="Trebuchet MS"/>
          <w:b/>
          <w:u w:val="single"/>
        </w:rPr>
        <w:t xml:space="preserve"> 202</w:t>
      </w:r>
      <w:r w:rsidR="00EA4EB6">
        <w:rPr>
          <w:rFonts w:ascii="Trebuchet MS" w:eastAsia="MS Mincho" w:hAnsi="Trebuchet MS"/>
          <w:b/>
          <w:u w:val="single"/>
        </w:rPr>
        <w:t>5</w:t>
      </w:r>
      <w:r>
        <w:rPr>
          <w:rFonts w:ascii="Trebuchet MS" w:eastAsia="MS Mincho" w:hAnsi="Trebuchet MS"/>
          <w:b/>
          <w:u w:val="single"/>
        </w:rPr>
        <w:t>, ora 1</w:t>
      </w:r>
      <w:r>
        <w:rPr>
          <w:rFonts w:ascii="Trebuchet MS" w:eastAsia="MS Mincho" w:hAnsi="Trebuchet MS"/>
          <w:b/>
          <w:u w:val="single"/>
          <w:lang w:val="ro-RO"/>
        </w:rPr>
        <w:t>1</w:t>
      </w:r>
      <w:r>
        <w:rPr>
          <w:rFonts w:ascii="Trebuchet MS" w:eastAsia="MS Mincho" w:hAnsi="Trebuchet MS"/>
          <w:b/>
          <w:u w:val="single"/>
        </w:rPr>
        <w:t xml:space="preserve">:00, la sediul </w:t>
      </w:r>
      <w:r>
        <w:rPr>
          <w:rFonts w:ascii="Trebuchet MS" w:eastAsia="MS Mincho" w:hAnsi="Trebuchet MS"/>
          <w:b/>
          <w:u w:val="single"/>
          <w:lang w:val="ro-RO"/>
        </w:rPr>
        <w:t>Ministerului Finanțelor din Bd. Libertății, nr.16</w:t>
      </w:r>
      <w:r>
        <w:rPr>
          <w:rFonts w:ascii="Trebuchet MS" w:eastAsia="MS Mincho" w:hAnsi="Trebuchet MS"/>
          <w:b/>
          <w:u w:val="single"/>
        </w:rPr>
        <w:t xml:space="preserve">. </w:t>
      </w:r>
    </w:p>
    <w:p w:rsidR="00F316F5" w:rsidRPr="001F37C8" w:rsidRDefault="0080346C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 xml:space="preserve">Condiţii 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pentru ocuparea prin transfer la cerere a funcției publice de execuție vacantă de </w:t>
      </w:r>
      <w:r w:rsidR="00EA4EB6">
        <w:rPr>
          <w:rFonts w:ascii="Trebuchet MS" w:hAnsi="Trebuchet MS"/>
          <w:b/>
          <w:bCs/>
          <w:i/>
          <w:color w:val="000000" w:themeColor="text1"/>
          <w:lang w:val="ro-RO" w:eastAsia="en-US"/>
        </w:rPr>
        <w:t>consilier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clasa I, gr</w:t>
      </w:r>
      <w:r w:rsidR="001F37C8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ad profesional superior - </w:t>
      </w:r>
      <w:r w:rsidR="001F37C8" w:rsidRPr="001F37C8"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ID </w:t>
      </w:r>
      <w:r w:rsidR="00EA4EB6">
        <w:rPr>
          <w:rFonts w:ascii="Trebuchet MS" w:hAnsi="Trebuchet MS"/>
          <w:b/>
          <w:bCs/>
          <w:i/>
          <w:color w:val="000000" w:themeColor="text1"/>
          <w:lang w:eastAsia="en-US"/>
        </w:rPr>
        <w:t>323525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la </w:t>
      </w:r>
      <w:r w:rsidR="00EA4EB6" w:rsidRPr="00EA4EB6">
        <w:rPr>
          <w:rFonts w:ascii="Trebuchet MS" w:hAnsi="Trebuchet MS"/>
          <w:b/>
          <w:i/>
          <w:kern w:val="0"/>
          <w:lang w:val="ro-RO" w:bidi="ar-SA"/>
        </w:rPr>
        <w:t>Serviciul de programare bugetară în domeniul securității sociale</w:t>
      </w:r>
      <w:r w:rsidRPr="001F37C8">
        <w:rPr>
          <w:rFonts w:ascii="Trebuchet MS" w:hAnsi="Trebuchet MS"/>
          <w:b/>
          <w:bCs/>
          <w:i/>
          <w:color w:val="000000" w:themeColor="text1"/>
          <w:lang w:eastAsia="en-US"/>
        </w:rPr>
        <w:t>:</w:t>
      </w:r>
    </w:p>
    <w:p w:rsidR="00A0683B" w:rsidRPr="00A0683B" w:rsidRDefault="0080346C" w:rsidP="00A0683B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/>
          <w:color w:val="000000" w:themeColor="text1"/>
          <w:sz w:val="24"/>
          <w:szCs w:val="24"/>
          <w:lang w:val="ro-RO"/>
        </w:rPr>
        <w:t>S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>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de specialitate: 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>
        <w:rPr>
          <w:rFonts w:ascii="Trebuchet MS" w:hAnsi="Trebuchet MS" w:cs="Trebuchet MS"/>
          <w:sz w:val="24"/>
          <w:szCs w:val="28"/>
          <w:lang w:val="en-US"/>
        </w:rPr>
        <w:t>științelor economice;</w:t>
      </w:r>
      <w:r w:rsidR="00A0683B" w:rsidRPr="00A0683B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</w:p>
    <w:p w:rsidR="00A0683B" w:rsidRDefault="00A0683B" w:rsidP="00A0683B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 - minimum 7 ani.</w:t>
      </w:r>
    </w:p>
    <w:p w:rsidR="003C1EA8" w:rsidRPr="00AF1173" w:rsidRDefault="003C1EA8" w:rsidP="00A0683B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3C1EA8" w:rsidRPr="001F37C8" w:rsidRDefault="003C1EA8" w:rsidP="003C1EA8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>competențe digitale</w:t>
      </w:r>
      <w:r w:rsidR="002C7586">
        <w:rPr>
          <w:rFonts w:ascii="Trebuchet MS" w:hAnsi="Trebuchet MS" w:cs="Trebuchet MS"/>
          <w:sz w:val="24"/>
          <w:szCs w:val="24"/>
          <w:lang w:val="ro-RO"/>
        </w:rPr>
        <w:t xml:space="preserve"> -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="00A0683B">
        <w:rPr>
          <w:rFonts w:ascii="Trebuchet MS" w:hAnsi="Trebuchet MS" w:cs="Trebuchet MS"/>
          <w:sz w:val="24"/>
          <w:szCs w:val="24"/>
          <w:lang w:val="ro-RO"/>
        </w:rPr>
        <w:t xml:space="preserve">competența specifică de a utiliza aplicații tip Office -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nivel utilizator î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ncepător </w:t>
      </w:r>
      <w:r w:rsidR="00772058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- modalitatea de verificare prin document/documente care atestă competența specifică;</w:t>
      </w:r>
    </w:p>
    <w:p w:rsidR="001F37C8" w:rsidRPr="001F37C8" w:rsidRDefault="00A02375" w:rsidP="001F37C8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alte </w:t>
      </w:r>
      <w:r w:rsidR="001F37C8" w:rsidRPr="009C018F">
        <w:rPr>
          <w:rFonts w:ascii="Trebuchet MS" w:hAnsi="Trebuchet MS" w:cs="Trebuchet MS"/>
          <w:sz w:val="24"/>
          <w:szCs w:val="24"/>
          <w:lang w:val="ro-RO"/>
        </w:rPr>
        <w:t xml:space="preserve">competențe 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specifice – programarea bugetară a cheltuielilor de la bugetul de stat </w:t>
      </w:r>
      <w:r w:rsidR="004157FF">
        <w:rPr>
          <w:rFonts w:ascii="Trebuchet MS" w:hAnsi="Trebuchet MS" w:cs="Trebuchet MS"/>
          <w:sz w:val="24"/>
          <w:szCs w:val="24"/>
          <w:lang w:val="ro-RO"/>
        </w:rPr>
        <w:t>ale ordonatorilor principali de credite</w:t>
      </w:r>
      <w:r w:rsidR="001F37C8" w:rsidRPr="009C018F">
        <w:rPr>
          <w:rFonts w:ascii="Trebuchet MS" w:hAnsi="Trebuchet MS" w:cs="Trebuchet MS"/>
          <w:sz w:val="24"/>
          <w:szCs w:val="24"/>
          <w:lang w:val="ro-RO"/>
        </w:rPr>
        <w:t xml:space="preserve"> - modalitatea de verificare prin document/documente care atestă competența specifică;</w:t>
      </w:r>
    </w:p>
    <w:p w:rsidR="00F316F5" w:rsidRPr="0080346C" w:rsidRDefault="00F316F5" w:rsidP="0080346C">
      <w:pPr>
        <w:widowControl w:val="0"/>
        <w:jc w:val="both"/>
        <w:rPr>
          <w:rFonts w:ascii="Trebuchet MS" w:eastAsia="Calibri" w:hAnsi="Trebuchet MS" w:cs="Trebuchet MS"/>
          <w:szCs w:val="28"/>
          <w:lang w:val="it-IT"/>
        </w:rPr>
      </w:pPr>
    </w:p>
    <w:p w:rsidR="009A6D22" w:rsidRPr="009A6D22" w:rsidRDefault="009A6D22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73560C" w:rsidRDefault="0080346C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BIBLIOGRAFIE P</w:t>
      </w:r>
      <w:r w:rsidR="00AC6649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ENTRU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OCUPAREA FUNCȚI</w:t>
      </w:r>
      <w:r w:rsidR="005C38B7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EI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PUBLICE DE EXECUȚIE VACANT</w:t>
      </w:r>
      <w:r w:rsidR="005C38B7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Ă</w:t>
      </w:r>
    </w:p>
    <w:p w:rsidR="0080346C" w:rsidRDefault="0080346C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</w:t>
      </w:r>
    </w:p>
    <w:p w:rsidR="009A6D22" w:rsidRDefault="009A6D22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CE5B0F" w:rsidRPr="00572821" w:rsidRDefault="00CE5B0F" w:rsidP="00CE5B0F">
      <w:pPr>
        <w:jc w:val="both"/>
        <w:rPr>
          <w:rFonts w:ascii="Trebuchet MS" w:hAnsi="Trebuchet MS"/>
        </w:rPr>
      </w:pPr>
    </w:p>
    <w:p w:rsidR="00CE5B0F" w:rsidRDefault="00CE5B0F" w:rsidP="00CE5B0F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Legea nr. </w:t>
      </w:r>
      <w:r w:rsidR="004157FF">
        <w:rPr>
          <w:rFonts w:ascii="Trebuchet MS" w:hAnsi="Trebuchet MS"/>
          <w:color w:val="000000"/>
        </w:rPr>
        <w:t>500</w:t>
      </w:r>
      <w:r>
        <w:rPr>
          <w:rFonts w:ascii="Trebuchet MS" w:hAnsi="Trebuchet MS"/>
          <w:color w:val="000000"/>
        </w:rPr>
        <w:t>/20</w:t>
      </w:r>
      <w:r w:rsidR="00C23CDC">
        <w:rPr>
          <w:rFonts w:ascii="Trebuchet MS" w:hAnsi="Trebuchet MS"/>
          <w:color w:val="000000"/>
        </w:rPr>
        <w:t>02</w:t>
      </w:r>
      <w:r>
        <w:rPr>
          <w:rFonts w:ascii="Trebuchet MS" w:hAnsi="Trebuchet MS"/>
          <w:color w:val="000000"/>
        </w:rPr>
        <w:t xml:space="preserve"> privind </w:t>
      </w:r>
      <w:r w:rsidR="00C23CDC">
        <w:rPr>
          <w:rFonts w:ascii="Trebuchet MS" w:hAnsi="Trebuchet MS"/>
          <w:color w:val="000000"/>
        </w:rPr>
        <w:t>finanțele publice</w:t>
      </w:r>
      <w:r>
        <w:rPr>
          <w:rFonts w:ascii="Trebuchet MS" w:hAnsi="Trebuchet MS"/>
          <w:color w:val="000000"/>
        </w:rPr>
        <w:t>, cu modificările și completările ulterioare</w:t>
      </w:r>
      <w:r w:rsidRPr="00572821">
        <w:rPr>
          <w:rFonts w:ascii="Trebuchet MS" w:hAnsi="Trebuchet MS"/>
          <w:color w:val="000000"/>
        </w:rPr>
        <w:t>;</w:t>
      </w:r>
    </w:p>
    <w:p w:rsidR="00CE5B0F" w:rsidRDefault="00CE5B0F" w:rsidP="00CE5B0F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Legea </w:t>
      </w:r>
      <w:r w:rsidR="00C23CDC">
        <w:rPr>
          <w:rFonts w:ascii="Trebuchet MS" w:hAnsi="Trebuchet MS"/>
          <w:color w:val="000000"/>
        </w:rPr>
        <w:t>responsabilității fiscal –bugetare nr.69/2010</w:t>
      </w:r>
      <w:r>
        <w:rPr>
          <w:rFonts w:ascii="Trebuchet MS" w:hAnsi="Trebuchet MS"/>
          <w:color w:val="000000"/>
        </w:rPr>
        <w:t xml:space="preserve">, </w:t>
      </w:r>
      <w:r w:rsidR="003C2BF7">
        <w:rPr>
          <w:rFonts w:ascii="Trebuchet MS" w:hAnsi="Trebuchet MS"/>
          <w:color w:val="000000"/>
        </w:rPr>
        <w:t xml:space="preserve">republicată, </w:t>
      </w:r>
      <w:r>
        <w:rPr>
          <w:rFonts w:ascii="Trebuchet MS" w:hAnsi="Trebuchet MS"/>
          <w:color w:val="000000"/>
        </w:rPr>
        <w:t>cu modificările și completările ulterioare;</w:t>
      </w:r>
    </w:p>
    <w:p w:rsidR="00CE5B0F" w:rsidRDefault="00CE5B0F" w:rsidP="00CE5B0F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154FF3">
        <w:rPr>
          <w:rFonts w:ascii="Trebuchet MS" w:hAnsi="Trebuchet MS"/>
          <w:color w:val="000000"/>
        </w:rPr>
        <w:t xml:space="preserve">Lega nr. </w:t>
      </w:r>
      <w:r w:rsidR="003C2BF7">
        <w:rPr>
          <w:rFonts w:ascii="Trebuchet MS" w:hAnsi="Trebuchet MS"/>
          <w:color w:val="000000"/>
        </w:rPr>
        <w:t>360</w:t>
      </w:r>
      <w:r w:rsidRPr="00154FF3">
        <w:rPr>
          <w:rFonts w:ascii="Trebuchet MS" w:hAnsi="Trebuchet MS"/>
          <w:color w:val="000000"/>
        </w:rPr>
        <w:t>/20</w:t>
      </w:r>
      <w:r w:rsidR="003C2BF7">
        <w:rPr>
          <w:rFonts w:ascii="Trebuchet MS" w:hAnsi="Trebuchet MS"/>
          <w:color w:val="000000"/>
        </w:rPr>
        <w:t>23</w:t>
      </w:r>
      <w:r w:rsidRPr="00154FF3">
        <w:rPr>
          <w:rFonts w:ascii="Trebuchet MS" w:hAnsi="Trebuchet MS"/>
          <w:color w:val="000000"/>
        </w:rPr>
        <w:t xml:space="preserve"> privind </w:t>
      </w:r>
      <w:r w:rsidR="003C2BF7">
        <w:rPr>
          <w:rFonts w:ascii="Trebuchet MS" w:hAnsi="Trebuchet MS"/>
          <w:color w:val="000000"/>
        </w:rPr>
        <w:t>sistemul public de pensii</w:t>
      </w:r>
      <w:r w:rsidRPr="00154FF3">
        <w:rPr>
          <w:rFonts w:ascii="Trebuchet MS" w:hAnsi="Trebuchet MS"/>
          <w:color w:val="000000"/>
        </w:rPr>
        <w:t>, cu completările ulterioare.</w:t>
      </w:r>
    </w:p>
    <w:p w:rsidR="00F316F5" w:rsidRDefault="00F316F5">
      <w:pPr>
        <w:widowControl w:val="0"/>
        <w:rPr>
          <w:rFonts w:ascii="Trebuchet MS" w:hAnsi="Trebuchet MS" w:cs="Trebuchet MS"/>
          <w:color w:val="000000"/>
          <w:lang w:val="ro-RO"/>
        </w:rPr>
      </w:pPr>
    </w:p>
    <w:p w:rsidR="00993C65" w:rsidRPr="009A6D22" w:rsidRDefault="00993C65" w:rsidP="00993C65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         Fiș</w:t>
      </w:r>
      <w:r w:rsidR="003C2BF7">
        <w:rPr>
          <w:rFonts w:ascii="Trebuchet MS" w:hAnsi="Trebuchet MS" w:cs="TrebuchetMS"/>
          <w:lang w:eastAsia="ro-RO"/>
        </w:rPr>
        <w:t>a</w:t>
      </w:r>
      <w:r>
        <w:rPr>
          <w:rFonts w:ascii="Trebuchet MS" w:hAnsi="Trebuchet MS" w:cs="TrebuchetMS"/>
          <w:lang w:eastAsia="ro-RO"/>
        </w:rPr>
        <w:t xml:space="preserve"> de post pentru funcți</w:t>
      </w:r>
      <w:r w:rsidR="003C2BF7">
        <w:rPr>
          <w:rFonts w:ascii="Trebuchet MS" w:hAnsi="Trebuchet MS" w:cs="TrebuchetMS"/>
          <w:lang w:eastAsia="ro-RO"/>
        </w:rPr>
        <w:t>a publică</w:t>
      </w:r>
      <w:r>
        <w:rPr>
          <w:rFonts w:ascii="Trebuchet MS" w:hAnsi="Trebuchet MS" w:cs="TrebuchetMS"/>
          <w:lang w:eastAsia="ro-RO"/>
        </w:rPr>
        <w:t xml:space="preserve"> de execuție de </w:t>
      </w:r>
      <w:r w:rsidR="003C2BF7">
        <w:rPr>
          <w:rFonts w:ascii="Trebuchet MS" w:hAnsi="Trebuchet MS" w:cs="TrebuchetMS"/>
          <w:lang w:eastAsia="ro-RO"/>
        </w:rPr>
        <w:t>consilier</w:t>
      </w:r>
      <w:r>
        <w:rPr>
          <w:rFonts w:ascii="Trebuchet MS" w:hAnsi="Trebuchet MS" w:cs="TrebuchetMS"/>
          <w:lang w:eastAsia="ro-RO"/>
        </w:rPr>
        <w:t xml:space="preserve"> clasa I grad profesional superior (</w:t>
      </w:r>
      <w:r w:rsidR="003C2BF7">
        <w:rPr>
          <w:rFonts w:ascii="Trebuchet MS" w:hAnsi="Trebuchet MS" w:cs="TrebuchetMS"/>
          <w:lang w:eastAsia="ro-RO"/>
        </w:rPr>
        <w:t>1</w:t>
      </w:r>
      <w:r>
        <w:rPr>
          <w:rFonts w:ascii="Trebuchet MS" w:hAnsi="Trebuchet MS" w:cs="TrebuchetMS"/>
          <w:lang w:eastAsia="ro-RO"/>
        </w:rPr>
        <w:t xml:space="preserve"> post)</w:t>
      </w:r>
      <w:r w:rsidRPr="00D55C02">
        <w:rPr>
          <w:rFonts w:ascii="Trebuchet MS" w:hAnsi="Trebuchet MS" w:cs="TrebuchetMS"/>
          <w:lang w:eastAsia="ro-RO"/>
        </w:rPr>
        <w:t xml:space="preserve"> </w:t>
      </w:r>
      <w:r w:rsidRPr="009A6D22">
        <w:rPr>
          <w:rFonts w:ascii="Trebuchet MS" w:hAnsi="Trebuchet MS" w:cs="TrebuchetMS"/>
          <w:lang w:eastAsia="ro-RO"/>
        </w:rPr>
        <w:t xml:space="preserve">la </w:t>
      </w:r>
      <w:r w:rsidR="003C2BF7" w:rsidRPr="003C2BF7">
        <w:rPr>
          <w:rFonts w:ascii="Trebuchet MS" w:eastAsia="Times New Roman" w:hAnsi="Trebuchet MS"/>
          <w:kern w:val="0"/>
          <w:lang w:val="ro-RO" w:bidi="ar-SA"/>
        </w:rPr>
        <w:t>Serviciul de programare bugetară în domeniul securității sociale</w:t>
      </w:r>
      <w:r w:rsidR="003C2BF7" w:rsidRPr="009A6D22">
        <w:rPr>
          <w:rFonts w:ascii="Trebuchet MS" w:hAnsi="Trebuchet MS" w:cs="TrebuchetMS"/>
          <w:lang w:eastAsia="ro-RO"/>
        </w:rPr>
        <w:t xml:space="preserve"> </w:t>
      </w:r>
      <w:r w:rsidR="00C77D56">
        <w:rPr>
          <w:rFonts w:ascii="Trebuchet MS" w:hAnsi="Trebuchet MS" w:cs="TrebuchetMS"/>
          <w:lang w:eastAsia="ro-RO"/>
        </w:rPr>
        <w:t>este anexă</w:t>
      </w:r>
      <w:r w:rsidRPr="009A6D22">
        <w:rPr>
          <w:rFonts w:ascii="Trebuchet MS" w:hAnsi="Trebuchet MS" w:cs="TrebuchetMS"/>
          <w:lang w:eastAsia="ro-RO"/>
        </w:rPr>
        <w:t xml:space="preserve"> la prezentul anunț. </w:t>
      </w:r>
    </w:p>
    <w:p w:rsidR="00F316F5" w:rsidRDefault="00F316F5">
      <w:pPr>
        <w:pStyle w:val="ListParagraph"/>
        <w:widowControl w:val="0"/>
        <w:jc w:val="center"/>
        <w:rPr>
          <w:rFonts w:ascii="Trebuchet MS" w:hAnsi="Trebuchet MS" w:cs="Trebuchet MS"/>
          <w:color w:val="000000"/>
          <w:sz w:val="24"/>
          <w:szCs w:val="24"/>
          <w:lang w:val="ro-RO"/>
        </w:rPr>
      </w:pPr>
    </w:p>
    <w:p w:rsidR="00F316F5" w:rsidRPr="00993C65" w:rsidRDefault="0080346C" w:rsidP="00993C65">
      <w:pPr>
        <w:suppressAutoHyphens/>
        <w:ind w:firstLine="720"/>
        <w:jc w:val="both"/>
        <w:rPr>
          <w:rFonts w:ascii="Trebuchet MS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 xml:space="preserve">Persoana de contact pentru informații suplimentare și pentru depunerea dosarelor de transfer la cerere este doamna </w:t>
      </w:r>
      <w:r w:rsidR="00C77D56">
        <w:rPr>
          <w:rFonts w:ascii="Trebuchet MS" w:eastAsia="Times New Roman" w:hAnsi="Trebuchet MS"/>
          <w:lang w:val="ro-RO"/>
        </w:rPr>
        <w:t>Raluca Păun</w:t>
      </w:r>
      <w:r>
        <w:rPr>
          <w:rFonts w:ascii="Trebuchet MS" w:eastAsia="Times New Roman" w:hAnsi="Trebuchet MS"/>
          <w:lang w:val="ro-RO"/>
        </w:rPr>
        <w:t xml:space="preserve"> - </w:t>
      </w:r>
      <w:r w:rsidR="00C77D56">
        <w:rPr>
          <w:rFonts w:ascii="Trebuchet MS" w:eastAsia="Times New Roman" w:hAnsi="Trebuchet MS"/>
          <w:lang w:val="ro-RO"/>
        </w:rPr>
        <w:t>expert</w:t>
      </w:r>
      <w:r>
        <w:rPr>
          <w:rFonts w:ascii="Trebuchet MS" w:eastAsia="Times New Roman" w:hAnsi="Trebuchet MS"/>
          <w:lang w:val="ro-RO"/>
        </w:rPr>
        <w:t xml:space="preserve"> superior, telefon 021.319.97.59/int.</w:t>
      </w:r>
      <w:r w:rsidR="00C77D56">
        <w:rPr>
          <w:rFonts w:ascii="Trebuchet MS" w:eastAsia="Times New Roman" w:hAnsi="Trebuchet MS"/>
          <w:lang w:val="ro-RO"/>
        </w:rPr>
        <w:t>2125</w:t>
      </w:r>
      <w:r>
        <w:rPr>
          <w:rFonts w:ascii="Trebuchet MS" w:eastAsia="Times New Roman" w:hAnsi="Trebuchet MS"/>
          <w:lang w:val="ro-RO"/>
        </w:rPr>
        <w:t>.</w:t>
      </w:r>
    </w:p>
    <w:sectPr w:rsidR="00F316F5" w:rsidRPr="00993C65" w:rsidSect="00CE5B0F">
      <w:pgSz w:w="12240" w:h="15840"/>
      <w:pgMar w:top="720" w:right="108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4F" w:rsidRDefault="00CE324F" w:rsidP="003C1EA8">
      <w:r>
        <w:separator/>
      </w:r>
    </w:p>
  </w:endnote>
  <w:endnote w:type="continuationSeparator" w:id="0">
    <w:p w:rsidR="00CE324F" w:rsidRDefault="00CE324F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4F" w:rsidRDefault="00CE324F" w:rsidP="003C1EA8">
      <w:r>
        <w:separator/>
      </w:r>
    </w:p>
  </w:footnote>
  <w:footnote w:type="continuationSeparator" w:id="0">
    <w:p w:rsidR="00CE324F" w:rsidRDefault="00CE324F" w:rsidP="003C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36CED"/>
    <w:rsid w:val="00053380"/>
    <w:rsid w:val="000565A5"/>
    <w:rsid w:val="00060B40"/>
    <w:rsid w:val="00067EE1"/>
    <w:rsid w:val="000755AE"/>
    <w:rsid w:val="0008104E"/>
    <w:rsid w:val="000A0992"/>
    <w:rsid w:val="000C0E47"/>
    <w:rsid w:val="000D07A1"/>
    <w:rsid w:val="000E12CA"/>
    <w:rsid w:val="000F0E5E"/>
    <w:rsid w:val="000F23C1"/>
    <w:rsid w:val="000F3628"/>
    <w:rsid w:val="001029CD"/>
    <w:rsid w:val="00110177"/>
    <w:rsid w:val="00117A6E"/>
    <w:rsid w:val="001244E2"/>
    <w:rsid w:val="00126F8E"/>
    <w:rsid w:val="001301EA"/>
    <w:rsid w:val="00130415"/>
    <w:rsid w:val="00140EB7"/>
    <w:rsid w:val="00150088"/>
    <w:rsid w:val="00150CF1"/>
    <w:rsid w:val="00156A38"/>
    <w:rsid w:val="00163FAD"/>
    <w:rsid w:val="0018096E"/>
    <w:rsid w:val="00191BA1"/>
    <w:rsid w:val="001A5F64"/>
    <w:rsid w:val="001B201C"/>
    <w:rsid w:val="001B2095"/>
    <w:rsid w:val="001D611F"/>
    <w:rsid w:val="001E4CFC"/>
    <w:rsid w:val="001E626C"/>
    <w:rsid w:val="001F37C8"/>
    <w:rsid w:val="0020511B"/>
    <w:rsid w:val="00211171"/>
    <w:rsid w:val="002121AB"/>
    <w:rsid w:val="00220D24"/>
    <w:rsid w:val="002212E7"/>
    <w:rsid w:val="00250929"/>
    <w:rsid w:val="00264536"/>
    <w:rsid w:val="002825B7"/>
    <w:rsid w:val="00285301"/>
    <w:rsid w:val="002872DD"/>
    <w:rsid w:val="002A7BB4"/>
    <w:rsid w:val="002C0E6A"/>
    <w:rsid w:val="002C7586"/>
    <w:rsid w:val="002D471C"/>
    <w:rsid w:val="00301398"/>
    <w:rsid w:val="00312CBD"/>
    <w:rsid w:val="00320A98"/>
    <w:rsid w:val="00321276"/>
    <w:rsid w:val="0033139C"/>
    <w:rsid w:val="003344E4"/>
    <w:rsid w:val="0037179D"/>
    <w:rsid w:val="003823FD"/>
    <w:rsid w:val="003933FB"/>
    <w:rsid w:val="003A1040"/>
    <w:rsid w:val="003A3D10"/>
    <w:rsid w:val="003A6D58"/>
    <w:rsid w:val="003B12EA"/>
    <w:rsid w:val="003B4081"/>
    <w:rsid w:val="003B57B8"/>
    <w:rsid w:val="003B676F"/>
    <w:rsid w:val="003C1944"/>
    <w:rsid w:val="003C1EA8"/>
    <w:rsid w:val="003C2BF7"/>
    <w:rsid w:val="003C36F2"/>
    <w:rsid w:val="003C4A1E"/>
    <w:rsid w:val="003D5744"/>
    <w:rsid w:val="003F33E4"/>
    <w:rsid w:val="003F65C4"/>
    <w:rsid w:val="00400206"/>
    <w:rsid w:val="00402EB5"/>
    <w:rsid w:val="004157FF"/>
    <w:rsid w:val="00422988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1DF3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91969"/>
    <w:rsid w:val="0059590F"/>
    <w:rsid w:val="005B0630"/>
    <w:rsid w:val="005C347D"/>
    <w:rsid w:val="005C38B7"/>
    <w:rsid w:val="005C78E1"/>
    <w:rsid w:val="005D3B1E"/>
    <w:rsid w:val="005F0AB6"/>
    <w:rsid w:val="006015CD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A2E"/>
    <w:rsid w:val="00696B5C"/>
    <w:rsid w:val="00696D89"/>
    <w:rsid w:val="006A3476"/>
    <w:rsid w:val="006C1AFA"/>
    <w:rsid w:val="006D4A0C"/>
    <w:rsid w:val="006E08E3"/>
    <w:rsid w:val="006F3E4F"/>
    <w:rsid w:val="006F7A7B"/>
    <w:rsid w:val="007024B1"/>
    <w:rsid w:val="0070628C"/>
    <w:rsid w:val="00707246"/>
    <w:rsid w:val="00710049"/>
    <w:rsid w:val="00710602"/>
    <w:rsid w:val="007340CE"/>
    <w:rsid w:val="0073560C"/>
    <w:rsid w:val="00750187"/>
    <w:rsid w:val="00772058"/>
    <w:rsid w:val="007745CC"/>
    <w:rsid w:val="007751C4"/>
    <w:rsid w:val="00775CCB"/>
    <w:rsid w:val="007776FC"/>
    <w:rsid w:val="00784E75"/>
    <w:rsid w:val="00793A85"/>
    <w:rsid w:val="007A6889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63D4"/>
    <w:rsid w:val="0088109B"/>
    <w:rsid w:val="008834FE"/>
    <w:rsid w:val="008A167E"/>
    <w:rsid w:val="008A6EEE"/>
    <w:rsid w:val="008B1090"/>
    <w:rsid w:val="008B4E70"/>
    <w:rsid w:val="008E0C07"/>
    <w:rsid w:val="008E638A"/>
    <w:rsid w:val="00914D4F"/>
    <w:rsid w:val="00927385"/>
    <w:rsid w:val="009340D1"/>
    <w:rsid w:val="00934A1D"/>
    <w:rsid w:val="00936A62"/>
    <w:rsid w:val="0094050B"/>
    <w:rsid w:val="00942265"/>
    <w:rsid w:val="009479AD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E2EA3"/>
    <w:rsid w:val="009E3EC8"/>
    <w:rsid w:val="009F135B"/>
    <w:rsid w:val="009F2934"/>
    <w:rsid w:val="00A02375"/>
    <w:rsid w:val="00A0683B"/>
    <w:rsid w:val="00A12EBF"/>
    <w:rsid w:val="00A34AD2"/>
    <w:rsid w:val="00A4310A"/>
    <w:rsid w:val="00A44D37"/>
    <w:rsid w:val="00A54668"/>
    <w:rsid w:val="00A6429D"/>
    <w:rsid w:val="00A645EB"/>
    <w:rsid w:val="00A6661A"/>
    <w:rsid w:val="00A745BC"/>
    <w:rsid w:val="00A906E1"/>
    <w:rsid w:val="00A91C65"/>
    <w:rsid w:val="00A93371"/>
    <w:rsid w:val="00A95A1F"/>
    <w:rsid w:val="00A96E57"/>
    <w:rsid w:val="00AA43B5"/>
    <w:rsid w:val="00AB3C9D"/>
    <w:rsid w:val="00AC6649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5AC5"/>
    <w:rsid w:val="00B6422A"/>
    <w:rsid w:val="00B72676"/>
    <w:rsid w:val="00B7278B"/>
    <w:rsid w:val="00B76D65"/>
    <w:rsid w:val="00B911DC"/>
    <w:rsid w:val="00B9295C"/>
    <w:rsid w:val="00B975D4"/>
    <w:rsid w:val="00B97CD1"/>
    <w:rsid w:val="00BC0554"/>
    <w:rsid w:val="00C013D3"/>
    <w:rsid w:val="00C03CAE"/>
    <w:rsid w:val="00C23CDC"/>
    <w:rsid w:val="00C41EF1"/>
    <w:rsid w:val="00C61FDC"/>
    <w:rsid w:val="00C65772"/>
    <w:rsid w:val="00C77D56"/>
    <w:rsid w:val="00C83005"/>
    <w:rsid w:val="00C869ED"/>
    <w:rsid w:val="00CA5D65"/>
    <w:rsid w:val="00CB399E"/>
    <w:rsid w:val="00CB4427"/>
    <w:rsid w:val="00CB7DC8"/>
    <w:rsid w:val="00CC375C"/>
    <w:rsid w:val="00CC45DB"/>
    <w:rsid w:val="00CC4D2D"/>
    <w:rsid w:val="00CD1647"/>
    <w:rsid w:val="00CE324F"/>
    <w:rsid w:val="00CE5B0F"/>
    <w:rsid w:val="00CF229C"/>
    <w:rsid w:val="00CF28F6"/>
    <w:rsid w:val="00CF793D"/>
    <w:rsid w:val="00D00CB2"/>
    <w:rsid w:val="00D11614"/>
    <w:rsid w:val="00D11AE7"/>
    <w:rsid w:val="00D120DB"/>
    <w:rsid w:val="00D15E61"/>
    <w:rsid w:val="00D17638"/>
    <w:rsid w:val="00D2124A"/>
    <w:rsid w:val="00D27BD5"/>
    <w:rsid w:val="00D345B0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C0443"/>
    <w:rsid w:val="00DC1F2D"/>
    <w:rsid w:val="00DC2E3D"/>
    <w:rsid w:val="00DC65BB"/>
    <w:rsid w:val="00DD706E"/>
    <w:rsid w:val="00DF02BE"/>
    <w:rsid w:val="00DF042D"/>
    <w:rsid w:val="00DF668A"/>
    <w:rsid w:val="00E00F96"/>
    <w:rsid w:val="00E16348"/>
    <w:rsid w:val="00E2119E"/>
    <w:rsid w:val="00E2767A"/>
    <w:rsid w:val="00E469D0"/>
    <w:rsid w:val="00E52E12"/>
    <w:rsid w:val="00E63AF7"/>
    <w:rsid w:val="00E64C54"/>
    <w:rsid w:val="00E64E84"/>
    <w:rsid w:val="00E800A1"/>
    <w:rsid w:val="00E83B95"/>
    <w:rsid w:val="00E87B55"/>
    <w:rsid w:val="00EA4EB6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16F5"/>
    <w:rsid w:val="00F4154B"/>
    <w:rsid w:val="00F60AE6"/>
    <w:rsid w:val="00F72DE0"/>
    <w:rsid w:val="00F908B2"/>
    <w:rsid w:val="00FA491A"/>
    <w:rsid w:val="00FB12C7"/>
    <w:rsid w:val="00FC078F"/>
    <w:rsid w:val="00FC2654"/>
    <w:rsid w:val="00FC688C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C1EA8"/>
    <w:rPr>
      <w:rFonts w:ascii="Calibri" w:eastAsia="Times New Roman" w:hAnsi="Calibri" w:cs="Times New Roman"/>
      <w:lang w:val="gsw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3F173-5130-4A32-B0E9-198EF4E3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2025-01-16T12:23:00Z</cp:lastPrinted>
  <dcterms:created xsi:type="dcterms:W3CDTF">2025-01-22T14:12:00Z</dcterms:created>
  <dcterms:modified xsi:type="dcterms:W3CDTF">2025-01-22T14:12:00Z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