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theme/themeOverride3.xml" ContentType="application/vnd.openxmlformats-officedocument.themeOverride+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636F" w:rsidRPr="00C86702" w:rsidRDefault="00AD636F" w:rsidP="00AD636F">
      <w:pPr>
        <w:rPr>
          <w:lang w:val="ro-RO"/>
        </w:rPr>
      </w:pPr>
    </w:p>
    <w:p w:rsidR="00AD636F" w:rsidRPr="00C86702" w:rsidRDefault="00AD636F" w:rsidP="00AD636F">
      <w:pPr>
        <w:widowControl w:val="0"/>
        <w:tabs>
          <w:tab w:val="num" w:pos="1920"/>
        </w:tabs>
        <w:spacing w:line="320" w:lineRule="exact"/>
        <w:rPr>
          <w:rFonts w:ascii="Calibri" w:hAnsi="Calibri" w:cs="Calibri"/>
          <w:color w:val="333399"/>
          <w:sz w:val="32"/>
          <w:szCs w:val="32"/>
        </w:rPr>
      </w:pPr>
      <w:r>
        <w:rPr>
          <w:rFonts w:ascii="Calibri" w:hAnsi="Calibri"/>
          <w:color w:val="333399"/>
        </w:rPr>
        <w:tab/>
      </w:r>
      <w:r>
        <w:rPr>
          <w:rFonts w:ascii="Calibri" w:hAnsi="Calibri"/>
          <w:color w:val="333399"/>
        </w:rPr>
        <w:tab/>
      </w:r>
      <w:r>
        <w:rPr>
          <w:rFonts w:ascii="Calibri" w:hAnsi="Calibri"/>
          <w:color w:val="333399"/>
        </w:rPr>
        <w:tab/>
      </w:r>
    </w:p>
    <w:p w:rsidR="00AD636F" w:rsidRPr="00C86702" w:rsidRDefault="00EE3E16" w:rsidP="00AD636F">
      <w:pPr>
        <w:widowControl w:val="0"/>
        <w:tabs>
          <w:tab w:val="num" w:pos="1920"/>
        </w:tabs>
        <w:spacing w:line="320" w:lineRule="exact"/>
        <w:rPr>
          <w:rFonts w:ascii="Calibri" w:hAnsi="Calibri" w:cs="Calibri"/>
          <w:color w:val="333399"/>
        </w:rPr>
      </w:pPr>
      <w:r>
        <w:rPr>
          <w:rFonts w:ascii="Calibri" w:hAnsi="Calibri"/>
          <w:noProof/>
          <w:color w:val="333399"/>
          <w:sz w:val="56"/>
          <w:szCs w:val="56"/>
          <w:lang w:val="ro-RO" w:eastAsia="ro-RO"/>
        </w:rPr>
        <w:drawing>
          <wp:anchor distT="0" distB="0" distL="114300" distR="114300" simplePos="0" relativeHeight="251651584" behindDoc="1" locked="0" layoutInCell="1" allowOverlap="1">
            <wp:simplePos x="0" y="0"/>
            <wp:positionH relativeFrom="column">
              <wp:posOffset>2533650</wp:posOffset>
            </wp:positionH>
            <wp:positionV relativeFrom="paragraph">
              <wp:posOffset>117475</wp:posOffset>
            </wp:positionV>
            <wp:extent cx="1463040" cy="1463040"/>
            <wp:effectExtent l="0" t="0" r="3810" b="3810"/>
            <wp:wrapNone/>
            <wp:docPr id="19" name="Picture 19" descr="sigla mica coroan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la mica coroana col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anchor>
        </w:drawing>
      </w:r>
    </w:p>
    <w:p w:rsidR="00AD636F" w:rsidRPr="00C86702" w:rsidRDefault="00AD636F" w:rsidP="00AD636F">
      <w:pPr>
        <w:widowControl w:val="0"/>
        <w:tabs>
          <w:tab w:val="num" w:pos="1920"/>
        </w:tabs>
        <w:spacing w:line="320" w:lineRule="exact"/>
        <w:rPr>
          <w:rFonts w:ascii="Calibri" w:hAnsi="Calibri" w:cs="Calibri"/>
          <w:color w:val="333399"/>
          <w:sz w:val="56"/>
          <w:szCs w:val="56"/>
          <w:lang w:val="ro-RO"/>
        </w:rPr>
      </w:pPr>
    </w:p>
    <w:p w:rsidR="00AD636F" w:rsidRPr="00C86702" w:rsidRDefault="00AD636F" w:rsidP="00AD636F">
      <w:pPr>
        <w:widowControl w:val="0"/>
        <w:tabs>
          <w:tab w:val="num" w:pos="1920"/>
        </w:tabs>
        <w:spacing w:line="320" w:lineRule="exact"/>
        <w:rPr>
          <w:rFonts w:ascii="Calibri" w:hAnsi="Calibri" w:cs="Calibri"/>
          <w:color w:val="333399"/>
          <w:sz w:val="56"/>
          <w:szCs w:val="56"/>
          <w:lang w:val="ro-RO"/>
        </w:rPr>
      </w:pPr>
    </w:p>
    <w:p w:rsidR="00AD636F" w:rsidRPr="00C86702" w:rsidRDefault="00AD636F" w:rsidP="00AD636F">
      <w:pPr>
        <w:widowControl w:val="0"/>
        <w:tabs>
          <w:tab w:val="num" w:pos="1920"/>
        </w:tabs>
        <w:spacing w:line="320" w:lineRule="exact"/>
        <w:rPr>
          <w:rFonts w:ascii="Calibri" w:hAnsi="Calibri" w:cs="Calibri"/>
          <w:color w:val="333399"/>
          <w:sz w:val="56"/>
          <w:szCs w:val="56"/>
          <w:lang w:val="ro-RO"/>
        </w:rPr>
      </w:pPr>
    </w:p>
    <w:p w:rsidR="00AD636F" w:rsidRPr="00C86702" w:rsidRDefault="00AD636F" w:rsidP="00AD636F">
      <w:pPr>
        <w:widowControl w:val="0"/>
        <w:tabs>
          <w:tab w:val="num" w:pos="1920"/>
        </w:tabs>
        <w:spacing w:line="320" w:lineRule="exact"/>
        <w:rPr>
          <w:rFonts w:ascii="Calibri" w:hAnsi="Calibri" w:cs="Calibri"/>
          <w:color w:val="333399"/>
          <w:sz w:val="56"/>
          <w:szCs w:val="56"/>
          <w:lang w:val="ro-RO"/>
        </w:rPr>
      </w:pPr>
    </w:p>
    <w:p w:rsidR="00AD636F" w:rsidRPr="00C86702" w:rsidRDefault="00AD636F" w:rsidP="00AD636F">
      <w:pPr>
        <w:rPr>
          <w:rFonts w:ascii="Calibri" w:hAnsi="Calibri" w:cs="Calibri"/>
          <w:sz w:val="56"/>
          <w:szCs w:val="56"/>
          <w:lang w:val="ro-RO"/>
        </w:rPr>
      </w:pPr>
    </w:p>
    <w:p w:rsidR="00AD636F" w:rsidRPr="00C86702" w:rsidRDefault="00AD636F" w:rsidP="00AD636F">
      <w:pPr>
        <w:tabs>
          <w:tab w:val="left" w:pos="3260"/>
        </w:tabs>
        <w:rPr>
          <w:rFonts w:ascii="Calibri" w:hAnsi="Calibri" w:cs="Calibri"/>
          <w:sz w:val="56"/>
          <w:szCs w:val="56"/>
        </w:rPr>
      </w:pPr>
      <w:r>
        <w:rPr>
          <w:rFonts w:ascii="Calibri" w:hAnsi="Calibri"/>
          <w:sz w:val="56"/>
          <w:szCs w:val="56"/>
        </w:rPr>
        <w:tab/>
      </w:r>
    </w:p>
    <w:p w:rsidR="00CD475C" w:rsidRPr="00C86702" w:rsidRDefault="00CD475C" w:rsidP="00AD636F">
      <w:pPr>
        <w:tabs>
          <w:tab w:val="left" w:pos="3260"/>
        </w:tabs>
        <w:rPr>
          <w:rFonts w:ascii="Calibri" w:hAnsi="Calibri" w:cs="Calibri"/>
          <w:sz w:val="56"/>
          <w:szCs w:val="56"/>
          <w:lang w:val="ro-RO"/>
        </w:rPr>
      </w:pPr>
    </w:p>
    <w:p w:rsidR="00AD636F" w:rsidRPr="00C86702" w:rsidRDefault="00573B86" w:rsidP="00573B86">
      <w:pPr>
        <w:tabs>
          <w:tab w:val="left" w:pos="3260"/>
        </w:tabs>
        <w:jc w:val="center"/>
        <w:rPr>
          <w:rFonts w:ascii="Calibri" w:hAnsi="Calibri" w:cs="Calibri"/>
          <w:sz w:val="56"/>
          <w:szCs w:val="56"/>
        </w:rPr>
      </w:pPr>
      <w:r>
        <w:rPr>
          <w:rFonts w:ascii="Arial Narrow" w:hAnsi="Arial Narrow"/>
          <w:b/>
          <w:bCs/>
          <w:color w:val="000080"/>
          <w:sz w:val="40"/>
          <w:szCs w:val="40"/>
        </w:rPr>
        <w:t>GOVERNMENT OF ROMANIA</w:t>
      </w:r>
    </w:p>
    <w:p w:rsidR="00AD636F" w:rsidRPr="00C86702" w:rsidRDefault="00AD636F" w:rsidP="00AD636F">
      <w:pPr>
        <w:tabs>
          <w:tab w:val="left" w:pos="3260"/>
        </w:tabs>
        <w:rPr>
          <w:rFonts w:ascii="Calibri" w:hAnsi="Calibri" w:cs="Calibri"/>
          <w:sz w:val="56"/>
          <w:szCs w:val="56"/>
          <w:lang w:val="ro-RO"/>
        </w:rPr>
      </w:pPr>
    </w:p>
    <w:p w:rsidR="00AD636F" w:rsidRPr="00C86702" w:rsidRDefault="00AD636F" w:rsidP="00AD636F">
      <w:pPr>
        <w:tabs>
          <w:tab w:val="left" w:pos="3260"/>
        </w:tabs>
        <w:rPr>
          <w:rFonts w:ascii="Calibri" w:hAnsi="Calibri" w:cs="Calibri"/>
          <w:sz w:val="56"/>
          <w:szCs w:val="56"/>
          <w:lang w:val="ro-RO"/>
        </w:rPr>
      </w:pPr>
    </w:p>
    <w:tbl>
      <w:tblPr>
        <w:tblW w:w="9480" w:type="dxa"/>
        <w:tblInd w:w="468" w:type="dxa"/>
        <w:shd w:val="clear" w:color="auto" w:fill="FFFFFF"/>
        <w:tblLook w:val="01E0" w:firstRow="1" w:lastRow="1" w:firstColumn="1" w:lastColumn="1" w:noHBand="0" w:noVBand="0"/>
      </w:tblPr>
      <w:tblGrid>
        <w:gridCol w:w="9480"/>
      </w:tblGrid>
      <w:tr w:rsidR="00AD636F" w:rsidRPr="00F751B9">
        <w:trPr>
          <w:trHeight w:val="1154"/>
        </w:trPr>
        <w:tc>
          <w:tcPr>
            <w:tcW w:w="9480" w:type="dxa"/>
            <w:shd w:val="clear" w:color="auto" w:fill="FFFFFF"/>
          </w:tcPr>
          <w:p w:rsidR="00AD636F" w:rsidRPr="00C86702" w:rsidRDefault="00AD636F" w:rsidP="003A3471">
            <w:pPr>
              <w:tabs>
                <w:tab w:val="left" w:pos="3260"/>
              </w:tabs>
              <w:jc w:val="center"/>
              <w:rPr>
                <w:rFonts w:ascii="Arial Narrow" w:hAnsi="Arial Narrow" w:cs="Algerian"/>
                <w:b/>
                <w:bCs/>
                <w:color w:val="000080"/>
                <w:sz w:val="32"/>
                <w:szCs w:val="32"/>
              </w:rPr>
            </w:pPr>
            <w:r>
              <w:rPr>
                <w:rFonts w:ascii="Arial Narrow" w:hAnsi="Arial Narrow"/>
                <w:b/>
                <w:bCs/>
                <w:color w:val="000080"/>
                <w:sz w:val="32"/>
                <w:szCs w:val="32"/>
              </w:rPr>
              <w:t>FISCAL AND BUDGETARY STRATEGY FOR THE PERIOD OF</w:t>
            </w:r>
          </w:p>
          <w:p w:rsidR="00AD636F" w:rsidRPr="00C86702" w:rsidRDefault="00AD636F" w:rsidP="003A3471">
            <w:pPr>
              <w:tabs>
                <w:tab w:val="left" w:pos="3260"/>
              </w:tabs>
              <w:jc w:val="center"/>
              <w:rPr>
                <w:rFonts w:ascii="Arial Narrow" w:hAnsi="Arial Narrow" w:cs="Algerian"/>
                <w:b/>
                <w:bCs/>
                <w:color w:val="000080"/>
                <w:sz w:val="32"/>
                <w:szCs w:val="32"/>
                <w:lang w:val="ro-RO"/>
              </w:rPr>
            </w:pPr>
          </w:p>
          <w:p w:rsidR="00AD636F" w:rsidRDefault="00FC7A4C" w:rsidP="003A3471">
            <w:pPr>
              <w:tabs>
                <w:tab w:val="left" w:pos="3260"/>
              </w:tabs>
              <w:jc w:val="center"/>
              <w:rPr>
                <w:rFonts w:ascii="Arial Narrow" w:hAnsi="Arial Narrow" w:cs="Algerian"/>
                <w:b/>
                <w:bCs/>
                <w:color w:val="000080"/>
                <w:sz w:val="32"/>
                <w:szCs w:val="32"/>
              </w:rPr>
            </w:pPr>
            <w:r>
              <w:rPr>
                <w:rFonts w:ascii="Arial Narrow" w:hAnsi="Arial Narrow"/>
                <w:b/>
                <w:bCs/>
                <w:color w:val="000080"/>
                <w:sz w:val="32"/>
                <w:szCs w:val="32"/>
              </w:rPr>
              <w:t>2019-2021</w:t>
            </w:r>
          </w:p>
          <w:p w:rsidR="00EE3E16" w:rsidRPr="00C86702" w:rsidRDefault="00EE3E16" w:rsidP="003A3471">
            <w:pPr>
              <w:tabs>
                <w:tab w:val="left" w:pos="3260"/>
              </w:tabs>
              <w:jc w:val="center"/>
              <w:rPr>
                <w:rFonts w:ascii="Arial Narrow" w:hAnsi="Arial Narrow" w:cs="Algerian"/>
                <w:b/>
                <w:bCs/>
                <w:color w:val="000080"/>
                <w:sz w:val="32"/>
                <w:szCs w:val="32"/>
                <w:lang w:val="ro-RO"/>
              </w:rPr>
            </w:pPr>
          </w:p>
          <w:p w:rsidR="00AD636F" w:rsidRPr="00C86702" w:rsidRDefault="00AD636F" w:rsidP="003A3471">
            <w:pPr>
              <w:tabs>
                <w:tab w:val="left" w:pos="3260"/>
              </w:tabs>
              <w:jc w:val="center"/>
              <w:rPr>
                <w:rFonts w:ascii="Arial Narrow" w:hAnsi="Arial Narrow" w:cs="Algerian"/>
                <w:b/>
                <w:bCs/>
                <w:color w:val="333399"/>
                <w:sz w:val="48"/>
                <w:szCs w:val="48"/>
                <w:lang w:val="ro-RO"/>
              </w:rPr>
            </w:pPr>
          </w:p>
        </w:tc>
      </w:tr>
    </w:tbl>
    <w:p w:rsidR="00CF16DC" w:rsidRPr="00C86702" w:rsidRDefault="00CF16DC" w:rsidP="00AA6430">
      <w:pPr>
        <w:rPr>
          <w:rFonts w:ascii="Algerian" w:hAnsi="Algerian" w:cs="Algerian"/>
          <w:b/>
          <w:bCs/>
          <w:color w:val="333399"/>
          <w:sz w:val="56"/>
          <w:szCs w:val="56"/>
          <w:lang w:val="ro-RO"/>
        </w:rPr>
      </w:pPr>
    </w:p>
    <w:p w:rsidR="00AD636F" w:rsidRPr="00C86702" w:rsidRDefault="00B22A62" w:rsidP="00FC7A4C">
      <w:pPr>
        <w:ind w:left="839" w:hanging="413"/>
        <w:jc w:val="center"/>
        <w:rPr>
          <w:rFonts w:ascii="Arial Narrow" w:hAnsi="Arial Narrow" w:cs="Arial"/>
          <w:b/>
          <w:bCs/>
          <w:caps/>
          <w:color w:val="000080"/>
          <w:sz w:val="28"/>
          <w:szCs w:val="28"/>
        </w:rPr>
      </w:pPr>
      <w:r>
        <w:rPr>
          <w:rFonts w:ascii="Arial Narrow" w:hAnsi="Arial Narrow"/>
          <w:b/>
          <w:bCs/>
          <w:caps/>
          <w:color w:val="000080"/>
          <w:sz w:val="28"/>
          <w:szCs w:val="28"/>
        </w:rPr>
        <w:t xml:space="preserve">March </w:t>
      </w:r>
    </w:p>
    <w:p w:rsidR="00E56466" w:rsidRPr="00C86702" w:rsidRDefault="00C87516" w:rsidP="00FC7A4C">
      <w:pPr>
        <w:pStyle w:val="BodyText"/>
        <w:ind w:left="839" w:hanging="413"/>
        <w:jc w:val="center"/>
        <w:rPr>
          <w:rFonts w:ascii="Arial Narrow" w:hAnsi="Arial Narrow" w:cs="Arial"/>
          <w:b/>
          <w:color w:val="000080"/>
          <w:sz w:val="28"/>
          <w:szCs w:val="28"/>
        </w:rPr>
      </w:pPr>
      <w:r>
        <w:rPr>
          <w:rFonts w:ascii="Arial Narrow" w:hAnsi="Arial Narrow"/>
          <w:b/>
          <w:color w:val="000080"/>
          <w:sz w:val="28"/>
          <w:szCs w:val="28"/>
        </w:rPr>
        <w:t>2019</w:t>
      </w:r>
    </w:p>
    <w:p w:rsidR="007B3355" w:rsidRDefault="007B3355" w:rsidP="00AD636F">
      <w:pPr>
        <w:jc w:val="center"/>
        <w:rPr>
          <w:rFonts w:ascii="Calibri" w:hAnsi="Calibri" w:cs="Algerian"/>
          <w:b/>
          <w:bCs/>
          <w:color w:val="333399"/>
          <w:lang w:val="ro-RO"/>
        </w:rPr>
      </w:pPr>
    </w:p>
    <w:p w:rsidR="00CF16DC" w:rsidRDefault="00CF16DC" w:rsidP="00AD636F">
      <w:pPr>
        <w:jc w:val="center"/>
        <w:rPr>
          <w:rFonts w:ascii="Calibri" w:hAnsi="Calibri" w:cs="Algerian"/>
          <w:b/>
          <w:bCs/>
          <w:color w:val="333399"/>
          <w:lang w:val="ro-RO"/>
        </w:rPr>
      </w:pPr>
    </w:p>
    <w:p w:rsidR="000820B6" w:rsidRDefault="000820B6" w:rsidP="00AD636F">
      <w:pPr>
        <w:jc w:val="center"/>
        <w:rPr>
          <w:rFonts w:ascii="Calibri" w:hAnsi="Calibri" w:cs="Algerian"/>
          <w:b/>
          <w:bCs/>
          <w:color w:val="333399"/>
          <w:lang w:val="ro-RO"/>
        </w:rPr>
      </w:pPr>
    </w:p>
    <w:p w:rsidR="000820B6" w:rsidRDefault="000820B6" w:rsidP="00AD636F">
      <w:pPr>
        <w:jc w:val="center"/>
        <w:rPr>
          <w:rFonts w:ascii="Calibri" w:hAnsi="Calibri" w:cs="Algerian"/>
          <w:b/>
          <w:bCs/>
          <w:color w:val="333399"/>
          <w:lang w:val="ro-RO"/>
        </w:rPr>
      </w:pPr>
    </w:p>
    <w:p w:rsidR="000820B6" w:rsidRDefault="000820B6" w:rsidP="00AD636F">
      <w:pPr>
        <w:jc w:val="center"/>
        <w:rPr>
          <w:rFonts w:ascii="Calibri" w:hAnsi="Calibri" w:cs="Algerian"/>
          <w:b/>
          <w:bCs/>
          <w:color w:val="333399"/>
          <w:lang w:val="ro-RO"/>
        </w:rPr>
      </w:pPr>
    </w:p>
    <w:p w:rsidR="000820B6" w:rsidRDefault="000820B6" w:rsidP="00AD636F">
      <w:pPr>
        <w:jc w:val="center"/>
        <w:rPr>
          <w:rFonts w:ascii="Calibri" w:hAnsi="Calibri" w:cs="Algerian"/>
          <w:b/>
          <w:bCs/>
          <w:color w:val="333399"/>
          <w:lang w:val="ro-RO"/>
        </w:rPr>
      </w:pPr>
    </w:p>
    <w:p w:rsidR="000820B6" w:rsidRDefault="000820B6" w:rsidP="00AD636F">
      <w:pPr>
        <w:jc w:val="center"/>
        <w:rPr>
          <w:rFonts w:ascii="Calibri" w:hAnsi="Calibri" w:cs="Algerian"/>
          <w:b/>
          <w:bCs/>
          <w:color w:val="333399"/>
          <w:lang w:val="ro-RO"/>
        </w:rPr>
      </w:pPr>
    </w:p>
    <w:p w:rsidR="000820B6" w:rsidRDefault="000820B6" w:rsidP="00AD636F">
      <w:pPr>
        <w:jc w:val="center"/>
        <w:rPr>
          <w:rFonts w:ascii="Calibri" w:hAnsi="Calibri" w:cs="Algerian"/>
          <w:b/>
          <w:bCs/>
          <w:color w:val="333399"/>
          <w:lang w:val="ro-RO"/>
        </w:rPr>
      </w:pPr>
    </w:p>
    <w:p w:rsidR="000820B6" w:rsidRDefault="000820B6" w:rsidP="00AD636F">
      <w:pPr>
        <w:jc w:val="center"/>
        <w:rPr>
          <w:rFonts w:ascii="Calibri" w:hAnsi="Calibri" w:cs="Algerian"/>
          <w:b/>
          <w:bCs/>
          <w:color w:val="333399"/>
          <w:lang w:val="ro-RO"/>
        </w:rPr>
      </w:pPr>
    </w:p>
    <w:p w:rsidR="000820B6" w:rsidRDefault="000820B6" w:rsidP="00AD636F">
      <w:pPr>
        <w:jc w:val="center"/>
        <w:rPr>
          <w:rFonts w:ascii="Calibri" w:hAnsi="Calibri" w:cs="Algerian"/>
          <w:b/>
          <w:bCs/>
          <w:color w:val="333399"/>
          <w:lang w:val="ro-RO"/>
        </w:rPr>
      </w:pPr>
    </w:p>
    <w:p w:rsidR="000820B6" w:rsidRDefault="00584F83" w:rsidP="00AD636F">
      <w:pPr>
        <w:jc w:val="center"/>
        <w:rPr>
          <w:rFonts w:ascii="Calibri" w:hAnsi="Calibri" w:cs="Algerian"/>
          <w:b/>
          <w:bCs/>
          <w:color w:val="333399"/>
        </w:rPr>
      </w:pPr>
      <w:r>
        <w:rPr>
          <w:rFonts w:ascii="Calibri" w:hAnsi="Calibri"/>
          <w:b/>
          <w:bCs/>
          <w:noProof/>
          <w:color w:val="333399"/>
          <w:lang w:val="ro-RO" w:eastAsia="ro-RO"/>
        </w:rPr>
        <w:drawing>
          <wp:anchor distT="0" distB="0" distL="114300" distR="114300" simplePos="0" relativeHeight="251652608" behindDoc="1" locked="0" layoutInCell="1" allowOverlap="1">
            <wp:simplePos x="0" y="0"/>
            <wp:positionH relativeFrom="column">
              <wp:posOffset>2335530</wp:posOffset>
            </wp:positionH>
            <wp:positionV relativeFrom="paragraph">
              <wp:posOffset>83820</wp:posOffset>
            </wp:positionV>
            <wp:extent cx="1833880" cy="688340"/>
            <wp:effectExtent l="0" t="0" r="0" b="0"/>
            <wp:wrapNone/>
            <wp:docPr id="31" name="Picture 31"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RO-FULL-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3880" cy="688340"/>
                    </a:xfrm>
                    <a:prstGeom prst="rect">
                      <a:avLst/>
                    </a:prstGeom>
                    <a:noFill/>
                    <a:ln>
                      <a:noFill/>
                    </a:ln>
                  </pic:spPr>
                </pic:pic>
              </a:graphicData>
            </a:graphic>
          </wp:anchor>
        </w:drawing>
      </w:r>
    </w:p>
    <w:p w:rsidR="000820B6" w:rsidRDefault="000820B6" w:rsidP="008D1FE8">
      <w:pPr>
        <w:rPr>
          <w:rFonts w:ascii="Calibri" w:hAnsi="Calibri" w:cs="Algerian"/>
          <w:b/>
          <w:bCs/>
          <w:color w:val="333399"/>
          <w:lang w:val="ro-RO"/>
        </w:rPr>
      </w:pPr>
    </w:p>
    <w:p w:rsidR="008D1FE8" w:rsidRDefault="008D1FE8" w:rsidP="008D1FE8">
      <w:pPr>
        <w:rPr>
          <w:rFonts w:ascii="Calibri" w:hAnsi="Calibri" w:cs="Algerian"/>
          <w:b/>
          <w:bCs/>
          <w:color w:val="333399"/>
          <w:lang w:val="ro-RO"/>
        </w:rPr>
      </w:pPr>
    </w:p>
    <w:p w:rsidR="007B3355" w:rsidRDefault="007B3355" w:rsidP="00AD636F">
      <w:pPr>
        <w:jc w:val="center"/>
        <w:rPr>
          <w:rFonts w:ascii="Calibri" w:hAnsi="Calibri" w:cs="Algerian"/>
          <w:b/>
          <w:bCs/>
          <w:color w:val="333399"/>
          <w:lang w:val="ro-RO"/>
        </w:rPr>
      </w:pPr>
    </w:p>
    <w:p w:rsidR="007944FB" w:rsidRDefault="007944FB" w:rsidP="00AD636F">
      <w:pPr>
        <w:jc w:val="center"/>
        <w:rPr>
          <w:rFonts w:ascii="Calibri" w:hAnsi="Calibri" w:cs="Algerian"/>
          <w:b/>
          <w:bCs/>
          <w:color w:val="333399"/>
          <w:lang w:val="ro-RO"/>
        </w:rPr>
      </w:pPr>
    </w:p>
    <w:p w:rsidR="007944FB" w:rsidRPr="00C86702" w:rsidRDefault="007944FB" w:rsidP="00AD636F">
      <w:pPr>
        <w:jc w:val="center"/>
        <w:rPr>
          <w:rFonts w:ascii="Calibri" w:hAnsi="Calibri" w:cs="Algerian"/>
          <w:b/>
          <w:bCs/>
          <w:color w:val="333399"/>
          <w:lang w:val="ro-RO"/>
        </w:rPr>
      </w:pPr>
    </w:p>
    <w:tbl>
      <w:tblPr>
        <w:tblW w:w="960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0"/>
      </w:tblGrid>
      <w:tr w:rsidR="00AD636F" w:rsidRPr="00C86702" w:rsidTr="008F5B3C">
        <w:tc>
          <w:tcPr>
            <w:tcW w:w="9600" w:type="dxa"/>
            <w:shd w:val="clear" w:color="auto" w:fill="99CCFF"/>
          </w:tcPr>
          <w:p w:rsidR="00AD636F" w:rsidRPr="00C86702" w:rsidRDefault="00AD636F" w:rsidP="003A3471">
            <w:pPr>
              <w:jc w:val="center"/>
              <w:rPr>
                <w:rFonts w:ascii="Calibri" w:hAnsi="Calibri" w:cs="Arial Narrow"/>
                <w:b/>
                <w:bCs/>
                <w:color w:val="000080"/>
              </w:rPr>
            </w:pPr>
            <w:r>
              <w:rPr>
                <w:rFonts w:ascii="Calibri" w:hAnsi="Calibri"/>
                <w:b/>
                <w:bCs/>
                <w:color w:val="000080"/>
              </w:rPr>
              <w:t>Contents</w:t>
            </w:r>
          </w:p>
          <w:p w:rsidR="00AD636F" w:rsidRPr="00C86702" w:rsidRDefault="00AD636F" w:rsidP="003A3471">
            <w:pPr>
              <w:jc w:val="center"/>
              <w:rPr>
                <w:rFonts w:ascii="Calibri" w:hAnsi="Calibri" w:cs="Arial Narrow"/>
                <w:b/>
                <w:bCs/>
                <w:color w:val="000080"/>
                <w:lang w:val="ro-RO"/>
              </w:rPr>
            </w:pPr>
          </w:p>
        </w:tc>
      </w:tr>
      <w:tr w:rsidR="00AD636F" w:rsidRPr="00C86702" w:rsidTr="008F5B3C">
        <w:tc>
          <w:tcPr>
            <w:tcW w:w="9600" w:type="dxa"/>
            <w:shd w:val="clear" w:color="auto" w:fill="auto"/>
          </w:tcPr>
          <w:p w:rsidR="00AD636F" w:rsidRPr="00C86702" w:rsidRDefault="00AD636F" w:rsidP="003A3471">
            <w:pPr>
              <w:rPr>
                <w:rFonts w:ascii="Calibri" w:hAnsi="Calibri" w:cs="Arial"/>
                <w:b/>
                <w:bCs/>
                <w:color w:val="000080"/>
                <w:lang w:val="ro-RO"/>
              </w:rPr>
            </w:pPr>
          </w:p>
        </w:tc>
      </w:tr>
      <w:tr w:rsidR="00AD636F" w:rsidRPr="00C86702" w:rsidTr="008F5B3C">
        <w:tc>
          <w:tcPr>
            <w:tcW w:w="9600" w:type="dxa"/>
            <w:shd w:val="clear" w:color="auto" w:fill="E0E0E0"/>
          </w:tcPr>
          <w:p w:rsidR="00AD636F" w:rsidRPr="00C86702" w:rsidRDefault="00AD636F" w:rsidP="003A3471">
            <w:pPr>
              <w:rPr>
                <w:rFonts w:ascii="Calibri" w:hAnsi="Calibri" w:cs="Arial"/>
                <w:b/>
                <w:bCs/>
                <w:color w:val="000080"/>
              </w:rPr>
            </w:pPr>
            <w:r>
              <w:rPr>
                <w:rFonts w:ascii="Calibri" w:hAnsi="Calibri"/>
                <w:b/>
                <w:bCs/>
                <w:color w:val="000080"/>
              </w:rPr>
              <w:t xml:space="preserve">1. </w:t>
            </w:r>
            <w:r>
              <w:rPr>
                <w:rFonts w:ascii="Calibri" w:hAnsi="Calibri"/>
                <w:b/>
                <w:color w:val="000080"/>
              </w:rPr>
              <w:t>Objectives of the fiscal and budgetary policy for the horizon 2019-2021</w:t>
            </w:r>
          </w:p>
        </w:tc>
      </w:tr>
      <w:tr w:rsidR="00AD636F" w:rsidRPr="00C86702" w:rsidTr="008F5B3C">
        <w:tc>
          <w:tcPr>
            <w:tcW w:w="9600" w:type="dxa"/>
          </w:tcPr>
          <w:p w:rsidR="00AD636F" w:rsidRPr="00C86702" w:rsidRDefault="00AD636F" w:rsidP="003A3471">
            <w:pPr>
              <w:rPr>
                <w:rFonts w:ascii="Calibri" w:hAnsi="Calibri" w:cs="Arial"/>
                <w:b/>
                <w:bCs/>
                <w:color w:val="000080"/>
                <w:lang w:val="ro-RO"/>
              </w:rPr>
            </w:pPr>
          </w:p>
        </w:tc>
      </w:tr>
      <w:tr w:rsidR="00AD636F" w:rsidRPr="00F751B9" w:rsidTr="008F5B3C">
        <w:tc>
          <w:tcPr>
            <w:tcW w:w="9600" w:type="dxa"/>
            <w:shd w:val="clear" w:color="auto" w:fill="E6E6E6"/>
          </w:tcPr>
          <w:p w:rsidR="00AD636F" w:rsidRPr="00C86702" w:rsidRDefault="00AD636F" w:rsidP="003A3471">
            <w:pPr>
              <w:rPr>
                <w:rFonts w:ascii="Calibri" w:hAnsi="Calibri" w:cs="Arial"/>
                <w:b/>
                <w:bCs/>
                <w:color w:val="000080"/>
              </w:rPr>
            </w:pPr>
            <w:r>
              <w:rPr>
                <w:rFonts w:ascii="Calibri" w:hAnsi="Calibri"/>
                <w:b/>
                <w:bCs/>
                <w:color w:val="000080"/>
              </w:rPr>
              <w:t xml:space="preserve">2. Medium term budget objective </w:t>
            </w:r>
          </w:p>
        </w:tc>
      </w:tr>
      <w:tr w:rsidR="00AD636F" w:rsidRPr="00C86702" w:rsidTr="008F5B3C">
        <w:tc>
          <w:tcPr>
            <w:tcW w:w="9600" w:type="dxa"/>
          </w:tcPr>
          <w:p w:rsidR="00AD636F" w:rsidRPr="00C86702" w:rsidRDefault="00AD636F" w:rsidP="003A3471">
            <w:pPr>
              <w:rPr>
                <w:rFonts w:ascii="Calibri" w:hAnsi="Calibri" w:cs="Arial"/>
                <w:bCs/>
                <w:color w:val="000080"/>
              </w:rPr>
            </w:pPr>
            <w:r>
              <w:rPr>
                <w:rFonts w:ascii="Calibri" w:hAnsi="Calibri"/>
                <w:bCs/>
                <w:color w:val="000080"/>
              </w:rPr>
              <w:t xml:space="preserve">2.1  </w:t>
            </w:r>
            <w:r>
              <w:rPr>
                <w:rFonts w:ascii="Calibri" w:hAnsi="Calibri"/>
                <w:color w:val="000099"/>
              </w:rPr>
              <w:t>Potential GDP and output – gap</w:t>
            </w:r>
          </w:p>
        </w:tc>
      </w:tr>
      <w:tr w:rsidR="00AD636F" w:rsidRPr="00F751B9" w:rsidTr="008F5B3C">
        <w:tc>
          <w:tcPr>
            <w:tcW w:w="9600" w:type="dxa"/>
          </w:tcPr>
          <w:p w:rsidR="00AD636F" w:rsidRPr="00C86702" w:rsidRDefault="00AD636F" w:rsidP="008C5172">
            <w:pPr>
              <w:rPr>
                <w:rFonts w:ascii="Calibri" w:hAnsi="Calibri" w:cs="Arial"/>
                <w:bCs/>
                <w:color w:val="000080"/>
              </w:rPr>
            </w:pPr>
            <w:r>
              <w:rPr>
                <w:rFonts w:ascii="Calibri" w:hAnsi="Calibri"/>
                <w:bCs/>
                <w:color w:val="000080"/>
              </w:rPr>
              <w:t>2.2  Evolution of the structural deficit in the period 2015-2021</w:t>
            </w:r>
          </w:p>
        </w:tc>
      </w:tr>
      <w:tr w:rsidR="00AD636F" w:rsidRPr="00F751B9" w:rsidTr="008F5B3C">
        <w:tc>
          <w:tcPr>
            <w:tcW w:w="9600" w:type="dxa"/>
          </w:tcPr>
          <w:p w:rsidR="00AD636F" w:rsidRPr="00C86702" w:rsidRDefault="00AD636F" w:rsidP="003A3471">
            <w:pPr>
              <w:rPr>
                <w:rFonts w:ascii="Calibri" w:hAnsi="Calibri" w:cs="Arial"/>
                <w:bCs/>
                <w:color w:val="000080"/>
                <w:lang w:val="ro-RO"/>
              </w:rPr>
            </w:pPr>
          </w:p>
        </w:tc>
      </w:tr>
      <w:tr w:rsidR="00AD636F" w:rsidRPr="00C86702" w:rsidTr="008F5B3C">
        <w:tc>
          <w:tcPr>
            <w:tcW w:w="9600" w:type="dxa"/>
            <w:shd w:val="clear" w:color="auto" w:fill="E0E0E0"/>
          </w:tcPr>
          <w:p w:rsidR="00AD636F" w:rsidRPr="00C86702" w:rsidRDefault="00AD636F" w:rsidP="003A3471">
            <w:pPr>
              <w:rPr>
                <w:rFonts w:ascii="Calibri" w:hAnsi="Calibri" w:cs="Arial"/>
                <w:b/>
                <w:bCs/>
                <w:color w:val="000080"/>
              </w:rPr>
            </w:pPr>
            <w:r>
              <w:rPr>
                <w:rFonts w:ascii="Calibri" w:hAnsi="Calibri"/>
                <w:b/>
                <w:bCs/>
                <w:color w:val="000080"/>
              </w:rPr>
              <w:t xml:space="preserve">3. Macroeconomic framework </w:t>
            </w:r>
          </w:p>
        </w:tc>
      </w:tr>
      <w:tr w:rsidR="00AD636F" w:rsidRPr="00C86702" w:rsidTr="008F5B3C">
        <w:tc>
          <w:tcPr>
            <w:tcW w:w="9600" w:type="dxa"/>
          </w:tcPr>
          <w:p w:rsidR="00AD636F" w:rsidRPr="00C86702" w:rsidRDefault="00AD636F" w:rsidP="003A3471">
            <w:pPr>
              <w:rPr>
                <w:rFonts w:ascii="Calibri" w:hAnsi="Calibri" w:cs="Arial"/>
                <w:color w:val="000080"/>
              </w:rPr>
            </w:pPr>
            <w:r>
              <w:rPr>
                <w:rFonts w:ascii="Calibri" w:hAnsi="Calibri"/>
                <w:color w:val="000080"/>
              </w:rPr>
              <w:t xml:space="preserve">3.1 Recent macroeconomic evolutions of the Romanian economy </w:t>
            </w:r>
          </w:p>
        </w:tc>
      </w:tr>
      <w:tr w:rsidR="00AD636F" w:rsidRPr="00C86702" w:rsidTr="008F5B3C">
        <w:tc>
          <w:tcPr>
            <w:tcW w:w="9600" w:type="dxa"/>
          </w:tcPr>
          <w:p w:rsidR="00AD636F" w:rsidRPr="00C86702" w:rsidRDefault="00AD636F" w:rsidP="00AC42B9">
            <w:pPr>
              <w:rPr>
                <w:rFonts w:ascii="Calibri" w:hAnsi="Calibri" w:cs="Arial"/>
                <w:color w:val="000080"/>
              </w:rPr>
            </w:pPr>
            <w:r>
              <w:rPr>
                <w:rFonts w:ascii="Calibri" w:hAnsi="Calibri"/>
                <w:color w:val="000080"/>
              </w:rPr>
              <w:t>3.2 Budget execution in 2017 and preliminary execution of 2018</w:t>
            </w:r>
          </w:p>
        </w:tc>
      </w:tr>
      <w:tr w:rsidR="00AD636F" w:rsidRPr="00C86702" w:rsidTr="008F5B3C">
        <w:tc>
          <w:tcPr>
            <w:tcW w:w="9600" w:type="dxa"/>
          </w:tcPr>
          <w:p w:rsidR="00AD636F" w:rsidRPr="00C86702" w:rsidRDefault="00AD636F" w:rsidP="003A3471">
            <w:pPr>
              <w:rPr>
                <w:rFonts w:ascii="Calibri" w:hAnsi="Calibri" w:cs="Arial"/>
                <w:color w:val="FF0000"/>
              </w:rPr>
            </w:pPr>
            <w:r>
              <w:rPr>
                <w:rFonts w:ascii="Calibri" w:hAnsi="Calibri"/>
                <w:color w:val="000080"/>
              </w:rPr>
              <w:t xml:space="preserve">3.3 Medium-term macroeconomic forecasts (2019-2021) </w:t>
            </w:r>
          </w:p>
        </w:tc>
      </w:tr>
      <w:tr w:rsidR="00AD636F" w:rsidRPr="00C86702" w:rsidTr="008F5B3C">
        <w:tc>
          <w:tcPr>
            <w:tcW w:w="9600" w:type="dxa"/>
          </w:tcPr>
          <w:p w:rsidR="00AD636F" w:rsidRPr="00C86702" w:rsidRDefault="00AD636F" w:rsidP="003A3471">
            <w:pPr>
              <w:rPr>
                <w:rFonts w:ascii="Calibri" w:hAnsi="Calibri" w:cs="Arial"/>
                <w:color w:val="000080"/>
                <w:lang w:val="ro-RO"/>
              </w:rPr>
            </w:pPr>
          </w:p>
        </w:tc>
      </w:tr>
      <w:tr w:rsidR="00AD636F" w:rsidRPr="00C86702" w:rsidTr="008F5B3C">
        <w:trPr>
          <w:trHeight w:val="342"/>
        </w:trPr>
        <w:tc>
          <w:tcPr>
            <w:tcW w:w="9600" w:type="dxa"/>
            <w:shd w:val="clear" w:color="auto" w:fill="E0E0E0"/>
          </w:tcPr>
          <w:p w:rsidR="00AD636F" w:rsidRPr="00C86702" w:rsidRDefault="00AD636F" w:rsidP="003A3471">
            <w:pPr>
              <w:rPr>
                <w:rFonts w:ascii="Calibri" w:hAnsi="Calibri" w:cs="Arial"/>
                <w:b/>
                <w:bCs/>
                <w:color w:val="000080"/>
              </w:rPr>
            </w:pPr>
            <w:r>
              <w:rPr>
                <w:rFonts w:ascii="Calibri" w:hAnsi="Calibri"/>
                <w:b/>
                <w:bCs/>
                <w:color w:val="000080"/>
              </w:rPr>
              <w:t>4. The fiscal and budgetary framework for 2019-2021</w:t>
            </w:r>
          </w:p>
        </w:tc>
      </w:tr>
      <w:tr w:rsidR="00E564D6" w:rsidRPr="00F751B9" w:rsidTr="008F5B3C">
        <w:tc>
          <w:tcPr>
            <w:tcW w:w="9600" w:type="dxa"/>
            <w:shd w:val="clear" w:color="auto" w:fill="auto"/>
          </w:tcPr>
          <w:p w:rsidR="00E564D6" w:rsidRPr="00C86702" w:rsidRDefault="00E564D6" w:rsidP="001762B5">
            <w:pPr>
              <w:ind w:left="330" w:hanging="330"/>
              <w:rPr>
                <w:rFonts w:ascii="Calibri" w:hAnsi="Calibri" w:cs="Arial"/>
                <w:bCs/>
                <w:color w:val="000080"/>
              </w:rPr>
            </w:pPr>
            <w:r>
              <w:rPr>
                <w:rFonts w:ascii="Calibri" w:hAnsi="Calibri"/>
                <w:bCs/>
                <w:color w:val="000080"/>
              </w:rPr>
              <w:t>4.1 Achievements in 2018 relative to the measures undertaken through the previous strategy</w:t>
            </w:r>
          </w:p>
        </w:tc>
      </w:tr>
      <w:tr w:rsidR="00AD636F" w:rsidRPr="00F751B9" w:rsidTr="008F5B3C">
        <w:tc>
          <w:tcPr>
            <w:tcW w:w="9600" w:type="dxa"/>
            <w:shd w:val="clear" w:color="auto" w:fill="auto"/>
          </w:tcPr>
          <w:p w:rsidR="00AD636F" w:rsidRPr="00C86702" w:rsidRDefault="00E564D6" w:rsidP="00457FD5">
            <w:pPr>
              <w:ind w:left="330" w:hanging="330"/>
              <w:rPr>
                <w:rFonts w:ascii="Calibri" w:hAnsi="Calibri" w:cs="Arial"/>
                <w:bCs/>
                <w:color w:val="000080"/>
              </w:rPr>
            </w:pPr>
            <w:r>
              <w:rPr>
                <w:rFonts w:ascii="Calibri" w:hAnsi="Calibri"/>
                <w:bCs/>
                <w:color w:val="000080"/>
              </w:rPr>
              <w:t xml:space="preserve">4.2 </w:t>
            </w:r>
            <w:r>
              <w:rPr>
                <w:rFonts w:asciiTheme="minorHAnsi" w:hAnsiTheme="minorHAnsi"/>
                <w:bCs/>
                <w:color w:val="000099"/>
              </w:rPr>
              <w:t xml:space="preserve">Short characterization of the fiscal policy for 2019-2021, main medium-term objectives </w:t>
            </w:r>
          </w:p>
        </w:tc>
      </w:tr>
      <w:tr w:rsidR="00E564D6" w:rsidRPr="00C86702" w:rsidTr="008F5B3C">
        <w:tc>
          <w:tcPr>
            <w:tcW w:w="9600" w:type="dxa"/>
            <w:shd w:val="clear" w:color="auto" w:fill="FFFFFF"/>
          </w:tcPr>
          <w:p w:rsidR="00E564D6" w:rsidRPr="00C86702" w:rsidRDefault="008F5B3C" w:rsidP="003A3471">
            <w:pPr>
              <w:tabs>
                <w:tab w:val="left" w:pos="6"/>
                <w:tab w:val="left" w:pos="411"/>
              </w:tabs>
              <w:rPr>
                <w:rFonts w:ascii="Calibri" w:hAnsi="Calibri" w:cs="Arial"/>
                <w:color w:val="000080"/>
              </w:rPr>
            </w:pPr>
            <w:r>
              <w:rPr>
                <w:rFonts w:ascii="Calibri" w:hAnsi="Calibri"/>
                <w:color w:val="000080"/>
              </w:rPr>
              <w:t>4.3 Expenditure policy</w:t>
            </w:r>
          </w:p>
        </w:tc>
      </w:tr>
      <w:tr w:rsidR="00AD636F" w:rsidRPr="00C86702" w:rsidTr="008F5B3C">
        <w:tc>
          <w:tcPr>
            <w:tcW w:w="9600" w:type="dxa"/>
            <w:shd w:val="clear" w:color="auto" w:fill="FFFFFF"/>
          </w:tcPr>
          <w:p w:rsidR="00AD636F" w:rsidRPr="00C86702" w:rsidRDefault="008F5B3C" w:rsidP="003A3471">
            <w:pPr>
              <w:tabs>
                <w:tab w:val="left" w:pos="6"/>
                <w:tab w:val="left" w:pos="411"/>
              </w:tabs>
              <w:rPr>
                <w:rFonts w:ascii="Calibri" w:hAnsi="Calibri" w:cs="Arial"/>
                <w:color w:val="000080"/>
              </w:rPr>
            </w:pPr>
            <w:r>
              <w:rPr>
                <w:rFonts w:ascii="Calibri" w:hAnsi="Calibri"/>
                <w:color w:val="000080"/>
              </w:rPr>
              <w:t xml:space="preserve">4.4 Fiscal administration policy </w:t>
            </w:r>
          </w:p>
        </w:tc>
      </w:tr>
      <w:tr w:rsidR="00AD636F" w:rsidRPr="00C86702" w:rsidTr="008F5B3C">
        <w:tc>
          <w:tcPr>
            <w:tcW w:w="9600" w:type="dxa"/>
            <w:shd w:val="clear" w:color="auto" w:fill="FFFFFF"/>
          </w:tcPr>
          <w:p w:rsidR="00AD636F" w:rsidRPr="00C86702" w:rsidRDefault="008F5B3C" w:rsidP="003A3471">
            <w:pPr>
              <w:ind w:left="1152" w:hanging="1146"/>
              <w:rPr>
                <w:rFonts w:ascii="Calibri" w:hAnsi="Calibri" w:cs="Arial"/>
                <w:color w:val="000080"/>
              </w:rPr>
            </w:pPr>
            <w:r>
              <w:rPr>
                <w:rFonts w:ascii="Calibri" w:hAnsi="Calibri"/>
                <w:color w:val="000080"/>
              </w:rPr>
              <w:t xml:space="preserve">4.5 General consolidated budget </w:t>
            </w:r>
          </w:p>
        </w:tc>
      </w:tr>
      <w:tr w:rsidR="00AD636F" w:rsidRPr="00F751B9" w:rsidTr="008F5B3C">
        <w:tc>
          <w:tcPr>
            <w:tcW w:w="9600" w:type="dxa"/>
            <w:shd w:val="clear" w:color="auto" w:fill="FFFFFF"/>
          </w:tcPr>
          <w:p w:rsidR="00AD636F" w:rsidRPr="00C86702" w:rsidRDefault="008F5B3C" w:rsidP="003A3471">
            <w:pPr>
              <w:rPr>
                <w:rFonts w:ascii="Calibri" w:hAnsi="Calibri" w:cs="Arial"/>
                <w:color w:val="000080"/>
              </w:rPr>
            </w:pPr>
            <w:r>
              <w:rPr>
                <w:rFonts w:ascii="Calibri" w:hAnsi="Calibri"/>
                <w:color w:val="000080"/>
              </w:rPr>
              <w:t xml:space="preserve">4.5.1 Recent evolutions and tendencies of the budgetary revenues </w:t>
            </w:r>
          </w:p>
        </w:tc>
      </w:tr>
      <w:tr w:rsidR="00AD636F" w:rsidRPr="00C86702" w:rsidTr="008F5B3C">
        <w:tc>
          <w:tcPr>
            <w:tcW w:w="9600" w:type="dxa"/>
            <w:shd w:val="clear" w:color="auto" w:fill="FFFFFF"/>
          </w:tcPr>
          <w:p w:rsidR="00AD636F" w:rsidRPr="00C86702" w:rsidRDefault="008F5B3C" w:rsidP="003A3471">
            <w:pPr>
              <w:rPr>
                <w:rFonts w:ascii="Calibri" w:hAnsi="Calibri" w:cs="Arial"/>
                <w:color w:val="000080"/>
              </w:rPr>
            </w:pPr>
            <w:r>
              <w:rPr>
                <w:rFonts w:ascii="Calibri" w:hAnsi="Calibri"/>
                <w:color w:val="000080"/>
              </w:rPr>
              <w:t xml:space="preserve">4.5.2 Recent evolutions and tendencies of the budgetary expenditures </w:t>
            </w:r>
          </w:p>
        </w:tc>
      </w:tr>
      <w:tr w:rsidR="00AD636F" w:rsidRPr="00F751B9" w:rsidTr="008F5B3C">
        <w:tc>
          <w:tcPr>
            <w:tcW w:w="9600" w:type="dxa"/>
            <w:shd w:val="clear" w:color="auto" w:fill="FFFFFF"/>
          </w:tcPr>
          <w:p w:rsidR="00AD636F" w:rsidRPr="00C86702" w:rsidRDefault="008F5B3C" w:rsidP="003A3471">
            <w:pPr>
              <w:rPr>
                <w:rFonts w:ascii="Calibri" w:hAnsi="Calibri" w:cs="Arial"/>
                <w:color w:val="000080"/>
              </w:rPr>
            </w:pPr>
            <w:r>
              <w:rPr>
                <w:rFonts w:ascii="Calibri" w:hAnsi="Calibri"/>
                <w:color w:val="000080"/>
              </w:rPr>
              <w:t>4.5.3 Differences from the previous Strategy</w:t>
            </w:r>
          </w:p>
        </w:tc>
      </w:tr>
      <w:tr w:rsidR="00AD636F" w:rsidRPr="00C86702" w:rsidTr="008F5B3C">
        <w:tc>
          <w:tcPr>
            <w:tcW w:w="9600" w:type="dxa"/>
            <w:shd w:val="clear" w:color="auto" w:fill="FFFFFF"/>
          </w:tcPr>
          <w:p w:rsidR="00AD636F" w:rsidRPr="00C86702" w:rsidRDefault="008F5B3C" w:rsidP="003A3471">
            <w:pPr>
              <w:rPr>
                <w:rFonts w:ascii="Calibri" w:hAnsi="Calibri" w:cs="Arial"/>
                <w:color w:val="000080"/>
              </w:rPr>
            </w:pPr>
            <w:r>
              <w:rPr>
                <w:rFonts w:ascii="Calibri" w:hAnsi="Calibri"/>
                <w:color w:val="000080"/>
              </w:rPr>
              <w:t xml:space="preserve">4.6 Public policies </w:t>
            </w:r>
          </w:p>
        </w:tc>
      </w:tr>
      <w:tr w:rsidR="00AD636F" w:rsidRPr="00C86702" w:rsidTr="008F5B3C">
        <w:tc>
          <w:tcPr>
            <w:tcW w:w="9600" w:type="dxa"/>
            <w:shd w:val="clear" w:color="auto" w:fill="FFFFFF"/>
          </w:tcPr>
          <w:p w:rsidR="00AD636F" w:rsidRPr="00C86702" w:rsidRDefault="008F5B3C" w:rsidP="003A3471">
            <w:pPr>
              <w:rPr>
                <w:rFonts w:ascii="Calibri" w:hAnsi="Calibri" w:cs="Arial"/>
                <w:color w:val="000080"/>
              </w:rPr>
            </w:pPr>
            <w:r>
              <w:rPr>
                <w:rFonts w:ascii="Calibri" w:hAnsi="Calibri"/>
                <w:color w:val="000080"/>
              </w:rPr>
              <w:t>4.7 Prioritized significant public investments</w:t>
            </w:r>
          </w:p>
        </w:tc>
      </w:tr>
      <w:tr w:rsidR="00AD636F" w:rsidRPr="00C86702" w:rsidTr="008F5B3C">
        <w:tc>
          <w:tcPr>
            <w:tcW w:w="9600" w:type="dxa"/>
            <w:shd w:val="clear" w:color="auto" w:fill="FFFFFF"/>
          </w:tcPr>
          <w:p w:rsidR="00AD636F" w:rsidRPr="00C86702" w:rsidRDefault="008F5B3C" w:rsidP="003A3471">
            <w:pPr>
              <w:rPr>
                <w:rFonts w:ascii="Calibri" w:hAnsi="Calibri" w:cs="Arial"/>
                <w:color w:val="000080"/>
              </w:rPr>
            </w:pPr>
            <w:r>
              <w:rPr>
                <w:rFonts w:ascii="Calibri" w:hAnsi="Calibri"/>
                <w:color w:val="000080"/>
              </w:rPr>
              <w:t xml:space="preserve">4.8 Policy in the field of European Funds </w:t>
            </w:r>
          </w:p>
        </w:tc>
      </w:tr>
      <w:tr w:rsidR="00AD636F" w:rsidRPr="00F751B9" w:rsidTr="008F5B3C">
        <w:tc>
          <w:tcPr>
            <w:tcW w:w="9600" w:type="dxa"/>
            <w:shd w:val="clear" w:color="auto" w:fill="FFFFFF"/>
            <w:vAlign w:val="center"/>
          </w:tcPr>
          <w:p w:rsidR="00AD636F" w:rsidRPr="00C86702" w:rsidRDefault="008F5B3C" w:rsidP="003A3471">
            <w:pPr>
              <w:rPr>
                <w:rFonts w:ascii="Calibri" w:hAnsi="Calibri" w:cs="Arial"/>
                <w:color w:val="000080"/>
              </w:rPr>
            </w:pPr>
            <w:r>
              <w:rPr>
                <w:rFonts w:ascii="Calibri" w:hAnsi="Calibri"/>
                <w:color w:val="000080"/>
              </w:rPr>
              <w:t xml:space="preserve">4.9 Public debt and financing of budget deficit </w:t>
            </w:r>
          </w:p>
        </w:tc>
      </w:tr>
      <w:tr w:rsidR="00AD636F" w:rsidRPr="00C86702" w:rsidTr="008F5B3C">
        <w:trPr>
          <w:trHeight w:val="284"/>
        </w:trPr>
        <w:tc>
          <w:tcPr>
            <w:tcW w:w="9600" w:type="dxa"/>
            <w:shd w:val="clear" w:color="auto" w:fill="FFFFFF"/>
          </w:tcPr>
          <w:p w:rsidR="00AD636F" w:rsidRPr="00C86702" w:rsidRDefault="008F5B3C" w:rsidP="003A3471">
            <w:pPr>
              <w:rPr>
                <w:rFonts w:ascii="Calibri" w:hAnsi="Calibri" w:cs="Arial"/>
                <w:color w:val="000080"/>
              </w:rPr>
            </w:pPr>
            <w:r>
              <w:rPr>
                <w:rFonts w:ascii="Calibri" w:hAnsi="Calibri"/>
                <w:color w:val="000080"/>
              </w:rPr>
              <w:t>4.10 Ceilings regarding the main budget indicators between 2019 and 2021</w:t>
            </w:r>
          </w:p>
        </w:tc>
      </w:tr>
      <w:tr w:rsidR="00AD636F" w:rsidRPr="00C86702" w:rsidTr="008F5B3C">
        <w:trPr>
          <w:trHeight w:val="284"/>
        </w:trPr>
        <w:tc>
          <w:tcPr>
            <w:tcW w:w="9600" w:type="dxa"/>
            <w:shd w:val="clear" w:color="auto" w:fill="FFFFFF"/>
          </w:tcPr>
          <w:p w:rsidR="00AD636F" w:rsidRPr="00C86702" w:rsidRDefault="008F5B3C" w:rsidP="003A3471">
            <w:pPr>
              <w:rPr>
                <w:rFonts w:ascii="Calibri" w:hAnsi="Calibri" w:cs="Arial"/>
                <w:color w:val="000080"/>
              </w:rPr>
            </w:pPr>
            <w:r>
              <w:rPr>
                <w:rFonts w:ascii="Calibri" w:hAnsi="Calibri"/>
                <w:color w:val="000080"/>
              </w:rPr>
              <w:t>4.11 Possible fiscal and budgetary risks associated with the Fiscal and budgetary strategy for 2019-2021</w:t>
            </w:r>
          </w:p>
        </w:tc>
      </w:tr>
      <w:tr w:rsidR="00AD636F" w:rsidRPr="00C86702" w:rsidTr="008F5B3C">
        <w:tc>
          <w:tcPr>
            <w:tcW w:w="9600" w:type="dxa"/>
            <w:shd w:val="clear" w:color="auto" w:fill="auto"/>
          </w:tcPr>
          <w:p w:rsidR="00AD636F" w:rsidRPr="00C86702" w:rsidRDefault="00AD636F" w:rsidP="003A3471">
            <w:pPr>
              <w:rPr>
                <w:rFonts w:ascii="Calibri" w:hAnsi="Calibri" w:cs="Arial"/>
                <w:b/>
                <w:bCs/>
                <w:color w:val="000080"/>
                <w:lang w:val="ro-RO"/>
              </w:rPr>
            </w:pPr>
          </w:p>
        </w:tc>
      </w:tr>
      <w:tr w:rsidR="00AD636F" w:rsidRPr="00F751B9" w:rsidTr="008F5B3C">
        <w:tc>
          <w:tcPr>
            <w:tcW w:w="9600" w:type="dxa"/>
            <w:shd w:val="clear" w:color="auto" w:fill="E0E0E0"/>
          </w:tcPr>
          <w:p w:rsidR="00AD636F" w:rsidRPr="00C86702" w:rsidRDefault="00AD636F" w:rsidP="003A3471">
            <w:pPr>
              <w:rPr>
                <w:rFonts w:ascii="Calibri" w:hAnsi="Calibri" w:cs="Arial"/>
                <w:b/>
                <w:bCs/>
                <w:color w:val="000080"/>
              </w:rPr>
            </w:pPr>
            <w:r>
              <w:rPr>
                <w:rFonts w:ascii="Calibri" w:hAnsi="Calibri"/>
                <w:b/>
                <w:bCs/>
                <w:color w:val="000080"/>
              </w:rPr>
              <w:t>5. Medium-term expenditure framework (2019-2021)</w:t>
            </w:r>
          </w:p>
        </w:tc>
      </w:tr>
      <w:tr w:rsidR="00AD636F" w:rsidRPr="00F751B9" w:rsidTr="008F5B3C">
        <w:tc>
          <w:tcPr>
            <w:tcW w:w="9600" w:type="dxa"/>
            <w:shd w:val="clear" w:color="auto" w:fill="auto"/>
          </w:tcPr>
          <w:p w:rsidR="00AD636F" w:rsidRPr="00C86702" w:rsidRDefault="00AD636F" w:rsidP="003A3471">
            <w:pPr>
              <w:rPr>
                <w:rFonts w:ascii="Calibri" w:hAnsi="Calibri" w:cs="Arial"/>
                <w:b/>
                <w:bCs/>
                <w:color w:val="000080"/>
                <w:lang w:val="ro-RO"/>
              </w:rPr>
            </w:pPr>
          </w:p>
        </w:tc>
      </w:tr>
      <w:tr w:rsidR="00131B42" w:rsidRPr="00C86702" w:rsidTr="008F5B3C">
        <w:tc>
          <w:tcPr>
            <w:tcW w:w="9600" w:type="dxa"/>
            <w:shd w:val="clear" w:color="auto" w:fill="E7E6E6"/>
          </w:tcPr>
          <w:p w:rsidR="00131B42" w:rsidRPr="00C86702" w:rsidRDefault="00131B42" w:rsidP="003A3471">
            <w:pPr>
              <w:rPr>
                <w:rFonts w:ascii="Calibri" w:hAnsi="Calibri" w:cs="Arial"/>
                <w:b/>
                <w:bCs/>
                <w:color w:val="000080"/>
              </w:rPr>
            </w:pPr>
            <w:r>
              <w:rPr>
                <w:rFonts w:ascii="Calibri" w:hAnsi="Calibri"/>
                <w:b/>
                <w:bCs/>
                <w:color w:val="000080"/>
              </w:rPr>
              <w:t xml:space="preserve">6. Declaration of liability  </w:t>
            </w:r>
          </w:p>
        </w:tc>
      </w:tr>
    </w:tbl>
    <w:p w:rsidR="00AD636F" w:rsidRPr="00C86702" w:rsidRDefault="00AD636F" w:rsidP="00AD636F">
      <w:pPr>
        <w:rPr>
          <w:rFonts w:ascii="Calibri" w:hAnsi="Calibri"/>
          <w:b/>
          <w:color w:val="FFFFFF"/>
          <w:lang w:val="ro-RO"/>
        </w:rPr>
      </w:pPr>
    </w:p>
    <w:p w:rsidR="00AD636F" w:rsidRPr="00C86702" w:rsidRDefault="00AD636F" w:rsidP="00AD636F">
      <w:pPr>
        <w:rPr>
          <w:rFonts w:ascii="Calibri" w:hAnsi="Calibri"/>
          <w:lang w:val="ro-RO"/>
        </w:rPr>
      </w:pPr>
    </w:p>
    <w:p w:rsidR="00AD636F" w:rsidRPr="00C86702" w:rsidRDefault="00AD636F" w:rsidP="00AD636F">
      <w:pPr>
        <w:rPr>
          <w:rFonts w:ascii="Calibri" w:hAnsi="Calibri"/>
          <w:b/>
          <w:color w:val="FFFFFF"/>
          <w:lang w:val="ro-RO"/>
        </w:rPr>
      </w:pPr>
    </w:p>
    <w:p w:rsidR="00E90D19" w:rsidRPr="00C86702" w:rsidRDefault="00E90D19" w:rsidP="00AD636F">
      <w:pPr>
        <w:rPr>
          <w:rFonts w:ascii="Calibri" w:hAnsi="Calibri"/>
          <w:b/>
          <w:color w:val="FFFFFF"/>
          <w:lang w:val="ro-RO"/>
        </w:rPr>
      </w:pPr>
    </w:p>
    <w:p w:rsidR="00E90D19" w:rsidRPr="00C86702" w:rsidRDefault="00E90D19" w:rsidP="00AD636F">
      <w:pPr>
        <w:rPr>
          <w:rFonts w:ascii="Calibri" w:hAnsi="Calibri"/>
          <w:b/>
          <w:color w:val="FFFFFF"/>
          <w:lang w:val="ro-RO"/>
        </w:rPr>
      </w:pPr>
    </w:p>
    <w:p w:rsidR="00E90D19" w:rsidRDefault="00E90D19" w:rsidP="00AD636F">
      <w:pPr>
        <w:rPr>
          <w:rFonts w:ascii="Calibri" w:hAnsi="Calibri"/>
          <w:b/>
          <w:color w:val="FFFFFF"/>
          <w:lang w:val="ro-RO"/>
        </w:rPr>
      </w:pPr>
    </w:p>
    <w:p w:rsidR="007B3355" w:rsidRDefault="007B3355" w:rsidP="00AD636F">
      <w:pPr>
        <w:rPr>
          <w:rFonts w:ascii="Calibri" w:hAnsi="Calibri"/>
          <w:b/>
          <w:color w:val="FFFFFF"/>
          <w:lang w:val="ro-RO"/>
        </w:rPr>
      </w:pPr>
    </w:p>
    <w:p w:rsidR="008D1FE8" w:rsidRPr="00C86702" w:rsidRDefault="008D1FE8" w:rsidP="00AD636F">
      <w:pPr>
        <w:rPr>
          <w:rFonts w:ascii="Calibri" w:hAnsi="Calibri"/>
          <w:b/>
          <w:color w:val="FFFFFF"/>
          <w:lang w:val="ro-RO"/>
        </w:rPr>
      </w:pPr>
    </w:p>
    <w:p w:rsidR="008C5172" w:rsidRDefault="008C5172" w:rsidP="00E564D6">
      <w:pPr>
        <w:rPr>
          <w:rFonts w:ascii="Arial" w:hAnsi="Arial" w:cs="Arial"/>
          <w:b/>
          <w:bCs/>
          <w:color w:val="000080"/>
          <w:sz w:val="36"/>
          <w:szCs w:val="36"/>
          <w:lang w:val="ro-RO"/>
        </w:rPr>
      </w:pPr>
    </w:p>
    <w:p w:rsidR="007944FB" w:rsidRPr="00C86702" w:rsidRDefault="007944FB" w:rsidP="00E564D6">
      <w:pPr>
        <w:rPr>
          <w:rFonts w:ascii="Arial" w:hAnsi="Arial" w:cs="Arial"/>
          <w:b/>
          <w:bCs/>
          <w:color w:val="000080"/>
          <w:sz w:val="36"/>
          <w:szCs w:val="36"/>
          <w:lang w:val="ro-RO"/>
        </w:rPr>
      </w:pPr>
    </w:p>
    <w:p w:rsidR="00BB4EA5" w:rsidRPr="00C86702" w:rsidRDefault="00BB4EA5" w:rsidP="00CB01B4">
      <w:pPr>
        <w:shd w:val="clear" w:color="auto" w:fill="9CC2E5"/>
        <w:rPr>
          <w:rFonts w:ascii="Calibri" w:hAnsi="Calibri"/>
          <w:b/>
          <w:color w:val="000080"/>
        </w:rPr>
      </w:pPr>
      <w:r>
        <w:rPr>
          <w:rFonts w:ascii="Calibri" w:hAnsi="Calibri"/>
          <w:b/>
          <w:color w:val="000080"/>
        </w:rPr>
        <w:lastRenderedPageBreak/>
        <w:t>1. Objectives of the fiscal and budgetary policy for the horizon 2019-2021</w:t>
      </w:r>
    </w:p>
    <w:p w:rsidR="006A425D" w:rsidRPr="002C1741" w:rsidRDefault="006A425D" w:rsidP="006A425D">
      <w:pPr>
        <w:shd w:val="clear" w:color="auto" w:fill="FFFFFF"/>
        <w:spacing w:before="60" w:after="60"/>
        <w:jc w:val="both"/>
        <w:rPr>
          <w:rFonts w:asciiTheme="minorHAnsi" w:hAnsiTheme="minorHAnsi"/>
          <w:color w:val="000000"/>
        </w:rPr>
      </w:pPr>
      <w:r>
        <w:rPr>
          <w:rFonts w:asciiTheme="minorHAnsi" w:hAnsiTheme="minorHAnsi"/>
        </w:rPr>
        <w:t>In the context of an uncertain European framework, marked by the increase of energy prices, the volatility of financial markets, commercial tensions, as well as geopolitical risks, the Member States are aware that they must take concrete measures to consolidate their economies’ resilience to respond to future challenges.</w:t>
      </w:r>
    </w:p>
    <w:p w:rsidR="006A425D" w:rsidRPr="002C1741" w:rsidRDefault="006A425D" w:rsidP="006A425D">
      <w:pPr>
        <w:autoSpaceDE w:val="0"/>
        <w:autoSpaceDN w:val="0"/>
        <w:adjustRightInd w:val="0"/>
        <w:jc w:val="both"/>
        <w:rPr>
          <w:rFonts w:asciiTheme="minorHAnsi" w:hAnsiTheme="minorHAnsi" w:cs="Arial"/>
          <w:b/>
        </w:rPr>
      </w:pPr>
      <w:r>
        <w:rPr>
          <w:rFonts w:asciiTheme="minorHAnsi" w:hAnsiTheme="minorHAnsi"/>
          <w:iCs/>
          <w:color w:val="000000"/>
        </w:rPr>
        <w:t xml:space="preserve"> In this framework, Romania </w:t>
      </w:r>
      <w:r>
        <w:rPr>
          <w:rFonts w:asciiTheme="minorHAnsi" w:hAnsiTheme="minorHAnsi"/>
          <w:b/>
          <w:iCs/>
          <w:color w:val="000000"/>
        </w:rPr>
        <w:t>establishes the following objectives of budget construction for 2019 and the 2020-2021 horizon:</w:t>
      </w:r>
      <w:r>
        <w:rPr>
          <w:rFonts w:asciiTheme="minorHAnsi" w:hAnsiTheme="minorHAnsi"/>
          <w:iCs/>
          <w:color w:val="000000"/>
        </w:rPr>
        <w:t xml:space="preserve"> </w:t>
      </w:r>
    </w:p>
    <w:p w:rsidR="006A425D" w:rsidRPr="002C1741" w:rsidRDefault="006A425D" w:rsidP="006A425D">
      <w:pPr>
        <w:autoSpaceDE w:val="0"/>
        <w:autoSpaceDN w:val="0"/>
        <w:adjustRightInd w:val="0"/>
        <w:jc w:val="both"/>
        <w:rPr>
          <w:rFonts w:asciiTheme="minorHAnsi" w:hAnsiTheme="minorHAnsi" w:cs="Arial"/>
          <w:b/>
          <w:lang w:val="ro-RO"/>
        </w:rPr>
      </w:pPr>
    </w:p>
    <w:tbl>
      <w:tblPr>
        <w:tblW w:w="9782" w:type="dxa"/>
        <w:tblBorders>
          <w:top w:val="single" w:sz="24" w:space="0" w:color="99CCFF"/>
          <w:bottom w:val="single" w:sz="24" w:space="0" w:color="99CCFF"/>
        </w:tblBorders>
        <w:shd w:val="clear" w:color="auto" w:fill="F2F2F2"/>
        <w:tblLook w:val="01E0" w:firstRow="1" w:lastRow="1" w:firstColumn="1" w:lastColumn="1" w:noHBand="0" w:noVBand="0"/>
      </w:tblPr>
      <w:tblGrid>
        <w:gridCol w:w="9782"/>
      </w:tblGrid>
      <w:tr w:rsidR="006A425D" w:rsidRPr="00F751B9" w:rsidTr="00A26041">
        <w:trPr>
          <w:trHeight w:val="5555"/>
        </w:trPr>
        <w:tc>
          <w:tcPr>
            <w:tcW w:w="9782" w:type="dxa"/>
            <w:shd w:val="clear" w:color="auto" w:fill="F2F2F2"/>
          </w:tcPr>
          <w:p w:rsidR="006A425D" w:rsidRPr="002C1741" w:rsidRDefault="006A425D" w:rsidP="006A425D">
            <w:pPr>
              <w:tabs>
                <w:tab w:val="left" w:pos="9106"/>
              </w:tabs>
              <w:autoSpaceDE w:val="0"/>
              <w:autoSpaceDN w:val="0"/>
              <w:adjustRightInd w:val="0"/>
              <w:ind w:left="34" w:right="317"/>
              <w:jc w:val="both"/>
              <w:rPr>
                <w:rFonts w:ascii="Calibri Light" w:hAnsi="Calibri Light" w:cs="Arial"/>
                <w:lang w:val="ro-RO"/>
              </w:rPr>
            </w:pPr>
          </w:p>
          <w:p w:rsidR="006A425D" w:rsidRPr="002C1741" w:rsidRDefault="006A425D" w:rsidP="006A425D">
            <w:pPr>
              <w:numPr>
                <w:ilvl w:val="0"/>
                <w:numId w:val="167"/>
              </w:numPr>
              <w:spacing w:before="120" w:after="100" w:line="269" w:lineRule="auto"/>
              <w:jc w:val="both"/>
              <w:rPr>
                <w:rFonts w:ascii="Calibri" w:eastAsia="Calibri" w:hAnsi="Calibri"/>
              </w:rPr>
            </w:pPr>
            <w:r>
              <w:rPr>
                <w:rFonts w:ascii="Calibri" w:hAnsi="Calibri"/>
                <w:b/>
              </w:rPr>
              <w:t>Stimulating, continuing, consolidating and maintaining smart, sustainable, and inclusive economic growth</w:t>
            </w:r>
            <w:r>
              <w:rPr>
                <w:rFonts w:asciiTheme="minorHAnsi" w:hAnsiTheme="minorHAnsi"/>
              </w:rPr>
              <w:t xml:space="preserve">, meant to provide the premises for consolidating a strong, proactive state and a balance society, in order to increase investor confidence in the Romanian economy; </w:t>
            </w:r>
          </w:p>
          <w:p w:rsidR="006A425D" w:rsidRPr="002C1741" w:rsidRDefault="006A425D" w:rsidP="006A425D">
            <w:pPr>
              <w:numPr>
                <w:ilvl w:val="0"/>
                <w:numId w:val="167"/>
              </w:numPr>
              <w:spacing w:before="120" w:after="100" w:line="269" w:lineRule="auto"/>
              <w:jc w:val="both"/>
              <w:rPr>
                <w:rFonts w:ascii="Calibri" w:eastAsia="Calibri" w:hAnsi="Calibri"/>
                <w:b/>
              </w:rPr>
            </w:pPr>
            <w:r>
              <w:rPr>
                <w:rFonts w:ascii="Calibri" w:hAnsi="Calibri"/>
                <w:b/>
              </w:rPr>
              <w:t>Allocating important amounts to support public investments through prioritization of significant public investments</w:t>
            </w:r>
            <w:r>
              <w:rPr>
                <w:rFonts w:ascii="Calibri" w:hAnsi="Calibri"/>
              </w:rPr>
              <w:t xml:space="preserve"> to ensure infrastructure and services, to improve life quality, </w:t>
            </w:r>
            <w:r>
              <w:rPr>
                <w:rFonts w:ascii="Calibri" w:hAnsi="Calibri"/>
                <w:b/>
              </w:rPr>
              <w:t>with multiplier effect and direct contribution to gross fixed capital formation;</w:t>
            </w:r>
          </w:p>
          <w:p w:rsidR="006A425D" w:rsidRPr="002C1741" w:rsidRDefault="006A425D" w:rsidP="006A425D">
            <w:pPr>
              <w:numPr>
                <w:ilvl w:val="0"/>
                <w:numId w:val="167"/>
              </w:numPr>
              <w:spacing w:before="120" w:after="100" w:line="269" w:lineRule="auto"/>
              <w:jc w:val="both"/>
              <w:rPr>
                <w:rFonts w:ascii="Calibri" w:eastAsia="Calibri" w:hAnsi="Calibri"/>
              </w:rPr>
            </w:pPr>
            <w:r>
              <w:rPr>
                <w:rFonts w:ascii="Calibri" w:hAnsi="Calibri"/>
                <w:b/>
              </w:rPr>
              <w:t>Creating a predictable fiscal policy to support the business environment and stimulate investments in sectors with high added value, simplifying fiscality and making internal processes more fluid,</w:t>
            </w:r>
            <w:r>
              <w:rPr>
                <w:rFonts w:ascii="Calibri" w:hAnsi="Calibri"/>
              </w:rPr>
              <w:t xml:space="preserve"> in order to create the assumption for sustainable economic growth; </w:t>
            </w:r>
          </w:p>
          <w:p w:rsidR="006A425D" w:rsidRPr="002C1741" w:rsidRDefault="006A425D" w:rsidP="006A425D">
            <w:pPr>
              <w:numPr>
                <w:ilvl w:val="0"/>
                <w:numId w:val="167"/>
              </w:numPr>
              <w:spacing w:after="160" w:line="259" w:lineRule="auto"/>
              <w:jc w:val="both"/>
              <w:rPr>
                <w:rFonts w:ascii="Calibri" w:hAnsi="Calibri"/>
                <w:b/>
              </w:rPr>
            </w:pPr>
            <w:r>
              <w:rPr>
                <w:rFonts w:ascii="Calibri" w:hAnsi="Calibri"/>
                <w:b/>
              </w:rPr>
              <w:t xml:space="preserve">Measures adopted by the Government regarding the stimulation of consumption </w:t>
            </w:r>
            <w:r>
              <w:rPr>
                <w:rFonts w:ascii="Calibri" w:hAnsi="Calibri"/>
              </w:rPr>
              <w:t>through the adoption</w:t>
            </w:r>
            <w:r>
              <w:rPr>
                <w:rFonts w:ascii="Calibri" w:hAnsi="Calibri"/>
                <w:b/>
              </w:rPr>
              <w:t xml:space="preserve"> of salary and social measures for assurance of social protection and security for the elderly, the retired and the most vulnerable categories.</w:t>
            </w:r>
          </w:p>
          <w:p w:rsidR="006A425D" w:rsidRPr="002C1741" w:rsidRDefault="006A425D" w:rsidP="006A425D">
            <w:pPr>
              <w:numPr>
                <w:ilvl w:val="0"/>
                <w:numId w:val="167"/>
              </w:numPr>
              <w:spacing w:before="120" w:after="100" w:line="269" w:lineRule="auto"/>
              <w:jc w:val="both"/>
              <w:rPr>
                <w:rFonts w:ascii="Calibri" w:eastAsia="Calibri" w:hAnsi="Calibri"/>
                <w:b/>
                <w:color w:val="000000" w:themeColor="text1"/>
              </w:rPr>
            </w:pPr>
            <w:r>
              <w:rPr>
                <w:rFonts w:ascii="Calibri" w:hAnsi="Calibri"/>
                <w:b/>
                <w:color w:val="000000" w:themeColor="text1"/>
              </w:rPr>
              <w:t xml:space="preserve">Developing and diversifying public debt management instruments;  </w:t>
            </w:r>
          </w:p>
          <w:p w:rsidR="006A425D" w:rsidRPr="002C1741" w:rsidRDefault="006A425D" w:rsidP="006A425D">
            <w:pPr>
              <w:numPr>
                <w:ilvl w:val="0"/>
                <w:numId w:val="167"/>
              </w:numPr>
              <w:autoSpaceDE w:val="0"/>
              <w:autoSpaceDN w:val="0"/>
              <w:adjustRightInd w:val="0"/>
              <w:spacing w:before="120" w:after="100" w:line="280" w:lineRule="exact"/>
              <w:jc w:val="both"/>
              <w:rPr>
                <w:rFonts w:ascii="Calibri Light" w:hAnsi="Calibri Light" w:cs="Arial"/>
              </w:rPr>
            </w:pPr>
            <w:r>
              <w:rPr>
                <w:rFonts w:ascii="Calibri" w:hAnsi="Calibri"/>
                <w:b/>
              </w:rPr>
              <w:t xml:space="preserve">Improving, applying and consolidating budgetary governance, </w:t>
            </w:r>
            <w:r>
              <w:rPr>
                <w:rFonts w:ascii="Calibri" w:hAnsi="Calibri"/>
              </w:rPr>
              <w:t>increasing budgetary transparency and making public spending more efficient</w:t>
            </w:r>
          </w:p>
          <w:p w:rsidR="006A425D" w:rsidRPr="002C1741" w:rsidRDefault="006A425D" w:rsidP="006A425D">
            <w:pPr>
              <w:autoSpaceDE w:val="0"/>
              <w:autoSpaceDN w:val="0"/>
              <w:adjustRightInd w:val="0"/>
              <w:jc w:val="both"/>
              <w:rPr>
                <w:rFonts w:ascii="Calibri Light" w:hAnsi="Calibri Light" w:cs="Arial"/>
                <w:lang w:val="ro-RO"/>
              </w:rPr>
            </w:pPr>
          </w:p>
        </w:tc>
      </w:tr>
    </w:tbl>
    <w:p w:rsidR="006A425D" w:rsidRPr="002C1741" w:rsidRDefault="006A425D" w:rsidP="006A425D">
      <w:pPr>
        <w:spacing w:after="160" w:line="259" w:lineRule="auto"/>
        <w:ind w:left="360"/>
        <w:contextualSpacing/>
        <w:rPr>
          <w:rFonts w:ascii="Calibri" w:eastAsia="Calibri" w:hAnsi="Calibri"/>
          <w:b/>
          <w:color w:val="000080"/>
          <w:lang w:val="ro-RO"/>
        </w:rPr>
      </w:pPr>
    </w:p>
    <w:p w:rsidR="006A425D" w:rsidRPr="002C1741" w:rsidRDefault="006A425D" w:rsidP="006A425D">
      <w:pPr>
        <w:shd w:val="clear" w:color="auto" w:fill="97B0FF"/>
        <w:rPr>
          <w:rFonts w:ascii="Calibri" w:hAnsi="Calibri"/>
          <w:b/>
        </w:rPr>
      </w:pPr>
      <w:r>
        <w:rPr>
          <w:rFonts w:ascii="Calibri" w:hAnsi="Calibri"/>
          <w:b/>
        </w:rPr>
        <w:t>EXTENSIVE PRESENTATION OF THE OBJECTIVES AND MACROECONOMIC INDICATORS</w:t>
      </w:r>
    </w:p>
    <w:p w:rsidR="006A425D" w:rsidRPr="002C1741" w:rsidRDefault="006A425D" w:rsidP="006A425D">
      <w:pPr>
        <w:shd w:val="clear" w:color="auto" w:fill="97B0FF"/>
        <w:rPr>
          <w:rFonts w:ascii="Calibri" w:hAnsi="Calibri"/>
          <w:b/>
          <w:lang w:val="ro-RO"/>
        </w:rPr>
      </w:pPr>
    </w:p>
    <w:p w:rsidR="006A425D" w:rsidRPr="002C1741" w:rsidRDefault="006A425D" w:rsidP="006A425D">
      <w:pPr>
        <w:spacing w:after="160" w:line="259" w:lineRule="auto"/>
        <w:ind w:left="360"/>
        <w:contextualSpacing/>
        <w:rPr>
          <w:rFonts w:ascii="Calibri" w:eastAsia="Calibri" w:hAnsi="Calibri"/>
          <w:b/>
          <w:color w:val="000080"/>
          <w:lang w:val="ro-RO"/>
        </w:rPr>
      </w:pPr>
    </w:p>
    <w:p w:rsidR="006A425D" w:rsidRPr="002C1741" w:rsidRDefault="006A425D" w:rsidP="006A425D">
      <w:pPr>
        <w:widowControl w:val="0"/>
        <w:numPr>
          <w:ilvl w:val="0"/>
          <w:numId w:val="169"/>
        </w:numPr>
        <w:shd w:val="clear" w:color="auto" w:fill="DEEAF6" w:themeFill="accent1" w:themeFillTint="33"/>
        <w:autoSpaceDE w:val="0"/>
        <w:autoSpaceDN w:val="0"/>
        <w:adjustRightInd w:val="0"/>
        <w:spacing w:line="320" w:lineRule="exact"/>
        <w:ind w:left="284" w:hanging="284"/>
        <w:contextualSpacing/>
        <w:jc w:val="both"/>
        <w:rPr>
          <w:rFonts w:ascii="Calibri" w:eastAsia="Calibri" w:hAnsi="Calibri" w:cs="Calibri"/>
          <w:b/>
          <w:color w:val="000000" w:themeColor="text1"/>
          <w:szCs w:val="22"/>
        </w:rPr>
      </w:pPr>
      <w:r>
        <w:rPr>
          <w:rFonts w:ascii="Calibri" w:hAnsi="Calibri"/>
          <w:b/>
          <w:color w:val="000000" w:themeColor="text1"/>
          <w:szCs w:val="22"/>
        </w:rPr>
        <w:t>Stimulating, continuing, consolidating and maintaining smart, sustainable, and inclusive economic growth, meant to provide the premises for consolidating a strong, proactive state and a balance society, in order to increase the investor confidence in the Romanian economy</w:t>
      </w:r>
    </w:p>
    <w:p w:rsidR="006A425D" w:rsidRPr="003964D3" w:rsidRDefault="006A425D" w:rsidP="006A425D">
      <w:pPr>
        <w:widowControl w:val="0"/>
        <w:autoSpaceDE w:val="0"/>
        <w:autoSpaceDN w:val="0"/>
        <w:adjustRightInd w:val="0"/>
        <w:spacing w:line="320" w:lineRule="exact"/>
        <w:jc w:val="both"/>
        <w:rPr>
          <w:rFonts w:ascii="Calibri" w:eastAsia="Calibri" w:hAnsi="Calibri" w:cs="Calibri"/>
          <w:lang w:val="ro-RO"/>
        </w:rPr>
      </w:pPr>
    </w:p>
    <w:p w:rsidR="006A425D" w:rsidRPr="002C1741" w:rsidRDefault="006A425D" w:rsidP="006A425D">
      <w:pPr>
        <w:keepNext/>
        <w:spacing w:before="120"/>
        <w:contextualSpacing/>
        <w:jc w:val="both"/>
        <w:rPr>
          <w:rFonts w:ascii="Calibri" w:hAnsi="Calibri"/>
          <w:color w:val="000000" w:themeColor="text1"/>
        </w:rPr>
      </w:pPr>
      <w:r>
        <w:rPr>
          <w:rFonts w:ascii="Calibri" w:hAnsi="Calibri"/>
        </w:rPr>
        <w:t xml:space="preserve">The macroeconomic framework configured for 2019-2021 has taken into consideration: </w:t>
      </w:r>
      <w:r>
        <w:rPr>
          <w:rFonts w:ascii="Calibri" w:hAnsi="Calibri"/>
          <w:b/>
        </w:rPr>
        <w:t>(i)</w:t>
      </w:r>
      <w:r>
        <w:rPr>
          <w:rFonts w:ascii="Calibri" w:hAnsi="Calibri"/>
        </w:rPr>
        <w:t xml:space="preserve"> the positive impact of the fiscal and budgetary measures taken so far on the business environment and on the population’s purchase power; </w:t>
      </w:r>
      <w:r>
        <w:rPr>
          <w:rFonts w:ascii="Calibri" w:hAnsi="Calibri"/>
          <w:b/>
        </w:rPr>
        <w:t>(ii)</w:t>
      </w:r>
      <w:r>
        <w:rPr>
          <w:rFonts w:ascii="Calibri" w:hAnsi="Calibri"/>
        </w:rPr>
        <w:t xml:space="preserve"> the European and global framework, emphasized in the fall forecasts of the European Commission, and characterized by economic growth, but a less dynamic one, on the background of a higher degree of uncertainty, the increase of </w:t>
      </w:r>
      <w:r>
        <w:rPr>
          <w:rFonts w:ascii="Verdana" w:hAnsi="Verdana"/>
          <w:color w:val="000000"/>
          <w:sz w:val="20"/>
          <w:szCs w:val="20"/>
          <w:shd w:val="clear" w:color="auto" w:fill="FFFFFF"/>
        </w:rPr>
        <w:t xml:space="preserve">commercial tensions, the increase of oil prices, tensed financial markets, marked by multiple negative interconnected evolution risks; </w:t>
      </w:r>
      <w:r>
        <w:rPr>
          <w:rFonts w:ascii="Calibri" w:hAnsi="Calibri"/>
          <w:b/>
        </w:rPr>
        <w:t>(iii)</w:t>
      </w:r>
      <w:r>
        <w:rPr>
          <w:rFonts w:ascii="Calibri" w:hAnsi="Calibri"/>
        </w:rPr>
        <w:t xml:space="preserve"> the economic and social achievements of 2017 and 2018 until the present, aspects which will form the basis of substantiation of the budget indicators for 2019 and the </w:t>
      </w:r>
      <w:r>
        <w:rPr>
          <w:rFonts w:ascii="Calibri" w:hAnsi="Calibri"/>
        </w:rPr>
        <w:lastRenderedPageBreak/>
        <w:t>reference horizon 2020-2021, thus ensuring the predictable and sustainable nature thereof. Considering the evolution of the economic growth potential, for the period of 2019-2021 it is estimated that the Romanian economy will continue its sustained growth, being possible an increase of the gross domestic product by 5.4% yearly, on average.</w:t>
      </w:r>
      <w:r>
        <w:rPr>
          <w:rFonts w:ascii="Calibri" w:hAnsi="Calibri"/>
          <w:color w:val="000000" w:themeColor="text1"/>
        </w:rPr>
        <w:t xml:space="preserve"> </w:t>
      </w:r>
    </w:p>
    <w:p w:rsidR="006A425D" w:rsidRDefault="006A425D" w:rsidP="006A425D">
      <w:pPr>
        <w:keepNext/>
        <w:spacing w:before="120"/>
        <w:contextualSpacing/>
        <w:jc w:val="both"/>
        <w:rPr>
          <w:rFonts w:ascii="Calibri" w:hAnsi="Calibri"/>
          <w:color w:val="000000" w:themeColor="text1"/>
          <w:lang w:val="ro-RO"/>
        </w:rPr>
      </w:pPr>
    </w:p>
    <w:p w:rsidR="006A425D" w:rsidRDefault="006A425D" w:rsidP="006A425D">
      <w:pPr>
        <w:keepNext/>
        <w:spacing w:before="120"/>
        <w:contextualSpacing/>
        <w:jc w:val="both"/>
        <w:rPr>
          <w:rFonts w:ascii="Calibri" w:hAnsi="Calibri"/>
          <w:color w:val="000000" w:themeColor="text1"/>
          <w:lang w:val="ro-RO"/>
        </w:rPr>
      </w:pPr>
    </w:p>
    <w:tbl>
      <w:tblPr>
        <w:tblW w:w="8495" w:type="dxa"/>
        <w:jc w:val="center"/>
        <w:tblLook w:val="04A0" w:firstRow="1" w:lastRow="0" w:firstColumn="1" w:lastColumn="0" w:noHBand="0" w:noVBand="1"/>
      </w:tblPr>
      <w:tblGrid>
        <w:gridCol w:w="3959"/>
        <w:gridCol w:w="993"/>
        <w:gridCol w:w="850"/>
        <w:gridCol w:w="851"/>
        <w:gridCol w:w="992"/>
        <w:gridCol w:w="850"/>
      </w:tblGrid>
      <w:tr w:rsidR="006A425D" w:rsidRPr="00F751B9" w:rsidTr="006A425D">
        <w:trPr>
          <w:trHeight w:val="255"/>
          <w:jc w:val="center"/>
        </w:trPr>
        <w:tc>
          <w:tcPr>
            <w:tcW w:w="6653" w:type="dxa"/>
            <w:gridSpan w:val="4"/>
            <w:tcBorders>
              <w:top w:val="nil"/>
              <w:left w:val="nil"/>
              <w:bottom w:val="nil"/>
              <w:right w:val="nil"/>
            </w:tcBorders>
            <w:shd w:val="clear" w:color="CCCCFF" w:fill="99CCFF"/>
            <w:noWrap/>
            <w:vAlign w:val="bottom"/>
          </w:tcPr>
          <w:p w:rsidR="006A425D" w:rsidRPr="00FA16B0" w:rsidRDefault="006A425D" w:rsidP="006A425D">
            <w:pPr>
              <w:ind w:left="1442"/>
              <w:jc w:val="center"/>
              <w:rPr>
                <w:rFonts w:ascii="Calibri" w:hAnsi="Calibri" w:cs="Arial"/>
                <w:b/>
                <w:bCs/>
              </w:rPr>
            </w:pPr>
            <w:r>
              <w:rPr>
                <w:rFonts w:ascii="Calibri" w:hAnsi="Calibri"/>
                <w:b/>
                <w:bCs/>
              </w:rPr>
              <w:t>Projection of the budget indicators for 2017-2021</w:t>
            </w:r>
          </w:p>
        </w:tc>
        <w:tc>
          <w:tcPr>
            <w:tcW w:w="992" w:type="dxa"/>
            <w:tcBorders>
              <w:top w:val="nil"/>
              <w:left w:val="nil"/>
              <w:bottom w:val="nil"/>
              <w:right w:val="nil"/>
            </w:tcBorders>
            <w:shd w:val="clear" w:color="CCCCFF" w:fill="99CCFF"/>
          </w:tcPr>
          <w:p w:rsidR="006A425D" w:rsidRPr="00FA16B0" w:rsidRDefault="006A425D" w:rsidP="006A425D">
            <w:pPr>
              <w:jc w:val="center"/>
              <w:rPr>
                <w:rFonts w:ascii="Calibri" w:hAnsi="Calibri" w:cs="Arial"/>
                <w:b/>
                <w:bCs/>
                <w:lang w:val="ro-RO" w:eastAsia="ro-RO"/>
              </w:rPr>
            </w:pPr>
          </w:p>
        </w:tc>
        <w:tc>
          <w:tcPr>
            <w:tcW w:w="850" w:type="dxa"/>
            <w:tcBorders>
              <w:top w:val="nil"/>
              <w:left w:val="nil"/>
              <w:bottom w:val="nil"/>
              <w:right w:val="nil"/>
            </w:tcBorders>
            <w:shd w:val="clear" w:color="CCCCFF" w:fill="99CCFF"/>
          </w:tcPr>
          <w:p w:rsidR="006A425D" w:rsidRPr="00FA16B0" w:rsidRDefault="006A425D" w:rsidP="006A425D">
            <w:pPr>
              <w:jc w:val="center"/>
              <w:rPr>
                <w:rFonts w:ascii="Calibri" w:hAnsi="Calibri" w:cs="Arial"/>
                <w:b/>
                <w:bCs/>
                <w:lang w:val="ro-RO" w:eastAsia="ro-RO"/>
              </w:rPr>
            </w:pPr>
          </w:p>
        </w:tc>
      </w:tr>
      <w:tr w:rsidR="006A425D" w:rsidRPr="00FA16B0" w:rsidTr="006A425D">
        <w:trPr>
          <w:trHeight w:val="330"/>
          <w:jc w:val="center"/>
        </w:trPr>
        <w:tc>
          <w:tcPr>
            <w:tcW w:w="3959" w:type="dxa"/>
            <w:tcBorders>
              <w:top w:val="nil"/>
              <w:left w:val="nil"/>
              <w:bottom w:val="nil"/>
              <w:right w:val="nil"/>
            </w:tcBorders>
            <w:shd w:val="clear" w:color="CCCCFF" w:fill="99CCFF"/>
            <w:noWrap/>
            <w:vAlign w:val="bottom"/>
          </w:tcPr>
          <w:p w:rsidR="006A425D" w:rsidRPr="00FA16B0" w:rsidRDefault="006A425D" w:rsidP="006A425D">
            <w:pPr>
              <w:rPr>
                <w:rFonts w:ascii="Calibri" w:hAnsi="Calibri" w:cs="Arial"/>
                <w:b/>
                <w:bCs/>
              </w:rPr>
            </w:pPr>
            <w:r>
              <w:rPr>
                <w:rFonts w:ascii="Calibri" w:hAnsi="Calibri"/>
                <w:b/>
                <w:bCs/>
              </w:rPr>
              <w:t> </w:t>
            </w:r>
          </w:p>
        </w:tc>
        <w:tc>
          <w:tcPr>
            <w:tcW w:w="993" w:type="dxa"/>
            <w:tcBorders>
              <w:top w:val="nil"/>
              <w:left w:val="nil"/>
              <w:bottom w:val="nil"/>
              <w:right w:val="nil"/>
            </w:tcBorders>
            <w:shd w:val="clear" w:color="CCCCFF" w:fill="99CCFF"/>
            <w:noWrap/>
            <w:vAlign w:val="bottom"/>
          </w:tcPr>
          <w:p w:rsidR="006A425D" w:rsidRPr="00FA16B0" w:rsidRDefault="006A425D" w:rsidP="006A425D">
            <w:pPr>
              <w:rPr>
                <w:rFonts w:ascii="Calibri" w:hAnsi="Calibri" w:cs="Arial"/>
              </w:rPr>
            </w:pPr>
            <w:r>
              <w:rPr>
                <w:rFonts w:ascii="Calibri" w:hAnsi="Calibri"/>
              </w:rPr>
              <w:t> </w:t>
            </w:r>
          </w:p>
        </w:tc>
        <w:tc>
          <w:tcPr>
            <w:tcW w:w="1701" w:type="dxa"/>
            <w:gridSpan w:val="2"/>
            <w:tcBorders>
              <w:top w:val="nil"/>
              <w:left w:val="nil"/>
              <w:bottom w:val="nil"/>
              <w:right w:val="nil"/>
            </w:tcBorders>
            <w:shd w:val="clear" w:color="CCCCFF" w:fill="99CCFF"/>
            <w:noWrap/>
            <w:vAlign w:val="bottom"/>
          </w:tcPr>
          <w:p w:rsidR="006A425D" w:rsidRPr="00FA16B0" w:rsidRDefault="006A425D" w:rsidP="006A425D">
            <w:pPr>
              <w:jc w:val="right"/>
              <w:rPr>
                <w:rFonts w:ascii="Calibri" w:hAnsi="Calibri" w:cs="Arial"/>
              </w:rPr>
            </w:pPr>
            <w:r>
              <w:rPr>
                <w:rFonts w:ascii="Calibri" w:hAnsi="Calibri"/>
              </w:rPr>
              <w:t>- % of GDP</w:t>
            </w:r>
          </w:p>
        </w:tc>
        <w:tc>
          <w:tcPr>
            <w:tcW w:w="992" w:type="dxa"/>
            <w:tcBorders>
              <w:top w:val="nil"/>
              <w:left w:val="nil"/>
              <w:bottom w:val="nil"/>
              <w:right w:val="nil"/>
            </w:tcBorders>
            <w:shd w:val="clear" w:color="CCCCFF" w:fill="99CCFF"/>
          </w:tcPr>
          <w:p w:rsidR="006A425D" w:rsidRPr="00FA16B0" w:rsidRDefault="006A425D" w:rsidP="006A425D">
            <w:pPr>
              <w:jc w:val="right"/>
              <w:rPr>
                <w:rFonts w:ascii="Calibri" w:hAnsi="Calibri" w:cs="Arial"/>
                <w:lang w:val="ro-RO" w:eastAsia="ro-RO"/>
              </w:rPr>
            </w:pPr>
          </w:p>
        </w:tc>
        <w:tc>
          <w:tcPr>
            <w:tcW w:w="850" w:type="dxa"/>
            <w:tcBorders>
              <w:top w:val="nil"/>
              <w:left w:val="nil"/>
              <w:bottom w:val="nil"/>
              <w:right w:val="nil"/>
            </w:tcBorders>
            <w:shd w:val="clear" w:color="CCCCFF" w:fill="99CCFF"/>
          </w:tcPr>
          <w:p w:rsidR="006A425D" w:rsidRPr="00FA16B0" w:rsidRDefault="006A425D" w:rsidP="006A425D">
            <w:pPr>
              <w:jc w:val="right"/>
              <w:rPr>
                <w:rFonts w:ascii="Calibri" w:hAnsi="Calibri" w:cs="Arial"/>
                <w:lang w:val="ro-RO" w:eastAsia="ro-RO"/>
              </w:rPr>
            </w:pPr>
          </w:p>
        </w:tc>
      </w:tr>
      <w:tr w:rsidR="006A425D" w:rsidRPr="00FA16B0" w:rsidTr="006A425D">
        <w:trPr>
          <w:trHeight w:val="330"/>
          <w:jc w:val="center"/>
        </w:trPr>
        <w:tc>
          <w:tcPr>
            <w:tcW w:w="3959" w:type="dxa"/>
            <w:tcBorders>
              <w:top w:val="single" w:sz="8" w:space="0" w:color="auto"/>
              <w:left w:val="single" w:sz="8" w:space="0" w:color="auto"/>
              <w:bottom w:val="nil"/>
              <w:right w:val="nil"/>
            </w:tcBorders>
            <w:shd w:val="clear" w:color="CCCCFF" w:fill="99CCFF"/>
            <w:noWrap/>
            <w:vAlign w:val="bottom"/>
          </w:tcPr>
          <w:p w:rsidR="006A425D" w:rsidRPr="00FA16B0" w:rsidRDefault="006A425D" w:rsidP="006A425D">
            <w:pPr>
              <w:jc w:val="center"/>
              <w:rPr>
                <w:rFonts w:ascii="Calibri" w:hAnsi="Calibri" w:cs="Arial"/>
                <w:b/>
                <w:bCs/>
              </w:rPr>
            </w:pPr>
            <w:r>
              <w:rPr>
                <w:rFonts w:ascii="Calibri" w:hAnsi="Calibri"/>
                <w:b/>
                <w:bCs/>
              </w:rPr>
              <w:t> </w:t>
            </w:r>
          </w:p>
        </w:tc>
        <w:tc>
          <w:tcPr>
            <w:tcW w:w="993" w:type="dxa"/>
            <w:tcBorders>
              <w:top w:val="single" w:sz="8" w:space="0" w:color="auto"/>
              <w:left w:val="single" w:sz="8" w:space="0" w:color="auto"/>
              <w:bottom w:val="single" w:sz="8" w:space="0" w:color="auto"/>
              <w:right w:val="single" w:sz="8" w:space="0" w:color="auto"/>
            </w:tcBorders>
            <w:shd w:val="clear" w:color="CCCCFF" w:fill="99CCFF"/>
            <w:noWrap/>
            <w:vAlign w:val="center"/>
          </w:tcPr>
          <w:p w:rsidR="006A425D" w:rsidRPr="00FA16B0" w:rsidRDefault="006A425D" w:rsidP="006A425D">
            <w:pPr>
              <w:jc w:val="center"/>
              <w:rPr>
                <w:rFonts w:ascii="Calibri" w:hAnsi="Calibri" w:cs="Arial"/>
                <w:b/>
                <w:bCs/>
              </w:rPr>
            </w:pPr>
            <w:r>
              <w:rPr>
                <w:rFonts w:ascii="Calibri" w:hAnsi="Calibri"/>
                <w:b/>
                <w:bCs/>
              </w:rPr>
              <w:t>2017</w:t>
            </w:r>
          </w:p>
        </w:tc>
        <w:tc>
          <w:tcPr>
            <w:tcW w:w="850" w:type="dxa"/>
            <w:tcBorders>
              <w:top w:val="single" w:sz="8" w:space="0" w:color="auto"/>
              <w:left w:val="nil"/>
              <w:bottom w:val="single" w:sz="8" w:space="0" w:color="auto"/>
              <w:right w:val="single" w:sz="8" w:space="0" w:color="auto"/>
            </w:tcBorders>
            <w:shd w:val="clear" w:color="CCCCFF" w:fill="99CCFF"/>
            <w:noWrap/>
            <w:vAlign w:val="center"/>
          </w:tcPr>
          <w:p w:rsidR="006A425D" w:rsidRPr="00FA16B0" w:rsidRDefault="006A425D" w:rsidP="006A425D">
            <w:pPr>
              <w:jc w:val="center"/>
              <w:rPr>
                <w:rFonts w:ascii="Calibri" w:hAnsi="Calibri" w:cs="Arial"/>
                <w:b/>
                <w:bCs/>
              </w:rPr>
            </w:pPr>
            <w:r>
              <w:rPr>
                <w:rFonts w:ascii="Calibri" w:hAnsi="Calibri"/>
                <w:b/>
                <w:bCs/>
              </w:rPr>
              <w:t>2018</w:t>
            </w:r>
          </w:p>
        </w:tc>
        <w:tc>
          <w:tcPr>
            <w:tcW w:w="851" w:type="dxa"/>
            <w:tcBorders>
              <w:top w:val="single" w:sz="8" w:space="0" w:color="auto"/>
              <w:left w:val="nil"/>
              <w:bottom w:val="single" w:sz="8" w:space="0" w:color="auto"/>
              <w:right w:val="single" w:sz="8" w:space="0" w:color="auto"/>
            </w:tcBorders>
            <w:shd w:val="clear" w:color="CCCCFF" w:fill="99CCFF"/>
            <w:noWrap/>
            <w:vAlign w:val="center"/>
          </w:tcPr>
          <w:p w:rsidR="006A425D" w:rsidRPr="00FA16B0" w:rsidRDefault="006A425D" w:rsidP="006A425D">
            <w:pPr>
              <w:jc w:val="center"/>
              <w:rPr>
                <w:rFonts w:ascii="Calibri" w:hAnsi="Calibri" w:cs="Arial"/>
                <w:b/>
                <w:bCs/>
              </w:rPr>
            </w:pPr>
            <w:r>
              <w:rPr>
                <w:rFonts w:ascii="Calibri" w:hAnsi="Calibri"/>
                <w:b/>
                <w:bCs/>
              </w:rPr>
              <w:t>2019</w:t>
            </w:r>
          </w:p>
        </w:tc>
        <w:tc>
          <w:tcPr>
            <w:tcW w:w="992" w:type="dxa"/>
            <w:tcBorders>
              <w:top w:val="single" w:sz="8" w:space="0" w:color="auto"/>
              <w:left w:val="nil"/>
              <w:bottom w:val="single" w:sz="8" w:space="0" w:color="auto"/>
              <w:right w:val="single" w:sz="8" w:space="0" w:color="auto"/>
            </w:tcBorders>
            <w:shd w:val="clear" w:color="CCCCFF" w:fill="99CCFF"/>
            <w:vAlign w:val="center"/>
          </w:tcPr>
          <w:p w:rsidR="006A425D" w:rsidRPr="00FA16B0" w:rsidRDefault="006A425D" w:rsidP="006A425D">
            <w:pPr>
              <w:jc w:val="center"/>
              <w:rPr>
                <w:rFonts w:ascii="Calibri" w:hAnsi="Calibri" w:cs="Arial"/>
                <w:b/>
                <w:bCs/>
              </w:rPr>
            </w:pPr>
            <w:r>
              <w:rPr>
                <w:rFonts w:ascii="Calibri" w:hAnsi="Calibri"/>
                <w:b/>
                <w:bCs/>
              </w:rPr>
              <w:t>2020</w:t>
            </w:r>
          </w:p>
        </w:tc>
        <w:tc>
          <w:tcPr>
            <w:tcW w:w="850" w:type="dxa"/>
            <w:tcBorders>
              <w:top w:val="single" w:sz="8" w:space="0" w:color="auto"/>
              <w:left w:val="nil"/>
              <w:bottom w:val="single" w:sz="8" w:space="0" w:color="auto"/>
              <w:right w:val="single" w:sz="8" w:space="0" w:color="auto"/>
            </w:tcBorders>
            <w:shd w:val="clear" w:color="CCCCFF" w:fill="99CCFF"/>
            <w:vAlign w:val="center"/>
          </w:tcPr>
          <w:p w:rsidR="006A425D" w:rsidRPr="00FA16B0" w:rsidRDefault="006A425D" w:rsidP="006A425D">
            <w:pPr>
              <w:jc w:val="center"/>
              <w:rPr>
                <w:rFonts w:ascii="Calibri" w:hAnsi="Calibri" w:cs="Arial"/>
                <w:b/>
                <w:bCs/>
              </w:rPr>
            </w:pPr>
            <w:r>
              <w:rPr>
                <w:rFonts w:ascii="Calibri" w:hAnsi="Calibri"/>
                <w:b/>
                <w:bCs/>
              </w:rPr>
              <w:t>2021</w:t>
            </w:r>
          </w:p>
        </w:tc>
      </w:tr>
      <w:tr w:rsidR="006A425D" w:rsidRPr="00FA16B0" w:rsidTr="006A425D">
        <w:trPr>
          <w:trHeight w:val="540"/>
          <w:jc w:val="center"/>
        </w:trPr>
        <w:tc>
          <w:tcPr>
            <w:tcW w:w="3959" w:type="dxa"/>
            <w:tcBorders>
              <w:top w:val="single" w:sz="8" w:space="0" w:color="000000"/>
              <w:left w:val="single" w:sz="8" w:space="0" w:color="auto"/>
              <w:bottom w:val="single" w:sz="4" w:space="0" w:color="auto"/>
              <w:right w:val="nil"/>
            </w:tcBorders>
            <w:shd w:val="clear" w:color="auto" w:fill="auto"/>
            <w:vAlign w:val="center"/>
          </w:tcPr>
          <w:p w:rsidR="006A425D" w:rsidRPr="00FA16B0" w:rsidRDefault="006A425D" w:rsidP="006A425D">
            <w:pPr>
              <w:jc w:val="both"/>
              <w:rPr>
                <w:rFonts w:ascii="Calibri" w:hAnsi="Calibri" w:cs="Arial"/>
              </w:rPr>
            </w:pPr>
            <w:r>
              <w:rPr>
                <w:rFonts w:ascii="Calibri" w:hAnsi="Calibri"/>
              </w:rPr>
              <w:t>REVENUES of the general consolidated budget (cash)</w:t>
            </w:r>
          </w:p>
        </w:tc>
        <w:tc>
          <w:tcPr>
            <w:tcW w:w="993" w:type="dxa"/>
            <w:tcBorders>
              <w:top w:val="single" w:sz="8" w:space="0" w:color="auto"/>
              <w:left w:val="single" w:sz="8" w:space="0" w:color="auto"/>
              <w:bottom w:val="single" w:sz="4" w:space="0" w:color="auto"/>
              <w:right w:val="single" w:sz="4" w:space="0" w:color="auto"/>
            </w:tcBorders>
            <w:shd w:val="clear" w:color="auto" w:fill="auto"/>
            <w:noWrap/>
            <w:vAlign w:val="center"/>
          </w:tcPr>
          <w:p w:rsidR="006A425D" w:rsidRPr="00FA16B0" w:rsidRDefault="006A425D" w:rsidP="006A425D">
            <w:pPr>
              <w:jc w:val="center"/>
              <w:rPr>
                <w:rFonts w:ascii="Calibri" w:hAnsi="Calibri" w:cs="Arial"/>
              </w:rPr>
            </w:pPr>
            <w:r>
              <w:rPr>
                <w:rFonts w:ascii="Calibri" w:hAnsi="Calibri"/>
              </w:rPr>
              <w:t>29.40</w:t>
            </w:r>
          </w:p>
        </w:tc>
        <w:tc>
          <w:tcPr>
            <w:tcW w:w="850" w:type="dxa"/>
            <w:tcBorders>
              <w:top w:val="single" w:sz="8" w:space="0" w:color="auto"/>
              <w:left w:val="single" w:sz="4" w:space="0" w:color="auto"/>
              <w:bottom w:val="single" w:sz="4" w:space="0" w:color="auto"/>
              <w:right w:val="single" w:sz="4" w:space="0" w:color="auto"/>
            </w:tcBorders>
            <w:shd w:val="clear" w:color="auto" w:fill="auto"/>
            <w:noWrap/>
            <w:vAlign w:val="center"/>
          </w:tcPr>
          <w:p w:rsidR="006A425D" w:rsidRPr="003350EC" w:rsidRDefault="006A425D" w:rsidP="00715536">
            <w:pPr>
              <w:jc w:val="center"/>
              <w:rPr>
                <w:rFonts w:ascii="Calibri" w:hAnsi="Calibri" w:cs="Arial"/>
                <w:color w:val="000000" w:themeColor="text1"/>
              </w:rPr>
            </w:pPr>
            <w:r>
              <w:rPr>
                <w:rFonts w:ascii="Calibri" w:hAnsi="Calibri"/>
                <w:color w:val="000000" w:themeColor="text1"/>
              </w:rPr>
              <w:t>31.38</w:t>
            </w:r>
          </w:p>
        </w:tc>
        <w:tc>
          <w:tcPr>
            <w:tcW w:w="851" w:type="dxa"/>
            <w:tcBorders>
              <w:top w:val="nil"/>
              <w:left w:val="single" w:sz="4" w:space="0" w:color="auto"/>
              <w:bottom w:val="single" w:sz="4" w:space="0" w:color="auto"/>
              <w:right w:val="single" w:sz="8" w:space="0" w:color="auto"/>
            </w:tcBorders>
            <w:shd w:val="clear" w:color="auto" w:fill="auto"/>
            <w:noWrap/>
            <w:vAlign w:val="center"/>
          </w:tcPr>
          <w:p w:rsidR="006A425D" w:rsidRPr="00FA16B0" w:rsidRDefault="004F3E7F" w:rsidP="006A425D">
            <w:pPr>
              <w:jc w:val="center"/>
              <w:rPr>
                <w:rFonts w:ascii="Calibri" w:hAnsi="Calibri" w:cs="Arial"/>
              </w:rPr>
            </w:pPr>
            <w:r>
              <w:rPr>
                <w:rFonts w:ascii="Calibri" w:hAnsi="Calibri"/>
              </w:rPr>
              <w:t>33.51</w:t>
            </w:r>
          </w:p>
        </w:tc>
        <w:tc>
          <w:tcPr>
            <w:tcW w:w="992" w:type="dxa"/>
            <w:tcBorders>
              <w:top w:val="nil"/>
              <w:left w:val="nil"/>
              <w:bottom w:val="single" w:sz="4" w:space="0" w:color="auto"/>
              <w:right w:val="single" w:sz="8" w:space="0" w:color="auto"/>
            </w:tcBorders>
            <w:vAlign w:val="center"/>
          </w:tcPr>
          <w:p w:rsidR="006A425D" w:rsidRPr="00FA16B0" w:rsidRDefault="006A425D" w:rsidP="006A425D">
            <w:pPr>
              <w:jc w:val="center"/>
              <w:rPr>
                <w:rFonts w:ascii="Calibri" w:hAnsi="Calibri" w:cs="Arial"/>
              </w:rPr>
            </w:pPr>
            <w:r>
              <w:rPr>
                <w:rFonts w:ascii="Calibri" w:hAnsi="Calibri"/>
              </w:rPr>
              <w:t>32.23</w:t>
            </w:r>
          </w:p>
        </w:tc>
        <w:tc>
          <w:tcPr>
            <w:tcW w:w="850" w:type="dxa"/>
            <w:tcBorders>
              <w:top w:val="nil"/>
              <w:left w:val="nil"/>
              <w:bottom w:val="single" w:sz="4" w:space="0" w:color="auto"/>
              <w:right w:val="single" w:sz="8" w:space="0" w:color="auto"/>
            </w:tcBorders>
            <w:vAlign w:val="center"/>
          </w:tcPr>
          <w:p w:rsidR="006A425D" w:rsidRPr="00FA16B0" w:rsidRDefault="006A425D" w:rsidP="006A425D">
            <w:pPr>
              <w:jc w:val="center"/>
              <w:rPr>
                <w:rFonts w:ascii="Calibri" w:hAnsi="Calibri" w:cs="Arial"/>
              </w:rPr>
            </w:pPr>
            <w:r>
              <w:rPr>
                <w:rFonts w:ascii="Calibri" w:hAnsi="Calibri"/>
              </w:rPr>
              <w:t>31.97</w:t>
            </w:r>
          </w:p>
        </w:tc>
      </w:tr>
      <w:tr w:rsidR="006A425D" w:rsidRPr="00FA16B0" w:rsidTr="006A425D">
        <w:trPr>
          <w:trHeight w:val="420"/>
          <w:jc w:val="center"/>
        </w:trPr>
        <w:tc>
          <w:tcPr>
            <w:tcW w:w="3959" w:type="dxa"/>
            <w:tcBorders>
              <w:top w:val="single" w:sz="4" w:space="0" w:color="auto"/>
              <w:left w:val="single" w:sz="4" w:space="0" w:color="auto"/>
              <w:bottom w:val="single" w:sz="4" w:space="0" w:color="auto"/>
              <w:right w:val="single" w:sz="4" w:space="0" w:color="auto"/>
            </w:tcBorders>
            <w:shd w:val="clear" w:color="auto" w:fill="auto"/>
            <w:vAlign w:val="center"/>
          </w:tcPr>
          <w:p w:rsidR="006A425D" w:rsidRPr="00FA16B0" w:rsidRDefault="006A425D" w:rsidP="006A425D">
            <w:pPr>
              <w:jc w:val="both"/>
              <w:rPr>
                <w:rFonts w:ascii="Calibri" w:hAnsi="Calibri" w:cs="Arial"/>
              </w:rPr>
            </w:pPr>
            <w:r>
              <w:rPr>
                <w:rFonts w:ascii="Calibri" w:hAnsi="Calibri"/>
              </w:rPr>
              <w:t>EXPENDITURES of the general consolidated budget (cash)</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425D" w:rsidRPr="00FA16B0" w:rsidRDefault="006A425D" w:rsidP="006A425D">
            <w:pPr>
              <w:jc w:val="center"/>
              <w:rPr>
                <w:rFonts w:ascii="Calibri" w:hAnsi="Calibri" w:cs="Arial"/>
              </w:rPr>
            </w:pPr>
            <w:r>
              <w:rPr>
                <w:rFonts w:ascii="Calibri" w:hAnsi="Calibri"/>
              </w:rPr>
              <w:t>32.24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425D" w:rsidRPr="003350EC" w:rsidRDefault="006A425D" w:rsidP="00715536">
            <w:pPr>
              <w:jc w:val="center"/>
              <w:rPr>
                <w:rFonts w:ascii="Calibri" w:hAnsi="Calibri" w:cs="Arial"/>
                <w:color w:val="000000" w:themeColor="text1"/>
              </w:rPr>
            </w:pPr>
            <w:r>
              <w:rPr>
                <w:rFonts w:ascii="Calibri" w:hAnsi="Calibri"/>
                <w:color w:val="000000" w:themeColor="text1"/>
              </w:rPr>
              <w:t>34.29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425D" w:rsidRPr="00FA16B0" w:rsidRDefault="0055261B" w:rsidP="006A425D">
            <w:pPr>
              <w:jc w:val="center"/>
              <w:rPr>
                <w:rFonts w:ascii="Calibri" w:hAnsi="Calibri" w:cs="Arial"/>
              </w:rPr>
            </w:pPr>
            <w:r>
              <w:rPr>
                <w:rFonts w:ascii="Calibri" w:hAnsi="Calibri"/>
              </w:rPr>
              <w:t>36.28</w:t>
            </w:r>
          </w:p>
        </w:tc>
        <w:tc>
          <w:tcPr>
            <w:tcW w:w="992" w:type="dxa"/>
            <w:tcBorders>
              <w:top w:val="single" w:sz="4" w:space="0" w:color="auto"/>
              <w:left w:val="single" w:sz="4" w:space="0" w:color="auto"/>
              <w:bottom w:val="single" w:sz="4" w:space="0" w:color="auto"/>
              <w:right w:val="single" w:sz="4" w:space="0" w:color="auto"/>
            </w:tcBorders>
            <w:vAlign w:val="center"/>
          </w:tcPr>
          <w:p w:rsidR="006A425D" w:rsidRPr="00FA16B0" w:rsidRDefault="008B420C" w:rsidP="006A425D">
            <w:pPr>
              <w:jc w:val="center"/>
              <w:rPr>
                <w:rFonts w:ascii="Calibri" w:hAnsi="Calibri" w:cs="Arial"/>
              </w:rPr>
            </w:pPr>
            <w:r>
              <w:rPr>
                <w:rFonts w:ascii="Calibri" w:hAnsi="Calibri"/>
              </w:rPr>
              <w:t>34.55</w:t>
            </w:r>
          </w:p>
        </w:tc>
        <w:tc>
          <w:tcPr>
            <w:tcW w:w="850" w:type="dxa"/>
            <w:tcBorders>
              <w:top w:val="single" w:sz="4" w:space="0" w:color="auto"/>
              <w:left w:val="single" w:sz="4" w:space="0" w:color="auto"/>
              <w:bottom w:val="single" w:sz="4" w:space="0" w:color="auto"/>
              <w:right w:val="single" w:sz="4" w:space="0" w:color="auto"/>
            </w:tcBorders>
            <w:vAlign w:val="center"/>
          </w:tcPr>
          <w:p w:rsidR="006A425D" w:rsidRPr="00FA16B0" w:rsidRDefault="0055261B" w:rsidP="006A425D">
            <w:pPr>
              <w:jc w:val="center"/>
              <w:rPr>
                <w:rFonts w:ascii="Calibri" w:hAnsi="Calibri" w:cs="Arial"/>
              </w:rPr>
            </w:pPr>
            <w:r>
              <w:rPr>
                <w:rFonts w:ascii="Calibri" w:hAnsi="Calibri"/>
              </w:rPr>
              <w:t>33.98</w:t>
            </w:r>
          </w:p>
        </w:tc>
      </w:tr>
      <w:tr w:rsidR="006A425D" w:rsidRPr="00FA16B0" w:rsidTr="006A425D">
        <w:trPr>
          <w:trHeight w:val="465"/>
          <w:jc w:val="center"/>
        </w:trPr>
        <w:tc>
          <w:tcPr>
            <w:tcW w:w="3959" w:type="dxa"/>
            <w:tcBorders>
              <w:top w:val="single" w:sz="4" w:space="0" w:color="auto"/>
              <w:left w:val="single" w:sz="4" w:space="0" w:color="auto"/>
              <w:bottom w:val="single" w:sz="4" w:space="0" w:color="auto"/>
              <w:right w:val="single" w:sz="4" w:space="0" w:color="auto"/>
            </w:tcBorders>
            <w:shd w:val="clear" w:color="auto" w:fill="auto"/>
            <w:vAlign w:val="center"/>
          </w:tcPr>
          <w:p w:rsidR="006A425D" w:rsidRPr="00FA16B0" w:rsidRDefault="006A425D" w:rsidP="006A425D">
            <w:pPr>
              <w:jc w:val="both"/>
              <w:rPr>
                <w:rFonts w:ascii="Calibri" w:hAnsi="Calibri" w:cs="Arial"/>
              </w:rPr>
            </w:pPr>
            <w:r>
              <w:rPr>
                <w:rFonts w:ascii="Calibri" w:hAnsi="Calibri"/>
              </w:rPr>
              <w:t>BALANCE of the general consolidated budget (cash)</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6A425D" w:rsidRPr="00FA16B0" w:rsidRDefault="006A425D" w:rsidP="006A425D">
            <w:pPr>
              <w:jc w:val="center"/>
              <w:rPr>
                <w:rFonts w:ascii="Calibri" w:hAnsi="Calibri"/>
              </w:rPr>
            </w:pPr>
            <w:r>
              <w:rPr>
                <w:rFonts w:ascii="Calibri" w:hAnsi="Calibri"/>
              </w:rPr>
              <w:t>-2.84</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6A425D" w:rsidRPr="003350EC" w:rsidRDefault="006A425D" w:rsidP="00715536">
            <w:pPr>
              <w:jc w:val="center"/>
              <w:rPr>
                <w:rFonts w:ascii="Calibri" w:hAnsi="Calibri"/>
                <w:color w:val="000000" w:themeColor="text1"/>
              </w:rPr>
            </w:pPr>
            <w:r>
              <w:rPr>
                <w:rFonts w:ascii="Calibri" w:hAnsi="Calibri"/>
                <w:color w:val="000000" w:themeColor="text1"/>
              </w:rPr>
              <w:t>-2.91</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6A425D" w:rsidRPr="00FA16B0" w:rsidRDefault="0055261B" w:rsidP="006A425D">
            <w:pPr>
              <w:jc w:val="center"/>
              <w:rPr>
                <w:rFonts w:ascii="Calibri" w:hAnsi="Calibri"/>
              </w:rPr>
            </w:pPr>
            <w:r>
              <w:rPr>
                <w:rFonts w:ascii="Calibri" w:hAnsi="Calibri"/>
              </w:rPr>
              <w:t>-2.76</w:t>
            </w:r>
          </w:p>
        </w:tc>
        <w:tc>
          <w:tcPr>
            <w:tcW w:w="992" w:type="dxa"/>
            <w:tcBorders>
              <w:top w:val="single" w:sz="4" w:space="0" w:color="auto"/>
              <w:left w:val="single" w:sz="4" w:space="0" w:color="auto"/>
              <w:bottom w:val="single" w:sz="4" w:space="0" w:color="auto"/>
              <w:right w:val="single" w:sz="4" w:space="0" w:color="auto"/>
            </w:tcBorders>
          </w:tcPr>
          <w:p w:rsidR="006A425D" w:rsidRPr="00FA16B0" w:rsidRDefault="0055261B" w:rsidP="006A425D">
            <w:pPr>
              <w:jc w:val="center"/>
              <w:rPr>
                <w:rFonts w:ascii="Calibri" w:hAnsi="Calibri"/>
              </w:rPr>
            </w:pPr>
            <w:r>
              <w:rPr>
                <w:rFonts w:ascii="Calibri" w:hAnsi="Calibri"/>
              </w:rPr>
              <w:t>-2.33</w:t>
            </w:r>
          </w:p>
        </w:tc>
        <w:tc>
          <w:tcPr>
            <w:tcW w:w="850" w:type="dxa"/>
            <w:tcBorders>
              <w:top w:val="single" w:sz="4" w:space="0" w:color="auto"/>
              <w:left w:val="single" w:sz="4" w:space="0" w:color="auto"/>
              <w:bottom w:val="single" w:sz="4" w:space="0" w:color="auto"/>
              <w:right w:val="single" w:sz="4" w:space="0" w:color="auto"/>
            </w:tcBorders>
          </w:tcPr>
          <w:p w:rsidR="006A425D" w:rsidRPr="00FA16B0" w:rsidRDefault="006A425D" w:rsidP="0055261B">
            <w:pPr>
              <w:jc w:val="center"/>
              <w:rPr>
                <w:rFonts w:ascii="Calibri" w:hAnsi="Calibri"/>
              </w:rPr>
            </w:pPr>
            <w:r>
              <w:rPr>
                <w:rFonts w:ascii="Calibri" w:hAnsi="Calibri"/>
              </w:rPr>
              <w:t>-2.01</w:t>
            </w:r>
          </w:p>
        </w:tc>
      </w:tr>
      <w:tr w:rsidR="006A425D" w:rsidRPr="00FA16B0" w:rsidTr="006A425D">
        <w:trPr>
          <w:trHeight w:val="360"/>
          <w:jc w:val="center"/>
        </w:trPr>
        <w:tc>
          <w:tcPr>
            <w:tcW w:w="3959" w:type="dxa"/>
            <w:tcBorders>
              <w:top w:val="single" w:sz="4" w:space="0" w:color="auto"/>
              <w:left w:val="single" w:sz="4" w:space="0" w:color="auto"/>
              <w:bottom w:val="single" w:sz="4" w:space="0" w:color="auto"/>
              <w:right w:val="single" w:sz="4" w:space="0" w:color="auto"/>
            </w:tcBorders>
            <w:shd w:val="clear" w:color="auto" w:fill="auto"/>
            <w:vAlign w:val="center"/>
          </w:tcPr>
          <w:p w:rsidR="006A425D" w:rsidRPr="00FA16B0" w:rsidRDefault="006A425D" w:rsidP="006A425D">
            <w:pPr>
              <w:jc w:val="both"/>
              <w:rPr>
                <w:rFonts w:ascii="Calibri" w:hAnsi="Calibri" w:cs="Arial"/>
              </w:rPr>
            </w:pPr>
            <w:r>
              <w:rPr>
                <w:rFonts w:ascii="Calibri" w:hAnsi="Calibri"/>
              </w:rPr>
              <w:t>BALANCE of the general consolidated budget (ESA)</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6A425D" w:rsidRPr="00FA16B0" w:rsidRDefault="00CC66AA" w:rsidP="006A425D">
            <w:pPr>
              <w:jc w:val="center"/>
              <w:rPr>
                <w:rFonts w:ascii="Calibri" w:hAnsi="Calibri"/>
                <w:color w:val="000000"/>
              </w:rPr>
            </w:pPr>
            <w:r>
              <w:rPr>
                <w:rFonts w:ascii="Calibri" w:hAnsi="Calibri"/>
                <w:color w:val="000000"/>
              </w:rPr>
              <w:t>-2.88</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6A425D" w:rsidRPr="00FA16B0" w:rsidRDefault="006A425D" w:rsidP="006A425D">
            <w:pPr>
              <w:jc w:val="center"/>
              <w:rPr>
                <w:rFonts w:ascii="Calibri" w:hAnsi="Calibri"/>
                <w:color w:val="000000"/>
              </w:rPr>
            </w:pPr>
            <w:r>
              <w:rPr>
                <w:rFonts w:ascii="Calibri" w:hAnsi="Calibri"/>
                <w:color w:val="000000"/>
              </w:rPr>
              <w:t>-2.96</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6A425D" w:rsidRPr="00FA16B0" w:rsidRDefault="0055261B" w:rsidP="006A425D">
            <w:pPr>
              <w:jc w:val="center"/>
              <w:rPr>
                <w:rFonts w:ascii="Calibri" w:hAnsi="Calibri"/>
                <w:color w:val="000000"/>
              </w:rPr>
            </w:pPr>
            <w:r>
              <w:rPr>
                <w:rFonts w:ascii="Calibri" w:hAnsi="Calibri"/>
                <w:color w:val="000000"/>
              </w:rPr>
              <w:t>-2.78</w:t>
            </w:r>
          </w:p>
        </w:tc>
        <w:tc>
          <w:tcPr>
            <w:tcW w:w="992" w:type="dxa"/>
            <w:tcBorders>
              <w:top w:val="single" w:sz="4" w:space="0" w:color="auto"/>
              <w:left w:val="single" w:sz="4" w:space="0" w:color="auto"/>
              <w:bottom w:val="single" w:sz="4" w:space="0" w:color="auto"/>
              <w:right w:val="single" w:sz="4" w:space="0" w:color="auto"/>
            </w:tcBorders>
          </w:tcPr>
          <w:p w:rsidR="006A425D" w:rsidRPr="00FA16B0" w:rsidRDefault="0055261B" w:rsidP="006A425D">
            <w:pPr>
              <w:jc w:val="center"/>
              <w:rPr>
                <w:rFonts w:ascii="Calibri" w:hAnsi="Calibri"/>
                <w:color w:val="000000"/>
              </w:rPr>
            </w:pPr>
            <w:r>
              <w:rPr>
                <w:rFonts w:ascii="Calibri" w:hAnsi="Calibri"/>
                <w:color w:val="000000"/>
              </w:rPr>
              <w:t>-2.68</w:t>
            </w:r>
          </w:p>
        </w:tc>
        <w:tc>
          <w:tcPr>
            <w:tcW w:w="850" w:type="dxa"/>
            <w:tcBorders>
              <w:top w:val="single" w:sz="4" w:space="0" w:color="auto"/>
              <w:left w:val="single" w:sz="4" w:space="0" w:color="auto"/>
              <w:bottom w:val="single" w:sz="4" w:space="0" w:color="auto"/>
              <w:right w:val="single" w:sz="4" w:space="0" w:color="auto"/>
            </w:tcBorders>
          </w:tcPr>
          <w:p w:rsidR="006A425D" w:rsidRPr="00FA16B0" w:rsidRDefault="0055261B" w:rsidP="006A425D">
            <w:pPr>
              <w:jc w:val="center"/>
              <w:rPr>
                <w:rFonts w:ascii="Calibri" w:hAnsi="Calibri"/>
                <w:color w:val="000000"/>
              </w:rPr>
            </w:pPr>
            <w:r>
              <w:rPr>
                <w:rFonts w:ascii="Calibri" w:hAnsi="Calibri"/>
                <w:color w:val="000000"/>
              </w:rPr>
              <w:t>-2.45</w:t>
            </w:r>
          </w:p>
        </w:tc>
      </w:tr>
      <w:tr w:rsidR="006A425D" w:rsidRPr="00FA16B0" w:rsidTr="006A425D">
        <w:trPr>
          <w:trHeight w:val="349"/>
          <w:jc w:val="center"/>
        </w:trPr>
        <w:tc>
          <w:tcPr>
            <w:tcW w:w="3959" w:type="dxa"/>
            <w:tcBorders>
              <w:top w:val="single" w:sz="4" w:space="0" w:color="auto"/>
              <w:left w:val="single" w:sz="8" w:space="0" w:color="auto"/>
              <w:bottom w:val="single" w:sz="8" w:space="0" w:color="auto"/>
              <w:right w:val="nil"/>
            </w:tcBorders>
            <w:shd w:val="clear" w:color="auto" w:fill="auto"/>
            <w:vAlign w:val="center"/>
          </w:tcPr>
          <w:p w:rsidR="006A425D" w:rsidRPr="00FA16B0" w:rsidRDefault="006A425D" w:rsidP="006A425D">
            <w:pPr>
              <w:jc w:val="both"/>
              <w:rPr>
                <w:rFonts w:ascii="Calibri" w:hAnsi="Calibri" w:cs="Arial"/>
                <w:color w:val="000000"/>
              </w:rPr>
            </w:pPr>
            <w:r>
              <w:rPr>
                <w:rFonts w:ascii="Calibri" w:hAnsi="Calibri"/>
                <w:color w:val="000000"/>
              </w:rPr>
              <w:t>structural BALANCE</w:t>
            </w:r>
          </w:p>
        </w:tc>
        <w:tc>
          <w:tcPr>
            <w:tcW w:w="993" w:type="dxa"/>
            <w:tcBorders>
              <w:top w:val="single" w:sz="4" w:space="0" w:color="auto"/>
              <w:left w:val="single" w:sz="8" w:space="0" w:color="auto"/>
              <w:bottom w:val="single" w:sz="8" w:space="0" w:color="auto"/>
              <w:right w:val="single" w:sz="4" w:space="0" w:color="auto"/>
            </w:tcBorders>
            <w:shd w:val="clear" w:color="auto" w:fill="auto"/>
            <w:noWrap/>
          </w:tcPr>
          <w:p w:rsidR="006A425D" w:rsidRPr="00FA16B0" w:rsidRDefault="006A425D" w:rsidP="006A425D">
            <w:pPr>
              <w:jc w:val="center"/>
              <w:rPr>
                <w:rFonts w:ascii="Calibri" w:hAnsi="Calibri"/>
                <w:color w:val="000000"/>
              </w:rPr>
            </w:pPr>
            <w:r>
              <w:rPr>
                <w:rFonts w:ascii="Calibri" w:hAnsi="Calibri"/>
                <w:color w:val="000000"/>
              </w:rPr>
              <w:t>-3.36</w:t>
            </w:r>
          </w:p>
        </w:tc>
        <w:tc>
          <w:tcPr>
            <w:tcW w:w="850" w:type="dxa"/>
            <w:tcBorders>
              <w:top w:val="single" w:sz="4" w:space="0" w:color="auto"/>
              <w:left w:val="single" w:sz="4" w:space="0" w:color="auto"/>
              <w:bottom w:val="single" w:sz="8" w:space="0" w:color="auto"/>
              <w:right w:val="single" w:sz="4" w:space="0" w:color="auto"/>
            </w:tcBorders>
            <w:shd w:val="clear" w:color="auto" w:fill="auto"/>
            <w:noWrap/>
          </w:tcPr>
          <w:p w:rsidR="006A425D" w:rsidRPr="00FA16B0" w:rsidRDefault="006A425D" w:rsidP="006A425D">
            <w:pPr>
              <w:jc w:val="center"/>
              <w:rPr>
                <w:rFonts w:ascii="Calibri" w:hAnsi="Calibri"/>
                <w:color w:val="000000"/>
              </w:rPr>
            </w:pPr>
            <w:r>
              <w:rPr>
                <w:rFonts w:ascii="Calibri" w:hAnsi="Calibri"/>
                <w:color w:val="000000"/>
              </w:rPr>
              <w:t>-3.03</w:t>
            </w:r>
          </w:p>
        </w:tc>
        <w:tc>
          <w:tcPr>
            <w:tcW w:w="851" w:type="dxa"/>
            <w:tcBorders>
              <w:top w:val="single" w:sz="4" w:space="0" w:color="auto"/>
              <w:left w:val="single" w:sz="4" w:space="0" w:color="auto"/>
              <w:bottom w:val="single" w:sz="8" w:space="0" w:color="auto"/>
              <w:right w:val="single" w:sz="8" w:space="0" w:color="auto"/>
            </w:tcBorders>
            <w:shd w:val="clear" w:color="auto" w:fill="auto"/>
            <w:noWrap/>
          </w:tcPr>
          <w:p w:rsidR="006A425D" w:rsidRPr="00FA16B0" w:rsidRDefault="0055261B" w:rsidP="006A425D">
            <w:pPr>
              <w:jc w:val="center"/>
              <w:rPr>
                <w:rFonts w:ascii="Calibri" w:hAnsi="Calibri"/>
                <w:color w:val="000000"/>
              </w:rPr>
            </w:pPr>
            <w:r>
              <w:rPr>
                <w:rFonts w:ascii="Calibri" w:hAnsi="Calibri"/>
                <w:color w:val="000000"/>
              </w:rPr>
              <w:t>-2.97</w:t>
            </w:r>
          </w:p>
        </w:tc>
        <w:tc>
          <w:tcPr>
            <w:tcW w:w="992" w:type="dxa"/>
            <w:tcBorders>
              <w:top w:val="single" w:sz="4" w:space="0" w:color="auto"/>
              <w:left w:val="nil"/>
              <w:bottom w:val="single" w:sz="8" w:space="0" w:color="auto"/>
              <w:right w:val="single" w:sz="8" w:space="0" w:color="auto"/>
            </w:tcBorders>
          </w:tcPr>
          <w:p w:rsidR="006A425D" w:rsidRPr="00FA16B0" w:rsidRDefault="0055261B" w:rsidP="006A425D">
            <w:pPr>
              <w:jc w:val="center"/>
              <w:rPr>
                <w:rFonts w:ascii="Calibri" w:hAnsi="Calibri"/>
                <w:color w:val="000000"/>
              </w:rPr>
            </w:pPr>
            <w:r>
              <w:rPr>
                <w:rFonts w:ascii="Calibri" w:hAnsi="Calibri"/>
                <w:color w:val="000000"/>
              </w:rPr>
              <w:t>-3.03</w:t>
            </w:r>
          </w:p>
        </w:tc>
        <w:tc>
          <w:tcPr>
            <w:tcW w:w="850" w:type="dxa"/>
            <w:tcBorders>
              <w:top w:val="single" w:sz="4" w:space="0" w:color="auto"/>
              <w:left w:val="nil"/>
              <w:bottom w:val="single" w:sz="8" w:space="0" w:color="auto"/>
              <w:right w:val="single" w:sz="8" w:space="0" w:color="auto"/>
            </w:tcBorders>
          </w:tcPr>
          <w:p w:rsidR="006A425D" w:rsidRPr="00FA16B0" w:rsidRDefault="0055261B" w:rsidP="006A425D">
            <w:pPr>
              <w:jc w:val="center"/>
              <w:rPr>
                <w:rFonts w:ascii="Calibri" w:hAnsi="Calibri"/>
                <w:color w:val="000000"/>
              </w:rPr>
            </w:pPr>
            <w:r>
              <w:rPr>
                <w:rFonts w:ascii="Calibri" w:hAnsi="Calibri"/>
                <w:color w:val="000000"/>
              </w:rPr>
              <w:t>-2.77</w:t>
            </w:r>
          </w:p>
        </w:tc>
      </w:tr>
    </w:tbl>
    <w:p w:rsidR="006A425D" w:rsidRPr="00FA16B0" w:rsidRDefault="006A425D" w:rsidP="006A425D">
      <w:pPr>
        <w:widowControl w:val="0"/>
        <w:autoSpaceDE w:val="0"/>
        <w:autoSpaceDN w:val="0"/>
        <w:adjustRightInd w:val="0"/>
        <w:spacing w:line="320" w:lineRule="exact"/>
        <w:jc w:val="both"/>
        <w:rPr>
          <w:rFonts w:ascii="Calibri" w:hAnsi="Calibri" w:cs="Arial"/>
          <w:color w:val="000000"/>
          <w:lang w:val="ro-RO"/>
        </w:rPr>
      </w:pPr>
    </w:p>
    <w:p w:rsidR="006A425D" w:rsidRDefault="006A425D" w:rsidP="006A425D">
      <w:pPr>
        <w:keepNext/>
        <w:spacing w:before="120"/>
        <w:contextualSpacing/>
        <w:jc w:val="both"/>
        <w:rPr>
          <w:rFonts w:ascii="Calibri" w:hAnsi="Calibri"/>
          <w:color w:val="000000" w:themeColor="text1"/>
          <w:lang w:val="ro-RO"/>
        </w:rPr>
      </w:pPr>
    </w:p>
    <w:p w:rsidR="006A425D" w:rsidRPr="002C1741" w:rsidRDefault="006A425D" w:rsidP="006A425D">
      <w:pPr>
        <w:widowControl w:val="0"/>
        <w:autoSpaceDE w:val="0"/>
        <w:autoSpaceDN w:val="0"/>
        <w:adjustRightInd w:val="0"/>
        <w:spacing w:line="320" w:lineRule="exact"/>
        <w:jc w:val="both"/>
        <w:rPr>
          <w:rFonts w:asciiTheme="minorHAnsi" w:hAnsiTheme="minorHAnsi" w:cs="Arial"/>
        </w:rPr>
      </w:pPr>
      <w:r>
        <w:rPr>
          <w:rFonts w:asciiTheme="minorHAnsi" w:hAnsiTheme="minorHAnsi"/>
        </w:rPr>
        <w:t>The budget planning for 2019-2021 was based on the fiscal relaxation measures started in 2015-2016 with the aim of stimulating economic growth (the new fiscal code and the increases of salaries and of certain rights of social assistance type) and continued through the legislative acts adopted in 2017 through which were regulated measures in the field of salaries of public personnel, the legislation in the field of social rights, the legislation in the field of pensions, with additional impact on personnel expenditures, of social assistance expenditures, implemented in 2018, as well as the fiscal and budgetary measures taken in 2018, which will influence the macroeconomic framework and the budget indicators in 2019-2021.</w:t>
      </w:r>
    </w:p>
    <w:p w:rsidR="006A425D" w:rsidRPr="002C1741" w:rsidRDefault="006A425D" w:rsidP="006A425D">
      <w:pPr>
        <w:widowControl w:val="0"/>
        <w:autoSpaceDE w:val="0"/>
        <w:autoSpaceDN w:val="0"/>
        <w:adjustRightInd w:val="0"/>
        <w:spacing w:line="320" w:lineRule="exact"/>
        <w:jc w:val="both"/>
        <w:rPr>
          <w:rFonts w:asciiTheme="minorHAnsi" w:hAnsiTheme="minorHAnsi" w:cs="Arial"/>
          <w:color w:val="000076"/>
        </w:rPr>
      </w:pPr>
      <w:r>
        <w:rPr>
          <w:rFonts w:asciiTheme="minorHAnsi" w:hAnsiTheme="minorHAnsi"/>
          <w:color w:val="000076"/>
        </w:rPr>
        <w:tab/>
      </w:r>
      <w:r>
        <w:rPr>
          <w:rFonts w:asciiTheme="minorHAnsi" w:hAnsiTheme="minorHAnsi"/>
          <w:color w:val="000076"/>
        </w:rPr>
        <w:tab/>
      </w:r>
    </w:p>
    <w:p w:rsidR="006A425D" w:rsidRPr="002C1741" w:rsidRDefault="006A425D" w:rsidP="006A425D">
      <w:pPr>
        <w:widowControl w:val="0"/>
        <w:autoSpaceDE w:val="0"/>
        <w:autoSpaceDN w:val="0"/>
        <w:adjustRightInd w:val="0"/>
        <w:spacing w:line="320" w:lineRule="exact"/>
        <w:jc w:val="both"/>
        <w:rPr>
          <w:rFonts w:asciiTheme="minorHAnsi" w:hAnsiTheme="minorHAnsi" w:cs="Arial"/>
          <w:color w:val="000076"/>
        </w:rPr>
      </w:pPr>
      <w:r>
        <w:rPr>
          <w:rFonts w:asciiTheme="minorHAnsi" w:hAnsiTheme="minorHAnsi"/>
          <w:color w:val="000076"/>
        </w:rPr>
        <w:tab/>
      </w:r>
      <w:r>
        <w:rPr>
          <w:rFonts w:asciiTheme="minorHAnsi" w:hAnsiTheme="minorHAnsi"/>
          <w:color w:val="000076"/>
        </w:rPr>
        <w:tab/>
      </w:r>
    </w:p>
    <w:p w:rsidR="006A425D" w:rsidRPr="008E080A" w:rsidRDefault="006A425D" w:rsidP="006A425D">
      <w:pPr>
        <w:widowControl w:val="0"/>
        <w:autoSpaceDE w:val="0"/>
        <w:autoSpaceDN w:val="0"/>
        <w:adjustRightInd w:val="0"/>
        <w:spacing w:line="320" w:lineRule="exact"/>
        <w:jc w:val="both"/>
        <w:rPr>
          <w:rFonts w:asciiTheme="minorHAnsi" w:hAnsiTheme="minorHAnsi" w:cs="Arial"/>
          <w:b/>
        </w:rPr>
      </w:pPr>
      <w:r>
        <w:rPr>
          <w:rFonts w:asciiTheme="minorHAnsi" w:hAnsiTheme="minorHAnsi"/>
          <w:b/>
        </w:rPr>
        <w:t>Also, budgetary planning took into consideration:</w:t>
      </w:r>
    </w:p>
    <w:p w:rsidR="006A425D" w:rsidRPr="007C3BAA" w:rsidRDefault="006A425D" w:rsidP="006A425D">
      <w:pPr>
        <w:widowControl w:val="0"/>
        <w:autoSpaceDE w:val="0"/>
        <w:autoSpaceDN w:val="0"/>
        <w:adjustRightInd w:val="0"/>
        <w:spacing w:line="320" w:lineRule="exact"/>
        <w:jc w:val="both"/>
        <w:rPr>
          <w:rFonts w:asciiTheme="minorHAnsi" w:hAnsiTheme="minorHAnsi" w:cs="Arial"/>
          <w:color w:val="000000" w:themeColor="text1"/>
        </w:rPr>
      </w:pPr>
      <w:r>
        <w:rPr>
          <w:rFonts w:asciiTheme="minorHAnsi" w:hAnsiTheme="minorHAnsi"/>
          <w:color w:val="000076"/>
        </w:rPr>
        <w:tab/>
      </w:r>
      <w:r>
        <w:rPr>
          <w:rFonts w:asciiTheme="minorHAnsi" w:hAnsiTheme="minorHAnsi"/>
          <w:color w:val="000000" w:themeColor="text1"/>
        </w:rPr>
        <w:tab/>
      </w:r>
    </w:p>
    <w:p w:rsidR="006A425D" w:rsidRPr="007C3BAA" w:rsidRDefault="006A425D" w:rsidP="00565476">
      <w:pPr>
        <w:numPr>
          <w:ilvl w:val="0"/>
          <w:numId w:val="178"/>
        </w:numPr>
        <w:spacing w:after="160" w:line="259" w:lineRule="auto"/>
        <w:ind w:left="567" w:hanging="283"/>
        <w:contextualSpacing/>
        <w:jc w:val="both"/>
        <w:rPr>
          <w:rFonts w:ascii="Calibri" w:eastAsia="Calibri" w:hAnsi="Calibri" w:cs="Arial"/>
          <w:color w:val="000000" w:themeColor="text1"/>
        </w:rPr>
      </w:pPr>
      <w:r>
        <w:rPr>
          <w:rFonts w:ascii="Calibri" w:hAnsi="Calibri"/>
          <w:color w:val="000000" w:themeColor="text1"/>
        </w:rPr>
        <w:t>the achievement of the budget revenues in 2018.</w:t>
      </w:r>
    </w:p>
    <w:p w:rsidR="006A425D" w:rsidRPr="00D02111" w:rsidRDefault="006A425D" w:rsidP="00565476">
      <w:pPr>
        <w:numPr>
          <w:ilvl w:val="0"/>
          <w:numId w:val="178"/>
        </w:numPr>
        <w:spacing w:after="160" w:line="259" w:lineRule="auto"/>
        <w:ind w:left="567" w:hanging="283"/>
        <w:contextualSpacing/>
        <w:jc w:val="both"/>
        <w:rPr>
          <w:rFonts w:ascii="Calibri" w:eastAsia="Calibri" w:hAnsi="Calibri" w:cs="Arial"/>
          <w:color w:val="000000" w:themeColor="text1"/>
        </w:rPr>
      </w:pPr>
      <w:r>
        <w:rPr>
          <w:rFonts w:ascii="Calibri" w:hAnsi="Calibri"/>
          <w:color w:val="000000" w:themeColor="text1"/>
        </w:rPr>
        <w:t>the medium term forecast for 2018-2022 (the winter forecast for 2019) elaborated by the National Commission for Strategy and Prognosis, according to which real GDP growth in 2019 will be of 5.5%.</w:t>
      </w:r>
    </w:p>
    <w:p w:rsidR="006A425D" w:rsidRPr="00D02111" w:rsidRDefault="006A425D" w:rsidP="00565476">
      <w:pPr>
        <w:numPr>
          <w:ilvl w:val="0"/>
          <w:numId w:val="178"/>
        </w:numPr>
        <w:spacing w:after="160" w:line="259" w:lineRule="auto"/>
        <w:ind w:left="567" w:hanging="283"/>
        <w:contextualSpacing/>
        <w:jc w:val="both"/>
        <w:rPr>
          <w:rFonts w:ascii="Calibri" w:eastAsia="Calibri" w:hAnsi="Calibri" w:cs="Arial"/>
          <w:color w:val="000000" w:themeColor="text1"/>
        </w:rPr>
      </w:pPr>
      <w:r>
        <w:rPr>
          <w:rFonts w:ascii="Calibri" w:hAnsi="Calibri"/>
          <w:color w:val="000000" w:themeColor="text1"/>
        </w:rPr>
        <w:t>the ANAF’s commitment to collect additional revenues of approximately 7.5 billion Lei through the intensification of the actions of improving collection and reducing tax evasion.</w:t>
      </w:r>
    </w:p>
    <w:p w:rsidR="006A425D" w:rsidRPr="007C3BAA" w:rsidRDefault="006A425D" w:rsidP="00565476">
      <w:pPr>
        <w:numPr>
          <w:ilvl w:val="0"/>
          <w:numId w:val="178"/>
        </w:numPr>
        <w:shd w:val="clear" w:color="auto" w:fill="FFFFFF"/>
        <w:spacing w:line="259" w:lineRule="auto"/>
        <w:ind w:left="568" w:hanging="284"/>
        <w:contextualSpacing/>
        <w:jc w:val="both"/>
        <w:rPr>
          <w:rFonts w:ascii="Calibri" w:eastAsia="Calibri" w:hAnsi="Calibri" w:cs="Arial"/>
          <w:color w:val="000000" w:themeColor="text1"/>
        </w:rPr>
      </w:pPr>
      <w:r>
        <w:rPr>
          <w:rFonts w:ascii="Calibri" w:hAnsi="Calibri"/>
          <w:color w:val="000000" w:themeColor="text1"/>
        </w:rPr>
        <w:t>the provisions of the current legislation, including for VAT (19% standard rate, reduced rate of 9% for foods) and excise duties (maintaining the level of the excise duty for energy products).</w:t>
      </w:r>
    </w:p>
    <w:p w:rsidR="006A425D" w:rsidRPr="007C3BAA" w:rsidRDefault="006A425D" w:rsidP="00565476">
      <w:pPr>
        <w:numPr>
          <w:ilvl w:val="0"/>
          <w:numId w:val="178"/>
        </w:numPr>
        <w:shd w:val="clear" w:color="auto" w:fill="FFFFFF"/>
        <w:spacing w:line="259" w:lineRule="auto"/>
        <w:ind w:left="568" w:hanging="284"/>
        <w:contextualSpacing/>
        <w:jc w:val="both"/>
        <w:rPr>
          <w:rFonts w:ascii="Calibri" w:eastAsia="Calibri" w:hAnsi="Calibri" w:cs="Arial"/>
          <w:color w:val="000000" w:themeColor="text1"/>
        </w:rPr>
      </w:pPr>
      <w:r>
        <w:rPr>
          <w:rFonts w:ascii="Calibri" w:hAnsi="Calibri"/>
          <w:color w:val="000000" w:themeColor="text1"/>
        </w:rPr>
        <w:t>the projection of budget revenues also includes the impact generated by GEO 114/2018, through:</w:t>
      </w:r>
    </w:p>
    <w:p w:rsidR="006A425D" w:rsidRPr="007C3BAA" w:rsidRDefault="006A425D" w:rsidP="00565476">
      <w:pPr>
        <w:pStyle w:val="ListParagraph"/>
        <w:numPr>
          <w:ilvl w:val="0"/>
          <w:numId w:val="215"/>
        </w:numPr>
        <w:shd w:val="clear" w:color="auto" w:fill="FFFFFF"/>
        <w:spacing w:line="259" w:lineRule="auto"/>
        <w:ind w:hanging="437"/>
        <w:jc w:val="both"/>
        <w:rPr>
          <w:rFonts w:ascii="Calibri" w:hAnsi="Calibri" w:cs="Arial"/>
          <w:color w:val="000000" w:themeColor="text1"/>
        </w:rPr>
      </w:pPr>
      <w:r>
        <w:rPr>
          <w:rFonts w:ascii="Calibri" w:hAnsi="Calibri"/>
          <w:color w:val="000000" w:themeColor="text1"/>
        </w:rPr>
        <w:t xml:space="preserve">the increase of taxation in the field of gambling (0.5 billion Lei); </w:t>
      </w:r>
    </w:p>
    <w:p w:rsidR="006A425D" w:rsidRPr="00F751B9" w:rsidRDefault="006A425D" w:rsidP="00565476">
      <w:pPr>
        <w:pStyle w:val="ListParagraph"/>
        <w:numPr>
          <w:ilvl w:val="0"/>
          <w:numId w:val="215"/>
        </w:numPr>
        <w:shd w:val="clear" w:color="auto" w:fill="FFFFFF"/>
        <w:spacing w:line="259" w:lineRule="auto"/>
        <w:ind w:hanging="437"/>
        <w:jc w:val="both"/>
        <w:rPr>
          <w:rFonts w:ascii="Calibri" w:hAnsi="Calibri" w:cs="Arial"/>
          <w:color w:val="000000" w:themeColor="text1"/>
        </w:rPr>
      </w:pPr>
      <w:r>
        <w:rPr>
          <w:rFonts w:ascii="Calibri" w:hAnsi="Calibri"/>
          <w:color w:val="000000" w:themeColor="text1"/>
        </w:rPr>
        <w:t xml:space="preserve">the increase of the level of excise duties for tobacco products (06 billion Lei); </w:t>
      </w:r>
    </w:p>
    <w:p w:rsidR="006A425D" w:rsidRPr="005063CB" w:rsidRDefault="006A425D" w:rsidP="00565476">
      <w:pPr>
        <w:pStyle w:val="ListParagraph"/>
        <w:numPr>
          <w:ilvl w:val="0"/>
          <w:numId w:val="215"/>
        </w:numPr>
        <w:shd w:val="clear" w:color="auto" w:fill="FFFFFF"/>
        <w:spacing w:line="259" w:lineRule="auto"/>
        <w:ind w:hanging="437"/>
        <w:jc w:val="both"/>
        <w:rPr>
          <w:rFonts w:ascii="Calibri" w:hAnsi="Calibri" w:cs="Arial"/>
          <w:color w:val="000000" w:themeColor="text1"/>
        </w:rPr>
      </w:pPr>
      <w:r>
        <w:rPr>
          <w:rFonts w:ascii="Calibri" w:hAnsi="Calibri"/>
          <w:color w:val="000000" w:themeColor="text1"/>
        </w:rPr>
        <w:lastRenderedPageBreak/>
        <w:t>Economic operators fully or majority State-owned which apply the provisions of GO no. 26/2013, shall distribute and transfer under the law, within 60 days as of the date of approval of the financial statements corresponding to year 2018, under the form of dividends or payments to the State budget, in the case of autonomous administrations, 35% of the amounts distributed to other reserves, in accordance with the provisions of art. 1 para. (1) letter g) in GO no. 64/2001, found in the accounts of available funds existing in the cash register and in the accounts at banks, as well as those corresponding to short-term investments at December 31, 2018 and those which are not committed on the same date through a procurement agreement to be used as own financing sources in accordance with art. 43 in GEO 114/2018 (1.5 billion Lei);</w:t>
      </w:r>
    </w:p>
    <w:p w:rsidR="005063CB" w:rsidRPr="003964D3" w:rsidRDefault="005063CB" w:rsidP="005063CB">
      <w:pPr>
        <w:pStyle w:val="ListParagraph"/>
        <w:shd w:val="clear" w:color="auto" w:fill="FFFFFF"/>
        <w:spacing w:line="259" w:lineRule="auto"/>
        <w:ind w:left="1288"/>
        <w:jc w:val="both"/>
        <w:rPr>
          <w:rFonts w:ascii="Calibri" w:hAnsi="Calibri" w:cs="Arial"/>
          <w:color w:val="000000" w:themeColor="text1"/>
        </w:rPr>
      </w:pPr>
    </w:p>
    <w:p w:rsidR="006A425D" w:rsidRPr="003964D3" w:rsidRDefault="006A425D" w:rsidP="00565476">
      <w:pPr>
        <w:numPr>
          <w:ilvl w:val="0"/>
          <w:numId w:val="178"/>
        </w:numPr>
        <w:shd w:val="clear" w:color="auto" w:fill="FFFFFF"/>
        <w:spacing w:line="259" w:lineRule="auto"/>
        <w:ind w:left="568" w:hanging="284"/>
        <w:contextualSpacing/>
        <w:jc w:val="both"/>
        <w:rPr>
          <w:rFonts w:ascii="Calibri" w:eastAsia="Calibri" w:hAnsi="Calibri" w:cs="Arial"/>
          <w:color w:val="000000" w:themeColor="text1"/>
        </w:rPr>
      </w:pPr>
      <w:r>
        <w:rPr>
          <w:rFonts w:ascii="Calibri" w:hAnsi="Calibri"/>
          <w:color w:val="000000" w:themeColor="text1"/>
        </w:rPr>
        <w:t xml:space="preserve">the revenues estimated to be collected following the sale of telecommunications licenses of 5G type by ANCOM (2.1 billion Lei)  </w:t>
      </w:r>
    </w:p>
    <w:p w:rsidR="006A425D" w:rsidRPr="003964D3" w:rsidRDefault="006A425D" w:rsidP="00565476">
      <w:pPr>
        <w:numPr>
          <w:ilvl w:val="0"/>
          <w:numId w:val="178"/>
        </w:numPr>
        <w:shd w:val="clear" w:color="auto" w:fill="FFFFFF"/>
        <w:spacing w:line="259" w:lineRule="auto"/>
        <w:ind w:left="568" w:hanging="284"/>
        <w:contextualSpacing/>
        <w:jc w:val="both"/>
        <w:rPr>
          <w:rFonts w:ascii="Calibri" w:eastAsia="Calibri" w:hAnsi="Calibri" w:cs="Arial"/>
          <w:color w:val="000000" w:themeColor="text1"/>
        </w:rPr>
      </w:pPr>
      <w:r>
        <w:rPr>
          <w:rFonts w:ascii="Calibri" w:hAnsi="Calibri"/>
          <w:color w:val="000000" w:themeColor="text1"/>
        </w:rPr>
        <w:t>the enforcement in 2019 as well of the measures of distribution of at least 90% of the net profit made under the form of payments to the State or local budget, in the case of autonomous administrations, or of dividends in the case of national companies and fully or majority State-owned companies.</w:t>
      </w:r>
    </w:p>
    <w:p w:rsidR="006A425D" w:rsidRPr="007C3BAA" w:rsidRDefault="006A425D" w:rsidP="00565476">
      <w:pPr>
        <w:numPr>
          <w:ilvl w:val="0"/>
          <w:numId w:val="178"/>
        </w:numPr>
        <w:shd w:val="clear" w:color="auto" w:fill="FFFFFF"/>
        <w:spacing w:line="259" w:lineRule="auto"/>
        <w:ind w:left="568" w:hanging="284"/>
        <w:contextualSpacing/>
        <w:jc w:val="both"/>
        <w:rPr>
          <w:rFonts w:ascii="Calibri" w:hAnsi="Calibri" w:cs="Arial"/>
          <w:iCs/>
          <w:color w:val="000000" w:themeColor="text1"/>
          <w:kern w:val="1"/>
        </w:rPr>
      </w:pPr>
      <w:r>
        <w:rPr>
          <w:rFonts w:ascii="Calibri" w:hAnsi="Calibri"/>
          <w:iCs/>
          <w:color w:val="000000" w:themeColor="text1"/>
        </w:rPr>
        <w:t>the term provided under art. 6 in Government Ordinance no. 5/2013 on the establishment of certain special taxation measures of activities of the type of natural monopoly in the sector of electricity and natural gas, as subsequently amended and supplemented, as well as the term provided under art. 6 in Government Ordinance no. 6/2013 on the establishment of special measures for the taxation of natural resource exploitation, other than natural gas, approved as amended and supplemented through Law no. 261/2013, shall be postponed until December 31, 2021, inclusive.</w:t>
      </w:r>
    </w:p>
    <w:p w:rsidR="006A425D" w:rsidRPr="007C3BAA" w:rsidRDefault="006A425D" w:rsidP="00565476">
      <w:pPr>
        <w:numPr>
          <w:ilvl w:val="0"/>
          <w:numId w:val="178"/>
        </w:numPr>
        <w:spacing w:after="160" w:line="259" w:lineRule="auto"/>
        <w:ind w:left="567" w:hanging="141"/>
        <w:contextualSpacing/>
        <w:jc w:val="both"/>
        <w:rPr>
          <w:rFonts w:ascii="Calibri" w:hAnsi="Calibri" w:cs="Arial"/>
          <w:color w:val="000000" w:themeColor="text1"/>
        </w:rPr>
      </w:pPr>
      <w:r>
        <w:rPr>
          <w:rFonts w:ascii="Calibri" w:hAnsi="Calibri"/>
          <w:bCs/>
          <w:color w:val="000000" w:themeColor="text1"/>
        </w:rPr>
        <w:t xml:space="preserve">the estimation of Pension Pillar II for the period 2019-2022 was made on the basis of maintenance, just like in 2018, of a share of contribution to the pension fund of 3.75%, in accordance with the provisions of art. 43 para. (3) in </w:t>
      </w:r>
      <w:r>
        <w:rPr>
          <w:rFonts w:ascii="Calibri" w:hAnsi="Calibri"/>
          <w:bCs/>
          <w:i/>
          <w:color w:val="000000" w:themeColor="text1"/>
        </w:rPr>
        <w:t>Law no. 411/2004 on privately managed pension funds, as subsequently amended and supplemented</w:t>
      </w:r>
      <w:r>
        <w:rPr>
          <w:rFonts w:ascii="Calibri" w:hAnsi="Calibri"/>
          <w:bCs/>
          <w:color w:val="000000" w:themeColor="text1"/>
        </w:rPr>
        <w:t>.</w:t>
      </w:r>
    </w:p>
    <w:p w:rsidR="006A425D" w:rsidRPr="002C1741" w:rsidRDefault="006A425D" w:rsidP="006A425D">
      <w:pPr>
        <w:spacing w:after="160" w:line="259" w:lineRule="auto"/>
        <w:ind w:left="567"/>
        <w:contextualSpacing/>
        <w:jc w:val="both"/>
        <w:rPr>
          <w:rFonts w:ascii="Calibri" w:hAnsi="Calibri" w:cs="Arial"/>
        </w:rPr>
      </w:pPr>
      <w:r>
        <w:rPr>
          <w:rFonts w:ascii="Calibri" w:hAnsi="Calibri"/>
          <w:bCs/>
        </w:rPr>
        <w:tab/>
      </w:r>
    </w:p>
    <w:p w:rsidR="006A425D" w:rsidRPr="002C1741" w:rsidRDefault="006A425D" w:rsidP="00565476">
      <w:pPr>
        <w:numPr>
          <w:ilvl w:val="0"/>
          <w:numId w:val="177"/>
        </w:numPr>
        <w:tabs>
          <w:tab w:val="left" w:pos="426"/>
        </w:tabs>
        <w:autoSpaceDE w:val="0"/>
        <w:autoSpaceDN w:val="0"/>
        <w:adjustRightInd w:val="0"/>
        <w:spacing w:after="80"/>
        <w:jc w:val="both"/>
        <w:rPr>
          <w:rFonts w:ascii="Calibri" w:hAnsi="Calibri" w:cs="Arial"/>
          <w:b/>
          <w:color w:val="000048"/>
        </w:rPr>
      </w:pPr>
      <w:r>
        <w:rPr>
          <w:rFonts w:ascii="Calibri" w:hAnsi="Calibri"/>
          <w:b/>
          <w:i/>
          <w:color w:val="000048"/>
        </w:rPr>
        <w:t>The following were considered when estimating the expenditures:</w:t>
      </w:r>
    </w:p>
    <w:p w:rsidR="006A425D" w:rsidRPr="002C1741" w:rsidRDefault="006A425D" w:rsidP="006A425D">
      <w:pPr>
        <w:tabs>
          <w:tab w:val="left" w:pos="426"/>
        </w:tabs>
        <w:autoSpaceDE w:val="0"/>
        <w:autoSpaceDN w:val="0"/>
        <w:adjustRightInd w:val="0"/>
        <w:spacing w:after="80"/>
        <w:ind w:left="360"/>
        <w:jc w:val="both"/>
        <w:rPr>
          <w:rFonts w:ascii="Calibri" w:hAnsi="Calibri" w:cs="Arial"/>
          <w:b/>
          <w:color w:val="000048"/>
          <w:lang w:val="ro-RO" w:eastAsia="ro-RO"/>
        </w:rPr>
      </w:pPr>
    </w:p>
    <w:p w:rsidR="006A425D" w:rsidRPr="00950853" w:rsidRDefault="006A425D" w:rsidP="00565476">
      <w:pPr>
        <w:numPr>
          <w:ilvl w:val="0"/>
          <w:numId w:val="205"/>
        </w:numPr>
        <w:spacing w:after="160" w:line="259" w:lineRule="auto"/>
        <w:contextualSpacing/>
        <w:jc w:val="both"/>
        <w:rPr>
          <w:rFonts w:ascii="Calibri" w:eastAsia="Calibri" w:hAnsi="Calibri" w:cs="Arial"/>
          <w:color w:val="000000"/>
        </w:rPr>
      </w:pPr>
      <w:r>
        <w:rPr>
          <w:rFonts w:ascii="Calibri" w:hAnsi="Calibri"/>
          <w:color w:val="000000"/>
        </w:rPr>
        <w:t>as of September 1, 2019, the value of the pension point will be increased by 15%, respectively from Lei 1,100 to Lei 1,265;</w:t>
      </w:r>
    </w:p>
    <w:p w:rsidR="006A425D" w:rsidRPr="003350EC" w:rsidRDefault="006A425D" w:rsidP="00565476">
      <w:pPr>
        <w:numPr>
          <w:ilvl w:val="0"/>
          <w:numId w:val="205"/>
        </w:numPr>
        <w:spacing w:after="160" w:line="259" w:lineRule="auto"/>
        <w:contextualSpacing/>
        <w:jc w:val="both"/>
        <w:rPr>
          <w:rFonts w:ascii="Calibri" w:eastAsia="Calibri" w:hAnsi="Calibri" w:cs="Arial"/>
          <w:color w:val="000000" w:themeColor="text1"/>
        </w:rPr>
      </w:pPr>
      <w:r>
        <w:rPr>
          <w:rFonts w:ascii="Calibri" w:hAnsi="Calibri"/>
        </w:rPr>
        <w:t>as of September 1, 2019, the guaranteed social allowance for the retired will be increased by 10%, respectively from Lei 640 to Lei 704;</w:t>
      </w:r>
    </w:p>
    <w:p w:rsidR="00B512B4" w:rsidRPr="003350EC" w:rsidRDefault="00B512B4" w:rsidP="00B512B4">
      <w:pPr>
        <w:numPr>
          <w:ilvl w:val="0"/>
          <w:numId w:val="205"/>
        </w:numPr>
        <w:spacing w:after="160" w:line="259" w:lineRule="auto"/>
        <w:contextualSpacing/>
        <w:jc w:val="both"/>
        <w:rPr>
          <w:rFonts w:ascii="Calibri" w:eastAsia="Calibri" w:hAnsi="Calibri" w:cs="Arial"/>
          <w:color w:val="000000" w:themeColor="text1"/>
        </w:rPr>
      </w:pPr>
      <w:r>
        <w:rPr>
          <w:rFonts w:ascii="Calibri" w:hAnsi="Calibri"/>
          <w:color w:val="000000" w:themeColor="text1"/>
        </w:rPr>
        <w:t>as of the month following that of entry into force of the law of the State budget for 2019, the amount of the State allowance for children will be increased from Lei 200 to Lei 300 for children up to 2 years of age or up to 3 years of age, in the case of handicapped children; from Lei 84 to Lei 150 for children with ages between 2 years and 18 years, as well as for 18 year olds who are enrolled in high school or professional studies organized under the law, until they complete said studies, and from Lei 200 to Lei 300 for children with disabilities aged between 3 and 18 years, in the case of handicapped children.</w:t>
      </w:r>
    </w:p>
    <w:p w:rsidR="006A425D" w:rsidRPr="00950853" w:rsidRDefault="006A425D" w:rsidP="00565476">
      <w:pPr>
        <w:numPr>
          <w:ilvl w:val="0"/>
          <w:numId w:val="203"/>
        </w:numPr>
        <w:spacing w:after="160" w:line="259" w:lineRule="auto"/>
        <w:contextualSpacing/>
        <w:jc w:val="both"/>
        <w:rPr>
          <w:rFonts w:ascii="Calibri" w:eastAsia="Calibri" w:hAnsi="Calibri" w:cs="Arial"/>
          <w:color w:val="000000"/>
        </w:rPr>
      </w:pPr>
      <w:r>
        <w:rPr>
          <w:rFonts w:ascii="Calibri" w:hAnsi="Calibri"/>
        </w:rPr>
        <w:t>as of January 1, 2019, the minimum gross salary guaranteed at country level provided by art. 164 para. (1) in Law no. 53/2003 - Labor Code, as republished, as subsequently amended and supplemented, shall be established in money, without inclusion of bonuses and other additions, at the amount of 2,080 Lei per month;</w:t>
      </w:r>
    </w:p>
    <w:p w:rsidR="006A425D" w:rsidRPr="003964D3" w:rsidRDefault="006A425D" w:rsidP="00565476">
      <w:pPr>
        <w:numPr>
          <w:ilvl w:val="0"/>
          <w:numId w:val="203"/>
        </w:numPr>
        <w:spacing w:after="160" w:line="259" w:lineRule="auto"/>
        <w:contextualSpacing/>
        <w:jc w:val="both"/>
        <w:rPr>
          <w:rFonts w:ascii="Calibri" w:eastAsia="Calibri" w:hAnsi="Calibri" w:cs="Arial"/>
          <w:color w:val="000000" w:themeColor="text1"/>
        </w:rPr>
      </w:pPr>
      <w:r>
        <w:rPr>
          <w:rFonts w:ascii="Calibri" w:hAnsi="Calibri"/>
          <w:color w:val="000000" w:themeColor="text1"/>
        </w:rPr>
        <w:t>as of January 1, 2019, the basic salaries, the position based military pay/position based salaries, the employment allowances shall be increased by 1/4 from the difference between the basic salary, the position based military pay/position based salary, the employment allowance provided by law for year 2022 and that from the month of December 2018;</w:t>
      </w:r>
    </w:p>
    <w:p w:rsidR="006A425D" w:rsidRPr="003964D3" w:rsidRDefault="006A425D" w:rsidP="00565476">
      <w:pPr>
        <w:numPr>
          <w:ilvl w:val="0"/>
          <w:numId w:val="203"/>
        </w:numPr>
        <w:spacing w:after="160" w:line="259" w:lineRule="auto"/>
        <w:contextualSpacing/>
        <w:jc w:val="both"/>
        <w:rPr>
          <w:rFonts w:ascii="Calibri" w:eastAsia="Calibri" w:hAnsi="Calibri" w:cs="Arial"/>
          <w:color w:val="000000" w:themeColor="text1"/>
        </w:rPr>
      </w:pPr>
      <w:r>
        <w:rPr>
          <w:rFonts w:ascii="Calibri" w:hAnsi="Calibri"/>
          <w:color w:val="000000" w:themeColor="text1"/>
        </w:rPr>
        <w:t>as of January 1, 2019, the amount of the bonuses, allowances, compensations, premiums and other elements of the salary system they are part of, according to law, from the gross monthly salary, the monthly military pay of which the personnel paid from public funds benefits, shall be maintained at most at the level of the amount awarded for the month of December 2018;</w:t>
      </w:r>
    </w:p>
    <w:p w:rsidR="006A425D" w:rsidRPr="002C1741" w:rsidRDefault="00F00F75" w:rsidP="00565476">
      <w:pPr>
        <w:numPr>
          <w:ilvl w:val="0"/>
          <w:numId w:val="203"/>
        </w:numPr>
        <w:spacing w:after="160" w:line="259" w:lineRule="auto"/>
        <w:contextualSpacing/>
        <w:jc w:val="both"/>
        <w:rPr>
          <w:rFonts w:ascii="Calibri" w:eastAsia="Calibri" w:hAnsi="Calibri" w:cs="Arial"/>
          <w:color w:val="000000" w:themeColor="text1"/>
        </w:rPr>
      </w:pPr>
      <w:r>
        <w:rPr>
          <w:rFonts w:ascii="Calibri" w:hAnsi="Calibri"/>
          <w:color w:val="000000" w:themeColor="text1"/>
        </w:rPr>
        <w:t xml:space="preserve">the award between 2019 and </w:t>
      </w:r>
      <w:r w:rsidR="006A425D">
        <w:rPr>
          <w:rFonts w:ascii="Calibri" w:hAnsi="Calibri"/>
          <w:color w:val="000000" w:themeColor="text1"/>
        </w:rPr>
        <w:t>2020 of holiday vouchers according to the provisions of GEO no. 8/2009;</w:t>
      </w:r>
    </w:p>
    <w:p w:rsidR="006A425D" w:rsidRPr="00F751B9" w:rsidRDefault="00F00F75" w:rsidP="00565476">
      <w:pPr>
        <w:numPr>
          <w:ilvl w:val="0"/>
          <w:numId w:val="203"/>
        </w:numPr>
        <w:spacing w:after="160" w:line="259" w:lineRule="auto"/>
        <w:contextualSpacing/>
        <w:jc w:val="both"/>
        <w:rPr>
          <w:rFonts w:ascii="Calibri" w:eastAsia="Calibri" w:hAnsi="Calibri" w:cs="Arial"/>
          <w:color w:val="000000" w:themeColor="text1"/>
        </w:rPr>
      </w:pPr>
      <w:r>
        <w:rPr>
          <w:rFonts w:ascii="Calibri" w:hAnsi="Calibri"/>
          <w:color w:val="000000" w:themeColor="text1"/>
        </w:rPr>
        <w:t xml:space="preserve">the award between 2019 and </w:t>
      </w:r>
      <w:r w:rsidR="006A425D">
        <w:rPr>
          <w:rFonts w:ascii="Calibri" w:hAnsi="Calibri"/>
          <w:color w:val="000000" w:themeColor="text1"/>
        </w:rPr>
        <w:t>2020 of the meal benefit provided by art. 18 in Framework law no. 153/2017;</w:t>
      </w:r>
    </w:p>
    <w:p w:rsidR="006A425D" w:rsidRPr="00F751B9" w:rsidRDefault="006A425D" w:rsidP="00565476">
      <w:pPr>
        <w:numPr>
          <w:ilvl w:val="0"/>
          <w:numId w:val="203"/>
        </w:numPr>
        <w:spacing w:after="160" w:line="259" w:lineRule="auto"/>
        <w:contextualSpacing/>
        <w:jc w:val="both"/>
        <w:rPr>
          <w:rFonts w:ascii="Calibri" w:eastAsia="Calibri" w:hAnsi="Calibri" w:cs="Arial"/>
          <w:color w:val="000000" w:themeColor="text1"/>
        </w:rPr>
      </w:pPr>
      <w:r>
        <w:rPr>
          <w:rFonts w:ascii="Calibri" w:hAnsi="Calibri"/>
          <w:color w:val="000000" w:themeColor="text1"/>
        </w:rPr>
        <w:t>between 2019 and 2021 for the military personnel, policemen and public servants with special status from the system of administration of penitentiaries, the allowances, compensations, premiums, aids, compensatory payments, reparations, monthly compensations for rent and other rights awarded in accordance with the legislative acts in force, which are not part of the gross monthly military pay/gross monthly salary, shall be maintained at the level of the month of December 2018;</w:t>
      </w:r>
    </w:p>
    <w:p w:rsidR="006A425D" w:rsidRPr="00F751B9" w:rsidRDefault="006A425D" w:rsidP="00565476">
      <w:pPr>
        <w:numPr>
          <w:ilvl w:val="0"/>
          <w:numId w:val="203"/>
        </w:numPr>
        <w:spacing w:after="160" w:line="259" w:lineRule="auto"/>
        <w:contextualSpacing/>
        <w:jc w:val="both"/>
        <w:rPr>
          <w:rFonts w:ascii="Calibri" w:eastAsia="Calibri" w:hAnsi="Calibri" w:cs="Arial"/>
          <w:color w:val="000000" w:themeColor="text1"/>
        </w:rPr>
      </w:pPr>
      <w:r>
        <w:rPr>
          <w:rFonts w:ascii="Calibri" w:hAnsi="Calibri"/>
          <w:color w:val="000000" w:themeColor="text1"/>
        </w:rPr>
        <w:t>between 2019 and 2021, the amount of the money compensation, respectively of the value allowance for meal rights and, respectively, the annual financial value of equipment standards, as well as the financial value of the equipment rights shall be maintained at the level set for the month of December 2018;</w:t>
      </w:r>
    </w:p>
    <w:p w:rsidR="006A425D" w:rsidRPr="00F751B9" w:rsidRDefault="006A425D" w:rsidP="00565476">
      <w:pPr>
        <w:numPr>
          <w:ilvl w:val="0"/>
          <w:numId w:val="203"/>
        </w:numPr>
        <w:spacing w:after="160" w:line="259" w:lineRule="auto"/>
        <w:contextualSpacing/>
        <w:jc w:val="both"/>
        <w:rPr>
          <w:rFonts w:ascii="Calibri" w:eastAsia="Calibri" w:hAnsi="Calibri"/>
          <w:color w:val="000000" w:themeColor="text1"/>
        </w:rPr>
      </w:pPr>
      <w:r>
        <w:rPr>
          <w:rFonts w:ascii="Calibri" w:hAnsi="Calibri"/>
          <w:color w:val="000000" w:themeColor="text1"/>
        </w:rPr>
        <w:t>between 2019 and 2021 shall be maintained in payment at the level awarded/due for the month of December 2018 certain allowances paid to disadvantaged people, like: the allowances for the people politically and ethnically persecuted, the allowances for the members of the Romanian Academy, and so on.</w:t>
      </w:r>
    </w:p>
    <w:p w:rsidR="006A425D" w:rsidRPr="00F751B9" w:rsidRDefault="006A425D" w:rsidP="00565476">
      <w:pPr>
        <w:numPr>
          <w:ilvl w:val="0"/>
          <w:numId w:val="203"/>
        </w:numPr>
        <w:spacing w:after="160" w:line="259" w:lineRule="auto"/>
        <w:contextualSpacing/>
        <w:jc w:val="both"/>
        <w:rPr>
          <w:rFonts w:ascii="Calibri" w:eastAsia="Calibri" w:hAnsi="Calibri" w:cs="Arial"/>
          <w:color w:val="000000" w:themeColor="text1"/>
        </w:rPr>
      </w:pPr>
      <w:r>
        <w:rPr>
          <w:rFonts w:ascii="Calibri" w:hAnsi="Calibri"/>
          <w:color w:val="000000" w:themeColor="text1"/>
        </w:rPr>
        <w:t>Between 2019 and 2021, the life annuities provided by art. 64 in the Law of physical education and sports no. 69/2000, as subsequently amended and supplemented, shall be awarded in the amount payable in December 2018;</w:t>
      </w:r>
    </w:p>
    <w:p w:rsidR="006A425D" w:rsidRPr="002C1741" w:rsidRDefault="006A425D" w:rsidP="00565476">
      <w:pPr>
        <w:numPr>
          <w:ilvl w:val="0"/>
          <w:numId w:val="185"/>
        </w:numPr>
        <w:ind w:hanging="720"/>
        <w:jc w:val="both"/>
        <w:rPr>
          <w:rFonts w:ascii="Calibri" w:hAnsi="Calibri" w:cs="Arial"/>
          <w:color w:val="000000" w:themeColor="text1"/>
        </w:rPr>
      </w:pPr>
      <w:r>
        <w:rPr>
          <w:rFonts w:ascii="Calibri" w:hAnsi="Calibri"/>
          <w:color w:val="000000" w:themeColor="text1"/>
        </w:rPr>
        <w:t>Also, when establishing the personnel expenditures for 2019 it was considered the continued application of some of the measures which refer to the limitation of expenditures approved in previous years, as follows:</w:t>
      </w:r>
    </w:p>
    <w:p w:rsidR="006A425D" w:rsidRPr="003964D3" w:rsidRDefault="006A425D" w:rsidP="00565476">
      <w:pPr>
        <w:numPr>
          <w:ilvl w:val="0"/>
          <w:numId w:val="204"/>
        </w:numPr>
        <w:spacing w:after="160" w:line="259" w:lineRule="auto"/>
        <w:contextualSpacing/>
        <w:jc w:val="both"/>
        <w:rPr>
          <w:rFonts w:ascii="Calibri" w:eastAsia="Calibri" w:hAnsi="Calibri" w:cs="Arial"/>
          <w:color w:val="000000" w:themeColor="text1"/>
        </w:rPr>
      </w:pPr>
      <w:r>
        <w:rPr>
          <w:rFonts w:ascii="Calibri" w:hAnsi="Calibri"/>
          <w:color w:val="000000" w:themeColor="text1"/>
        </w:rPr>
        <w:t>overtime worked over the normal working hours or on free days shall be compensated only by free time, with certain exceptions in the case of the personnel from the fields of defense, public safety and order or in the case of the personnel with special status;</w:t>
      </w:r>
    </w:p>
    <w:p w:rsidR="006A425D" w:rsidRPr="003964D3" w:rsidRDefault="006A425D" w:rsidP="00565476">
      <w:pPr>
        <w:numPr>
          <w:ilvl w:val="0"/>
          <w:numId w:val="204"/>
        </w:numPr>
        <w:spacing w:after="160" w:line="259" w:lineRule="auto"/>
        <w:contextualSpacing/>
        <w:jc w:val="both"/>
        <w:rPr>
          <w:rFonts w:ascii="Calibri" w:eastAsia="Calibri" w:hAnsi="Calibri" w:cs="Arial"/>
          <w:color w:val="000000" w:themeColor="text1"/>
        </w:rPr>
      </w:pPr>
      <w:r>
        <w:rPr>
          <w:rFonts w:ascii="Calibri" w:hAnsi="Calibri"/>
          <w:color w:val="000000" w:themeColor="text1"/>
        </w:rPr>
        <w:t>between 2019 and 2021, public institutions and authorities shall not give awards to the personnel thereof, with certain exceptions in the case of sportsmen and technical teams, students, pupils and teachers;</w:t>
      </w:r>
    </w:p>
    <w:p w:rsidR="006A425D" w:rsidRPr="003964D3" w:rsidRDefault="006A425D" w:rsidP="00565476">
      <w:pPr>
        <w:numPr>
          <w:ilvl w:val="0"/>
          <w:numId w:val="204"/>
        </w:numPr>
        <w:spacing w:after="160" w:line="259" w:lineRule="auto"/>
        <w:contextualSpacing/>
        <w:jc w:val="both"/>
        <w:rPr>
          <w:rFonts w:ascii="Calibri" w:eastAsia="Calibri" w:hAnsi="Calibri" w:cs="Arial"/>
          <w:color w:val="000000" w:themeColor="text1"/>
        </w:rPr>
      </w:pPr>
      <w:r>
        <w:rPr>
          <w:rFonts w:ascii="Calibri" w:hAnsi="Calibri"/>
          <w:color w:val="000000" w:themeColor="text1"/>
        </w:rPr>
        <w:t>between 2019 and 2021 shall not be awarded the aid or, as applicable, the allowances for retirement, withdrawal, termination of employment relations or discharge;</w:t>
      </w:r>
    </w:p>
    <w:p w:rsidR="006A425D" w:rsidRPr="003964D3" w:rsidRDefault="006A425D" w:rsidP="00565476">
      <w:pPr>
        <w:numPr>
          <w:ilvl w:val="0"/>
          <w:numId w:val="204"/>
        </w:numPr>
        <w:spacing w:after="160" w:line="259" w:lineRule="auto"/>
        <w:contextualSpacing/>
        <w:jc w:val="both"/>
        <w:rPr>
          <w:rFonts w:ascii="Calibri" w:eastAsia="Calibri" w:hAnsi="Calibri" w:cs="Arial"/>
          <w:strike/>
          <w:color w:val="000000" w:themeColor="text1"/>
          <w:sz w:val="22"/>
          <w:szCs w:val="22"/>
        </w:rPr>
      </w:pPr>
      <w:r>
        <w:rPr>
          <w:rFonts w:ascii="Calibri" w:hAnsi="Calibri"/>
          <w:color w:val="000000" w:themeColor="text1"/>
        </w:rPr>
        <w:t>Between 2019 and 2021, public institutions and authorities shall not award to the personnel bills, with the exception of nursery vouchers regulated by Law no. 165/2018.</w:t>
      </w:r>
    </w:p>
    <w:p w:rsidR="006A425D" w:rsidRPr="003964D3" w:rsidRDefault="006A425D" w:rsidP="006A425D">
      <w:pPr>
        <w:spacing w:after="160" w:line="259" w:lineRule="auto"/>
        <w:ind w:left="720"/>
        <w:contextualSpacing/>
        <w:jc w:val="both"/>
        <w:rPr>
          <w:rFonts w:ascii="Calibri" w:eastAsia="Calibri" w:hAnsi="Calibri" w:cs="Arial"/>
          <w:strike/>
          <w:sz w:val="22"/>
          <w:szCs w:val="22"/>
          <w:lang w:val="fr-FR"/>
        </w:rPr>
      </w:pPr>
    </w:p>
    <w:p w:rsidR="006A425D" w:rsidRPr="002C1741" w:rsidRDefault="006A425D" w:rsidP="006A425D">
      <w:pPr>
        <w:widowControl w:val="0"/>
        <w:autoSpaceDE w:val="0"/>
        <w:autoSpaceDN w:val="0"/>
        <w:adjustRightInd w:val="0"/>
        <w:spacing w:line="320" w:lineRule="exact"/>
        <w:jc w:val="both"/>
        <w:rPr>
          <w:rFonts w:asciiTheme="minorHAnsi" w:hAnsiTheme="minorHAnsi" w:cs="Arial"/>
          <w:color w:val="000000"/>
        </w:rPr>
      </w:pPr>
      <w:r>
        <w:rPr>
          <w:rFonts w:asciiTheme="minorHAnsi" w:hAnsiTheme="minorHAnsi"/>
        </w:rPr>
        <w:t xml:space="preserve"> Under these circumstances, the </w:t>
      </w:r>
      <w:r>
        <w:rPr>
          <w:rFonts w:asciiTheme="minorHAnsi" w:hAnsiTheme="minorHAnsi"/>
          <w:b/>
          <w:color w:val="000048"/>
        </w:rPr>
        <w:t xml:space="preserve">budget revenues </w:t>
      </w:r>
      <w:r>
        <w:rPr>
          <w:rFonts w:asciiTheme="minorHAnsi" w:hAnsiTheme="minorHAnsi"/>
        </w:rPr>
        <w:t xml:space="preserve">projected for year 2019 represent 33.51% of the GDP, 32.23% in year 2020, and shall represent 31.97% of the GDP as of year 2021, an evolution caused by the evolution of the macroeconomic indicators on the reference horizon, as well as by the legislative acts adopted until this moment, and </w:t>
      </w:r>
      <w:r>
        <w:rPr>
          <w:rFonts w:asciiTheme="minorHAnsi" w:hAnsiTheme="minorHAnsi"/>
          <w:b/>
          <w:color w:val="000048"/>
        </w:rPr>
        <w:t xml:space="preserve">budget expenditures </w:t>
      </w:r>
      <w:r>
        <w:rPr>
          <w:rFonts w:asciiTheme="minorHAnsi" w:hAnsiTheme="minorHAnsi"/>
          <w:color w:val="000000"/>
        </w:rPr>
        <w:t xml:space="preserve">projected for year 2019 represent 36.28% of the GDP, going to 33.98% in 2021, decreasing on the reference horizon as share in the GDP. </w:t>
      </w:r>
    </w:p>
    <w:p w:rsidR="006A425D" w:rsidRPr="003350EC" w:rsidRDefault="006A425D" w:rsidP="006A425D">
      <w:pPr>
        <w:widowControl w:val="0"/>
        <w:autoSpaceDE w:val="0"/>
        <w:autoSpaceDN w:val="0"/>
        <w:adjustRightInd w:val="0"/>
        <w:spacing w:line="320" w:lineRule="exact"/>
        <w:jc w:val="both"/>
        <w:rPr>
          <w:rFonts w:cs="Calibri"/>
          <w:color w:val="000000" w:themeColor="text1"/>
          <w:lang w:val="ro-RO"/>
        </w:rPr>
      </w:pPr>
    </w:p>
    <w:p w:rsidR="006A425D" w:rsidRPr="00FA16B0" w:rsidRDefault="006A425D" w:rsidP="006A425D">
      <w:pPr>
        <w:contextualSpacing/>
        <w:jc w:val="both"/>
        <w:rPr>
          <w:rFonts w:ascii="Calibri" w:hAnsi="Calibri" w:cs="Arial"/>
        </w:rPr>
      </w:pPr>
      <w:r>
        <w:rPr>
          <w:rFonts w:ascii="Calibri" w:hAnsi="Calibri"/>
          <w:color w:val="000000" w:themeColor="text1"/>
        </w:rPr>
        <w:t xml:space="preserve">It should be noted that for year 2017 </w:t>
      </w:r>
      <w:r>
        <w:rPr>
          <w:rFonts w:ascii="Calibri" w:hAnsi="Calibri"/>
          <w:b/>
          <w:color w:val="000000" w:themeColor="text1"/>
        </w:rPr>
        <w:t>the cash deficit</w:t>
      </w:r>
      <w:r>
        <w:rPr>
          <w:rFonts w:ascii="Calibri" w:hAnsi="Calibri"/>
          <w:color w:val="000000" w:themeColor="text1"/>
        </w:rPr>
        <w:t xml:space="preserve"> was of 2.84% of the GDP, </w:t>
      </w:r>
      <w:r>
        <w:rPr>
          <w:rFonts w:ascii="Calibri" w:hAnsi="Calibri"/>
          <w:b/>
          <w:color w:val="000000" w:themeColor="text1"/>
        </w:rPr>
        <w:t xml:space="preserve">which corresponds to a registered ESA deficit of 2.88% of GDP and a structural deficit of 3.36% of the GDP, and in 2018 the cash deficit was estimated at 2.91% of the GDP, to which corresponds an estimated ESA deficit of 2.96% of GDP. </w:t>
      </w:r>
      <w:r>
        <w:rPr>
          <w:rFonts w:ascii="Calibri" w:hAnsi="Calibri"/>
          <w:color w:val="000000" w:themeColor="text1"/>
        </w:rPr>
        <w:t xml:space="preserve"> </w:t>
      </w:r>
    </w:p>
    <w:p w:rsidR="006A425D" w:rsidRDefault="006A425D" w:rsidP="006A425D">
      <w:pPr>
        <w:spacing w:before="120" w:after="120" w:line="269" w:lineRule="auto"/>
        <w:ind w:hanging="357"/>
        <w:jc w:val="both"/>
        <w:rPr>
          <w:rFonts w:ascii="Calibri" w:hAnsi="Calibri"/>
        </w:rPr>
      </w:pPr>
      <w:r>
        <w:rPr>
          <w:rFonts w:ascii="Calibri" w:hAnsi="Calibri"/>
        </w:rPr>
        <w:t xml:space="preserve">       Budget planning for 2019 and the estimates for the period of 2020-2021 establish the ESA budget deficit of 2019 at 2.78% of GDP, an adjustment of 0.18 percentage points compared to 2018, which will continue on the horizon of 2020-2021, and will reach 2.45% of GDP in 2021, respectively an adjustment of 0.33 percentage points compared to year 2019. </w:t>
      </w:r>
    </w:p>
    <w:p w:rsidR="005063CB" w:rsidRPr="005063CB" w:rsidRDefault="005063CB" w:rsidP="006A425D">
      <w:pPr>
        <w:spacing w:before="120" w:after="120" w:line="269" w:lineRule="auto"/>
        <w:ind w:hanging="357"/>
        <w:jc w:val="both"/>
        <w:rPr>
          <w:rFonts w:ascii="Calibri" w:eastAsia="Calibri" w:hAnsi="Calibri" w:cs="Arial"/>
          <w:sz w:val="10"/>
        </w:rPr>
      </w:pPr>
    </w:p>
    <w:p w:rsidR="006A425D" w:rsidRDefault="006A425D" w:rsidP="006A425D">
      <w:pPr>
        <w:spacing w:before="120" w:after="120" w:line="276" w:lineRule="auto"/>
        <w:jc w:val="both"/>
        <w:rPr>
          <w:rFonts w:ascii="Calibri" w:hAnsi="Calibri"/>
          <w:b/>
          <w:color w:val="000048"/>
        </w:rPr>
      </w:pPr>
      <w:r>
        <w:rPr>
          <w:rFonts w:ascii="Calibri" w:hAnsi="Calibri"/>
        </w:rPr>
        <w:t xml:space="preserve">On the horizon of 2019-2021, the budget deficit policy continues to directly support economic growth, within the margin allowed by the Stability and Growth Pact, </w:t>
      </w:r>
      <w:r>
        <w:rPr>
          <w:rFonts w:ascii="Calibri" w:hAnsi="Calibri"/>
          <w:b/>
          <w:color w:val="000048"/>
        </w:rPr>
        <w:t xml:space="preserve">respectively an ESA budget deficit of 3% of GDP. </w:t>
      </w:r>
    </w:p>
    <w:p w:rsidR="005063CB" w:rsidRPr="005063CB" w:rsidRDefault="005063CB" w:rsidP="006A425D">
      <w:pPr>
        <w:spacing w:before="120" w:after="120" w:line="276" w:lineRule="auto"/>
        <w:jc w:val="both"/>
        <w:rPr>
          <w:rFonts w:ascii="Calibri" w:eastAsia="Calibri" w:hAnsi="Calibri"/>
          <w:b/>
          <w:color w:val="000048"/>
          <w:sz w:val="12"/>
        </w:rPr>
      </w:pPr>
    </w:p>
    <w:p w:rsidR="006A425D" w:rsidRDefault="006A425D" w:rsidP="006A425D">
      <w:pPr>
        <w:spacing w:after="120" w:line="276" w:lineRule="auto"/>
        <w:jc w:val="both"/>
        <w:rPr>
          <w:rFonts w:ascii="Calibri" w:hAnsi="Calibri"/>
        </w:rPr>
      </w:pPr>
      <w:r>
        <w:rPr>
          <w:rFonts w:ascii="Calibri" w:hAnsi="Calibri"/>
          <w:b/>
          <w:color w:val="000048"/>
        </w:rPr>
        <w:t>In structural terms</w:t>
      </w:r>
      <w:r>
        <w:rPr>
          <w:rFonts w:ascii="Calibri" w:hAnsi="Calibri"/>
        </w:rPr>
        <w:t xml:space="preserve">, it is estimated that the significant deviation registered in 2016 from the MTO set for Romania (namely of 1% of GDP) will be adjusted as of 2021. </w:t>
      </w:r>
    </w:p>
    <w:p w:rsidR="005063CB" w:rsidRPr="005063CB" w:rsidRDefault="005063CB" w:rsidP="006A425D">
      <w:pPr>
        <w:spacing w:after="120" w:line="276" w:lineRule="auto"/>
        <w:jc w:val="both"/>
        <w:rPr>
          <w:rFonts w:ascii="Calibri" w:eastAsia="Calibri" w:hAnsi="Calibri"/>
          <w:sz w:val="6"/>
        </w:rPr>
      </w:pPr>
    </w:p>
    <w:p w:rsidR="006A425D" w:rsidRPr="002C1741" w:rsidRDefault="006A425D" w:rsidP="006A425D">
      <w:pPr>
        <w:spacing w:line="276" w:lineRule="auto"/>
        <w:ind w:right="143"/>
        <w:jc w:val="both"/>
        <w:rPr>
          <w:rFonts w:ascii="Calibri" w:hAnsi="Calibri" w:cs="Arial"/>
          <w:b/>
          <w:color w:val="000048"/>
        </w:rPr>
      </w:pPr>
      <w:r>
        <w:rPr>
          <w:rFonts w:ascii="Calibri" w:hAnsi="Calibri"/>
          <w:b/>
          <w:color w:val="000048"/>
        </w:rPr>
        <w:t xml:space="preserve">The deviation from the MTO would occur if a sustainable level of public debt below 40% of GDP is maintained on the entire planning horizon, Romania recording in 2017 a percentage of public debt of 35.2%, less than in 2016 by 2.1 percentage points.  </w:t>
      </w:r>
    </w:p>
    <w:p w:rsidR="006A425D" w:rsidRDefault="006A425D" w:rsidP="0031085E">
      <w:pPr>
        <w:spacing w:after="120" w:line="276" w:lineRule="auto"/>
        <w:ind w:right="142"/>
        <w:jc w:val="both"/>
        <w:rPr>
          <w:rFonts w:asciiTheme="minorHAnsi" w:hAnsiTheme="minorHAnsi"/>
          <w:iCs/>
          <w:color w:val="000000"/>
        </w:rPr>
      </w:pPr>
      <w:r>
        <w:rPr>
          <w:rFonts w:asciiTheme="minorHAnsi" w:hAnsiTheme="minorHAnsi"/>
          <w:iCs/>
          <w:color w:val="000000"/>
        </w:rPr>
        <w:t>The perspective of moderate growth of the government debt on the medium term and of maintenance at a relatively stable and sustainable level is due to the sustained economic growth and to budget deficits calculated in accordance with the EU methodology of up to 3.0% of GDP between 2019 and 2021.</w:t>
      </w:r>
    </w:p>
    <w:p w:rsidR="005063CB" w:rsidRPr="005063CB" w:rsidRDefault="005063CB" w:rsidP="0031085E">
      <w:pPr>
        <w:spacing w:after="120" w:line="276" w:lineRule="auto"/>
        <w:ind w:right="142"/>
        <w:jc w:val="both"/>
        <w:rPr>
          <w:rFonts w:ascii="Arial" w:hAnsi="Arial" w:cs="Arial"/>
          <w:iCs/>
          <w:color w:val="000000"/>
          <w:sz w:val="4"/>
          <w:szCs w:val="20"/>
        </w:rPr>
      </w:pPr>
    </w:p>
    <w:p w:rsidR="006A425D" w:rsidRDefault="006A425D" w:rsidP="0031085E">
      <w:pPr>
        <w:autoSpaceDE w:val="0"/>
        <w:autoSpaceDN w:val="0"/>
        <w:adjustRightInd w:val="0"/>
        <w:jc w:val="both"/>
        <w:rPr>
          <w:rFonts w:ascii="Calibri" w:hAnsi="Calibri"/>
        </w:rPr>
      </w:pPr>
      <w:r>
        <w:rPr>
          <w:rFonts w:ascii="Calibri" w:hAnsi="Calibri"/>
        </w:rPr>
        <w:t>The estimate of the structural budget balance, in spite of the fact that it better reflects the fiscal position of an economy, presents a certain uncertainty associated with the projection thereof. Thus, the value of the structural balance depends on the level of the production gap, which, in its turn, depends on the potential GDP, an unobservable dimension which is often subject to more or less significant revisions according to the revision of the statistical data and of the methodology used.</w:t>
      </w:r>
    </w:p>
    <w:p w:rsidR="005063CB" w:rsidRPr="002C1741" w:rsidRDefault="005063CB" w:rsidP="0031085E">
      <w:pPr>
        <w:autoSpaceDE w:val="0"/>
        <w:autoSpaceDN w:val="0"/>
        <w:adjustRightInd w:val="0"/>
        <w:jc w:val="both"/>
        <w:rPr>
          <w:rFonts w:ascii="Calibri" w:eastAsia="Calibri" w:hAnsi="Calibri"/>
        </w:rPr>
      </w:pPr>
    </w:p>
    <w:p w:rsidR="006A425D" w:rsidRDefault="006A425D" w:rsidP="006A425D">
      <w:pPr>
        <w:autoSpaceDE w:val="0"/>
        <w:autoSpaceDN w:val="0"/>
        <w:adjustRightInd w:val="0"/>
        <w:jc w:val="both"/>
        <w:rPr>
          <w:rFonts w:ascii="Calibri" w:hAnsi="Calibri" w:cs="Calibri"/>
          <w:b/>
          <w:color w:val="0E015F"/>
          <w:lang w:val="ro-RO" w:eastAsia="ro-RO"/>
        </w:rPr>
      </w:pPr>
    </w:p>
    <w:p w:rsidR="005063CB" w:rsidRDefault="005063CB" w:rsidP="006A425D">
      <w:pPr>
        <w:autoSpaceDE w:val="0"/>
        <w:autoSpaceDN w:val="0"/>
        <w:adjustRightInd w:val="0"/>
        <w:jc w:val="both"/>
        <w:rPr>
          <w:rFonts w:ascii="Calibri" w:hAnsi="Calibri" w:cs="Calibri"/>
          <w:b/>
          <w:color w:val="0E015F"/>
          <w:lang w:val="ro-RO" w:eastAsia="ro-RO"/>
        </w:rPr>
      </w:pPr>
    </w:p>
    <w:p w:rsidR="005063CB" w:rsidRDefault="005063CB" w:rsidP="006A425D">
      <w:pPr>
        <w:widowControl w:val="0"/>
        <w:autoSpaceDE w:val="0"/>
        <w:autoSpaceDN w:val="0"/>
        <w:adjustRightInd w:val="0"/>
        <w:spacing w:after="160" w:line="259" w:lineRule="auto"/>
        <w:jc w:val="both"/>
        <w:rPr>
          <w:rFonts w:ascii="Calibri" w:hAnsi="Calibri"/>
          <w:color w:val="000000" w:themeColor="text1"/>
        </w:rPr>
      </w:pPr>
    </w:p>
    <w:p w:rsidR="005063CB" w:rsidRDefault="006A425D" w:rsidP="006A425D">
      <w:pPr>
        <w:widowControl w:val="0"/>
        <w:autoSpaceDE w:val="0"/>
        <w:autoSpaceDN w:val="0"/>
        <w:adjustRightInd w:val="0"/>
        <w:spacing w:after="160" w:line="259" w:lineRule="auto"/>
        <w:jc w:val="both"/>
        <w:rPr>
          <w:rFonts w:ascii="Calibri" w:hAnsi="Calibri"/>
          <w:color w:val="000000" w:themeColor="text1"/>
        </w:rPr>
      </w:pPr>
      <w:r>
        <w:rPr>
          <w:rFonts w:ascii="Calibri" w:hAnsi="Calibri"/>
          <w:color w:val="000000" w:themeColor="text1"/>
        </w:rPr>
        <w:t>The estimates for 2019 of the main macroeconomic and budgetary indicators are:</w:t>
      </w:r>
    </w:p>
    <w:p w:rsidR="005063CB" w:rsidRPr="005063CB" w:rsidRDefault="005063CB" w:rsidP="006A425D">
      <w:pPr>
        <w:widowControl w:val="0"/>
        <w:autoSpaceDE w:val="0"/>
        <w:autoSpaceDN w:val="0"/>
        <w:adjustRightInd w:val="0"/>
        <w:spacing w:after="160" w:line="259" w:lineRule="auto"/>
        <w:jc w:val="both"/>
        <w:rPr>
          <w:rFonts w:ascii="Calibri" w:hAnsi="Calibri"/>
          <w:color w:val="000000" w:themeColor="text1"/>
        </w:rPr>
      </w:pPr>
    </w:p>
    <w:tbl>
      <w:tblPr>
        <w:tblpPr w:leftFromText="180" w:rightFromText="180" w:vertAnchor="text" w:horzAnchor="margin" w:tblpY="134"/>
        <w:tblW w:w="9498" w:type="dxa"/>
        <w:tblLayout w:type="fixed"/>
        <w:tblLook w:val="0000" w:firstRow="0" w:lastRow="0" w:firstColumn="0" w:lastColumn="0" w:noHBand="0" w:noVBand="0"/>
      </w:tblPr>
      <w:tblGrid>
        <w:gridCol w:w="6771"/>
        <w:gridCol w:w="708"/>
        <w:gridCol w:w="2019"/>
      </w:tblGrid>
      <w:tr w:rsidR="006A425D" w:rsidRPr="002C1741" w:rsidTr="006A425D">
        <w:trPr>
          <w:trHeight w:val="141"/>
        </w:trPr>
        <w:tc>
          <w:tcPr>
            <w:tcW w:w="9498" w:type="dxa"/>
            <w:gridSpan w:val="3"/>
            <w:tcBorders>
              <w:top w:val="nil"/>
              <w:left w:val="nil"/>
              <w:bottom w:val="single" w:sz="4" w:space="0" w:color="auto"/>
              <w:right w:val="nil"/>
            </w:tcBorders>
            <w:shd w:val="clear" w:color="auto" w:fill="BDD6EE" w:themeFill="accent1" w:themeFillTint="66"/>
            <w:noWrap/>
            <w:vAlign w:val="bottom"/>
          </w:tcPr>
          <w:p w:rsidR="006A425D" w:rsidRPr="002C1741" w:rsidRDefault="006A425D" w:rsidP="006A425D">
            <w:pPr>
              <w:keepNext/>
              <w:jc w:val="center"/>
              <w:rPr>
                <w:rFonts w:ascii="Calibri Light" w:hAnsi="Calibri Light" w:cs="Arial"/>
                <w:b/>
                <w:bCs/>
              </w:rPr>
            </w:pPr>
            <w:r>
              <w:rPr>
                <w:rFonts w:ascii="Calibri Light" w:hAnsi="Calibri Light"/>
                <w:b/>
                <w:bCs/>
              </w:rPr>
              <w:t xml:space="preserve">MAIN MACROECONOMIC INDICATORS - SYNTHESIS </w:t>
            </w:r>
          </w:p>
        </w:tc>
      </w:tr>
      <w:tr w:rsidR="006A425D" w:rsidRPr="002C1741" w:rsidTr="006A425D">
        <w:trPr>
          <w:trHeight w:val="562"/>
        </w:trPr>
        <w:tc>
          <w:tcPr>
            <w:tcW w:w="6771" w:type="dxa"/>
            <w:tcBorders>
              <w:top w:val="nil"/>
              <w:left w:val="nil"/>
              <w:bottom w:val="single" w:sz="4" w:space="0" w:color="auto"/>
              <w:right w:val="nil"/>
            </w:tcBorders>
            <w:shd w:val="clear" w:color="auto" w:fill="auto"/>
            <w:vAlign w:val="center"/>
          </w:tcPr>
          <w:p w:rsidR="006A425D" w:rsidRPr="002C1741" w:rsidRDefault="006A425D" w:rsidP="006A425D">
            <w:pPr>
              <w:keepNext/>
              <w:jc w:val="center"/>
              <w:rPr>
                <w:rFonts w:ascii="Calibri Light" w:hAnsi="Calibri Light" w:cs="Arial"/>
                <w:b/>
                <w:bCs/>
              </w:rPr>
            </w:pPr>
            <w:r>
              <w:rPr>
                <w:rFonts w:ascii="Calibri Light" w:hAnsi="Calibri Light"/>
                <w:b/>
                <w:bCs/>
              </w:rPr>
              <w:t>Indicators</w:t>
            </w:r>
          </w:p>
        </w:tc>
        <w:tc>
          <w:tcPr>
            <w:tcW w:w="2727" w:type="dxa"/>
            <w:gridSpan w:val="2"/>
            <w:tcBorders>
              <w:top w:val="single" w:sz="4" w:space="0" w:color="auto"/>
              <w:left w:val="nil"/>
              <w:bottom w:val="single" w:sz="4" w:space="0" w:color="auto"/>
              <w:right w:val="nil"/>
            </w:tcBorders>
            <w:shd w:val="clear" w:color="auto" w:fill="auto"/>
            <w:noWrap/>
            <w:vAlign w:val="center"/>
          </w:tcPr>
          <w:p w:rsidR="006A425D" w:rsidRPr="002C1741" w:rsidRDefault="006A425D" w:rsidP="006A425D">
            <w:pPr>
              <w:keepNext/>
              <w:jc w:val="right"/>
              <w:rPr>
                <w:rFonts w:ascii="Calibri Light" w:hAnsi="Calibri Light" w:cs="Arial"/>
                <w:b/>
                <w:bCs/>
              </w:rPr>
            </w:pPr>
            <w:r>
              <w:rPr>
                <w:rFonts w:ascii="Calibri Light" w:hAnsi="Calibri Light"/>
                <w:b/>
                <w:bCs/>
              </w:rPr>
              <w:t>Year 2019</w:t>
            </w:r>
          </w:p>
        </w:tc>
      </w:tr>
      <w:tr w:rsidR="006A425D" w:rsidRPr="002C1741" w:rsidTr="006A425D">
        <w:trPr>
          <w:trHeight w:val="310"/>
        </w:trPr>
        <w:tc>
          <w:tcPr>
            <w:tcW w:w="6771"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rPr>
            </w:pPr>
            <w:r>
              <w:rPr>
                <w:rFonts w:ascii="Calibri" w:hAnsi="Calibri"/>
              </w:rPr>
              <w:t>GDP - million lei</w:t>
            </w:r>
          </w:p>
        </w:tc>
        <w:tc>
          <w:tcPr>
            <w:tcW w:w="708"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rPr>
            </w:pPr>
          </w:p>
        </w:tc>
        <w:tc>
          <w:tcPr>
            <w:tcW w:w="2019" w:type="dxa"/>
            <w:tcBorders>
              <w:top w:val="nil"/>
              <w:left w:val="nil"/>
              <w:bottom w:val="nil"/>
              <w:right w:val="nil"/>
            </w:tcBorders>
            <w:shd w:val="clear" w:color="auto" w:fill="auto"/>
            <w:noWrap/>
            <w:vAlign w:val="bottom"/>
          </w:tcPr>
          <w:p w:rsidR="006A425D" w:rsidRPr="002C1741" w:rsidRDefault="006A425D" w:rsidP="006A425D">
            <w:pPr>
              <w:keepNext/>
              <w:jc w:val="right"/>
              <w:rPr>
                <w:rFonts w:ascii="Calibri" w:hAnsi="Calibri" w:cs="Calibri"/>
              </w:rPr>
            </w:pPr>
            <w:r>
              <w:rPr>
                <w:rFonts w:ascii="Calibri" w:hAnsi="Calibri"/>
              </w:rPr>
              <w:t>1,022,472.2</w:t>
            </w:r>
          </w:p>
        </w:tc>
      </w:tr>
      <w:tr w:rsidR="006A425D" w:rsidRPr="002C1741" w:rsidTr="006A425D">
        <w:trPr>
          <w:trHeight w:hRule="exact" w:val="123"/>
        </w:trPr>
        <w:tc>
          <w:tcPr>
            <w:tcW w:w="6771" w:type="dxa"/>
            <w:tcBorders>
              <w:top w:val="nil"/>
              <w:left w:val="nil"/>
              <w:bottom w:val="nil"/>
              <w:right w:val="nil"/>
            </w:tcBorders>
            <w:shd w:val="clear" w:color="auto" w:fill="auto"/>
            <w:noWrap/>
            <w:vAlign w:val="center"/>
          </w:tcPr>
          <w:p w:rsidR="006A425D" w:rsidRPr="002C1741" w:rsidRDefault="006A425D" w:rsidP="006A425D">
            <w:pPr>
              <w:keepNext/>
              <w:jc w:val="center"/>
              <w:rPr>
                <w:rFonts w:ascii="Calibri" w:hAnsi="Calibri" w:cs="Arial"/>
              </w:rPr>
            </w:pPr>
          </w:p>
        </w:tc>
        <w:tc>
          <w:tcPr>
            <w:tcW w:w="708" w:type="dxa"/>
            <w:tcBorders>
              <w:top w:val="nil"/>
              <w:left w:val="nil"/>
              <w:bottom w:val="nil"/>
              <w:right w:val="nil"/>
            </w:tcBorders>
            <w:shd w:val="clear" w:color="auto" w:fill="auto"/>
            <w:noWrap/>
            <w:vAlign w:val="center"/>
          </w:tcPr>
          <w:p w:rsidR="006A425D" w:rsidRPr="002C1741" w:rsidRDefault="006A425D" w:rsidP="006A425D">
            <w:pPr>
              <w:keepNext/>
              <w:rPr>
                <w:rFonts w:ascii="Calibri" w:hAnsi="Calibri" w:cs="Arial"/>
              </w:rPr>
            </w:pPr>
          </w:p>
        </w:tc>
        <w:tc>
          <w:tcPr>
            <w:tcW w:w="2019" w:type="dxa"/>
            <w:tcBorders>
              <w:top w:val="nil"/>
              <w:left w:val="nil"/>
              <w:bottom w:val="nil"/>
              <w:right w:val="nil"/>
            </w:tcBorders>
            <w:shd w:val="clear" w:color="auto" w:fill="auto"/>
            <w:noWrap/>
            <w:vAlign w:val="center"/>
          </w:tcPr>
          <w:p w:rsidR="006A425D" w:rsidRPr="002C1741" w:rsidRDefault="006A425D" w:rsidP="006A425D">
            <w:pPr>
              <w:keepNext/>
              <w:jc w:val="right"/>
              <w:rPr>
                <w:rFonts w:ascii="Calibri" w:hAnsi="Calibri" w:cs="Calibri"/>
                <w:lang w:val="ro-RO"/>
              </w:rPr>
            </w:pPr>
          </w:p>
        </w:tc>
      </w:tr>
      <w:tr w:rsidR="006A425D" w:rsidRPr="002C1741" w:rsidTr="006A425D">
        <w:trPr>
          <w:trHeight w:val="310"/>
        </w:trPr>
        <w:tc>
          <w:tcPr>
            <w:tcW w:w="6771" w:type="dxa"/>
            <w:tcBorders>
              <w:top w:val="nil"/>
              <w:left w:val="nil"/>
              <w:bottom w:val="nil"/>
              <w:right w:val="nil"/>
            </w:tcBorders>
            <w:shd w:val="clear" w:color="auto" w:fill="auto"/>
            <w:noWrap/>
            <w:vAlign w:val="center"/>
          </w:tcPr>
          <w:p w:rsidR="006A425D" w:rsidRPr="002C1741" w:rsidRDefault="006A425D" w:rsidP="006A425D">
            <w:pPr>
              <w:keepNext/>
              <w:ind w:left="191"/>
              <w:rPr>
                <w:rFonts w:ascii="Calibri" w:hAnsi="Calibri" w:cs="Arial"/>
              </w:rPr>
            </w:pPr>
            <w:r>
              <w:rPr>
                <w:rFonts w:ascii="Calibri" w:hAnsi="Calibri"/>
              </w:rPr>
              <w:t>Economic growth %</w:t>
            </w:r>
          </w:p>
        </w:tc>
        <w:tc>
          <w:tcPr>
            <w:tcW w:w="708" w:type="dxa"/>
            <w:tcBorders>
              <w:top w:val="nil"/>
              <w:left w:val="nil"/>
              <w:bottom w:val="nil"/>
              <w:right w:val="nil"/>
            </w:tcBorders>
            <w:shd w:val="clear" w:color="auto" w:fill="auto"/>
            <w:noWrap/>
            <w:vAlign w:val="center"/>
          </w:tcPr>
          <w:p w:rsidR="006A425D" w:rsidRPr="002C1741" w:rsidRDefault="006A425D" w:rsidP="006A425D">
            <w:pPr>
              <w:keepNext/>
              <w:rPr>
                <w:rFonts w:ascii="Calibri" w:hAnsi="Calibri" w:cs="Arial"/>
              </w:rPr>
            </w:pPr>
          </w:p>
        </w:tc>
        <w:tc>
          <w:tcPr>
            <w:tcW w:w="2019" w:type="dxa"/>
            <w:tcBorders>
              <w:top w:val="nil"/>
              <w:left w:val="nil"/>
              <w:bottom w:val="nil"/>
              <w:right w:val="nil"/>
            </w:tcBorders>
            <w:shd w:val="clear" w:color="auto" w:fill="auto"/>
            <w:noWrap/>
            <w:vAlign w:val="center"/>
          </w:tcPr>
          <w:p w:rsidR="006A425D" w:rsidRPr="002C1741" w:rsidRDefault="006A425D" w:rsidP="006A425D">
            <w:pPr>
              <w:keepNext/>
              <w:jc w:val="right"/>
              <w:rPr>
                <w:rFonts w:ascii="Calibri" w:hAnsi="Calibri" w:cs="Calibri"/>
              </w:rPr>
            </w:pPr>
            <w:r>
              <w:rPr>
                <w:rFonts w:ascii="Calibri" w:hAnsi="Calibri"/>
              </w:rPr>
              <w:t>5.5</w:t>
            </w:r>
          </w:p>
        </w:tc>
      </w:tr>
      <w:tr w:rsidR="006A425D" w:rsidRPr="002C1741" w:rsidTr="006A425D">
        <w:trPr>
          <w:trHeight w:hRule="exact" w:val="123"/>
        </w:trPr>
        <w:tc>
          <w:tcPr>
            <w:tcW w:w="6771" w:type="dxa"/>
            <w:tcBorders>
              <w:top w:val="nil"/>
              <w:left w:val="nil"/>
              <w:bottom w:val="nil"/>
              <w:right w:val="nil"/>
            </w:tcBorders>
            <w:shd w:val="clear" w:color="auto" w:fill="auto"/>
            <w:noWrap/>
            <w:vAlign w:val="center"/>
          </w:tcPr>
          <w:p w:rsidR="006A425D" w:rsidRPr="002C1741" w:rsidRDefault="006A425D" w:rsidP="006A425D">
            <w:pPr>
              <w:keepNext/>
              <w:jc w:val="center"/>
              <w:rPr>
                <w:rFonts w:ascii="Calibri" w:hAnsi="Calibri" w:cs="Arial"/>
              </w:rPr>
            </w:pPr>
          </w:p>
        </w:tc>
        <w:tc>
          <w:tcPr>
            <w:tcW w:w="708" w:type="dxa"/>
            <w:tcBorders>
              <w:top w:val="nil"/>
              <w:left w:val="nil"/>
              <w:bottom w:val="nil"/>
              <w:right w:val="nil"/>
            </w:tcBorders>
            <w:shd w:val="clear" w:color="auto" w:fill="auto"/>
            <w:noWrap/>
            <w:vAlign w:val="center"/>
          </w:tcPr>
          <w:p w:rsidR="006A425D" w:rsidRPr="002C1741" w:rsidRDefault="006A425D" w:rsidP="006A425D">
            <w:pPr>
              <w:keepNext/>
              <w:rPr>
                <w:rFonts w:ascii="Calibri" w:hAnsi="Calibri" w:cs="Arial"/>
              </w:rPr>
            </w:pPr>
          </w:p>
        </w:tc>
        <w:tc>
          <w:tcPr>
            <w:tcW w:w="2019" w:type="dxa"/>
            <w:tcBorders>
              <w:top w:val="nil"/>
              <w:left w:val="nil"/>
              <w:bottom w:val="nil"/>
              <w:right w:val="nil"/>
            </w:tcBorders>
            <w:shd w:val="clear" w:color="auto" w:fill="auto"/>
            <w:noWrap/>
            <w:vAlign w:val="center"/>
          </w:tcPr>
          <w:p w:rsidR="006A425D" w:rsidRPr="002C1741" w:rsidRDefault="006A425D" w:rsidP="006A425D">
            <w:pPr>
              <w:keepNext/>
              <w:jc w:val="right"/>
              <w:rPr>
                <w:rFonts w:ascii="Calibri" w:hAnsi="Calibri" w:cs="Calibri"/>
                <w:lang w:val="ro-RO"/>
              </w:rPr>
            </w:pPr>
          </w:p>
        </w:tc>
      </w:tr>
      <w:tr w:rsidR="006A425D" w:rsidRPr="002C1741" w:rsidTr="006A425D">
        <w:trPr>
          <w:trHeight w:val="310"/>
        </w:trPr>
        <w:tc>
          <w:tcPr>
            <w:tcW w:w="6771"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rPr>
            </w:pPr>
            <w:r>
              <w:rPr>
                <w:rFonts w:ascii="Calibri" w:hAnsi="Calibri"/>
              </w:rPr>
              <w:t>Average annual inflation %</w:t>
            </w:r>
          </w:p>
        </w:tc>
        <w:tc>
          <w:tcPr>
            <w:tcW w:w="708"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rPr>
            </w:pPr>
          </w:p>
        </w:tc>
        <w:tc>
          <w:tcPr>
            <w:tcW w:w="2019" w:type="dxa"/>
            <w:tcBorders>
              <w:top w:val="nil"/>
              <w:left w:val="nil"/>
              <w:bottom w:val="nil"/>
              <w:right w:val="nil"/>
            </w:tcBorders>
            <w:shd w:val="clear" w:color="auto" w:fill="auto"/>
            <w:noWrap/>
            <w:vAlign w:val="bottom"/>
          </w:tcPr>
          <w:p w:rsidR="006A425D" w:rsidRPr="002C1741" w:rsidRDefault="006A425D" w:rsidP="006A425D">
            <w:pPr>
              <w:keepNext/>
              <w:jc w:val="right"/>
              <w:rPr>
                <w:rFonts w:ascii="Calibri" w:hAnsi="Calibri" w:cs="Calibri"/>
              </w:rPr>
            </w:pPr>
            <w:r>
              <w:rPr>
                <w:rFonts w:ascii="Calibri" w:hAnsi="Calibri"/>
              </w:rPr>
              <w:t>2.8</w:t>
            </w:r>
          </w:p>
        </w:tc>
      </w:tr>
      <w:tr w:rsidR="006A425D" w:rsidRPr="002C1741" w:rsidTr="006A425D">
        <w:trPr>
          <w:trHeight w:hRule="exact" w:val="123"/>
        </w:trPr>
        <w:tc>
          <w:tcPr>
            <w:tcW w:w="6771"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rPr>
            </w:pPr>
          </w:p>
        </w:tc>
        <w:tc>
          <w:tcPr>
            <w:tcW w:w="708"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rPr>
            </w:pPr>
          </w:p>
        </w:tc>
        <w:tc>
          <w:tcPr>
            <w:tcW w:w="2019" w:type="dxa"/>
            <w:tcBorders>
              <w:top w:val="nil"/>
              <w:left w:val="nil"/>
              <w:bottom w:val="nil"/>
              <w:right w:val="nil"/>
            </w:tcBorders>
            <w:shd w:val="clear" w:color="auto" w:fill="auto"/>
            <w:noWrap/>
            <w:vAlign w:val="bottom"/>
          </w:tcPr>
          <w:p w:rsidR="006A425D" w:rsidRPr="002C1741" w:rsidRDefault="006A425D" w:rsidP="006A425D">
            <w:pPr>
              <w:keepNext/>
              <w:jc w:val="right"/>
              <w:rPr>
                <w:rFonts w:ascii="Calibri" w:hAnsi="Calibri" w:cs="Calibri"/>
                <w:lang w:val="ro-RO"/>
              </w:rPr>
            </w:pPr>
          </w:p>
        </w:tc>
      </w:tr>
      <w:tr w:rsidR="006A425D" w:rsidRPr="002C1741" w:rsidTr="006A425D">
        <w:trPr>
          <w:trHeight w:val="359"/>
        </w:trPr>
        <w:tc>
          <w:tcPr>
            <w:tcW w:w="6771"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rPr>
            </w:pPr>
            <w:r>
              <w:rPr>
                <w:rFonts w:ascii="Calibri" w:hAnsi="Calibri"/>
              </w:rPr>
              <w:t>Revenues of the GCB - million lei</w:t>
            </w:r>
          </w:p>
        </w:tc>
        <w:tc>
          <w:tcPr>
            <w:tcW w:w="708"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lang w:val="it-IT"/>
              </w:rPr>
            </w:pPr>
          </w:p>
        </w:tc>
        <w:tc>
          <w:tcPr>
            <w:tcW w:w="2019" w:type="dxa"/>
            <w:tcBorders>
              <w:top w:val="nil"/>
              <w:left w:val="nil"/>
              <w:bottom w:val="nil"/>
              <w:right w:val="nil"/>
            </w:tcBorders>
            <w:shd w:val="clear" w:color="auto" w:fill="auto"/>
            <w:noWrap/>
            <w:vAlign w:val="bottom"/>
          </w:tcPr>
          <w:p w:rsidR="006A425D" w:rsidRPr="002C1741" w:rsidRDefault="004F3E7F" w:rsidP="006A425D">
            <w:pPr>
              <w:keepNext/>
              <w:jc w:val="right"/>
              <w:rPr>
                <w:rFonts w:ascii="Calibri" w:hAnsi="Calibri" w:cs="Calibri"/>
              </w:rPr>
            </w:pPr>
            <w:r>
              <w:rPr>
                <w:rFonts w:ascii="Calibri" w:hAnsi="Calibri"/>
              </w:rPr>
              <w:t>342,675</w:t>
            </w:r>
          </w:p>
        </w:tc>
      </w:tr>
      <w:tr w:rsidR="006A425D" w:rsidRPr="002C1741" w:rsidTr="006A425D">
        <w:trPr>
          <w:trHeight w:hRule="exact" w:val="123"/>
        </w:trPr>
        <w:tc>
          <w:tcPr>
            <w:tcW w:w="6771"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lang w:val="it-IT"/>
              </w:rPr>
            </w:pPr>
          </w:p>
        </w:tc>
        <w:tc>
          <w:tcPr>
            <w:tcW w:w="708"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lang w:val="it-IT"/>
              </w:rPr>
            </w:pPr>
          </w:p>
        </w:tc>
        <w:tc>
          <w:tcPr>
            <w:tcW w:w="2019" w:type="dxa"/>
            <w:tcBorders>
              <w:top w:val="nil"/>
              <w:left w:val="nil"/>
              <w:bottom w:val="nil"/>
              <w:right w:val="nil"/>
            </w:tcBorders>
            <w:shd w:val="clear" w:color="auto" w:fill="auto"/>
            <w:noWrap/>
            <w:vAlign w:val="bottom"/>
          </w:tcPr>
          <w:p w:rsidR="006A425D" w:rsidRPr="002C1741" w:rsidRDefault="006A425D" w:rsidP="006A425D">
            <w:pPr>
              <w:keepNext/>
              <w:jc w:val="right"/>
              <w:rPr>
                <w:rFonts w:ascii="Calibri" w:hAnsi="Calibri" w:cs="Calibri"/>
                <w:lang w:val="ro-RO"/>
              </w:rPr>
            </w:pPr>
          </w:p>
        </w:tc>
      </w:tr>
      <w:tr w:rsidR="006A425D" w:rsidRPr="002C1741" w:rsidTr="006A425D">
        <w:trPr>
          <w:trHeight w:val="310"/>
        </w:trPr>
        <w:tc>
          <w:tcPr>
            <w:tcW w:w="6771" w:type="dxa"/>
            <w:tcBorders>
              <w:top w:val="nil"/>
              <w:left w:val="nil"/>
              <w:bottom w:val="nil"/>
              <w:right w:val="nil"/>
            </w:tcBorders>
            <w:shd w:val="clear" w:color="auto" w:fill="auto"/>
            <w:vAlign w:val="bottom"/>
          </w:tcPr>
          <w:p w:rsidR="006A425D" w:rsidRPr="002C1741" w:rsidRDefault="006A425D" w:rsidP="006A425D">
            <w:pPr>
              <w:keepNext/>
              <w:rPr>
                <w:rFonts w:ascii="Calibri" w:hAnsi="Calibri" w:cs="Arial"/>
              </w:rPr>
            </w:pPr>
            <w:r>
              <w:rPr>
                <w:rFonts w:ascii="Calibri" w:hAnsi="Calibri"/>
              </w:rPr>
              <w:t>Weight of total revenues in GDP</w:t>
            </w:r>
          </w:p>
        </w:tc>
        <w:tc>
          <w:tcPr>
            <w:tcW w:w="708"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lang w:val="it-IT"/>
              </w:rPr>
            </w:pPr>
          </w:p>
        </w:tc>
        <w:tc>
          <w:tcPr>
            <w:tcW w:w="2019" w:type="dxa"/>
            <w:tcBorders>
              <w:top w:val="nil"/>
              <w:left w:val="nil"/>
              <w:bottom w:val="nil"/>
              <w:right w:val="nil"/>
            </w:tcBorders>
            <w:shd w:val="clear" w:color="auto" w:fill="auto"/>
            <w:noWrap/>
            <w:vAlign w:val="bottom"/>
          </w:tcPr>
          <w:p w:rsidR="006A425D" w:rsidRPr="002C1741" w:rsidRDefault="004F3E7F" w:rsidP="006A425D">
            <w:pPr>
              <w:keepNext/>
              <w:jc w:val="right"/>
              <w:rPr>
                <w:rFonts w:ascii="Calibri" w:hAnsi="Calibri" w:cs="Calibri"/>
              </w:rPr>
            </w:pPr>
            <w:r>
              <w:rPr>
                <w:rFonts w:ascii="Calibri" w:hAnsi="Calibri"/>
              </w:rPr>
              <w:t>33.51</w:t>
            </w:r>
          </w:p>
        </w:tc>
      </w:tr>
      <w:tr w:rsidR="006A425D" w:rsidRPr="002C1741" w:rsidTr="006A425D">
        <w:trPr>
          <w:trHeight w:hRule="exact" w:val="123"/>
        </w:trPr>
        <w:tc>
          <w:tcPr>
            <w:tcW w:w="6771"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lang w:val="it-IT"/>
              </w:rPr>
            </w:pPr>
          </w:p>
        </w:tc>
        <w:tc>
          <w:tcPr>
            <w:tcW w:w="708"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lang w:val="it-IT"/>
              </w:rPr>
            </w:pPr>
          </w:p>
        </w:tc>
        <w:tc>
          <w:tcPr>
            <w:tcW w:w="2019" w:type="dxa"/>
            <w:tcBorders>
              <w:top w:val="nil"/>
              <w:left w:val="nil"/>
              <w:bottom w:val="nil"/>
              <w:right w:val="nil"/>
            </w:tcBorders>
            <w:shd w:val="clear" w:color="auto" w:fill="auto"/>
            <w:noWrap/>
            <w:vAlign w:val="bottom"/>
          </w:tcPr>
          <w:p w:rsidR="006A425D" w:rsidRPr="002C1741" w:rsidRDefault="006A425D" w:rsidP="006A425D">
            <w:pPr>
              <w:keepNext/>
              <w:jc w:val="right"/>
              <w:rPr>
                <w:rFonts w:ascii="Calibri" w:hAnsi="Calibri" w:cs="Calibri"/>
                <w:lang w:val="ro-RO"/>
              </w:rPr>
            </w:pPr>
          </w:p>
        </w:tc>
      </w:tr>
      <w:tr w:rsidR="006A425D" w:rsidRPr="002C1741" w:rsidTr="006A425D">
        <w:trPr>
          <w:trHeight w:val="359"/>
        </w:trPr>
        <w:tc>
          <w:tcPr>
            <w:tcW w:w="6771" w:type="dxa"/>
            <w:tcBorders>
              <w:top w:val="nil"/>
              <w:left w:val="nil"/>
              <w:bottom w:val="nil"/>
              <w:right w:val="nil"/>
            </w:tcBorders>
            <w:shd w:val="clear" w:color="auto" w:fill="auto"/>
            <w:vAlign w:val="bottom"/>
          </w:tcPr>
          <w:p w:rsidR="006A425D" w:rsidRPr="002C1741" w:rsidRDefault="006A425D" w:rsidP="006A425D">
            <w:pPr>
              <w:keepNext/>
              <w:rPr>
                <w:rFonts w:ascii="Calibri" w:hAnsi="Calibri" w:cs="Arial"/>
              </w:rPr>
            </w:pPr>
            <w:r>
              <w:rPr>
                <w:rFonts w:ascii="Calibri" w:hAnsi="Calibri"/>
              </w:rPr>
              <w:t>Expenditures of the GCB - million lei</w:t>
            </w:r>
          </w:p>
        </w:tc>
        <w:tc>
          <w:tcPr>
            <w:tcW w:w="708"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lang w:val="it-IT"/>
              </w:rPr>
            </w:pPr>
          </w:p>
        </w:tc>
        <w:tc>
          <w:tcPr>
            <w:tcW w:w="2019" w:type="dxa"/>
            <w:tcBorders>
              <w:top w:val="nil"/>
              <w:left w:val="nil"/>
              <w:bottom w:val="nil"/>
              <w:right w:val="nil"/>
            </w:tcBorders>
            <w:shd w:val="clear" w:color="auto" w:fill="auto"/>
            <w:noWrap/>
            <w:vAlign w:val="bottom"/>
          </w:tcPr>
          <w:p w:rsidR="006A425D" w:rsidRPr="002C1741" w:rsidRDefault="0055261B" w:rsidP="006A425D">
            <w:pPr>
              <w:keepNext/>
              <w:jc w:val="right"/>
              <w:rPr>
                <w:rFonts w:ascii="Calibri" w:hAnsi="Calibri" w:cs="Calibri"/>
              </w:rPr>
            </w:pPr>
            <w:r>
              <w:rPr>
                <w:rFonts w:ascii="Calibri" w:hAnsi="Calibri"/>
              </w:rPr>
              <w:t>370,924</w:t>
            </w:r>
          </w:p>
        </w:tc>
      </w:tr>
      <w:tr w:rsidR="006A425D" w:rsidRPr="002C1741" w:rsidTr="006A425D">
        <w:trPr>
          <w:trHeight w:hRule="exact" w:val="123"/>
        </w:trPr>
        <w:tc>
          <w:tcPr>
            <w:tcW w:w="6771"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lang w:val="it-IT"/>
              </w:rPr>
            </w:pPr>
          </w:p>
        </w:tc>
        <w:tc>
          <w:tcPr>
            <w:tcW w:w="708"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lang w:val="it-IT"/>
              </w:rPr>
            </w:pPr>
          </w:p>
        </w:tc>
        <w:tc>
          <w:tcPr>
            <w:tcW w:w="2019" w:type="dxa"/>
            <w:tcBorders>
              <w:top w:val="nil"/>
              <w:left w:val="nil"/>
              <w:bottom w:val="nil"/>
              <w:right w:val="nil"/>
            </w:tcBorders>
            <w:shd w:val="clear" w:color="auto" w:fill="auto"/>
            <w:noWrap/>
            <w:vAlign w:val="bottom"/>
          </w:tcPr>
          <w:p w:rsidR="006A425D" w:rsidRPr="002C1741" w:rsidRDefault="006A425D" w:rsidP="006A425D">
            <w:pPr>
              <w:keepNext/>
              <w:jc w:val="center"/>
              <w:rPr>
                <w:rFonts w:ascii="Calibri" w:hAnsi="Calibri" w:cs="Calibri"/>
                <w:lang w:val="ro-RO"/>
              </w:rPr>
            </w:pPr>
          </w:p>
        </w:tc>
      </w:tr>
      <w:tr w:rsidR="006A425D" w:rsidRPr="002C1741" w:rsidTr="006A425D">
        <w:trPr>
          <w:trHeight w:val="310"/>
        </w:trPr>
        <w:tc>
          <w:tcPr>
            <w:tcW w:w="6771" w:type="dxa"/>
            <w:tcBorders>
              <w:top w:val="nil"/>
              <w:left w:val="nil"/>
              <w:bottom w:val="nil"/>
              <w:right w:val="nil"/>
            </w:tcBorders>
            <w:shd w:val="clear" w:color="auto" w:fill="auto"/>
            <w:vAlign w:val="bottom"/>
          </w:tcPr>
          <w:p w:rsidR="006A425D" w:rsidRPr="002C1741" w:rsidRDefault="006A425D" w:rsidP="006A425D">
            <w:pPr>
              <w:keepNext/>
              <w:rPr>
                <w:rFonts w:ascii="Calibri" w:hAnsi="Calibri" w:cs="Arial"/>
              </w:rPr>
            </w:pPr>
            <w:r>
              <w:rPr>
                <w:rFonts w:ascii="Calibri" w:hAnsi="Calibri"/>
              </w:rPr>
              <w:t>Weight of total expenditures in GDP</w:t>
            </w:r>
          </w:p>
        </w:tc>
        <w:tc>
          <w:tcPr>
            <w:tcW w:w="708"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lang w:val="it-IT"/>
              </w:rPr>
            </w:pPr>
          </w:p>
        </w:tc>
        <w:tc>
          <w:tcPr>
            <w:tcW w:w="2019" w:type="dxa"/>
            <w:tcBorders>
              <w:top w:val="nil"/>
              <w:left w:val="nil"/>
              <w:bottom w:val="nil"/>
              <w:right w:val="nil"/>
            </w:tcBorders>
            <w:shd w:val="clear" w:color="auto" w:fill="auto"/>
            <w:noWrap/>
            <w:vAlign w:val="bottom"/>
          </w:tcPr>
          <w:p w:rsidR="006A425D" w:rsidRPr="002C1741" w:rsidRDefault="0055261B" w:rsidP="006A425D">
            <w:pPr>
              <w:keepNext/>
              <w:jc w:val="right"/>
              <w:rPr>
                <w:rFonts w:ascii="Calibri" w:hAnsi="Calibri" w:cs="Calibri"/>
              </w:rPr>
            </w:pPr>
            <w:r>
              <w:rPr>
                <w:rFonts w:ascii="Calibri" w:hAnsi="Calibri"/>
              </w:rPr>
              <w:t>36.28</w:t>
            </w:r>
          </w:p>
        </w:tc>
      </w:tr>
      <w:tr w:rsidR="006A425D" w:rsidRPr="002C1741" w:rsidTr="006A425D">
        <w:trPr>
          <w:trHeight w:hRule="exact" w:val="123"/>
        </w:trPr>
        <w:tc>
          <w:tcPr>
            <w:tcW w:w="6771"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lang w:val="it-IT"/>
              </w:rPr>
            </w:pPr>
          </w:p>
        </w:tc>
        <w:tc>
          <w:tcPr>
            <w:tcW w:w="708"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lang w:val="it-IT"/>
              </w:rPr>
            </w:pPr>
          </w:p>
        </w:tc>
        <w:tc>
          <w:tcPr>
            <w:tcW w:w="2019" w:type="dxa"/>
            <w:tcBorders>
              <w:top w:val="nil"/>
              <w:left w:val="nil"/>
              <w:bottom w:val="nil"/>
              <w:right w:val="nil"/>
            </w:tcBorders>
            <w:shd w:val="clear" w:color="auto" w:fill="auto"/>
            <w:noWrap/>
            <w:vAlign w:val="bottom"/>
          </w:tcPr>
          <w:p w:rsidR="006A425D" w:rsidRPr="002C1741" w:rsidRDefault="006A425D" w:rsidP="006A425D">
            <w:pPr>
              <w:keepNext/>
              <w:jc w:val="right"/>
              <w:rPr>
                <w:rFonts w:ascii="Calibri" w:hAnsi="Calibri" w:cs="Calibri"/>
                <w:lang w:val="ro-RO"/>
              </w:rPr>
            </w:pPr>
          </w:p>
        </w:tc>
      </w:tr>
      <w:tr w:rsidR="006A425D" w:rsidRPr="002C1741" w:rsidTr="006A425D">
        <w:trPr>
          <w:trHeight w:val="310"/>
        </w:trPr>
        <w:tc>
          <w:tcPr>
            <w:tcW w:w="6771"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rPr>
            </w:pPr>
            <w:r>
              <w:rPr>
                <w:rFonts w:ascii="Calibri" w:hAnsi="Calibri"/>
              </w:rPr>
              <w:t>Deficit - million lei</w:t>
            </w:r>
          </w:p>
        </w:tc>
        <w:tc>
          <w:tcPr>
            <w:tcW w:w="708"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lang w:val="it-IT"/>
              </w:rPr>
            </w:pPr>
          </w:p>
        </w:tc>
        <w:tc>
          <w:tcPr>
            <w:tcW w:w="2019" w:type="dxa"/>
            <w:tcBorders>
              <w:top w:val="nil"/>
              <w:left w:val="nil"/>
              <w:bottom w:val="nil"/>
              <w:right w:val="nil"/>
            </w:tcBorders>
            <w:shd w:val="clear" w:color="auto" w:fill="auto"/>
            <w:noWrap/>
            <w:vAlign w:val="bottom"/>
          </w:tcPr>
          <w:p w:rsidR="006A425D" w:rsidRPr="002C1741" w:rsidRDefault="0055261B" w:rsidP="006A425D">
            <w:pPr>
              <w:keepNext/>
              <w:jc w:val="right"/>
              <w:rPr>
                <w:rFonts w:ascii="Calibri" w:hAnsi="Calibri" w:cs="Calibri"/>
              </w:rPr>
            </w:pPr>
            <w:r>
              <w:rPr>
                <w:rFonts w:ascii="Calibri" w:hAnsi="Calibri"/>
              </w:rPr>
              <w:t>-28,249</w:t>
            </w:r>
          </w:p>
        </w:tc>
      </w:tr>
      <w:tr w:rsidR="006A425D" w:rsidRPr="002C1741" w:rsidTr="006A425D">
        <w:trPr>
          <w:trHeight w:hRule="exact" w:val="123"/>
        </w:trPr>
        <w:tc>
          <w:tcPr>
            <w:tcW w:w="6771"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lang w:val="it-IT"/>
              </w:rPr>
            </w:pPr>
          </w:p>
        </w:tc>
        <w:tc>
          <w:tcPr>
            <w:tcW w:w="708"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lang w:val="it-IT"/>
              </w:rPr>
            </w:pPr>
          </w:p>
        </w:tc>
        <w:tc>
          <w:tcPr>
            <w:tcW w:w="2019"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Calibri"/>
                <w:lang w:val="ro-RO"/>
              </w:rPr>
            </w:pPr>
          </w:p>
        </w:tc>
      </w:tr>
      <w:tr w:rsidR="006A425D" w:rsidRPr="002C1741" w:rsidTr="006A425D">
        <w:trPr>
          <w:trHeight w:val="310"/>
        </w:trPr>
        <w:tc>
          <w:tcPr>
            <w:tcW w:w="6771"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rPr>
            </w:pPr>
            <w:r>
              <w:rPr>
                <w:rFonts w:ascii="Calibri" w:hAnsi="Calibri"/>
              </w:rPr>
              <w:t>Deficit - weight in GDP</w:t>
            </w:r>
          </w:p>
        </w:tc>
        <w:tc>
          <w:tcPr>
            <w:tcW w:w="708"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lang w:val="it-IT"/>
              </w:rPr>
            </w:pPr>
          </w:p>
        </w:tc>
        <w:tc>
          <w:tcPr>
            <w:tcW w:w="2019" w:type="dxa"/>
            <w:tcBorders>
              <w:top w:val="nil"/>
              <w:left w:val="nil"/>
              <w:bottom w:val="nil"/>
              <w:right w:val="nil"/>
            </w:tcBorders>
            <w:shd w:val="clear" w:color="auto" w:fill="auto"/>
            <w:noWrap/>
            <w:vAlign w:val="bottom"/>
          </w:tcPr>
          <w:p w:rsidR="006A425D" w:rsidRPr="002C1741" w:rsidRDefault="0055261B" w:rsidP="006A425D">
            <w:pPr>
              <w:keepNext/>
              <w:jc w:val="right"/>
              <w:rPr>
                <w:rFonts w:ascii="Calibri" w:hAnsi="Calibri" w:cs="Calibri"/>
              </w:rPr>
            </w:pPr>
            <w:r>
              <w:rPr>
                <w:rFonts w:ascii="Calibri" w:hAnsi="Calibri"/>
              </w:rPr>
              <w:t>-2.76</w:t>
            </w:r>
          </w:p>
        </w:tc>
      </w:tr>
      <w:tr w:rsidR="006A425D" w:rsidRPr="002C1741" w:rsidTr="006A425D">
        <w:trPr>
          <w:trHeight w:hRule="exact" w:val="123"/>
        </w:trPr>
        <w:tc>
          <w:tcPr>
            <w:tcW w:w="6771"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lang w:val="it-IT"/>
              </w:rPr>
            </w:pPr>
          </w:p>
        </w:tc>
        <w:tc>
          <w:tcPr>
            <w:tcW w:w="708"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lang w:val="it-IT"/>
              </w:rPr>
            </w:pPr>
          </w:p>
        </w:tc>
        <w:tc>
          <w:tcPr>
            <w:tcW w:w="2019" w:type="dxa"/>
            <w:tcBorders>
              <w:top w:val="nil"/>
              <w:left w:val="nil"/>
              <w:bottom w:val="nil"/>
              <w:right w:val="nil"/>
            </w:tcBorders>
            <w:shd w:val="clear" w:color="auto" w:fill="auto"/>
            <w:noWrap/>
            <w:vAlign w:val="bottom"/>
          </w:tcPr>
          <w:p w:rsidR="006A425D" w:rsidRPr="002C1741" w:rsidRDefault="006A425D" w:rsidP="006A425D">
            <w:pPr>
              <w:keepNext/>
              <w:jc w:val="right"/>
              <w:rPr>
                <w:rFonts w:ascii="Calibri" w:hAnsi="Calibri" w:cs="Calibri"/>
                <w:lang w:val="ro-RO"/>
              </w:rPr>
            </w:pPr>
          </w:p>
        </w:tc>
      </w:tr>
      <w:tr w:rsidR="006A425D" w:rsidRPr="007D658E" w:rsidTr="006A425D">
        <w:trPr>
          <w:trHeight w:val="310"/>
        </w:trPr>
        <w:tc>
          <w:tcPr>
            <w:tcW w:w="6771"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rPr>
            </w:pPr>
            <w:r>
              <w:rPr>
                <w:rFonts w:ascii="Calibri" w:hAnsi="Calibri"/>
              </w:rPr>
              <w:t>Unemployed (total number of persons)</w:t>
            </w:r>
          </w:p>
        </w:tc>
        <w:tc>
          <w:tcPr>
            <w:tcW w:w="708"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rPr>
            </w:pPr>
          </w:p>
        </w:tc>
        <w:tc>
          <w:tcPr>
            <w:tcW w:w="2019" w:type="dxa"/>
            <w:tcBorders>
              <w:top w:val="nil"/>
              <w:left w:val="nil"/>
              <w:bottom w:val="nil"/>
              <w:right w:val="nil"/>
            </w:tcBorders>
            <w:shd w:val="clear" w:color="auto" w:fill="auto"/>
            <w:noWrap/>
            <w:vAlign w:val="bottom"/>
          </w:tcPr>
          <w:p w:rsidR="006A425D" w:rsidRPr="007D658E" w:rsidRDefault="006A425D" w:rsidP="006A425D">
            <w:pPr>
              <w:keepNext/>
              <w:jc w:val="right"/>
              <w:rPr>
                <w:rFonts w:ascii="Calibri" w:hAnsi="Calibri" w:cs="Calibri"/>
                <w:color w:val="000000" w:themeColor="text1"/>
              </w:rPr>
            </w:pPr>
            <w:r>
              <w:rPr>
                <w:rFonts w:ascii="Calibri" w:hAnsi="Calibri"/>
                <w:color w:val="000000" w:themeColor="text1"/>
              </w:rPr>
              <w:t>287,000</w:t>
            </w:r>
          </w:p>
        </w:tc>
      </w:tr>
      <w:tr w:rsidR="006A425D" w:rsidRPr="007D658E" w:rsidTr="006A425D">
        <w:trPr>
          <w:trHeight w:hRule="exact" w:val="123"/>
        </w:trPr>
        <w:tc>
          <w:tcPr>
            <w:tcW w:w="6771"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lang w:val="pt-BR"/>
              </w:rPr>
            </w:pPr>
          </w:p>
        </w:tc>
        <w:tc>
          <w:tcPr>
            <w:tcW w:w="708" w:type="dxa"/>
            <w:tcBorders>
              <w:top w:val="nil"/>
              <w:left w:val="nil"/>
              <w:bottom w:val="nil"/>
              <w:right w:val="nil"/>
            </w:tcBorders>
            <w:shd w:val="clear" w:color="auto" w:fill="auto"/>
            <w:noWrap/>
            <w:vAlign w:val="bottom"/>
          </w:tcPr>
          <w:p w:rsidR="006A425D" w:rsidRPr="002C1741" w:rsidRDefault="006A425D" w:rsidP="006A425D">
            <w:pPr>
              <w:keepNext/>
              <w:rPr>
                <w:rFonts w:ascii="Calibri" w:hAnsi="Calibri" w:cs="Arial"/>
                <w:lang w:val="pt-BR"/>
              </w:rPr>
            </w:pPr>
          </w:p>
        </w:tc>
        <w:tc>
          <w:tcPr>
            <w:tcW w:w="2019" w:type="dxa"/>
            <w:tcBorders>
              <w:top w:val="nil"/>
              <w:left w:val="nil"/>
              <w:bottom w:val="nil"/>
              <w:right w:val="nil"/>
            </w:tcBorders>
            <w:shd w:val="clear" w:color="auto" w:fill="auto"/>
            <w:noWrap/>
            <w:vAlign w:val="bottom"/>
          </w:tcPr>
          <w:p w:rsidR="006A425D" w:rsidRPr="007D658E" w:rsidRDefault="006A425D" w:rsidP="006A425D">
            <w:pPr>
              <w:keepNext/>
              <w:jc w:val="right"/>
              <w:rPr>
                <w:rFonts w:ascii="Calibri" w:hAnsi="Calibri" w:cs="Calibri"/>
                <w:color w:val="000000" w:themeColor="text1"/>
                <w:lang w:val="ro-RO"/>
              </w:rPr>
            </w:pPr>
          </w:p>
        </w:tc>
      </w:tr>
      <w:tr w:rsidR="006A425D" w:rsidRPr="007D658E" w:rsidTr="006A425D">
        <w:trPr>
          <w:trHeight w:val="87"/>
        </w:trPr>
        <w:tc>
          <w:tcPr>
            <w:tcW w:w="6771" w:type="dxa"/>
            <w:tcBorders>
              <w:top w:val="nil"/>
              <w:left w:val="nil"/>
              <w:bottom w:val="single" w:sz="4" w:space="0" w:color="auto"/>
              <w:right w:val="nil"/>
            </w:tcBorders>
            <w:shd w:val="clear" w:color="auto" w:fill="auto"/>
            <w:noWrap/>
            <w:vAlign w:val="bottom"/>
          </w:tcPr>
          <w:p w:rsidR="006A425D" w:rsidRPr="002C1741" w:rsidRDefault="006A425D" w:rsidP="006A425D">
            <w:pPr>
              <w:keepNext/>
              <w:rPr>
                <w:rFonts w:ascii="Calibri" w:hAnsi="Calibri" w:cs="Arial"/>
              </w:rPr>
            </w:pPr>
            <w:r>
              <w:rPr>
                <w:rFonts w:ascii="Calibri" w:hAnsi="Calibri"/>
              </w:rPr>
              <w:t>Average net monthly salary</w:t>
            </w:r>
          </w:p>
        </w:tc>
        <w:tc>
          <w:tcPr>
            <w:tcW w:w="708" w:type="dxa"/>
            <w:tcBorders>
              <w:top w:val="nil"/>
              <w:left w:val="nil"/>
              <w:bottom w:val="single" w:sz="4" w:space="0" w:color="auto"/>
              <w:right w:val="nil"/>
            </w:tcBorders>
            <w:shd w:val="clear" w:color="auto" w:fill="auto"/>
            <w:noWrap/>
            <w:vAlign w:val="bottom"/>
          </w:tcPr>
          <w:p w:rsidR="006A425D" w:rsidRPr="002C1741" w:rsidRDefault="006A425D" w:rsidP="006A425D">
            <w:pPr>
              <w:keepNext/>
              <w:rPr>
                <w:rFonts w:ascii="Calibri" w:hAnsi="Calibri" w:cs="Arial"/>
              </w:rPr>
            </w:pPr>
            <w:r>
              <w:rPr>
                <w:rFonts w:ascii="Calibri" w:hAnsi="Calibri"/>
              </w:rPr>
              <w:t> </w:t>
            </w:r>
          </w:p>
        </w:tc>
        <w:tc>
          <w:tcPr>
            <w:tcW w:w="2019" w:type="dxa"/>
            <w:tcBorders>
              <w:top w:val="nil"/>
              <w:left w:val="nil"/>
              <w:bottom w:val="single" w:sz="4" w:space="0" w:color="auto"/>
              <w:right w:val="nil"/>
            </w:tcBorders>
            <w:shd w:val="clear" w:color="auto" w:fill="auto"/>
            <w:noWrap/>
            <w:vAlign w:val="bottom"/>
          </w:tcPr>
          <w:p w:rsidR="006A425D" w:rsidRPr="007D0CFA" w:rsidRDefault="006A425D" w:rsidP="006A425D">
            <w:pPr>
              <w:keepNext/>
              <w:jc w:val="right"/>
              <w:rPr>
                <w:rFonts w:asciiTheme="minorHAnsi" w:hAnsiTheme="minorHAnsi" w:cs="Arial"/>
                <w:color w:val="000000" w:themeColor="text1"/>
              </w:rPr>
            </w:pPr>
            <w:r>
              <w:rPr>
                <w:rFonts w:asciiTheme="minorHAnsi" w:hAnsiTheme="minorHAnsi"/>
                <w:color w:val="000000" w:themeColor="text1"/>
              </w:rPr>
              <w:t>3,085</w:t>
            </w:r>
          </w:p>
        </w:tc>
      </w:tr>
    </w:tbl>
    <w:p w:rsidR="0073138F" w:rsidRDefault="0073138F" w:rsidP="005063CB">
      <w:pPr>
        <w:keepNext/>
        <w:shd w:val="clear" w:color="auto" w:fill="FFFFFF" w:themeFill="background1"/>
        <w:spacing w:line="360" w:lineRule="auto"/>
        <w:jc w:val="both"/>
        <w:rPr>
          <w:rFonts w:ascii="Calibri" w:hAnsi="Calibri" w:cs="Arial"/>
          <w:b/>
          <w:color w:val="000000" w:themeColor="text1"/>
        </w:rPr>
      </w:pPr>
    </w:p>
    <w:p w:rsidR="006A425D" w:rsidRPr="0016023B" w:rsidRDefault="006A425D" w:rsidP="006A425D">
      <w:pPr>
        <w:keepNext/>
        <w:shd w:val="clear" w:color="auto" w:fill="5B9BD5" w:themeFill="accent1"/>
        <w:spacing w:line="360" w:lineRule="auto"/>
        <w:ind w:left="57"/>
        <w:jc w:val="both"/>
        <w:rPr>
          <w:rFonts w:ascii="Calibri" w:hAnsi="Calibri" w:cs="Arial"/>
          <w:b/>
          <w:color w:val="000000" w:themeColor="text1"/>
        </w:rPr>
      </w:pPr>
      <w:r>
        <w:rPr>
          <w:rFonts w:ascii="Calibri" w:hAnsi="Calibri"/>
          <w:b/>
          <w:color w:val="000000" w:themeColor="text1"/>
        </w:rPr>
        <w:t xml:space="preserve">Contribution of the usage components to real GDP growth  </w:t>
      </w:r>
    </w:p>
    <w:p w:rsidR="006A425D" w:rsidRPr="003350EC" w:rsidRDefault="006A425D" w:rsidP="006A425D">
      <w:pPr>
        <w:keepNext/>
        <w:spacing w:line="360" w:lineRule="auto"/>
        <w:ind w:left="57"/>
        <w:jc w:val="both"/>
        <w:rPr>
          <w:rFonts w:ascii="Calibri" w:hAnsi="Calibri" w:cs="Arial"/>
          <w:color w:val="000000" w:themeColor="text1"/>
        </w:rPr>
      </w:pPr>
      <w:r>
        <w:rPr>
          <w:rFonts w:ascii="Calibri" w:hAnsi="Calibri"/>
          <w:color w:val="000000" w:themeColor="text1"/>
        </w:rPr>
        <w:t xml:space="preserve">                                                                                                                                                          Percentages </w:t>
      </w:r>
    </w:p>
    <w:tbl>
      <w:tblPr>
        <w:tblW w:w="9008" w:type="dxa"/>
        <w:jc w:val="center"/>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6348"/>
        <w:gridCol w:w="1273"/>
        <w:gridCol w:w="1387"/>
      </w:tblGrid>
      <w:tr w:rsidR="003350EC" w:rsidRPr="003350EC" w:rsidTr="006A425D">
        <w:trPr>
          <w:trHeight w:val="374"/>
          <w:jc w:val="center"/>
        </w:trPr>
        <w:tc>
          <w:tcPr>
            <w:tcW w:w="6348" w:type="dxa"/>
            <w:tcBorders>
              <w:bottom w:val="single" w:sz="4" w:space="0" w:color="auto"/>
            </w:tcBorders>
            <w:shd w:val="clear" w:color="auto" w:fill="auto"/>
            <w:noWrap/>
            <w:vAlign w:val="center"/>
          </w:tcPr>
          <w:p w:rsidR="006A425D" w:rsidRPr="003350EC" w:rsidRDefault="006A425D" w:rsidP="006A425D">
            <w:pPr>
              <w:keepNext/>
              <w:jc w:val="center"/>
              <w:rPr>
                <w:rFonts w:ascii="Calibri" w:hAnsi="Calibri" w:cs="Arial"/>
                <w:b/>
                <w:bCs/>
                <w:color w:val="000000" w:themeColor="text1"/>
              </w:rPr>
            </w:pPr>
            <w:r>
              <w:rPr>
                <w:rFonts w:ascii="Calibri" w:hAnsi="Calibri"/>
                <w:b/>
                <w:bCs/>
                <w:color w:val="000000" w:themeColor="text1"/>
              </w:rPr>
              <w:t> </w:t>
            </w:r>
          </w:p>
        </w:tc>
        <w:tc>
          <w:tcPr>
            <w:tcW w:w="1273" w:type="dxa"/>
            <w:tcBorders>
              <w:bottom w:val="single" w:sz="4" w:space="0" w:color="auto"/>
            </w:tcBorders>
            <w:shd w:val="clear" w:color="auto" w:fill="auto"/>
            <w:noWrap/>
            <w:vAlign w:val="bottom"/>
          </w:tcPr>
          <w:p w:rsidR="006A425D" w:rsidRPr="003350EC" w:rsidRDefault="006A425D" w:rsidP="006A425D">
            <w:pPr>
              <w:keepNext/>
              <w:jc w:val="center"/>
              <w:rPr>
                <w:rFonts w:ascii="Calibri" w:hAnsi="Calibri" w:cs="Arial"/>
                <w:b/>
                <w:bCs/>
                <w:color w:val="000000" w:themeColor="text1"/>
              </w:rPr>
            </w:pPr>
            <w:r>
              <w:rPr>
                <w:rFonts w:ascii="Calibri" w:hAnsi="Calibri"/>
                <w:b/>
                <w:bCs/>
                <w:color w:val="000000" w:themeColor="text1"/>
              </w:rPr>
              <w:t>2018</w:t>
            </w:r>
          </w:p>
        </w:tc>
        <w:tc>
          <w:tcPr>
            <w:tcW w:w="1387" w:type="dxa"/>
            <w:tcBorders>
              <w:bottom w:val="single" w:sz="4" w:space="0" w:color="auto"/>
            </w:tcBorders>
            <w:shd w:val="clear" w:color="auto" w:fill="auto"/>
            <w:noWrap/>
            <w:vAlign w:val="bottom"/>
          </w:tcPr>
          <w:p w:rsidR="006A425D" w:rsidRPr="003350EC" w:rsidRDefault="006A425D" w:rsidP="006A425D">
            <w:pPr>
              <w:keepNext/>
              <w:jc w:val="center"/>
              <w:rPr>
                <w:rFonts w:ascii="Calibri" w:hAnsi="Calibri" w:cs="Arial"/>
                <w:b/>
                <w:bCs/>
                <w:color w:val="000000" w:themeColor="text1"/>
              </w:rPr>
            </w:pPr>
            <w:r>
              <w:rPr>
                <w:rFonts w:ascii="Calibri" w:hAnsi="Calibri"/>
                <w:b/>
                <w:bCs/>
                <w:color w:val="000000" w:themeColor="text1"/>
              </w:rPr>
              <w:t>2019</w:t>
            </w:r>
          </w:p>
        </w:tc>
      </w:tr>
      <w:tr w:rsidR="003350EC" w:rsidRPr="003350EC" w:rsidTr="006A425D">
        <w:trPr>
          <w:trHeight w:val="332"/>
          <w:jc w:val="center"/>
        </w:trPr>
        <w:tc>
          <w:tcPr>
            <w:tcW w:w="6348" w:type="dxa"/>
            <w:tcBorders>
              <w:top w:val="single" w:sz="4" w:space="0" w:color="auto"/>
            </w:tcBorders>
            <w:shd w:val="clear" w:color="auto" w:fill="auto"/>
            <w:noWrap/>
            <w:vAlign w:val="bottom"/>
          </w:tcPr>
          <w:p w:rsidR="006A425D" w:rsidRPr="003350EC" w:rsidRDefault="006A425D" w:rsidP="006A425D">
            <w:pPr>
              <w:keepNext/>
              <w:rPr>
                <w:rFonts w:ascii="Calibri" w:hAnsi="Calibri" w:cs="Arial"/>
                <w:color w:val="000000" w:themeColor="text1"/>
              </w:rPr>
            </w:pPr>
            <w:r>
              <w:rPr>
                <w:rFonts w:ascii="Calibri" w:hAnsi="Calibri"/>
                <w:b/>
                <w:bCs/>
                <w:color w:val="000000" w:themeColor="text1"/>
              </w:rPr>
              <w:t>GROSS DOMESTIC PRODUCT</w:t>
            </w:r>
          </w:p>
        </w:tc>
        <w:tc>
          <w:tcPr>
            <w:tcW w:w="1273" w:type="dxa"/>
            <w:tcBorders>
              <w:top w:val="single" w:sz="4" w:space="0" w:color="auto"/>
            </w:tcBorders>
            <w:shd w:val="clear" w:color="auto" w:fill="auto"/>
            <w:noWrap/>
            <w:vAlign w:val="bottom"/>
          </w:tcPr>
          <w:p w:rsidR="006A425D" w:rsidRPr="003350EC" w:rsidRDefault="006A425D" w:rsidP="0059380C">
            <w:pPr>
              <w:keepNext/>
              <w:jc w:val="center"/>
              <w:rPr>
                <w:rFonts w:ascii="Calibri" w:hAnsi="Calibri" w:cs="Calibri"/>
                <w:b/>
                <w:bCs/>
                <w:color w:val="000000" w:themeColor="text1"/>
              </w:rPr>
            </w:pPr>
            <w:r>
              <w:rPr>
                <w:rFonts w:ascii="Calibri" w:hAnsi="Calibri"/>
                <w:b/>
                <w:bCs/>
                <w:color w:val="000000" w:themeColor="text1"/>
              </w:rPr>
              <w:t>4.1</w:t>
            </w:r>
          </w:p>
        </w:tc>
        <w:tc>
          <w:tcPr>
            <w:tcW w:w="1387" w:type="dxa"/>
            <w:tcBorders>
              <w:top w:val="single" w:sz="4" w:space="0" w:color="auto"/>
            </w:tcBorders>
            <w:shd w:val="clear" w:color="auto" w:fill="auto"/>
            <w:noWrap/>
            <w:vAlign w:val="bottom"/>
          </w:tcPr>
          <w:p w:rsidR="006A425D" w:rsidRPr="003350EC" w:rsidRDefault="006A425D" w:rsidP="006A425D">
            <w:pPr>
              <w:keepNext/>
              <w:jc w:val="center"/>
              <w:rPr>
                <w:rFonts w:ascii="Calibri" w:hAnsi="Calibri" w:cs="Calibri"/>
                <w:b/>
                <w:bCs/>
                <w:color w:val="000000" w:themeColor="text1"/>
              </w:rPr>
            </w:pPr>
            <w:r>
              <w:rPr>
                <w:rFonts w:ascii="Calibri" w:hAnsi="Calibri"/>
                <w:b/>
                <w:bCs/>
                <w:color w:val="000000" w:themeColor="text1"/>
              </w:rPr>
              <w:t>5.5</w:t>
            </w:r>
          </w:p>
        </w:tc>
      </w:tr>
      <w:tr w:rsidR="003350EC" w:rsidRPr="003350EC" w:rsidTr="006A425D">
        <w:trPr>
          <w:trHeight w:val="350"/>
          <w:jc w:val="center"/>
        </w:trPr>
        <w:tc>
          <w:tcPr>
            <w:tcW w:w="6348" w:type="dxa"/>
            <w:tcBorders>
              <w:bottom w:val="single" w:sz="4" w:space="0" w:color="auto"/>
            </w:tcBorders>
            <w:shd w:val="clear" w:color="auto" w:fill="auto"/>
            <w:vAlign w:val="bottom"/>
          </w:tcPr>
          <w:p w:rsidR="006A425D" w:rsidRPr="003350EC" w:rsidRDefault="006A425D" w:rsidP="006A425D">
            <w:pPr>
              <w:keepNext/>
              <w:rPr>
                <w:rFonts w:ascii="Calibri" w:hAnsi="Calibri" w:cs="Arial"/>
                <w:color w:val="000000" w:themeColor="text1"/>
              </w:rPr>
            </w:pPr>
            <w:r>
              <w:rPr>
                <w:rFonts w:ascii="Calibri" w:hAnsi="Calibri"/>
                <w:b/>
                <w:bCs/>
                <w:color w:val="000000" w:themeColor="text1"/>
              </w:rPr>
              <w:t>Domestic demand</w:t>
            </w:r>
          </w:p>
        </w:tc>
        <w:tc>
          <w:tcPr>
            <w:tcW w:w="1273" w:type="dxa"/>
            <w:tcBorders>
              <w:bottom w:val="single" w:sz="4" w:space="0" w:color="auto"/>
            </w:tcBorders>
            <w:shd w:val="clear" w:color="auto" w:fill="auto"/>
            <w:noWrap/>
            <w:vAlign w:val="bottom"/>
          </w:tcPr>
          <w:p w:rsidR="006A425D" w:rsidRPr="003350EC" w:rsidRDefault="0059380C" w:rsidP="0059380C">
            <w:pPr>
              <w:keepNext/>
              <w:jc w:val="center"/>
              <w:rPr>
                <w:rFonts w:ascii="Calibri" w:hAnsi="Calibri" w:cs="Calibri"/>
                <w:b/>
                <w:bCs/>
                <w:color w:val="000000" w:themeColor="text1"/>
              </w:rPr>
            </w:pPr>
            <w:r>
              <w:rPr>
                <w:rFonts w:ascii="Calibri" w:hAnsi="Calibri"/>
                <w:b/>
                <w:bCs/>
                <w:color w:val="000000" w:themeColor="text1"/>
              </w:rPr>
              <w:t>5.9</w:t>
            </w:r>
          </w:p>
        </w:tc>
        <w:tc>
          <w:tcPr>
            <w:tcW w:w="1387" w:type="dxa"/>
            <w:tcBorders>
              <w:bottom w:val="single" w:sz="4" w:space="0" w:color="auto"/>
            </w:tcBorders>
            <w:shd w:val="clear" w:color="auto" w:fill="auto"/>
            <w:noWrap/>
            <w:vAlign w:val="bottom"/>
          </w:tcPr>
          <w:p w:rsidR="006A425D" w:rsidRPr="003350EC" w:rsidRDefault="006A425D" w:rsidP="006A425D">
            <w:pPr>
              <w:keepNext/>
              <w:jc w:val="center"/>
              <w:rPr>
                <w:rFonts w:ascii="Calibri" w:hAnsi="Calibri" w:cs="Calibri"/>
                <w:b/>
                <w:bCs/>
                <w:color w:val="000000" w:themeColor="text1"/>
              </w:rPr>
            </w:pPr>
            <w:r>
              <w:rPr>
                <w:rFonts w:ascii="Calibri" w:hAnsi="Calibri"/>
                <w:b/>
                <w:bCs/>
                <w:color w:val="000000" w:themeColor="text1"/>
              </w:rPr>
              <w:t>6.1</w:t>
            </w:r>
          </w:p>
        </w:tc>
      </w:tr>
      <w:tr w:rsidR="003350EC" w:rsidRPr="003350EC" w:rsidTr="006A425D">
        <w:trPr>
          <w:trHeight w:val="170"/>
          <w:jc w:val="center"/>
        </w:trPr>
        <w:tc>
          <w:tcPr>
            <w:tcW w:w="6348" w:type="dxa"/>
            <w:tcBorders>
              <w:bottom w:val="nil"/>
            </w:tcBorders>
            <w:shd w:val="clear" w:color="auto" w:fill="auto"/>
            <w:noWrap/>
            <w:vAlign w:val="bottom"/>
          </w:tcPr>
          <w:p w:rsidR="006A425D" w:rsidRPr="003350EC" w:rsidRDefault="006A425D" w:rsidP="006A425D">
            <w:pPr>
              <w:keepNext/>
              <w:contextualSpacing/>
              <w:rPr>
                <w:rFonts w:ascii="Calibri" w:eastAsia="Calibri" w:hAnsi="Calibri"/>
                <w:color w:val="000000" w:themeColor="text1"/>
              </w:rPr>
            </w:pPr>
            <w:r>
              <w:rPr>
                <w:rFonts w:ascii="Calibri" w:hAnsi="Calibri"/>
                <w:color w:val="000000" w:themeColor="text1"/>
              </w:rPr>
              <w:t>Final consumption</w:t>
            </w:r>
          </w:p>
        </w:tc>
        <w:tc>
          <w:tcPr>
            <w:tcW w:w="1273" w:type="dxa"/>
            <w:tcBorders>
              <w:bottom w:val="nil"/>
            </w:tcBorders>
            <w:shd w:val="clear" w:color="auto" w:fill="auto"/>
            <w:noWrap/>
            <w:vAlign w:val="bottom"/>
          </w:tcPr>
          <w:p w:rsidR="006A425D" w:rsidRPr="003350EC" w:rsidRDefault="006A425D" w:rsidP="006A425D">
            <w:pPr>
              <w:keepNext/>
              <w:jc w:val="center"/>
              <w:rPr>
                <w:rFonts w:ascii="Calibri" w:hAnsi="Calibri" w:cs="Calibri"/>
                <w:color w:val="000000" w:themeColor="text1"/>
              </w:rPr>
            </w:pPr>
            <w:r>
              <w:rPr>
                <w:rFonts w:ascii="Calibri" w:hAnsi="Calibri"/>
                <w:color w:val="000000" w:themeColor="text1"/>
              </w:rPr>
              <w:t>3.9</w:t>
            </w:r>
          </w:p>
        </w:tc>
        <w:tc>
          <w:tcPr>
            <w:tcW w:w="1387" w:type="dxa"/>
            <w:tcBorders>
              <w:bottom w:val="nil"/>
            </w:tcBorders>
            <w:shd w:val="clear" w:color="auto" w:fill="auto"/>
            <w:noWrap/>
            <w:vAlign w:val="bottom"/>
          </w:tcPr>
          <w:p w:rsidR="006A425D" w:rsidRPr="003350EC" w:rsidRDefault="006A425D" w:rsidP="006A425D">
            <w:pPr>
              <w:keepNext/>
              <w:jc w:val="center"/>
              <w:rPr>
                <w:rFonts w:ascii="Calibri" w:hAnsi="Calibri" w:cs="Calibri"/>
                <w:color w:val="000000" w:themeColor="text1"/>
              </w:rPr>
            </w:pPr>
            <w:r>
              <w:rPr>
                <w:rFonts w:ascii="Calibri" w:hAnsi="Calibri"/>
                <w:color w:val="000000" w:themeColor="text1"/>
              </w:rPr>
              <w:t>4.7</w:t>
            </w:r>
          </w:p>
        </w:tc>
      </w:tr>
      <w:tr w:rsidR="003350EC" w:rsidRPr="003350EC" w:rsidTr="006A425D">
        <w:trPr>
          <w:trHeight w:val="340"/>
          <w:jc w:val="center"/>
        </w:trPr>
        <w:tc>
          <w:tcPr>
            <w:tcW w:w="6348" w:type="dxa"/>
            <w:tcBorders>
              <w:top w:val="nil"/>
              <w:bottom w:val="nil"/>
            </w:tcBorders>
            <w:shd w:val="clear" w:color="auto" w:fill="auto"/>
            <w:noWrap/>
            <w:vAlign w:val="bottom"/>
          </w:tcPr>
          <w:p w:rsidR="006A425D" w:rsidRPr="003350EC" w:rsidRDefault="006A425D" w:rsidP="006A425D">
            <w:pPr>
              <w:keepNext/>
              <w:ind w:left="720" w:hanging="360"/>
              <w:contextualSpacing/>
              <w:rPr>
                <w:rFonts w:ascii="Calibri" w:eastAsia="Calibri" w:hAnsi="Calibri" w:cs="Arial"/>
                <w:color w:val="000000" w:themeColor="text1"/>
              </w:rPr>
            </w:pPr>
            <w:r>
              <w:rPr>
                <w:rFonts w:ascii="Calibri" w:hAnsi="Calibri"/>
                <w:color w:val="000000" w:themeColor="text1"/>
              </w:rPr>
              <w:t>- Expenditures for private consumption, of which:</w:t>
            </w:r>
          </w:p>
        </w:tc>
        <w:tc>
          <w:tcPr>
            <w:tcW w:w="1273" w:type="dxa"/>
            <w:tcBorders>
              <w:top w:val="nil"/>
              <w:bottom w:val="nil"/>
            </w:tcBorders>
            <w:shd w:val="clear" w:color="auto" w:fill="auto"/>
            <w:noWrap/>
            <w:vAlign w:val="bottom"/>
          </w:tcPr>
          <w:p w:rsidR="006A425D" w:rsidRPr="003350EC" w:rsidRDefault="006A425D" w:rsidP="006A425D">
            <w:pPr>
              <w:keepNext/>
              <w:jc w:val="center"/>
              <w:rPr>
                <w:rFonts w:ascii="Calibri" w:hAnsi="Calibri" w:cs="Calibri"/>
                <w:color w:val="000000" w:themeColor="text1"/>
              </w:rPr>
            </w:pPr>
            <w:r>
              <w:rPr>
                <w:rFonts w:ascii="Calibri" w:hAnsi="Calibri"/>
                <w:color w:val="000000" w:themeColor="text1"/>
              </w:rPr>
              <w:t>3.3</w:t>
            </w:r>
          </w:p>
        </w:tc>
        <w:tc>
          <w:tcPr>
            <w:tcW w:w="1387" w:type="dxa"/>
            <w:tcBorders>
              <w:top w:val="nil"/>
              <w:bottom w:val="nil"/>
            </w:tcBorders>
            <w:shd w:val="clear" w:color="auto" w:fill="auto"/>
            <w:noWrap/>
            <w:vAlign w:val="bottom"/>
          </w:tcPr>
          <w:p w:rsidR="006A425D" w:rsidRPr="003350EC" w:rsidRDefault="006A425D" w:rsidP="006A425D">
            <w:pPr>
              <w:keepNext/>
              <w:jc w:val="center"/>
              <w:rPr>
                <w:rFonts w:ascii="Calibri" w:hAnsi="Calibri" w:cs="Calibri"/>
                <w:color w:val="000000" w:themeColor="text1"/>
              </w:rPr>
            </w:pPr>
            <w:r>
              <w:rPr>
                <w:rFonts w:ascii="Calibri" w:hAnsi="Calibri"/>
                <w:color w:val="000000" w:themeColor="text1"/>
              </w:rPr>
              <w:t>4.0</w:t>
            </w:r>
          </w:p>
        </w:tc>
      </w:tr>
      <w:tr w:rsidR="003350EC" w:rsidRPr="003350EC" w:rsidTr="006A425D">
        <w:trPr>
          <w:trHeight w:val="340"/>
          <w:jc w:val="center"/>
        </w:trPr>
        <w:tc>
          <w:tcPr>
            <w:tcW w:w="6348" w:type="dxa"/>
            <w:tcBorders>
              <w:top w:val="nil"/>
              <w:bottom w:val="nil"/>
            </w:tcBorders>
            <w:shd w:val="clear" w:color="auto" w:fill="auto"/>
            <w:noWrap/>
            <w:vAlign w:val="bottom"/>
          </w:tcPr>
          <w:p w:rsidR="006A425D" w:rsidRPr="00F751B9" w:rsidRDefault="006A425D" w:rsidP="006A425D">
            <w:pPr>
              <w:keepNext/>
              <w:ind w:left="720" w:hanging="120"/>
              <w:contextualSpacing/>
              <w:rPr>
                <w:rFonts w:ascii="Calibri" w:eastAsia="Calibri" w:hAnsi="Calibri"/>
                <w:color w:val="000000" w:themeColor="text1"/>
              </w:rPr>
            </w:pPr>
            <w:r>
              <w:rPr>
                <w:rFonts w:ascii="Calibri" w:hAnsi="Calibri"/>
                <w:color w:val="000000" w:themeColor="text1"/>
              </w:rPr>
              <w:t xml:space="preserve">     -- Expenditures for final consumption of the population</w:t>
            </w:r>
          </w:p>
        </w:tc>
        <w:tc>
          <w:tcPr>
            <w:tcW w:w="1273" w:type="dxa"/>
            <w:tcBorders>
              <w:top w:val="nil"/>
              <w:bottom w:val="nil"/>
            </w:tcBorders>
            <w:shd w:val="clear" w:color="auto" w:fill="auto"/>
            <w:noWrap/>
            <w:vAlign w:val="bottom"/>
          </w:tcPr>
          <w:p w:rsidR="006A425D" w:rsidRPr="003350EC" w:rsidRDefault="006A425D" w:rsidP="006A425D">
            <w:pPr>
              <w:keepNext/>
              <w:jc w:val="center"/>
              <w:rPr>
                <w:rFonts w:ascii="Calibri" w:hAnsi="Calibri" w:cs="Calibri"/>
                <w:color w:val="000000" w:themeColor="text1"/>
              </w:rPr>
            </w:pPr>
            <w:r>
              <w:rPr>
                <w:rFonts w:ascii="Calibri" w:hAnsi="Calibri"/>
                <w:color w:val="000000" w:themeColor="text1"/>
              </w:rPr>
              <w:t>3.3</w:t>
            </w:r>
          </w:p>
        </w:tc>
        <w:tc>
          <w:tcPr>
            <w:tcW w:w="1387" w:type="dxa"/>
            <w:tcBorders>
              <w:top w:val="nil"/>
              <w:bottom w:val="nil"/>
            </w:tcBorders>
            <w:shd w:val="clear" w:color="auto" w:fill="auto"/>
            <w:noWrap/>
            <w:vAlign w:val="bottom"/>
          </w:tcPr>
          <w:p w:rsidR="006A425D" w:rsidRPr="003350EC" w:rsidRDefault="006A425D" w:rsidP="006A425D">
            <w:pPr>
              <w:keepNext/>
              <w:jc w:val="center"/>
              <w:rPr>
                <w:rFonts w:ascii="Calibri" w:hAnsi="Calibri" w:cs="Calibri"/>
                <w:color w:val="000000" w:themeColor="text1"/>
              </w:rPr>
            </w:pPr>
            <w:r>
              <w:rPr>
                <w:rFonts w:ascii="Calibri" w:hAnsi="Calibri"/>
                <w:color w:val="000000" w:themeColor="text1"/>
              </w:rPr>
              <w:t>4.0</w:t>
            </w:r>
          </w:p>
        </w:tc>
      </w:tr>
      <w:tr w:rsidR="003350EC" w:rsidRPr="003350EC" w:rsidTr="006A425D">
        <w:trPr>
          <w:trHeight w:val="340"/>
          <w:jc w:val="center"/>
        </w:trPr>
        <w:tc>
          <w:tcPr>
            <w:tcW w:w="6348" w:type="dxa"/>
            <w:tcBorders>
              <w:top w:val="nil"/>
              <w:bottom w:val="nil"/>
            </w:tcBorders>
            <w:shd w:val="clear" w:color="auto" w:fill="auto"/>
            <w:noWrap/>
            <w:vAlign w:val="bottom"/>
          </w:tcPr>
          <w:p w:rsidR="006A425D" w:rsidRPr="003350EC" w:rsidRDefault="006A425D" w:rsidP="006A425D">
            <w:pPr>
              <w:keepNext/>
              <w:ind w:left="720" w:hanging="360"/>
              <w:contextualSpacing/>
              <w:rPr>
                <w:rFonts w:ascii="Calibri" w:eastAsia="Calibri" w:hAnsi="Calibri"/>
                <w:color w:val="000000" w:themeColor="text1"/>
              </w:rPr>
            </w:pPr>
            <w:r>
              <w:rPr>
                <w:rFonts w:ascii="Calibri" w:hAnsi="Calibri"/>
                <w:color w:val="000000" w:themeColor="text1"/>
              </w:rPr>
              <w:t>- Expenditures for government consumption*, of which:</w:t>
            </w:r>
          </w:p>
        </w:tc>
        <w:tc>
          <w:tcPr>
            <w:tcW w:w="1273" w:type="dxa"/>
            <w:tcBorders>
              <w:top w:val="nil"/>
              <w:bottom w:val="nil"/>
            </w:tcBorders>
            <w:shd w:val="clear" w:color="auto" w:fill="auto"/>
            <w:noWrap/>
            <w:vAlign w:val="bottom"/>
          </w:tcPr>
          <w:p w:rsidR="006A425D" w:rsidRPr="003350EC" w:rsidRDefault="006A425D" w:rsidP="0059380C">
            <w:pPr>
              <w:keepNext/>
              <w:jc w:val="center"/>
              <w:rPr>
                <w:rFonts w:ascii="Calibri" w:hAnsi="Calibri" w:cs="Calibri"/>
                <w:color w:val="000000" w:themeColor="text1"/>
              </w:rPr>
            </w:pPr>
            <w:r>
              <w:rPr>
                <w:rFonts w:ascii="Calibri" w:hAnsi="Calibri"/>
                <w:color w:val="000000" w:themeColor="text1"/>
              </w:rPr>
              <w:t>0.6</w:t>
            </w:r>
          </w:p>
        </w:tc>
        <w:tc>
          <w:tcPr>
            <w:tcW w:w="1387" w:type="dxa"/>
            <w:tcBorders>
              <w:top w:val="nil"/>
              <w:bottom w:val="nil"/>
            </w:tcBorders>
            <w:shd w:val="clear" w:color="auto" w:fill="auto"/>
            <w:noWrap/>
            <w:vAlign w:val="bottom"/>
          </w:tcPr>
          <w:p w:rsidR="006A425D" w:rsidRPr="003350EC" w:rsidRDefault="006A425D" w:rsidP="006A425D">
            <w:pPr>
              <w:keepNext/>
              <w:jc w:val="center"/>
              <w:rPr>
                <w:rFonts w:ascii="Calibri" w:hAnsi="Calibri" w:cs="Calibri"/>
                <w:color w:val="000000" w:themeColor="text1"/>
              </w:rPr>
            </w:pPr>
            <w:r>
              <w:rPr>
                <w:rFonts w:ascii="Calibri" w:hAnsi="Calibri"/>
                <w:color w:val="000000" w:themeColor="text1"/>
              </w:rPr>
              <w:t>0.7</w:t>
            </w:r>
          </w:p>
        </w:tc>
      </w:tr>
      <w:tr w:rsidR="003350EC" w:rsidRPr="003350EC" w:rsidTr="006A425D">
        <w:trPr>
          <w:trHeight w:val="340"/>
          <w:jc w:val="center"/>
        </w:trPr>
        <w:tc>
          <w:tcPr>
            <w:tcW w:w="6348" w:type="dxa"/>
            <w:tcBorders>
              <w:top w:val="nil"/>
              <w:bottom w:val="single" w:sz="4" w:space="0" w:color="auto"/>
            </w:tcBorders>
            <w:shd w:val="clear" w:color="auto" w:fill="auto"/>
            <w:noWrap/>
            <w:vAlign w:val="bottom"/>
          </w:tcPr>
          <w:p w:rsidR="006A425D" w:rsidRPr="00F751B9" w:rsidRDefault="006A425D" w:rsidP="006A425D">
            <w:pPr>
              <w:keepNext/>
              <w:ind w:left="720" w:hanging="120"/>
              <w:contextualSpacing/>
              <w:rPr>
                <w:rFonts w:ascii="Calibri" w:eastAsia="Calibri" w:hAnsi="Calibri"/>
                <w:color w:val="000000" w:themeColor="text1"/>
              </w:rPr>
            </w:pPr>
            <w:r>
              <w:rPr>
                <w:rFonts w:ascii="Calibri" w:hAnsi="Calibri"/>
                <w:color w:val="000000" w:themeColor="text1"/>
              </w:rPr>
              <w:t xml:space="preserve">     -- Effective collective consumption of the public administration</w:t>
            </w:r>
          </w:p>
        </w:tc>
        <w:tc>
          <w:tcPr>
            <w:tcW w:w="1273" w:type="dxa"/>
            <w:tcBorders>
              <w:top w:val="nil"/>
              <w:bottom w:val="single" w:sz="4" w:space="0" w:color="auto"/>
            </w:tcBorders>
            <w:shd w:val="clear" w:color="auto" w:fill="auto"/>
            <w:noWrap/>
            <w:vAlign w:val="bottom"/>
          </w:tcPr>
          <w:p w:rsidR="006A425D" w:rsidRPr="003350EC" w:rsidRDefault="006A425D" w:rsidP="0059380C">
            <w:pPr>
              <w:keepNext/>
              <w:jc w:val="center"/>
              <w:rPr>
                <w:rFonts w:ascii="Calibri" w:hAnsi="Calibri" w:cs="Calibri"/>
                <w:color w:val="000000" w:themeColor="text1"/>
              </w:rPr>
            </w:pPr>
            <w:r>
              <w:rPr>
                <w:rFonts w:ascii="Calibri" w:hAnsi="Calibri"/>
                <w:color w:val="000000" w:themeColor="text1"/>
              </w:rPr>
              <w:t>0.5</w:t>
            </w:r>
          </w:p>
        </w:tc>
        <w:tc>
          <w:tcPr>
            <w:tcW w:w="1387" w:type="dxa"/>
            <w:tcBorders>
              <w:top w:val="nil"/>
              <w:bottom w:val="single" w:sz="4" w:space="0" w:color="auto"/>
            </w:tcBorders>
            <w:shd w:val="clear" w:color="auto" w:fill="auto"/>
            <w:noWrap/>
            <w:vAlign w:val="bottom"/>
          </w:tcPr>
          <w:p w:rsidR="006A425D" w:rsidRPr="003350EC" w:rsidRDefault="006A425D" w:rsidP="006A425D">
            <w:pPr>
              <w:keepNext/>
              <w:jc w:val="center"/>
              <w:rPr>
                <w:rFonts w:ascii="Calibri" w:hAnsi="Calibri" w:cs="Calibri"/>
                <w:color w:val="000000" w:themeColor="text1"/>
              </w:rPr>
            </w:pPr>
            <w:r>
              <w:rPr>
                <w:rFonts w:ascii="Calibri" w:hAnsi="Calibri"/>
                <w:color w:val="000000" w:themeColor="text1"/>
              </w:rPr>
              <w:t>0.4</w:t>
            </w:r>
          </w:p>
        </w:tc>
      </w:tr>
      <w:tr w:rsidR="003350EC" w:rsidRPr="003350EC" w:rsidTr="006A425D">
        <w:trPr>
          <w:trHeight w:val="340"/>
          <w:jc w:val="center"/>
        </w:trPr>
        <w:tc>
          <w:tcPr>
            <w:tcW w:w="6348" w:type="dxa"/>
            <w:tcBorders>
              <w:bottom w:val="nil"/>
            </w:tcBorders>
            <w:shd w:val="clear" w:color="auto" w:fill="auto"/>
            <w:noWrap/>
            <w:vAlign w:val="bottom"/>
          </w:tcPr>
          <w:p w:rsidR="006A425D" w:rsidRPr="003350EC" w:rsidRDefault="006A425D" w:rsidP="006A425D">
            <w:pPr>
              <w:keepNext/>
              <w:contextualSpacing/>
              <w:rPr>
                <w:rFonts w:ascii="Calibri" w:eastAsia="Calibri" w:hAnsi="Calibri"/>
                <w:color w:val="000000" w:themeColor="text1"/>
              </w:rPr>
            </w:pPr>
            <w:r>
              <w:rPr>
                <w:rFonts w:ascii="Calibri" w:hAnsi="Calibri"/>
                <w:color w:val="000000" w:themeColor="text1"/>
              </w:rPr>
              <w:t>Gross capital formation</w:t>
            </w:r>
          </w:p>
        </w:tc>
        <w:tc>
          <w:tcPr>
            <w:tcW w:w="1273" w:type="dxa"/>
            <w:tcBorders>
              <w:bottom w:val="nil"/>
            </w:tcBorders>
            <w:shd w:val="clear" w:color="auto" w:fill="auto"/>
            <w:noWrap/>
            <w:vAlign w:val="bottom"/>
          </w:tcPr>
          <w:p w:rsidR="006A425D" w:rsidRPr="003350EC" w:rsidRDefault="006A425D" w:rsidP="0059380C">
            <w:pPr>
              <w:keepNext/>
              <w:jc w:val="center"/>
              <w:rPr>
                <w:rFonts w:ascii="Calibri" w:hAnsi="Calibri" w:cs="Calibri"/>
                <w:color w:val="000000" w:themeColor="text1"/>
              </w:rPr>
            </w:pPr>
            <w:r>
              <w:rPr>
                <w:rFonts w:ascii="Calibri" w:hAnsi="Calibri"/>
                <w:color w:val="000000" w:themeColor="text1"/>
              </w:rPr>
              <w:t>2.0</w:t>
            </w:r>
          </w:p>
        </w:tc>
        <w:tc>
          <w:tcPr>
            <w:tcW w:w="1387" w:type="dxa"/>
            <w:tcBorders>
              <w:bottom w:val="nil"/>
            </w:tcBorders>
            <w:shd w:val="clear" w:color="auto" w:fill="auto"/>
            <w:noWrap/>
            <w:vAlign w:val="bottom"/>
          </w:tcPr>
          <w:p w:rsidR="006A425D" w:rsidRPr="003350EC" w:rsidRDefault="006A425D" w:rsidP="006A425D">
            <w:pPr>
              <w:keepNext/>
              <w:jc w:val="center"/>
              <w:rPr>
                <w:rFonts w:ascii="Calibri" w:hAnsi="Calibri" w:cs="Calibri"/>
                <w:color w:val="000000" w:themeColor="text1"/>
              </w:rPr>
            </w:pPr>
            <w:r>
              <w:rPr>
                <w:rFonts w:ascii="Calibri" w:hAnsi="Calibri"/>
                <w:color w:val="000000" w:themeColor="text1"/>
              </w:rPr>
              <w:t>1.4</w:t>
            </w:r>
          </w:p>
        </w:tc>
      </w:tr>
      <w:tr w:rsidR="003350EC" w:rsidRPr="003350EC" w:rsidTr="006A425D">
        <w:trPr>
          <w:trHeight w:val="315"/>
          <w:jc w:val="center"/>
        </w:trPr>
        <w:tc>
          <w:tcPr>
            <w:tcW w:w="6348" w:type="dxa"/>
            <w:tcBorders>
              <w:top w:val="nil"/>
              <w:bottom w:val="nil"/>
            </w:tcBorders>
            <w:shd w:val="clear" w:color="auto" w:fill="auto"/>
            <w:noWrap/>
            <w:vAlign w:val="bottom"/>
          </w:tcPr>
          <w:p w:rsidR="006A425D" w:rsidRPr="003350EC" w:rsidRDefault="006A425D" w:rsidP="006A425D">
            <w:pPr>
              <w:keepNext/>
              <w:ind w:left="720"/>
              <w:contextualSpacing/>
              <w:rPr>
                <w:rFonts w:ascii="Calibri" w:eastAsia="Calibri" w:hAnsi="Calibri" w:cs="Arial"/>
                <w:color w:val="000000" w:themeColor="text1"/>
              </w:rPr>
            </w:pPr>
            <w:r>
              <w:rPr>
                <w:rFonts w:ascii="Calibri" w:hAnsi="Calibri"/>
                <w:color w:val="000000" w:themeColor="text1"/>
              </w:rPr>
              <w:t>- Gross fixed capital formation</w:t>
            </w:r>
          </w:p>
        </w:tc>
        <w:tc>
          <w:tcPr>
            <w:tcW w:w="1273" w:type="dxa"/>
            <w:tcBorders>
              <w:top w:val="nil"/>
              <w:bottom w:val="nil"/>
            </w:tcBorders>
            <w:shd w:val="clear" w:color="auto" w:fill="auto"/>
            <w:noWrap/>
            <w:vAlign w:val="bottom"/>
          </w:tcPr>
          <w:p w:rsidR="006A425D" w:rsidRPr="003350EC" w:rsidRDefault="0059380C" w:rsidP="00613C85">
            <w:pPr>
              <w:keepNext/>
              <w:jc w:val="center"/>
              <w:rPr>
                <w:rFonts w:ascii="Calibri" w:hAnsi="Calibri" w:cs="Calibri"/>
                <w:color w:val="000000" w:themeColor="text1"/>
              </w:rPr>
            </w:pPr>
            <w:r>
              <w:rPr>
                <w:rFonts w:ascii="Calibri" w:hAnsi="Calibri"/>
                <w:color w:val="000000" w:themeColor="text1"/>
              </w:rPr>
              <w:t>-0.7</w:t>
            </w:r>
          </w:p>
        </w:tc>
        <w:tc>
          <w:tcPr>
            <w:tcW w:w="1387" w:type="dxa"/>
            <w:tcBorders>
              <w:top w:val="nil"/>
              <w:bottom w:val="nil"/>
            </w:tcBorders>
            <w:shd w:val="clear" w:color="auto" w:fill="auto"/>
            <w:noWrap/>
            <w:vAlign w:val="bottom"/>
          </w:tcPr>
          <w:p w:rsidR="006A425D" w:rsidRPr="003350EC" w:rsidRDefault="006A425D" w:rsidP="006A425D">
            <w:pPr>
              <w:keepNext/>
              <w:jc w:val="center"/>
              <w:rPr>
                <w:rFonts w:ascii="Calibri" w:hAnsi="Calibri" w:cs="Calibri"/>
                <w:color w:val="000000" w:themeColor="text1"/>
              </w:rPr>
            </w:pPr>
            <w:r>
              <w:rPr>
                <w:rFonts w:ascii="Calibri" w:hAnsi="Calibri"/>
                <w:color w:val="000000" w:themeColor="text1"/>
              </w:rPr>
              <w:t>1.5</w:t>
            </w:r>
          </w:p>
        </w:tc>
      </w:tr>
      <w:tr w:rsidR="003350EC" w:rsidRPr="003350EC" w:rsidTr="006A425D">
        <w:trPr>
          <w:trHeight w:val="340"/>
          <w:jc w:val="center"/>
        </w:trPr>
        <w:tc>
          <w:tcPr>
            <w:tcW w:w="6348" w:type="dxa"/>
            <w:tcBorders>
              <w:top w:val="nil"/>
            </w:tcBorders>
            <w:shd w:val="clear" w:color="auto" w:fill="auto"/>
            <w:noWrap/>
            <w:vAlign w:val="bottom"/>
          </w:tcPr>
          <w:p w:rsidR="006A425D" w:rsidRPr="003350EC" w:rsidRDefault="006A425D" w:rsidP="006A425D">
            <w:pPr>
              <w:keepNext/>
              <w:ind w:left="720"/>
              <w:contextualSpacing/>
              <w:rPr>
                <w:rFonts w:ascii="Calibri" w:eastAsia="Calibri" w:hAnsi="Calibri"/>
                <w:color w:val="000000" w:themeColor="text1"/>
              </w:rPr>
            </w:pPr>
            <w:r>
              <w:rPr>
                <w:rFonts w:ascii="Calibri" w:hAnsi="Calibri"/>
                <w:color w:val="000000" w:themeColor="text1"/>
              </w:rPr>
              <w:t>- Change of stocks</w:t>
            </w:r>
          </w:p>
        </w:tc>
        <w:tc>
          <w:tcPr>
            <w:tcW w:w="1273" w:type="dxa"/>
            <w:tcBorders>
              <w:top w:val="nil"/>
            </w:tcBorders>
            <w:shd w:val="clear" w:color="auto" w:fill="auto"/>
            <w:noWrap/>
            <w:vAlign w:val="bottom"/>
          </w:tcPr>
          <w:p w:rsidR="006A425D" w:rsidRPr="003350EC" w:rsidRDefault="00613C85" w:rsidP="006A425D">
            <w:pPr>
              <w:keepNext/>
              <w:jc w:val="center"/>
              <w:rPr>
                <w:rFonts w:ascii="Calibri" w:hAnsi="Calibri" w:cs="Calibri"/>
                <w:color w:val="000000" w:themeColor="text1"/>
              </w:rPr>
            </w:pPr>
            <w:r>
              <w:rPr>
                <w:rFonts w:ascii="Calibri" w:hAnsi="Calibri"/>
                <w:color w:val="000000" w:themeColor="text1"/>
              </w:rPr>
              <w:t>2.8</w:t>
            </w:r>
          </w:p>
        </w:tc>
        <w:tc>
          <w:tcPr>
            <w:tcW w:w="1387" w:type="dxa"/>
            <w:tcBorders>
              <w:top w:val="nil"/>
            </w:tcBorders>
            <w:shd w:val="clear" w:color="auto" w:fill="auto"/>
            <w:noWrap/>
            <w:vAlign w:val="bottom"/>
          </w:tcPr>
          <w:p w:rsidR="006A425D" w:rsidRPr="003350EC" w:rsidRDefault="006A425D" w:rsidP="006A425D">
            <w:pPr>
              <w:keepNext/>
              <w:jc w:val="center"/>
              <w:rPr>
                <w:rFonts w:ascii="Calibri" w:hAnsi="Calibri" w:cs="Calibri"/>
                <w:color w:val="000000" w:themeColor="text1"/>
              </w:rPr>
            </w:pPr>
            <w:r>
              <w:rPr>
                <w:rFonts w:ascii="Calibri" w:hAnsi="Calibri"/>
                <w:color w:val="000000" w:themeColor="text1"/>
              </w:rPr>
              <w:t>0.0</w:t>
            </w:r>
          </w:p>
        </w:tc>
      </w:tr>
      <w:tr w:rsidR="003350EC" w:rsidRPr="003350EC" w:rsidTr="006A425D">
        <w:trPr>
          <w:trHeight w:val="340"/>
          <w:jc w:val="center"/>
        </w:trPr>
        <w:tc>
          <w:tcPr>
            <w:tcW w:w="6348" w:type="dxa"/>
            <w:tcBorders>
              <w:bottom w:val="single" w:sz="4" w:space="0" w:color="auto"/>
            </w:tcBorders>
            <w:shd w:val="clear" w:color="auto" w:fill="auto"/>
            <w:noWrap/>
            <w:vAlign w:val="bottom"/>
          </w:tcPr>
          <w:p w:rsidR="006A425D" w:rsidRPr="003350EC" w:rsidRDefault="006A425D" w:rsidP="006A425D">
            <w:pPr>
              <w:keepNext/>
              <w:rPr>
                <w:rFonts w:ascii="Calibri" w:hAnsi="Calibri" w:cs="Arial"/>
                <w:b/>
                <w:bCs/>
                <w:color w:val="000000" w:themeColor="text1"/>
              </w:rPr>
            </w:pPr>
            <w:r>
              <w:rPr>
                <w:rFonts w:ascii="Calibri" w:hAnsi="Calibri"/>
                <w:b/>
                <w:bCs/>
                <w:color w:val="000000" w:themeColor="text1"/>
              </w:rPr>
              <w:t>Net export</w:t>
            </w:r>
          </w:p>
        </w:tc>
        <w:tc>
          <w:tcPr>
            <w:tcW w:w="1273" w:type="dxa"/>
            <w:tcBorders>
              <w:bottom w:val="single" w:sz="4" w:space="0" w:color="auto"/>
            </w:tcBorders>
            <w:shd w:val="clear" w:color="auto" w:fill="auto"/>
            <w:noWrap/>
            <w:vAlign w:val="bottom"/>
          </w:tcPr>
          <w:p w:rsidR="006A425D" w:rsidRPr="003350EC" w:rsidRDefault="006A425D" w:rsidP="006A425D">
            <w:pPr>
              <w:keepNext/>
              <w:jc w:val="center"/>
              <w:rPr>
                <w:rFonts w:ascii="Calibri" w:hAnsi="Calibri" w:cs="Calibri"/>
                <w:b/>
                <w:bCs/>
                <w:color w:val="000000" w:themeColor="text1"/>
              </w:rPr>
            </w:pPr>
            <w:r>
              <w:rPr>
                <w:rFonts w:ascii="Calibri" w:hAnsi="Calibri"/>
                <w:b/>
                <w:bCs/>
                <w:color w:val="000000" w:themeColor="text1"/>
              </w:rPr>
              <w:t>-1.8</w:t>
            </w:r>
          </w:p>
        </w:tc>
        <w:tc>
          <w:tcPr>
            <w:tcW w:w="1387" w:type="dxa"/>
            <w:tcBorders>
              <w:bottom w:val="single" w:sz="4" w:space="0" w:color="auto"/>
            </w:tcBorders>
            <w:shd w:val="clear" w:color="auto" w:fill="auto"/>
            <w:noWrap/>
            <w:vAlign w:val="bottom"/>
          </w:tcPr>
          <w:p w:rsidR="006A425D" w:rsidRPr="003350EC" w:rsidRDefault="006A425D" w:rsidP="006A425D">
            <w:pPr>
              <w:keepNext/>
              <w:jc w:val="center"/>
              <w:rPr>
                <w:rFonts w:ascii="Calibri" w:hAnsi="Calibri" w:cs="Calibri"/>
                <w:b/>
                <w:bCs/>
                <w:color w:val="000000" w:themeColor="text1"/>
              </w:rPr>
            </w:pPr>
            <w:r>
              <w:rPr>
                <w:rFonts w:ascii="Calibri" w:hAnsi="Calibri"/>
                <w:b/>
                <w:bCs/>
                <w:color w:val="000000" w:themeColor="text1"/>
              </w:rPr>
              <w:t>-0.6</w:t>
            </w:r>
          </w:p>
        </w:tc>
      </w:tr>
      <w:tr w:rsidR="003350EC" w:rsidRPr="003350EC" w:rsidTr="006A425D">
        <w:trPr>
          <w:trHeight w:val="340"/>
          <w:jc w:val="center"/>
        </w:trPr>
        <w:tc>
          <w:tcPr>
            <w:tcW w:w="6348" w:type="dxa"/>
            <w:tcBorders>
              <w:bottom w:val="nil"/>
            </w:tcBorders>
            <w:shd w:val="clear" w:color="auto" w:fill="auto"/>
            <w:noWrap/>
            <w:vAlign w:val="bottom"/>
          </w:tcPr>
          <w:p w:rsidR="006A425D" w:rsidRPr="003350EC" w:rsidRDefault="006A425D" w:rsidP="006A425D">
            <w:pPr>
              <w:keepNext/>
              <w:contextualSpacing/>
              <w:rPr>
                <w:rFonts w:ascii="Calibri" w:eastAsia="Calibri" w:hAnsi="Calibri"/>
                <w:color w:val="000000" w:themeColor="text1"/>
              </w:rPr>
            </w:pPr>
            <w:r>
              <w:rPr>
                <w:rFonts w:ascii="Calibri" w:hAnsi="Calibri"/>
                <w:color w:val="000000" w:themeColor="text1"/>
              </w:rPr>
              <w:t>Export of goods and services</w:t>
            </w:r>
          </w:p>
        </w:tc>
        <w:tc>
          <w:tcPr>
            <w:tcW w:w="1273" w:type="dxa"/>
            <w:tcBorders>
              <w:bottom w:val="nil"/>
            </w:tcBorders>
            <w:shd w:val="clear" w:color="auto" w:fill="auto"/>
            <w:noWrap/>
            <w:vAlign w:val="bottom"/>
          </w:tcPr>
          <w:p w:rsidR="006A425D" w:rsidRPr="003350EC" w:rsidRDefault="00613C85" w:rsidP="006A425D">
            <w:pPr>
              <w:keepNext/>
              <w:jc w:val="center"/>
              <w:rPr>
                <w:rFonts w:ascii="Calibri" w:hAnsi="Calibri" w:cs="Calibri"/>
                <w:color w:val="000000" w:themeColor="text1"/>
              </w:rPr>
            </w:pPr>
            <w:r>
              <w:rPr>
                <w:rFonts w:ascii="Calibri" w:hAnsi="Calibri"/>
                <w:color w:val="000000" w:themeColor="text1"/>
              </w:rPr>
              <w:t>1.8</w:t>
            </w:r>
          </w:p>
        </w:tc>
        <w:tc>
          <w:tcPr>
            <w:tcW w:w="1387" w:type="dxa"/>
            <w:tcBorders>
              <w:bottom w:val="nil"/>
            </w:tcBorders>
            <w:shd w:val="clear" w:color="auto" w:fill="auto"/>
            <w:noWrap/>
            <w:vAlign w:val="bottom"/>
          </w:tcPr>
          <w:p w:rsidR="006A425D" w:rsidRPr="003350EC" w:rsidRDefault="006A425D" w:rsidP="006A425D">
            <w:pPr>
              <w:keepNext/>
              <w:jc w:val="center"/>
              <w:rPr>
                <w:rFonts w:ascii="Calibri" w:hAnsi="Calibri" w:cs="Calibri"/>
                <w:color w:val="000000" w:themeColor="text1"/>
              </w:rPr>
            </w:pPr>
            <w:r>
              <w:rPr>
                <w:rFonts w:ascii="Calibri" w:hAnsi="Calibri"/>
                <w:color w:val="000000" w:themeColor="text1"/>
              </w:rPr>
              <w:t>2.9</w:t>
            </w:r>
          </w:p>
        </w:tc>
      </w:tr>
      <w:tr w:rsidR="003350EC" w:rsidRPr="003350EC" w:rsidTr="006A425D">
        <w:trPr>
          <w:trHeight w:val="340"/>
          <w:jc w:val="center"/>
        </w:trPr>
        <w:tc>
          <w:tcPr>
            <w:tcW w:w="6348" w:type="dxa"/>
            <w:tcBorders>
              <w:top w:val="nil"/>
              <w:bottom w:val="single" w:sz="4" w:space="0" w:color="auto"/>
            </w:tcBorders>
            <w:shd w:val="clear" w:color="auto" w:fill="auto"/>
            <w:noWrap/>
            <w:vAlign w:val="bottom"/>
          </w:tcPr>
          <w:p w:rsidR="006A425D" w:rsidRPr="003350EC" w:rsidRDefault="006A425D" w:rsidP="006A425D">
            <w:pPr>
              <w:keepNext/>
              <w:contextualSpacing/>
              <w:rPr>
                <w:rFonts w:ascii="Calibri" w:eastAsia="Calibri" w:hAnsi="Calibri" w:cs="Arial"/>
                <w:b/>
                <w:bCs/>
                <w:color w:val="000000" w:themeColor="text1"/>
              </w:rPr>
            </w:pPr>
            <w:r>
              <w:rPr>
                <w:rFonts w:ascii="Calibri" w:hAnsi="Calibri"/>
                <w:color w:val="000000" w:themeColor="text1"/>
              </w:rPr>
              <w:t>Import of goods and services</w:t>
            </w:r>
          </w:p>
        </w:tc>
        <w:tc>
          <w:tcPr>
            <w:tcW w:w="1273" w:type="dxa"/>
            <w:tcBorders>
              <w:top w:val="nil"/>
              <w:bottom w:val="single" w:sz="4" w:space="0" w:color="auto"/>
            </w:tcBorders>
            <w:shd w:val="clear" w:color="auto" w:fill="auto"/>
            <w:noWrap/>
            <w:vAlign w:val="bottom"/>
          </w:tcPr>
          <w:p w:rsidR="006A425D" w:rsidRPr="003350EC" w:rsidRDefault="00613C85" w:rsidP="00613C85">
            <w:pPr>
              <w:keepNext/>
              <w:jc w:val="center"/>
              <w:rPr>
                <w:rFonts w:ascii="Calibri" w:hAnsi="Calibri" w:cs="Calibri"/>
                <w:color w:val="000000" w:themeColor="text1"/>
              </w:rPr>
            </w:pPr>
            <w:r>
              <w:rPr>
                <w:rFonts w:ascii="Calibri" w:hAnsi="Calibri"/>
                <w:color w:val="000000" w:themeColor="text1"/>
              </w:rPr>
              <w:t>3.8</w:t>
            </w:r>
          </w:p>
        </w:tc>
        <w:tc>
          <w:tcPr>
            <w:tcW w:w="1387" w:type="dxa"/>
            <w:tcBorders>
              <w:top w:val="nil"/>
              <w:bottom w:val="single" w:sz="4" w:space="0" w:color="auto"/>
            </w:tcBorders>
            <w:shd w:val="clear" w:color="auto" w:fill="auto"/>
            <w:noWrap/>
            <w:vAlign w:val="bottom"/>
          </w:tcPr>
          <w:p w:rsidR="006A425D" w:rsidRPr="003350EC" w:rsidRDefault="006A425D" w:rsidP="006A425D">
            <w:pPr>
              <w:keepNext/>
              <w:jc w:val="center"/>
              <w:rPr>
                <w:rFonts w:ascii="Calibri" w:hAnsi="Calibri" w:cs="Calibri"/>
                <w:color w:val="000000" w:themeColor="text1"/>
              </w:rPr>
            </w:pPr>
            <w:r>
              <w:rPr>
                <w:rFonts w:ascii="Calibri" w:hAnsi="Calibri"/>
                <w:color w:val="000000" w:themeColor="text1"/>
              </w:rPr>
              <w:t>3.5</w:t>
            </w:r>
          </w:p>
        </w:tc>
      </w:tr>
    </w:tbl>
    <w:p w:rsidR="006A425D" w:rsidRPr="003350EC" w:rsidRDefault="006A425D" w:rsidP="006A425D">
      <w:pPr>
        <w:keepNext/>
        <w:autoSpaceDE w:val="0"/>
        <w:autoSpaceDN w:val="0"/>
        <w:adjustRightInd w:val="0"/>
        <w:spacing w:before="120"/>
        <w:rPr>
          <w:rFonts w:ascii="Calibri" w:hAnsi="Calibri" w:cs="Arial"/>
          <w:color w:val="000000" w:themeColor="text1"/>
        </w:rPr>
      </w:pPr>
      <w:r>
        <w:rPr>
          <w:rFonts w:ascii="Calibri" w:hAnsi="Calibri"/>
          <w:color w:val="000000" w:themeColor="text1"/>
        </w:rPr>
        <w:t>*) Government consumption includes the individual and collective consumption of the public administration</w:t>
      </w:r>
    </w:p>
    <w:p w:rsidR="006A425D" w:rsidRPr="003350EC" w:rsidRDefault="006A425D" w:rsidP="006A425D">
      <w:pPr>
        <w:keepNext/>
        <w:autoSpaceDE w:val="0"/>
        <w:autoSpaceDN w:val="0"/>
        <w:adjustRightInd w:val="0"/>
        <w:rPr>
          <w:rFonts w:ascii="Calibri" w:hAnsi="Calibri" w:cs="Arial"/>
          <w:i/>
          <w:color w:val="000000" w:themeColor="text1"/>
          <w:sz w:val="22"/>
          <w:szCs w:val="22"/>
        </w:rPr>
      </w:pPr>
      <w:r>
        <w:rPr>
          <w:rFonts w:ascii="Calibri" w:hAnsi="Calibri"/>
          <w:i/>
          <w:color w:val="000000" w:themeColor="text1"/>
          <w:sz w:val="22"/>
          <w:szCs w:val="22"/>
        </w:rPr>
        <w:t>Note: The possible inconsistencies when adding up are due to rounding offs.</w:t>
      </w:r>
    </w:p>
    <w:p w:rsidR="006A425D" w:rsidRPr="003350EC" w:rsidRDefault="006A425D" w:rsidP="006A425D">
      <w:pPr>
        <w:keepNext/>
        <w:autoSpaceDE w:val="0"/>
        <w:autoSpaceDN w:val="0"/>
        <w:adjustRightInd w:val="0"/>
        <w:rPr>
          <w:rFonts w:ascii="Calibri" w:hAnsi="Calibri" w:cs="Arial"/>
          <w:i/>
          <w:color w:val="000000" w:themeColor="text1"/>
          <w:sz w:val="22"/>
          <w:szCs w:val="22"/>
          <w:lang w:val="ro-RO"/>
        </w:rPr>
      </w:pPr>
    </w:p>
    <w:tbl>
      <w:tblPr>
        <w:tblpPr w:leftFromText="180" w:rightFromText="180" w:vertAnchor="text" w:horzAnchor="margin" w:tblpXSpec="center" w:tblpY="95"/>
        <w:tblOverlap w:val="never"/>
        <w:tblW w:w="8886"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6031"/>
        <w:gridCol w:w="1246"/>
        <w:gridCol w:w="1609"/>
      </w:tblGrid>
      <w:tr w:rsidR="003350EC" w:rsidRPr="00F751B9" w:rsidTr="006A425D">
        <w:trPr>
          <w:trHeight w:val="374"/>
        </w:trPr>
        <w:tc>
          <w:tcPr>
            <w:tcW w:w="8886" w:type="dxa"/>
            <w:gridSpan w:val="3"/>
            <w:tcBorders>
              <w:top w:val="nil"/>
              <w:bottom w:val="nil"/>
            </w:tcBorders>
            <w:shd w:val="clear" w:color="auto" w:fill="8DB3E2"/>
            <w:noWrap/>
            <w:vAlign w:val="center"/>
          </w:tcPr>
          <w:p w:rsidR="006A425D" w:rsidRPr="003350EC" w:rsidRDefault="006A425D" w:rsidP="002B31A9">
            <w:pPr>
              <w:keepLines/>
              <w:jc w:val="center"/>
              <w:rPr>
                <w:rFonts w:ascii="Calibri" w:hAnsi="Calibri"/>
                <w:color w:val="000000" w:themeColor="text1"/>
              </w:rPr>
            </w:pPr>
            <w:r>
              <w:rPr>
                <w:rFonts w:ascii="Calibri" w:hAnsi="Calibri"/>
                <w:b/>
                <w:color w:val="000000" w:themeColor="text1"/>
              </w:rPr>
              <w:t>Contribution of the branches to real growth of GDP</w:t>
            </w:r>
          </w:p>
        </w:tc>
      </w:tr>
      <w:tr w:rsidR="003350EC" w:rsidRPr="003350EC" w:rsidTr="006A425D">
        <w:trPr>
          <w:trHeight w:val="374"/>
        </w:trPr>
        <w:tc>
          <w:tcPr>
            <w:tcW w:w="8886" w:type="dxa"/>
            <w:gridSpan w:val="3"/>
            <w:tcBorders>
              <w:top w:val="nil"/>
            </w:tcBorders>
            <w:shd w:val="clear" w:color="auto" w:fill="auto"/>
            <w:noWrap/>
            <w:vAlign w:val="center"/>
          </w:tcPr>
          <w:p w:rsidR="006A425D" w:rsidRPr="003350EC" w:rsidRDefault="006A425D" w:rsidP="002B31A9">
            <w:pPr>
              <w:keepLines/>
              <w:ind w:left="360" w:right="480"/>
              <w:jc w:val="right"/>
              <w:rPr>
                <w:rFonts w:ascii="Calibri" w:hAnsi="Calibri" w:cs="Arial"/>
                <w:bCs/>
                <w:color w:val="000000" w:themeColor="text1"/>
              </w:rPr>
            </w:pPr>
            <w:r>
              <w:rPr>
                <w:rFonts w:ascii="Calibri" w:hAnsi="Calibri"/>
                <w:bCs/>
                <w:color w:val="000000" w:themeColor="text1"/>
              </w:rPr>
              <w:t>- percentages -</w:t>
            </w:r>
          </w:p>
        </w:tc>
      </w:tr>
      <w:tr w:rsidR="003350EC" w:rsidRPr="003350EC" w:rsidTr="006A425D">
        <w:trPr>
          <w:trHeight w:val="374"/>
        </w:trPr>
        <w:tc>
          <w:tcPr>
            <w:tcW w:w="6031" w:type="dxa"/>
            <w:tcBorders>
              <w:bottom w:val="single" w:sz="4" w:space="0" w:color="auto"/>
            </w:tcBorders>
            <w:shd w:val="clear" w:color="auto" w:fill="auto"/>
            <w:noWrap/>
            <w:vAlign w:val="center"/>
          </w:tcPr>
          <w:p w:rsidR="006A425D" w:rsidRPr="003350EC" w:rsidRDefault="006A425D" w:rsidP="002B31A9">
            <w:pPr>
              <w:keepLines/>
              <w:jc w:val="center"/>
              <w:rPr>
                <w:rFonts w:ascii="Calibri" w:hAnsi="Calibri" w:cs="Arial"/>
                <w:b/>
                <w:bCs/>
                <w:color w:val="000000" w:themeColor="text1"/>
                <w:lang w:val="ro-RO"/>
              </w:rPr>
            </w:pPr>
          </w:p>
        </w:tc>
        <w:tc>
          <w:tcPr>
            <w:tcW w:w="1246" w:type="dxa"/>
            <w:tcBorders>
              <w:bottom w:val="single" w:sz="4" w:space="0" w:color="auto"/>
            </w:tcBorders>
            <w:shd w:val="clear" w:color="auto" w:fill="auto"/>
            <w:noWrap/>
            <w:vAlign w:val="bottom"/>
          </w:tcPr>
          <w:p w:rsidR="006A425D" w:rsidRPr="003350EC" w:rsidRDefault="006A425D" w:rsidP="002B31A9">
            <w:pPr>
              <w:keepLines/>
              <w:jc w:val="center"/>
              <w:rPr>
                <w:rFonts w:ascii="Calibri" w:hAnsi="Calibri" w:cs="Calibri"/>
                <w:b/>
                <w:bCs/>
                <w:color w:val="000000" w:themeColor="text1"/>
              </w:rPr>
            </w:pPr>
            <w:r>
              <w:rPr>
                <w:rFonts w:ascii="Calibri" w:hAnsi="Calibri"/>
                <w:b/>
                <w:bCs/>
                <w:color w:val="000000" w:themeColor="text1"/>
              </w:rPr>
              <w:t>2018</w:t>
            </w:r>
          </w:p>
        </w:tc>
        <w:tc>
          <w:tcPr>
            <w:tcW w:w="1609" w:type="dxa"/>
            <w:tcBorders>
              <w:bottom w:val="single" w:sz="4" w:space="0" w:color="auto"/>
            </w:tcBorders>
            <w:shd w:val="clear" w:color="auto" w:fill="auto"/>
            <w:noWrap/>
            <w:vAlign w:val="bottom"/>
          </w:tcPr>
          <w:p w:rsidR="006A425D" w:rsidRPr="003350EC" w:rsidRDefault="006A425D" w:rsidP="002B31A9">
            <w:pPr>
              <w:keepLines/>
              <w:jc w:val="center"/>
              <w:rPr>
                <w:rFonts w:ascii="Calibri" w:hAnsi="Calibri" w:cs="Calibri"/>
                <w:b/>
                <w:bCs/>
                <w:color w:val="000000" w:themeColor="text1"/>
              </w:rPr>
            </w:pPr>
            <w:r>
              <w:rPr>
                <w:rFonts w:ascii="Calibri" w:hAnsi="Calibri"/>
                <w:b/>
                <w:bCs/>
                <w:color w:val="000000" w:themeColor="text1"/>
              </w:rPr>
              <w:t>2019</w:t>
            </w:r>
          </w:p>
        </w:tc>
      </w:tr>
      <w:tr w:rsidR="003350EC" w:rsidRPr="003350EC" w:rsidTr="006A425D">
        <w:trPr>
          <w:trHeight w:val="340"/>
        </w:trPr>
        <w:tc>
          <w:tcPr>
            <w:tcW w:w="6031" w:type="dxa"/>
            <w:tcBorders>
              <w:bottom w:val="nil"/>
            </w:tcBorders>
            <w:shd w:val="clear" w:color="auto" w:fill="auto"/>
            <w:noWrap/>
            <w:vAlign w:val="bottom"/>
          </w:tcPr>
          <w:p w:rsidR="006A425D" w:rsidRPr="003350EC" w:rsidRDefault="006A425D" w:rsidP="002B31A9">
            <w:pPr>
              <w:keepLines/>
              <w:rPr>
                <w:rFonts w:ascii="Calibri" w:hAnsi="Calibri" w:cs="Arial"/>
                <w:color w:val="000000" w:themeColor="text1"/>
              </w:rPr>
            </w:pPr>
            <w:r>
              <w:rPr>
                <w:rFonts w:ascii="Calibri" w:hAnsi="Calibri"/>
                <w:color w:val="000000" w:themeColor="text1"/>
              </w:rPr>
              <w:t>Industry</w:t>
            </w:r>
          </w:p>
        </w:tc>
        <w:tc>
          <w:tcPr>
            <w:tcW w:w="1246" w:type="dxa"/>
            <w:tcBorders>
              <w:bottom w:val="nil"/>
            </w:tcBorders>
            <w:shd w:val="clear" w:color="auto" w:fill="auto"/>
            <w:noWrap/>
            <w:vAlign w:val="bottom"/>
          </w:tcPr>
          <w:p w:rsidR="006A425D" w:rsidRPr="003350EC" w:rsidRDefault="006A425D" w:rsidP="002B31A9">
            <w:pPr>
              <w:keepLines/>
              <w:jc w:val="center"/>
              <w:rPr>
                <w:rFonts w:ascii="Calibri" w:hAnsi="Calibri" w:cs="Arial"/>
                <w:color w:val="000000" w:themeColor="text1"/>
              </w:rPr>
            </w:pPr>
            <w:r>
              <w:rPr>
                <w:rFonts w:ascii="Calibri" w:hAnsi="Calibri"/>
                <w:color w:val="000000" w:themeColor="text1"/>
              </w:rPr>
              <w:t>1.0</w:t>
            </w:r>
          </w:p>
        </w:tc>
        <w:tc>
          <w:tcPr>
            <w:tcW w:w="1609" w:type="dxa"/>
            <w:tcBorders>
              <w:bottom w:val="nil"/>
            </w:tcBorders>
            <w:shd w:val="clear" w:color="auto" w:fill="auto"/>
            <w:noWrap/>
            <w:vAlign w:val="bottom"/>
          </w:tcPr>
          <w:p w:rsidR="006A425D" w:rsidRPr="003350EC" w:rsidRDefault="006A425D" w:rsidP="002B31A9">
            <w:pPr>
              <w:keepLines/>
              <w:jc w:val="center"/>
              <w:rPr>
                <w:rFonts w:ascii="Calibri" w:hAnsi="Calibri" w:cs="Arial"/>
                <w:color w:val="000000" w:themeColor="text1"/>
              </w:rPr>
            </w:pPr>
            <w:r>
              <w:rPr>
                <w:rFonts w:ascii="Calibri" w:hAnsi="Calibri"/>
                <w:color w:val="000000" w:themeColor="text1"/>
              </w:rPr>
              <w:t>1.3</w:t>
            </w:r>
          </w:p>
        </w:tc>
      </w:tr>
      <w:tr w:rsidR="003350EC" w:rsidRPr="003350EC" w:rsidTr="006A425D">
        <w:trPr>
          <w:trHeight w:val="340"/>
        </w:trPr>
        <w:tc>
          <w:tcPr>
            <w:tcW w:w="6031" w:type="dxa"/>
            <w:tcBorders>
              <w:top w:val="nil"/>
              <w:bottom w:val="nil"/>
            </w:tcBorders>
            <w:shd w:val="clear" w:color="auto" w:fill="auto"/>
            <w:vAlign w:val="bottom"/>
          </w:tcPr>
          <w:p w:rsidR="006A425D" w:rsidRPr="003350EC" w:rsidRDefault="006A425D" w:rsidP="002B31A9">
            <w:pPr>
              <w:keepLines/>
              <w:rPr>
                <w:rFonts w:ascii="Calibri" w:hAnsi="Calibri" w:cs="Arial"/>
                <w:color w:val="000000" w:themeColor="text1"/>
              </w:rPr>
            </w:pPr>
            <w:r>
              <w:rPr>
                <w:rFonts w:ascii="Calibri" w:hAnsi="Calibri"/>
                <w:color w:val="000000" w:themeColor="text1"/>
              </w:rPr>
              <w:t>Agriculture, forestry, fishing</w:t>
            </w:r>
          </w:p>
        </w:tc>
        <w:tc>
          <w:tcPr>
            <w:tcW w:w="1246" w:type="dxa"/>
            <w:tcBorders>
              <w:top w:val="nil"/>
              <w:bottom w:val="nil"/>
            </w:tcBorders>
            <w:shd w:val="clear" w:color="auto" w:fill="auto"/>
            <w:noWrap/>
            <w:vAlign w:val="bottom"/>
          </w:tcPr>
          <w:p w:rsidR="006A425D" w:rsidRPr="003350EC" w:rsidRDefault="006A425D" w:rsidP="002B31A9">
            <w:pPr>
              <w:keepLines/>
              <w:jc w:val="center"/>
              <w:rPr>
                <w:rFonts w:ascii="Calibri" w:hAnsi="Calibri" w:cs="Arial"/>
                <w:color w:val="000000" w:themeColor="text1"/>
              </w:rPr>
            </w:pPr>
            <w:r>
              <w:rPr>
                <w:rFonts w:ascii="Calibri" w:hAnsi="Calibri"/>
                <w:color w:val="000000" w:themeColor="text1"/>
              </w:rPr>
              <w:t>0.4</w:t>
            </w:r>
          </w:p>
        </w:tc>
        <w:tc>
          <w:tcPr>
            <w:tcW w:w="1609" w:type="dxa"/>
            <w:tcBorders>
              <w:top w:val="nil"/>
              <w:bottom w:val="nil"/>
            </w:tcBorders>
            <w:shd w:val="clear" w:color="auto" w:fill="auto"/>
            <w:noWrap/>
            <w:vAlign w:val="bottom"/>
          </w:tcPr>
          <w:p w:rsidR="006A425D" w:rsidRPr="003350EC" w:rsidRDefault="006A425D" w:rsidP="002B31A9">
            <w:pPr>
              <w:keepLines/>
              <w:jc w:val="center"/>
              <w:rPr>
                <w:rFonts w:ascii="Calibri" w:hAnsi="Calibri" w:cs="Arial"/>
                <w:color w:val="000000" w:themeColor="text1"/>
              </w:rPr>
            </w:pPr>
            <w:r>
              <w:rPr>
                <w:rFonts w:ascii="Calibri" w:hAnsi="Calibri"/>
                <w:color w:val="000000" w:themeColor="text1"/>
              </w:rPr>
              <w:t>0.1</w:t>
            </w:r>
          </w:p>
        </w:tc>
      </w:tr>
      <w:tr w:rsidR="003350EC" w:rsidRPr="003350EC" w:rsidTr="006A425D">
        <w:trPr>
          <w:trHeight w:val="340"/>
        </w:trPr>
        <w:tc>
          <w:tcPr>
            <w:tcW w:w="6031" w:type="dxa"/>
            <w:tcBorders>
              <w:top w:val="nil"/>
              <w:bottom w:val="nil"/>
            </w:tcBorders>
            <w:shd w:val="clear" w:color="auto" w:fill="auto"/>
            <w:noWrap/>
            <w:vAlign w:val="bottom"/>
          </w:tcPr>
          <w:p w:rsidR="006A425D" w:rsidRPr="003350EC" w:rsidRDefault="006A425D" w:rsidP="002B31A9">
            <w:pPr>
              <w:keepLines/>
              <w:rPr>
                <w:rFonts w:ascii="Calibri" w:hAnsi="Calibri" w:cs="Arial"/>
                <w:color w:val="000000" w:themeColor="text1"/>
              </w:rPr>
            </w:pPr>
            <w:r>
              <w:rPr>
                <w:rFonts w:ascii="Calibri" w:hAnsi="Calibri"/>
                <w:color w:val="000000" w:themeColor="text1"/>
              </w:rPr>
              <w:t>Constructions</w:t>
            </w:r>
          </w:p>
        </w:tc>
        <w:tc>
          <w:tcPr>
            <w:tcW w:w="1246" w:type="dxa"/>
            <w:tcBorders>
              <w:top w:val="nil"/>
              <w:bottom w:val="nil"/>
            </w:tcBorders>
            <w:shd w:val="clear" w:color="auto" w:fill="auto"/>
            <w:noWrap/>
            <w:vAlign w:val="bottom"/>
          </w:tcPr>
          <w:p w:rsidR="006A425D" w:rsidRPr="003350EC" w:rsidRDefault="00915668" w:rsidP="002B31A9">
            <w:pPr>
              <w:keepLines/>
              <w:jc w:val="center"/>
              <w:rPr>
                <w:rFonts w:ascii="Calibri" w:hAnsi="Calibri" w:cs="Arial"/>
                <w:color w:val="000000" w:themeColor="text1"/>
              </w:rPr>
            </w:pPr>
            <w:r>
              <w:rPr>
                <w:rFonts w:ascii="Calibri" w:hAnsi="Calibri"/>
                <w:color w:val="000000" w:themeColor="text1"/>
              </w:rPr>
              <w:t>-0.3</w:t>
            </w:r>
          </w:p>
        </w:tc>
        <w:tc>
          <w:tcPr>
            <w:tcW w:w="1609" w:type="dxa"/>
            <w:tcBorders>
              <w:top w:val="nil"/>
              <w:bottom w:val="nil"/>
            </w:tcBorders>
            <w:shd w:val="clear" w:color="auto" w:fill="auto"/>
            <w:noWrap/>
            <w:vAlign w:val="bottom"/>
          </w:tcPr>
          <w:p w:rsidR="006A425D" w:rsidRPr="003350EC" w:rsidRDefault="006A425D" w:rsidP="002B31A9">
            <w:pPr>
              <w:keepLines/>
              <w:jc w:val="center"/>
              <w:rPr>
                <w:rFonts w:ascii="Calibri" w:hAnsi="Calibri" w:cs="Arial"/>
                <w:color w:val="000000" w:themeColor="text1"/>
              </w:rPr>
            </w:pPr>
            <w:r>
              <w:rPr>
                <w:rFonts w:ascii="Calibri" w:hAnsi="Calibri"/>
                <w:color w:val="000000" w:themeColor="text1"/>
              </w:rPr>
              <w:t>0.4</w:t>
            </w:r>
          </w:p>
        </w:tc>
      </w:tr>
      <w:tr w:rsidR="003350EC" w:rsidRPr="003350EC" w:rsidTr="006A425D">
        <w:trPr>
          <w:trHeight w:val="340"/>
        </w:trPr>
        <w:tc>
          <w:tcPr>
            <w:tcW w:w="6031" w:type="dxa"/>
            <w:tcBorders>
              <w:top w:val="nil"/>
            </w:tcBorders>
            <w:shd w:val="clear" w:color="auto" w:fill="auto"/>
            <w:noWrap/>
            <w:vAlign w:val="bottom"/>
          </w:tcPr>
          <w:p w:rsidR="006A425D" w:rsidRPr="003350EC" w:rsidRDefault="006A425D" w:rsidP="002B31A9">
            <w:pPr>
              <w:keepLines/>
              <w:rPr>
                <w:rFonts w:ascii="Calibri" w:hAnsi="Calibri" w:cs="Arial"/>
                <w:color w:val="000000" w:themeColor="text1"/>
              </w:rPr>
            </w:pPr>
            <w:r>
              <w:rPr>
                <w:rFonts w:ascii="Calibri" w:hAnsi="Calibri"/>
                <w:color w:val="000000" w:themeColor="text1"/>
              </w:rPr>
              <w:t>Total services</w:t>
            </w:r>
          </w:p>
        </w:tc>
        <w:tc>
          <w:tcPr>
            <w:tcW w:w="1246" w:type="dxa"/>
            <w:tcBorders>
              <w:top w:val="nil"/>
            </w:tcBorders>
            <w:shd w:val="clear" w:color="auto" w:fill="auto"/>
            <w:noWrap/>
            <w:vAlign w:val="bottom"/>
          </w:tcPr>
          <w:p w:rsidR="006A425D" w:rsidRPr="003350EC" w:rsidRDefault="006A425D" w:rsidP="002B31A9">
            <w:pPr>
              <w:keepLines/>
              <w:jc w:val="center"/>
              <w:rPr>
                <w:rFonts w:ascii="Calibri" w:hAnsi="Calibri" w:cs="Arial"/>
                <w:color w:val="000000" w:themeColor="text1"/>
              </w:rPr>
            </w:pPr>
            <w:r>
              <w:rPr>
                <w:rFonts w:ascii="Calibri" w:hAnsi="Calibri"/>
                <w:color w:val="000000" w:themeColor="text1"/>
              </w:rPr>
              <w:t>2.0</w:t>
            </w:r>
          </w:p>
        </w:tc>
        <w:tc>
          <w:tcPr>
            <w:tcW w:w="1609" w:type="dxa"/>
            <w:tcBorders>
              <w:top w:val="nil"/>
            </w:tcBorders>
            <w:shd w:val="clear" w:color="auto" w:fill="auto"/>
            <w:noWrap/>
            <w:vAlign w:val="bottom"/>
          </w:tcPr>
          <w:p w:rsidR="006A425D" w:rsidRPr="003350EC" w:rsidRDefault="006A425D" w:rsidP="002B31A9">
            <w:pPr>
              <w:keepLines/>
              <w:jc w:val="center"/>
              <w:rPr>
                <w:rFonts w:ascii="Calibri" w:hAnsi="Calibri" w:cs="Arial"/>
                <w:color w:val="000000" w:themeColor="text1"/>
              </w:rPr>
            </w:pPr>
            <w:r>
              <w:rPr>
                <w:rFonts w:ascii="Calibri" w:hAnsi="Calibri"/>
                <w:color w:val="000000" w:themeColor="text1"/>
              </w:rPr>
              <w:t>3.3</w:t>
            </w:r>
          </w:p>
        </w:tc>
      </w:tr>
      <w:tr w:rsidR="003350EC" w:rsidRPr="003350EC" w:rsidTr="006A425D">
        <w:trPr>
          <w:trHeight w:val="340"/>
        </w:trPr>
        <w:tc>
          <w:tcPr>
            <w:tcW w:w="6031" w:type="dxa"/>
            <w:tcBorders>
              <w:bottom w:val="single" w:sz="4" w:space="0" w:color="auto"/>
            </w:tcBorders>
            <w:shd w:val="clear" w:color="auto" w:fill="auto"/>
            <w:noWrap/>
            <w:vAlign w:val="bottom"/>
          </w:tcPr>
          <w:p w:rsidR="006A425D" w:rsidRPr="003350EC" w:rsidRDefault="006A425D" w:rsidP="002B31A9">
            <w:pPr>
              <w:keepLines/>
              <w:rPr>
                <w:rFonts w:ascii="Calibri" w:hAnsi="Calibri" w:cs="Arial"/>
                <w:color w:val="000000" w:themeColor="text1"/>
              </w:rPr>
            </w:pPr>
            <w:r>
              <w:rPr>
                <w:rFonts w:ascii="Calibri" w:hAnsi="Calibri"/>
                <w:color w:val="000000" w:themeColor="text1"/>
              </w:rPr>
              <w:t>Net taxes on product</w:t>
            </w:r>
          </w:p>
        </w:tc>
        <w:tc>
          <w:tcPr>
            <w:tcW w:w="1246" w:type="dxa"/>
            <w:tcBorders>
              <w:bottom w:val="single" w:sz="4" w:space="0" w:color="auto"/>
            </w:tcBorders>
            <w:shd w:val="clear" w:color="auto" w:fill="auto"/>
            <w:noWrap/>
            <w:vAlign w:val="bottom"/>
          </w:tcPr>
          <w:p w:rsidR="006A425D" w:rsidRPr="003350EC" w:rsidRDefault="00915668" w:rsidP="002B31A9">
            <w:pPr>
              <w:keepLines/>
              <w:jc w:val="center"/>
              <w:rPr>
                <w:rFonts w:ascii="Calibri" w:hAnsi="Calibri" w:cs="Arial"/>
                <w:color w:val="000000" w:themeColor="text1"/>
              </w:rPr>
            </w:pPr>
            <w:r>
              <w:rPr>
                <w:rFonts w:ascii="Calibri" w:hAnsi="Calibri"/>
                <w:color w:val="000000" w:themeColor="text1"/>
              </w:rPr>
              <w:t>1.0</w:t>
            </w:r>
          </w:p>
        </w:tc>
        <w:tc>
          <w:tcPr>
            <w:tcW w:w="1609" w:type="dxa"/>
            <w:tcBorders>
              <w:bottom w:val="single" w:sz="4" w:space="0" w:color="auto"/>
            </w:tcBorders>
            <w:shd w:val="clear" w:color="auto" w:fill="auto"/>
            <w:noWrap/>
            <w:vAlign w:val="bottom"/>
          </w:tcPr>
          <w:p w:rsidR="006A425D" w:rsidRPr="003350EC" w:rsidRDefault="006A425D" w:rsidP="002B31A9">
            <w:pPr>
              <w:keepLines/>
              <w:jc w:val="center"/>
              <w:rPr>
                <w:rFonts w:ascii="Calibri" w:hAnsi="Calibri" w:cs="Arial"/>
                <w:color w:val="000000" w:themeColor="text1"/>
              </w:rPr>
            </w:pPr>
            <w:r>
              <w:rPr>
                <w:rFonts w:ascii="Calibri" w:hAnsi="Calibri"/>
                <w:color w:val="000000" w:themeColor="text1"/>
              </w:rPr>
              <w:t>0.4</w:t>
            </w:r>
          </w:p>
        </w:tc>
      </w:tr>
      <w:tr w:rsidR="003350EC" w:rsidRPr="003350EC" w:rsidTr="00BF22CD">
        <w:trPr>
          <w:trHeight w:val="357"/>
        </w:trPr>
        <w:tc>
          <w:tcPr>
            <w:tcW w:w="6031" w:type="dxa"/>
            <w:tcBorders>
              <w:bottom w:val="single" w:sz="4" w:space="0" w:color="auto"/>
            </w:tcBorders>
            <w:shd w:val="clear" w:color="auto" w:fill="8DB3E2"/>
            <w:noWrap/>
            <w:vAlign w:val="bottom"/>
          </w:tcPr>
          <w:p w:rsidR="006A425D" w:rsidRPr="003350EC" w:rsidRDefault="006A425D" w:rsidP="002B31A9">
            <w:pPr>
              <w:keepLines/>
              <w:rPr>
                <w:rFonts w:ascii="Calibri" w:hAnsi="Calibri" w:cs="Arial"/>
                <w:b/>
                <w:bCs/>
                <w:color w:val="000000" w:themeColor="text1"/>
              </w:rPr>
            </w:pPr>
            <w:r>
              <w:rPr>
                <w:rFonts w:ascii="Calibri" w:hAnsi="Calibri"/>
                <w:b/>
                <w:bCs/>
                <w:color w:val="000000" w:themeColor="text1"/>
              </w:rPr>
              <w:t>GROSS DOMESTIC PRODUCT</w:t>
            </w:r>
          </w:p>
        </w:tc>
        <w:tc>
          <w:tcPr>
            <w:tcW w:w="1246" w:type="dxa"/>
            <w:tcBorders>
              <w:bottom w:val="single" w:sz="4" w:space="0" w:color="auto"/>
            </w:tcBorders>
            <w:shd w:val="clear" w:color="auto" w:fill="8DB3E2"/>
            <w:noWrap/>
            <w:vAlign w:val="bottom"/>
          </w:tcPr>
          <w:p w:rsidR="006A425D" w:rsidRPr="003350EC" w:rsidRDefault="006A425D" w:rsidP="002B31A9">
            <w:pPr>
              <w:keepLines/>
              <w:jc w:val="center"/>
              <w:rPr>
                <w:rFonts w:ascii="Calibri" w:hAnsi="Calibri" w:cs="Calibri"/>
                <w:b/>
                <w:bCs/>
                <w:color w:val="000000" w:themeColor="text1"/>
              </w:rPr>
            </w:pPr>
            <w:r>
              <w:rPr>
                <w:rFonts w:ascii="Calibri" w:hAnsi="Calibri"/>
                <w:b/>
                <w:bCs/>
                <w:color w:val="000000" w:themeColor="text1"/>
              </w:rPr>
              <w:t>4.1</w:t>
            </w:r>
          </w:p>
        </w:tc>
        <w:tc>
          <w:tcPr>
            <w:tcW w:w="1609" w:type="dxa"/>
            <w:tcBorders>
              <w:bottom w:val="single" w:sz="4" w:space="0" w:color="auto"/>
            </w:tcBorders>
            <w:shd w:val="clear" w:color="auto" w:fill="8DB3E2"/>
            <w:noWrap/>
            <w:vAlign w:val="bottom"/>
          </w:tcPr>
          <w:p w:rsidR="006A425D" w:rsidRPr="003350EC" w:rsidRDefault="006A425D" w:rsidP="002B31A9">
            <w:pPr>
              <w:keepLines/>
              <w:jc w:val="center"/>
              <w:rPr>
                <w:rFonts w:ascii="Calibri" w:hAnsi="Calibri" w:cs="Calibri"/>
                <w:b/>
                <w:bCs/>
                <w:color w:val="000000" w:themeColor="text1"/>
              </w:rPr>
            </w:pPr>
            <w:r>
              <w:rPr>
                <w:rFonts w:ascii="Calibri" w:hAnsi="Calibri"/>
                <w:b/>
                <w:bCs/>
                <w:color w:val="000000" w:themeColor="text1"/>
              </w:rPr>
              <w:t>5.5</w:t>
            </w:r>
          </w:p>
        </w:tc>
      </w:tr>
      <w:tr w:rsidR="00BF22CD" w:rsidRPr="00F751B9" w:rsidTr="00BF22CD">
        <w:trPr>
          <w:trHeight w:val="357"/>
        </w:trPr>
        <w:tc>
          <w:tcPr>
            <w:tcW w:w="6031" w:type="dxa"/>
            <w:tcBorders>
              <w:bottom w:val="nil"/>
            </w:tcBorders>
            <w:shd w:val="clear" w:color="auto" w:fill="FFFFFF" w:themeFill="background1"/>
            <w:noWrap/>
            <w:vAlign w:val="bottom"/>
          </w:tcPr>
          <w:p w:rsidR="00BF22CD" w:rsidRPr="002C1741" w:rsidRDefault="00BF22CD" w:rsidP="00BF22CD">
            <w:pPr>
              <w:keepNext/>
              <w:keepLines/>
              <w:autoSpaceDE w:val="0"/>
              <w:autoSpaceDN w:val="0"/>
              <w:adjustRightInd w:val="0"/>
              <w:rPr>
                <w:rFonts w:ascii="Arial Narrow" w:hAnsi="Arial Narrow" w:cs="Arial"/>
                <w:i/>
                <w:sz w:val="22"/>
                <w:szCs w:val="22"/>
              </w:rPr>
            </w:pPr>
            <w:r>
              <w:rPr>
                <w:rFonts w:ascii="Arial Narrow" w:hAnsi="Arial Narrow"/>
                <w:i/>
                <w:sz w:val="20"/>
                <w:szCs w:val="20"/>
              </w:rPr>
              <w:t xml:space="preserve">Note: </w:t>
            </w:r>
            <w:r>
              <w:rPr>
                <w:rFonts w:ascii="Arial Narrow" w:hAnsi="Arial Narrow"/>
                <w:i/>
              </w:rPr>
              <w:t>The possible inconsistencies when adding up are due to rounding offs.</w:t>
            </w:r>
          </w:p>
          <w:p w:rsidR="00BF22CD" w:rsidRPr="003350EC" w:rsidRDefault="00BF22CD" w:rsidP="002B31A9">
            <w:pPr>
              <w:keepLines/>
              <w:rPr>
                <w:rFonts w:ascii="Calibri" w:hAnsi="Calibri" w:cs="Arial"/>
                <w:b/>
                <w:bCs/>
                <w:color w:val="000000" w:themeColor="text1"/>
                <w:lang w:val="ro-RO"/>
              </w:rPr>
            </w:pPr>
          </w:p>
        </w:tc>
        <w:tc>
          <w:tcPr>
            <w:tcW w:w="1246" w:type="dxa"/>
            <w:tcBorders>
              <w:bottom w:val="nil"/>
            </w:tcBorders>
            <w:shd w:val="clear" w:color="auto" w:fill="FFFFFF" w:themeFill="background1"/>
            <w:noWrap/>
            <w:vAlign w:val="bottom"/>
          </w:tcPr>
          <w:p w:rsidR="00BF22CD" w:rsidRPr="003350EC" w:rsidRDefault="00BF22CD" w:rsidP="002B31A9">
            <w:pPr>
              <w:keepLines/>
              <w:jc w:val="center"/>
              <w:rPr>
                <w:rFonts w:ascii="Calibri" w:hAnsi="Calibri" w:cs="Calibri"/>
                <w:b/>
                <w:bCs/>
                <w:color w:val="000000" w:themeColor="text1"/>
                <w:lang w:val="ro-RO"/>
              </w:rPr>
            </w:pPr>
          </w:p>
        </w:tc>
        <w:tc>
          <w:tcPr>
            <w:tcW w:w="1609" w:type="dxa"/>
            <w:tcBorders>
              <w:bottom w:val="nil"/>
            </w:tcBorders>
            <w:shd w:val="clear" w:color="auto" w:fill="FFFFFF" w:themeFill="background1"/>
            <w:noWrap/>
            <w:vAlign w:val="bottom"/>
          </w:tcPr>
          <w:p w:rsidR="00BF22CD" w:rsidRPr="003350EC" w:rsidRDefault="00BF22CD" w:rsidP="002B31A9">
            <w:pPr>
              <w:keepLines/>
              <w:jc w:val="center"/>
              <w:rPr>
                <w:rFonts w:ascii="Calibri" w:hAnsi="Calibri" w:cs="Calibri"/>
                <w:b/>
                <w:bCs/>
                <w:color w:val="000000" w:themeColor="text1"/>
                <w:lang w:val="ro-RO"/>
              </w:rPr>
            </w:pPr>
          </w:p>
        </w:tc>
      </w:tr>
    </w:tbl>
    <w:p w:rsidR="006A425D" w:rsidRPr="007D658E" w:rsidRDefault="006A425D" w:rsidP="006A425D">
      <w:pPr>
        <w:keepNext/>
        <w:spacing w:line="360" w:lineRule="auto"/>
        <w:ind w:left="57"/>
        <w:jc w:val="both"/>
        <w:rPr>
          <w:rFonts w:ascii="Calibri" w:hAnsi="Calibri" w:cs="Arial"/>
          <w:color w:val="000000" w:themeColor="text1"/>
        </w:rPr>
      </w:pPr>
      <w:r>
        <w:rPr>
          <w:rFonts w:ascii="Calibri" w:hAnsi="Calibri"/>
          <w:color w:val="000000" w:themeColor="text1"/>
        </w:rPr>
        <w:t xml:space="preserve">     Economic growth for 2019 is estimated at 5.5% with the contribution of the following factors:</w:t>
      </w:r>
    </w:p>
    <w:p w:rsidR="006A425D" w:rsidRPr="007D658E" w:rsidRDefault="006A425D" w:rsidP="006A425D">
      <w:pPr>
        <w:keepNext/>
        <w:numPr>
          <w:ilvl w:val="0"/>
          <w:numId w:val="172"/>
        </w:numPr>
        <w:spacing w:line="276" w:lineRule="auto"/>
        <w:ind w:left="426" w:hanging="284"/>
        <w:contextualSpacing/>
        <w:jc w:val="both"/>
        <w:rPr>
          <w:rFonts w:ascii="Calibri" w:eastAsia="Calibri" w:hAnsi="Calibri" w:cs="Calibri"/>
          <w:color w:val="000000" w:themeColor="text1"/>
          <w:szCs w:val="22"/>
        </w:rPr>
      </w:pPr>
      <w:r>
        <w:rPr>
          <w:rFonts w:ascii="Calibri" w:hAnsi="Calibri"/>
          <w:b/>
          <w:bCs/>
          <w:color w:val="000000" w:themeColor="text1"/>
          <w:szCs w:val="22"/>
          <w:shd w:val="clear" w:color="auto" w:fill="DEEAF6"/>
        </w:rPr>
        <w:t xml:space="preserve">Domestic demand </w:t>
      </w:r>
      <w:r>
        <w:rPr>
          <w:rFonts w:ascii="Calibri" w:hAnsi="Calibri"/>
          <w:color w:val="000000" w:themeColor="text1"/>
          <w:szCs w:val="22"/>
        </w:rPr>
        <w:t>will represent the engine for economic growth, and on the offer side it is estimated an improvement of the economic activity in all sectors, especially in the sector of services, and in the industrial branches with high export potential.</w:t>
      </w:r>
    </w:p>
    <w:p w:rsidR="006A425D" w:rsidRPr="007D658E" w:rsidRDefault="006A425D" w:rsidP="006A425D">
      <w:pPr>
        <w:keepNext/>
        <w:ind w:left="426" w:hanging="284"/>
        <w:rPr>
          <w:rFonts w:ascii="Calibri" w:hAnsi="Calibri" w:cs="Calibri"/>
          <w:color w:val="000000" w:themeColor="text1"/>
          <w:sz w:val="14"/>
          <w:szCs w:val="14"/>
          <w:lang w:val="ro-RO"/>
        </w:rPr>
      </w:pPr>
    </w:p>
    <w:p w:rsidR="006A425D" w:rsidRPr="007D658E" w:rsidRDefault="006A425D" w:rsidP="006A425D">
      <w:pPr>
        <w:keepNext/>
        <w:numPr>
          <w:ilvl w:val="0"/>
          <w:numId w:val="172"/>
        </w:numPr>
        <w:spacing w:line="276" w:lineRule="auto"/>
        <w:ind w:left="426" w:hanging="284"/>
        <w:contextualSpacing/>
        <w:rPr>
          <w:rFonts w:ascii="Calibri" w:eastAsia="Calibri" w:hAnsi="Calibri" w:cs="Calibri"/>
          <w:color w:val="000000" w:themeColor="text1"/>
          <w:szCs w:val="22"/>
        </w:rPr>
      </w:pPr>
      <w:r>
        <w:rPr>
          <w:rFonts w:ascii="Calibri" w:hAnsi="Calibri"/>
          <w:b/>
          <w:bCs/>
          <w:color w:val="000000" w:themeColor="text1"/>
          <w:szCs w:val="22"/>
          <w:shd w:val="clear" w:color="auto" w:fill="DEEAF6"/>
        </w:rPr>
        <w:t xml:space="preserve">The average annual growth rhythm of gross fixed capital formation </w:t>
      </w:r>
      <w:r>
        <w:rPr>
          <w:rFonts w:ascii="Calibri" w:hAnsi="Calibri"/>
          <w:color w:val="000000" w:themeColor="text1"/>
          <w:szCs w:val="22"/>
        </w:rPr>
        <w:t>will be of 6.9%</w:t>
      </w:r>
    </w:p>
    <w:p w:rsidR="006A425D" w:rsidRPr="007D658E" w:rsidRDefault="006A425D" w:rsidP="006A425D">
      <w:pPr>
        <w:keepNext/>
        <w:ind w:left="426" w:hanging="284"/>
        <w:rPr>
          <w:rFonts w:ascii="Calibri" w:hAnsi="Calibri" w:cs="Calibri"/>
          <w:color w:val="000000" w:themeColor="text1"/>
          <w:sz w:val="14"/>
          <w:szCs w:val="14"/>
          <w:lang w:val="ro-RO"/>
        </w:rPr>
      </w:pPr>
    </w:p>
    <w:p w:rsidR="006A425D" w:rsidRPr="007D658E" w:rsidRDefault="006A425D" w:rsidP="006A425D">
      <w:pPr>
        <w:keepNext/>
        <w:numPr>
          <w:ilvl w:val="0"/>
          <w:numId w:val="172"/>
        </w:numPr>
        <w:spacing w:line="276" w:lineRule="auto"/>
        <w:ind w:left="426" w:hanging="284"/>
        <w:contextualSpacing/>
        <w:rPr>
          <w:rFonts w:ascii="Calibri" w:eastAsia="Calibri" w:hAnsi="Calibri" w:cs="Calibri"/>
          <w:color w:val="000000" w:themeColor="text1"/>
          <w:szCs w:val="22"/>
        </w:rPr>
      </w:pPr>
      <w:r>
        <w:rPr>
          <w:rFonts w:ascii="Calibri" w:hAnsi="Calibri"/>
          <w:b/>
          <w:bCs/>
          <w:color w:val="000000" w:themeColor="text1"/>
          <w:szCs w:val="22"/>
          <w:shd w:val="clear" w:color="auto" w:fill="DEEAF6"/>
        </w:rPr>
        <w:t xml:space="preserve">The expenditure for the final consumption of the population </w:t>
      </w:r>
      <w:r>
        <w:rPr>
          <w:rFonts w:ascii="Calibri" w:hAnsi="Calibri"/>
          <w:color w:val="000000" w:themeColor="text1"/>
          <w:szCs w:val="22"/>
        </w:rPr>
        <w:t>will increase by 6.5%.</w:t>
      </w:r>
    </w:p>
    <w:p w:rsidR="006A425D" w:rsidRPr="007D658E" w:rsidRDefault="006A425D" w:rsidP="006A425D">
      <w:pPr>
        <w:spacing w:line="276" w:lineRule="auto"/>
        <w:ind w:left="720"/>
        <w:contextualSpacing/>
        <w:rPr>
          <w:rFonts w:ascii="Calibri" w:eastAsia="Calibri" w:hAnsi="Calibri" w:cs="Calibri"/>
          <w:color w:val="000000" w:themeColor="text1"/>
          <w:szCs w:val="22"/>
          <w:lang w:val="ro-RO"/>
        </w:rPr>
      </w:pPr>
    </w:p>
    <w:p w:rsidR="006A425D" w:rsidRPr="007D658E" w:rsidRDefault="006A425D" w:rsidP="006A425D">
      <w:pPr>
        <w:keepNext/>
        <w:numPr>
          <w:ilvl w:val="0"/>
          <w:numId w:val="172"/>
        </w:numPr>
        <w:spacing w:line="276" w:lineRule="auto"/>
        <w:ind w:left="426" w:hanging="284"/>
        <w:contextualSpacing/>
        <w:jc w:val="both"/>
        <w:rPr>
          <w:rFonts w:ascii="Calibri" w:eastAsia="Calibri" w:hAnsi="Calibri" w:cs="Calibri"/>
          <w:color w:val="000000" w:themeColor="text1"/>
          <w:szCs w:val="22"/>
        </w:rPr>
      </w:pPr>
      <w:r>
        <w:rPr>
          <w:rFonts w:ascii="Calibri" w:hAnsi="Calibri"/>
          <w:b/>
          <w:bCs/>
          <w:color w:val="000000" w:themeColor="text1"/>
          <w:szCs w:val="22"/>
          <w:shd w:val="clear" w:color="auto" w:fill="DEEAF6"/>
        </w:rPr>
        <w:t xml:space="preserve">Measures which ensure better participation on the labor market </w:t>
      </w:r>
      <w:r>
        <w:rPr>
          <w:rFonts w:ascii="Calibri" w:hAnsi="Calibri"/>
          <w:color w:val="000000" w:themeColor="text1"/>
          <w:szCs w:val="22"/>
        </w:rPr>
        <w:t xml:space="preserve">for the purpose of reaching by 2020 an employment rate of 70% for the population aged between 20 and 64 years, in accordance with the priorities of the Europe 2020 Strategy. It is expected a continued improvement of the labor market, through an increase of employed population by 1.4%, at the same time with the decrease of the unemployment rate </w:t>
      </w:r>
      <w:r>
        <w:rPr>
          <w:rFonts w:ascii="Calibri" w:hAnsi="Calibri"/>
          <w:color w:val="000000" w:themeColor="text1"/>
          <w:szCs w:val="22"/>
          <w:shd w:val="clear" w:color="auto" w:fill="FFFFFF"/>
        </w:rPr>
        <w:t>to 4.1%</w:t>
      </w:r>
      <w:r>
        <w:rPr>
          <w:rFonts w:ascii="Calibri" w:hAnsi="Calibri"/>
          <w:color w:val="000000" w:themeColor="text1"/>
          <w:szCs w:val="22"/>
        </w:rPr>
        <w:t>.</w:t>
      </w:r>
    </w:p>
    <w:p w:rsidR="006A425D" w:rsidRPr="007D658E" w:rsidRDefault="006A425D" w:rsidP="006A425D">
      <w:pPr>
        <w:widowControl w:val="0"/>
        <w:spacing w:line="276" w:lineRule="auto"/>
        <w:ind w:left="426"/>
        <w:contextualSpacing/>
        <w:jc w:val="both"/>
        <w:rPr>
          <w:rFonts w:ascii="Calibri" w:eastAsia="Calibri" w:hAnsi="Calibri" w:cs="Calibri"/>
          <w:color w:val="000000" w:themeColor="text1"/>
          <w:szCs w:val="22"/>
        </w:rPr>
      </w:pPr>
      <w:r>
        <w:rPr>
          <w:rFonts w:ascii="Calibri" w:hAnsi="Calibri"/>
          <w:color w:val="000000" w:themeColor="text1"/>
          <w:szCs w:val="22"/>
        </w:rPr>
        <w:t xml:space="preserve">In this framework, the following programs will be financed: </w:t>
      </w:r>
    </w:p>
    <w:p w:rsidR="006A425D" w:rsidRPr="007D658E" w:rsidRDefault="006A425D" w:rsidP="006A425D">
      <w:pPr>
        <w:widowControl w:val="0"/>
        <w:spacing w:line="276" w:lineRule="auto"/>
        <w:ind w:left="426"/>
        <w:contextualSpacing/>
        <w:jc w:val="both"/>
        <w:rPr>
          <w:rFonts w:ascii="Calibri" w:eastAsia="Calibri" w:hAnsi="Calibri" w:cs="Calibri"/>
          <w:color w:val="000000" w:themeColor="text1"/>
          <w:szCs w:val="22"/>
          <w:lang w:val="ro-RO"/>
        </w:rPr>
      </w:pPr>
    </w:p>
    <w:p w:rsidR="006A425D" w:rsidRPr="003C7CB5" w:rsidRDefault="006A425D" w:rsidP="00565476">
      <w:pPr>
        <w:widowControl w:val="0"/>
        <w:numPr>
          <w:ilvl w:val="0"/>
          <w:numId w:val="190"/>
        </w:numPr>
        <w:spacing w:before="120" w:after="120" w:line="276" w:lineRule="auto"/>
        <w:contextualSpacing/>
        <w:jc w:val="both"/>
        <w:rPr>
          <w:rFonts w:ascii="Calibri" w:hAnsi="Calibri" w:cs="Arial"/>
        </w:rPr>
      </w:pPr>
      <w:r>
        <w:rPr>
          <w:rFonts w:ascii="Calibri" w:hAnsi="Calibri"/>
          <w:szCs w:val="22"/>
        </w:rPr>
        <w:t xml:space="preserve">The </w:t>
      </w:r>
      <w:r>
        <w:rPr>
          <w:rFonts w:ascii="Calibri" w:hAnsi="Calibri"/>
          <w:b/>
          <w:color w:val="00003E"/>
        </w:rPr>
        <w:t>Government program "INVEST IN YOURSELF</w:t>
      </w:r>
      <w:r>
        <w:rPr>
          <w:rFonts w:ascii="Calibri" w:hAnsi="Calibri"/>
        </w:rPr>
        <w:t>" whose object is to facilitate access to financing for youth aged 16 to 26 who are enrolled in the educational system or who take specialization courses authorized by the Ministry of National Education, and, as applicable, by the Ministry of Labor and Social Justice.   Also, the program can be accessed by people with ages between 26 and 55 years, if they are enrolled in the educational system or take courses of professional reconversion and/or specialization.</w:t>
      </w:r>
    </w:p>
    <w:p w:rsidR="006A425D" w:rsidRPr="003C7CB5" w:rsidRDefault="006A425D" w:rsidP="00565476">
      <w:pPr>
        <w:numPr>
          <w:ilvl w:val="1"/>
          <w:numId w:val="188"/>
        </w:numPr>
        <w:spacing w:before="120" w:after="120"/>
        <w:jc w:val="both"/>
        <w:rPr>
          <w:rFonts w:ascii="Calibri" w:hAnsi="Calibri" w:cs="Arial"/>
        </w:rPr>
      </w:pPr>
      <w:r>
        <w:rPr>
          <w:rFonts w:ascii="Calibri" w:hAnsi="Calibri"/>
        </w:rPr>
        <w:t>Facilitating access to financing consists of securing a credit of at most 40,000 Lei up to 80% by the State through the National Credit Guarantee Fund for Small and Medium Enterprises and through the Romanian Counter-guarantee Fund, except for the banking interests, commissions and expenses, as well as in bearing the interests and expenditures corresponding to the credit.</w:t>
      </w:r>
    </w:p>
    <w:p w:rsidR="006A425D" w:rsidRPr="003C7CB5" w:rsidRDefault="006A425D" w:rsidP="00565476">
      <w:pPr>
        <w:numPr>
          <w:ilvl w:val="1"/>
          <w:numId w:val="188"/>
        </w:numPr>
        <w:spacing w:before="120" w:after="120"/>
        <w:jc w:val="both"/>
        <w:rPr>
          <w:rFonts w:ascii="Calibri" w:hAnsi="Calibri" w:cs="Arial"/>
        </w:rPr>
      </w:pPr>
      <w:r>
        <w:rPr>
          <w:rFonts w:ascii="Calibri" w:hAnsi="Calibri"/>
        </w:rPr>
        <w:t>The credit awarded can be supplemented by up to 20,000 Lei if the beneficiary is employed or gets employment during the term of the credit.</w:t>
      </w:r>
    </w:p>
    <w:p w:rsidR="006A425D" w:rsidRPr="003C7CB5" w:rsidRDefault="006A425D" w:rsidP="00565476">
      <w:pPr>
        <w:numPr>
          <w:ilvl w:val="1"/>
          <w:numId w:val="188"/>
        </w:numPr>
        <w:spacing w:before="120" w:after="120"/>
        <w:jc w:val="both"/>
        <w:rPr>
          <w:rFonts w:ascii="Calibri" w:eastAsia="Calibri" w:hAnsi="Calibri" w:cs="Arial"/>
        </w:rPr>
      </w:pPr>
      <w:r>
        <w:rPr>
          <w:rFonts w:ascii="Calibri" w:hAnsi="Calibri"/>
        </w:rPr>
        <w:t>The credit is granted for a term of at most 10 years, including the grace period.</w:t>
      </w:r>
    </w:p>
    <w:p w:rsidR="006A425D" w:rsidRPr="003C7CB5" w:rsidRDefault="006A425D" w:rsidP="00565476">
      <w:pPr>
        <w:numPr>
          <w:ilvl w:val="1"/>
          <w:numId w:val="188"/>
        </w:numPr>
        <w:spacing w:before="120" w:after="120"/>
        <w:jc w:val="both"/>
        <w:rPr>
          <w:rFonts w:ascii="Calibri" w:hAnsi="Calibri" w:cs="Arial"/>
        </w:rPr>
      </w:pPr>
      <w:r>
        <w:rPr>
          <w:rFonts w:ascii="Calibri" w:hAnsi="Calibri"/>
        </w:rPr>
        <w:t xml:space="preserve">The use of the credit is to cover the needs of the beneficiaries and of their families regarding education, health, culture, sports and living. </w:t>
      </w:r>
    </w:p>
    <w:p w:rsidR="006A425D" w:rsidRPr="003C7CB5" w:rsidRDefault="006A425D" w:rsidP="00565476">
      <w:pPr>
        <w:numPr>
          <w:ilvl w:val="1"/>
          <w:numId w:val="189"/>
        </w:numPr>
        <w:spacing w:before="120" w:after="120"/>
        <w:jc w:val="both"/>
        <w:rPr>
          <w:rFonts w:ascii="Calibri" w:hAnsi="Calibri" w:cs="Arial"/>
        </w:rPr>
      </w:pPr>
      <w:r>
        <w:rPr>
          <w:rFonts w:ascii="Calibri" w:hAnsi="Calibri"/>
        </w:rPr>
        <w:t>Currently, the program is carried out through CEC Bank, for which approximately 2500 applicants have already been received and approved.</w:t>
      </w:r>
      <w:r>
        <w:rPr>
          <w:rFonts w:ascii="Calibri" w:hAnsi="Calibri"/>
          <w:color w:val="000000" w:themeColor="text1"/>
        </w:rPr>
        <w:t xml:space="preserve"> </w:t>
      </w:r>
      <w:r>
        <w:rPr>
          <w:rFonts w:ascii="Calibri" w:hAnsi="Calibri"/>
        </w:rPr>
        <w:t>It was approved for the program to be carried out through Banca Transilvania and Banca Comerciala Romana S.A. as well.</w:t>
      </w:r>
    </w:p>
    <w:p w:rsidR="006A425D" w:rsidRPr="003C7CB5" w:rsidRDefault="006A425D" w:rsidP="00565476">
      <w:pPr>
        <w:numPr>
          <w:ilvl w:val="0"/>
          <w:numId w:val="189"/>
        </w:numPr>
        <w:spacing w:before="120" w:after="120"/>
        <w:ind w:left="1440"/>
        <w:jc w:val="both"/>
        <w:rPr>
          <w:rFonts w:ascii="Calibri" w:hAnsi="Calibri" w:cs="Arial"/>
          <w:color w:val="000000" w:themeColor="text1"/>
        </w:rPr>
      </w:pPr>
      <w:r>
        <w:rPr>
          <w:rFonts w:ascii="Calibri" w:hAnsi="Calibri"/>
        </w:rPr>
        <w:t>In accordance with the provisions of art. 1 para. (3) in GEO no. 50/2018 on the implementation of the Government program “INVEST IN YOURSELF”, the interest payments for the awarded credit, as well as the expenditures regarding the commissions for analysis and management of the guarantees will be borne from the State budget through the budget of the National Commission for Strategy and Prognosis.</w:t>
      </w:r>
      <w:r>
        <w:rPr>
          <w:rFonts w:ascii="Calibri" w:hAnsi="Calibri"/>
          <w:color w:val="000000" w:themeColor="text1"/>
        </w:rPr>
        <w:t xml:space="preserve"> For 2019 are provided commitment appropriations of 60 million Lei and budget appropriations of 10 million Lei.</w:t>
      </w:r>
    </w:p>
    <w:p w:rsidR="006A425D" w:rsidRPr="0027359A" w:rsidRDefault="006A425D" w:rsidP="00565476">
      <w:pPr>
        <w:numPr>
          <w:ilvl w:val="0"/>
          <w:numId w:val="176"/>
        </w:numPr>
        <w:spacing w:before="120" w:after="120" w:line="276" w:lineRule="auto"/>
        <w:contextualSpacing/>
        <w:jc w:val="both"/>
        <w:rPr>
          <w:rFonts w:ascii="Calibri" w:eastAsia="Calibri" w:hAnsi="Calibri" w:cs="Arial"/>
          <w:b/>
          <w:color w:val="000000"/>
          <w:szCs w:val="22"/>
          <w:u w:val="single"/>
        </w:rPr>
      </w:pPr>
      <w:r>
        <w:rPr>
          <w:rFonts w:ascii="Calibri" w:hAnsi="Calibri"/>
          <w:b/>
          <w:color w:val="0D0163"/>
          <w:szCs w:val="22"/>
        </w:rPr>
        <w:t xml:space="preserve">First Rent Program </w:t>
      </w:r>
      <w:r>
        <w:rPr>
          <w:rFonts w:ascii="Calibri" w:hAnsi="Calibri"/>
          <w:szCs w:val="22"/>
        </w:rPr>
        <w:t xml:space="preserve">is a program through which the unemployed who find work at a distance of more than 50 kilometers from their domicile may benefit of a subsidy of at most 75% of the value of their rent, but not more than 900 Lei per month. </w:t>
      </w:r>
    </w:p>
    <w:p w:rsidR="006A425D" w:rsidRPr="002C1741" w:rsidRDefault="006A425D" w:rsidP="006A425D">
      <w:pPr>
        <w:numPr>
          <w:ilvl w:val="0"/>
          <w:numId w:val="171"/>
        </w:numPr>
        <w:tabs>
          <w:tab w:val="left" w:pos="993"/>
          <w:tab w:val="left" w:pos="1276"/>
        </w:tabs>
        <w:autoSpaceDE w:val="0"/>
        <w:spacing w:before="120" w:line="276" w:lineRule="auto"/>
        <w:ind w:left="993" w:hanging="284"/>
        <w:contextualSpacing/>
        <w:jc w:val="both"/>
        <w:rPr>
          <w:rFonts w:ascii="Calibri" w:hAnsi="Calibri" w:cs="Arial"/>
        </w:rPr>
      </w:pPr>
      <w:r>
        <w:rPr>
          <w:rFonts w:ascii="Calibri" w:hAnsi="Calibri"/>
          <w:b/>
          <w:color w:val="0D0163"/>
        </w:rPr>
        <w:t xml:space="preserve">  Start-up Nation Program</w:t>
      </w:r>
      <w:r>
        <w:rPr>
          <w:rFonts w:ascii="Calibri" w:hAnsi="Calibri"/>
        </w:rPr>
        <w:t xml:space="preserve"> whose objective is to increase the number of enterprises and jobs, the insertion on the labor market of disadvantaged individuals, of the unemployed and of graduates, the increase of investments in new innovative technologies.  Through this program is awarded a de minimis aid to a maximum annual number of 10,000 beneficiaries which are small and medium enterprises for a maximum amount of 200,000 Lei/beneficiary, representing 100% of eligible expenditures.</w:t>
      </w:r>
    </w:p>
    <w:p w:rsidR="006A425D" w:rsidRPr="003964D3" w:rsidRDefault="006A425D" w:rsidP="006A425D">
      <w:pPr>
        <w:keepNext/>
        <w:tabs>
          <w:tab w:val="left" w:pos="3465"/>
        </w:tabs>
        <w:spacing w:after="40"/>
        <w:ind w:left="426" w:hanging="284"/>
        <w:jc w:val="both"/>
        <w:rPr>
          <w:rFonts w:ascii="Calibri" w:hAnsi="Calibri" w:cs="Calibri"/>
          <w:lang w:val="fr-FR" w:eastAsia="ro-RO"/>
        </w:rPr>
      </w:pPr>
    </w:p>
    <w:p w:rsidR="006A425D" w:rsidRPr="002C1741" w:rsidRDefault="006A425D" w:rsidP="006A425D">
      <w:pPr>
        <w:keepNext/>
        <w:numPr>
          <w:ilvl w:val="0"/>
          <w:numId w:val="172"/>
        </w:numPr>
        <w:spacing w:after="40" w:line="276" w:lineRule="auto"/>
        <w:ind w:left="426" w:hanging="284"/>
        <w:contextualSpacing/>
        <w:jc w:val="both"/>
        <w:rPr>
          <w:rFonts w:ascii="Calibri" w:eastAsia="Calibri" w:hAnsi="Calibri" w:cs="Calibri"/>
          <w:b/>
          <w:bCs/>
          <w:szCs w:val="22"/>
          <w:shd w:val="clear" w:color="auto" w:fill="DEEAF6"/>
        </w:rPr>
      </w:pPr>
      <w:r>
        <w:rPr>
          <w:rFonts w:ascii="Calibri" w:hAnsi="Calibri"/>
          <w:b/>
          <w:bCs/>
          <w:szCs w:val="22"/>
          <w:shd w:val="clear" w:color="auto" w:fill="DEEAF6"/>
        </w:rPr>
        <w:t>Supporting the business environment in order to create the assumptions for sustainable growth.</w:t>
      </w:r>
    </w:p>
    <w:p w:rsidR="006A425D" w:rsidRPr="002C1741" w:rsidRDefault="006A425D" w:rsidP="006A425D">
      <w:pPr>
        <w:keepNext/>
        <w:spacing w:after="40" w:line="276" w:lineRule="auto"/>
        <w:ind w:left="426"/>
        <w:contextualSpacing/>
        <w:jc w:val="both"/>
        <w:rPr>
          <w:rFonts w:ascii="Calibri" w:eastAsia="Calibri" w:hAnsi="Calibri" w:cs="Calibri"/>
          <w:b/>
          <w:bCs/>
          <w:szCs w:val="22"/>
          <w:shd w:val="clear" w:color="auto" w:fill="DEEAF6"/>
          <w:lang w:val="ro-RO"/>
        </w:rPr>
      </w:pPr>
    </w:p>
    <w:p w:rsidR="006A425D" w:rsidRPr="002C1741" w:rsidRDefault="006A425D" w:rsidP="00565476">
      <w:pPr>
        <w:numPr>
          <w:ilvl w:val="0"/>
          <w:numId w:val="179"/>
        </w:numPr>
        <w:spacing w:before="120" w:after="120" w:line="276" w:lineRule="auto"/>
        <w:contextualSpacing/>
        <w:jc w:val="both"/>
        <w:rPr>
          <w:rFonts w:ascii="Calibri" w:eastAsia="Calibri" w:hAnsi="Calibri"/>
          <w:color w:val="0D0163"/>
          <w:szCs w:val="22"/>
        </w:rPr>
      </w:pPr>
      <w:r>
        <w:rPr>
          <w:rFonts w:ascii="Calibri" w:hAnsi="Calibri"/>
          <w:color w:val="0D0163"/>
          <w:szCs w:val="22"/>
        </w:rPr>
        <w:t xml:space="preserve">The following measures were implemented in the beginning of 2018:  </w:t>
      </w:r>
    </w:p>
    <w:p w:rsidR="006A425D" w:rsidRPr="002C1741" w:rsidRDefault="006A425D" w:rsidP="00565476">
      <w:pPr>
        <w:numPr>
          <w:ilvl w:val="0"/>
          <w:numId w:val="180"/>
        </w:numPr>
        <w:spacing w:line="276" w:lineRule="auto"/>
        <w:contextualSpacing/>
        <w:jc w:val="both"/>
        <w:rPr>
          <w:rFonts w:ascii="Calibri" w:eastAsia="Calibri" w:hAnsi="Calibri" w:cs="Arial"/>
          <w:color w:val="0D0163"/>
          <w:szCs w:val="22"/>
        </w:rPr>
      </w:pPr>
      <w:r>
        <w:rPr>
          <w:rFonts w:ascii="Calibri" w:hAnsi="Calibri"/>
          <w:color w:val="0D0163"/>
          <w:szCs w:val="22"/>
        </w:rPr>
        <w:t>Reduction of the personal income tax rate from 16% to 10% as of January 01, 2018;</w:t>
      </w:r>
    </w:p>
    <w:p w:rsidR="006A425D" w:rsidRPr="002C1741" w:rsidRDefault="006A425D" w:rsidP="00565476">
      <w:pPr>
        <w:numPr>
          <w:ilvl w:val="0"/>
          <w:numId w:val="180"/>
        </w:numPr>
        <w:spacing w:line="276" w:lineRule="auto"/>
        <w:contextualSpacing/>
        <w:jc w:val="both"/>
        <w:rPr>
          <w:rFonts w:ascii="Calibri" w:eastAsia="Calibri" w:hAnsi="Calibri" w:cs="Arial"/>
          <w:szCs w:val="22"/>
        </w:rPr>
      </w:pPr>
      <w:r>
        <w:rPr>
          <w:rFonts w:ascii="Calibri" w:hAnsi="Calibri"/>
          <w:color w:val="0D0163"/>
          <w:szCs w:val="22"/>
        </w:rPr>
        <w:t xml:space="preserve">Reform of social contributions: </w:t>
      </w:r>
      <w:r>
        <w:rPr>
          <w:rFonts w:ascii="Calibri" w:hAnsi="Calibri"/>
          <w:szCs w:val="22"/>
        </w:rPr>
        <w:t xml:space="preserve">reducing the total rate of mandatory social contributions on the whole by 2 percentage points, from 39.25% to 37.25%, reducing the number of social contributions to 2 contributions owed by the employee (CAS, CASS); introducing the labor insurance contribution owed by the employer, amending the tax burden of the obligations related to mandatory social contributions owed by the employee and by the employer, meaning that the CAS and CASS are owed only by the employee;  </w:t>
      </w:r>
    </w:p>
    <w:p w:rsidR="006A425D" w:rsidRPr="002C1741" w:rsidRDefault="006A425D" w:rsidP="00565476">
      <w:pPr>
        <w:numPr>
          <w:ilvl w:val="0"/>
          <w:numId w:val="180"/>
        </w:numPr>
        <w:spacing w:after="120" w:line="276" w:lineRule="auto"/>
        <w:jc w:val="both"/>
        <w:rPr>
          <w:rFonts w:ascii="Calibri" w:eastAsia="Calibri" w:hAnsi="Calibri" w:cs="Calibri"/>
          <w:color w:val="000000"/>
          <w:szCs w:val="22"/>
        </w:rPr>
      </w:pPr>
      <w:r>
        <w:rPr>
          <w:rFonts w:ascii="Calibri" w:hAnsi="Calibri"/>
          <w:color w:val="0D0163"/>
          <w:szCs w:val="22"/>
        </w:rPr>
        <w:t xml:space="preserve">As of 2018 were amended the conditions of classification of Romanian legal entities into the category of microenterprises: </w:t>
      </w:r>
      <w:r>
        <w:rPr>
          <w:rFonts w:ascii="Calibri" w:hAnsi="Calibri"/>
          <w:color w:val="000000"/>
          <w:szCs w:val="22"/>
        </w:rPr>
        <w:t>i) increasing the level of revenues obtained by December 31 of the previous fiscal year from EUR 500,000 to EUR 1,000,000; ii) eliminating the requirement regarding the obtaining of revenues from consultancy and management; iii) eliminating the activities for which taxpayers do not apply this taxation system (the Deposit Guarantee Fund in the Banking System, the Investor Compensation Fund, the Guarantee Fund for Private Pensions, the Guarantee Fund for the Insured).</w:t>
      </w:r>
    </w:p>
    <w:p w:rsidR="006A425D" w:rsidRPr="002C1741" w:rsidRDefault="006A425D" w:rsidP="00565476">
      <w:pPr>
        <w:numPr>
          <w:ilvl w:val="0"/>
          <w:numId w:val="180"/>
        </w:numPr>
        <w:spacing w:line="276" w:lineRule="auto"/>
        <w:contextualSpacing/>
        <w:jc w:val="both"/>
        <w:rPr>
          <w:rFonts w:ascii="Calibri" w:eastAsia="Calibri" w:hAnsi="Calibri" w:cs="Arial"/>
          <w:color w:val="0D0163"/>
          <w:szCs w:val="22"/>
        </w:rPr>
      </w:pPr>
      <w:r>
        <w:rPr>
          <w:rFonts w:ascii="Calibri" w:hAnsi="Calibri"/>
          <w:color w:val="0D0163"/>
          <w:szCs w:val="22"/>
        </w:rPr>
        <w:t>Reduction of the transfer rate to pillar II from 5.1% to 3.75% as of January 01, 2018;</w:t>
      </w:r>
    </w:p>
    <w:p w:rsidR="006A425D" w:rsidRPr="002C1741" w:rsidRDefault="006A425D" w:rsidP="006A425D">
      <w:pPr>
        <w:rPr>
          <w:rFonts w:ascii="Calibri" w:hAnsi="Calibri" w:cs="Arial"/>
          <w:sz w:val="20"/>
          <w:lang w:val="ro-RO" w:eastAsia="ro-RO"/>
        </w:rPr>
      </w:pPr>
    </w:p>
    <w:p w:rsidR="006A425D" w:rsidRPr="002C1741" w:rsidRDefault="006A425D" w:rsidP="00565476">
      <w:pPr>
        <w:numPr>
          <w:ilvl w:val="0"/>
          <w:numId w:val="174"/>
        </w:numPr>
        <w:tabs>
          <w:tab w:val="left" w:pos="709"/>
        </w:tabs>
        <w:suppressAutoHyphens/>
        <w:autoSpaceDE w:val="0"/>
        <w:spacing w:before="120" w:line="276" w:lineRule="auto"/>
        <w:ind w:left="567" w:hanging="567"/>
        <w:contextualSpacing/>
        <w:jc w:val="both"/>
        <w:rPr>
          <w:rFonts w:ascii="Calibri" w:eastAsia="Calibri" w:hAnsi="Calibri" w:cs="Arial"/>
          <w:szCs w:val="22"/>
        </w:rPr>
      </w:pPr>
      <w:r>
        <w:rPr>
          <w:rFonts w:ascii="Calibri" w:hAnsi="Calibri"/>
          <w:b/>
          <w:color w:val="000048"/>
          <w:szCs w:val="22"/>
        </w:rPr>
        <w:t>The Program of ”State aid for financing investment projects”</w:t>
      </w:r>
      <w:r>
        <w:rPr>
          <w:rFonts w:ascii="Calibri" w:hAnsi="Calibri"/>
          <w:color w:val="00003E"/>
          <w:szCs w:val="22"/>
        </w:rPr>
        <w:t xml:space="preserve">, </w:t>
      </w:r>
      <w:r>
        <w:rPr>
          <w:rFonts w:ascii="Calibri" w:hAnsi="Calibri"/>
          <w:color w:val="000076"/>
          <w:szCs w:val="22"/>
        </w:rPr>
        <w:t>i</w:t>
      </w:r>
      <w:r>
        <w:rPr>
          <w:rFonts w:ascii="Calibri" w:hAnsi="Calibri"/>
          <w:color w:val="000000"/>
          <w:szCs w:val="22"/>
        </w:rPr>
        <w:t xml:space="preserve">ncludes State aid schemes which apply both to large enterprises and to SMEs, whose objective is regional development through the stimulation of investments, creation of new jobs, as well as modernization or development of SMEs, which includes 6 State aid schemes, of which: </w:t>
      </w:r>
    </w:p>
    <w:p w:rsidR="006A425D" w:rsidRPr="002C1741" w:rsidRDefault="006A425D" w:rsidP="00565476">
      <w:pPr>
        <w:numPr>
          <w:ilvl w:val="1"/>
          <w:numId w:val="191"/>
        </w:numPr>
        <w:tabs>
          <w:tab w:val="left" w:pos="709"/>
        </w:tabs>
        <w:suppressAutoHyphens/>
        <w:autoSpaceDE w:val="0"/>
        <w:spacing w:before="120" w:line="276" w:lineRule="auto"/>
        <w:ind w:left="709"/>
        <w:contextualSpacing/>
        <w:jc w:val="both"/>
        <w:rPr>
          <w:rFonts w:ascii="Calibri" w:eastAsia="Calibri" w:hAnsi="Calibri" w:cs="Arial"/>
          <w:color w:val="000000"/>
          <w:szCs w:val="22"/>
        </w:rPr>
      </w:pPr>
      <w:r>
        <w:rPr>
          <w:rFonts w:ascii="Calibri" w:hAnsi="Calibri"/>
          <w:szCs w:val="22"/>
        </w:rPr>
        <w:t xml:space="preserve">4 State aid schemes which are closed for issuance of financing agreements, but for which the payment procedures for State aid and monitoring of the </w:t>
      </w:r>
      <w:r>
        <w:rPr>
          <w:rFonts w:ascii="Calibri" w:hAnsi="Calibri"/>
          <w:b/>
          <w:szCs w:val="22"/>
        </w:rPr>
        <w:t>performance of investments and creation of jobs</w:t>
      </w:r>
      <w:r>
        <w:rPr>
          <w:rFonts w:ascii="Calibri" w:hAnsi="Calibri"/>
          <w:szCs w:val="22"/>
        </w:rPr>
        <w:t xml:space="preserve"> continue (G.D. No. 1165/2007, G.D. No. 1680/2008, G.D. No. 753/2008, G.D. No. 797/2012);</w:t>
      </w:r>
    </w:p>
    <w:p w:rsidR="006A425D" w:rsidRPr="002C1741" w:rsidRDefault="006A425D" w:rsidP="00565476">
      <w:pPr>
        <w:numPr>
          <w:ilvl w:val="0"/>
          <w:numId w:val="191"/>
        </w:numPr>
        <w:tabs>
          <w:tab w:val="left" w:pos="709"/>
        </w:tabs>
        <w:suppressAutoHyphens/>
        <w:autoSpaceDE w:val="0"/>
        <w:spacing w:before="120" w:line="276" w:lineRule="auto"/>
        <w:contextualSpacing/>
        <w:jc w:val="both"/>
        <w:rPr>
          <w:rFonts w:ascii="Calibri" w:eastAsia="Calibri" w:hAnsi="Calibri" w:cs="Arial"/>
          <w:b/>
          <w:color w:val="000000"/>
          <w:szCs w:val="22"/>
        </w:rPr>
      </w:pPr>
      <w:r>
        <w:rPr>
          <w:rFonts w:ascii="Calibri" w:hAnsi="Calibri"/>
          <w:color w:val="000000"/>
          <w:szCs w:val="22"/>
        </w:rPr>
        <w:t xml:space="preserve">two State aid schemes open for issuance of financing agreements, established through G.D. No. 332/2014 </w:t>
      </w:r>
      <w:r>
        <w:rPr>
          <w:rFonts w:ascii="Calibri" w:hAnsi="Calibri"/>
          <w:i/>
          <w:color w:val="000000"/>
          <w:szCs w:val="22"/>
        </w:rPr>
        <w:t xml:space="preserve">on the establishment of a State aid scheme </w:t>
      </w:r>
      <w:r>
        <w:rPr>
          <w:rFonts w:ascii="Calibri" w:hAnsi="Calibri"/>
          <w:b/>
          <w:i/>
          <w:color w:val="000000"/>
          <w:szCs w:val="22"/>
        </w:rPr>
        <w:t>to support investments promoting regional development through creation of jobs</w:t>
      </w:r>
      <w:r>
        <w:rPr>
          <w:rFonts w:ascii="Calibri" w:hAnsi="Calibri"/>
          <w:color w:val="000000"/>
          <w:szCs w:val="22"/>
        </w:rPr>
        <w:t xml:space="preserve">, as subsequently amended and supplemented, and G.D. No. 807/2014 </w:t>
      </w:r>
      <w:r>
        <w:rPr>
          <w:rFonts w:ascii="Calibri" w:hAnsi="Calibri"/>
          <w:i/>
          <w:color w:val="000000"/>
          <w:szCs w:val="22"/>
        </w:rPr>
        <w:t xml:space="preserve">on the establishment of a State aid scheme </w:t>
      </w:r>
      <w:r>
        <w:rPr>
          <w:rFonts w:ascii="Calibri" w:hAnsi="Calibri"/>
          <w:b/>
          <w:i/>
          <w:color w:val="000000"/>
          <w:szCs w:val="22"/>
        </w:rPr>
        <w:t>whose objective is to stimulate investments with major impact on the economy</w:t>
      </w:r>
      <w:r>
        <w:rPr>
          <w:rFonts w:ascii="Calibri" w:hAnsi="Calibri"/>
          <w:color w:val="000000"/>
          <w:szCs w:val="22"/>
        </w:rPr>
        <w:t xml:space="preserve">, as subsequently amended and supplemented: </w:t>
      </w:r>
    </w:p>
    <w:p w:rsidR="006A425D" w:rsidRPr="002C1741" w:rsidRDefault="006A425D" w:rsidP="006A425D">
      <w:pPr>
        <w:tabs>
          <w:tab w:val="left" w:pos="709"/>
        </w:tabs>
        <w:suppressAutoHyphens/>
        <w:autoSpaceDE w:val="0"/>
        <w:spacing w:before="120" w:line="276" w:lineRule="auto"/>
        <w:ind w:left="720"/>
        <w:contextualSpacing/>
        <w:jc w:val="both"/>
        <w:rPr>
          <w:rFonts w:ascii="Calibri" w:eastAsia="Calibri" w:hAnsi="Calibri" w:cs="Arial"/>
          <w:b/>
          <w:szCs w:val="22"/>
          <w:lang w:val="ro-RO" w:eastAsia="zh-CN"/>
        </w:rPr>
      </w:pPr>
    </w:p>
    <w:p w:rsidR="006A425D" w:rsidRPr="002C1741" w:rsidRDefault="006A425D" w:rsidP="00565476">
      <w:pPr>
        <w:numPr>
          <w:ilvl w:val="0"/>
          <w:numId w:val="175"/>
        </w:numPr>
        <w:tabs>
          <w:tab w:val="left" w:pos="0"/>
        </w:tabs>
        <w:spacing w:before="120" w:line="276" w:lineRule="auto"/>
        <w:ind w:hanging="578"/>
        <w:contextualSpacing/>
        <w:jc w:val="both"/>
        <w:rPr>
          <w:rFonts w:ascii="Calibri" w:eastAsia="Calibri" w:hAnsi="Calibri"/>
          <w:bCs/>
          <w:kern w:val="1"/>
          <w:szCs w:val="22"/>
        </w:rPr>
      </w:pPr>
      <w:r>
        <w:rPr>
          <w:rFonts w:ascii="Calibri" w:hAnsi="Calibri"/>
          <w:b/>
          <w:color w:val="000048"/>
          <w:szCs w:val="22"/>
        </w:rPr>
        <w:t>The Program of ”Transfers in the State aid schemes representing amounts returned for the excise duty for diesel used as fuel”</w:t>
      </w:r>
      <w:r>
        <w:rPr>
          <w:rFonts w:ascii="Calibri" w:hAnsi="Calibri"/>
          <w:b/>
          <w:color w:val="0E016B"/>
          <w:szCs w:val="22"/>
        </w:rPr>
        <w:t>,</w:t>
      </w:r>
      <w:r>
        <w:rPr>
          <w:rFonts w:ascii="Calibri" w:hAnsi="Calibri"/>
          <w:bCs/>
          <w:color w:val="000000"/>
          <w:szCs w:val="22"/>
        </w:rPr>
        <w:t xml:space="preserve"> carried out between 2014 and 2017 in accordance with the provisions of</w:t>
      </w:r>
      <w:r>
        <w:rPr>
          <w:rFonts w:ascii="Calibri" w:hAnsi="Calibri"/>
          <w:b/>
          <w:bCs/>
          <w:color w:val="000000"/>
          <w:szCs w:val="22"/>
        </w:rPr>
        <w:t xml:space="preserve"> G.D. no.</w:t>
      </w:r>
      <w:r>
        <w:rPr>
          <w:rFonts w:ascii="Calibri" w:hAnsi="Calibri"/>
          <w:bCs/>
          <w:color w:val="000000"/>
          <w:szCs w:val="22"/>
        </w:rPr>
        <w:t xml:space="preserve"> </w:t>
      </w:r>
      <w:r>
        <w:rPr>
          <w:rFonts w:ascii="Calibri" w:hAnsi="Calibri"/>
          <w:b/>
          <w:bCs/>
          <w:color w:val="000000"/>
          <w:szCs w:val="22"/>
        </w:rPr>
        <w:t>537/2014.</w:t>
      </w:r>
      <w:r>
        <w:rPr>
          <w:rFonts w:ascii="Calibri" w:hAnsi="Calibri"/>
          <w:szCs w:val="22"/>
        </w:rPr>
        <w:t xml:space="preserve"> In order to support economic operators, the Government decided </w:t>
      </w:r>
      <w:r>
        <w:rPr>
          <w:rFonts w:ascii="Calibri" w:hAnsi="Calibri"/>
          <w:b/>
          <w:szCs w:val="22"/>
        </w:rPr>
        <w:t>to continue this State aid measure.</w:t>
      </w:r>
    </w:p>
    <w:p w:rsidR="006A425D" w:rsidRPr="002C1741" w:rsidRDefault="006A425D" w:rsidP="00565476">
      <w:pPr>
        <w:numPr>
          <w:ilvl w:val="0"/>
          <w:numId w:val="192"/>
        </w:numPr>
        <w:shd w:val="clear" w:color="auto" w:fill="FFFFFF"/>
        <w:tabs>
          <w:tab w:val="left" w:pos="0"/>
          <w:tab w:val="left" w:pos="1122"/>
        </w:tabs>
        <w:spacing w:before="120" w:line="276" w:lineRule="auto"/>
        <w:contextualSpacing/>
        <w:jc w:val="both"/>
        <w:rPr>
          <w:rFonts w:ascii="Calibri" w:eastAsia="Calibri" w:hAnsi="Calibri"/>
          <w:szCs w:val="22"/>
        </w:rPr>
      </w:pPr>
      <w:r>
        <w:rPr>
          <w:rFonts w:ascii="Calibri" w:hAnsi="Calibri"/>
          <w:bCs/>
          <w:szCs w:val="22"/>
        </w:rPr>
        <w:t>The State aid scheme has a maximum estimated budget of 60,000 thousand Lei, with an annual budget of 20,000 thousand Lei.</w:t>
      </w:r>
    </w:p>
    <w:p w:rsidR="006A425D" w:rsidRPr="002C1741" w:rsidRDefault="006A425D" w:rsidP="00565476">
      <w:pPr>
        <w:numPr>
          <w:ilvl w:val="0"/>
          <w:numId w:val="192"/>
        </w:numPr>
        <w:spacing w:before="120" w:line="276" w:lineRule="auto"/>
        <w:ind w:right="28"/>
        <w:contextualSpacing/>
        <w:jc w:val="both"/>
        <w:rPr>
          <w:rFonts w:ascii="Calibri" w:eastAsia="Calibri" w:hAnsi="Calibri"/>
          <w:szCs w:val="22"/>
        </w:rPr>
      </w:pPr>
      <w:r>
        <w:rPr>
          <w:rFonts w:ascii="Calibri" w:hAnsi="Calibri"/>
          <w:szCs w:val="22"/>
        </w:rPr>
        <w:t>The total estimated number of economic operators that shall benefit of State aid on the basis of the scheme is of 1500.</w:t>
      </w:r>
    </w:p>
    <w:p w:rsidR="006A425D" w:rsidRPr="002C1741" w:rsidRDefault="006A425D" w:rsidP="006A425D">
      <w:pPr>
        <w:spacing w:before="120" w:line="276" w:lineRule="auto"/>
        <w:ind w:left="1428" w:right="28"/>
        <w:contextualSpacing/>
        <w:jc w:val="both"/>
        <w:rPr>
          <w:rFonts w:ascii="Calibri" w:eastAsia="Calibri" w:hAnsi="Calibri"/>
          <w:szCs w:val="22"/>
          <w:lang w:val="ro-RO"/>
        </w:rPr>
      </w:pPr>
    </w:p>
    <w:p w:rsidR="006A425D" w:rsidRPr="002C1741" w:rsidRDefault="006A425D" w:rsidP="00565476">
      <w:pPr>
        <w:numPr>
          <w:ilvl w:val="0"/>
          <w:numId w:val="175"/>
        </w:numPr>
        <w:suppressAutoHyphens/>
        <w:autoSpaceDE w:val="0"/>
        <w:autoSpaceDN w:val="0"/>
        <w:adjustRightInd w:val="0"/>
        <w:spacing w:line="276" w:lineRule="auto"/>
        <w:ind w:left="426" w:hanging="284"/>
        <w:contextualSpacing/>
        <w:jc w:val="both"/>
        <w:rPr>
          <w:rFonts w:ascii="Calibri" w:eastAsia="Calibri" w:hAnsi="Calibri" w:cs="Arial"/>
          <w:color w:val="000048"/>
        </w:rPr>
      </w:pPr>
      <w:r>
        <w:rPr>
          <w:rFonts w:ascii="Calibri" w:hAnsi="Calibri"/>
          <w:b/>
          <w:color w:val="000048"/>
          <w:szCs w:val="22"/>
        </w:rPr>
        <w:t>Support program for small and medium enterprises - SME Invest Romania.</w:t>
      </w:r>
    </w:p>
    <w:p w:rsidR="006A425D" w:rsidRPr="002C1741" w:rsidRDefault="006A425D" w:rsidP="00565476">
      <w:pPr>
        <w:numPr>
          <w:ilvl w:val="0"/>
          <w:numId w:val="193"/>
        </w:numPr>
        <w:suppressAutoHyphens/>
        <w:autoSpaceDE w:val="0"/>
        <w:autoSpaceDN w:val="0"/>
        <w:adjustRightInd w:val="0"/>
        <w:spacing w:line="276" w:lineRule="auto"/>
        <w:ind w:left="1440"/>
        <w:contextualSpacing/>
        <w:jc w:val="both"/>
        <w:rPr>
          <w:rFonts w:ascii="Calibri" w:eastAsia="Calibri" w:hAnsi="Calibri" w:cs="Arial"/>
          <w:color w:val="000000"/>
          <w:szCs w:val="22"/>
        </w:rPr>
      </w:pPr>
      <w:r>
        <w:rPr>
          <w:rFonts w:ascii="Calibri" w:hAnsi="Calibri"/>
          <w:color w:val="000000"/>
          <w:szCs w:val="22"/>
        </w:rPr>
        <w:t xml:space="preserve">Through the support program for SMEs is considered the award of State guarantees through the FNGCIMM for bank credits for working capital and investment credits contracted by SMEs. The percentage of guarantee is of 50% of the financing value, with the exception of the projects of leisure centers for which the percentage of guarantee is of 80%. </w:t>
      </w:r>
    </w:p>
    <w:p w:rsidR="006A425D" w:rsidRPr="003964D3" w:rsidRDefault="006A425D" w:rsidP="006A425D">
      <w:pPr>
        <w:suppressAutoHyphens/>
        <w:autoSpaceDE w:val="0"/>
        <w:autoSpaceDN w:val="0"/>
        <w:adjustRightInd w:val="0"/>
        <w:ind w:left="1068" w:firstLine="708"/>
        <w:contextualSpacing/>
        <w:jc w:val="both"/>
        <w:rPr>
          <w:rFonts w:ascii="Calibri" w:eastAsia="Calibri" w:hAnsi="Calibri" w:cs="Arial"/>
          <w:color w:val="000000"/>
          <w:lang w:val="fr-FR"/>
        </w:rPr>
      </w:pPr>
    </w:p>
    <w:p w:rsidR="006A425D" w:rsidRPr="002C1741" w:rsidRDefault="006A425D" w:rsidP="00565476">
      <w:pPr>
        <w:numPr>
          <w:ilvl w:val="0"/>
          <w:numId w:val="193"/>
        </w:numPr>
        <w:suppressAutoHyphens/>
        <w:autoSpaceDE w:val="0"/>
        <w:autoSpaceDN w:val="0"/>
        <w:adjustRightInd w:val="0"/>
        <w:spacing w:line="276" w:lineRule="auto"/>
        <w:ind w:left="1440"/>
        <w:contextualSpacing/>
        <w:jc w:val="both"/>
        <w:rPr>
          <w:rFonts w:ascii="Calibri" w:eastAsia="Calibri" w:hAnsi="Calibri" w:cs="Arial"/>
          <w:color w:val="000000"/>
          <w:szCs w:val="22"/>
        </w:rPr>
      </w:pPr>
      <w:r>
        <w:rPr>
          <w:rFonts w:ascii="Calibri" w:hAnsi="Calibri"/>
          <w:color w:val="000000"/>
          <w:szCs w:val="22"/>
        </w:rPr>
        <w:t>The maximum cumulated value of the financing guaranteed by the State that can be awarded to one beneficiary is of 10,000,000 Lei, and the maximum value of every guarantee awarded to one beneficiary may not exceed 5,000,000 Lei for credits/credit lines for financing of working capital, respectively 10,000,000 Lei for investment credits.</w:t>
      </w:r>
    </w:p>
    <w:p w:rsidR="006A425D" w:rsidRPr="003964D3" w:rsidRDefault="006A425D" w:rsidP="006A425D">
      <w:pPr>
        <w:suppressAutoHyphens/>
        <w:autoSpaceDE w:val="0"/>
        <w:autoSpaceDN w:val="0"/>
        <w:adjustRightInd w:val="0"/>
        <w:ind w:left="1068" w:firstLine="708"/>
        <w:contextualSpacing/>
        <w:jc w:val="both"/>
        <w:rPr>
          <w:rFonts w:ascii="Calibri" w:eastAsia="Calibri" w:hAnsi="Calibri" w:cs="Arial"/>
          <w:color w:val="000000"/>
          <w:lang w:val="fr-FR"/>
        </w:rPr>
      </w:pPr>
    </w:p>
    <w:p w:rsidR="006A425D" w:rsidRPr="002C1741" w:rsidRDefault="006A425D" w:rsidP="00565476">
      <w:pPr>
        <w:numPr>
          <w:ilvl w:val="0"/>
          <w:numId w:val="193"/>
        </w:numPr>
        <w:suppressAutoHyphens/>
        <w:autoSpaceDE w:val="0"/>
        <w:autoSpaceDN w:val="0"/>
        <w:adjustRightInd w:val="0"/>
        <w:spacing w:line="276" w:lineRule="auto"/>
        <w:ind w:left="1440"/>
        <w:contextualSpacing/>
        <w:jc w:val="both"/>
        <w:rPr>
          <w:rFonts w:ascii="Calibri" w:eastAsia="Calibri" w:hAnsi="Calibri" w:cs="Arial"/>
          <w:color w:val="000000"/>
          <w:szCs w:val="22"/>
        </w:rPr>
      </w:pPr>
      <w:r>
        <w:rPr>
          <w:rFonts w:ascii="Calibri" w:hAnsi="Calibri"/>
          <w:color w:val="000000"/>
          <w:szCs w:val="22"/>
        </w:rPr>
        <w:t>The maximum financing term is of 120 months, in the case of investment credits, and of maximum 24 months for credits/lines of credit for financing of working capital. Credit lines can be extended by at most 24 months.</w:t>
      </w:r>
    </w:p>
    <w:p w:rsidR="006A425D" w:rsidRPr="002C1741" w:rsidRDefault="006A425D" w:rsidP="006A425D">
      <w:pPr>
        <w:suppressAutoHyphens/>
        <w:autoSpaceDE w:val="0"/>
        <w:autoSpaceDN w:val="0"/>
        <w:adjustRightInd w:val="0"/>
        <w:contextualSpacing/>
        <w:jc w:val="both"/>
        <w:rPr>
          <w:rFonts w:ascii="Calibri" w:eastAsia="Calibri" w:hAnsi="Calibri" w:cs="Arial"/>
          <w:color w:val="000000"/>
        </w:rPr>
      </w:pPr>
      <w:r>
        <w:rPr>
          <w:rFonts w:ascii="Calibri" w:hAnsi="Calibri"/>
          <w:color w:val="000000"/>
        </w:rPr>
        <w:tab/>
      </w:r>
    </w:p>
    <w:p w:rsidR="006A425D" w:rsidRPr="002C1741" w:rsidRDefault="006A425D" w:rsidP="006A425D">
      <w:pPr>
        <w:suppressAutoHyphens/>
        <w:autoSpaceDE w:val="0"/>
        <w:autoSpaceDN w:val="0"/>
        <w:adjustRightInd w:val="0"/>
        <w:contextualSpacing/>
        <w:jc w:val="both"/>
        <w:rPr>
          <w:rFonts w:ascii="Calibri" w:eastAsia="Calibri" w:hAnsi="Calibri" w:cs="Arial"/>
          <w:b/>
          <w:color w:val="000048"/>
        </w:rPr>
      </w:pPr>
      <w:r>
        <w:rPr>
          <w:rFonts w:ascii="Calibri" w:hAnsi="Calibri"/>
          <w:b/>
          <w:color w:val="000048"/>
        </w:rPr>
        <w:t xml:space="preserve">                 Main advantages of the Program:</w:t>
      </w:r>
    </w:p>
    <w:p w:rsidR="006A425D" w:rsidRPr="002C1741" w:rsidRDefault="006A425D" w:rsidP="006A425D">
      <w:pPr>
        <w:suppressAutoHyphens/>
        <w:autoSpaceDE w:val="0"/>
        <w:autoSpaceDN w:val="0"/>
        <w:adjustRightInd w:val="0"/>
        <w:contextualSpacing/>
        <w:jc w:val="both"/>
        <w:rPr>
          <w:rFonts w:ascii="Calibri" w:eastAsia="Calibri" w:hAnsi="Calibri" w:cs="Arial"/>
          <w:b/>
          <w:color w:val="000048"/>
        </w:rPr>
      </w:pPr>
    </w:p>
    <w:p w:rsidR="006A425D" w:rsidRPr="003964D3" w:rsidRDefault="006A425D" w:rsidP="00565476">
      <w:pPr>
        <w:numPr>
          <w:ilvl w:val="0"/>
          <w:numId w:val="194"/>
        </w:numPr>
        <w:suppressAutoHyphens/>
        <w:autoSpaceDE w:val="0"/>
        <w:autoSpaceDN w:val="0"/>
        <w:adjustRightInd w:val="0"/>
        <w:spacing w:line="276" w:lineRule="auto"/>
        <w:contextualSpacing/>
        <w:jc w:val="both"/>
        <w:rPr>
          <w:rFonts w:ascii="Calibri" w:eastAsia="Calibri" w:hAnsi="Calibri" w:cs="Arial"/>
          <w:color w:val="000000"/>
        </w:rPr>
      </w:pPr>
      <w:r>
        <w:rPr>
          <w:rFonts w:ascii="Calibri" w:hAnsi="Calibri"/>
          <w:color w:val="000000"/>
        </w:rPr>
        <w:t>stimulating credit institutions in creating financing products addressed to a segment of SMEs with high risk profile, by offering a guarantee product in the name and on the account of the State;</w:t>
      </w:r>
    </w:p>
    <w:p w:rsidR="006A425D" w:rsidRPr="003964D3" w:rsidRDefault="006A425D" w:rsidP="00565476">
      <w:pPr>
        <w:numPr>
          <w:ilvl w:val="0"/>
          <w:numId w:val="194"/>
        </w:numPr>
        <w:suppressAutoHyphens/>
        <w:autoSpaceDE w:val="0"/>
        <w:autoSpaceDN w:val="0"/>
        <w:adjustRightInd w:val="0"/>
        <w:spacing w:line="276" w:lineRule="auto"/>
        <w:contextualSpacing/>
        <w:jc w:val="both"/>
        <w:rPr>
          <w:rFonts w:ascii="Calibri" w:eastAsia="Calibri" w:hAnsi="Calibri" w:cs="Arial"/>
          <w:color w:val="000000"/>
        </w:rPr>
      </w:pPr>
      <w:r>
        <w:rPr>
          <w:rFonts w:ascii="Calibri" w:hAnsi="Calibri"/>
          <w:color w:val="000000"/>
        </w:rPr>
        <w:t>supporting the development of the SME sector both through consolidation of existing companies and through stimulating the incorporation of new small and medium enterprises.</w:t>
      </w:r>
    </w:p>
    <w:p w:rsidR="006A425D" w:rsidRPr="00F751B9" w:rsidRDefault="006A425D" w:rsidP="00565476">
      <w:pPr>
        <w:numPr>
          <w:ilvl w:val="0"/>
          <w:numId w:val="194"/>
        </w:numPr>
        <w:suppressAutoHyphens/>
        <w:autoSpaceDE w:val="0"/>
        <w:autoSpaceDN w:val="0"/>
        <w:adjustRightInd w:val="0"/>
        <w:spacing w:line="276" w:lineRule="auto"/>
        <w:contextualSpacing/>
        <w:jc w:val="both"/>
        <w:rPr>
          <w:rFonts w:ascii="Calibri" w:eastAsia="Calibri" w:hAnsi="Calibri" w:cs="Arial"/>
          <w:color w:val="000000"/>
        </w:rPr>
      </w:pPr>
      <w:r>
        <w:rPr>
          <w:rFonts w:ascii="Calibri" w:hAnsi="Calibri"/>
          <w:color w:val="000000"/>
        </w:rPr>
        <w:t>increasing the degree of accessing European funds in the current programming interval, 2014-2020</w:t>
      </w:r>
    </w:p>
    <w:p w:rsidR="006A425D" w:rsidRPr="008C4116" w:rsidRDefault="006A425D" w:rsidP="006A425D">
      <w:pPr>
        <w:suppressAutoHyphens/>
        <w:autoSpaceDE w:val="0"/>
        <w:autoSpaceDN w:val="0"/>
        <w:adjustRightInd w:val="0"/>
        <w:spacing w:line="276" w:lineRule="auto"/>
        <w:contextualSpacing/>
        <w:jc w:val="both"/>
        <w:rPr>
          <w:rFonts w:ascii="Calibri" w:eastAsia="Calibri" w:hAnsi="Calibri" w:cs="Arial"/>
          <w:color w:val="000000"/>
        </w:rPr>
      </w:pPr>
    </w:p>
    <w:p w:rsidR="00BF22CD" w:rsidRPr="008C4116" w:rsidRDefault="00BF22CD" w:rsidP="006A425D">
      <w:pPr>
        <w:suppressAutoHyphens/>
        <w:autoSpaceDE w:val="0"/>
        <w:autoSpaceDN w:val="0"/>
        <w:adjustRightInd w:val="0"/>
        <w:spacing w:line="276" w:lineRule="auto"/>
        <w:contextualSpacing/>
        <w:jc w:val="both"/>
        <w:rPr>
          <w:rFonts w:ascii="Calibri" w:eastAsia="Calibri" w:hAnsi="Calibri" w:cs="Arial"/>
          <w:color w:val="000000"/>
        </w:rPr>
      </w:pPr>
    </w:p>
    <w:p w:rsidR="00BF22CD" w:rsidRPr="008C4116" w:rsidRDefault="00BF22CD" w:rsidP="006A425D">
      <w:pPr>
        <w:suppressAutoHyphens/>
        <w:autoSpaceDE w:val="0"/>
        <w:autoSpaceDN w:val="0"/>
        <w:adjustRightInd w:val="0"/>
        <w:spacing w:line="276" w:lineRule="auto"/>
        <w:contextualSpacing/>
        <w:jc w:val="both"/>
        <w:rPr>
          <w:rFonts w:ascii="Calibri" w:eastAsia="Calibri" w:hAnsi="Calibri" w:cs="Arial"/>
          <w:color w:val="000000"/>
        </w:rPr>
      </w:pPr>
    </w:p>
    <w:p w:rsidR="006A425D" w:rsidRPr="002C1741" w:rsidRDefault="006A425D" w:rsidP="00565476">
      <w:pPr>
        <w:numPr>
          <w:ilvl w:val="0"/>
          <w:numId w:val="175"/>
        </w:numPr>
        <w:spacing w:before="120" w:after="120"/>
        <w:rPr>
          <w:rFonts w:ascii="Calibri" w:hAnsi="Calibri" w:cs="Arial"/>
          <w:b/>
          <w:color w:val="00003E"/>
        </w:rPr>
      </w:pPr>
      <w:r>
        <w:rPr>
          <w:rFonts w:ascii="Calibri" w:hAnsi="Calibri"/>
          <w:b/>
          <w:color w:val="00003E"/>
        </w:rPr>
        <w:t>Government support programs for the population and the business environment</w:t>
      </w:r>
    </w:p>
    <w:p w:rsidR="006A425D" w:rsidRPr="003C7CB5" w:rsidRDefault="006A425D" w:rsidP="00565476">
      <w:pPr>
        <w:numPr>
          <w:ilvl w:val="0"/>
          <w:numId w:val="195"/>
        </w:numPr>
        <w:spacing w:before="120" w:after="120"/>
        <w:jc w:val="both"/>
        <w:rPr>
          <w:rFonts w:ascii="Calibri" w:hAnsi="Calibri" w:cs="Arial"/>
          <w:b/>
          <w:color w:val="00003E"/>
        </w:rPr>
      </w:pPr>
      <w:r>
        <w:rPr>
          <w:rFonts w:ascii="Calibri" w:hAnsi="Calibri"/>
          <w:b/>
          <w:color w:val="00003E"/>
        </w:rPr>
        <w:t>State aid scheme to support the cinematographic industry</w:t>
      </w:r>
    </w:p>
    <w:p w:rsidR="006A425D" w:rsidRPr="003C7CB5" w:rsidRDefault="006A425D" w:rsidP="00565476">
      <w:pPr>
        <w:numPr>
          <w:ilvl w:val="1"/>
          <w:numId w:val="196"/>
        </w:numPr>
        <w:spacing w:before="120" w:after="120"/>
        <w:jc w:val="both"/>
        <w:rPr>
          <w:rFonts w:ascii="Calibri" w:hAnsi="Calibri" w:cs="Arial"/>
        </w:rPr>
      </w:pPr>
      <w:r>
        <w:rPr>
          <w:rFonts w:ascii="Calibri" w:hAnsi="Calibri"/>
        </w:rPr>
        <w:t>The state aid scheme to support the cinematographic industry was regulated through Government Decision no. 421/2018 with the objectives of developing European and international cinematographic cooperation, supporting movie producers in order to increase national movie production, create new jobs in the creative and related industries, promoting the national cultural identity and that of the national minorities from Romania through the production of cinematographic movies and promotion in the world circuit of values and supporting professional training in the field of the film industry.</w:t>
      </w:r>
    </w:p>
    <w:p w:rsidR="006A425D" w:rsidRPr="003C7CB5" w:rsidRDefault="006A425D" w:rsidP="00565476">
      <w:pPr>
        <w:numPr>
          <w:ilvl w:val="1"/>
          <w:numId w:val="196"/>
        </w:numPr>
        <w:spacing w:before="120" w:after="120"/>
        <w:jc w:val="both"/>
        <w:rPr>
          <w:rFonts w:ascii="Calibri" w:hAnsi="Calibri" w:cs="Arial"/>
          <w:color w:val="000000" w:themeColor="text1"/>
        </w:rPr>
      </w:pPr>
      <w:r>
        <w:rPr>
          <w:rFonts w:ascii="Calibri" w:hAnsi="Calibri"/>
          <w:color w:val="000000" w:themeColor="text1"/>
        </w:rPr>
        <w:t>As of the launch of the opening session of the scheme and until the end of 2018 were submitted 41 financing applications amounting to a total of 209.5 million Lei, of which 19 were approved, the value of the approved State aid being of 147.3 million Lei. 16 financing applications which requested State aid of 53.5 million Lei are still being analyzed.</w:t>
      </w:r>
    </w:p>
    <w:p w:rsidR="006A425D" w:rsidRPr="003C7CB5" w:rsidRDefault="006A425D" w:rsidP="00565476">
      <w:pPr>
        <w:numPr>
          <w:ilvl w:val="1"/>
          <w:numId w:val="196"/>
        </w:numPr>
        <w:spacing w:before="120" w:after="120"/>
        <w:jc w:val="both"/>
        <w:rPr>
          <w:rFonts w:ascii="Calibri" w:hAnsi="Calibri" w:cs="Arial"/>
        </w:rPr>
      </w:pPr>
      <w:r>
        <w:rPr>
          <w:rFonts w:ascii="Calibri" w:hAnsi="Calibri"/>
        </w:rPr>
        <w:t>Most cinematographic projects are co-productions in partnership with companies from Romania, which means that national capacities are used in creating cultural products that will enter the international circuit. It must be emphasized that all productions will have on the generic of the movie and on all advertising materials the mention: “Movie produced with support from the Romanian Government.”</w:t>
      </w:r>
    </w:p>
    <w:p w:rsidR="006A425D" w:rsidRPr="003C7CB5" w:rsidRDefault="006A425D" w:rsidP="00565476">
      <w:pPr>
        <w:numPr>
          <w:ilvl w:val="1"/>
          <w:numId w:val="196"/>
        </w:numPr>
        <w:spacing w:before="120" w:after="120"/>
        <w:jc w:val="both"/>
        <w:rPr>
          <w:rFonts w:ascii="Calibri" w:hAnsi="Calibri" w:cs="Arial"/>
        </w:rPr>
      </w:pPr>
      <w:r>
        <w:rPr>
          <w:rFonts w:ascii="Calibri" w:hAnsi="Calibri"/>
        </w:rPr>
        <w:t>The objectives sought through the introduction of this support mechanism have been reached by the Government, which has managed to bring Romania to the forefront of the artistic world, promoting both our landscapes, traditions and national values, and the specialists operating in the creative industries.</w:t>
      </w:r>
    </w:p>
    <w:p w:rsidR="006A425D" w:rsidRPr="005F6299" w:rsidRDefault="006A425D" w:rsidP="00565476">
      <w:pPr>
        <w:numPr>
          <w:ilvl w:val="0"/>
          <w:numId w:val="214"/>
        </w:numPr>
        <w:spacing w:before="120" w:after="120"/>
        <w:jc w:val="both"/>
        <w:rPr>
          <w:rFonts w:ascii="Calibri" w:hAnsi="Calibri" w:cs="Arial"/>
          <w:b/>
          <w:color w:val="00003E"/>
        </w:rPr>
      </w:pPr>
      <w:r>
        <w:rPr>
          <w:rFonts w:ascii="Calibri" w:hAnsi="Calibri"/>
        </w:rPr>
        <w:t>Considering also the provisions of GD no. 421/2018 for the establishment of a State aid scheme regarding the support offered to the cinematographic industry, it is foreseen that in 2019 agreements of 233 million Lei will be concluded.</w:t>
      </w:r>
    </w:p>
    <w:p w:rsidR="006A425D" w:rsidRPr="005F6299" w:rsidRDefault="006A425D" w:rsidP="006A425D">
      <w:pPr>
        <w:spacing w:before="120" w:after="120"/>
        <w:ind w:left="1440"/>
        <w:jc w:val="both"/>
        <w:rPr>
          <w:rFonts w:ascii="Calibri" w:hAnsi="Calibri" w:cs="Arial"/>
          <w:b/>
          <w:color w:val="00003E"/>
          <w:lang w:val="ro-RO"/>
        </w:rPr>
      </w:pPr>
    </w:p>
    <w:p w:rsidR="006A425D" w:rsidRPr="005F6299" w:rsidRDefault="006A425D" w:rsidP="00565476">
      <w:pPr>
        <w:numPr>
          <w:ilvl w:val="0"/>
          <w:numId w:val="195"/>
        </w:numPr>
        <w:spacing w:before="120" w:after="120"/>
        <w:jc w:val="both"/>
        <w:rPr>
          <w:rFonts w:ascii="Calibri" w:hAnsi="Calibri" w:cs="Arial"/>
          <w:b/>
          <w:color w:val="00003E"/>
        </w:rPr>
      </w:pPr>
      <w:r>
        <w:rPr>
          <w:rFonts w:ascii="Calibri" w:hAnsi="Calibri"/>
          <w:b/>
          <w:color w:val="00003E"/>
        </w:rPr>
        <w:t>The Government Program “gROwth - Junior Centenary Individual Savings Account ”</w:t>
      </w:r>
    </w:p>
    <w:p w:rsidR="006A425D" w:rsidRPr="003C7CB5" w:rsidRDefault="006A425D" w:rsidP="00565476">
      <w:pPr>
        <w:numPr>
          <w:ilvl w:val="1"/>
          <w:numId w:val="197"/>
        </w:numPr>
        <w:spacing w:before="120" w:after="120"/>
        <w:jc w:val="both"/>
        <w:rPr>
          <w:rFonts w:ascii="Calibri" w:eastAsia="Calibri" w:hAnsi="Calibri" w:cs="Arial"/>
          <w:color w:val="000000"/>
        </w:rPr>
      </w:pPr>
      <w:r>
        <w:rPr>
          <w:rFonts w:ascii="Calibri" w:hAnsi="Calibri"/>
          <w:color w:val="000000"/>
        </w:rPr>
        <w:t xml:space="preserve">The Government Program “gROwth - Junior Centenary Individual Savings Account” whose main objective is for the State to ensure financial support for all children from Romania, so that at 18 they should have a sufficient amount of money for education, professional training or any other needs they will have. </w:t>
      </w:r>
    </w:p>
    <w:p w:rsidR="006A425D" w:rsidRPr="003C7CB5" w:rsidRDefault="006A425D" w:rsidP="00565476">
      <w:pPr>
        <w:numPr>
          <w:ilvl w:val="1"/>
          <w:numId w:val="197"/>
        </w:numPr>
        <w:spacing w:before="120" w:after="120"/>
        <w:jc w:val="both"/>
        <w:rPr>
          <w:rFonts w:ascii="Calibri" w:eastAsia="Calibri" w:hAnsi="Calibri" w:cs="Arial"/>
          <w:color w:val="000000"/>
        </w:rPr>
      </w:pPr>
      <w:r>
        <w:rPr>
          <w:rFonts w:ascii="Calibri" w:hAnsi="Calibri"/>
          <w:color w:val="000000"/>
        </w:rPr>
        <w:t>The Program seeks to stimulate all parents to contribute to this savings account of their children, together with the State.</w:t>
      </w:r>
    </w:p>
    <w:p w:rsidR="006A425D" w:rsidRPr="003C7CB5" w:rsidRDefault="006A425D" w:rsidP="00565476">
      <w:pPr>
        <w:numPr>
          <w:ilvl w:val="1"/>
          <w:numId w:val="197"/>
        </w:numPr>
        <w:spacing w:before="120" w:after="120"/>
        <w:jc w:val="both"/>
        <w:rPr>
          <w:rFonts w:ascii="Calibri" w:eastAsia="Calibri" w:hAnsi="Calibri" w:cs="Arial"/>
          <w:color w:val="000000"/>
        </w:rPr>
      </w:pPr>
      <w:r>
        <w:rPr>
          <w:rFonts w:ascii="Calibri" w:hAnsi="Calibri"/>
          <w:color w:val="000000"/>
        </w:rPr>
        <w:t>For this purpose, an extremely simple mechanism of opening the accounts for every child from Romania was conceived through ordinance, namely the automatic opening thereof at the State Treasury units.</w:t>
      </w:r>
    </w:p>
    <w:p w:rsidR="006A425D" w:rsidRPr="003C7CB5" w:rsidRDefault="006A425D" w:rsidP="00565476">
      <w:pPr>
        <w:numPr>
          <w:ilvl w:val="1"/>
          <w:numId w:val="197"/>
        </w:numPr>
        <w:spacing w:before="120" w:after="120"/>
        <w:jc w:val="both"/>
        <w:rPr>
          <w:rFonts w:ascii="Calibri" w:hAnsi="Calibri" w:cs="Arial"/>
          <w:color w:val="000000"/>
        </w:rPr>
      </w:pPr>
      <w:r>
        <w:rPr>
          <w:rFonts w:ascii="Calibri" w:hAnsi="Calibri"/>
          <w:color w:val="000000"/>
        </w:rPr>
        <w:t>The Government Program “</w:t>
      </w:r>
      <w:r>
        <w:rPr>
          <w:rFonts w:ascii="Calibri" w:hAnsi="Calibri"/>
          <w:b/>
          <w:color w:val="000000"/>
        </w:rPr>
        <w:t>gROwth - Junior Centenary Individual Savings Account</w:t>
      </w:r>
      <w:r>
        <w:rPr>
          <w:rFonts w:ascii="Calibri" w:hAnsi="Calibri"/>
          <w:color w:val="000000"/>
        </w:rPr>
        <w:t>” has the objective of creating a special savings account under the form of a deposit and is addressed to every child who is a Romanian citizen and has not turned 18.</w:t>
      </w:r>
    </w:p>
    <w:p w:rsidR="006A425D" w:rsidRPr="003C7CB5" w:rsidRDefault="006A425D" w:rsidP="00565476">
      <w:pPr>
        <w:numPr>
          <w:ilvl w:val="1"/>
          <w:numId w:val="197"/>
        </w:numPr>
        <w:spacing w:before="120" w:after="120"/>
        <w:jc w:val="both"/>
        <w:rPr>
          <w:rFonts w:ascii="Calibri" w:hAnsi="Calibri" w:cs="Arial"/>
          <w:color w:val="000000"/>
        </w:rPr>
      </w:pPr>
      <w:r>
        <w:rPr>
          <w:rFonts w:ascii="Calibri" w:hAnsi="Calibri"/>
          <w:color w:val="000000"/>
        </w:rPr>
        <w:t xml:space="preserve">As of 2019, the holders of the accounts benefit of a premium from the State amounting to Lei 600 yearly until the age of 18, provided the amount deposited that year into the account is of at least 1,200 Lei. </w:t>
      </w:r>
    </w:p>
    <w:p w:rsidR="006A425D" w:rsidRPr="003C7CB5" w:rsidRDefault="006A425D" w:rsidP="00565476">
      <w:pPr>
        <w:numPr>
          <w:ilvl w:val="1"/>
          <w:numId w:val="197"/>
        </w:numPr>
        <w:spacing w:before="120" w:after="120"/>
        <w:jc w:val="both"/>
        <w:rPr>
          <w:rFonts w:ascii="Calibri" w:hAnsi="Calibri" w:cs="Arial"/>
          <w:color w:val="000000"/>
        </w:rPr>
      </w:pPr>
      <w:r>
        <w:rPr>
          <w:rFonts w:ascii="Calibri" w:hAnsi="Calibri"/>
          <w:color w:val="000000"/>
        </w:rPr>
        <w:t>The amounts deposited into the Junior Centenary individual savings account, with the exception of the amounts representing the State premium, bear interest.</w:t>
      </w:r>
    </w:p>
    <w:p w:rsidR="006A425D" w:rsidRPr="003C7CB5" w:rsidRDefault="006A425D" w:rsidP="00565476">
      <w:pPr>
        <w:numPr>
          <w:ilvl w:val="1"/>
          <w:numId w:val="197"/>
        </w:numPr>
        <w:spacing w:before="120" w:after="120"/>
        <w:jc w:val="both"/>
        <w:rPr>
          <w:rFonts w:ascii="Calibri" w:hAnsi="Calibri" w:cs="Arial"/>
          <w:color w:val="000000"/>
        </w:rPr>
      </w:pPr>
      <w:r>
        <w:rPr>
          <w:rFonts w:ascii="Calibri" w:hAnsi="Calibri"/>
          <w:color w:val="000000"/>
        </w:rPr>
        <w:t>The ordinance provides that the State will deposit into the account of every child a State premium of 600 Lei, if the parents or legal representatives thereof deposit a minimum amount of 1200 Lei.</w:t>
      </w:r>
    </w:p>
    <w:p w:rsidR="006A425D" w:rsidRPr="003C7CB5" w:rsidRDefault="006A425D" w:rsidP="00565476">
      <w:pPr>
        <w:numPr>
          <w:ilvl w:val="0"/>
          <w:numId w:val="198"/>
        </w:numPr>
        <w:spacing w:before="120" w:after="120"/>
        <w:jc w:val="both"/>
        <w:rPr>
          <w:rFonts w:ascii="Calibri" w:hAnsi="Calibri" w:cs="Arial"/>
        </w:rPr>
      </w:pPr>
      <w:r>
        <w:rPr>
          <w:rFonts w:ascii="Calibri" w:hAnsi="Calibri"/>
        </w:rPr>
        <w:t>the second manner of support consists of granting from the budget an interest of 3% per year, a stimulative and constant interest until the age of 18.</w:t>
      </w:r>
    </w:p>
    <w:p w:rsidR="006A425D" w:rsidRPr="003C7CB5" w:rsidRDefault="006A425D" w:rsidP="006A425D">
      <w:pPr>
        <w:spacing w:before="120" w:after="120"/>
        <w:jc w:val="both"/>
        <w:rPr>
          <w:rFonts w:ascii="Calibri" w:hAnsi="Calibri" w:cs="Arial"/>
          <w:color w:val="000000" w:themeColor="text1"/>
        </w:rPr>
      </w:pPr>
      <w:r>
        <w:rPr>
          <w:rFonts w:ascii="Calibri" w:hAnsi="Calibri"/>
        </w:rPr>
        <w:t xml:space="preserve">It must be emphasized that it was provided that this program should also be to the benefit of children protected through specialized public services, in which case the minimum deposit of 1200 Lei will be from the budget as well. </w:t>
      </w:r>
      <w:r>
        <w:rPr>
          <w:rFonts w:ascii="Calibri" w:hAnsi="Calibri"/>
          <w:color w:val="000000" w:themeColor="text1"/>
        </w:rPr>
        <w:t>Practically, these children will receive into the account opened in their name 1800 Lei yearly, until they turn 18.</w:t>
      </w:r>
    </w:p>
    <w:p w:rsidR="006A425D" w:rsidRDefault="006A425D" w:rsidP="006A425D">
      <w:pPr>
        <w:spacing w:before="120" w:after="120"/>
        <w:jc w:val="both"/>
        <w:rPr>
          <w:rFonts w:ascii="Calibri" w:hAnsi="Calibri" w:cs="Arial"/>
          <w:color w:val="000000" w:themeColor="text1"/>
        </w:rPr>
      </w:pPr>
      <w:r>
        <w:rPr>
          <w:rFonts w:ascii="Calibri" w:hAnsi="Calibri"/>
          <w:color w:val="000000" w:themeColor="text1"/>
        </w:rPr>
        <w:t>For this program it is foreseen to be made in 2019 commitments of 2 million Lei and payments of million Lei.</w:t>
      </w:r>
    </w:p>
    <w:p w:rsidR="006A425D" w:rsidRPr="003C7CB5" w:rsidRDefault="006A425D" w:rsidP="00565476">
      <w:pPr>
        <w:numPr>
          <w:ilvl w:val="0"/>
          <w:numId w:val="195"/>
        </w:numPr>
        <w:spacing w:before="120" w:after="120"/>
        <w:ind w:left="1134" w:hanging="425"/>
        <w:jc w:val="both"/>
        <w:rPr>
          <w:rFonts w:ascii="Calibri" w:hAnsi="Calibri"/>
          <w:color w:val="000000" w:themeColor="text1"/>
        </w:rPr>
      </w:pPr>
      <w:r>
        <w:rPr>
          <w:rFonts w:ascii="Calibri" w:hAnsi="Calibri"/>
          <w:b/>
          <w:color w:val="000000" w:themeColor="text1"/>
        </w:rPr>
        <w:t>The establishment of the programme “gROwth - we invest in children, we invest in the future”</w:t>
      </w:r>
      <w:r>
        <w:rPr>
          <w:rFonts w:ascii="Calibri" w:hAnsi="Calibri"/>
          <w:color w:val="000000" w:themeColor="text1"/>
        </w:rPr>
        <w:t>, a government programme whose object is financial support for private investments in the construction and/or establishment and equipment of kindergartens with sport profile.</w:t>
      </w:r>
    </w:p>
    <w:p w:rsidR="006A425D" w:rsidRPr="003C7CB5" w:rsidRDefault="006A425D" w:rsidP="00565476">
      <w:pPr>
        <w:numPr>
          <w:ilvl w:val="0"/>
          <w:numId w:val="209"/>
        </w:numPr>
        <w:autoSpaceDE w:val="0"/>
        <w:autoSpaceDN w:val="0"/>
        <w:adjustRightInd w:val="0"/>
        <w:ind w:left="1080"/>
        <w:jc w:val="both"/>
        <w:rPr>
          <w:rFonts w:ascii="Calibri" w:hAnsi="Calibri"/>
          <w:color w:val="000000" w:themeColor="text1"/>
        </w:rPr>
      </w:pPr>
      <w:r>
        <w:rPr>
          <w:rFonts w:ascii="Calibri" w:hAnsi="Calibri"/>
          <w:color w:val="000000" w:themeColor="text1"/>
        </w:rPr>
        <w:t>Financial support consists of non-reimbursable aid for part of the eligible expenditure, as well as the State securing part of the loan used by an investor for the construction and/or establishment and equipment of kindergartens with sport profile.</w:t>
      </w:r>
    </w:p>
    <w:p w:rsidR="006A425D" w:rsidRPr="003C7CB5" w:rsidRDefault="006A425D" w:rsidP="00565476">
      <w:pPr>
        <w:numPr>
          <w:ilvl w:val="0"/>
          <w:numId w:val="209"/>
        </w:numPr>
        <w:autoSpaceDE w:val="0"/>
        <w:autoSpaceDN w:val="0"/>
        <w:adjustRightInd w:val="0"/>
        <w:ind w:left="1080"/>
        <w:jc w:val="both"/>
        <w:rPr>
          <w:rFonts w:ascii="Calibri" w:hAnsi="Calibri"/>
          <w:color w:val="000000" w:themeColor="text1"/>
        </w:rPr>
      </w:pPr>
      <w:r>
        <w:rPr>
          <w:rFonts w:ascii="Calibri" w:hAnsi="Calibri"/>
          <w:color w:val="000000" w:themeColor="text1"/>
        </w:rPr>
        <w:t>The Beneficiaries of the Program are legal entities of private law, including nongovernmental organizations, associations, foundations and/or fiscal groups, as well as the Romanian Olympic and Sports Committee, the associations and foundations, the federations or sports clubs that take the initiative of building kindergartens with sport profile.</w:t>
      </w:r>
    </w:p>
    <w:p w:rsidR="006A425D" w:rsidRPr="003C7CB5" w:rsidRDefault="006A425D" w:rsidP="00565476">
      <w:pPr>
        <w:numPr>
          <w:ilvl w:val="0"/>
          <w:numId w:val="209"/>
        </w:numPr>
        <w:autoSpaceDE w:val="0"/>
        <w:autoSpaceDN w:val="0"/>
        <w:adjustRightInd w:val="0"/>
        <w:ind w:left="1080"/>
        <w:jc w:val="both"/>
        <w:rPr>
          <w:rFonts w:ascii="Calibri" w:hAnsi="Calibri"/>
          <w:color w:val="000000" w:themeColor="text1"/>
        </w:rPr>
      </w:pPr>
      <w:r>
        <w:rPr>
          <w:rFonts w:ascii="Calibri" w:hAnsi="Calibri"/>
          <w:color w:val="000000" w:themeColor="text1"/>
        </w:rPr>
        <w:t>The maximum ceiling of support from public sources which can be awarded to one beneficiary for the construction of the building, the establishment and equipment of kindergartens with sport profile is of at most EUR 500,000.</w:t>
      </w:r>
    </w:p>
    <w:p w:rsidR="006A425D" w:rsidRPr="003C7CB5" w:rsidRDefault="006A425D" w:rsidP="00565476">
      <w:pPr>
        <w:numPr>
          <w:ilvl w:val="0"/>
          <w:numId w:val="209"/>
        </w:numPr>
        <w:autoSpaceDE w:val="0"/>
        <w:autoSpaceDN w:val="0"/>
        <w:adjustRightInd w:val="0"/>
        <w:ind w:left="1080"/>
        <w:jc w:val="both"/>
        <w:rPr>
          <w:rFonts w:ascii="Calibri" w:hAnsi="Calibri"/>
          <w:color w:val="000000" w:themeColor="text1"/>
        </w:rPr>
      </w:pPr>
      <w:r>
        <w:rPr>
          <w:rFonts w:ascii="Calibri" w:hAnsi="Calibri"/>
          <w:color w:val="000000" w:themeColor="text1"/>
        </w:rPr>
        <w:t>The non-reimbursable aid paid in accordance with the State aid scheme established on the basis of this emergency ordinance shall be borne from the State budget, respectively from the budget of the General Secretariat of the Government, through the budget of the National Commission for Strategy and Prognosis.</w:t>
      </w:r>
    </w:p>
    <w:p w:rsidR="006A425D" w:rsidRPr="003C7CB5" w:rsidRDefault="006A425D" w:rsidP="00565476">
      <w:pPr>
        <w:numPr>
          <w:ilvl w:val="0"/>
          <w:numId w:val="209"/>
        </w:numPr>
        <w:autoSpaceDE w:val="0"/>
        <w:autoSpaceDN w:val="0"/>
        <w:adjustRightInd w:val="0"/>
        <w:ind w:left="1080"/>
        <w:jc w:val="both"/>
        <w:rPr>
          <w:rFonts w:ascii="Calibri" w:hAnsi="Calibri"/>
          <w:color w:val="000000" w:themeColor="text1"/>
        </w:rPr>
      </w:pPr>
      <w:r>
        <w:rPr>
          <w:rFonts w:ascii="Calibri" w:hAnsi="Calibri"/>
          <w:color w:val="000000" w:themeColor="text1"/>
        </w:rPr>
        <w:t>The Ministry of Public Finance is authorized to mandate the National Credit Guarantee Fund for Small and Medium Enterprises and the Romanian Counter-guarantee Fund in order to issue guarantees in the name and on the account of the State, in favor of the banks which grant credits within the Program.</w:t>
      </w:r>
    </w:p>
    <w:p w:rsidR="006A425D" w:rsidRPr="003C7CB5" w:rsidRDefault="006A425D" w:rsidP="006A425D">
      <w:pPr>
        <w:spacing w:before="120" w:after="120"/>
        <w:jc w:val="both"/>
        <w:rPr>
          <w:rFonts w:ascii="Calibri" w:hAnsi="Calibri" w:cs="Arial"/>
          <w:color w:val="000000" w:themeColor="text1"/>
        </w:rPr>
      </w:pPr>
      <w:r>
        <w:rPr>
          <w:rFonts w:ascii="Calibri" w:hAnsi="Calibri"/>
          <w:color w:val="000000" w:themeColor="text1"/>
        </w:rPr>
        <w:t>For the Program “gROwth - we invest in children, we invest in the future” it is foreseen that commitments of 300 million Lei will be concluded in 2019.</w:t>
      </w:r>
    </w:p>
    <w:p w:rsidR="006A425D" w:rsidRPr="002C1741" w:rsidRDefault="006A425D" w:rsidP="00565476">
      <w:pPr>
        <w:numPr>
          <w:ilvl w:val="0"/>
          <w:numId w:val="175"/>
        </w:numPr>
        <w:tabs>
          <w:tab w:val="left" w:pos="0"/>
          <w:tab w:val="left" w:pos="993"/>
        </w:tabs>
        <w:autoSpaceDE w:val="0"/>
        <w:spacing w:before="120" w:line="276" w:lineRule="auto"/>
        <w:contextualSpacing/>
        <w:jc w:val="both"/>
        <w:rPr>
          <w:rFonts w:asciiTheme="minorHAnsi" w:eastAsia="Calibri" w:hAnsiTheme="minorHAnsi"/>
          <w:szCs w:val="22"/>
        </w:rPr>
      </w:pPr>
      <w:r>
        <w:rPr>
          <w:rFonts w:asciiTheme="minorHAnsi" w:hAnsiTheme="minorHAnsi"/>
          <w:b/>
          <w:color w:val="000048"/>
          <w:szCs w:val="22"/>
        </w:rPr>
        <w:t xml:space="preserve">Adoption of the Prevention law no. 270/2017, </w:t>
      </w:r>
      <w:r>
        <w:rPr>
          <w:rFonts w:asciiTheme="minorHAnsi" w:hAnsiTheme="minorHAnsi"/>
          <w:szCs w:val="22"/>
        </w:rPr>
        <w:t>to eliminate the causes which put a brake on the business environment in Romania, especially the thick legislation and the frequent amendments thereto and to create the assumptions for the prevention of the commission of civil offences, which has a significant macroeconomic impact on medium and long term, especially on SMEs, a category which represents the engine of any modern economy, due to the fact that they are more dynamic and flexible than large enterprises.  This law established instruments which ensure the prevention of the commission of civil offenses.</w:t>
      </w:r>
    </w:p>
    <w:p w:rsidR="006A425D" w:rsidRPr="002C1741" w:rsidRDefault="006A425D" w:rsidP="006A425D">
      <w:pPr>
        <w:tabs>
          <w:tab w:val="left" w:pos="0"/>
          <w:tab w:val="left" w:pos="993"/>
        </w:tabs>
        <w:autoSpaceDE w:val="0"/>
        <w:spacing w:before="120" w:line="276" w:lineRule="auto"/>
        <w:contextualSpacing/>
        <w:jc w:val="both"/>
        <w:rPr>
          <w:rFonts w:asciiTheme="minorHAnsi" w:hAnsiTheme="minorHAnsi"/>
        </w:rPr>
      </w:pPr>
    </w:p>
    <w:p w:rsidR="006A425D" w:rsidRPr="00F751B9" w:rsidRDefault="006A425D" w:rsidP="006A425D">
      <w:pPr>
        <w:widowControl w:val="0"/>
        <w:tabs>
          <w:tab w:val="left" w:pos="821"/>
        </w:tabs>
        <w:spacing w:line="276" w:lineRule="auto"/>
        <w:ind w:firstLine="567"/>
        <w:jc w:val="both"/>
        <w:rPr>
          <w:rFonts w:asciiTheme="minorHAnsi" w:eastAsia="Calibri" w:hAnsiTheme="minorHAnsi" w:cs="Arial"/>
          <w:color w:val="000000"/>
        </w:rPr>
      </w:pPr>
      <w:r>
        <w:rPr>
          <w:rFonts w:asciiTheme="minorHAnsi" w:hAnsiTheme="minorHAnsi"/>
          <w:color w:val="000000"/>
        </w:rPr>
        <w:t xml:space="preserve">The Ministry of Public Finance </w:t>
      </w:r>
      <w:r>
        <w:rPr>
          <w:rFonts w:asciiTheme="minorHAnsi" w:hAnsiTheme="minorHAnsi"/>
          <w:b/>
          <w:color w:val="000048"/>
        </w:rPr>
        <w:t xml:space="preserve">will continue to support the business environment </w:t>
      </w:r>
      <w:r>
        <w:rPr>
          <w:rFonts w:asciiTheme="minorHAnsi" w:hAnsiTheme="minorHAnsi"/>
          <w:color w:val="000000"/>
        </w:rPr>
        <w:t xml:space="preserve">through the support measures of the type of State aid, under observance of the Community regulations in the field, seeking especially: </w:t>
      </w:r>
    </w:p>
    <w:p w:rsidR="006A425D" w:rsidRPr="002C1741" w:rsidRDefault="006A425D" w:rsidP="00565476">
      <w:pPr>
        <w:numPr>
          <w:ilvl w:val="0"/>
          <w:numId w:val="181"/>
        </w:numPr>
        <w:tabs>
          <w:tab w:val="left" w:pos="737"/>
          <w:tab w:val="left" w:pos="1122"/>
        </w:tabs>
        <w:suppressAutoHyphens/>
        <w:spacing w:before="60" w:line="276" w:lineRule="auto"/>
        <w:contextualSpacing/>
        <w:jc w:val="both"/>
        <w:rPr>
          <w:rFonts w:asciiTheme="minorHAnsi" w:eastAsia="Calibri" w:hAnsiTheme="minorHAnsi" w:cs="Arial"/>
          <w:bCs/>
          <w:color w:val="000000"/>
          <w:szCs w:val="22"/>
        </w:rPr>
      </w:pPr>
      <w:r>
        <w:rPr>
          <w:rFonts w:asciiTheme="minorHAnsi" w:hAnsiTheme="minorHAnsi"/>
          <w:color w:val="000000"/>
          <w:szCs w:val="22"/>
        </w:rPr>
        <w:t>to select the investments with a real impact on regional development through the creation of new jobs and, implicitly, the increase of the contributions of the enterprises financed through the payment of taxes and charges to the general consolidated budget of the State, as well as the local budgets;</w:t>
      </w:r>
    </w:p>
    <w:p w:rsidR="006A425D" w:rsidRPr="002C1741" w:rsidRDefault="006A425D" w:rsidP="00565476">
      <w:pPr>
        <w:numPr>
          <w:ilvl w:val="4"/>
          <w:numId w:val="181"/>
        </w:numPr>
        <w:tabs>
          <w:tab w:val="left" w:pos="737"/>
          <w:tab w:val="left" w:pos="1122"/>
        </w:tabs>
        <w:suppressAutoHyphens/>
        <w:spacing w:before="60" w:line="276" w:lineRule="auto"/>
        <w:ind w:left="709" w:hanging="425"/>
        <w:contextualSpacing/>
        <w:jc w:val="both"/>
        <w:rPr>
          <w:rFonts w:asciiTheme="minorHAnsi" w:eastAsia="Calibri" w:hAnsiTheme="minorHAnsi" w:cs="Arial"/>
          <w:bCs/>
          <w:color w:val="000000"/>
          <w:szCs w:val="22"/>
        </w:rPr>
      </w:pPr>
      <w:r>
        <w:rPr>
          <w:rFonts w:asciiTheme="minorHAnsi" w:hAnsiTheme="minorHAnsi"/>
          <w:bCs/>
          <w:color w:val="000000"/>
          <w:szCs w:val="22"/>
        </w:rPr>
        <w:t>to efficiently and transparently allocate the budget resources through the State aid policy, in accordance with the Community and national provisions in the field;</w:t>
      </w:r>
    </w:p>
    <w:p w:rsidR="006A425D" w:rsidRPr="002C1741" w:rsidRDefault="006A425D" w:rsidP="00565476">
      <w:pPr>
        <w:numPr>
          <w:ilvl w:val="4"/>
          <w:numId w:val="181"/>
        </w:numPr>
        <w:tabs>
          <w:tab w:val="left" w:pos="0"/>
          <w:tab w:val="left" w:pos="709"/>
          <w:tab w:val="left" w:pos="1122"/>
          <w:tab w:val="left" w:pos="1309"/>
        </w:tabs>
        <w:suppressAutoHyphens/>
        <w:spacing w:before="60" w:line="276" w:lineRule="auto"/>
        <w:ind w:left="709" w:hanging="425"/>
        <w:contextualSpacing/>
        <w:jc w:val="both"/>
        <w:rPr>
          <w:rFonts w:asciiTheme="minorHAnsi" w:eastAsia="Calibri" w:hAnsiTheme="minorHAnsi" w:cs="Arial"/>
          <w:color w:val="000000"/>
          <w:szCs w:val="22"/>
        </w:rPr>
      </w:pPr>
      <w:r>
        <w:rPr>
          <w:rFonts w:asciiTheme="minorHAnsi" w:hAnsiTheme="minorHAnsi"/>
          <w:color w:val="000000"/>
          <w:szCs w:val="22"/>
        </w:rPr>
        <w:t>to improve the planning of the analysis and control activity in order to make more efficient the award of financing agreements and the performance of payments, to improve the communication with the business environment;</w:t>
      </w:r>
    </w:p>
    <w:p w:rsidR="006A425D" w:rsidRPr="002C1741" w:rsidRDefault="006A425D" w:rsidP="00565476">
      <w:pPr>
        <w:numPr>
          <w:ilvl w:val="1"/>
          <w:numId w:val="181"/>
        </w:numPr>
        <w:tabs>
          <w:tab w:val="left" w:pos="709"/>
          <w:tab w:val="left" w:pos="1122"/>
        </w:tabs>
        <w:suppressAutoHyphens/>
        <w:spacing w:before="60" w:line="276" w:lineRule="auto"/>
        <w:ind w:left="709" w:hanging="425"/>
        <w:contextualSpacing/>
        <w:jc w:val="both"/>
        <w:rPr>
          <w:rFonts w:asciiTheme="minorHAnsi" w:eastAsia="Calibri" w:hAnsiTheme="minorHAnsi" w:cs="Arial"/>
          <w:color w:val="000000"/>
          <w:szCs w:val="22"/>
        </w:rPr>
      </w:pPr>
      <w:r>
        <w:rPr>
          <w:rFonts w:asciiTheme="minorHAnsi" w:hAnsiTheme="minorHAnsi"/>
          <w:color w:val="000000"/>
          <w:szCs w:val="22"/>
        </w:rPr>
        <w:t xml:space="preserve"> to support all enterprises who make investments and create new jobs, thus actively participating to the reduction of economic gaps between the regions and to the decrease of unemployment;</w:t>
      </w:r>
    </w:p>
    <w:p w:rsidR="006A425D" w:rsidRPr="002C1741" w:rsidRDefault="006A425D" w:rsidP="00565476">
      <w:pPr>
        <w:numPr>
          <w:ilvl w:val="0"/>
          <w:numId w:val="181"/>
        </w:numPr>
        <w:tabs>
          <w:tab w:val="left" w:pos="0"/>
          <w:tab w:val="left" w:pos="709"/>
          <w:tab w:val="left" w:pos="1122"/>
          <w:tab w:val="left" w:pos="1309"/>
        </w:tabs>
        <w:suppressAutoHyphens/>
        <w:spacing w:before="60" w:line="276" w:lineRule="auto"/>
        <w:contextualSpacing/>
        <w:jc w:val="both"/>
        <w:rPr>
          <w:rFonts w:asciiTheme="minorHAnsi" w:eastAsia="Calibri" w:hAnsiTheme="minorHAnsi" w:cs="Arial"/>
          <w:color w:val="000000"/>
          <w:szCs w:val="22"/>
        </w:rPr>
      </w:pPr>
      <w:r>
        <w:rPr>
          <w:rFonts w:asciiTheme="minorHAnsi" w:hAnsiTheme="minorHAnsi"/>
          <w:color w:val="000000"/>
          <w:szCs w:val="22"/>
        </w:rPr>
        <w:t>to increase the turnover, due to the development and modernization of large enterprises and of SMEs, respectively the development of the providers of assets, raw materials, materials;</w:t>
      </w:r>
    </w:p>
    <w:p w:rsidR="006A425D" w:rsidRPr="002C1741" w:rsidRDefault="006A425D" w:rsidP="006A425D">
      <w:pPr>
        <w:keepNext/>
        <w:widowControl w:val="0"/>
        <w:numPr>
          <w:ilvl w:val="0"/>
          <w:numId w:val="168"/>
        </w:numPr>
        <w:shd w:val="clear" w:color="auto" w:fill="FFFFFF" w:themeFill="background1"/>
        <w:tabs>
          <w:tab w:val="left" w:pos="180"/>
        </w:tabs>
        <w:autoSpaceDE w:val="0"/>
        <w:autoSpaceDN w:val="0"/>
        <w:adjustRightInd w:val="0"/>
        <w:spacing w:after="150" w:line="240" w:lineRule="atLeast"/>
        <w:ind w:left="567" w:hanging="709"/>
        <w:jc w:val="both"/>
        <w:textAlignment w:val="baseline"/>
        <w:rPr>
          <w:rFonts w:asciiTheme="minorHAnsi" w:eastAsiaTheme="minorHAnsi" w:hAnsiTheme="minorHAnsi" w:cstheme="minorHAnsi"/>
          <w:color w:val="000048"/>
        </w:rPr>
      </w:pPr>
      <w:r>
        <w:rPr>
          <w:rFonts w:asciiTheme="minorHAnsi" w:hAnsiTheme="minorHAnsi"/>
          <w:b/>
          <w:color w:val="000048"/>
          <w:shd w:val="clear" w:color="auto" w:fill="DEEAF6" w:themeFill="accent1" w:themeFillTint="33"/>
        </w:rPr>
        <w:t>Other measures to stimulate economic growth</w:t>
      </w:r>
    </w:p>
    <w:p w:rsidR="006A425D" w:rsidRPr="002C1741" w:rsidRDefault="006A425D" w:rsidP="00565476">
      <w:pPr>
        <w:keepNext/>
        <w:widowControl w:val="0"/>
        <w:numPr>
          <w:ilvl w:val="0"/>
          <w:numId w:val="173"/>
        </w:numPr>
        <w:shd w:val="clear" w:color="auto" w:fill="FFFFFF" w:themeFill="background1"/>
        <w:tabs>
          <w:tab w:val="left" w:pos="180"/>
        </w:tabs>
        <w:autoSpaceDE w:val="0"/>
        <w:autoSpaceDN w:val="0"/>
        <w:adjustRightInd w:val="0"/>
        <w:spacing w:after="150" w:line="240" w:lineRule="atLeast"/>
        <w:contextualSpacing/>
        <w:jc w:val="both"/>
        <w:textAlignment w:val="baseline"/>
        <w:rPr>
          <w:rFonts w:asciiTheme="minorHAnsi" w:eastAsiaTheme="minorHAnsi" w:hAnsiTheme="minorHAnsi" w:cstheme="minorHAnsi"/>
          <w:color w:val="000000" w:themeColor="text1"/>
          <w:szCs w:val="22"/>
        </w:rPr>
      </w:pPr>
      <w:r>
        <w:rPr>
          <w:rFonts w:asciiTheme="minorHAnsi" w:hAnsiTheme="minorHAnsi"/>
          <w:b/>
          <w:color w:val="000000" w:themeColor="text1"/>
          <w:szCs w:val="22"/>
          <w:shd w:val="clear" w:color="auto" w:fill="D9D9D9" w:themeFill="background1" w:themeFillShade="D9"/>
        </w:rPr>
        <w:t>Structural reforms in the sector of companies,</w:t>
      </w:r>
      <w:r>
        <w:rPr>
          <w:rFonts w:asciiTheme="minorHAnsi" w:hAnsiTheme="minorHAnsi"/>
          <w:b/>
          <w:color w:val="000000" w:themeColor="text1"/>
          <w:szCs w:val="22"/>
        </w:rPr>
        <w:t xml:space="preserve"> respectively improvement of corporate governance, </w:t>
      </w:r>
      <w:r>
        <w:rPr>
          <w:rFonts w:asciiTheme="minorHAnsi" w:hAnsiTheme="minorHAnsi"/>
          <w:bCs/>
          <w:color w:val="000000" w:themeColor="text1"/>
          <w:szCs w:val="22"/>
        </w:rPr>
        <w:t xml:space="preserve">represent a priority for the Government, targeting the reform of private management in State-owned companies from strategic fields. </w:t>
      </w:r>
      <w:r>
        <w:rPr>
          <w:rFonts w:asciiTheme="minorHAnsi" w:hAnsiTheme="minorHAnsi"/>
          <w:color w:val="000000" w:themeColor="text1"/>
          <w:szCs w:val="22"/>
        </w:rPr>
        <w:t xml:space="preserve"> It shall be considered:</w:t>
      </w:r>
    </w:p>
    <w:p w:rsidR="006A425D" w:rsidRPr="002C1741" w:rsidRDefault="006A425D" w:rsidP="00565476">
      <w:pPr>
        <w:numPr>
          <w:ilvl w:val="0"/>
          <w:numId w:val="182"/>
        </w:numPr>
        <w:autoSpaceDE w:val="0"/>
        <w:autoSpaceDN w:val="0"/>
        <w:adjustRightInd w:val="0"/>
        <w:jc w:val="both"/>
        <w:rPr>
          <w:rFonts w:asciiTheme="minorHAnsi" w:eastAsiaTheme="minorHAnsi" w:hAnsiTheme="minorHAnsi"/>
        </w:rPr>
      </w:pPr>
      <w:r>
        <w:rPr>
          <w:rFonts w:asciiTheme="minorHAnsi" w:hAnsiTheme="minorHAnsi"/>
          <w:color w:val="000000"/>
        </w:rPr>
        <w:t xml:space="preserve">to strengthen </w:t>
      </w:r>
      <w:r>
        <w:rPr>
          <w:rFonts w:asciiTheme="minorHAnsi" w:hAnsiTheme="minorHAnsi"/>
          <w:b/>
          <w:bCs/>
          <w:i/>
          <w:iCs/>
          <w:color w:val="000000"/>
        </w:rPr>
        <w:t xml:space="preserve">financial discipline in the PE, </w:t>
      </w:r>
      <w:r>
        <w:rPr>
          <w:rFonts w:asciiTheme="minorHAnsi" w:hAnsiTheme="minorHAnsi"/>
          <w:bCs/>
          <w:iCs/>
          <w:color w:val="000000"/>
        </w:rPr>
        <w:t>to continue</w:t>
      </w:r>
      <w:r>
        <w:rPr>
          <w:rFonts w:asciiTheme="minorHAnsi" w:hAnsiTheme="minorHAnsi"/>
          <w:b/>
          <w:bCs/>
          <w:i/>
          <w:iCs/>
          <w:color w:val="000000"/>
        </w:rPr>
        <w:t xml:space="preserve"> the process of consolidation/creation of the structures responsible for management of the PE from the tutelary authorities</w:t>
      </w:r>
      <w:r>
        <w:rPr>
          <w:rFonts w:asciiTheme="minorHAnsi" w:hAnsiTheme="minorHAnsi"/>
          <w:color w:val="000000"/>
        </w:rPr>
        <w:t xml:space="preserve">, having as main objectives the assurance of transparency and integrity in the application of the </w:t>
      </w:r>
      <w:r w:rsidR="00F00F75">
        <w:rPr>
          <w:rFonts w:asciiTheme="minorHAnsi" w:hAnsiTheme="minorHAnsi"/>
          <w:color w:val="000000"/>
        </w:rPr>
        <w:t>principles</w:t>
      </w:r>
      <w:r>
        <w:rPr>
          <w:rFonts w:asciiTheme="minorHAnsi" w:hAnsiTheme="minorHAnsi"/>
          <w:color w:val="000000"/>
        </w:rPr>
        <w:t xml:space="preserve"> of corporate governance of the PE subordinated thereto, as well as the assurance of stable and efficient management therein.  </w:t>
      </w:r>
    </w:p>
    <w:p w:rsidR="006A425D" w:rsidRPr="002C1741" w:rsidRDefault="006A425D" w:rsidP="00565476">
      <w:pPr>
        <w:numPr>
          <w:ilvl w:val="0"/>
          <w:numId w:val="182"/>
        </w:numPr>
        <w:autoSpaceDE w:val="0"/>
        <w:autoSpaceDN w:val="0"/>
        <w:adjustRightInd w:val="0"/>
        <w:jc w:val="both"/>
        <w:rPr>
          <w:rFonts w:asciiTheme="minorHAnsi" w:eastAsiaTheme="minorHAnsi" w:hAnsiTheme="minorHAnsi"/>
        </w:rPr>
      </w:pPr>
      <w:r>
        <w:rPr>
          <w:rFonts w:asciiTheme="minorHAnsi" w:hAnsiTheme="minorHAnsi"/>
        </w:rPr>
        <w:t xml:space="preserve">Continuance of the activities carried out with the purpose of </w:t>
      </w:r>
      <w:r>
        <w:rPr>
          <w:rFonts w:asciiTheme="minorHAnsi" w:hAnsiTheme="minorHAnsi"/>
          <w:i/>
        </w:rPr>
        <w:t>selecting the professional management in PE in the field of transport.</w:t>
      </w:r>
      <w:r>
        <w:rPr>
          <w:rFonts w:asciiTheme="minorHAnsi" w:hAnsiTheme="minorHAnsi"/>
        </w:rPr>
        <w:t xml:space="preserve"> </w:t>
      </w:r>
    </w:p>
    <w:p w:rsidR="006A425D" w:rsidRPr="002C1741" w:rsidRDefault="006A425D" w:rsidP="00565476">
      <w:pPr>
        <w:numPr>
          <w:ilvl w:val="0"/>
          <w:numId w:val="182"/>
        </w:numPr>
        <w:autoSpaceDE w:val="0"/>
        <w:autoSpaceDN w:val="0"/>
        <w:adjustRightInd w:val="0"/>
        <w:jc w:val="both"/>
        <w:rPr>
          <w:rFonts w:asciiTheme="minorHAnsi" w:eastAsiaTheme="minorHAnsi" w:hAnsiTheme="minorHAnsi"/>
        </w:rPr>
      </w:pPr>
      <w:r>
        <w:rPr>
          <w:rFonts w:asciiTheme="minorHAnsi" w:hAnsiTheme="minorHAnsi"/>
        </w:rPr>
        <w:t xml:space="preserve">In order to increase the economic performance of certain </w:t>
      </w:r>
      <w:r>
        <w:rPr>
          <w:rFonts w:asciiTheme="minorHAnsi" w:hAnsiTheme="minorHAnsi"/>
          <w:b/>
          <w:i/>
        </w:rPr>
        <w:t>PE from the fields of energy, transport</w:t>
      </w:r>
      <w:r>
        <w:rPr>
          <w:rFonts w:asciiTheme="minorHAnsi" w:hAnsiTheme="minorHAnsi"/>
        </w:rPr>
        <w:t xml:space="preserve"> and </w:t>
      </w:r>
      <w:r>
        <w:rPr>
          <w:rFonts w:asciiTheme="minorHAnsi" w:hAnsiTheme="minorHAnsi"/>
          <w:b/>
          <w:i/>
        </w:rPr>
        <w:t>the defense industry</w:t>
      </w:r>
      <w:r>
        <w:rPr>
          <w:rFonts w:asciiTheme="minorHAnsi" w:hAnsiTheme="minorHAnsi"/>
        </w:rPr>
        <w:t xml:space="preserve">, actions are taken into consideration to continue </w:t>
      </w:r>
      <w:r>
        <w:rPr>
          <w:rFonts w:asciiTheme="minorHAnsi" w:hAnsiTheme="minorHAnsi"/>
          <w:i/>
        </w:rPr>
        <w:t>their process of restructuring/reorganization and rendering more efficient;</w:t>
      </w:r>
    </w:p>
    <w:p w:rsidR="006A425D" w:rsidRPr="002C1741" w:rsidRDefault="006A425D" w:rsidP="006A425D">
      <w:pPr>
        <w:autoSpaceDE w:val="0"/>
        <w:autoSpaceDN w:val="0"/>
        <w:adjustRightInd w:val="0"/>
        <w:ind w:left="360"/>
        <w:jc w:val="both"/>
        <w:rPr>
          <w:rFonts w:asciiTheme="minorHAnsi" w:eastAsiaTheme="minorHAnsi" w:hAnsiTheme="minorHAnsi"/>
          <w:lang w:val="ro-RO"/>
        </w:rPr>
      </w:pPr>
    </w:p>
    <w:p w:rsidR="006A425D" w:rsidRPr="00BA6A25" w:rsidRDefault="006A425D" w:rsidP="00565476">
      <w:pPr>
        <w:pStyle w:val="ListParagraph"/>
        <w:keepNext/>
        <w:widowControl w:val="0"/>
        <w:numPr>
          <w:ilvl w:val="0"/>
          <w:numId w:val="173"/>
        </w:numPr>
        <w:tabs>
          <w:tab w:val="left" w:pos="993"/>
        </w:tabs>
        <w:autoSpaceDE w:val="0"/>
        <w:autoSpaceDN w:val="0"/>
        <w:adjustRightInd w:val="0"/>
        <w:spacing w:after="60" w:line="259" w:lineRule="auto"/>
        <w:jc w:val="both"/>
        <w:rPr>
          <w:rFonts w:ascii="Calibri" w:hAnsi="Calibri"/>
        </w:rPr>
      </w:pPr>
      <w:r>
        <w:rPr>
          <w:rFonts w:asciiTheme="minorHAnsi" w:hAnsiTheme="minorHAnsi"/>
          <w:b/>
          <w:color w:val="000000" w:themeColor="text1"/>
          <w:shd w:val="clear" w:color="auto" w:fill="D9D9D9" w:themeFill="background1" w:themeFillShade="D9"/>
        </w:rPr>
        <w:t>Consolidating public investments, especially in infrastructure</w:t>
      </w:r>
      <w:r>
        <w:rPr>
          <w:rFonts w:asciiTheme="minorHAnsi" w:hAnsiTheme="minorHAnsi"/>
          <w:color w:val="000000" w:themeColor="text1"/>
        </w:rPr>
        <w:t>,</w:t>
      </w:r>
      <w:r>
        <w:rPr>
          <w:rFonts w:asciiTheme="minorHAnsi" w:hAnsiTheme="minorHAnsi"/>
          <w:color w:val="000000"/>
        </w:rPr>
        <w:t xml:space="preserve"> is essential for a more balanced economic expansion.  </w:t>
      </w:r>
    </w:p>
    <w:p w:rsidR="002C487B" w:rsidRPr="002C487B" w:rsidRDefault="002C487B" w:rsidP="00565476">
      <w:pPr>
        <w:numPr>
          <w:ilvl w:val="0"/>
          <w:numId w:val="187"/>
        </w:numPr>
        <w:autoSpaceDE w:val="0"/>
        <w:autoSpaceDN w:val="0"/>
        <w:adjustRightInd w:val="0"/>
        <w:ind w:left="709"/>
        <w:jc w:val="both"/>
        <w:rPr>
          <w:rFonts w:ascii="Calibri" w:hAnsi="Calibri"/>
        </w:rPr>
      </w:pPr>
      <w:r>
        <w:rPr>
          <w:rFonts w:ascii="Calibri" w:hAnsi="Calibri"/>
          <w:b/>
          <w:color w:val="000066"/>
        </w:rPr>
        <w:t>In the field of transport,</w:t>
      </w:r>
      <w:r>
        <w:rPr>
          <w:rFonts w:ascii="Calibri" w:hAnsi="Calibri"/>
          <w:color w:val="000066"/>
        </w:rPr>
        <w:t xml:space="preserve">  </w:t>
      </w:r>
      <w:r>
        <w:rPr>
          <w:rFonts w:ascii="Calibri" w:hAnsi="Calibri"/>
        </w:rPr>
        <w:t xml:space="preserve">the strategic priorities for transport infrastructures and services for the period of 2019- 2022, refer </w:t>
      </w:r>
      <w:r w:rsidR="00F00F75">
        <w:rPr>
          <w:rFonts w:ascii="Calibri" w:hAnsi="Calibri"/>
        </w:rPr>
        <w:t>to:</w:t>
      </w:r>
      <w:r w:rsidR="00F00F75">
        <w:rPr>
          <w:rFonts w:ascii="Calibri" w:hAnsi="Calibri"/>
          <w:b/>
          <w:i/>
        </w:rPr>
        <w:t xml:space="preserve"> territorial</w:t>
      </w:r>
      <w:r>
        <w:rPr>
          <w:rFonts w:ascii="Calibri" w:hAnsi="Calibri"/>
          <w:b/>
          <w:i/>
        </w:rPr>
        <w:t xml:space="preserve"> cohesion,</w:t>
      </w:r>
      <w:r>
        <w:rPr>
          <w:rFonts w:ascii="Calibri" w:hAnsi="Calibri"/>
        </w:rPr>
        <w:t xml:space="preserve"> ensuring the interconnection of the national territory with the international routes, as well as regional interconnectivity, ensuring the basic infrastructure for the needs of modern transport economies, </w:t>
      </w:r>
      <w:r>
        <w:rPr>
          <w:rFonts w:ascii="Calibri" w:hAnsi="Calibri"/>
          <w:b/>
          <w:i/>
        </w:rPr>
        <w:t>efficiency</w:t>
      </w:r>
      <w:r>
        <w:rPr>
          <w:rFonts w:ascii="Calibri" w:hAnsi="Calibri"/>
        </w:rPr>
        <w:t xml:space="preserve">, through the elimination of blockages and delays with impact on the economic and social environment; </w:t>
      </w:r>
      <w:r>
        <w:rPr>
          <w:rFonts w:ascii="Calibri" w:hAnsi="Calibri"/>
          <w:b/>
          <w:i/>
        </w:rPr>
        <w:t>durability</w:t>
      </w:r>
      <w:r>
        <w:rPr>
          <w:rFonts w:ascii="Calibri" w:hAnsi="Calibri"/>
        </w:rPr>
        <w:t xml:space="preserve">, through the promotion and introduction of smart transport means, which are less pollutant, thus contributing to the achievement of the objectives of Europe 2020 Strategy. </w:t>
      </w:r>
      <w:r>
        <w:rPr>
          <w:rFonts w:ascii="Calibri" w:hAnsi="Calibri"/>
          <w:b/>
        </w:rPr>
        <w:t>The General Transport Master Plan</w:t>
      </w:r>
      <w:r>
        <w:rPr>
          <w:rFonts w:ascii="Calibri" w:hAnsi="Calibri"/>
        </w:rPr>
        <w:t xml:space="preserve"> (GTMP) elaborated for the period until 2020 and 2030 supplies the elements necessary for prioritization of the investments in the field of transport, for all modes of transport (road, railway, water, air), based on a multi-criteria analysis.</w:t>
      </w:r>
    </w:p>
    <w:p w:rsidR="002C487B" w:rsidRPr="002C1741" w:rsidRDefault="002C487B" w:rsidP="002C487B">
      <w:pPr>
        <w:keepNext/>
        <w:widowControl w:val="0"/>
        <w:tabs>
          <w:tab w:val="left" w:pos="993"/>
        </w:tabs>
        <w:autoSpaceDE w:val="0"/>
        <w:autoSpaceDN w:val="0"/>
        <w:adjustRightInd w:val="0"/>
        <w:spacing w:after="60" w:line="259" w:lineRule="auto"/>
        <w:ind w:left="709"/>
        <w:jc w:val="both"/>
        <w:rPr>
          <w:rFonts w:ascii="Calibri" w:hAnsi="Calibri"/>
          <w:lang w:val="ro-RO"/>
        </w:rPr>
      </w:pPr>
    </w:p>
    <w:p w:rsidR="006A425D" w:rsidRDefault="006A425D" w:rsidP="00565476">
      <w:pPr>
        <w:numPr>
          <w:ilvl w:val="0"/>
          <w:numId w:val="183"/>
        </w:numPr>
        <w:jc w:val="both"/>
        <w:rPr>
          <w:rFonts w:ascii="Calibri" w:hAnsi="Calibri" w:cs="Arial"/>
          <w:color w:val="000000" w:themeColor="text1"/>
        </w:rPr>
      </w:pPr>
      <w:r>
        <w:rPr>
          <w:rFonts w:ascii="Calibri" w:hAnsi="Calibri"/>
          <w:b/>
          <w:color w:val="000000" w:themeColor="text1"/>
        </w:rPr>
        <w:t>The establishment of the Development and Investment Fund managed by the National Commission for Strategy and Prognosis,</w:t>
      </w:r>
      <w:r>
        <w:rPr>
          <w:rFonts w:ascii="Calibri" w:hAnsi="Calibri"/>
          <w:color w:val="000000" w:themeColor="text1"/>
        </w:rPr>
        <w:t xml:space="preserve"> to finance the investment projects of the administrative-territorial units/subdivisions in main and secondary priority fields, like: health, education, water - sewerage, electricity network, and gas network, transport, roads, sanitation, culture, cults, sports, and residences. The Fund is also used to finance investment projects of universities.</w:t>
      </w:r>
    </w:p>
    <w:p w:rsidR="002C487B" w:rsidRDefault="002C487B" w:rsidP="002C487B">
      <w:pPr>
        <w:jc w:val="both"/>
        <w:rPr>
          <w:rFonts w:ascii="Calibri" w:hAnsi="Calibri" w:cs="Arial"/>
          <w:color w:val="000000" w:themeColor="text1"/>
          <w:lang w:val="fr-FR"/>
        </w:rPr>
      </w:pPr>
    </w:p>
    <w:p w:rsidR="002C487B" w:rsidRPr="003964D3" w:rsidRDefault="002C487B" w:rsidP="002C487B">
      <w:pPr>
        <w:jc w:val="both"/>
        <w:rPr>
          <w:rFonts w:ascii="Calibri" w:hAnsi="Calibri" w:cs="Arial"/>
          <w:color w:val="000000" w:themeColor="text1"/>
          <w:lang w:val="fr-FR"/>
        </w:rPr>
      </w:pPr>
    </w:p>
    <w:p w:rsidR="006A425D" w:rsidRPr="003964D3" w:rsidRDefault="006A425D" w:rsidP="00565476">
      <w:pPr>
        <w:numPr>
          <w:ilvl w:val="0"/>
          <w:numId w:val="206"/>
        </w:numPr>
        <w:jc w:val="both"/>
        <w:rPr>
          <w:rFonts w:ascii="Calibri" w:hAnsi="Calibri" w:cs="Arial"/>
          <w:color w:val="000000" w:themeColor="text1"/>
        </w:rPr>
      </w:pPr>
      <w:r>
        <w:rPr>
          <w:rFonts w:ascii="Calibri" w:hAnsi="Calibri"/>
          <w:color w:val="000000" w:themeColor="text1"/>
        </w:rPr>
        <w:t xml:space="preserve"> These projects are financed under the form of grants awarded from the Fund. </w:t>
      </w:r>
    </w:p>
    <w:p w:rsidR="006A425D" w:rsidRPr="003964D3" w:rsidRDefault="006A425D" w:rsidP="00565476">
      <w:pPr>
        <w:numPr>
          <w:ilvl w:val="0"/>
          <w:numId w:val="206"/>
        </w:numPr>
        <w:jc w:val="both"/>
        <w:rPr>
          <w:rFonts w:ascii="Calibri" w:hAnsi="Calibri" w:cs="Arial"/>
          <w:color w:val="000000" w:themeColor="text1"/>
        </w:rPr>
      </w:pPr>
      <w:r>
        <w:rPr>
          <w:rFonts w:ascii="Calibri" w:hAnsi="Calibri"/>
          <w:color w:val="000000" w:themeColor="text1"/>
        </w:rPr>
        <w:t>The Fund’s financing source is the loans in Lei awarded from the available funds of the general current account of the State treasury, within the limit of the amount 10,000 million EUR in Lei equivalent, calculated at the exchange rate of the NBR on the date of entry into force of this legislative act, for an interval of 20 years.</w:t>
      </w:r>
    </w:p>
    <w:p w:rsidR="006A425D" w:rsidRPr="003964D3" w:rsidRDefault="006A425D" w:rsidP="00565476">
      <w:pPr>
        <w:numPr>
          <w:ilvl w:val="0"/>
          <w:numId w:val="206"/>
        </w:numPr>
        <w:jc w:val="both"/>
        <w:rPr>
          <w:rFonts w:ascii="Calibri" w:hAnsi="Calibri" w:cs="Arial"/>
          <w:color w:val="000000" w:themeColor="text1"/>
        </w:rPr>
      </w:pPr>
      <w:r>
        <w:rPr>
          <w:rFonts w:ascii="Calibri" w:hAnsi="Calibri"/>
          <w:color w:val="000000" w:themeColor="text1"/>
        </w:rPr>
        <w:t>The investments eligible to be financed from the Fund are new investments and the extension/finalization of existing investments, consisting of constructions, modernizations and equipment.</w:t>
      </w:r>
    </w:p>
    <w:p w:rsidR="006A425D" w:rsidRPr="003964D3" w:rsidRDefault="006A425D" w:rsidP="00565476">
      <w:pPr>
        <w:numPr>
          <w:ilvl w:val="0"/>
          <w:numId w:val="206"/>
        </w:numPr>
        <w:jc w:val="both"/>
        <w:rPr>
          <w:rFonts w:ascii="Calibri" w:hAnsi="Calibri" w:cs="Arial"/>
          <w:color w:val="000000" w:themeColor="text1"/>
        </w:rPr>
      </w:pPr>
      <w:r>
        <w:rPr>
          <w:rFonts w:ascii="Calibri" w:hAnsi="Calibri"/>
          <w:color w:val="000000" w:themeColor="text1"/>
        </w:rPr>
        <w:t>The administrative-territorial units/subdivisions and the universities which benefit of grants from the Fund are required to return yearly for a fixed term of 20 years an amount representing their own contribution to the project.</w:t>
      </w:r>
    </w:p>
    <w:p w:rsidR="006A425D" w:rsidRPr="003C7CB5" w:rsidRDefault="006A425D" w:rsidP="006A425D">
      <w:pPr>
        <w:widowControl w:val="0"/>
        <w:spacing w:before="120"/>
        <w:ind w:left="720"/>
        <w:jc w:val="both"/>
        <w:rPr>
          <w:rFonts w:ascii="Calibri" w:hAnsi="Calibri" w:cs="Arial"/>
          <w:iCs/>
          <w:color w:val="000000" w:themeColor="text1"/>
          <w:lang w:val="ro-RO" w:eastAsia="ro-RO"/>
        </w:rPr>
      </w:pPr>
    </w:p>
    <w:p w:rsidR="006A425D" w:rsidRPr="003C7CB5" w:rsidRDefault="006A425D" w:rsidP="00565476">
      <w:pPr>
        <w:numPr>
          <w:ilvl w:val="0"/>
          <w:numId w:val="207"/>
        </w:numPr>
        <w:autoSpaceDE w:val="0"/>
        <w:autoSpaceDN w:val="0"/>
        <w:adjustRightInd w:val="0"/>
        <w:jc w:val="both"/>
        <w:rPr>
          <w:rFonts w:ascii="Calibri" w:hAnsi="Calibri"/>
          <w:color w:val="000000" w:themeColor="text1"/>
        </w:rPr>
      </w:pPr>
      <w:r>
        <w:rPr>
          <w:rFonts w:ascii="Calibri" w:hAnsi="Calibri"/>
          <w:b/>
          <w:iCs/>
          <w:color w:val="000000" w:themeColor="text1"/>
        </w:rPr>
        <w:t>Establishment of the Financing programme of investments for modernization and development of spa resorts, hereinafter referred to as the “Spa Resorts Programme”</w:t>
      </w:r>
      <w:r>
        <w:rPr>
          <w:rFonts w:ascii="Calibri" w:hAnsi="Calibri"/>
          <w:iCs/>
          <w:color w:val="000000" w:themeColor="text1"/>
        </w:rPr>
        <w:t xml:space="preserve">, financed entirely from the budget of the General Secretariat of the Government through the budget of the National Commission for Strategy and Prognosis. </w:t>
      </w:r>
      <w:r>
        <w:rPr>
          <w:rFonts w:ascii="Calibri" w:hAnsi="Calibri"/>
          <w:color w:val="000000" w:themeColor="text1"/>
        </w:rPr>
        <w:t>The Beneficiaries of the Spa Resorts Programme are the administrative-territorial units/subdivisions, hereinafter referred to as ATUs, and the companies incorporated in accordance with the provisions in the Companies Law no. 31/1990, republished, as subsequently amended and supplemented, and the allocated amounts are used in accordance with the destinations provided by GEO 114/2018.</w:t>
      </w:r>
    </w:p>
    <w:p w:rsidR="006A425D" w:rsidRPr="003C7CB5" w:rsidRDefault="006A425D" w:rsidP="00565476">
      <w:pPr>
        <w:numPr>
          <w:ilvl w:val="0"/>
          <w:numId w:val="208"/>
        </w:numPr>
        <w:autoSpaceDE w:val="0"/>
        <w:autoSpaceDN w:val="0"/>
        <w:adjustRightInd w:val="0"/>
        <w:jc w:val="both"/>
        <w:rPr>
          <w:rFonts w:ascii="Calibri" w:hAnsi="Calibri"/>
          <w:color w:val="000000" w:themeColor="text1"/>
        </w:rPr>
      </w:pPr>
      <w:r>
        <w:rPr>
          <w:rFonts w:ascii="Calibri" w:hAnsi="Calibri"/>
          <w:color w:val="000000" w:themeColor="text1"/>
        </w:rPr>
        <w:t>The profile and content of the activity in the investments made by the Spa Resorts Programme’s beneficiaries shall be maintained for at least 10 years as of the time of accessing of the amounts from this programme; otherwise, the beneficiaries will fully return the amounts obtained as financial aid in accordance with the legislation in the field of State aid.</w:t>
      </w:r>
    </w:p>
    <w:p w:rsidR="006A425D" w:rsidRPr="003C7CB5" w:rsidRDefault="006A425D" w:rsidP="00565476">
      <w:pPr>
        <w:numPr>
          <w:ilvl w:val="0"/>
          <w:numId w:val="208"/>
        </w:numPr>
        <w:autoSpaceDE w:val="0"/>
        <w:autoSpaceDN w:val="0"/>
        <w:adjustRightInd w:val="0"/>
        <w:jc w:val="both"/>
        <w:rPr>
          <w:rFonts w:ascii="Calibri" w:hAnsi="Calibri"/>
          <w:color w:val="000000" w:themeColor="text1"/>
        </w:rPr>
      </w:pPr>
      <w:r>
        <w:rPr>
          <w:rFonts w:ascii="Calibri" w:hAnsi="Calibri"/>
          <w:color w:val="000000" w:themeColor="text1"/>
        </w:rPr>
        <w:t>The investment projects implemented within the Spa Resorts Programme must be carried out within at most 12 months as of the conclusion of the financing agreement.</w:t>
      </w:r>
    </w:p>
    <w:p w:rsidR="006A425D" w:rsidRPr="005E0909" w:rsidRDefault="006A425D" w:rsidP="006A425D">
      <w:pPr>
        <w:spacing w:before="120" w:after="120"/>
        <w:ind w:left="284"/>
        <w:contextualSpacing/>
        <w:jc w:val="both"/>
        <w:rPr>
          <w:rFonts w:ascii="Calibri" w:hAnsi="Calibri" w:cs="Arial"/>
          <w:color w:val="000000" w:themeColor="text1"/>
        </w:rPr>
      </w:pPr>
      <w:r>
        <w:rPr>
          <w:rFonts w:ascii="Calibri" w:hAnsi="Calibri"/>
        </w:rPr>
        <w:tab/>
        <w:t>For this program it is foreseen to be made in 2019 commitments of 400 million Lei and payments of 80 million Lei.</w:t>
      </w:r>
    </w:p>
    <w:p w:rsidR="006A425D" w:rsidRPr="005E0909" w:rsidRDefault="006A425D" w:rsidP="006A425D">
      <w:pPr>
        <w:autoSpaceDE w:val="0"/>
        <w:autoSpaceDN w:val="0"/>
        <w:adjustRightInd w:val="0"/>
        <w:ind w:left="709"/>
        <w:jc w:val="both"/>
        <w:rPr>
          <w:rFonts w:ascii="Calibri" w:hAnsi="Calibri"/>
          <w:color w:val="000000" w:themeColor="text1"/>
          <w:lang w:val="ro-RO"/>
        </w:rPr>
      </w:pPr>
    </w:p>
    <w:p w:rsidR="006A425D" w:rsidRPr="003C7CB5" w:rsidRDefault="006A425D" w:rsidP="006A425D">
      <w:pPr>
        <w:spacing w:before="120" w:after="120"/>
        <w:ind w:left="284"/>
        <w:contextualSpacing/>
        <w:jc w:val="both"/>
        <w:rPr>
          <w:rFonts w:ascii="Calibri" w:hAnsi="Calibri"/>
          <w:color w:val="000000" w:themeColor="text1"/>
          <w:lang w:val="ro-RO"/>
        </w:rPr>
      </w:pPr>
    </w:p>
    <w:p w:rsidR="006A425D" w:rsidRPr="002C1741" w:rsidRDefault="006A425D" w:rsidP="00565476">
      <w:pPr>
        <w:numPr>
          <w:ilvl w:val="0"/>
          <w:numId w:val="183"/>
        </w:numPr>
        <w:spacing w:after="120" w:line="276" w:lineRule="auto"/>
        <w:contextualSpacing/>
        <w:jc w:val="both"/>
        <w:rPr>
          <w:rFonts w:asciiTheme="minorHAnsi" w:eastAsia="Calibri" w:hAnsiTheme="minorHAnsi"/>
          <w:szCs w:val="22"/>
        </w:rPr>
      </w:pPr>
      <w:r>
        <w:rPr>
          <w:rFonts w:asciiTheme="minorHAnsi" w:hAnsiTheme="minorHAnsi"/>
          <w:szCs w:val="22"/>
        </w:rPr>
        <w:t xml:space="preserve">For the </w:t>
      </w:r>
      <w:r>
        <w:rPr>
          <w:rFonts w:asciiTheme="minorHAnsi" w:hAnsiTheme="minorHAnsi"/>
          <w:b/>
          <w:bCs/>
          <w:i/>
          <w:iCs/>
          <w:color w:val="000048"/>
          <w:szCs w:val="22"/>
        </w:rPr>
        <w:t xml:space="preserve">National Local Development Program </w:t>
      </w:r>
      <w:r>
        <w:rPr>
          <w:rFonts w:asciiTheme="minorHAnsi" w:hAnsiTheme="minorHAnsi"/>
          <w:szCs w:val="22"/>
        </w:rPr>
        <w:t>(PNDL) was established stage II, seeking in the first place to make a balanced distribution of funds from the State budget on counties, based on indicators, and then, to allocate them inside the counties, on several steps, considering guiding principles for project selection. Correlating financing sources, avoiding double financing and harmonizing the technical selection criteria for the investment projects remain in the attention of the MRDPA in the following period as well.</w:t>
      </w:r>
    </w:p>
    <w:p w:rsidR="006A425D" w:rsidRPr="003964D3" w:rsidRDefault="006A425D" w:rsidP="006A425D">
      <w:pPr>
        <w:widowControl w:val="0"/>
        <w:numPr>
          <w:ilvl w:val="0"/>
          <w:numId w:val="168"/>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before="120" w:after="120" w:line="276" w:lineRule="auto"/>
        <w:ind w:left="993" w:hanging="284"/>
        <w:contextualSpacing/>
        <w:jc w:val="both"/>
        <w:rPr>
          <w:rFonts w:asciiTheme="minorHAnsi" w:hAnsiTheme="minorHAnsi"/>
          <w:i/>
          <w:color w:val="000048"/>
        </w:rPr>
      </w:pPr>
      <w:r>
        <w:rPr>
          <w:rFonts w:asciiTheme="minorHAnsi" w:hAnsiTheme="minorHAnsi"/>
          <w:b/>
          <w:color w:val="000048"/>
          <w:szCs w:val="22"/>
          <w:shd w:val="clear" w:color="auto" w:fill="D9D9D9" w:themeFill="background1" w:themeFillShade="D9"/>
        </w:rPr>
        <w:t xml:space="preserve">Increasing the degree of absorption of structural and cohesion funds; </w:t>
      </w:r>
      <w:r>
        <w:rPr>
          <w:rFonts w:ascii="Calibri" w:hAnsi="Calibri"/>
          <w:color w:val="000048"/>
          <w:szCs w:val="22"/>
        </w:rPr>
        <w:t xml:space="preserve"> </w:t>
      </w:r>
    </w:p>
    <w:p w:rsidR="006A425D" w:rsidRPr="002C1741" w:rsidRDefault="006A425D" w:rsidP="006A425D">
      <w:pPr>
        <w:spacing w:line="276" w:lineRule="auto"/>
        <w:contextualSpacing/>
        <w:jc w:val="both"/>
        <w:textAlignment w:val="baseline"/>
        <w:rPr>
          <w:rFonts w:ascii="Calibri" w:eastAsia="Calibri" w:hAnsi="Calibri" w:cs="Arial"/>
          <w:szCs w:val="22"/>
        </w:rPr>
      </w:pPr>
      <w:r>
        <w:rPr>
          <w:rFonts w:ascii="Calibri" w:hAnsi="Calibri"/>
          <w:szCs w:val="22"/>
        </w:rPr>
        <w:t xml:space="preserve">European funds are a central element of budget sustainability, through the investment strategy and the non-reimbursable nature thereof. Creating the legislative and institutional framework in the field of ESI will allow the increase of absorption on the reference horizon, with role of stimulating economic activity.  </w:t>
      </w:r>
    </w:p>
    <w:p w:rsidR="006A425D" w:rsidRPr="002C1741" w:rsidRDefault="006A425D" w:rsidP="00565476">
      <w:pPr>
        <w:numPr>
          <w:ilvl w:val="0"/>
          <w:numId w:val="184"/>
        </w:numPr>
        <w:spacing w:before="120" w:after="120" w:line="276" w:lineRule="auto"/>
        <w:contextualSpacing/>
        <w:jc w:val="both"/>
        <w:rPr>
          <w:rFonts w:ascii="Calibri" w:eastAsia="Calibri" w:hAnsi="Calibri" w:cs="Arial"/>
          <w:bCs/>
          <w:sz w:val="22"/>
          <w:szCs w:val="22"/>
          <w:u w:val="single"/>
        </w:rPr>
      </w:pPr>
      <w:r>
        <w:rPr>
          <w:rFonts w:ascii="Calibri" w:hAnsi="Calibri"/>
          <w:szCs w:val="22"/>
        </w:rPr>
        <w:t>The value of payment applications that was declared to the European Commission is of 16.73 billion EUR</w:t>
      </w:r>
      <w:r>
        <w:rPr>
          <w:rFonts w:ascii="Calibri" w:hAnsi="Calibri"/>
          <w:b/>
          <w:color w:val="000048"/>
          <w:szCs w:val="22"/>
        </w:rPr>
        <w:t>, which is a current absorption rate</w:t>
      </w:r>
      <w:r w:rsidRPr="002C1741">
        <w:rPr>
          <w:rFonts w:ascii="Calibri" w:eastAsia="Calibri" w:hAnsi="Calibri" w:cs="Arial"/>
          <w:b/>
          <w:color w:val="000048"/>
          <w:szCs w:val="22"/>
          <w:vertAlign w:val="superscript"/>
          <w:lang w:val="ro-RO" w:eastAsia="zh-CN"/>
        </w:rPr>
        <w:footnoteReference w:id="1"/>
      </w:r>
      <w:r>
        <w:rPr>
          <w:rFonts w:ascii="Calibri" w:hAnsi="Calibri"/>
          <w:b/>
          <w:color w:val="000048"/>
          <w:szCs w:val="22"/>
        </w:rPr>
        <w:t xml:space="preserve"> of approx. 95.23% of the EU allocation for the period 2007 - 2013.</w:t>
      </w:r>
    </w:p>
    <w:p w:rsidR="006A425D" w:rsidRPr="002C1741" w:rsidRDefault="006A425D" w:rsidP="00565476">
      <w:pPr>
        <w:numPr>
          <w:ilvl w:val="0"/>
          <w:numId w:val="184"/>
        </w:numPr>
        <w:tabs>
          <w:tab w:val="left" w:pos="426"/>
        </w:tabs>
        <w:spacing w:before="120" w:after="120" w:line="276" w:lineRule="auto"/>
        <w:contextualSpacing/>
        <w:jc w:val="both"/>
        <w:rPr>
          <w:rFonts w:ascii="Calibri" w:eastAsia="Calibri" w:hAnsi="Calibri" w:cs="Arial"/>
          <w:b/>
          <w:color w:val="000048"/>
          <w:szCs w:val="22"/>
        </w:rPr>
      </w:pPr>
      <w:r>
        <w:rPr>
          <w:rFonts w:ascii="Calibri" w:hAnsi="Calibri"/>
          <w:szCs w:val="22"/>
        </w:rPr>
        <w:t xml:space="preserve">The total amount received by Romania from the European Commission for the period 2007-2013 is of 16.99 billion EUR, which represents approx. 96.69% of the EU allocation for the period 2007 – 2013, </w:t>
      </w:r>
      <w:r>
        <w:rPr>
          <w:rFonts w:ascii="Calibri" w:hAnsi="Calibri"/>
          <w:b/>
          <w:color w:val="000048"/>
          <w:szCs w:val="22"/>
        </w:rPr>
        <w:t>the reimbursement rate</w:t>
      </w:r>
      <w:r w:rsidRPr="002C1741">
        <w:rPr>
          <w:rFonts w:ascii="Calibri" w:eastAsia="Calibri" w:hAnsi="Calibri" w:cs="Arial"/>
          <w:b/>
          <w:color w:val="000048"/>
          <w:szCs w:val="22"/>
          <w:vertAlign w:val="superscript"/>
          <w:lang w:val="ro-RO" w:eastAsia="zh-CN"/>
        </w:rPr>
        <w:footnoteReference w:id="2"/>
      </w:r>
      <w:r>
        <w:rPr>
          <w:rFonts w:ascii="Calibri" w:hAnsi="Calibri"/>
          <w:b/>
          <w:color w:val="000048"/>
          <w:szCs w:val="22"/>
        </w:rPr>
        <w:t xml:space="preserve"> being of 84.7% of the total allocated for the period 2007 - 2013.</w:t>
      </w:r>
    </w:p>
    <w:p w:rsidR="006A425D" w:rsidRPr="002C1741" w:rsidRDefault="006A425D" w:rsidP="006A425D">
      <w:pPr>
        <w:suppressAutoHyphens/>
        <w:spacing w:before="120" w:after="120"/>
        <w:ind w:firstLine="360"/>
        <w:jc w:val="both"/>
        <w:rPr>
          <w:rFonts w:ascii="Calibri" w:hAnsi="Calibri" w:cs="Arial"/>
        </w:rPr>
      </w:pPr>
      <w:r>
        <w:rPr>
          <w:rFonts w:ascii="Calibri" w:hAnsi="Calibri"/>
        </w:rPr>
        <w:t>In the financial exercise 2014-2020, Romania’s total allocation is of over 43 billion EUR, of which 22.9 billion EUR through the Cohesion Policy and approximately 20 billion EUR through the Common Agricultural Policy and the Integrated Marine Policy.</w:t>
      </w:r>
    </w:p>
    <w:p w:rsidR="006A425D" w:rsidRPr="002C1741" w:rsidRDefault="006A425D" w:rsidP="006A425D">
      <w:pPr>
        <w:suppressAutoHyphens/>
        <w:spacing w:before="120" w:after="120"/>
        <w:ind w:firstLine="709"/>
        <w:jc w:val="both"/>
        <w:rPr>
          <w:rFonts w:ascii="Calibri" w:hAnsi="Calibri" w:cs="Arial"/>
        </w:rPr>
      </w:pPr>
      <w:r>
        <w:rPr>
          <w:rFonts w:ascii="Calibri" w:hAnsi="Calibri"/>
        </w:rPr>
        <w:t xml:space="preserve">The Operational Programs supported through the ESIF 2014-2020 are supplemented by the Operational Program of Aid for the Most Deprived, with financing from the Fund for European Aid to the Most Deprived (FEAMD), with a total allocation of 519 million EUR (of which the EU contribution is of 441 million EUR) for the period 2014-2020 and the European Territorial Cooperation Programs, with a total allocation of approx. 787 (of which the EU contribution is of approx. 670 million EUR) million EUR from funds corresponding to the objective of European territorial cooperation.   </w:t>
      </w:r>
    </w:p>
    <w:p w:rsidR="006A425D" w:rsidRPr="003964D3" w:rsidRDefault="006A425D" w:rsidP="006A425D">
      <w:pPr>
        <w:widowControl w:val="0"/>
        <w:numPr>
          <w:ilvl w:val="0"/>
          <w:numId w:val="168"/>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before="120" w:after="120" w:line="276" w:lineRule="auto"/>
        <w:ind w:left="993" w:hanging="426"/>
        <w:contextualSpacing/>
        <w:jc w:val="both"/>
        <w:rPr>
          <w:rFonts w:asciiTheme="minorHAnsi" w:hAnsiTheme="minorHAnsi"/>
          <w:i/>
          <w:color w:val="000048"/>
        </w:rPr>
      </w:pPr>
      <w:r>
        <w:rPr>
          <w:rFonts w:asciiTheme="minorHAnsi" w:hAnsiTheme="minorHAnsi"/>
          <w:i/>
          <w:color w:val="000048"/>
        </w:rPr>
        <w:t>The Government intends to accelerate the rhythm of spending European Funds in order to reach a rate of 72.5% by December 31, 2020 and of 100% by December 31, 2023</w:t>
      </w:r>
      <w:r w:rsidRPr="002C1741">
        <w:rPr>
          <w:rFonts w:asciiTheme="minorHAnsi" w:hAnsiTheme="minorHAnsi"/>
          <w:i/>
          <w:color w:val="000048"/>
          <w:vertAlign w:val="superscript"/>
        </w:rPr>
        <w:footnoteReference w:id="3"/>
      </w:r>
      <w:r>
        <w:rPr>
          <w:rFonts w:asciiTheme="minorHAnsi" w:hAnsiTheme="minorHAnsi"/>
          <w:i/>
          <w:color w:val="000048"/>
        </w:rPr>
        <w:t>.</w:t>
      </w:r>
    </w:p>
    <w:p w:rsidR="006A425D" w:rsidRPr="003964D3" w:rsidRDefault="006A425D" w:rsidP="006A425D">
      <w:pPr>
        <w:widowControl w:val="0"/>
        <w:autoSpaceDE w:val="0"/>
        <w:autoSpaceDN w:val="0"/>
        <w:adjustRightInd w:val="0"/>
        <w:spacing w:after="120"/>
        <w:contextualSpacing/>
        <w:jc w:val="both"/>
        <w:rPr>
          <w:rFonts w:asciiTheme="minorHAnsi" w:hAnsiTheme="minorHAnsi"/>
          <w:i/>
          <w:color w:val="002060"/>
          <w:lang w:val="fr-FR"/>
        </w:rPr>
      </w:pPr>
    </w:p>
    <w:p w:rsidR="006A425D" w:rsidRPr="002C1741" w:rsidRDefault="006A425D" w:rsidP="006A425D">
      <w:pPr>
        <w:widowControl w:val="0"/>
        <w:autoSpaceDE w:val="0"/>
        <w:autoSpaceDN w:val="0"/>
        <w:adjustRightInd w:val="0"/>
        <w:spacing w:after="120"/>
        <w:contextualSpacing/>
        <w:jc w:val="both"/>
        <w:rPr>
          <w:rFonts w:ascii="Calibri" w:hAnsi="Calibri" w:cs="Arial"/>
          <w:color w:val="000080"/>
          <w:lang w:val="ro-RO"/>
        </w:rPr>
      </w:pPr>
    </w:p>
    <w:tbl>
      <w:tblPr>
        <w:tblW w:w="0" w:type="auto"/>
        <w:shd w:val="clear" w:color="auto" w:fill="E0E0E0"/>
        <w:tblLook w:val="01E0" w:firstRow="1" w:lastRow="1" w:firstColumn="1" w:lastColumn="1" w:noHBand="0" w:noVBand="0"/>
      </w:tblPr>
      <w:tblGrid>
        <w:gridCol w:w="9856"/>
      </w:tblGrid>
      <w:tr w:rsidR="006A425D" w:rsidRPr="008368B9" w:rsidTr="006A425D">
        <w:tc>
          <w:tcPr>
            <w:tcW w:w="9856" w:type="dxa"/>
            <w:shd w:val="clear" w:color="auto" w:fill="E0E0E0"/>
          </w:tcPr>
          <w:p w:rsidR="006A425D" w:rsidRPr="002C1741" w:rsidRDefault="006A425D" w:rsidP="006A425D">
            <w:pPr>
              <w:spacing w:before="120" w:after="100" w:line="269" w:lineRule="auto"/>
              <w:ind w:left="720" w:hanging="270"/>
              <w:jc w:val="both"/>
              <w:rPr>
                <w:rFonts w:ascii="Calibri" w:eastAsia="Calibri" w:hAnsi="Calibri"/>
                <w:b/>
                <w:color w:val="000048"/>
              </w:rPr>
            </w:pPr>
            <w:r>
              <w:rPr>
                <w:rFonts w:ascii="Calibri" w:hAnsi="Calibri"/>
                <w:b/>
                <w:color w:val="000080"/>
              </w:rPr>
              <w:t>2</w:t>
            </w:r>
            <w:r>
              <w:rPr>
                <w:rFonts w:ascii="Calibri" w:hAnsi="Calibri"/>
                <w:b/>
                <w:color w:val="000048"/>
              </w:rPr>
              <w:t>. Allocating important amounts to support public investments through prioritization of significant public investments</w:t>
            </w:r>
            <w:r>
              <w:rPr>
                <w:b/>
                <w:color w:val="000048"/>
              </w:rPr>
              <w:t xml:space="preserve"> to ensure infrastructure and services, to improve life quality, with multiplier effect and direct contribution to gross fixed capital formation;</w:t>
            </w:r>
          </w:p>
          <w:p w:rsidR="006A425D" w:rsidRPr="002C1741" w:rsidRDefault="006A425D" w:rsidP="006A425D">
            <w:pPr>
              <w:contextualSpacing/>
              <w:textAlignment w:val="baseline"/>
              <w:rPr>
                <w:rFonts w:ascii="Calibri" w:hAnsi="Calibri" w:cs="Arial"/>
                <w:color w:val="000080"/>
                <w:lang w:val="ro-RO"/>
              </w:rPr>
            </w:pPr>
          </w:p>
        </w:tc>
      </w:tr>
    </w:tbl>
    <w:p w:rsidR="006A425D" w:rsidRDefault="006A425D" w:rsidP="006A425D">
      <w:pPr>
        <w:contextualSpacing/>
        <w:textAlignment w:val="baseline"/>
        <w:rPr>
          <w:rFonts w:ascii="Calibri" w:hAnsi="Calibri" w:cs="Arial"/>
          <w:color w:val="000080"/>
          <w:lang w:val="ro-RO"/>
        </w:rPr>
      </w:pPr>
    </w:p>
    <w:p w:rsidR="00BF22CD" w:rsidRPr="002C1741" w:rsidRDefault="00BF22CD" w:rsidP="006A425D">
      <w:pPr>
        <w:contextualSpacing/>
        <w:textAlignment w:val="baseline"/>
        <w:rPr>
          <w:rFonts w:ascii="Calibri" w:hAnsi="Calibri" w:cs="Arial"/>
          <w:color w:val="000080"/>
          <w:lang w:val="ro-RO"/>
        </w:rPr>
      </w:pPr>
    </w:p>
    <w:p w:rsidR="006A425D" w:rsidRDefault="006A425D" w:rsidP="006A425D">
      <w:pPr>
        <w:autoSpaceDE w:val="0"/>
        <w:autoSpaceDN w:val="0"/>
        <w:adjustRightInd w:val="0"/>
        <w:jc w:val="both"/>
        <w:rPr>
          <w:rFonts w:ascii="Calibri" w:hAnsi="Calibri" w:cs="Arial"/>
          <w:b/>
          <w:color w:val="000066"/>
        </w:rPr>
      </w:pPr>
      <w:r>
        <w:rPr>
          <w:rFonts w:ascii="Calibri" w:hAnsi="Calibri"/>
          <w:b/>
          <w:color w:val="000066"/>
        </w:rPr>
        <w:t>Investment expenditure between 2017 and 2021</w:t>
      </w:r>
    </w:p>
    <w:p w:rsidR="006A425D" w:rsidRDefault="006A425D" w:rsidP="006A425D">
      <w:pPr>
        <w:autoSpaceDE w:val="0"/>
        <w:autoSpaceDN w:val="0"/>
        <w:adjustRightInd w:val="0"/>
        <w:jc w:val="both"/>
        <w:rPr>
          <w:rFonts w:ascii="Calibri" w:hAnsi="Calibri" w:cs="Arial"/>
          <w:b/>
          <w:color w:val="000066"/>
          <w:lang w:val="ro-RO"/>
        </w:rPr>
      </w:pPr>
    </w:p>
    <w:tbl>
      <w:tblPr>
        <w:tblW w:w="8502" w:type="dxa"/>
        <w:jc w:val="center"/>
        <w:tblLayout w:type="fixed"/>
        <w:tblLook w:val="0000" w:firstRow="0" w:lastRow="0" w:firstColumn="0" w:lastColumn="0" w:noHBand="0" w:noVBand="0"/>
      </w:tblPr>
      <w:tblGrid>
        <w:gridCol w:w="2562"/>
        <w:gridCol w:w="1080"/>
        <w:gridCol w:w="1260"/>
        <w:gridCol w:w="1260"/>
        <w:gridCol w:w="1260"/>
        <w:gridCol w:w="1080"/>
      </w:tblGrid>
      <w:tr w:rsidR="006A425D" w:rsidRPr="001B7F00" w:rsidTr="006A425D">
        <w:trPr>
          <w:trHeight w:val="315"/>
          <w:jc w:val="center"/>
        </w:trPr>
        <w:tc>
          <w:tcPr>
            <w:tcW w:w="2562" w:type="dxa"/>
            <w:tcBorders>
              <w:top w:val="nil"/>
            </w:tcBorders>
            <w:shd w:val="clear" w:color="auto" w:fill="99CCFF"/>
          </w:tcPr>
          <w:p w:rsidR="006A425D" w:rsidRPr="001B7F00" w:rsidRDefault="006A425D" w:rsidP="006A425D">
            <w:pPr>
              <w:spacing w:line="360" w:lineRule="auto"/>
              <w:rPr>
                <w:rFonts w:ascii="Calibri" w:hAnsi="Calibri" w:cs="Arial"/>
                <w:lang w:val="ro-RO"/>
              </w:rPr>
            </w:pPr>
          </w:p>
        </w:tc>
        <w:tc>
          <w:tcPr>
            <w:tcW w:w="1080" w:type="dxa"/>
            <w:tcBorders>
              <w:top w:val="nil"/>
            </w:tcBorders>
            <w:shd w:val="clear" w:color="auto" w:fill="99CCFF"/>
          </w:tcPr>
          <w:p w:rsidR="006A425D" w:rsidRPr="001B7F00" w:rsidRDefault="006A425D" w:rsidP="006A425D">
            <w:pPr>
              <w:spacing w:line="360" w:lineRule="auto"/>
              <w:jc w:val="center"/>
              <w:rPr>
                <w:rFonts w:ascii="Calibri" w:hAnsi="Calibri" w:cs="Arial"/>
                <w:b/>
                <w:bCs/>
              </w:rPr>
            </w:pPr>
            <w:r>
              <w:rPr>
                <w:rFonts w:ascii="Calibri" w:hAnsi="Calibri"/>
                <w:b/>
                <w:bCs/>
              </w:rPr>
              <w:t>2017</w:t>
            </w:r>
          </w:p>
        </w:tc>
        <w:tc>
          <w:tcPr>
            <w:tcW w:w="1260" w:type="dxa"/>
            <w:tcBorders>
              <w:top w:val="nil"/>
            </w:tcBorders>
            <w:shd w:val="clear" w:color="auto" w:fill="99CCFF"/>
          </w:tcPr>
          <w:p w:rsidR="006A425D" w:rsidRPr="001B7F00" w:rsidRDefault="006A425D" w:rsidP="006A425D">
            <w:pPr>
              <w:spacing w:line="360" w:lineRule="auto"/>
              <w:jc w:val="center"/>
              <w:rPr>
                <w:rFonts w:ascii="Calibri" w:hAnsi="Calibri" w:cs="Arial"/>
                <w:b/>
                <w:bCs/>
              </w:rPr>
            </w:pPr>
            <w:r>
              <w:rPr>
                <w:rFonts w:ascii="Calibri" w:hAnsi="Calibri"/>
                <w:b/>
                <w:bCs/>
              </w:rPr>
              <w:t>2018</w:t>
            </w:r>
          </w:p>
        </w:tc>
        <w:tc>
          <w:tcPr>
            <w:tcW w:w="1260" w:type="dxa"/>
            <w:tcBorders>
              <w:top w:val="nil"/>
            </w:tcBorders>
            <w:shd w:val="clear" w:color="auto" w:fill="99CCFF"/>
          </w:tcPr>
          <w:p w:rsidR="006A425D" w:rsidRPr="001B7F00" w:rsidRDefault="006A425D" w:rsidP="006A425D">
            <w:pPr>
              <w:spacing w:line="360" w:lineRule="auto"/>
              <w:jc w:val="center"/>
              <w:rPr>
                <w:rFonts w:ascii="Calibri" w:hAnsi="Calibri" w:cs="Arial"/>
                <w:b/>
                <w:bCs/>
              </w:rPr>
            </w:pPr>
            <w:r>
              <w:rPr>
                <w:rFonts w:ascii="Calibri" w:hAnsi="Calibri"/>
                <w:b/>
                <w:bCs/>
              </w:rPr>
              <w:t>2019</w:t>
            </w:r>
          </w:p>
        </w:tc>
        <w:tc>
          <w:tcPr>
            <w:tcW w:w="1260" w:type="dxa"/>
            <w:tcBorders>
              <w:top w:val="nil"/>
            </w:tcBorders>
            <w:shd w:val="clear" w:color="auto" w:fill="99CCFF"/>
          </w:tcPr>
          <w:p w:rsidR="006A425D" w:rsidRPr="001B7F00" w:rsidRDefault="006A425D" w:rsidP="006A425D">
            <w:pPr>
              <w:spacing w:line="360" w:lineRule="auto"/>
              <w:jc w:val="center"/>
              <w:rPr>
                <w:rFonts w:ascii="Calibri" w:hAnsi="Calibri" w:cs="Arial"/>
                <w:b/>
                <w:bCs/>
              </w:rPr>
            </w:pPr>
            <w:r>
              <w:rPr>
                <w:rFonts w:ascii="Calibri" w:hAnsi="Calibri"/>
                <w:b/>
                <w:bCs/>
              </w:rPr>
              <w:t>2020</w:t>
            </w:r>
          </w:p>
        </w:tc>
        <w:tc>
          <w:tcPr>
            <w:tcW w:w="1080" w:type="dxa"/>
            <w:tcBorders>
              <w:top w:val="nil"/>
            </w:tcBorders>
            <w:shd w:val="clear" w:color="auto" w:fill="99CCFF"/>
          </w:tcPr>
          <w:p w:rsidR="006A425D" w:rsidRPr="001B7F00" w:rsidRDefault="006A425D" w:rsidP="006A425D">
            <w:pPr>
              <w:spacing w:line="360" w:lineRule="auto"/>
              <w:jc w:val="center"/>
              <w:rPr>
                <w:rFonts w:ascii="Calibri" w:hAnsi="Calibri" w:cs="Arial"/>
                <w:b/>
                <w:bCs/>
              </w:rPr>
            </w:pPr>
            <w:r>
              <w:rPr>
                <w:rFonts w:ascii="Calibri" w:hAnsi="Calibri"/>
                <w:b/>
                <w:bCs/>
              </w:rPr>
              <w:t>2021</w:t>
            </w:r>
          </w:p>
        </w:tc>
      </w:tr>
      <w:tr w:rsidR="006A425D" w:rsidRPr="001B7F00" w:rsidTr="006A425D">
        <w:trPr>
          <w:trHeight w:val="315"/>
          <w:jc w:val="center"/>
        </w:trPr>
        <w:tc>
          <w:tcPr>
            <w:tcW w:w="2562" w:type="dxa"/>
            <w:shd w:val="clear" w:color="auto" w:fill="99CCFF"/>
            <w:vAlign w:val="center"/>
          </w:tcPr>
          <w:p w:rsidR="006A425D" w:rsidRPr="001B7F00" w:rsidRDefault="006A425D" w:rsidP="006A425D">
            <w:pPr>
              <w:spacing w:line="360" w:lineRule="auto"/>
              <w:rPr>
                <w:rFonts w:ascii="Calibri" w:hAnsi="Calibri" w:cs="Arial"/>
                <w:lang w:val="ro-RO"/>
              </w:rPr>
            </w:pPr>
          </w:p>
        </w:tc>
        <w:tc>
          <w:tcPr>
            <w:tcW w:w="1080" w:type="dxa"/>
            <w:tcBorders>
              <w:right w:val="nil"/>
            </w:tcBorders>
            <w:shd w:val="clear" w:color="auto" w:fill="99CCFF"/>
            <w:vAlign w:val="center"/>
          </w:tcPr>
          <w:p w:rsidR="006A425D" w:rsidRPr="001B7F00" w:rsidRDefault="006A425D" w:rsidP="006A425D">
            <w:pPr>
              <w:spacing w:line="360" w:lineRule="auto"/>
              <w:jc w:val="center"/>
              <w:rPr>
                <w:rFonts w:ascii="Calibri" w:hAnsi="Calibri" w:cs="Arial"/>
                <w:b/>
                <w:bCs/>
                <w:sz w:val="20"/>
                <w:szCs w:val="20"/>
              </w:rPr>
            </w:pPr>
            <w:r>
              <w:rPr>
                <w:rFonts w:ascii="Calibri" w:hAnsi="Calibri"/>
                <w:b/>
                <w:bCs/>
                <w:sz w:val="20"/>
                <w:szCs w:val="20"/>
              </w:rPr>
              <w:t>achievements</w:t>
            </w:r>
          </w:p>
        </w:tc>
        <w:tc>
          <w:tcPr>
            <w:tcW w:w="1260" w:type="dxa"/>
            <w:tcBorders>
              <w:left w:val="nil"/>
              <w:right w:val="nil"/>
            </w:tcBorders>
            <w:shd w:val="clear" w:color="auto" w:fill="99CCFF"/>
          </w:tcPr>
          <w:p w:rsidR="006A425D" w:rsidRPr="001B7F00" w:rsidRDefault="006A425D" w:rsidP="006A425D">
            <w:pPr>
              <w:spacing w:line="360" w:lineRule="auto"/>
              <w:jc w:val="center"/>
              <w:rPr>
                <w:rFonts w:ascii="Calibri" w:hAnsi="Calibri" w:cs="Arial"/>
                <w:b/>
                <w:bCs/>
                <w:sz w:val="20"/>
                <w:szCs w:val="20"/>
              </w:rPr>
            </w:pPr>
            <w:r>
              <w:rPr>
                <w:rFonts w:ascii="Calibri" w:hAnsi="Calibri"/>
                <w:b/>
                <w:bCs/>
                <w:sz w:val="20"/>
                <w:szCs w:val="20"/>
              </w:rPr>
              <w:t>execution</w:t>
            </w:r>
          </w:p>
          <w:p w:rsidR="006A425D" w:rsidRPr="001B7F00" w:rsidRDefault="006A425D" w:rsidP="006A425D">
            <w:pPr>
              <w:spacing w:line="360" w:lineRule="auto"/>
              <w:jc w:val="center"/>
              <w:rPr>
                <w:rFonts w:ascii="Calibri" w:hAnsi="Calibri" w:cs="Arial"/>
                <w:b/>
                <w:bCs/>
                <w:sz w:val="20"/>
                <w:szCs w:val="20"/>
              </w:rPr>
            </w:pPr>
            <w:r>
              <w:rPr>
                <w:rFonts w:ascii="Calibri" w:hAnsi="Calibri"/>
                <w:b/>
                <w:bCs/>
                <w:sz w:val="20"/>
                <w:szCs w:val="20"/>
              </w:rPr>
              <w:t>preliminary</w:t>
            </w:r>
          </w:p>
        </w:tc>
        <w:tc>
          <w:tcPr>
            <w:tcW w:w="1260" w:type="dxa"/>
            <w:tcBorders>
              <w:left w:val="nil"/>
              <w:right w:val="nil"/>
            </w:tcBorders>
            <w:shd w:val="clear" w:color="auto" w:fill="99CCFF"/>
          </w:tcPr>
          <w:p w:rsidR="006A425D" w:rsidRPr="001B7F00" w:rsidRDefault="006A425D" w:rsidP="006A425D">
            <w:pPr>
              <w:spacing w:line="360" w:lineRule="auto"/>
              <w:jc w:val="center"/>
              <w:rPr>
                <w:rFonts w:ascii="Calibri" w:hAnsi="Calibri" w:cs="Arial"/>
                <w:b/>
                <w:bCs/>
                <w:sz w:val="20"/>
                <w:szCs w:val="20"/>
              </w:rPr>
            </w:pPr>
            <w:r>
              <w:rPr>
                <w:rFonts w:ascii="Calibri" w:hAnsi="Calibri"/>
                <w:b/>
                <w:bCs/>
                <w:sz w:val="20"/>
                <w:szCs w:val="20"/>
              </w:rPr>
              <w:t>proposals</w:t>
            </w:r>
          </w:p>
        </w:tc>
        <w:tc>
          <w:tcPr>
            <w:tcW w:w="1260" w:type="dxa"/>
            <w:tcBorders>
              <w:left w:val="nil"/>
              <w:right w:val="nil"/>
            </w:tcBorders>
            <w:shd w:val="clear" w:color="auto" w:fill="99CCFF"/>
          </w:tcPr>
          <w:p w:rsidR="006A425D" w:rsidRPr="001B7F00" w:rsidRDefault="006A425D" w:rsidP="006A425D">
            <w:pPr>
              <w:spacing w:line="360" w:lineRule="auto"/>
              <w:jc w:val="center"/>
              <w:rPr>
                <w:rFonts w:ascii="Calibri" w:hAnsi="Calibri" w:cs="Arial"/>
                <w:b/>
                <w:bCs/>
                <w:sz w:val="20"/>
                <w:szCs w:val="20"/>
              </w:rPr>
            </w:pPr>
            <w:r>
              <w:rPr>
                <w:rFonts w:ascii="Calibri" w:hAnsi="Calibri"/>
                <w:b/>
                <w:bCs/>
                <w:sz w:val="20"/>
                <w:szCs w:val="20"/>
              </w:rPr>
              <w:t>estimates</w:t>
            </w:r>
          </w:p>
        </w:tc>
        <w:tc>
          <w:tcPr>
            <w:tcW w:w="1080" w:type="dxa"/>
            <w:tcBorders>
              <w:left w:val="nil"/>
              <w:right w:val="nil"/>
            </w:tcBorders>
            <w:shd w:val="clear" w:color="auto" w:fill="99CCFF"/>
          </w:tcPr>
          <w:p w:rsidR="006A425D" w:rsidRPr="001B7F00" w:rsidRDefault="006A425D" w:rsidP="006A425D">
            <w:pPr>
              <w:spacing w:line="360" w:lineRule="auto"/>
              <w:jc w:val="center"/>
              <w:rPr>
                <w:rFonts w:ascii="Calibri" w:hAnsi="Calibri" w:cs="Arial"/>
                <w:b/>
                <w:bCs/>
                <w:sz w:val="20"/>
                <w:szCs w:val="20"/>
              </w:rPr>
            </w:pPr>
            <w:r>
              <w:rPr>
                <w:rFonts w:ascii="Calibri" w:hAnsi="Calibri"/>
                <w:b/>
                <w:bCs/>
                <w:sz w:val="20"/>
                <w:szCs w:val="20"/>
              </w:rPr>
              <w:t>estimates</w:t>
            </w:r>
          </w:p>
        </w:tc>
      </w:tr>
      <w:tr w:rsidR="006A425D" w:rsidRPr="001B7F00" w:rsidTr="006A425D">
        <w:trPr>
          <w:trHeight w:val="600"/>
          <w:jc w:val="center"/>
        </w:trPr>
        <w:tc>
          <w:tcPr>
            <w:tcW w:w="2562" w:type="dxa"/>
            <w:tcBorders>
              <w:bottom w:val="nil"/>
            </w:tcBorders>
            <w:shd w:val="clear" w:color="auto" w:fill="FFFFFF"/>
          </w:tcPr>
          <w:p w:rsidR="006A425D" w:rsidRPr="001B7F00" w:rsidRDefault="006A425D" w:rsidP="006A425D">
            <w:pPr>
              <w:rPr>
                <w:rFonts w:ascii="Calibri" w:hAnsi="Calibri" w:cs="Arial"/>
                <w:sz w:val="22"/>
                <w:szCs w:val="22"/>
              </w:rPr>
            </w:pPr>
            <w:r>
              <w:rPr>
                <w:rFonts w:ascii="Calibri" w:hAnsi="Calibri"/>
                <w:sz w:val="22"/>
                <w:szCs w:val="22"/>
              </w:rPr>
              <w:t>Total expenditures of GCB (million Lei)</w:t>
            </w:r>
          </w:p>
        </w:tc>
        <w:tc>
          <w:tcPr>
            <w:tcW w:w="1080" w:type="dxa"/>
            <w:tcBorders>
              <w:left w:val="nil"/>
              <w:bottom w:val="nil"/>
              <w:right w:val="nil"/>
            </w:tcBorders>
            <w:shd w:val="clear" w:color="auto" w:fill="FFFFFF"/>
          </w:tcPr>
          <w:p w:rsidR="006A425D" w:rsidRPr="001B7F00" w:rsidRDefault="006A425D" w:rsidP="006A425D">
            <w:pPr>
              <w:spacing w:line="360" w:lineRule="auto"/>
              <w:jc w:val="center"/>
              <w:rPr>
                <w:rFonts w:ascii="Calibri" w:hAnsi="Calibri" w:cs="Arial"/>
                <w:sz w:val="22"/>
                <w:szCs w:val="22"/>
              </w:rPr>
            </w:pPr>
            <w:r>
              <w:rPr>
                <w:rFonts w:ascii="Calibri" w:hAnsi="Calibri"/>
                <w:sz w:val="22"/>
                <w:szCs w:val="22"/>
              </w:rPr>
              <w:t>276,161</w:t>
            </w:r>
          </w:p>
        </w:tc>
        <w:tc>
          <w:tcPr>
            <w:tcW w:w="1260" w:type="dxa"/>
            <w:tcBorders>
              <w:left w:val="nil"/>
              <w:bottom w:val="nil"/>
              <w:right w:val="nil"/>
            </w:tcBorders>
            <w:shd w:val="clear" w:color="auto" w:fill="FFFFFF"/>
          </w:tcPr>
          <w:p w:rsidR="006A425D" w:rsidRPr="003350EC" w:rsidRDefault="006A425D" w:rsidP="006A425D">
            <w:pPr>
              <w:spacing w:line="360" w:lineRule="auto"/>
              <w:jc w:val="center"/>
              <w:rPr>
                <w:rFonts w:ascii="Calibri" w:hAnsi="Calibri" w:cs="Arial"/>
                <w:color w:val="000000" w:themeColor="text1"/>
                <w:sz w:val="22"/>
                <w:szCs w:val="22"/>
              </w:rPr>
            </w:pPr>
            <w:r>
              <w:rPr>
                <w:rFonts w:ascii="Calibri" w:hAnsi="Calibri"/>
                <w:color w:val="000000" w:themeColor="text1"/>
                <w:sz w:val="22"/>
                <w:szCs w:val="22"/>
              </w:rPr>
              <w:t>322,454</w:t>
            </w:r>
          </w:p>
        </w:tc>
        <w:tc>
          <w:tcPr>
            <w:tcW w:w="1260" w:type="dxa"/>
            <w:tcBorders>
              <w:left w:val="nil"/>
              <w:bottom w:val="nil"/>
              <w:right w:val="nil"/>
            </w:tcBorders>
            <w:shd w:val="clear" w:color="auto" w:fill="FFFFFF"/>
          </w:tcPr>
          <w:p w:rsidR="006A425D" w:rsidRPr="001B7F00" w:rsidRDefault="0055261B" w:rsidP="006A425D">
            <w:pPr>
              <w:spacing w:line="360" w:lineRule="auto"/>
              <w:jc w:val="center"/>
              <w:rPr>
                <w:rFonts w:ascii="Calibri" w:hAnsi="Calibri" w:cs="Arial"/>
                <w:sz w:val="22"/>
                <w:szCs w:val="22"/>
              </w:rPr>
            </w:pPr>
            <w:r>
              <w:rPr>
                <w:rFonts w:ascii="Calibri" w:hAnsi="Calibri"/>
                <w:sz w:val="22"/>
                <w:szCs w:val="22"/>
              </w:rPr>
              <w:t>370,924</w:t>
            </w:r>
          </w:p>
        </w:tc>
        <w:tc>
          <w:tcPr>
            <w:tcW w:w="1260" w:type="dxa"/>
            <w:tcBorders>
              <w:left w:val="nil"/>
              <w:bottom w:val="nil"/>
              <w:right w:val="nil"/>
            </w:tcBorders>
            <w:shd w:val="clear" w:color="auto" w:fill="FFFFFF"/>
          </w:tcPr>
          <w:p w:rsidR="006A425D" w:rsidRPr="001B7F00" w:rsidRDefault="0055261B" w:rsidP="006A425D">
            <w:pPr>
              <w:spacing w:line="360" w:lineRule="auto"/>
              <w:jc w:val="center"/>
              <w:rPr>
                <w:rFonts w:ascii="Calibri" w:hAnsi="Calibri" w:cs="Arial"/>
                <w:sz w:val="22"/>
                <w:szCs w:val="22"/>
              </w:rPr>
            </w:pPr>
            <w:r>
              <w:rPr>
                <w:rFonts w:ascii="Calibri" w:hAnsi="Calibri"/>
                <w:sz w:val="22"/>
                <w:szCs w:val="22"/>
              </w:rPr>
              <w:t>380,433</w:t>
            </w:r>
          </w:p>
        </w:tc>
        <w:tc>
          <w:tcPr>
            <w:tcW w:w="1080" w:type="dxa"/>
            <w:tcBorders>
              <w:left w:val="nil"/>
              <w:bottom w:val="nil"/>
              <w:right w:val="nil"/>
            </w:tcBorders>
            <w:shd w:val="clear" w:color="auto" w:fill="FFFFFF"/>
          </w:tcPr>
          <w:p w:rsidR="006A425D" w:rsidRPr="001B7F00" w:rsidRDefault="0055261B" w:rsidP="006A425D">
            <w:pPr>
              <w:spacing w:line="360" w:lineRule="auto"/>
              <w:jc w:val="center"/>
              <w:rPr>
                <w:rFonts w:ascii="Calibri" w:hAnsi="Calibri" w:cs="Arial"/>
                <w:sz w:val="22"/>
                <w:szCs w:val="22"/>
              </w:rPr>
            </w:pPr>
            <w:r>
              <w:rPr>
                <w:rFonts w:ascii="Calibri" w:hAnsi="Calibri"/>
                <w:sz w:val="22"/>
                <w:szCs w:val="22"/>
              </w:rPr>
              <w:t>400,500</w:t>
            </w:r>
          </w:p>
        </w:tc>
      </w:tr>
      <w:tr w:rsidR="006A425D" w:rsidRPr="001B7F00" w:rsidTr="006A425D">
        <w:trPr>
          <w:trHeight w:val="300"/>
          <w:jc w:val="center"/>
        </w:trPr>
        <w:tc>
          <w:tcPr>
            <w:tcW w:w="2562" w:type="dxa"/>
            <w:tcBorders>
              <w:top w:val="nil"/>
              <w:left w:val="nil"/>
              <w:bottom w:val="nil"/>
              <w:right w:val="nil"/>
            </w:tcBorders>
            <w:shd w:val="clear" w:color="auto" w:fill="FFFFFF"/>
          </w:tcPr>
          <w:p w:rsidR="006A425D" w:rsidRPr="001B7F00" w:rsidRDefault="006A425D" w:rsidP="006A425D">
            <w:pPr>
              <w:rPr>
                <w:rFonts w:ascii="Calibri" w:hAnsi="Calibri" w:cs="Arial"/>
                <w:sz w:val="22"/>
                <w:szCs w:val="22"/>
              </w:rPr>
            </w:pPr>
            <w:r>
              <w:rPr>
                <w:rFonts w:ascii="Calibri" w:hAnsi="Calibri"/>
                <w:sz w:val="22"/>
                <w:szCs w:val="22"/>
              </w:rPr>
              <w:t>- % of GDP</w:t>
            </w:r>
          </w:p>
        </w:tc>
        <w:tc>
          <w:tcPr>
            <w:tcW w:w="1080" w:type="dxa"/>
            <w:tcBorders>
              <w:top w:val="nil"/>
              <w:left w:val="nil"/>
              <w:bottom w:val="nil"/>
              <w:right w:val="nil"/>
            </w:tcBorders>
            <w:shd w:val="clear" w:color="auto" w:fill="FFFFFF"/>
          </w:tcPr>
          <w:p w:rsidR="006A425D" w:rsidRPr="001B7F00" w:rsidRDefault="006A425D" w:rsidP="006A425D">
            <w:pPr>
              <w:spacing w:line="360" w:lineRule="auto"/>
              <w:jc w:val="center"/>
              <w:rPr>
                <w:rFonts w:ascii="Calibri" w:hAnsi="Calibri" w:cs="Arial"/>
                <w:sz w:val="22"/>
                <w:szCs w:val="22"/>
              </w:rPr>
            </w:pPr>
            <w:r>
              <w:rPr>
                <w:rFonts w:ascii="Calibri" w:hAnsi="Calibri"/>
                <w:sz w:val="22"/>
                <w:szCs w:val="22"/>
              </w:rPr>
              <w:t>32.24</w:t>
            </w:r>
          </w:p>
        </w:tc>
        <w:tc>
          <w:tcPr>
            <w:tcW w:w="1260" w:type="dxa"/>
            <w:tcBorders>
              <w:top w:val="nil"/>
              <w:left w:val="nil"/>
              <w:bottom w:val="nil"/>
              <w:right w:val="nil"/>
            </w:tcBorders>
            <w:shd w:val="clear" w:color="auto" w:fill="FFFFFF"/>
          </w:tcPr>
          <w:p w:rsidR="006A425D" w:rsidRPr="003350EC" w:rsidRDefault="006A425D" w:rsidP="00C55301">
            <w:pPr>
              <w:spacing w:line="360" w:lineRule="auto"/>
              <w:jc w:val="center"/>
              <w:rPr>
                <w:rFonts w:ascii="Calibri" w:hAnsi="Calibri" w:cs="Arial"/>
                <w:color w:val="000000" w:themeColor="text1"/>
                <w:sz w:val="22"/>
                <w:szCs w:val="22"/>
              </w:rPr>
            </w:pPr>
            <w:r>
              <w:rPr>
                <w:rFonts w:ascii="Calibri" w:hAnsi="Calibri"/>
                <w:color w:val="000000" w:themeColor="text1"/>
                <w:sz w:val="22"/>
                <w:szCs w:val="22"/>
              </w:rPr>
              <w:t>34.29</w:t>
            </w:r>
          </w:p>
        </w:tc>
        <w:tc>
          <w:tcPr>
            <w:tcW w:w="1260" w:type="dxa"/>
            <w:tcBorders>
              <w:top w:val="nil"/>
              <w:left w:val="nil"/>
              <w:bottom w:val="nil"/>
              <w:right w:val="nil"/>
            </w:tcBorders>
            <w:shd w:val="clear" w:color="auto" w:fill="FFFFFF"/>
          </w:tcPr>
          <w:p w:rsidR="006A425D" w:rsidRPr="001B7F00" w:rsidRDefault="0055261B" w:rsidP="006A425D">
            <w:pPr>
              <w:spacing w:line="360" w:lineRule="auto"/>
              <w:jc w:val="center"/>
              <w:rPr>
                <w:rFonts w:ascii="Calibri" w:hAnsi="Calibri" w:cs="Arial"/>
                <w:sz w:val="22"/>
                <w:szCs w:val="22"/>
              </w:rPr>
            </w:pPr>
            <w:r>
              <w:rPr>
                <w:rFonts w:ascii="Calibri" w:hAnsi="Calibri"/>
                <w:sz w:val="22"/>
                <w:szCs w:val="22"/>
              </w:rPr>
              <w:t>36.28</w:t>
            </w:r>
          </w:p>
        </w:tc>
        <w:tc>
          <w:tcPr>
            <w:tcW w:w="1260" w:type="dxa"/>
            <w:tcBorders>
              <w:top w:val="nil"/>
              <w:left w:val="nil"/>
              <w:bottom w:val="nil"/>
              <w:right w:val="nil"/>
            </w:tcBorders>
            <w:shd w:val="clear" w:color="auto" w:fill="FFFFFF"/>
          </w:tcPr>
          <w:p w:rsidR="006A425D" w:rsidRPr="001B7F00" w:rsidRDefault="0055261B" w:rsidP="006A425D">
            <w:pPr>
              <w:spacing w:line="360" w:lineRule="auto"/>
              <w:jc w:val="center"/>
              <w:rPr>
                <w:rFonts w:ascii="Calibri" w:hAnsi="Calibri" w:cs="Arial"/>
                <w:color w:val="000000"/>
                <w:sz w:val="22"/>
                <w:szCs w:val="22"/>
              </w:rPr>
            </w:pPr>
            <w:r>
              <w:rPr>
                <w:rFonts w:ascii="Calibri" w:hAnsi="Calibri"/>
                <w:color w:val="000000"/>
                <w:sz w:val="22"/>
                <w:szCs w:val="22"/>
              </w:rPr>
              <w:t>34.55</w:t>
            </w:r>
          </w:p>
        </w:tc>
        <w:tc>
          <w:tcPr>
            <w:tcW w:w="1080" w:type="dxa"/>
            <w:tcBorders>
              <w:top w:val="nil"/>
              <w:left w:val="nil"/>
              <w:bottom w:val="nil"/>
              <w:right w:val="nil"/>
            </w:tcBorders>
            <w:shd w:val="clear" w:color="auto" w:fill="FFFFFF"/>
          </w:tcPr>
          <w:p w:rsidR="006A425D" w:rsidRPr="001B7F00" w:rsidRDefault="0055261B" w:rsidP="006A425D">
            <w:pPr>
              <w:spacing w:line="360" w:lineRule="auto"/>
              <w:jc w:val="center"/>
              <w:rPr>
                <w:rFonts w:ascii="Calibri" w:hAnsi="Calibri" w:cs="Arial"/>
                <w:color w:val="000000"/>
                <w:sz w:val="22"/>
                <w:szCs w:val="22"/>
              </w:rPr>
            </w:pPr>
            <w:r>
              <w:rPr>
                <w:rFonts w:ascii="Calibri" w:hAnsi="Calibri"/>
                <w:color w:val="000000"/>
                <w:sz w:val="22"/>
                <w:szCs w:val="22"/>
              </w:rPr>
              <w:t>33.98</w:t>
            </w:r>
          </w:p>
        </w:tc>
      </w:tr>
      <w:tr w:rsidR="006A425D" w:rsidRPr="001B7F00" w:rsidTr="006A425D">
        <w:trPr>
          <w:trHeight w:val="814"/>
          <w:jc w:val="center"/>
        </w:trPr>
        <w:tc>
          <w:tcPr>
            <w:tcW w:w="2562" w:type="dxa"/>
            <w:tcBorders>
              <w:top w:val="nil"/>
              <w:left w:val="nil"/>
              <w:right w:val="nil"/>
            </w:tcBorders>
            <w:shd w:val="clear" w:color="auto" w:fill="FFFFFF"/>
          </w:tcPr>
          <w:p w:rsidR="006A425D" w:rsidRPr="001B7F00" w:rsidRDefault="006A425D" w:rsidP="006A425D">
            <w:pPr>
              <w:rPr>
                <w:rFonts w:ascii="Calibri" w:hAnsi="Calibri" w:cs="Arial"/>
                <w:sz w:val="22"/>
                <w:szCs w:val="22"/>
              </w:rPr>
            </w:pPr>
            <w:r>
              <w:rPr>
                <w:rFonts w:ascii="Calibri" w:hAnsi="Calibri"/>
                <w:sz w:val="22"/>
                <w:szCs w:val="22"/>
              </w:rPr>
              <w:t>Investment expenditures of GCB (million Lei)</w:t>
            </w:r>
          </w:p>
        </w:tc>
        <w:tc>
          <w:tcPr>
            <w:tcW w:w="1080" w:type="dxa"/>
            <w:tcBorders>
              <w:top w:val="nil"/>
              <w:left w:val="nil"/>
              <w:right w:val="nil"/>
            </w:tcBorders>
            <w:shd w:val="clear" w:color="auto" w:fill="FFFFFF"/>
          </w:tcPr>
          <w:p w:rsidR="006A425D" w:rsidRPr="001B7F00" w:rsidRDefault="006A425D" w:rsidP="006A425D">
            <w:pPr>
              <w:spacing w:line="360" w:lineRule="auto"/>
              <w:jc w:val="center"/>
              <w:rPr>
                <w:rFonts w:ascii="Calibri" w:hAnsi="Calibri" w:cs="Arial"/>
                <w:sz w:val="22"/>
                <w:szCs w:val="22"/>
              </w:rPr>
            </w:pPr>
            <w:r>
              <w:rPr>
                <w:rFonts w:ascii="Calibri" w:hAnsi="Calibri"/>
                <w:sz w:val="22"/>
                <w:szCs w:val="22"/>
              </w:rPr>
              <w:t>26,753</w:t>
            </w:r>
          </w:p>
        </w:tc>
        <w:tc>
          <w:tcPr>
            <w:tcW w:w="1260" w:type="dxa"/>
            <w:tcBorders>
              <w:top w:val="nil"/>
              <w:left w:val="nil"/>
              <w:right w:val="nil"/>
            </w:tcBorders>
            <w:shd w:val="clear" w:color="auto" w:fill="FFFFFF"/>
          </w:tcPr>
          <w:p w:rsidR="006A425D" w:rsidRPr="001B7F00" w:rsidRDefault="006A425D" w:rsidP="006A425D">
            <w:pPr>
              <w:spacing w:line="360" w:lineRule="auto"/>
              <w:jc w:val="center"/>
              <w:rPr>
                <w:rFonts w:ascii="Calibri" w:hAnsi="Calibri" w:cs="Arial"/>
                <w:sz w:val="22"/>
                <w:szCs w:val="22"/>
              </w:rPr>
            </w:pPr>
            <w:r>
              <w:rPr>
                <w:rFonts w:ascii="Calibri" w:hAnsi="Calibri"/>
                <w:sz w:val="22"/>
                <w:szCs w:val="22"/>
              </w:rPr>
              <w:t>34,229</w:t>
            </w:r>
          </w:p>
        </w:tc>
        <w:tc>
          <w:tcPr>
            <w:tcW w:w="1260" w:type="dxa"/>
            <w:tcBorders>
              <w:top w:val="nil"/>
              <w:left w:val="nil"/>
              <w:right w:val="nil"/>
            </w:tcBorders>
            <w:shd w:val="clear" w:color="auto" w:fill="FFFFFF"/>
          </w:tcPr>
          <w:p w:rsidR="006A425D" w:rsidRPr="001B7F00" w:rsidRDefault="0055261B" w:rsidP="006A425D">
            <w:pPr>
              <w:spacing w:line="360" w:lineRule="auto"/>
              <w:jc w:val="center"/>
              <w:rPr>
                <w:rFonts w:ascii="Calibri" w:hAnsi="Calibri" w:cs="Arial"/>
                <w:sz w:val="22"/>
                <w:szCs w:val="22"/>
              </w:rPr>
            </w:pPr>
            <w:r>
              <w:rPr>
                <w:rFonts w:ascii="Calibri" w:hAnsi="Calibri"/>
                <w:sz w:val="22"/>
                <w:szCs w:val="22"/>
              </w:rPr>
              <w:t>49,953</w:t>
            </w:r>
          </w:p>
        </w:tc>
        <w:tc>
          <w:tcPr>
            <w:tcW w:w="1260" w:type="dxa"/>
            <w:tcBorders>
              <w:top w:val="nil"/>
              <w:left w:val="nil"/>
              <w:right w:val="nil"/>
            </w:tcBorders>
            <w:shd w:val="clear" w:color="auto" w:fill="FFFFFF"/>
          </w:tcPr>
          <w:p w:rsidR="006A425D" w:rsidRPr="001B7F00" w:rsidRDefault="00766DE9" w:rsidP="006A425D">
            <w:pPr>
              <w:spacing w:line="360" w:lineRule="auto"/>
              <w:jc w:val="center"/>
              <w:rPr>
                <w:rFonts w:ascii="Calibri" w:hAnsi="Calibri" w:cs="Arial"/>
                <w:color w:val="000000"/>
                <w:sz w:val="22"/>
                <w:szCs w:val="22"/>
              </w:rPr>
            </w:pPr>
            <w:r>
              <w:rPr>
                <w:rFonts w:ascii="Calibri" w:hAnsi="Calibri"/>
                <w:color w:val="000000"/>
                <w:sz w:val="22"/>
                <w:szCs w:val="22"/>
              </w:rPr>
              <w:t>42,978</w:t>
            </w:r>
          </w:p>
        </w:tc>
        <w:tc>
          <w:tcPr>
            <w:tcW w:w="1080" w:type="dxa"/>
            <w:tcBorders>
              <w:top w:val="nil"/>
              <w:left w:val="nil"/>
              <w:right w:val="nil"/>
            </w:tcBorders>
            <w:shd w:val="clear" w:color="auto" w:fill="FFFFFF"/>
          </w:tcPr>
          <w:p w:rsidR="006A425D" w:rsidRPr="001B7F00" w:rsidRDefault="006A425D" w:rsidP="006A425D">
            <w:pPr>
              <w:spacing w:line="360" w:lineRule="auto"/>
              <w:jc w:val="center"/>
              <w:rPr>
                <w:rFonts w:ascii="Calibri" w:hAnsi="Calibri" w:cs="Arial"/>
                <w:color w:val="000000"/>
                <w:sz w:val="22"/>
                <w:szCs w:val="22"/>
              </w:rPr>
            </w:pPr>
            <w:r>
              <w:rPr>
                <w:rFonts w:ascii="Calibri" w:hAnsi="Calibri"/>
                <w:color w:val="000000"/>
                <w:sz w:val="22"/>
                <w:szCs w:val="22"/>
              </w:rPr>
              <w:t>43,182</w:t>
            </w:r>
          </w:p>
        </w:tc>
      </w:tr>
      <w:tr w:rsidR="006A425D" w:rsidRPr="001B7F00" w:rsidTr="006A425D">
        <w:trPr>
          <w:trHeight w:val="589"/>
          <w:jc w:val="center"/>
        </w:trPr>
        <w:tc>
          <w:tcPr>
            <w:tcW w:w="2562" w:type="dxa"/>
            <w:tcBorders>
              <w:top w:val="nil"/>
            </w:tcBorders>
            <w:shd w:val="clear" w:color="auto" w:fill="FFFFFF"/>
          </w:tcPr>
          <w:p w:rsidR="006A425D" w:rsidRPr="001B7F00" w:rsidRDefault="006A425D" w:rsidP="006A425D">
            <w:pPr>
              <w:rPr>
                <w:rFonts w:ascii="Calibri" w:hAnsi="Calibri" w:cs="Arial"/>
                <w:sz w:val="22"/>
                <w:szCs w:val="22"/>
              </w:rPr>
            </w:pPr>
            <w:r>
              <w:rPr>
                <w:rFonts w:ascii="Calibri" w:hAnsi="Calibri"/>
                <w:sz w:val="22"/>
                <w:szCs w:val="22"/>
              </w:rPr>
              <w:t>% of total expenditures</w:t>
            </w:r>
          </w:p>
        </w:tc>
        <w:tc>
          <w:tcPr>
            <w:tcW w:w="1080" w:type="dxa"/>
            <w:tcBorders>
              <w:top w:val="nil"/>
            </w:tcBorders>
            <w:shd w:val="clear" w:color="auto" w:fill="FFFFFF"/>
          </w:tcPr>
          <w:p w:rsidR="006A425D" w:rsidRPr="001B7F00" w:rsidRDefault="006A425D" w:rsidP="006A425D">
            <w:pPr>
              <w:spacing w:line="360" w:lineRule="auto"/>
              <w:jc w:val="center"/>
              <w:rPr>
                <w:rFonts w:ascii="Calibri" w:hAnsi="Calibri" w:cs="Arial"/>
                <w:sz w:val="22"/>
                <w:szCs w:val="22"/>
              </w:rPr>
            </w:pPr>
            <w:r>
              <w:rPr>
                <w:rFonts w:ascii="Calibri" w:hAnsi="Calibri"/>
                <w:sz w:val="22"/>
                <w:szCs w:val="22"/>
              </w:rPr>
              <w:t>9.68</w:t>
            </w:r>
          </w:p>
        </w:tc>
        <w:tc>
          <w:tcPr>
            <w:tcW w:w="1260" w:type="dxa"/>
            <w:tcBorders>
              <w:top w:val="nil"/>
            </w:tcBorders>
            <w:shd w:val="clear" w:color="auto" w:fill="FFFFFF"/>
          </w:tcPr>
          <w:p w:rsidR="006A425D" w:rsidRPr="003350EC" w:rsidRDefault="006A425D" w:rsidP="006A425D">
            <w:pPr>
              <w:spacing w:line="360" w:lineRule="auto"/>
              <w:jc w:val="center"/>
              <w:rPr>
                <w:rFonts w:ascii="Calibri" w:hAnsi="Calibri" w:cs="Arial"/>
                <w:color w:val="000000" w:themeColor="text1"/>
                <w:sz w:val="22"/>
                <w:szCs w:val="22"/>
              </w:rPr>
            </w:pPr>
            <w:r>
              <w:rPr>
                <w:rFonts w:ascii="Calibri" w:hAnsi="Calibri"/>
                <w:color w:val="000000" w:themeColor="text1"/>
                <w:sz w:val="22"/>
                <w:szCs w:val="22"/>
              </w:rPr>
              <w:t>10.61</w:t>
            </w:r>
          </w:p>
        </w:tc>
        <w:tc>
          <w:tcPr>
            <w:tcW w:w="1260" w:type="dxa"/>
            <w:tcBorders>
              <w:top w:val="nil"/>
            </w:tcBorders>
            <w:shd w:val="clear" w:color="auto" w:fill="FFFFFF"/>
          </w:tcPr>
          <w:p w:rsidR="006A425D" w:rsidRPr="001B7F00" w:rsidRDefault="009A7AAC" w:rsidP="006A425D">
            <w:pPr>
              <w:spacing w:line="360" w:lineRule="auto"/>
              <w:jc w:val="center"/>
              <w:rPr>
                <w:rFonts w:ascii="Calibri" w:hAnsi="Calibri" w:cs="Arial"/>
                <w:sz w:val="22"/>
                <w:szCs w:val="22"/>
              </w:rPr>
            </w:pPr>
            <w:r>
              <w:rPr>
                <w:rFonts w:ascii="Calibri" w:hAnsi="Calibri"/>
                <w:sz w:val="22"/>
                <w:szCs w:val="22"/>
              </w:rPr>
              <w:t>13.46</w:t>
            </w:r>
          </w:p>
        </w:tc>
        <w:tc>
          <w:tcPr>
            <w:tcW w:w="1260" w:type="dxa"/>
            <w:tcBorders>
              <w:top w:val="nil"/>
            </w:tcBorders>
            <w:shd w:val="clear" w:color="auto" w:fill="FFFFFF"/>
          </w:tcPr>
          <w:p w:rsidR="006A425D" w:rsidRPr="001B7F00" w:rsidRDefault="00550F1F" w:rsidP="006A425D">
            <w:pPr>
              <w:spacing w:line="360" w:lineRule="auto"/>
              <w:jc w:val="center"/>
              <w:rPr>
                <w:rFonts w:ascii="Calibri" w:hAnsi="Calibri" w:cs="Arial"/>
                <w:color w:val="000000"/>
                <w:sz w:val="22"/>
                <w:szCs w:val="22"/>
              </w:rPr>
            </w:pPr>
            <w:r>
              <w:rPr>
                <w:rFonts w:ascii="Calibri" w:hAnsi="Calibri"/>
                <w:color w:val="000000"/>
                <w:sz w:val="22"/>
                <w:szCs w:val="22"/>
              </w:rPr>
              <w:t>11.29</w:t>
            </w:r>
          </w:p>
        </w:tc>
        <w:tc>
          <w:tcPr>
            <w:tcW w:w="1080" w:type="dxa"/>
            <w:tcBorders>
              <w:top w:val="nil"/>
            </w:tcBorders>
            <w:shd w:val="clear" w:color="auto" w:fill="FFFFFF"/>
          </w:tcPr>
          <w:p w:rsidR="006A425D" w:rsidRPr="001B7F00" w:rsidRDefault="00550F1F" w:rsidP="006A425D">
            <w:pPr>
              <w:spacing w:line="360" w:lineRule="auto"/>
              <w:jc w:val="center"/>
              <w:rPr>
                <w:rFonts w:ascii="Calibri" w:hAnsi="Calibri" w:cs="Arial"/>
                <w:color w:val="000000"/>
                <w:sz w:val="22"/>
                <w:szCs w:val="22"/>
              </w:rPr>
            </w:pPr>
            <w:r>
              <w:rPr>
                <w:rFonts w:ascii="Calibri" w:hAnsi="Calibri"/>
                <w:color w:val="000000"/>
                <w:sz w:val="22"/>
                <w:szCs w:val="22"/>
              </w:rPr>
              <w:t>10.78</w:t>
            </w:r>
          </w:p>
        </w:tc>
      </w:tr>
      <w:tr w:rsidR="006A425D" w:rsidRPr="001B7F00" w:rsidTr="006A425D">
        <w:trPr>
          <w:trHeight w:val="589"/>
          <w:jc w:val="center"/>
        </w:trPr>
        <w:tc>
          <w:tcPr>
            <w:tcW w:w="2562" w:type="dxa"/>
            <w:tcBorders>
              <w:top w:val="nil"/>
              <w:bottom w:val="single" w:sz="4" w:space="0" w:color="auto"/>
            </w:tcBorders>
            <w:shd w:val="clear" w:color="auto" w:fill="FFFFFF"/>
          </w:tcPr>
          <w:p w:rsidR="006A425D" w:rsidRPr="001B7F00" w:rsidRDefault="006A425D" w:rsidP="006A425D">
            <w:pPr>
              <w:rPr>
                <w:rFonts w:ascii="Calibri" w:eastAsia="Calibri" w:hAnsi="Calibri" w:cs="Arial"/>
                <w:sz w:val="22"/>
                <w:szCs w:val="22"/>
              </w:rPr>
            </w:pPr>
            <w:r>
              <w:rPr>
                <w:rFonts w:ascii="Calibri" w:hAnsi="Calibri"/>
                <w:sz w:val="22"/>
                <w:szCs w:val="22"/>
              </w:rPr>
              <w:t xml:space="preserve">- % of GDP </w:t>
            </w:r>
          </w:p>
        </w:tc>
        <w:tc>
          <w:tcPr>
            <w:tcW w:w="1080" w:type="dxa"/>
            <w:tcBorders>
              <w:top w:val="nil"/>
              <w:bottom w:val="single" w:sz="4" w:space="0" w:color="auto"/>
            </w:tcBorders>
            <w:shd w:val="clear" w:color="auto" w:fill="FFFFFF"/>
          </w:tcPr>
          <w:p w:rsidR="006A425D" w:rsidRPr="001B7F00" w:rsidRDefault="006A425D" w:rsidP="006A425D">
            <w:pPr>
              <w:spacing w:line="360" w:lineRule="auto"/>
              <w:jc w:val="center"/>
              <w:rPr>
                <w:rFonts w:ascii="Calibri" w:eastAsia="Calibri" w:hAnsi="Calibri" w:cs="Arial"/>
                <w:sz w:val="22"/>
                <w:szCs w:val="22"/>
              </w:rPr>
            </w:pPr>
            <w:r>
              <w:rPr>
                <w:rFonts w:ascii="Calibri" w:hAnsi="Calibri"/>
                <w:sz w:val="22"/>
                <w:szCs w:val="22"/>
              </w:rPr>
              <w:t>3.12</w:t>
            </w:r>
          </w:p>
        </w:tc>
        <w:tc>
          <w:tcPr>
            <w:tcW w:w="1260" w:type="dxa"/>
            <w:tcBorders>
              <w:top w:val="nil"/>
              <w:bottom w:val="single" w:sz="4" w:space="0" w:color="auto"/>
            </w:tcBorders>
            <w:shd w:val="clear" w:color="auto" w:fill="FFFFFF"/>
          </w:tcPr>
          <w:p w:rsidR="006A425D" w:rsidRPr="003350EC" w:rsidRDefault="006A425D" w:rsidP="00C55301">
            <w:pPr>
              <w:spacing w:line="360" w:lineRule="auto"/>
              <w:jc w:val="center"/>
              <w:rPr>
                <w:rFonts w:ascii="Calibri" w:eastAsia="Calibri" w:hAnsi="Calibri" w:cs="Arial"/>
                <w:color w:val="000000" w:themeColor="text1"/>
                <w:sz w:val="22"/>
                <w:szCs w:val="22"/>
              </w:rPr>
            </w:pPr>
            <w:r>
              <w:rPr>
                <w:rFonts w:ascii="Calibri" w:hAnsi="Calibri"/>
                <w:color w:val="000000" w:themeColor="text1"/>
                <w:sz w:val="22"/>
                <w:szCs w:val="22"/>
              </w:rPr>
              <w:t>3.64</w:t>
            </w:r>
          </w:p>
        </w:tc>
        <w:tc>
          <w:tcPr>
            <w:tcW w:w="1260" w:type="dxa"/>
            <w:tcBorders>
              <w:top w:val="nil"/>
              <w:bottom w:val="single" w:sz="4" w:space="0" w:color="auto"/>
            </w:tcBorders>
            <w:shd w:val="clear" w:color="auto" w:fill="FFFFFF"/>
          </w:tcPr>
          <w:p w:rsidR="006A425D" w:rsidRPr="001B7F00" w:rsidRDefault="00870F9B" w:rsidP="006A425D">
            <w:pPr>
              <w:spacing w:line="360" w:lineRule="auto"/>
              <w:jc w:val="center"/>
              <w:rPr>
                <w:rFonts w:ascii="Calibri" w:eastAsia="Calibri" w:hAnsi="Calibri" w:cs="Arial"/>
                <w:sz w:val="22"/>
                <w:szCs w:val="22"/>
              </w:rPr>
            </w:pPr>
            <w:r>
              <w:rPr>
                <w:rFonts w:ascii="Calibri" w:hAnsi="Calibri"/>
                <w:sz w:val="22"/>
                <w:szCs w:val="22"/>
              </w:rPr>
              <w:t>4.89</w:t>
            </w:r>
          </w:p>
        </w:tc>
        <w:tc>
          <w:tcPr>
            <w:tcW w:w="1260" w:type="dxa"/>
            <w:tcBorders>
              <w:top w:val="nil"/>
              <w:bottom w:val="single" w:sz="4" w:space="0" w:color="auto"/>
            </w:tcBorders>
            <w:shd w:val="clear" w:color="auto" w:fill="FFFFFF"/>
          </w:tcPr>
          <w:p w:rsidR="006A425D" w:rsidRPr="001B7F00" w:rsidRDefault="006A425D" w:rsidP="006A425D">
            <w:pPr>
              <w:spacing w:line="360" w:lineRule="auto"/>
              <w:jc w:val="center"/>
              <w:rPr>
                <w:rFonts w:ascii="Calibri" w:eastAsia="Calibri" w:hAnsi="Calibri" w:cs="Arial"/>
                <w:sz w:val="22"/>
                <w:szCs w:val="22"/>
              </w:rPr>
            </w:pPr>
            <w:r>
              <w:rPr>
                <w:rFonts w:ascii="Calibri" w:hAnsi="Calibri"/>
                <w:sz w:val="22"/>
                <w:szCs w:val="22"/>
              </w:rPr>
              <w:t>3.90</w:t>
            </w:r>
          </w:p>
        </w:tc>
        <w:tc>
          <w:tcPr>
            <w:tcW w:w="1080" w:type="dxa"/>
            <w:tcBorders>
              <w:top w:val="nil"/>
              <w:bottom w:val="single" w:sz="4" w:space="0" w:color="auto"/>
            </w:tcBorders>
            <w:shd w:val="clear" w:color="auto" w:fill="FFFFFF"/>
          </w:tcPr>
          <w:p w:rsidR="006A425D" w:rsidRPr="001B7F00" w:rsidRDefault="006A425D" w:rsidP="006A425D">
            <w:pPr>
              <w:tabs>
                <w:tab w:val="left" w:pos="615"/>
                <w:tab w:val="center" w:pos="784"/>
              </w:tabs>
              <w:spacing w:line="360" w:lineRule="auto"/>
              <w:jc w:val="center"/>
              <w:rPr>
                <w:rFonts w:ascii="Calibri" w:eastAsia="Calibri" w:hAnsi="Calibri" w:cs="Arial"/>
                <w:sz w:val="22"/>
                <w:szCs w:val="22"/>
              </w:rPr>
            </w:pPr>
            <w:r>
              <w:rPr>
                <w:rFonts w:ascii="Calibri" w:hAnsi="Calibri"/>
                <w:sz w:val="22"/>
                <w:szCs w:val="22"/>
              </w:rPr>
              <w:t>3.66</w:t>
            </w:r>
          </w:p>
        </w:tc>
      </w:tr>
    </w:tbl>
    <w:p w:rsidR="006A425D" w:rsidRPr="002C1741" w:rsidRDefault="006A425D" w:rsidP="006A425D">
      <w:pPr>
        <w:autoSpaceDE w:val="0"/>
        <w:autoSpaceDN w:val="0"/>
        <w:adjustRightInd w:val="0"/>
        <w:jc w:val="both"/>
        <w:rPr>
          <w:rFonts w:ascii="Calibri" w:hAnsi="Calibri" w:cs="Arial"/>
          <w:b/>
          <w:color w:val="000066"/>
          <w:lang w:val="ro-RO"/>
        </w:rPr>
      </w:pPr>
    </w:p>
    <w:p w:rsidR="006A425D" w:rsidRPr="002C1741" w:rsidRDefault="006A425D" w:rsidP="006A425D">
      <w:pPr>
        <w:contextualSpacing/>
        <w:jc w:val="center"/>
        <w:textAlignment w:val="baseline"/>
        <w:rPr>
          <w:rFonts w:ascii="Calibri" w:hAnsi="Calibri" w:cs="Arial"/>
          <w:color w:val="C00000"/>
          <w:lang w:val="ro-RO"/>
        </w:rPr>
      </w:pPr>
    </w:p>
    <w:p w:rsidR="006A425D" w:rsidRPr="002C1741" w:rsidRDefault="006A425D" w:rsidP="006A425D">
      <w:pPr>
        <w:jc w:val="both"/>
        <w:rPr>
          <w:rFonts w:ascii="Calibri" w:eastAsia="Calibri" w:hAnsi="Calibri"/>
          <w:b/>
          <w:sz w:val="20"/>
          <w:szCs w:val="20"/>
        </w:rPr>
      </w:pPr>
      <w:r>
        <w:rPr>
          <w:rFonts w:ascii="Calibri" w:hAnsi="Calibri"/>
          <w:b/>
          <w:sz w:val="20"/>
          <w:szCs w:val="20"/>
        </w:rPr>
        <w:t>Note: Investment expenditures include the expenditures that correspond to financing programs from post-accession external non-reimbursable funds (post-accession ENF), capital expenditures and expenditures that correspond to programs with reimbursable financing.</w:t>
      </w:r>
    </w:p>
    <w:p w:rsidR="006A425D" w:rsidRDefault="00DF768F" w:rsidP="006A425D">
      <w:pPr>
        <w:jc w:val="both"/>
        <w:rPr>
          <w:rFonts w:ascii="Calibri" w:eastAsia="Calibri" w:hAnsi="Calibri"/>
          <w:b/>
          <w:sz w:val="20"/>
          <w:szCs w:val="20"/>
        </w:rPr>
      </w:pPr>
      <w:r>
        <w:rPr>
          <w:rFonts w:ascii="Calibri" w:hAnsi="Calibri" w:cs="Arial"/>
          <w:noProof/>
          <w:color w:val="C00000"/>
          <w:lang w:val="ro-RO" w:eastAsia="ro-RO"/>
        </w:rPr>
        <mc:AlternateContent>
          <mc:Choice Requires="wps">
            <w:drawing>
              <wp:anchor distT="0" distB="0" distL="114300" distR="114300" simplePos="0" relativeHeight="251668992" behindDoc="0" locked="0" layoutInCell="1" allowOverlap="1">
                <wp:simplePos x="0" y="0"/>
                <wp:positionH relativeFrom="column">
                  <wp:posOffset>3112770</wp:posOffset>
                </wp:positionH>
                <wp:positionV relativeFrom="paragraph">
                  <wp:posOffset>2477135</wp:posOffset>
                </wp:positionV>
                <wp:extent cx="1423035" cy="222250"/>
                <wp:effectExtent l="7620" t="10160" r="7620" b="5715"/>
                <wp:wrapNone/>
                <wp:docPr id="727"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035" cy="222250"/>
                        </a:xfrm>
                        <a:prstGeom prst="rect">
                          <a:avLst/>
                        </a:prstGeom>
                        <a:solidFill>
                          <a:srgbClr val="FFFFFF"/>
                        </a:solidFill>
                        <a:ln w="9525">
                          <a:solidFill>
                            <a:srgbClr val="000000"/>
                          </a:solidFill>
                          <a:miter lim="800000"/>
                          <a:headEnd/>
                          <a:tailEnd/>
                        </a:ln>
                      </wps:spPr>
                      <wps:txbx>
                        <w:txbxContent>
                          <w:p w:rsidR="005063CB" w:rsidRPr="001E5219" w:rsidRDefault="005063CB" w:rsidP="001E5219">
                            <w:pPr>
                              <w:rPr>
                                <w:sz w:val="18"/>
                              </w:rPr>
                            </w:pPr>
                            <w:r>
                              <w:rPr>
                                <w:sz w:val="18"/>
                              </w:rPr>
                              <w:t>Investment expenditure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7" o:spid="_x0000_s1026" style="position:absolute;left:0;text-align:left;margin-left:245.1pt;margin-top:195.05pt;width:112.05pt;height:1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">
                <v:textbox>
                  <w:txbxContent>
                    <w:p w:rsidR="005063CB" w:rsidRPr="001E5219" w:rsidRDefault="005063CB" w:rsidP="001E5219">
                      <w:pPr>
                        <w:rPr>
                          <w:sz w:val="18"/>
                        </w:rPr>
                      </w:pPr>
                      <w:r>
                        <w:rPr>
                          <w:sz w:val="18"/>
                        </w:rPr>
                        <w:t>Investment expenditure</w:t>
                      </w:r>
                    </w:p>
                  </w:txbxContent>
                </v:textbox>
              </v:rect>
            </w:pict>
          </mc:Fallback>
        </mc:AlternateContent>
      </w:r>
      <w:r>
        <w:rPr>
          <w:rFonts w:ascii="Calibri" w:hAnsi="Calibri" w:cs="Arial"/>
          <w:noProof/>
          <w:color w:val="C00000"/>
          <w:lang w:val="ro-RO" w:eastAsia="ro-RO"/>
        </w:rPr>
        <mc:AlternateContent>
          <mc:Choice Requires="wps">
            <w:drawing>
              <wp:anchor distT="0" distB="0" distL="114300" distR="114300" simplePos="0" relativeHeight="251667968" behindDoc="0" locked="0" layoutInCell="1" allowOverlap="1">
                <wp:simplePos x="0" y="0"/>
                <wp:positionH relativeFrom="column">
                  <wp:posOffset>2050415</wp:posOffset>
                </wp:positionH>
                <wp:positionV relativeFrom="paragraph">
                  <wp:posOffset>2534920</wp:posOffset>
                </wp:positionV>
                <wp:extent cx="897890" cy="222250"/>
                <wp:effectExtent l="12065" t="10795" r="13970" b="5080"/>
                <wp:wrapNone/>
                <wp:docPr id="72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890" cy="222250"/>
                        </a:xfrm>
                        <a:prstGeom prst="rect">
                          <a:avLst/>
                        </a:prstGeom>
                        <a:solidFill>
                          <a:srgbClr val="FFFFFF"/>
                        </a:solidFill>
                        <a:ln w="9525">
                          <a:solidFill>
                            <a:srgbClr val="000000"/>
                          </a:solidFill>
                          <a:miter lim="800000"/>
                          <a:headEnd/>
                          <a:tailEnd/>
                        </a:ln>
                      </wps:spPr>
                      <wps:txbx>
                        <w:txbxContent>
                          <w:p w:rsidR="005063CB" w:rsidRPr="001E5219" w:rsidRDefault="005063CB" w:rsidP="001E5219">
                            <w:pPr>
                              <w:rPr>
                                <w:sz w:val="18"/>
                              </w:rPr>
                            </w:pPr>
                            <w:r w:rsidRPr="001E5219">
                              <w:rPr>
                                <w:sz w:val="18"/>
                              </w:rPr>
                              <w:t>Budget deficit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027" style="position:absolute;left:0;text-align:left;margin-left:161.45pt;margin-top:199.6pt;width:70.7pt;height:1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">
                <v:textbox>
                  <w:txbxContent>
                    <w:p w:rsidR="005063CB" w:rsidRPr="001E5219" w:rsidRDefault="005063CB" w:rsidP="001E5219">
                      <w:pPr>
                        <w:rPr>
                          <w:sz w:val="18"/>
                        </w:rPr>
                      </w:pPr>
                      <w:r w:rsidRPr="001E5219">
                        <w:rPr>
                          <w:sz w:val="18"/>
                        </w:rPr>
                        <w:t>Budget deficit</w:t>
                      </w:r>
                    </w:p>
                  </w:txbxContent>
                </v:textbox>
              </v:rect>
            </w:pict>
          </mc:Fallback>
        </mc:AlternateContent>
      </w:r>
      <w:r>
        <w:rPr>
          <w:rFonts w:ascii="Calibri" w:hAnsi="Calibri" w:cs="Arial"/>
          <w:noProof/>
          <w:color w:val="C00000"/>
          <w:lang w:val="ro-RO" w:eastAsia="ro-RO"/>
        </w:rPr>
        <mc:AlternateContent>
          <mc:Choice Requires="wps">
            <w:drawing>
              <wp:anchor distT="0" distB="0" distL="114300" distR="114300" simplePos="0" relativeHeight="251666944" behindDoc="0" locked="0" layoutInCell="1" allowOverlap="1">
                <wp:simplePos x="0" y="0"/>
                <wp:positionH relativeFrom="column">
                  <wp:posOffset>457835</wp:posOffset>
                </wp:positionH>
                <wp:positionV relativeFrom="paragraph">
                  <wp:posOffset>2254885</wp:posOffset>
                </wp:positionV>
                <wp:extent cx="1309370" cy="222250"/>
                <wp:effectExtent l="10160" t="6985" r="13970" b="8890"/>
                <wp:wrapNone/>
                <wp:docPr id="72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9370" cy="222250"/>
                        </a:xfrm>
                        <a:prstGeom prst="rect">
                          <a:avLst/>
                        </a:prstGeom>
                        <a:solidFill>
                          <a:srgbClr val="FFFFFF"/>
                        </a:solidFill>
                        <a:ln w="9525">
                          <a:solidFill>
                            <a:srgbClr val="000000"/>
                          </a:solidFill>
                          <a:miter lim="800000"/>
                          <a:headEnd/>
                          <a:tailEnd/>
                        </a:ln>
                      </wps:spPr>
                      <wps:txbx>
                        <w:txbxContent>
                          <w:p w:rsidR="005063CB" w:rsidRPr="001E5219" w:rsidRDefault="005063CB" w:rsidP="001E5219">
                            <w:pPr>
                              <w:rPr>
                                <w:sz w:val="18"/>
                              </w:rPr>
                            </w:pPr>
                            <w:r>
                              <w:rPr>
                                <w:sz w:val="18"/>
                              </w:rPr>
                              <w:t>Investment expenditure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028" style="position:absolute;left:0;text-align:left;margin-left:36.05pt;margin-top:177.55pt;width:103.1pt;height:1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">
                <v:textbox>
                  <w:txbxContent>
                    <w:p w:rsidR="005063CB" w:rsidRPr="001E5219" w:rsidRDefault="005063CB" w:rsidP="001E5219">
                      <w:pPr>
                        <w:rPr>
                          <w:sz w:val="18"/>
                        </w:rPr>
                      </w:pPr>
                      <w:r>
                        <w:rPr>
                          <w:sz w:val="18"/>
                        </w:rPr>
                        <w:t>Investment expenditure</w:t>
                      </w:r>
                    </w:p>
                  </w:txbxContent>
                </v:textbox>
              </v:rect>
            </w:pict>
          </mc:Fallback>
        </mc:AlternateContent>
      </w:r>
      <w:r>
        <w:rPr>
          <w:rFonts w:ascii="Calibri" w:hAnsi="Calibri"/>
          <w:b/>
          <w:noProof/>
          <w:sz w:val="20"/>
          <w:szCs w:val="20"/>
          <w:lang w:val="ro-RO" w:eastAsia="ro-RO"/>
        </w:rPr>
        <mc:AlternateContent>
          <mc:Choice Requires="wps">
            <w:drawing>
              <wp:anchor distT="0" distB="0" distL="114300" distR="114300" simplePos="0" relativeHeight="251665920" behindDoc="0" locked="0" layoutInCell="1" allowOverlap="1">
                <wp:simplePos x="0" y="0"/>
                <wp:positionH relativeFrom="column">
                  <wp:posOffset>457835</wp:posOffset>
                </wp:positionH>
                <wp:positionV relativeFrom="paragraph">
                  <wp:posOffset>2032635</wp:posOffset>
                </wp:positionV>
                <wp:extent cx="897890" cy="222250"/>
                <wp:effectExtent l="10160" t="13335" r="6350" b="12065"/>
                <wp:wrapNone/>
                <wp:docPr id="72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890" cy="222250"/>
                        </a:xfrm>
                        <a:prstGeom prst="rect">
                          <a:avLst/>
                        </a:prstGeom>
                        <a:solidFill>
                          <a:srgbClr val="FFFFFF"/>
                        </a:solidFill>
                        <a:ln w="9525">
                          <a:solidFill>
                            <a:srgbClr val="000000"/>
                          </a:solidFill>
                          <a:miter lim="800000"/>
                          <a:headEnd/>
                          <a:tailEnd/>
                        </a:ln>
                      </wps:spPr>
                      <wps:txbx>
                        <w:txbxContent>
                          <w:p w:rsidR="005063CB" w:rsidRPr="001E5219" w:rsidRDefault="005063CB">
                            <w:pPr>
                              <w:rPr>
                                <w:sz w:val="18"/>
                              </w:rPr>
                            </w:pPr>
                            <w:r w:rsidRPr="001E5219">
                              <w:rPr>
                                <w:sz w:val="18"/>
                              </w:rPr>
                              <w:t>Budget deficit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4" o:spid="_x0000_s1029" style="position:absolute;left:0;text-align:left;margin-left:36.05pt;margin-top:160.05pt;width:70.7pt;height:1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">
                <v:textbox>
                  <w:txbxContent>
                    <w:p w:rsidR="005063CB" w:rsidRPr="001E5219" w:rsidRDefault="005063CB">
                      <w:pPr>
                        <w:rPr>
                          <w:sz w:val="18"/>
                        </w:rPr>
                      </w:pPr>
                      <w:r w:rsidRPr="001E5219">
                        <w:rPr>
                          <w:sz w:val="18"/>
                        </w:rPr>
                        <w:t>Budget deficit</w:t>
                      </w:r>
                    </w:p>
                  </w:txbxContent>
                </v:textbox>
              </v:rect>
            </w:pict>
          </mc:Fallback>
        </mc:AlternateContent>
      </w:r>
      <w:r>
        <w:rPr>
          <w:rFonts w:ascii="Calibri" w:hAnsi="Calibri"/>
          <w:b/>
          <w:noProof/>
          <w:sz w:val="20"/>
          <w:szCs w:val="20"/>
          <w:lang w:val="ro-RO" w:eastAsia="ro-RO"/>
        </w:rPr>
        <mc:AlternateContent>
          <mc:Choice Requires="wps">
            <w:drawing>
              <wp:anchor distT="0" distB="0" distL="114300" distR="114300" simplePos="0" relativeHeight="251664896" behindDoc="0" locked="0" layoutInCell="1" allowOverlap="1">
                <wp:simplePos x="0" y="0"/>
                <wp:positionH relativeFrom="column">
                  <wp:posOffset>1068070</wp:posOffset>
                </wp:positionH>
                <wp:positionV relativeFrom="paragraph">
                  <wp:posOffset>154305</wp:posOffset>
                </wp:positionV>
                <wp:extent cx="4398645" cy="411480"/>
                <wp:effectExtent l="10795" t="11430" r="10160" b="5715"/>
                <wp:wrapNone/>
                <wp:docPr id="72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8645" cy="411480"/>
                        </a:xfrm>
                        <a:prstGeom prst="rect">
                          <a:avLst/>
                        </a:prstGeom>
                        <a:solidFill>
                          <a:srgbClr val="FFFFFF"/>
                        </a:solidFill>
                        <a:ln w="9525">
                          <a:solidFill>
                            <a:srgbClr val="000000"/>
                          </a:solidFill>
                          <a:miter lim="800000"/>
                          <a:headEnd/>
                          <a:tailEnd/>
                        </a:ln>
                      </wps:spPr>
                      <wps:txbx>
                        <w:txbxContent>
                          <w:p w:rsidR="005063CB" w:rsidRPr="001E5219" w:rsidRDefault="005063CB" w:rsidP="001E5219">
                            <w:pPr>
                              <w:jc w:val="center"/>
                              <w:rPr>
                                <w:sz w:val="20"/>
                              </w:rPr>
                            </w:pPr>
                            <w:r w:rsidRPr="001E5219">
                              <w:rPr>
                                <w:sz w:val="20"/>
                              </w:rPr>
                              <w:t>(Cash) budget deficit and Investment expenditures in 2017-2021</w:t>
                            </w:r>
                          </w:p>
                          <w:p w:rsidR="005063CB" w:rsidRPr="001E5219" w:rsidRDefault="005063CB" w:rsidP="001E5219">
                            <w:pPr>
                              <w:jc w:val="center"/>
                              <w:rPr>
                                <w:sz w:val="20"/>
                              </w:rPr>
                            </w:pPr>
                            <w:r w:rsidRPr="001E5219">
                              <w:rPr>
                                <w:sz w:val="20"/>
                              </w:rPr>
                              <w:t>%of GDP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3" o:spid="_x0000_s1030" style="position:absolute;left:0;text-align:left;margin-left:84.1pt;margin-top:12.15pt;width:346.35pt;height:32.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">
                <v:textbox>
                  <w:txbxContent>
                    <w:p w:rsidR="005063CB" w:rsidRPr="001E5219" w:rsidRDefault="005063CB" w:rsidP="001E5219">
                      <w:pPr>
                        <w:jc w:val="center"/>
                        <w:rPr>
                          <w:sz w:val="20"/>
                        </w:rPr>
                      </w:pPr>
                      <w:r w:rsidRPr="001E5219">
                        <w:rPr>
                          <w:sz w:val="20"/>
                        </w:rPr>
                        <w:t>(Cash) budget deficit and Investment expenditures in 2017-2021</w:t>
                      </w:r>
                    </w:p>
                    <w:p w:rsidR="005063CB" w:rsidRPr="001E5219" w:rsidRDefault="005063CB" w:rsidP="001E5219">
                      <w:pPr>
                        <w:jc w:val="center"/>
                        <w:rPr>
                          <w:sz w:val="20"/>
                        </w:rPr>
                      </w:pPr>
                      <w:r w:rsidRPr="001E5219">
                        <w:rPr>
                          <w:sz w:val="20"/>
                        </w:rPr>
                        <w:t>%of GDP</w:t>
                      </w:r>
                    </w:p>
                  </w:txbxContent>
                </v:textbox>
              </v:rect>
            </w:pict>
          </mc:Fallback>
        </mc:AlternateContent>
      </w:r>
      <w:r>
        <w:rPr>
          <w:rFonts w:ascii="Calibri" w:hAnsi="Calibri"/>
          <w:b/>
          <w:noProof/>
          <w:sz w:val="20"/>
          <w:szCs w:val="20"/>
          <w:lang w:val="ro-RO" w:eastAsia="ro-RO"/>
        </w:rPr>
        <w:drawing>
          <wp:inline distT="0" distB="0" distL="0" distR="0">
            <wp:extent cx="5931535" cy="2858770"/>
            <wp:effectExtent l="0" t="0" r="0" b="0"/>
            <wp:docPr id="10"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A425D" w:rsidRDefault="006A425D" w:rsidP="006A425D">
      <w:pPr>
        <w:jc w:val="both"/>
        <w:rPr>
          <w:rFonts w:ascii="Calibri" w:eastAsia="Calibri" w:hAnsi="Calibri"/>
          <w:b/>
          <w:sz w:val="20"/>
          <w:szCs w:val="20"/>
          <w:lang w:val="ro-RO"/>
        </w:rPr>
      </w:pPr>
    </w:p>
    <w:p w:rsidR="006A425D" w:rsidRDefault="006A425D" w:rsidP="006A425D">
      <w:pPr>
        <w:jc w:val="both"/>
        <w:rPr>
          <w:rFonts w:ascii="Calibri" w:hAnsi="Calibri"/>
          <w:bCs/>
          <w:color w:val="000000" w:themeColor="text1"/>
        </w:rPr>
      </w:pPr>
      <w:r>
        <w:rPr>
          <w:rFonts w:ascii="Calibri" w:hAnsi="Calibri"/>
          <w:bCs/>
          <w:color w:val="000000" w:themeColor="text1"/>
          <w:sz w:val="22"/>
          <w:szCs w:val="22"/>
        </w:rPr>
        <w:t xml:space="preserve">Source: MPF </w:t>
      </w:r>
    </w:p>
    <w:p w:rsidR="006A425D" w:rsidRPr="002C1741" w:rsidRDefault="006A425D" w:rsidP="006A425D">
      <w:pPr>
        <w:jc w:val="both"/>
        <w:rPr>
          <w:rFonts w:ascii="Calibri" w:hAnsi="Calibri"/>
          <w:bCs/>
          <w:color w:val="000000" w:themeColor="text1"/>
          <w:lang w:val="ro-RO"/>
        </w:rPr>
      </w:pPr>
    </w:p>
    <w:p w:rsidR="006A425D" w:rsidRPr="002C1741" w:rsidRDefault="006A425D" w:rsidP="006A425D">
      <w:pPr>
        <w:jc w:val="both"/>
        <w:rPr>
          <w:rFonts w:ascii="Calibri" w:hAnsi="Calibri"/>
          <w:b/>
          <w:bCs/>
          <w:color w:val="000000" w:themeColor="text1"/>
        </w:rPr>
      </w:pPr>
      <w:r>
        <w:rPr>
          <w:rFonts w:ascii="Calibri" w:hAnsi="Calibri"/>
          <w:bCs/>
          <w:color w:val="000000" w:themeColor="text1"/>
        </w:rPr>
        <w:t xml:space="preserve">Between 2017 and 2021 investment expenditures were permanently over the level of budget deficit, although a deepening of the deficit is found in 2018, </w:t>
      </w:r>
      <w:r>
        <w:rPr>
          <w:rFonts w:ascii="Calibri" w:hAnsi="Calibri"/>
          <w:b/>
          <w:bCs/>
          <w:color w:val="000000" w:themeColor="text1"/>
        </w:rPr>
        <w:t>which enters the adjustment trajectory as of 2019</w:t>
      </w:r>
      <w:r>
        <w:rPr>
          <w:rFonts w:ascii="Calibri" w:hAnsi="Calibri"/>
          <w:bCs/>
          <w:color w:val="000000" w:themeColor="text1"/>
        </w:rPr>
        <w:t xml:space="preserve">. </w:t>
      </w:r>
    </w:p>
    <w:p w:rsidR="006A425D" w:rsidRPr="002C1741" w:rsidRDefault="006A425D" w:rsidP="006A425D">
      <w:pPr>
        <w:jc w:val="both"/>
        <w:rPr>
          <w:rFonts w:ascii="Calibri" w:hAnsi="Calibri"/>
          <w:bCs/>
          <w:color w:val="000000" w:themeColor="text1"/>
          <w:lang w:val="ro-RO"/>
        </w:rPr>
      </w:pPr>
    </w:p>
    <w:p w:rsidR="006A425D" w:rsidRPr="002C1741" w:rsidRDefault="006A425D" w:rsidP="006A425D">
      <w:pPr>
        <w:ind w:firstLine="708"/>
        <w:jc w:val="both"/>
        <w:rPr>
          <w:rFonts w:ascii="Calibri" w:hAnsi="Calibri"/>
          <w:color w:val="000000" w:themeColor="text1"/>
        </w:rPr>
      </w:pPr>
      <w:r>
        <w:rPr>
          <w:rFonts w:ascii="Calibri" w:hAnsi="Calibri"/>
          <w:color w:val="000000" w:themeColor="text1"/>
        </w:rPr>
        <w:t>A major priority of the Government is to improve the process of assessment, selection, prioritization and implementation of public investments, in order to increase the absorption of European funds, so as to decongestionate the fiscal space and support economic growth.</w:t>
      </w:r>
    </w:p>
    <w:p w:rsidR="006A425D" w:rsidRPr="002C1741" w:rsidRDefault="006A425D" w:rsidP="006A425D">
      <w:pPr>
        <w:ind w:firstLine="708"/>
        <w:jc w:val="both"/>
        <w:rPr>
          <w:rFonts w:ascii="Calibri" w:hAnsi="Calibri"/>
          <w:color w:val="000000" w:themeColor="text1"/>
          <w:lang w:val="ro-RO"/>
        </w:rPr>
      </w:pPr>
    </w:p>
    <w:p w:rsidR="006A425D" w:rsidRDefault="006A425D" w:rsidP="006A425D">
      <w:pPr>
        <w:ind w:firstLine="720"/>
        <w:jc w:val="both"/>
        <w:rPr>
          <w:rFonts w:ascii="Calibri" w:hAnsi="Calibri"/>
          <w:color w:val="000000" w:themeColor="text1"/>
          <w:lang w:val="ro-RO"/>
        </w:rPr>
      </w:pPr>
    </w:p>
    <w:p w:rsidR="006A425D" w:rsidRDefault="006A425D" w:rsidP="006A425D">
      <w:pPr>
        <w:ind w:firstLine="720"/>
        <w:jc w:val="both"/>
        <w:rPr>
          <w:rFonts w:ascii="Calibri" w:hAnsi="Calibri"/>
          <w:color w:val="000000" w:themeColor="text1"/>
          <w:lang w:val="ro-RO"/>
        </w:rPr>
      </w:pPr>
    </w:p>
    <w:p w:rsidR="006A425D" w:rsidRDefault="00DF768F" w:rsidP="006A425D">
      <w:pPr>
        <w:ind w:firstLine="720"/>
        <w:jc w:val="both"/>
        <w:rPr>
          <w:rFonts w:ascii="Calibri" w:hAnsi="Calibri"/>
          <w:color w:val="000000" w:themeColor="text1"/>
        </w:rPr>
      </w:pPr>
      <w:r>
        <w:rPr>
          <w:rFonts w:ascii="Calibri" w:hAnsi="Calibri"/>
          <w:noProof/>
          <w:color w:val="000000"/>
          <w:lang w:val="ro-RO" w:eastAsia="ro-RO"/>
        </w:rPr>
        <mc:AlternateContent>
          <mc:Choice Requires="wps">
            <w:drawing>
              <wp:anchor distT="0" distB="0" distL="114300" distR="114300" simplePos="0" relativeHeight="251674112" behindDoc="0" locked="0" layoutInCell="1" allowOverlap="1">
                <wp:simplePos x="0" y="0"/>
                <wp:positionH relativeFrom="column">
                  <wp:posOffset>988695</wp:posOffset>
                </wp:positionH>
                <wp:positionV relativeFrom="paragraph">
                  <wp:posOffset>2890520</wp:posOffset>
                </wp:positionV>
                <wp:extent cx="1990090" cy="230505"/>
                <wp:effectExtent l="7620" t="13970" r="12065" b="12700"/>
                <wp:wrapNone/>
                <wp:docPr id="722"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090" cy="230505"/>
                        </a:xfrm>
                        <a:prstGeom prst="rect">
                          <a:avLst/>
                        </a:prstGeom>
                        <a:solidFill>
                          <a:srgbClr val="FFFFFF"/>
                        </a:solidFill>
                        <a:ln w="9525">
                          <a:solidFill>
                            <a:srgbClr val="000000"/>
                          </a:solidFill>
                          <a:miter lim="800000"/>
                          <a:headEnd/>
                          <a:tailEnd/>
                        </a:ln>
                      </wps:spPr>
                      <wps:txbx>
                        <w:txbxContent>
                          <w:p w:rsidR="005063CB" w:rsidRPr="001E5219" w:rsidRDefault="005063CB" w:rsidP="001E5219">
                            <w:pPr>
                              <w:rPr>
                                <w:sz w:val="20"/>
                              </w:rPr>
                            </w:pPr>
                            <w:r>
                              <w:rPr>
                                <w:sz w:val="20"/>
                              </w:rPr>
                              <w:t>ENF projects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2" o:spid="_x0000_s1031" style="position:absolute;left:0;text-align:left;margin-left:77.85pt;margin-top:227.6pt;width:156.7pt;height:18.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">
                <v:textbox>
                  <w:txbxContent>
                    <w:p w:rsidR="005063CB" w:rsidRPr="001E5219" w:rsidRDefault="005063CB" w:rsidP="001E5219">
                      <w:pPr>
                        <w:rPr>
                          <w:sz w:val="20"/>
                        </w:rPr>
                      </w:pPr>
                      <w:r>
                        <w:rPr>
                          <w:sz w:val="20"/>
                        </w:rPr>
                        <w:t>ENF projects</w:t>
                      </w:r>
                    </w:p>
                  </w:txbxContent>
                </v:textbox>
              </v:rect>
            </w:pict>
          </mc:Fallback>
        </mc:AlternateContent>
      </w:r>
      <w:r>
        <w:rPr>
          <w:rFonts w:ascii="Calibri" w:hAnsi="Calibri"/>
          <w:noProof/>
          <w:color w:val="000000" w:themeColor="text1"/>
          <w:lang w:val="ro-RO" w:eastAsia="ro-RO"/>
        </w:rPr>
        <mc:AlternateContent>
          <mc:Choice Requires="wps">
            <w:drawing>
              <wp:anchor distT="0" distB="0" distL="114300" distR="114300" simplePos="0" relativeHeight="251673088" behindDoc="0" locked="0" layoutInCell="1" allowOverlap="1">
                <wp:simplePos x="0" y="0"/>
                <wp:positionH relativeFrom="column">
                  <wp:posOffset>988695</wp:posOffset>
                </wp:positionH>
                <wp:positionV relativeFrom="paragraph">
                  <wp:posOffset>2601595</wp:posOffset>
                </wp:positionV>
                <wp:extent cx="1990090" cy="288925"/>
                <wp:effectExtent l="7620" t="10795" r="12065" b="5080"/>
                <wp:wrapNone/>
                <wp:docPr id="721"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090" cy="288925"/>
                        </a:xfrm>
                        <a:prstGeom prst="rect">
                          <a:avLst/>
                        </a:prstGeom>
                        <a:solidFill>
                          <a:srgbClr val="FFFFFF"/>
                        </a:solidFill>
                        <a:ln w="9525">
                          <a:solidFill>
                            <a:srgbClr val="000000"/>
                          </a:solidFill>
                          <a:miter lim="800000"/>
                          <a:headEnd/>
                          <a:tailEnd/>
                        </a:ln>
                      </wps:spPr>
                      <wps:txbx>
                        <w:txbxContent>
                          <w:p w:rsidR="005063CB" w:rsidRPr="001E5219" w:rsidRDefault="005063CB" w:rsidP="001E5219">
                            <w:pPr>
                              <w:rPr>
                                <w:sz w:val="14"/>
                              </w:rPr>
                            </w:pPr>
                            <w:r w:rsidRPr="001E5219">
                              <w:rPr>
                                <w:sz w:val="14"/>
                              </w:rPr>
                              <w:t>Expenditures corresponding to programs with reimbursable financing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1" o:spid="_x0000_s1032" style="position:absolute;left:0;text-align:left;margin-left:77.85pt;margin-top:204.85pt;width:156.7pt;height:22.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">
                <v:textbox>
                  <w:txbxContent>
                    <w:p w:rsidR="005063CB" w:rsidRPr="001E5219" w:rsidRDefault="005063CB" w:rsidP="001E5219">
                      <w:pPr>
                        <w:rPr>
                          <w:sz w:val="14"/>
                        </w:rPr>
                      </w:pPr>
                      <w:r w:rsidRPr="001E5219">
                        <w:rPr>
                          <w:sz w:val="14"/>
                        </w:rPr>
                        <w:t>Expenditures corresponding to programs with reimbursable financing</w:t>
                      </w:r>
                    </w:p>
                  </w:txbxContent>
                </v:textbox>
              </v:rect>
            </w:pict>
          </mc:Fallback>
        </mc:AlternateContent>
      </w:r>
      <w:r>
        <w:rPr>
          <w:rFonts w:ascii="Calibri" w:hAnsi="Calibri"/>
          <w:noProof/>
          <w:color w:val="000000"/>
          <w:lang w:val="ro-RO" w:eastAsia="ro-RO"/>
        </w:rPr>
        <mc:AlternateContent>
          <mc:Choice Requires="wps">
            <w:drawing>
              <wp:anchor distT="0" distB="0" distL="114300" distR="114300" simplePos="0" relativeHeight="251671040" behindDoc="0" locked="0" layoutInCell="1" allowOverlap="1">
                <wp:simplePos x="0" y="0"/>
                <wp:positionH relativeFrom="column">
                  <wp:posOffset>988695</wp:posOffset>
                </wp:positionH>
                <wp:positionV relativeFrom="paragraph">
                  <wp:posOffset>2190115</wp:posOffset>
                </wp:positionV>
                <wp:extent cx="1990090" cy="230505"/>
                <wp:effectExtent l="7620" t="8890" r="12065" b="8255"/>
                <wp:wrapNone/>
                <wp:docPr id="720"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090" cy="230505"/>
                        </a:xfrm>
                        <a:prstGeom prst="rect">
                          <a:avLst/>
                        </a:prstGeom>
                        <a:solidFill>
                          <a:srgbClr val="FFFFFF"/>
                        </a:solidFill>
                        <a:ln w="9525">
                          <a:solidFill>
                            <a:srgbClr val="000000"/>
                          </a:solidFill>
                          <a:miter lim="800000"/>
                          <a:headEnd/>
                          <a:tailEnd/>
                        </a:ln>
                      </wps:spPr>
                      <wps:txbx>
                        <w:txbxContent>
                          <w:p w:rsidR="005063CB" w:rsidRPr="001E5219" w:rsidRDefault="005063CB" w:rsidP="001E5219">
                            <w:pPr>
                              <w:rPr>
                                <w:sz w:val="20"/>
                              </w:rPr>
                            </w:pPr>
                            <w:r>
                              <w:rPr>
                                <w:sz w:val="20"/>
                              </w:rPr>
                              <w:t>Other transfers of investment type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9" o:spid="_x0000_s1033" style="position:absolute;left:0;text-align:left;margin-left:77.85pt;margin-top:172.45pt;width:156.7pt;height:18.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">
                <v:textbox>
                  <w:txbxContent>
                    <w:p w:rsidR="005063CB" w:rsidRPr="001E5219" w:rsidRDefault="005063CB" w:rsidP="001E5219">
                      <w:pPr>
                        <w:rPr>
                          <w:sz w:val="20"/>
                        </w:rPr>
                      </w:pPr>
                      <w:r>
                        <w:rPr>
                          <w:sz w:val="20"/>
                        </w:rPr>
                        <w:t>Other transfers of investment type</w:t>
                      </w:r>
                    </w:p>
                  </w:txbxContent>
                </v:textbox>
              </v:rect>
            </w:pict>
          </mc:Fallback>
        </mc:AlternateContent>
      </w:r>
      <w:r>
        <w:rPr>
          <w:rFonts w:ascii="Calibri" w:hAnsi="Calibri"/>
          <w:noProof/>
          <w:color w:val="000000"/>
          <w:lang w:val="ro-RO" w:eastAsia="ro-RO"/>
        </w:rPr>
        <mc:AlternateContent>
          <mc:Choice Requires="wps">
            <w:drawing>
              <wp:anchor distT="0" distB="0" distL="114300" distR="114300" simplePos="0" relativeHeight="251672064" behindDoc="0" locked="0" layoutInCell="1" allowOverlap="1">
                <wp:simplePos x="0" y="0"/>
                <wp:positionH relativeFrom="column">
                  <wp:posOffset>988695</wp:posOffset>
                </wp:positionH>
                <wp:positionV relativeFrom="paragraph">
                  <wp:posOffset>2371725</wp:posOffset>
                </wp:positionV>
                <wp:extent cx="1990090" cy="230505"/>
                <wp:effectExtent l="7620" t="9525" r="12065" b="7620"/>
                <wp:wrapNone/>
                <wp:docPr id="719"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090" cy="230505"/>
                        </a:xfrm>
                        <a:prstGeom prst="rect">
                          <a:avLst/>
                        </a:prstGeom>
                        <a:solidFill>
                          <a:srgbClr val="FFFFFF"/>
                        </a:solidFill>
                        <a:ln w="9525">
                          <a:solidFill>
                            <a:srgbClr val="000000"/>
                          </a:solidFill>
                          <a:miter lim="800000"/>
                          <a:headEnd/>
                          <a:tailEnd/>
                        </a:ln>
                      </wps:spPr>
                      <wps:txbx>
                        <w:txbxContent>
                          <w:p w:rsidR="005063CB" w:rsidRPr="001E5219" w:rsidRDefault="005063CB" w:rsidP="001E5219">
                            <w:pPr>
                              <w:rPr>
                                <w:sz w:val="20"/>
                              </w:rPr>
                            </w:pPr>
                            <w:r>
                              <w:rPr>
                                <w:sz w:val="20"/>
                              </w:rPr>
                              <w:t>Capital expenditures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0" o:spid="_x0000_s1034" style="position:absolute;left:0;text-align:left;margin-left:77.85pt;margin-top:186.75pt;width:156.7pt;height:18.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">
                <v:textbox>
                  <w:txbxContent>
                    <w:p w:rsidR="005063CB" w:rsidRPr="001E5219" w:rsidRDefault="005063CB" w:rsidP="001E5219">
                      <w:pPr>
                        <w:rPr>
                          <w:sz w:val="20"/>
                        </w:rPr>
                      </w:pPr>
                      <w:r>
                        <w:rPr>
                          <w:sz w:val="20"/>
                        </w:rPr>
                        <w:t>Capital expenditures</w:t>
                      </w:r>
                    </w:p>
                  </w:txbxContent>
                </v:textbox>
              </v:rect>
            </w:pict>
          </mc:Fallback>
        </mc:AlternateContent>
      </w:r>
      <w:r>
        <w:rPr>
          <w:rFonts w:ascii="Calibri" w:hAnsi="Calibri"/>
          <w:noProof/>
          <w:color w:val="000000" w:themeColor="text1"/>
          <w:lang w:val="ro-RO" w:eastAsia="ro-RO"/>
        </w:rPr>
        <mc:AlternateContent>
          <mc:Choice Requires="wps">
            <w:drawing>
              <wp:anchor distT="0" distB="0" distL="114300" distR="114300" simplePos="0" relativeHeight="251670016" behindDoc="0" locked="0" layoutInCell="1" allowOverlap="1">
                <wp:simplePos x="0" y="0"/>
                <wp:positionH relativeFrom="column">
                  <wp:posOffset>1652270</wp:posOffset>
                </wp:positionH>
                <wp:positionV relativeFrom="paragraph">
                  <wp:posOffset>7620</wp:posOffset>
                </wp:positionV>
                <wp:extent cx="3336290" cy="304800"/>
                <wp:effectExtent l="13970" t="7620" r="12065" b="11430"/>
                <wp:wrapNone/>
                <wp:docPr id="71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6290" cy="304800"/>
                        </a:xfrm>
                        <a:prstGeom prst="rect">
                          <a:avLst/>
                        </a:prstGeom>
                        <a:solidFill>
                          <a:srgbClr val="FFFFFF"/>
                        </a:solidFill>
                        <a:ln w="9525">
                          <a:solidFill>
                            <a:srgbClr val="000000"/>
                          </a:solidFill>
                          <a:miter lim="800000"/>
                          <a:headEnd/>
                          <a:tailEnd/>
                        </a:ln>
                      </wps:spPr>
                      <wps:txbx>
                        <w:txbxContent>
                          <w:p w:rsidR="005063CB" w:rsidRPr="001E5219" w:rsidRDefault="005063CB">
                            <w:pPr>
                              <w:rPr>
                                <w:sz w:val="20"/>
                              </w:rPr>
                            </w:pPr>
                            <w:r w:rsidRPr="001E5219">
                              <w:rPr>
                                <w:sz w:val="20"/>
                              </w:rPr>
                              <w:t>Structure of investment expenditures in 2019-2021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8" o:spid="_x0000_s1035" style="position:absolute;left:0;text-align:left;margin-left:130.1pt;margin-top:.6pt;width:262.7pt;height:2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">
                <v:textbox>
                  <w:txbxContent>
                    <w:p w:rsidR="005063CB" w:rsidRPr="001E5219" w:rsidRDefault="005063CB">
                      <w:pPr>
                        <w:rPr>
                          <w:sz w:val="20"/>
                        </w:rPr>
                      </w:pPr>
                      <w:r w:rsidRPr="001E5219">
                        <w:rPr>
                          <w:sz w:val="20"/>
                        </w:rPr>
                        <w:t>Structure of investment expenditures in 2019-2021</w:t>
                      </w:r>
                    </w:p>
                  </w:txbxContent>
                </v:textbox>
              </v:rect>
            </w:pict>
          </mc:Fallback>
        </mc:AlternateContent>
      </w:r>
      <w:r>
        <w:rPr>
          <w:rFonts w:ascii="Calibri" w:hAnsi="Calibri"/>
          <w:noProof/>
          <w:color w:val="000000" w:themeColor="text1"/>
          <w:lang w:val="ro-RO" w:eastAsia="ro-RO"/>
        </w:rPr>
        <w:drawing>
          <wp:inline distT="0" distB="0" distL="0" distR="0">
            <wp:extent cx="5675630" cy="3014980"/>
            <wp:effectExtent l="0" t="0" r="0" b="0"/>
            <wp:docPr id="8"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A425D" w:rsidRPr="002C1741" w:rsidRDefault="006A425D" w:rsidP="006A425D">
      <w:pPr>
        <w:ind w:firstLine="720"/>
        <w:jc w:val="both"/>
        <w:rPr>
          <w:rFonts w:ascii="Calibri" w:hAnsi="Calibri"/>
          <w:color w:val="000000" w:themeColor="text1"/>
          <w:lang w:val="ro-RO"/>
        </w:rPr>
      </w:pPr>
    </w:p>
    <w:p w:rsidR="006A425D" w:rsidRPr="002C1741" w:rsidRDefault="006A425D" w:rsidP="006A425D">
      <w:pPr>
        <w:ind w:firstLine="720"/>
        <w:jc w:val="both"/>
        <w:rPr>
          <w:rFonts w:ascii="Calibri" w:hAnsi="Calibri"/>
        </w:rPr>
      </w:pPr>
      <w:r>
        <w:rPr>
          <w:rFonts w:ascii="Calibri" w:hAnsi="Calibri"/>
          <w:color w:val="000000"/>
        </w:rPr>
        <w:t>In 2019, expenditures dedicated to investments represent 49.9 billion Lei, being approximately 4.89% of GDP.</w:t>
      </w:r>
    </w:p>
    <w:p w:rsidR="006A425D" w:rsidRPr="002C1741" w:rsidRDefault="006A425D" w:rsidP="006A425D">
      <w:pPr>
        <w:ind w:firstLine="720"/>
        <w:jc w:val="both"/>
        <w:rPr>
          <w:rFonts w:ascii="Calibri" w:hAnsi="Calibri"/>
          <w:lang w:val="ro-RO"/>
        </w:rPr>
      </w:pPr>
    </w:p>
    <w:p w:rsidR="006A425D" w:rsidRPr="002C1741" w:rsidRDefault="006A425D" w:rsidP="006A425D">
      <w:pPr>
        <w:shd w:val="clear" w:color="auto" w:fill="D9D9D9" w:themeFill="background1" w:themeFillShade="D9"/>
        <w:spacing w:before="120" w:after="100" w:line="269" w:lineRule="auto"/>
        <w:ind w:left="360" w:hanging="360"/>
        <w:jc w:val="both"/>
        <w:rPr>
          <w:rFonts w:ascii="Calibri" w:eastAsia="Calibri" w:hAnsi="Calibri"/>
          <w:b/>
          <w:color w:val="000066"/>
        </w:rPr>
      </w:pPr>
      <w:r>
        <w:rPr>
          <w:rFonts w:ascii="Calibri" w:hAnsi="Calibri"/>
          <w:b/>
          <w:color w:val="333399"/>
          <w:shd w:val="clear" w:color="auto" w:fill="E0E0E0"/>
        </w:rPr>
        <w:t>3</w:t>
      </w:r>
      <w:r>
        <w:rPr>
          <w:rFonts w:ascii="Calibri" w:hAnsi="Calibri"/>
          <w:b/>
          <w:color w:val="000080"/>
          <w:shd w:val="clear" w:color="auto" w:fill="E0E0E0"/>
        </w:rPr>
        <w:t xml:space="preserve">. </w:t>
      </w:r>
      <w:r>
        <w:rPr>
          <w:rFonts w:ascii="Calibri" w:hAnsi="Calibri"/>
          <w:b/>
          <w:color w:val="000066"/>
        </w:rPr>
        <w:t>Creating a predictable fiscal policy to support the business environment and stimulate investments in sectors with high added value, simplifying fiscality, in order to create the assumption for sustainable economic growth;</w:t>
      </w:r>
    </w:p>
    <w:p w:rsidR="006A425D" w:rsidRPr="002C1741" w:rsidRDefault="006A425D" w:rsidP="006A425D">
      <w:pPr>
        <w:keepNext/>
        <w:widowControl w:val="0"/>
        <w:spacing w:after="60"/>
        <w:jc w:val="both"/>
        <w:rPr>
          <w:rFonts w:ascii="Calibri" w:hAnsi="Calibri"/>
          <w:color w:val="002060"/>
          <w:lang w:val="ro-RO"/>
        </w:rPr>
      </w:pPr>
    </w:p>
    <w:p w:rsidR="006A425D" w:rsidRPr="002C1741" w:rsidRDefault="006A425D" w:rsidP="006A425D">
      <w:pPr>
        <w:autoSpaceDE w:val="0"/>
        <w:jc w:val="both"/>
        <w:rPr>
          <w:rFonts w:ascii="Calibri" w:hAnsi="Calibri" w:cs="Arial"/>
        </w:rPr>
      </w:pPr>
      <w:r>
        <w:rPr>
          <w:rFonts w:ascii="Calibri" w:hAnsi="Calibri"/>
        </w:rPr>
        <w:t>The main objectives of the fiscal policy taken into account for medium term mainly refer to the following aspects:</w:t>
      </w:r>
    </w:p>
    <w:p w:rsidR="006A425D" w:rsidRPr="002C1741" w:rsidRDefault="006A425D" w:rsidP="00565476">
      <w:pPr>
        <w:numPr>
          <w:ilvl w:val="0"/>
          <w:numId w:val="186"/>
        </w:numPr>
        <w:autoSpaceDE w:val="0"/>
        <w:jc w:val="both"/>
        <w:rPr>
          <w:rFonts w:ascii="Calibri" w:hAnsi="Calibri"/>
        </w:rPr>
      </w:pPr>
      <w:r>
        <w:rPr>
          <w:rFonts w:ascii="Calibri" w:hAnsi="Calibri"/>
        </w:rPr>
        <w:t>Continued implementation of the measures included in the Government Programme for 2018 - 2020, as the fiscal and budgetary space allows it;</w:t>
      </w:r>
    </w:p>
    <w:p w:rsidR="006A425D" w:rsidRPr="002C1741" w:rsidRDefault="006A425D" w:rsidP="00565476">
      <w:pPr>
        <w:numPr>
          <w:ilvl w:val="0"/>
          <w:numId w:val="186"/>
        </w:numPr>
        <w:autoSpaceDE w:val="0"/>
        <w:jc w:val="both"/>
        <w:rPr>
          <w:rFonts w:ascii="Calibri" w:hAnsi="Calibri"/>
        </w:rPr>
      </w:pPr>
      <w:r>
        <w:rPr>
          <w:rFonts w:ascii="Calibri" w:hAnsi="Calibri"/>
        </w:rPr>
        <w:t>Continued improvement of the legislation to correspond to the criteria of harmonization with the Community legislation, through transposition into the national legislation of the measures adopted at European level;</w:t>
      </w:r>
    </w:p>
    <w:p w:rsidR="006A425D" w:rsidRPr="002C1741" w:rsidRDefault="006A425D" w:rsidP="00565476">
      <w:pPr>
        <w:numPr>
          <w:ilvl w:val="0"/>
          <w:numId w:val="186"/>
        </w:numPr>
        <w:autoSpaceDE w:val="0"/>
        <w:jc w:val="both"/>
        <w:rPr>
          <w:rFonts w:ascii="Calibri" w:hAnsi="Calibri"/>
        </w:rPr>
      </w:pPr>
      <w:r>
        <w:rPr>
          <w:rFonts w:ascii="Calibri" w:hAnsi="Calibri"/>
        </w:rPr>
        <w:t xml:space="preserve">Improvement and simplification of the fiscal legislation, as a result of the dialogue with the business environment; </w:t>
      </w:r>
    </w:p>
    <w:p w:rsidR="006A425D" w:rsidRPr="002C1741" w:rsidRDefault="006A425D" w:rsidP="00565476">
      <w:pPr>
        <w:numPr>
          <w:ilvl w:val="0"/>
          <w:numId w:val="186"/>
        </w:numPr>
        <w:autoSpaceDE w:val="0"/>
        <w:jc w:val="both"/>
        <w:rPr>
          <w:rFonts w:ascii="Calibri" w:hAnsi="Calibri"/>
        </w:rPr>
      </w:pPr>
      <w:r>
        <w:rPr>
          <w:rFonts w:ascii="Calibri" w:hAnsi="Calibri"/>
        </w:rPr>
        <w:t>Improving the legislation according to evasion phenomena, in order to fight them.</w:t>
      </w:r>
    </w:p>
    <w:p w:rsidR="006A425D" w:rsidRPr="002C1741" w:rsidRDefault="006A425D" w:rsidP="006A425D">
      <w:pPr>
        <w:suppressAutoHyphens/>
        <w:spacing w:line="276" w:lineRule="auto"/>
        <w:jc w:val="both"/>
        <w:rPr>
          <w:rFonts w:ascii="Calibri" w:hAnsi="Calibri" w:cs="Calibri"/>
        </w:rPr>
      </w:pPr>
      <w:r>
        <w:rPr>
          <w:rFonts w:asciiTheme="minorHAnsi" w:hAnsiTheme="minorHAnsi"/>
        </w:rPr>
        <w:tab/>
      </w:r>
      <w:r>
        <w:rPr>
          <w:rFonts w:ascii="Calibri" w:hAnsi="Calibri"/>
        </w:rPr>
        <w:t>The main fiscal measures are presented in detail in chapter 4 of the strategy.</w:t>
      </w:r>
    </w:p>
    <w:p w:rsidR="006A425D" w:rsidRPr="002C1741" w:rsidRDefault="006A425D" w:rsidP="006A425D">
      <w:pPr>
        <w:suppressAutoHyphens/>
        <w:spacing w:line="276" w:lineRule="auto"/>
        <w:jc w:val="both"/>
        <w:rPr>
          <w:rFonts w:ascii="Calibri" w:hAnsi="Calibri"/>
          <w:color w:val="002060"/>
        </w:rPr>
      </w:pPr>
      <w:r>
        <w:rPr>
          <w:rFonts w:asciiTheme="minorHAnsi" w:hAnsiTheme="minorHAnsi"/>
        </w:rPr>
        <w:tab/>
      </w:r>
    </w:p>
    <w:p w:rsidR="006A425D" w:rsidRPr="002C1741" w:rsidRDefault="006A425D" w:rsidP="006A425D">
      <w:pPr>
        <w:shd w:val="clear" w:color="auto" w:fill="D9D9D9" w:themeFill="background1" w:themeFillShade="D9"/>
        <w:tabs>
          <w:tab w:val="left" w:pos="142"/>
        </w:tabs>
        <w:jc w:val="both"/>
        <w:rPr>
          <w:rFonts w:ascii="Calibri" w:hAnsi="Calibri"/>
          <w:b/>
          <w:i/>
          <w:color w:val="000066"/>
        </w:rPr>
      </w:pPr>
      <w:r>
        <w:rPr>
          <w:b/>
          <w:i/>
          <w:color w:val="000066"/>
        </w:rPr>
        <w:t xml:space="preserve">4. </w:t>
      </w:r>
      <w:r>
        <w:rPr>
          <w:rFonts w:ascii="Calibri" w:hAnsi="Calibri"/>
          <w:b/>
          <w:i/>
          <w:color w:val="000066"/>
        </w:rPr>
        <w:t>Measures adopted by the Government regarding the stimulation of consumption through the adoption of salary related and social measures for assurance of social protection and security for the elderly, the retired, students and the most vulnerable categories.</w:t>
      </w:r>
    </w:p>
    <w:p w:rsidR="006A425D" w:rsidRPr="002C1741" w:rsidRDefault="006A425D" w:rsidP="006A425D">
      <w:pPr>
        <w:autoSpaceDE w:val="0"/>
        <w:autoSpaceDN w:val="0"/>
        <w:adjustRightInd w:val="0"/>
        <w:jc w:val="both"/>
        <w:rPr>
          <w:rFonts w:ascii="Calibri" w:eastAsiaTheme="minorHAnsi" w:hAnsi="Calibri" w:cs="Calibri"/>
          <w:b/>
          <w:color w:val="000000"/>
        </w:rPr>
      </w:pPr>
      <w:bookmarkStart w:id="0" w:name="__RefHeading___Toc386110854"/>
      <w:bookmarkEnd w:id="0"/>
    </w:p>
    <w:p w:rsidR="006A425D" w:rsidRPr="002C1741" w:rsidRDefault="006A425D" w:rsidP="006A425D">
      <w:pPr>
        <w:autoSpaceDE w:val="0"/>
        <w:autoSpaceDN w:val="0"/>
        <w:adjustRightInd w:val="0"/>
        <w:jc w:val="both"/>
        <w:rPr>
          <w:rFonts w:ascii="Calibri" w:eastAsia="Calibri" w:hAnsi="Calibri" w:cs="Calibri"/>
          <w:b/>
          <w:color w:val="000000"/>
          <w:lang w:val="ro-RO"/>
        </w:rPr>
      </w:pPr>
    </w:p>
    <w:p w:rsidR="006A425D" w:rsidRPr="003964D3" w:rsidRDefault="006A425D" w:rsidP="00565476">
      <w:pPr>
        <w:numPr>
          <w:ilvl w:val="0"/>
          <w:numId w:val="205"/>
        </w:numPr>
        <w:autoSpaceDE w:val="0"/>
        <w:autoSpaceDN w:val="0"/>
        <w:adjustRightInd w:val="0"/>
        <w:spacing w:after="160" w:line="259" w:lineRule="auto"/>
        <w:ind w:left="720"/>
        <w:contextualSpacing/>
        <w:jc w:val="both"/>
        <w:rPr>
          <w:rFonts w:ascii="Calibri" w:eastAsia="Calibri" w:hAnsi="Calibri" w:cs="Arial"/>
          <w:color w:val="000000" w:themeColor="text1"/>
        </w:rPr>
      </w:pPr>
      <w:r>
        <w:rPr>
          <w:rFonts w:ascii="Calibri" w:hAnsi="Calibri"/>
          <w:color w:val="000000" w:themeColor="text1"/>
        </w:rPr>
        <w:t>As of January 1, 2019, the minimum gross salary guaranteed at country level provided by art. 164 para. (1) in Law no. 53/2003 - Labor Code, as republished, as subsequently amended and supplemented, shall be established in money, without inclusion of bonuses and other additions, at the amount of 2,080 Lei per month;</w:t>
      </w:r>
    </w:p>
    <w:p w:rsidR="006A425D" w:rsidRPr="003964D3" w:rsidRDefault="006A425D" w:rsidP="00565476">
      <w:pPr>
        <w:numPr>
          <w:ilvl w:val="0"/>
          <w:numId w:val="203"/>
        </w:numPr>
        <w:spacing w:after="160" w:line="259" w:lineRule="auto"/>
        <w:ind w:left="720"/>
        <w:contextualSpacing/>
        <w:jc w:val="both"/>
        <w:rPr>
          <w:rFonts w:ascii="Calibri" w:eastAsia="Calibri" w:hAnsi="Calibri" w:cs="Arial"/>
          <w:color w:val="000000" w:themeColor="text1"/>
        </w:rPr>
      </w:pPr>
      <w:r>
        <w:rPr>
          <w:rFonts w:ascii="Calibri" w:hAnsi="Calibri"/>
          <w:color w:val="000000" w:themeColor="text1"/>
        </w:rPr>
        <w:t>as of January 1, 2019, the basic salaries, the position based military pay/position based salaries, the employment allowances shall be increased by 1/4 from the difference between the basic salary, the position based military pay/position based salary, the employment allowance provided by law for year 2022 and that from the month of December 2018;</w:t>
      </w:r>
    </w:p>
    <w:p w:rsidR="006A425D" w:rsidRPr="003964D3" w:rsidRDefault="006A425D" w:rsidP="006A425D">
      <w:pPr>
        <w:suppressAutoHyphens/>
        <w:autoSpaceDE w:val="0"/>
        <w:adjustRightInd w:val="0"/>
        <w:spacing w:line="276" w:lineRule="auto"/>
        <w:ind w:left="1068"/>
        <w:contextualSpacing/>
        <w:jc w:val="both"/>
        <w:rPr>
          <w:rFonts w:ascii="Calibri" w:eastAsia="Calibri" w:hAnsi="Calibri" w:cs="Arial"/>
          <w:color w:val="000000" w:themeColor="text1"/>
          <w:szCs w:val="22"/>
          <w:lang w:val="ro-RO" w:eastAsia="zh-CN"/>
        </w:rPr>
      </w:pPr>
    </w:p>
    <w:p w:rsidR="006A425D" w:rsidRPr="003964D3" w:rsidRDefault="006A425D" w:rsidP="006A425D">
      <w:pPr>
        <w:numPr>
          <w:ilvl w:val="0"/>
          <w:numId w:val="170"/>
        </w:numPr>
        <w:suppressAutoHyphens/>
        <w:spacing w:after="120" w:line="276" w:lineRule="auto"/>
        <w:ind w:left="426" w:firstLine="0"/>
        <w:contextualSpacing/>
        <w:jc w:val="both"/>
        <w:rPr>
          <w:rFonts w:ascii="Calibri" w:eastAsia="MS Mincho" w:hAnsi="Calibri" w:cs="Arial"/>
          <w:bCs/>
          <w:color w:val="000000"/>
        </w:rPr>
      </w:pPr>
      <w:r>
        <w:rPr>
          <w:rFonts w:ascii="Calibri" w:hAnsi="Calibri"/>
          <w:bCs/>
          <w:color w:val="000066"/>
        </w:rPr>
        <w:t xml:space="preserve">Ensuring decent revenues for the retired, </w:t>
      </w:r>
      <w:r>
        <w:rPr>
          <w:rFonts w:ascii="Calibri" w:hAnsi="Calibri"/>
          <w:bCs/>
          <w:color w:val="000000"/>
        </w:rPr>
        <w:t xml:space="preserve">to allow them to have a dignified and decent life after retiring is a priority of the Government Programme for 2018-2020;  </w:t>
      </w:r>
    </w:p>
    <w:p w:rsidR="006A425D" w:rsidRPr="00950853" w:rsidRDefault="006A425D" w:rsidP="00565476">
      <w:pPr>
        <w:numPr>
          <w:ilvl w:val="1"/>
          <w:numId w:val="231"/>
        </w:numPr>
        <w:tabs>
          <w:tab w:val="left" w:pos="810"/>
        </w:tabs>
        <w:autoSpaceDE w:val="0"/>
        <w:autoSpaceDN w:val="0"/>
        <w:adjustRightInd w:val="0"/>
        <w:spacing w:after="120" w:line="276" w:lineRule="auto"/>
        <w:contextualSpacing/>
        <w:jc w:val="both"/>
        <w:rPr>
          <w:rFonts w:ascii="Calibri" w:eastAsia="Calibri" w:hAnsi="Calibri" w:cs="Arial"/>
          <w:color w:val="000000"/>
        </w:rPr>
      </w:pPr>
      <w:r>
        <w:rPr>
          <w:rFonts w:ascii="Calibri" w:hAnsi="Calibri"/>
          <w:color w:val="000000"/>
        </w:rPr>
        <w:t>As of September 1, 2019, the value of the pension point will be increased by 15%, respectively from Lei 1,100 to Lei 1,265;</w:t>
      </w:r>
    </w:p>
    <w:p w:rsidR="006A425D" w:rsidRPr="005E0909" w:rsidRDefault="006A425D" w:rsidP="00565476">
      <w:pPr>
        <w:numPr>
          <w:ilvl w:val="1"/>
          <w:numId w:val="231"/>
        </w:numPr>
        <w:tabs>
          <w:tab w:val="left" w:pos="810"/>
        </w:tabs>
        <w:autoSpaceDE w:val="0"/>
        <w:autoSpaceDN w:val="0"/>
        <w:adjustRightInd w:val="0"/>
        <w:spacing w:after="120" w:line="276" w:lineRule="auto"/>
        <w:contextualSpacing/>
        <w:jc w:val="both"/>
        <w:rPr>
          <w:rFonts w:ascii="Calibri" w:eastAsia="Calibri" w:hAnsi="Calibri" w:cs="Arial"/>
          <w:color w:val="000000"/>
        </w:rPr>
      </w:pPr>
      <w:r>
        <w:rPr>
          <w:rFonts w:ascii="Calibri" w:hAnsi="Calibri"/>
        </w:rPr>
        <w:t>as of September 1, 2019, the guaranteed social allowance for the retired will be increased by 10%, respectively from Lei 640 to Lei 704;</w:t>
      </w:r>
    </w:p>
    <w:p w:rsidR="006A425D" w:rsidRPr="002C1741" w:rsidRDefault="006A425D" w:rsidP="006A425D">
      <w:pPr>
        <w:tabs>
          <w:tab w:val="left" w:pos="810"/>
        </w:tabs>
        <w:autoSpaceDE w:val="0"/>
        <w:autoSpaceDN w:val="0"/>
        <w:adjustRightInd w:val="0"/>
        <w:spacing w:after="120" w:line="276" w:lineRule="auto"/>
        <w:ind w:left="720"/>
        <w:contextualSpacing/>
        <w:jc w:val="both"/>
        <w:rPr>
          <w:rFonts w:ascii="Calibri Light" w:eastAsia="Calibri" w:hAnsi="Calibri Light" w:cs="Arial"/>
          <w:bCs/>
          <w:color w:val="000000" w:themeColor="text1"/>
          <w:lang w:val="ro-RO"/>
        </w:rPr>
      </w:pPr>
    </w:p>
    <w:tbl>
      <w:tblPr>
        <w:tblW w:w="0" w:type="auto"/>
        <w:shd w:val="clear" w:color="auto" w:fill="FFFFFF"/>
        <w:tblLook w:val="04A0" w:firstRow="1" w:lastRow="0" w:firstColumn="1" w:lastColumn="0" w:noHBand="0" w:noVBand="1"/>
      </w:tblPr>
      <w:tblGrid>
        <w:gridCol w:w="9923"/>
      </w:tblGrid>
      <w:tr w:rsidR="006A425D" w:rsidRPr="002C1741" w:rsidTr="006A425D">
        <w:trPr>
          <w:trHeight w:val="334"/>
        </w:trPr>
        <w:tc>
          <w:tcPr>
            <w:tcW w:w="9923" w:type="dxa"/>
            <w:shd w:val="clear" w:color="auto" w:fill="FFFFFF"/>
          </w:tcPr>
          <w:p w:rsidR="006A425D" w:rsidRPr="002C1741" w:rsidRDefault="006A425D" w:rsidP="006A425D">
            <w:pPr>
              <w:widowControl w:val="0"/>
              <w:numPr>
                <w:ilvl w:val="0"/>
                <w:numId w:val="170"/>
              </w:numPr>
              <w:suppressAutoHyphens/>
              <w:autoSpaceDE w:val="0"/>
              <w:autoSpaceDN w:val="0"/>
              <w:adjustRightInd w:val="0"/>
              <w:spacing w:after="120" w:line="276" w:lineRule="auto"/>
              <w:ind w:left="601" w:hanging="317"/>
              <w:contextualSpacing/>
              <w:jc w:val="both"/>
              <w:rPr>
                <w:rFonts w:asciiTheme="minorHAnsi" w:eastAsia="Calibri" w:hAnsiTheme="minorHAnsi" w:cs="Arial"/>
                <w:b/>
                <w:color w:val="000048"/>
              </w:rPr>
            </w:pPr>
            <w:r>
              <w:rPr>
                <w:rFonts w:asciiTheme="minorHAnsi" w:hAnsiTheme="minorHAnsi"/>
                <w:b/>
                <w:bCs/>
                <w:color w:val="00004C"/>
              </w:rPr>
              <w:t>The policy in the field of social assistance, social inclusion and reducing poverty</w:t>
            </w:r>
          </w:p>
        </w:tc>
      </w:tr>
    </w:tbl>
    <w:p w:rsidR="006A425D" w:rsidRPr="002C1741" w:rsidRDefault="006A425D" w:rsidP="006A425D">
      <w:pPr>
        <w:shd w:val="clear" w:color="auto" w:fill="FFFFFF"/>
        <w:spacing w:after="150" w:line="165" w:lineRule="atLeast"/>
        <w:ind w:left="720"/>
        <w:contextualSpacing/>
        <w:jc w:val="both"/>
        <w:textAlignment w:val="baseline"/>
        <w:rPr>
          <w:rFonts w:ascii="Calibri" w:hAnsi="Calibri" w:cs="Arial"/>
          <w:b/>
        </w:rPr>
      </w:pPr>
      <w:r>
        <w:rPr>
          <w:rFonts w:ascii="Calibri" w:hAnsi="Calibri"/>
          <w:bCs/>
          <w:color w:val="000048"/>
        </w:rPr>
        <w:t xml:space="preserve">The strategic objective of this policy is </w:t>
      </w:r>
      <w:r>
        <w:rPr>
          <w:rFonts w:ascii="Calibri" w:hAnsi="Calibri"/>
          <w:b/>
          <w:color w:val="000048"/>
        </w:rPr>
        <w:t xml:space="preserve">to decrease the number of people at risk </w:t>
      </w:r>
      <w:r>
        <w:rPr>
          <w:rFonts w:ascii="Calibri" w:hAnsi="Calibri"/>
          <w:b/>
        </w:rPr>
        <w:t xml:space="preserve">of poverty and social exclusion, in the context of creating a network of integrated, extensive and </w:t>
      </w:r>
      <w:r w:rsidR="00F00F75">
        <w:rPr>
          <w:rFonts w:ascii="Calibri" w:hAnsi="Calibri"/>
          <w:b/>
        </w:rPr>
        <w:t>well-coordinated</w:t>
      </w:r>
      <w:r>
        <w:rPr>
          <w:rFonts w:ascii="Calibri" w:hAnsi="Calibri"/>
          <w:b/>
        </w:rPr>
        <w:t xml:space="preserve"> social services. </w:t>
      </w:r>
    </w:p>
    <w:p w:rsidR="006A425D" w:rsidRPr="002C1741" w:rsidRDefault="006A425D" w:rsidP="00DE741A">
      <w:pPr>
        <w:shd w:val="clear" w:color="auto" w:fill="FFFFFF"/>
        <w:spacing w:after="150" w:line="165" w:lineRule="atLeast"/>
        <w:contextualSpacing/>
        <w:jc w:val="both"/>
        <w:textAlignment w:val="baseline"/>
        <w:rPr>
          <w:rFonts w:asciiTheme="minorHAnsi" w:hAnsiTheme="minorHAnsi" w:cstheme="minorHAnsi"/>
          <w:color w:val="000000" w:themeColor="text1"/>
          <w:lang w:val="ro-RO"/>
        </w:rPr>
      </w:pPr>
    </w:p>
    <w:p w:rsidR="006A425D" w:rsidRPr="002C1741" w:rsidRDefault="006A425D" w:rsidP="006A425D">
      <w:pPr>
        <w:shd w:val="clear" w:color="auto" w:fill="D9D9D9"/>
        <w:ind w:left="720"/>
        <w:rPr>
          <w:rFonts w:ascii="Calibri" w:hAnsi="Calibri"/>
          <w:color w:val="000080"/>
        </w:rPr>
      </w:pPr>
      <w:r>
        <w:rPr>
          <w:rFonts w:ascii="Calibri" w:hAnsi="Calibri"/>
          <w:b/>
          <w:color w:val="000080"/>
        </w:rPr>
        <w:t xml:space="preserve">5. Developing and diversifying public debt management instruments </w:t>
      </w:r>
    </w:p>
    <w:p w:rsidR="006A425D" w:rsidRPr="002C1741" w:rsidRDefault="006A425D" w:rsidP="006A425D">
      <w:pPr>
        <w:suppressAutoHyphens/>
        <w:rPr>
          <w:lang w:val="ro-RO" w:eastAsia="zh-CN"/>
        </w:rPr>
      </w:pPr>
    </w:p>
    <w:p w:rsidR="006A425D" w:rsidRPr="006F59B8" w:rsidRDefault="006A425D" w:rsidP="006A425D">
      <w:pPr>
        <w:suppressAutoHyphens/>
        <w:spacing w:line="276" w:lineRule="auto"/>
        <w:jc w:val="both"/>
        <w:rPr>
          <w:rFonts w:asciiTheme="minorHAnsi" w:hAnsiTheme="minorHAnsi" w:cs="Arial"/>
          <w:color w:val="000000"/>
        </w:rPr>
      </w:pPr>
      <w:r>
        <w:rPr>
          <w:rFonts w:asciiTheme="minorHAnsi" w:hAnsiTheme="minorHAnsi"/>
          <w:color w:val="000000"/>
        </w:rPr>
        <w:t xml:space="preserve">On medium term, in order to fulfill the objective of development of the government securities market, the financing of the State budget deficit and the refinancing of government public debt will be mainly made from domestic sources and, as supplementation, from external sources, through issuances of government securities. The MPF will continue to have a flexible and transparent approach in making the financing process, reacting promptly to the changes of the market framework and to the investors’ behavior. </w:t>
      </w:r>
    </w:p>
    <w:p w:rsidR="006A425D" w:rsidRPr="006F59B8" w:rsidRDefault="006A425D" w:rsidP="006A425D">
      <w:pPr>
        <w:suppressAutoHyphens/>
        <w:spacing w:line="276" w:lineRule="auto"/>
        <w:jc w:val="both"/>
        <w:rPr>
          <w:rFonts w:asciiTheme="minorHAnsi" w:hAnsiTheme="minorHAnsi" w:cs="Arial"/>
          <w:color w:val="000000"/>
          <w:lang w:val="ro-RO" w:eastAsia="zh-CN"/>
        </w:rPr>
      </w:pPr>
    </w:p>
    <w:p w:rsidR="006A425D" w:rsidRPr="006F59B8" w:rsidRDefault="006A425D" w:rsidP="006A425D">
      <w:pPr>
        <w:suppressAutoHyphens/>
        <w:spacing w:line="276" w:lineRule="auto"/>
        <w:jc w:val="both"/>
        <w:rPr>
          <w:rFonts w:asciiTheme="minorHAnsi" w:hAnsiTheme="minorHAnsi" w:cs="Arial"/>
          <w:color w:val="000000"/>
        </w:rPr>
      </w:pPr>
      <w:r>
        <w:rPr>
          <w:rFonts w:asciiTheme="minorHAnsi" w:hAnsiTheme="minorHAnsi"/>
          <w:color w:val="000000"/>
        </w:rPr>
        <w:t xml:space="preserve">In order to increase the accessibility of private individuals to purchasing government securities, it is considered to continue the issuance of government securities for the population through the “Tezaur” Program, within the limit of an annual ceiling, both through the operative units of the State Treasury and through the post offices of the National Company “Posta Romana” and the credit institutions, as well as to make it more flexible through the introduction of the possibility of anticipated redemption and transfer of ownership between private individuals. </w:t>
      </w:r>
    </w:p>
    <w:p w:rsidR="006A425D" w:rsidRPr="006F59B8" w:rsidRDefault="006A425D" w:rsidP="006A425D">
      <w:pPr>
        <w:suppressAutoHyphens/>
        <w:spacing w:line="276" w:lineRule="auto"/>
        <w:jc w:val="both"/>
        <w:rPr>
          <w:rFonts w:asciiTheme="minorHAnsi" w:hAnsiTheme="minorHAnsi" w:cs="Arial"/>
          <w:color w:val="000000"/>
          <w:lang w:val="ro-RO" w:eastAsia="zh-CN"/>
        </w:rPr>
      </w:pPr>
    </w:p>
    <w:p w:rsidR="006A425D" w:rsidRPr="006F59B8" w:rsidRDefault="006A425D" w:rsidP="006A425D">
      <w:pPr>
        <w:suppressAutoHyphens/>
        <w:spacing w:line="276" w:lineRule="auto"/>
        <w:jc w:val="both"/>
        <w:rPr>
          <w:rFonts w:asciiTheme="minorHAnsi" w:hAnsiTheme="minorHAnsi" w:cs="Arial"/>
          <w:color w:val="000000"/>
        </w:rPr>
      </w:pPr>
      <w:r>
        <w:rPr>
          <w:rFonts w:asciiTheme="minorHAnsi" w:hAnsiTheme="minorHAnsi"/>
          <w:iCs/>
          <w:color w:val="000000"/>
        </w:rPr>
        <w:t xml:space="preserve">In order to avoid seasonal pressure in assuring financing sources for the budget deficit and refinancing government public debt, the State Treasury will keep, just like in previous years, the financial reserve (buffer) in foreign currency, at an equivalent value covering the gross financing needs determined by the budget deficit and refinancing of public debt for approximately 4 months. </w:t>
      </w:r>
    </w:p>
    <w:p w:rsidR="006A425D" w:rsidRPr="006F59B8" w:rsidRDefault="006A425D" w:rsidP="006A425D">
      <w:pPr>
        <w:suppressAutoHyphens/>
        <w:spacing w:line="276" w:lineRule="auto"/>
        <w:jc w:val="both"/>
        <w:rPr>
          <w:rFonts w:ascii="Arial" w:hAnsi="Arial" w:cs="Arial"/>
          <w:color w:val="000000"/>
          <w:sz w:val="20"/>
          <w:szCs w:val="20"/>
          <w:lang w:val="ro-RO" w:eastAsia="zh-CN"/>
        </w:rPr>
      </w:pPr>
    </w:p>
    <w:p w:rsidR="006A425D" w:rsidRPr="002C1741" w:rsidRDefault="006A425D" w:rsidP="006A425D">
      <w:pPr>
        <w:shd w:val="clear" w:color="auto" w:fill="D9D9D9" w:themeFill="background1" w:themeFillShade="D9"/>
        <w:autoSpaceDE w:val="0"/>
        <w:autoSpaceDN w:val="0"/>
        <w:adjustRightInd w:val="0"/>
        <w:spacing w:before="120" w:after="100" w:line="280" w:lineRule="exact"/>
        <w:jc w:val="both"/>
        <w:rPr>
          <w:rFonts w:ascii="Calibri Light" w:hAnsi="Calibri Light" w:cs="Arial"/>
          <w:b/>
          <w:color w:val="000048"/>
        </w:rPr>
      </w:pPr>
      <w:r>
        <w:rPr>
          <w:rFonts w:ascii="Calibri" w:hAnsi="Calibri"/>
          <w:b/>
          <w:iCs/>
          <w:color w:val="002060"/>
        </w:rPr>
        <w:t>6</w:t>
      </w:r>
      <w:r>
        <w:rPr>
          <w:rFonts w:ascii="Calibri" w:hAnsi="Calibri"/>
          <w:b/>
          <w:iCs/>
          <w:color w:val="000048"/>
        </w:rPr>
        <w:t xml:space="preserve">. </w:t>
      </w:r>
      <w:r>
        <w:rPr>
          <w:rFonts w:ascii="Calibri" w:hAnsi="Calibri"/>
          <w:b/>
          <w:color w:val="000048"/>
        </w:rPr>
        <w:t xml:space="preserve">Improving, applying and consolidating budgetary governance, </w:t>
      </w:r>
      <w:r>
        <w:rPr>
          <w:rFonts w:ascii="Calibri" w:hAnsi="Calibri"/>
          <w:b/>
        </w:rPr>
        <w:t>increasing budgetary transparency and making public spending more efficient</w:t>
      </w:r>
    </w:p>
    <w:p w:rsidR="006A425D" w:rsidRPr="002C1741" w:rsidRDefault="006A425D" w:rsidP="006A425D">
      <w:pPr>
        <w:keepNext/>
        <w:widowControl w:val="0"/>
        <w:spacing w:before="120" w:after="60" w:line="276" w:lineRule="auto"/>
        <w:jc w:val="both"/>
        <w:rPr>
          <w:rFonts w:asciiTheme="minorHAnsi" w:hAnsiTheme="minorHAnsi"/>
          <w:color w:val="000048"/>
        </w:rPr>
      </w:pPr>
      <w:r>
        <w:rPr>
          <w:rFonts w:asciiTheme="minorHAnsi" w:hAnsiTheme="minorHAnsi"/>
          <w:i/>
          <w:color w:val="000048"/>
        </w:rPr>
        <w:t xml:space="preserve">Making public spending more transparent and efficient </w:t>
      </w:r>
      <w:r>
        <w:rPr>
          <w:rFonts w:asciiTheme="minorHAnsi" w:hAnsiTheme="minorHAnsi"/>
          <w:color w:val="000048"/>
        </w:rPr>
        <w:t>will contribute to increasing fiscal space for investments, improving public finance sustainability on the medium and long term, increasing the capacity of absorption of European funds and increasing the predictability of the budgetary policy on medium term.</w:t>
      </w:r>
    </w:p>
    <w:p w:rsidR="006A425D" w:rsidRPr="002C1741" w:rsidRDefault="006A425D" w:rsidP="006A425D">
      <w:pPr>
        <w:keepNext/>
        <w:widowControl w:val="0"/>
        <w:spacing w:before="120" w:after="60" w:line="276" w:lineRule="auto"/>
        <w:jc w:val="both"/>
        <w:rPr>
          <w:rFonts w:asciiTheme="minorHAnsi" w:eastAsia="Calibri" w:hAnsiTheme="minorHAnsi" w:cs="Calibri"/>
          <w:color w:val="000000" w:themeColor="text1"/>
        </w:rPr>
      </w:pPr>
      <w:r>
        <w:rPr>
          <w:rFonts w:ascii="Calibri" w:hAnsi="Calibri"/>
          <w:color w:val="000000" w:themeColor="text1"/>
        </w:rPr>
        <w:t xml:space="preserve">The Ministry of Public Finance gives special attention to </w:t>
      </w:r>
      <w:r>
        <w:rPr>
          <w:rFonts w:ascii="Calibri" w:hAnsi="Calibri"/>
          <w:color w:val="000048"/>
        </w:rPr>
        <w:t>the process of institutionalization of public spending analysis</w:t>
      </w:r>
      <w:r>
        <w:rPr>
          <w:rFonts w:asciiTheme="minorHAnsi" w:hAnsiTheme="minorHAnsi"/>
          <w:color w:val="000048"/>
        </w:rPr>
        <w:t xml:space="preserve">, </w:t>
      </w:r>
      <w:r>
        <w:rPr>
          <w:rFonts w:asciiTheme="minorHAnsi" w:hAnsiTheme="minorHAnsi"/>
          <w:color w:val="000000" w:themeColor="text1"/>
        </w:rPr>
        <w:t xml:space="preserve">through the creation of a structure responsible with making these analyses and elaborating adequate procedures for the ministries which would lead to an optimal allocation of resources.  </w:t>
      </w:r>
    </w:p>
    <w:p w:rsidR="006A425D" w:rsidRPr="002C1741" w:rsidRDefault="006A425D" w:rsidP="006A425D">
      <w:pPr>
        <w:widowControl w:val="0"/>
        <w:tabs>
          <w:tab w:val="num" w:pos="1440"/>
        </w:tabs>
        <w:autoSpaceDE w:val="0"/>
        <w:autoSpaceDN w:val="0"/>
        <w:adjustRightInd w:val="0"/>
        <w:spacing w:line="276" w:lineRule="auto"/>
        <w:jc w:val="both"/>
        <w:rPr>
          <w:rFonts w:asciiTheme="minorHAnsi" w:hAnsiTheme="minorHAnsi"/>
        </w:rPr>
      </w:pPr>
      <w:r>
        <w:rPr>
          <w:rFonts w:asciiTheme="minorHAnsi" w:hAnsiTheme="minorHAnsi"/>
          <w:bCs/>
          <w:color w:val="000048"/>
        </w:rPr>
        <w:t>Pilot spending analyses were made in the fields of transportation, health, education,</w:t>
      </w:r>
      <w:r>
        <w:rPr>
          <w:rFonts w:asciiTheme="minorHAnsi" w:hAnsiTheme="minorHAnsi"/>
        </w:rPr>
        <w:t xml:space="preserve"> in order to prioritize and make more efficient their allocation and identify saving modalities.</w:t>
      </w:r>
    </w:p>
    <w:p w:rsidR="006A425D" w:rsidRPr="002C1741" w:rsidRDefault="006A425D" w:rsidP="006A425D">
      <w:pPr>
        <w:widowControl w:val="0"/>
        <w:tabs>
          <w:tab w:val="num" w:pos="1440"/>
        </w:tabs>
        <w:autoSpaceDE w:val="0"/>
        <w:autoSpaceDN w:val="0"/>
        <w:adjustRightInd w:val="0"/>
        <w:spacing w:line="276" w:lineRule="auto"/>
        <w:jc w:val="both"/>
        <w:rPr>
          <w:rFonts w:asciiTheme="minorHAnsi" w:hAnsiTheme="minorHAnsi"/>
          <w:color w:val="000000"/>
        </w:rPr>
      </w:pPr>
      <w:r>
        <w:rPr>
          <w:rFonts w:asciiTheme="minorHAnsi" w:hAnsiTheme="minorHAnsi"/>
        </w:rPr>
        <w:t xml:space="preserve"> Also, in 2017 started the implementation of </w:t>
      </w:r>
      <w:r>
        <w:rPr>
          <w:rFonts w:asciiTheme="minorHAnsi" w:hAnsiTheme="minorHAnsi"/>
          <w:color w:val="000048"/>
        </w:rPr>
        <w:t>a technical assistance project regarding the consolidation of the capacity of making public spending analyses</w:t>
      </w:r>
      <w:r>
        <w:rPr>
          <w:rFonts w:asciiTheme="minorHAnsi" w:hAnsiTheme="minorHAnsi"/>
        </w:rPr>
        <w:t xml:space="preserve">, through the EC - Structural Reform Support Programme. The end purpose of the project is to elaborate a </w:t>
      </w:r>
      <w:r>
        <w:rPr>
          <w:rFonts w:asciiTheme="minorHAnsi" w:hAnsiTheme="minorHAnsi"/>
          <w:color w:val="000048"/>
        </w:rPr>
        <w:t>Public spending analysis manual, which details the practices to be followed in the public spending analysis process.</w:t>
      </w:r>
    </w:p>
    <w:p w:rsidR="006A425D" w:rsidRPr="002C1741" w:rsidRDefault="006A425D" w:rsidP="006A425D">
      <w:pPr>
        <w:widowControl w:val="0"/>
        <w:tabs>
          <w:tab w:val="num" w:pos="1440"/>
        </w:tabs>
        <w:autoSpaceDE w:val="0"/>
        <w:autoSpaceDN w:val="0"/>
        <w:adjustRightInd w:val="0"/>
        <w:spacing w:line="276" w:lineRule="auto"/>
        <w:jc w:val="both"/>
        <w:rPr>
          <w:color w:val="000000"/>
          <w:sz w:val="20"/>
          <w:szCs w:val="20"/>
          <w:lang w:val="ro-RO"/>
        </w:rPr>
      </w:pPr>
    </w:p>
    <w:p w:rsidR="006A425D" w:rsidRPr="003964D3" w:rsidRDefault="006A425D" w:rsidP="006A425D">
      <w:pPr>
        <w:spacing w:before="120" w:after="120" w:line="259" w:lineRule="auto"/>
        <w:jc w:val="both"/>
        <w:rPr>
          <w:rFonts w:ascii="Calibri" w:hAnsi="Calibri"/>
        </w:rPr>
      </w:pPr>
      <w:r>
        <w:rPr>
          <w:rFonts w:ascii="Calibri" w:hAnsi="Calibri"/>
          <w:b/>
          <w:color w:val="000048"/>
        </w:rPr>
        <w:t xml:space="preserve">Measures to limit spending, </w:t>
      </w:r>
      <w:r>
        <w:rPr>
          <w:rFonts w:ascii="Calibri" w:hAnsi="Calibri"/>
          <w:color w:val="000048"/>
        </w:rPr>
        <w:t>as applicable, in order to observe the target deficit below 3%</w:t>
      </w:r>
      <w:r>
        <w:rPr>
          <w:rFonts w:ascii="Calibri" w:hAnsi="Calibri"/>
          <w:iCs/>
          <w:color w:val="000048"/>
        </w:rPr>
        <w:t xml:space="preserve"> </w:t>
      </w:r>
      <w:r>
        <w:rPr>
          <w:rFonts w:ascii="Calibri" w:hAnsi="Calibri"/>
          <w:iCs/>
        </w:rPr>
        <w:t xml:space="preserve">of GDP through </w:t>
      </w:r>
      <w:r>
        <w:rPr>
          <w:rFonts w:ascii="Calibri" w:hAnsi="Calibri"/>
          <w:iCs/>
          <w:color w:val="000048"/>
        </w:rPr>
        <w:t>a continued application in 2018 as well of some of the measures approved in previous years, namely:</w:t>
      </w:r>
    </w:p>
    <w:p w:rsidR="006A425D" w:rsidRPr="003964D3" w:rsidRDefault="006A425D" w:rsidP="00565476">
      <w:pPr>
        <w:numPr>
          <w:ilvl w:val="0"/>
          <w:numId w:val="210"/>
        </w:numPr>
        <w:spacing w:after="160" w:line="259" w:lineRule="auto"/>
        <w:contextualSpacing/>
        <w:jc w:val="both"/>
        <w:rPr>
          <w:rFonts w:ascii="Calibri" w:eastAsia="Calibri" w:hAnsi="Calibri" w:cs="Arial"/>
          <w:color w:val="000000" w:themeColor="text1"/>
        </w:rPr>
      </w:pPr>
      <w:r>
        <w:rPr>
          <w:rFonts w:ascii="Calibri" w:hAnsi="Calibri"/>
          <w:color w:val="000000" w:themeColor="text1"/>
        </w:rPr>
        <w:t>overtime worked over the normal working hours or on free days shall be compensated only by free time, with certain exceptions in the case of the personnel from the fields of defense, public safety and order or in the case of the personnel with special status;</w:t>
      </w:r>
    </w:p>
    <w:p w:rsidR="006A425D" w:rsidRPr="003964D3" w:rsidRDefault="006A425D" w:rsidP="00565476">
      <w:pPr>
        <w:numPr>
          <w:ilvl w:val="0"/>
          <w:numId w:val="210"/>
        </w:numPr>
        <w:spacing w:after="160" w:line="259" w:lineRule="auto"/>
        <w:contextualSpacing/>
        <w:jc w:val="both"/>
        <w:rPr>
          <w:rFonts w:ascii="Calibri" w:eastAsia="Calibri" w:hAnsi="Calibri" w:cs="Arial"/>
          <w:color w:val="000000" w:themeColor="text1"/>
        </w:rPr>
      </w:pPr>
      <w:r>
        <w:rPr>
          <w:rFonts w:ascii="Calibri" w:hAnsi="Calibri"/>
          <w:color w:val="000000" w:themeColor="text1"/>
        </w:rPr>
        <w:t>between 2019 and 2021, public institutions and authorities shall not give awards to the personnel thereof, with certain exceptions in the case of sportsmen and technical teams, students, pupils and teachers;</w:t>
      </w:r>
    </w:p>
    <w:p w:rsidR="006A425D" w:rsidRPr="003964D3" w:rsidRDefault="006A425D" w:rsidP="00565476">
      <w:pPr>
        <w:numPr>
          <w:ilvl w:val="0"/>
          <w:numId w:val="210"/>
        </w:numPr>
        <w:spacing w:after="160" w:line="259" w:lineRule="auto"/>
        <w:contextualSpacing/>
        <w:jc w:val="both"/>
        <w:rPr>
          <w:rFonts w:ascii="Calibri" w:eastAsia="Calibri" w:hAnsi="Calibri" w:cs="Arial"/>
          <w:color w:val="000000" w:themeColor="text1"/>
        </w:rPr>
      </w:pPr>
      <w:r>
        <w:rPr>
          <w:rFonts w:ascii="Calibri" w:hAnsi="Calibri"/>
          <w:color w:val="000000" w:themeColor="text1"/>
        </w:rPr>
        <w:t>between 2019 and 2021 shall not be awarded the aid or, as applicable, the allowances for retirement, withdrawal, termination of employment relations or discharge;</w:t>
      </w:r>
    </w:p>
    <w:p w:rsidR="006A425D" w:rsidRPr="003964D3" w:rsidRDefault="006A425D" w:rsidP="00565476">
      <w:pPr>
        <w:numPr>
          <w:ilvl w:val="0"/>
          <w:numId w:val="210"/>
        </w:numPr>
        <w:spacing w:after="160" w:line="259" w:lineRule="auto"/>
        <w:contextualSpacing/>
        <w:jc w:val="both"/>
        <w:rPr>
          <w:rFonts w:ascii="Calibri" w:eastAsia="Calibri" w:hAnsi="Calibri" w:cs="Arial"/>
          <w:strike/>
          <w:color w:val="000000" w:themeColor="text1"/>
        </w:rPr>
      </w:pPr>
      <w:r>
        <w:rPr>
          <w:rFonts w:ascii="Calibri" w:hAnsi="Calibri"/>
          <w:color w:val="000000" w:themeColor="text1"/>
        </w:rPr>
        <w:t>Between 2019 and 2021, public institutions and authorities shall not award to the personnel bills, with the exception of nursery vouchers regulated by Law no. 165/2018.</w:t>
      </w:r>
    </w:p>
    <w:p w:rsidR="00F030D0" w:rsidRPr="003964D3" w:rsidRDefault="00F030D0" w:rsidP="004548F2">
      <w:pPr>
        <w:spacing w:after="160" w:line="259" w:lineRule="auto"/>
        <w:ind w:left="720"/>
        <w:contextualSpacing/>
        <w:jc w:val="both"/>
        <w:rPr>
          <w:rFonts w:ascii="Calibri" w:eastAsia="Calibri" w:hAnsi="Calibri" w:cs="Arial"/>
          <w:strike/>
          <w:color w:val="000000" w:themeColor="text1"/>
          <w:lang w:val="fr-FR"/>
        </w:rPr>
      </w:pPr>
    </w:p>
    <w:p w:rsidR="004548F2" w:rsidRDefault="004548F2" w:rsidP="004548F2">
      <w:pPr>
        <w:spacing w:after="160" w:line="259" w:lineRule="auto"/>
        <w:ind w:left="720"/>
        <w:contextualSpacing/>
        <w:jc w:val="both"/>
        <w:rPr>
          <w:rFonts w:ascii="Calibri" w:eastAsia="Calibri" w:hAnsi="Calibri" w:cs="Arial"/>
          <w:strike/>
          <w:color w:val="000000" w:themeColor="text1"/>
          <w:lang w:val="fr-FR"/>
        </w:rPr>
      </w:pPr>
    </w:p>
    <w:p w:rsidR="00E40CE6" w:rsidRDefault="00E40CE6" w:rsidP="00FA5738">
      <w:pPr>
        <w:jc w:val="both"/>
        <w:rPr>
          <w:rFonts w:ascii="Calibri" w:hAnsi="Calibri"/>
          <w:b/>
          <w:color w:val="000066"/>
          <w:lang w:val="ro-RO"/>
        </w:rPr>
      </w:pPr>
    </w:p>
    <w:p w:rsidR="00425593" w:rsidRPr="00C86702" w:rsidRDefault="0070767E" w:rsidP="0070767E">
      <w:pPr>
        <w:shd w:val="clear" w:color="auto" w:fill="9CC2E5" w:themeFill="accent1" w:themeFillTint="99"/>
        <w:jc w:val="both"/>
        <w:rPr>
          <w:rFonts w:ascii="Calibri" w:hAnsi="Calibri"/>
          <w:b/>
          <w:color w:val="000066"/>
        </w:rPr>
      </w:pPr>
      <w:r>
        <w:rPr>
          <w:rFonts w:ascii="Calibri" w:hAnsi="Calibri"/>
          <w:b/>
          <w:color w:val="000066"/>
        </w:rPr>
        <w:t xml:space="preserve">2. Medium term budget objective  </w:t>
      </w:r>
    </w:p>
    <w:p w:rsidR="0070767E" w:rsidRPr="00C86702" w:rsidRDefault="0070767E" w:rsidP="0070767E">
      <w:pPr>
        <w:rPr>
          <w:lang w:val="ro-RO"/>
        </w:rPr>
      </w:pPr>
    </w:p>
    <w:p w:rsidR="008774AE" w:rsidRDefault="00F00F75" w:rsidP="00E40CE6">
      <w:pPr>
        <w:shd w:val="clear" w:color="auto" w:fill="9CC2E5" w:themeFill="accent1" w:themeFillTint="99"/>
        <w:jc w:val="both"/>
        <w:rPr>
          <w:rFonts w:ascii="Calibri" w:hAnsi="Calibri"/>
          <w:b/>
          <w:color w:val="000099"/>
        </w:rPr>
      </w:pPr>
      <w:r>
        <w:rPr>
          <w:rFonts w:ascii="Calibri" w:hAnsi="Calibri"/>
          <w:b/>
          <w:color w:val="000066"/>
        </w:rPr>
        <w:t>2.1 Potential</w:t>
      </w:r>
      <w:r w:rsidR="00425593">
        <w:rPr>
          <w:rFonts w:ascii="Calibri" w:hAnsi="Calibri"/>
          <w:b/>
          <w:color w:val="000066"/>
        </w:rPr>
        <w:t xml:space="preserve"> GDP and output – gap </w:t>
      </w:r>
    </w:p>
    <w:p w:rsidR="00F971FC" w:rsidRPr="00F971FC" w:rsidRDefault="00F971FC" w:rsidP="00F971FC">
      <w:pPr>
        <w:spacing w:before="120"/>
        <w:jc w:val="both"/>
        <w:rPr>
          <w:rFonts w:ascii="Calibri" w:eastAsia="Calibri" w:hAnsi="Calibri"/>
          <w:iCs/>
          <w:color w:val="000000" w:themeColor="text1"/>
          <w:kern w:val="2"/>
          <w:szCs w:val="22"/>
        </w:rPr>
      </w:pPr>
      <w:r>
        <w:rPr>
          <w:rFonts w:ascii="Calibri" w:hAnsi="Calibri"/>
          <w:iCs/>
          <w:color w:val="000000" w:themeColor="text1"/>
          <w:szCs w:val="22"/>
        </w:rPr>
        <w:t xml:space="preserve">In 2019-2021, the potential gross domestic product will increase at an average annual pace of 5.2%. The estimate and prognosis of the potential GDP is made in accordance with the common European methodology agreed by all EU Member States, but based on the medium-term prognosis presented in the Strategy. On medium term, the main contribution to potential growth is given by the total productivity of the factors. The latter is given by the contribution of the capital stock, which is slightly increasing, considering the evolution of gross fixed capital formation. </w:t>
      </w:r>
    </w:p>
    <w:p w:rsidR="00F971FC" w:rsidRPr="00F971FC" w:rsidRDefault="00F971FC" w:rsidP="00F971FC">
      <w:pPr>
        <w:spacing w:before="120"/>
        <w:jc w:val="both"/>
        <w:rPr>
          <w:rFonts w:ascii="Calibri" w:eastAsia="Calibri" w:hAnsi="Calibri"/>
          <w:iCs/>
          <w:color w:val="000000" w:themeColor="text1"/>
          <w:kern w:val="2"/>
          <w:szCs w:val="22"/>
        </w:rPr>
      </w:pPr>
      <w:r>
        <w:rPr>
          <w:rFonts w:ascii="Calibri" w:hAnsi="Calibri"/>
          <w:iCs/>
          <w:color w:val="000000" w:themeColor="text1"/>
          <w:szCs w:val="22"/>
        </w:rPr>
        <w:t xml:space="preserve">Given that demographic indicators continue the negative tendency and the effective unemployment rate will be at approximately the same level as NAWRU, the contribution of the labor factor to potential growth will be positive, but it will be below 1 percentage point, decreasing from 0.8 percentage points in 2018 to 0.3 percentage points in 2021. </w:t>
      </w:r>
    </w:p>
    <w:p w:rsidR="00F971FC" w:rsidRDefault="00F971FC" w:rsidP="00F971FC">
      <w:pPr>
        <w:spacing w:before="120"/>
        <w:jc w:val="both"/>
        <w:rPr>
          <w:rFonts w:ascii="Calibri" w:hAnsi="Calibri"/>
          <w:iCs/>
          <w:color w:val="000000" w:themeColor="text1"/>
          <w:szCs w:val="22"/>
        </w:rPr>
      </w:pPr>
      <w:r>
        <w:rPr>
          <w:rFonts w:ascii="Calibri" w:hAnsi="Calibri"/>
          <w:iCs/>
          <w:color w:val="000000" w:themeColor="text1"/>
          <w:szCs w:val="22"/>
        </w:rPr>
        <w:t xml:space="preserve">Romania has currently one of the biggest growth rates of the potential GDP among the EU Member States. According to the estimates of the European Commission from the Autumn Forecast of 2018, this year the potential growth will be of 4.6%, the biggest amount the non-EUR Member States. </w:t>
      </w:r>
    </w:p>
    <w:p w:rsidR="005063CB" w:rsidRDefault="005063CB" w:rsidP="00F971FC">
      <w:pPr>
        <w:spacing w:before="120"/>
        <w:jc w:val="both"/>
        <w:rPr>
          <w:rFonts w:ascii="Calibri" w:eastAsia="Calibri" w:hAnsi="Calibri"/>
          <w:iCs/>
          <w:color w:val="000000" w:themeColor="text1"/>
          <w:kern w:val="2"/>
          <w:szCs w:val="22"/>
        </w:rPr>
      </w:pPr>
    </w:p>
    <w:p w:rsidR="00F971FC" w:rsidRPr="00F971FC" w:rsidRDefault="00F971FC" w:rsidP="00F971FC">
      <w:pPr>
        <w:jc w:val="both"/>
        <w:rPr>
          <w:rFonts w:ascii="Calibri" w:eastAsia="Calibri" w:hAnsi="Calibri"/>
          <w:iCs/>
          <w:color w:val="000000" w:themeColor="text1"/>
          <w:kern w:val="2"/>
          <w:sz w:val="8"/>
          <w:szCs w:val="8"/>
          <w:lang w:val="ro-RO" w:eastAsia="zh-CN"/>
        </w:rPr>
      </w:pPr>
    </w:p>
    <w:p w:rsidR="00F971FC" w:rsidRPr="00F971FC" w:rsidRDefault="00F971FC" w:rsidP="00565476">
      <w:pPr>
        <w:numPr>
          <w:ilvl w:val="0"/>
          <w:numId w:val="199"/>
        </w:numPr>
        <w:spacing w:after="200" w:line="276" w:lineRule="auto"/>
        <w:jc w:val="center"/>
        <w:rPr>
          <w:rFonts w:ascii="Calibri" w:eastAsia="Calibri" w:hAnsi="Calibri"/>
          <w:b/>
          <w:iCs/>
          <w:color w:val="000000" w:themeColor="text1"/>
          <w:kern w:val="2"/>
          <w:szCs w:val="22"/>
        </w:rPr>
      </w:pPr>
      <w:bookmarkStart w:id="1" w:name="_Toc418068096"/>
      <w:r>
        <w:rPr>
          <w:rFonts w:ascii="Calibri" w:hAnsi="Calibri"/>
          <w:b/>
          <w:iCs/>
          <w:color w:val="000000" w:themeColor="text1"/>
          <w:szCs w:val="22"/>
        </w:rPr>
        <w:t xml:space="preserve">Potential GDP growth and contributions of the factors </w:t>
      </w:r>
      <w:bookmarkEnd w:id="1"/>
      <w:r>
        <w:rPr>
          <w:rFonts w:ascii="Calibri" w:hAnsi="Calibri"/>
          <w:b/>
          <w:iCs/>
          <w:color w:val="000000" w:themeColor="text1"/>
          <w:szCs w:val="22"/>
        </w:rPr>
        <w:t xml:space="preserve"> -</w:t>
      </w:r>
    </w:p>
    <w:tbl>
      <w:tblPr>
        <w:tblW w:w="8289" w:type="dxa"/>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69"/>
        <w:gridCol w:w="1311"/>
        <w:gridCol w:w="1487"/>
        <w:gridCol w:w="1415"/>
        <w:gridCol w:w="1373"/>
        <w:gridCol w:w="1634"/>
      </w:tblGrid>
      <w:tr w:rsidR="00F971FC" w:rsidRPr="00F971FC" w:rsidTr="0036190B">
        <w:trPr>
          <w:trHeight w:val="21"/>
          <w:jc w:val="center"/>
        </w:trPr>
        <w:tc>
          <w:tcPr>
            <w:tcW w:w="2380" w:type="dxa"/>
            <w:gridSpan w:val="2"/>
            <w:tcBorders>
              <w:right w:val="single" w:sz="4" w:space="0" w:color="auto"/>
            </w:tcBorders>
            <w:shd w:val="clear" w:color="auto" w:fill="4F81BD"/>
            <w:noWrap/>
            <w:vAlign w:val="bottom"/>
          </w:tcPr>
          <w:p w:rsidR="00F971FC" w:rsidRPr="00F971FC" w:rsidRDefault="00F971FC" w:rsidP="00F971FC">
            <w:pPr>
              <w:spacing w:after="120"/>
              <w:rPr>
                <w:rFonts w:ascii="Calibri" w:eastAsia="Calibri" w:hAnsi="Calibri"/>
                <w:iCs/>
                <w:color w:val="000000" w:themeColor="text1"/>
                <w:kern w:val="2"/>
                <w:szCs w:val="22"/>
                <w:lang w:val="ro-RO" w:eastAsia="zh-CN"/>
              </w:rPr>
            </w:pPr>
          </w:p>
        </w:tc>
        <w:tc>
          <w:tcPr>
            <w:tcW w:w="5909" w:type="dxa"/>
            <w:gridSpan w:val="4"/>
            <w:tcBorders>
              <w:left w:val="single" w:sz="4" w:space="0" w:color="auto"/>
            </w:tcBorders>
            <w:shd w:val="clear" w:color="auto" w:fill="4F81BD"/>
            <w:noWrap/>
            <w:vAlign w:val="center"/>
          </w:tcPr>
          <w:p w:rsidR="00F971FC" w:rsidRPr="00F971FC" w:rsidRDefault="00F971FC" w:rsidP="00F971FC">
            <w:pPr>
              <w:spacing w:after="120"/>
              <w:jc w:val="center"/>
              <w:rPr>
                <w:rFonts w:ascii="Calibri" w:eastAsia="Calibri" w:hAnsi="Calibri"/>
                <w:iCs/>
                <w:color w:val="000000" w:themeColor="text1"/>
                <w:kern w:val="2"/>
                <w:szCs w:val="22"/>
              </w:rPr>
            </w:pPr>
            <w:r>
              <w:rPr>
                <w:rFonts w:ascii="Calibri" w:hAnsi="Calibri"/>
                <w:iCs/>
                <w:color w:val="000000" w:themeColor="text1"/>
                <w:szCs w:val="22"/>
              </w:rPr>
              <w:t xml:space="preserve">Contributions - percentage points - </w:t>
            </w:r>
          </w:p>
        </w:tc>
      </w:tr>
      <w:tr w:rsidR="00F971FC" w:rsidRPr="00F971FC" w:rsidTr="0036190B">
        <w:trPr>
          <w:trHeight w:val="21"/>
          <w:jc w:val="center"/>
        </w:trPr>
        <w:tc>
          <w:tcPr>
            <w:tcW w:w="1069" w:type="dxa"/>
            <w:tcBorders>
              <w:right w:val="single" w:sz="4" w:space="0" w:color="auto"/>
            </w:tcBorders>
            <w:shd w:val="clear" w:color="auto" w:fill="4F81BD"/>
            <w:noWrap/>
            <w:vAlign w:val="bottom"/>
          </w:tcPr>
          <w:p w:rsidR="00F971FC" w:rsidRPr="00F971FC" w:rsidRDefault="00F971FC" w:rsidP="00F971FC">
            <w:pPr>
              <w:rPr>
                <w:rFonts w:ascii="Calibri" w:eastAsia="Calibri" w:hAnsi="Calibri"/>
                <w:iCs/>
                <w:color w:val="000000" w:themeColor="text1"/>
                <w:kern w:val="2"/>
                <w:szCs w:val="22"/>
                <w:lang w:val="ro-RO" w:eastAsia="zh-CN"/>
              </w:rPr>
            </w:pPr>
          </w:p>
        </w:tc>
        <w:tc>
          <w:tcPr>
            <w:tcW w:w="1311" w:type="dxa"/>
            <w:tcBorders>
              <w:left w:val="single" w:sz="4" w:space="0" w:color="auto"/>
              <w:right w:val="single" w:sz="4" w:space="0" w:color="auto"/>
            </w:tcBorders>
            <w:shd w:val="clear" w:color="auto" w:fill="4F81BD"/>
            <w:vAlign w:val="center"/>
          </w:tcPr>
          <w:p w:rsidR="00F971FC" w:rsidRPr="00F971FC" w:rsidRDefault="00F971FC" w:rsidP="00F971FC">
            <w:pPr>
              <w:jc w:val="center"/>
              <w:rPr>
                <w:rFonts w:ascii="Calibri" w:eastAsia="Calibri" w:hAnsi="Calibri"/>
                <w:iCs/>
                <w:color w:val="000000" w:themeColor="text1"/>
                <w:kern w:val="2"/>
                <w:szCs w:val="22"/>
              </w:rPr>
            </w:pPr>
            <w:r>
              <w:rPr>
                <w:rFonts w:ascii="Calibri" w:hAnsi="Calibri"/>
                <w:iCs/>
                <w:color w:val="000000" w:themeColor="text1"/>
                <w:szCs w:val="22"/>
              </w:rPr>
              <w:t>Potential GDP</w:t>
            </w:r>
          </w:p>
        </w:tc>
        <w:tc>
          <w:tcPr>
            <w:tcW w:w="1487" w:type="dxa"/>
            <w:tcBorders>
              <w:left w:val="single" w:sz="4" w:space="0" w:color="auto"/>
              <w:right w:val="single" w:sz="4" w:space="0" w:color="auto"/>
            </w:tcBorders>
            <w:shd w:val="clear" w:color="auto" w:fill="4F81BD"/>
            <w:noWrap/>
            <w:vAlign w:val="center"/>
          </w:tcPr>
          <w:p w:rsidR="00F971FC" w:rsidRPr="00F971FC" w:rsidRDefault="00F971FC" w:rsidP="00F971FC">
            <w:pPr>
              <w:jc w:val="center"/>
              <w:rPr>
                <w:rFonts w:ascii="Calibri" w:eastAsia="Calibri" w:hAnsi="Calibri"/>
                <w:iCs/>
                <w:color w:val="000000" w:themeColor="text1"/>
                <w:kern w:val="2"/>
                <w:szCs w:val="22"/>
              </w:rPr>
            </w:pPr>
            <w:r>
              <w:rPr>
                <w:rFonts w:ascii="Calibri" w:hAnsi="Calibri"/>
                <w:iCs/>
                <w:color w:val="000000" w:themeColor="text1"/>
                <w:szCs w:val="22"/>
              </w:rPr>
              <w:t>Capital</w:t>
            </w:r>
          </w:p>
        </w:tc>
        <w:tc>
          <w:tcPr>
            <w:tcW w:w="1415" w:type="dxa"/>
            <w:tcBorders>
              <w:left w:val="single" w:sz="4" w:space="0" w:color="auto"/>
              <w:right w:val="single" w:sz="4" w:space="0" w:color="auto"/>
            </w:tcBorders>
            <w:shd w:val="clear" w:color="auto" w:fill="4F81BD"/>
            <w:vAlign w:val="center"/>
          </w:tcPr>
          <w:p w:rsidR="00F971FC" w:rsidRPr="00F971FC" w:rsidRDefault="00F971FC" w:rsidP="00F971FC">
            <w:pPr>
              <w:jc w:val="center"/>
              <w:rPr>
                <w:rFonts w:ascii="Calibri" w:eastAsia="Calibri" w:hAnsi="Calibri"/>
                <w:iCs/>
                <w:color w:val="000000" w:themeColor="text1"/>
                <w:kern w:val="2"/>
                <w:szCs w:val="22"/>
              </w:rPr>
            </w:pPr>
            <w:r>
              <w:rPr>
                <w:rFonts w:ascii="Calibri" w:hAnsi="Calibri"/>
                <w:iCs/>
                <w:color w:val="000000" w:themeColor="text1"/>
                <w:szCs w:val="22"/>
              </w:rPr>
              <w:t>Labor</w:t>
            </w:r>
          </w:p>
        </w:tc>
        <w:tc>
          <w:tcPr>
            <w:tcW w:w="1373" w:type="dxa"/>
            <w:tcBorders>
              <w:left w:val="single" w:sz="4" w:space="0" w:color="auto"/>
              <w:right w:val="single" w:sz="4" w:space="0" w:color="auto"/>
            </w:tcBorders>
            <w:shd w:val="clear" w:color="auto" w:fill="4F81BD"/>
            <w:noWrap/>
            <w:vAlign w:val="center"/>
          </w:tcPr>
          <w:p w:rsidR="00F971FC" w:rsidRPr="00F971FC" w:rsidRDefault="00F971FC" w:rsidP="00F971FC">
            <w:pPr>
              <w:jc w:val="center"/>
              <w:rPr>
                <w:rFonts w:ascii="Calibri" w:eastAsia="Calibri" w:hAnsi="Calibri"/>
                <w:iCs/>
                <w:color w:val="000000" w:themeColor="text1"/>
                <w:kern w:val="2"/>
                <w:szCs w:val="22"/>
              </w:rPr>
            </w:pPr>
            <w:r>
              <w:rPr>
                <w:rFonts w:ascii="Calibri" w:hAnsi="Calibri"/>
                <w:iCs/>
                <w:color w:val="000000" w:themeColor="text1"/>
                <w:szCs w:val="22"/>
              </w:rPr>
              <w:t>PTF</w:t>
            </w:r>
          </w:p>
        </w:tc>
        <w:tc>
          <w:tcPr>
            <w:tcW w:w="1634" w:type="dxa"/>
            <w:tcBorders>
              <w:left w:val="single" w:sz="4" w:space="0" w:color="auto"/>
            </w:tcBorders>
            <w:shd w:val="clear" w:color="auto" w:fill="4F81BD"/>
            <w:noWrap/>
            <w:vAlign w:val="center"/>
          </w:tcPr>
          <w:p w:rsidR="00F971FC" w:rsidRPr="00F971FC" w:rsidRDefault="00F971FC" w:rsidP="00F971FC">
            <w:pPr>
              <w:jc w:val="center"/>
              <w:rPr>
                <w:rFonts w:ascii="Calibri" w:eastAsia="Calibri" w:hAnsi="Calibri"/>
                <w:iCs/>
                <w:color w:val="000000" w:themeColor="text1"/>
                <w:kern w:val="2"/>
                <w:szCs w:val="22"/>
              </w:rPr>
            </w:pPr>
            <w:r>
              <w:rPr>
                <w:rFonts w:ascii="Calibri" w:hAnsi="Calibri"/>
                <w:iCs/>
                <w:color w:val="000000" w:themeColor="text1"/>
                <w:szCs w:val="22"/>
              </w:rPr>
              <w:t>Output Gap</w:t>
            </w:r>
          </w:p>
        </w:tc>
      </w:tr>
      <w:tr w:rsidR="00F971FC" w:rsidRPr="00F971FC" w:rsidTr="0036190B">
        <w:trPr>
          <w:trHeight w:val="21"/>
          <w:jc w:val="center"/>
        </w:trPr>
        <w:tc>
          <w:tcPr>
            <w:tcW w:w="1069" w:type="dxa"/>
            <w:tcBorders>
              <w:right w:val="single" w:sz="4" w:space="0" w:color="auto"/>
            </w:tcBorders>
            <w:noWrap/>
            <w:vAlign w:val="bottom"/>
          </w:tcPr>
          <w:p w:rsidR="00F971FC" w:rsidRPr="00F971FC" w:rsidRDefault="00F971FC" w:rsidP="00F971FC">
            <w:pPr>
              <w:jc w:val="center"/>
              <w:rPr>
                <w:rFonts w:ascii="Calibri" w:eastAsia="Calibri" w:hAnsi="Calibri"/>
                <w:iCs/>
                <w:color w:val="000000" w:themeColor="text1"/>
                <w:kern w:val="2"/>
                <w:szCs w:val="22"/>
              </w:rPr>
            </w:pPr>
            <w:r>
              <w:rPr>
                <w:rFonts w:ascii="Calibri" w:hAnsi="Calibri"/>
                <w:iCs/>
                <w:color w:val="000000" w:themeColor="text1"/>
                <w:szCs w:val="22"/>
              </w:rPr>
              <w:t>2017</w:t>
            </w:r>
          </w:p>
        </w:tc>
        <w:tc>
          <w:tcPr>
            <w:tcW w:w="1311" w:type="dxa"/>
            <w:tcBorders>
              <w:left w:val="single" w:sz="4" w:space="0" w:color="auto"/>
              <w:right w:val="single" w:sz="4" w:space="0" w:color="auto"/>
            </w:tcBorders>
            <w:vAlign w:val="bottom"/>
          </w:tcPr>
          <w:p w:rsidR="00F971FC" w:rsidRPr="00F971FC" w:rsidRDefault="00F971FC" w:rsidP="00F971FC">
            <w:pPr>
              <w:jc w:val="center"/>
              <w:rPr>
                <w:rFonts w:ascii="Calibri" w:eastAsia="Calibri" w:hAnsi="Calibri"/>
                <w:iCs/>
                <w:color w:val="000000" w:themeColor="text1"/>
                <w:kern w:val="2"/>
                <w:szCs w:val="22"/>
              </w:rPr>
            </w:pPr>
            <w:r>
              <w:rPr>
                <w:rFonts w:ascii="Calibri" w:hAnsi="Calibri"/>
                <w:iCs/>
                <w:color w:val="000000" w:themeColor="text1"/>
                <w:szCs w:val="22"/>
              </w:rPr>
              <w:t>4.6</w:t>
            </w:r>
          </w:p>
        </w:tc>
        <w:tc>
          <w:tcPr>
            <w:tcW w:w="1487" w:type="dxa"/>
            <w:tcBorders>
              <w:left w:val="single" w:sz="4" w:space="0" w:color="auto"/>
              <w:right w:val="single" w:sz="4" w:space="0" w:color="auto"/>
            </w:tcBorders>
            <w:noWrap/>
            <w:vAlign w:val="bottom"/>
          </w:tcPr>
          <w:p w:rsidR="00F971FC" w:rsidRPr="00F971FC" w:rsidRDefault="00F971FC" w:rsidP="00F971FC">
            <w:pPr>
              <w:jc w:val="center"/>
              <w:rPr>
                <w:rFonts w:ascii="Calibri" w:eastAsia="Calibri" w:hAnsi="Calibri"/>
                <w:iCs/>
                <w:color w:val="000000" w:themeColor="text1"/>
                <w:kern w:val="2"/>
                <w:szCs w:val="22"/>
              </w:rPr>
            </w:pPr>
            <w:r>
              <w:rPr>
                <w:rFonts w:ascii="Calibri" w:hAnsi="Calibri"/>
                <w:iCs/>
                <w:color w:val="000000" w:themeColor="text1"/>
                <w:szCs w:val="22"/>
              </w:rPr>
              <w:t>0.9</w:t>
            </w:r>
          </w:p>
        </w:tc>
        <w:tc>
          <w:tcPr>
            <w:tcW w:w="1415" w:type="dxa"/>
            <w:tcBorders>
              <w:left w:val="single" w:sz="4" w:space="0" w:color="auto"/>
              <w:right w:val="single" w:sz="4" w:space="0" w:color="auto"/>
            </w:tcBorders>
            <w:noWrap/>
            <w:vAlign w:val="bottom"/>
          </w:tcPr>
          <w:p w:rsidR="00F971FC" w:rsidRPr="00F971FC" w:rsidRDefault="00F971FC" w:rsidP="00F971FC">
            <w:pPr>
              <w:jc w:val="center"/>
              <w:rPr>
                <w:rFonts w:ascii="Calibri" w:eastAsia="Calibri" w:hAnsi="Calibri"/>
                <w:iCs/>
                <w:color w:val="000000" w:themeColor="text1"/>
                <w:kern w:val="2"/>
                <w:szCs w:val="22"/>
              </w:rPr>
            </w:pPr>
            <w:r>
              <w:rPr>
                <w:rFonts w:ascii="Calibri" w:hAnsi="Calibri"/>
                <w:iCs/>
                <w:color w:val="000000" w:themeColor="text1"/>
                <w:szCs w:val="22"/>
              </w:rPr>
              <w:t>0.3</w:t>
            </w:r>
          </w:p>
        </w:tc>
        <w:tc>
          <w:tcPr>
            <w:tcW w:w="1373" w:type="dxa"/>
            <w:tcBorders>
              <w:left w:val="single" w:sz="4" w:space="0" w:color="auto"/>
              <w:right w:val="single" w:sz="4" w:space="0" w:color="auto"/>
            </w:tcBorders>
            <w:noWrap/>
            <w:vAlign w:val="bottom"/>
          </w:tcPr>
          <w:p w:rsidR="00F971FC" w:rsidRPr="00F971FC" w:rsidRDefault="00F971FC" w:rsidP="00F971FC">
            <w:pPr>
              <w:jc w:val="center"/>
              <w:rPr>
                <w:rFonts w:ascii="Calibri" w:eastAsia="Calibri" w:hAnsi="Calibri"/>
                <w:iCs/>
                <w:color w:val="000000" w:themeColor="text1"/>
                <w:kern w:val="2"/>
                <w:szCs w:val="22"/>
              </w:rPr>
            </w:pPr>
            <w:r>
              <w:rPr>
                <w:rFonts w:ascii="Calibri" w:hAnsi="Calibri"/>
                <w:iCs/>
                <w:color w:val="000000" w:themeColor="text1"/>
                <w:szCs w:val="22"/>
              </w:rPr>
              <w:t>3.4</w:t>
            </w:r>
          </w:p>
        </w:tc>
        <w:tc>
          <w:tcPr>
            <w:tcW w:w="1634" w:type="dxa"/>
            <w:tcBorders>
              <w:left w:val="single" w:sz="4" w:space="0" w:color="auto"/>
            </w:tcBorders>
            <w:noWrap/>
            <w:vAlign w:val="bottom"/>
          </w:tcPr>
          <w:p w:rsidR="00F971FC" w:rsidRPr="00F971FC" w:rsidRDefault="00F971FC" w:rsidP="00F971FC">
            <w:pPr>
              <w:jc w:val="center"/>
              <w:rPr>
                <w:rFonts w:ascii="Calibri" w:eastAsia="Calibri" w:hAnsi="Calibri"/>
                <w:iCs/>
                <w:color w:val="000000" w:themeColor="text1"/>
                <w:kern w:val="2"/>
                <w:szCs w:val="22"/>
              </w:rPr>
            </w:pPr>
            <w:r>
              <w:rPr>
                <w:rFonts w:ascii="Calibri" w:hAnsi="Calibri"/>
                <w:iCs/>
                <w:color w:val="000000" w:themeColor="text1"/>
                <w:szCs w:val="22"/>
              </w:rPr>
              <w:t>0.6</w:t>
            </w:r>
          </w:p>
        </w:tc>
      </w:tr>
      <w:tr w:rsidR="00F971FC" w:rsidRPr="00F971FC" w:rsidTr="0036190B">
        <w:trPr>
          <w:trHeight w:val="21"/>
          <w:jc w:val="center"/>
        </w:trPr>
        <w:tc>
          <w:tcPr>
            <w:tcW w:w="1069" w:type="dxa"/>
            <w:tcBorders>
              <w:right w:val="single" w:sz="4" w:space="0" w:color="auto"/>
            </w:tcBorders>
            <w:noWrap/>
            <w:vAlign w:val="bottom"/>
          </w:tcPr>
          <w:p w:rsidR="00F971FC" w:rsidRPr="00F971FC" w:rsidRDefault="00F971FC" w:rsidP="00F971FC">
            <w:pPr>
              <w:jc w:val="center"/>
              <w:rPr>
                <w:rFonts w:ascii="Calibri" w:eastAsia="Calibri" w:hAnsi="Calibri"/>
                <w:iCs/>
                <w:color w:val="000000" w:themeColor="text1"/>
                <w:kern w:val="2"/>
                <w:szCs w:val="22"/>
              </w:rPr>
            </w:pPr>
            <w:r>
              <w:rPr>
                <w:rFonts w:ascii="Calibri" w:hAnsi="Calibri"/>
                <w:iCs/>
                <w:color w:val="000000" w:themeColor="text1"/>
                <w:szCs w:val="22"/>
              </w:rPr>
              <w:t>2018</w:t>
            </w:r>
          </w:p>
        </w:tc>
        <w:tc>
          <w:tcPr>
            <w:tcW w:w="1311" w:type="dxa"/>
            <w:tcBorders>
              <w:left w:val="single" w:sz="4" w:space="0" w:color="auto"/>
              <w:right w:val="single" w:sz="4" w:space="0" w:color="auto"/>
            </w:tcBorders>
            <w:vAlign w:val="bottom"/>
          </w:tcPr>
          <w:p w:rsidR="00F971FC" w:rsidRPr="00F971FC" w:rsidRDefault="00F971FC" w:rsidP="00F971FC">
            <w:pPr>
              <w:jc w:val="center"/>
              <w:rPr>
                <w:rFonts w:ascii="Calibri" w:eastAsia="Calibri" w:hAnsi="Calibri"/>
                <w:iCs/>
                <w:color w:val="000000" w:themeColor="text1"/>
                <w:kern w:val="2"/>
                <w:szCs w:val="22"/>
              </w:rPr>
            </w:pPr>
            <w:r>
              <w:rPr>
                <w:rFonts w:ascii="Calibri" w:hAnsi="Calibri"/>
                <w:iCs/>
                <w:color w:val="000000" w:themeColor="text1"/>
                <w:szCs w:val="22"/>
              </w:rPr>
              <w:t>4.9</w:t>
            </w:r>
          </w:p>
        </w:tc>
        <w:tc>
          <w:tcPr>
            <w:tcW w:w="1487" w:type="dxa"/>
            <w:tcBorders>
              <w:left w:val="single" w:sz="4" w:space="0" w:color="auto"/>
              <w:right w:val="single" w:sz="4" w:space="0" w:color="auto"/>
            </w:tcBorders>
            <w:noWrap/>
            <w:vAlign w:val="bottom"/>
          </w:tcPr>
          <w:p w:rsidR="00F971FC" w:rsidRPr="00F971FC" w:rsidRDefault="00F971FC" w:rsidP="00F971FC">
            <w:pPr>
              <w:jc w:val="center"/>
              <w:rPr>
                <w:rFonts w:ascii="Calibri" w:eastAsia="Calibri" w:hAnsi="Calibri"/>
                <w:iCs/>
                <w:color w:val="000000" w:themeColor="text1"/>
                <w:kern w:val="2"/>
                <w:szCs w:val="22"/>
              </w:rPr>
            </w:pPr>
            <w:r>
              <w:rPr>
                <w:rFonts w:ascii="Calibri" w:hAnsi="Calibri"/>
                <w:iCs/>
                <w:color w:val="000000" w:themeColor="text1"/>
                <w:szCs w:val="22"/>
              </w:rPr>
              <w:t>0.8</w:t>
            </w:r>
          </w:p>
        </w:tc>
        <w:tc>
          <w:tcPr>
            <w:tcW w:w="1415" w:type="dxa"/>
            <w:tcBorders>
              <w:left w:val="single" w:sz="4" w:space="0" w:color="auto"/>
              <w:right w:val="single" w:sz="4" w:space="0" w:color="auto"/>
            </w:tcBorders>
            <w:noWrap/>
            <w:vAlign w:val="bottom"/>
          </w:tcPr>
          <w:p w:rsidR="00F971FC" w:rsidRPr="00F971FC" w:rsidRDefault="00F971FC" w:rsidP="00F971FC">
            <w:pPr>
              <w:jc w:val="center"/>
              <w:rPr>
                <w:rFonts w:ascii="Calibri" w:eastAsia="Calibri" w:hAnsi="Calibri"/>
                <w:iCs/>
                <w:color w:val="000000" w:themeColor="text1"/>
                <w:kern w:val="2"/>
                <w:szCs w:val="22"/>
              </w:rPr>
            </w:pPr>
            <w:r>
              <w:rPr>
                <w:rFonts w:ascii="Calibri" w:hAnsi="Calibri"/>
                <w:iCs/>
                <w:color w:val="000000" w:themeColor="text1"/>
                <w:szCs w:val="22"/>
              </w:rPr>
              <w:t>0.6</w:t>
            </w:r>
          </w:p>
        </w:tc>
        <w:tc>
          <w:tcPr>
            <w:tcW w:w="1373" w:type="dxa"/>
            <w:tcBorders>
              <w:left w:val="single" w:sz="4" w:space="0" w:color="auto"/>
              <w:right w:val="single" w:sz="4" w:space="0" w:color="auto"/>
            </w:tcBorders>
            <w:noWrap/>
            <w:vAlign w:val="bottom"/>
          </w:tcPr>
          <w:p w:rsidR="00F971FC" w:rsidRPr="00F971FC" w:rsidRDefault="00F971FC" w:rsidP="00F971FC">
            <w:pPr>
              <w:jc w:val="center"/>
              <w:rPr>
                <w:rFonts w:ascii="Calibri" w:eastAsia="Calibri" w:hAnsi="Calibri"/>
                <w:iCs/>
                <w:color w:val="000000" w:themeColor="text1"/>
                <w:kern w:val="2"/>
                <w:szCs w:val="22"/>
              </w:rPr>
            </w:pPr>
            <w:r>
              <w:rPr>
                <w:rFonts w:ascii="Calibri" w:hAnsi="Calibri"/>
                <w:iCs/>
                <w:color w:val="000000" w:themeColor="text1"/>
                <w:szCs w:val="22"/>
              </w:rPr>
              <w:t>3.4</w:t>
            </w:r>
          </w:p>
        </w:tc>
        <w:tc>
          <w:tcPr>
            <w:tcW w:w="1634" w:type="dxa"/>
            <w:tcBorders>
              <w:left w:val="single" w:sz="4" w:space="0" w:color="auto"/>
            </w:tcBorders>
            <w:noWrap/>
            <w:vAlign w:val="bottom"/>
          </w:tcPr>
          <w:p w:rsidR="00F971FC" w:rsidRPr="00F971FC" w:rsidRDefault="00F971FC" w:rsidP="00F971FC">
            <w:pPr>
              <w:jc w:val="center"/>
              <w:rPr>
                <w:rFonts w:ascii="Calibri" w:eastAsia="Calibri" w:hAnsi="Calibri"/>
                <w:iCs/>
                <w:color w:val="000000" w:themeColor="text1"/>
                <w:kern w:val="2"/>
                <w:szCs w:val="22"/>
              </w:rPr>
            </w:pPr>
            <w:r>
              <w:rPr>
                <w:rFonts w:ascii="Calibri" w:hAnsi="Calibri"/>
                <w:iCs/>
                <w:color w:val="000000" w:themeColor="text1"/>
                <w:szCs w:val="22"/>
              </w:rPr>
              <w:t>0.2</w:t>
            </w:r>
          </w:p>
        </w:tc>
      </w:tr>
      <w:tr w:rsidR="00F971FC" w:rsidRPr="00F971FC" w:rsidTr="0036190B">
        <w:trPr>
          <w:trHeight w:val="21"/>
          <w:jc w:val="center"/>
        </w:trPr>
        <w:tc>
          <w:tcPr>
            <w:tcW w:w="1069" w:type="dxa"/>
            <w:tcBorders>
              <w:right w:val="single" w:sz="4" w:space="0" w:color="auto"/>
            </w:tcBorders>
            <w:noWrap/>
            <w:vAlign w:val="bottom"/>
          </w:tcPr>
          <w:p w:rsidR="00F971FC" w:rsidRPr="00F971FC" w:rsidRDefault="00F971FC" w:rsidP="00F971FC">
            <w:pPr>
              <w:jc w:val="center"/>
              <w:rPr>
                <w:rFonts w:ascii="Calibri" w:eastAsia="Calibri" w:hAnsi="Calibri"/>
                <w:iCs/>
                <w:color w:val="000000" w:themeColor="text1"/>
                <w:kern w:val="2"/>
                <w:szCs w:val="22"/>
              </w:rPr>
            </w:pPr>
            <w:r>
              <w:rPr>
                <w:rFonts w:ascii="Calibri" w:hAnsi="Calibri"/>
                <w:iCs/>
                <w:color w:val="000000" w:themeColor="text1"/>
                <w:szCs w:val="22"/>
              </w:rPr>
              <w:t>2019</w:t>
            </w:r>
          </w:p>
        </w:tc>
        <w:tc>
          <w:tcPr>
            <w:tcW w:w="1311" w:type="dxa"/>
            <w:tcBorders>
              <w:left w:val="single" w:sz="4" w:space="0" w:color="auto"/>
              <w:right w:val="single" w:sz="4" w:space="0" w:color="auto"/>
            </w:tcBorders>
            <w:vAlign w:val="bottom"/>
          </w:tcPr>
          <w:p w:rsidR="00F971FC" w:rsidRPr="00F971FC" w:rsidRDefault="00F971FC" w:rsidP="00F971FC">
            <w:pPr>
              <w:jc w:val="center"/>
              <w:rPr>
                <w:rFonts w:ascii="Calibri" w:eastAsia="Calibri" w:hAnsi="Calibri"/>
                <w:iCs/>
                <w:color w:val="000000" w:themeColor="text1"/>
                <w:kern w:val="2"/>
                <w:szCs w:val="22"/>
              </w:rPr>
            </w:pPr>
            <w:r>
              <w:rPr>
                <w:rFonts w:ascii="Calibri" w:hAnsi="Calibri"/>
                <w:iCs/>
                <w:color w:val="000000" w:themeColor="text1"/>
                <w:szCs w:val="22"/>
              </w:rPr>
              <w:t>5.1</w:t>
            </w:r>
          </w:p>
        </w:tc>
        <w:tc>
          <w:tcPr>
            <w:tcW w:w="1487" w:type="dxa"/>
            <w:tcBorders>
              <w:left w:val="single" w:sz="4" w:space="0" w:color="auto"/>
              <w:right w:val="single" w:sz="4" w:space="0" w:color="auto"/>
            </w:tcBorders>
            <w:noWrap/>
            <w:vAlign w:val="bottom"/>
          </w:tcPr>
          <w:p w:rsidR="00F971FC" w:rsidRPr="00F971FC" w:rsidRDefault="00F971FC" w:rsidP="00F971FC">
            <w:pPr>
              <w:jc w:val="center"/>
              <w:rPr>
                <w:rFonts w:ascii="Calibri" w:eastAsia="Calibri" w:hAnsi="Calibri"/>
                <w:iCs/>
                <w:color w:val="000000" w:themeColor="text1"/>
                <w:kern w:val="2"/>
                <w:szCs w:val="22"/>
              </w:rPr>
            </w:pPr>
            <w:r>
              <w:rPr>
                <w:rFonts w:ascii="Calibri" w:hAnsi="Calibri"/>
                <w:iCs/>
                <w:color w:val="000000" w:themeColor="text1"/>
                <w:szCs w:val="22"/>
              </w:rPr>
              <w:t>1.1</w:t>
            </w:r>
          </w:p>
        </w:tc>
        <w:tc>
          <w:tcPr>
            <w:tcW w:w="1415" w:type="dxa"/>
            <w:tcBorders>
              <w:left w:val="single" w:sz="4" w:space="0" w:color="auto"/>
              <w:right w:val="single" w:sz="4" w:space="0" w:color="auto"/>
            </w:tcBorders>
            <w:noWrap/>
            <w:vAlign w:val="bottom"/>
          </w:tcPr>
          <w:p w:rsidR="00F971FC" w:rsidRPr="00F971FC" w:rsidRDefault="00F971FC" w:rsidP="00F971FC">
            <w:pPr>
              <w:jc w:val="center"/>
              <w:rPr>
                <w:rFonts w:ascii="Calibri" w:eastAsia="Calibri" w:hAnsi="Calibri"/>
                <w:iCs/>
                <w:color w:val="000000" w:themeColor="text1"/>
                <w:kern w:val="2"/>
                <w:szCs w:val="22"/>
              </w:rPr>
            </w:pPr>
            <w:r>
              <w:rPr>
                <w:rFonts w:ascii="Calibri" w:hAnsi="Calibri"/>
                <w:iCs/>
                <w:color w:val="000000" w:themeColor="text1"/>
                <w:szCs w:val="22"/>
              </w:rPr>
              <w:t>0.6</w:t>
            </w:r>
          </w:p>
        </w:tc>
        <w:tc>
          <w:tcPr>
            <w:tcW w:w="1373" w:type="dxa"/>
            <w:tcBorders>
              <w:left w:val="single" w:sz="4" w:space="0" w:color="auto"/>
              <w:right w:val="single" w:sz="4" w:space="0" w:color="auto"/>
            </w:tcBorders>
            <w:noWrap/>
            <w:vAlign w:val="bottom"/>
          </w:tcPr>
          <w:p w:rsidR="00F971FC" w:rsidRPr="00F971FC" w:rsidRDefault="00F971FC" w:rsidP="00F971FC">
            <w:pPr>
              <w:jc w:val="center"/>
              <w:rPr>
                <w:rFonts w:ascii="Calibri" w:eastAsia="Calibri" w:hAnsi="Calibri"/>
                <w:iCs/>
                <w:color w:val="000000" w:themeColor="text1"/>
                <w:kern w:val="2"/>
                <w:szCs w:val="22"/>
              </w:rPr>
            </w:pPr>
            <w:r>
              <w:rPr>
                <w:rFonts w:ascii="Calibri" w:hAnsi="Calibri"/>
                <w:iCs/>
                <w:color w:val="000000" w:themeColor="text1"/>
                <w:szCs w:val="22"/>
              </w:rPr>
              <w:t>3.4</w:t>
            </w:r>
          </w:p>
        </w:tc>
        <w:tc>
          <w:tcPr>
            <w:tcW w:w="1634" w:type="dxa"/>
            <w:tcBorders>
              <w:left w:val="single" w:sz="4" w:space="0" w:color="auto"/>
            </w:tcBorders>
            <w:noWrap/>
            <w:vAlign w:val="bottom"/>
          </w:tcPr>
          <w:p w:rsidR="00F971FC" w:rsidRPr="00F971FC" w:rsidRDefault="00F971FC" w:rsidP="00F971FC">
            <w:pPr>
              <w:jc w:val="center"/>
              <w:rPr>
                <w:rFonts w:ascii="Calibri" w:eastAsia="Calibri" w:hAnsi="Calibri"/>
                <w:iCs/>
                <w:color w:val="000000" w:themeColor="text1"/>
                <w:kern w:val="2"/>
                <w:szCs w:val="22"/>
              </w:rPr>
            </w:pPr>
            <w:r>
              <w:rPr>
                <w:rFonts w:ascii="Calibri" w:hAnsi="Calibri"/>
                <w:iCs/>
                <w:color w:val="000000" w:themeColor="text1"/>
                <w:szCs w:val="22"/>
              </w:rPr>
              <w:t>0.6</w:t>
            </w:r>
          </w:p>
        </w:tc>
      </w:tr>
      <w:tr w:rsidR="00F971FC" w:rsidRPr="00F971FC" w:rsidTr="0036190B">
        <w:trPr>
          <w:trHeight w:val="21"/>
          <w:jc w:val="center"/>
        </w:trPr>
        <w:tc>
          <w:tcPr>
            <w:tcW w:w="1069" w:type="dxa"/>
            <w:tcBorders>
              <w:right w:val="single" w:sz="4" w:space="0" w:color="auto"/>
            </w:tcBorders>
            <w:noWrap/>
            <w:vAlign w:val="bottom"/>
          </w:tcPr>
          <w:p w:rsidR="00F971FC" w:rsidRPr="00F971FC" w:rsidRDefault="00F971FC" w:rsidP="00F971FC">
            <w:pPr>
              <w:jc w:val="center"/>
              <w:rPr>
                <w:rFonts w:ascii="Calibri" w:eastAsia="Calibri" w:hAnsi="Calibri"/>
                <w:iCs/>
                <w:color w:val="000000" w:themeColor="text1"/>
                <w:kern w:val="2"/>
                <w:szCs w:val="22"/>
              </w:rPr>
            </w:pPr>
            <w:r>
              <w:rPr>
                <w:rFonts w:ascii="Calibri" w:hAnsi="Calibri"/>
                <w:iCs/>
                <w:color w:val="000000" w:themeColor="text1"/>
                <w:szCs w:val="22"/>
              </w:rPr>
              <w:t>2020</w:t>
            </w:r>
          </w:p>
        </w:tc>
        <w:tc>
          <w:tcPr>
            <w:tcW w:w="1311" w:type="dxa"/>
            <w:tcBorders>
              <w:left w:val="single" w:sz="4" w:space="0" w:color="auto"/>
              <w:right w:val="single" w:sz="4" w:space="0" w:color="auto"/>
            </w:tcBorders>
            <w:vAlign w:val="bottom"/>
          </w:tcPr>
          <w:p w:rsidR="00F971FC" w:rsidRPr="00F971FC" w:rsidRDefault="00F971FC" w:rsidP="00F971FC">
            <w:pPr>
              <w:jc w:val="center"/>
              <w:rPr>
                <w:rFonts w:ascii="Calibri" w:eastAsia="Calibri" w:hAnsi="Calibri"/>
                <w:iCs/>
                <w:color w:val="000000" w:themeColor="text1"/>
                <w:kern w:val="2"/>
                <w:szCs w:val="22"/>
              </w:rPr>
            </w:pPr>
            <w:r>
              <w:rPr>
                <w:rFonts w:ascii="Calibri" w:hAnsi="Calibri"/>
                <w:iCs/>
                <w:color w:val="000000" w:themeColor="text1"/>
                <w:szCs w:val="22"/>
              </w:rPr>
              <w:t>5.2</w:t>
            </w:r>
          </w:p>
        </w:tc>
        <w:tc>
          <w:tcPr>
            <w:tcW w:w="1487" w:type="dxa"/>
            <w:tcBorders>
              <w:left w:val="single" w:sz="4" w:space="0" w:color="auto"/>
              <w:right w:val="single" w:sz="4" w:space="0" w:color="auto"/>
            </w:tcBorders>
            <w:noWrap/>
            <w:vAlign w:val="bottom"/>
          </w:tcPr>
          <w:p w:rsidR="00F971FC" w:rsidRPr="00F971FC" w:rsidRDefault="00F971FC" w:rsidP="00F971FC">
            <w:pPr>
              <w:jc w:val="center"/>
              <w:rPr>
                <w:rFonts w:ascii="Calibri" w:eastAsia="Calibri" w:hAnsi="Calibri"/>
                <w:iCs/>
                <w:color w:val="000000" w:themeColor="text1"/>
                <w:kern w:val="2"/>
                <w:szCs w:val="22"/>
              </w:rPr>
            </w:pPr>
            <w:r>
              <w:rPr>
                <w:rFonts w:ascii="Calibri" w:hAnsi="Calibri"/>
                <w:iCs/>
                <w:color w:val="000000" w:themeColor="text1"/>
                <w:szCs w:val="22"/>
              </w:rPr>
              <w:t>1.2</w:t>
            </w:r>
          </w:p>
        </w:tc>
        <w:tc>
          <w:tcPr>
            <w:tcW w:w="1415" w:type="dxa"/>
            <w:tcBorders>
              <w:left w:val="single" w:sz="4" w:space="0" w:color="auto"/>
              <w:right w:val="single" w:sz="4" w:space="0" w:color="auto"/>
            </w:tcBorders>
            <w:noWrap/>
            <w:vAlign w:val="bottom"/>
          </w:tcPr>
          <w:p w:rsidR="00F971FC" w:rsidRPr="00F971FC" w:rsidRDefault="00F971FC" w:rsidP="00F971FC">
            <w:pPr>
              <w:jc w:val="center"/>
              <w:rPr>
                <w:rFonts w:ascii="Calibri" w:eastAsia="Calibri" w:hAnsi="Calibri"/>
                <w:iCs/>
                <w:color w:val="000000" w:themeColor="text1"/>
                <w:kern w:val="2"/>
                <w:szCs w:val="22"/>
              </w:rPr>
            </w:pPr>
            <w:r>
              <w:rPr>
                <w:rFonts w:ascii="Calibri" w:hAnsi="Calibri"/>
                <w:iCs/>
                <w:color w:val="000000" w:themeColor="text1"/>
                <w:szCs w:val="22"/>
              </w:rPr>
              <w:t>0.5</w:t>
            </w:r>
          </w:p>
        </w:tc>
        <w:tc>
          <w:tcPr>
            <w:tcW w:w="1373" w:type="dxa"/>
            <w:tcBorders>
              <w:left w:val="single" w:sz="4" w:space="0" w:color="auto"/>
              <w:right w:val="single" w:sz="4" w:space="0" w:color="auto"/>
            </w:tcBorders>
            <w:noWrap/>
            <w:vAlign w:val="bottom"/>
          </w:tcPr>
          <w:p w:rsidR="00F971FC" w:rsidRPr="00F971FC" w:rsidRDefault="00F971FC" w:rsidP="00F971FC">
            <w:pPr>
              <w:jc w:val="center"/>
              <w:rPr>
                <w:rFonts w:ascii="Calibri" w:eastAsia="Calibri" w:hAnsi="Calibri"/>
                <w:iCs/>
                <w:color w:val="000000" w:themeColor="text1"/>
                <w:kern w:val="2"/>
                <w:szCs w:val="22"/>
              </w:rPr>
            </w:pPr>
            <w:r>
              <w:rPr>
                <w:rFonts w:ascii="Calibri" w:hAnsi="Calibri"/>
                <w:iCs/>
                <w:color w:val="000000" w:themeColor="text1"/>
                <w:szCs w:val="22"/>
              </w:rPr>
              <w:t>3.4</w:t>
            </w:r>
          </w:p>
        </w:tc>
        <w:tc>
          <w:tcPr>
            <w:tcW w:w="1634" w:type="dxa"/>
            <w:tcBorders>
              <w:left w:val="single" w:sz="4" w:space="0" w:color="auto"/>
            </w:tcBorders>
            <w:noWrap/>
            <w:vAlign w:val="bottom"/>
          </w:tcPr>
          <w:p w:rsidR="00F971FC" w:rsidRPr="00F971FC" w:rsidRDefault="00F971FC" w:rsidP="00F971FC">
            <w:pPr>
              <w:jc w:val="center"/>
              <w:rPr>
                <w:rFonts w:ascii="Calibri" w:eastAsia="Calibri" w:hAnsi="Calibri"/>
                <w:iCs/>
                <w:color w:val="000000" w:themeColor="text1"/>
                <w:kern w:val="2"/>
                <w:szCs w:val="22"/>
              </w:rPr>
            </w:pPr>
            <w:r>
              <w:rPr>
                <w:rFonts w:ascii="Calibri" w:hAnsi="Calibri"/>
                <w:iCs/>
                <w:color w:val="000000" w:themeColor="text1"/>
                <w:szCs w:val="22"/>
              </w:rPr>
              <w:t>1.0</w:t>
            </w:r>
          </w:p>
        </w:tc>
      </w:tr>
      <w:tr w:rsidR="00F971FC" w:rsidRPr="00F971FC" w:rsidTr="0036190B">
        <w:trPr>
          <w:trHeight w:val="21"/>
          <w:jc w:val="center"/>
        </w:trPr>
        <w:tc>
          <w:tcPr>
            <w:tcW w:w="1069" w:type="dxa"/>
            <w:tcBorders>
              <w:right w:val="single" w:sz="4" w:space="0" w:color="auto"/>
            </w:tcBorders>
            <w:noWrap/>
            <w:vAlign w:val="bottom"/>
          </w:tcPr>
          <w:p w:rsidR="00F971FC" w:rsidRPr="00F971FC" w:rsidRDefault="00F971FC" w:rsidP="00F971FC">
            <w:pPr>
              <w:jc w:val="center"/>
              <w:rPr>
                <w:rFonts w:ascii="Calibri" w:eastAsia="Calibri" w:hAnsi="Calibri"/>
                <w:iCs/>
                <w:color w:val="000000" w:themeColor="text1"/>
                <w:kern w:val="2"/>
                <w:szCs w:val="22"/>
              </w:rPr>
            </w:pPr>
            <w:r>
              <w:rPr>
                <w:rFonts w:ascii="Calibri" w:hAnsi="Calibri"/>
                <w:iCs/>
                <w:color w:val="000000" w:themeColor="text1"/>
                <w:szCs w:val="22"/>
              </w:rPr>
              <w:t>2021</w:t>
            </w:r>
          </w:p>
        </w:tc>
        <w:tc>
          <w:tcPr>
            <w:tcW w:w="1311" w:type="dxa"/>
            <w:tcBorders>
              <w:left w:val="single" w:sz="4" w:space="0" w:color="auto"/>
              <w:right w:val="single" w:sz="4" w:space="0" w:color="auto"/>
            </w:tcBorders>
            <w:vAlign w:val="bottom"/>
          </w:tcPr>
          <w:p w:rsidR="00F971FC" w:rsidRPr="00F971FC" w:rsidRDefault="00F971FC" w:rsidP="00F971FC">
            <w:pPr>
              <w:jc w:val="center"/>
              <w:rPr>
                <w:rFonts w:ascii="Calibri" w:eastAsia="Calibri" w:hAnsi="Calibri"/>
                <w:iCs/>
                <w:color w:val="000000" w:themeColor="text1"/>
                <w:kern w:val="2"/>
                <w:szCs w:val="22"/>
              </w:rPr>
            </w:pPr>
            <w:r>
              <w:rPr>
                <w:rFonts w:ascii="Calibri" w:hAnsi="Calibri"/>
                <w:iCs/>
                <w:color w:val="000000" w:themeColor="text1"/>
                <w:szCs w:val="22"/>
              </w:rPr>
              <w:t>5.0</w:t>
            </w:r>
          </w:p>
        </w:tc>
        <w:tc>
          <w:tcPr>
            <w:tcW w:w="1487" w:type="dxa"/>
            <w:tcBorders>
              <w:left w:val="single" w:sz="4" w:space="0" w:color="auto"/>
              <w:right w:val="single" w:sz="4" w:space="0" w:color="auto"/>
            </w:tcBorders>
            <w:noWrap/>
            <w:vAlign w:val="bottom"/>
          </w:tcPr>
          <w:p w:rsidR="00F971FC" w:rsidRPr="00F971FC" w:rsidRDefault="00F971FC" w:rsidP="00F971FC">
            <w:pPr>
              <w:jc w:val="center"/>
              <w:rPr>
                <w:rFonts w:ascii="Calibri" w:eastAsia="Calibri" w:hAnsi="Calibri"/>
                <w:iCs/>
                <w:color w:val="000000" w:themeColor="text1"/>
                <w:kern w:val="2"/>
                <w:szCs w:val="22"/>
              </w:rPr>
            </w:pPr>
            <w:r>
              <w:rPr>
                <w:rFonts w:ascii="Calibri" w:hAnsi="Calibri"/>
                <w:iCs/>
                <w:color w:val="000000" w:themeColor="text1"/>
                <w:szCs w:val="22"/>
              </w:rPr>
              <w:t>1.4</w:t>
            </w:r>
          </w:p>
        </w:tc>
        <w:tc>
          <w:tcPr>
            <w:tcW w:w="1415" w:type="dxa"/>
            <w:tcBorders>
              <w:left w:val="single" w:sz="4" w:space="0" w:color="auto"/>
              <w:right w:val="single" w:sz="4" w:space="0" w:color="auto"/>
            </w:tcBorders>
            <w:noWrap/>
            <w:vAlign w:val="bottom"/>
          </w:tcPr>
          <w:p w:rsidR="00F971FC" w:rsidRPr="00F971FC" w:rsidRDefault="00F971FC" w:rsidP="00F971FC">
            <w:pPr>
              <w:jc w:val="center"/>
              <w:rPr>
                <w:rFonts w:ascii="Calibri" w:eastAsia="Calibri" w:hAnsi="Calibri"/>
                <w:iCs/>
                <w:color w:val="000000" w:themeColor="text1"/>
                <w:kern w:val="2"/>
                <w:szCs w:val="22"/>
              </w:rPr>
            </w:pPr>
            <w:r>
              <w:rPr>
                <w:rFonts w:ascii="Calibri" w:hAnsi="Calibri"/>
                <w:iCs/>
                <w:color w:val="000000" w:themeColor="text1"/>
                <w:szCs w:val="22"/>
              </w:rPr>
              <w:t>0.2</w:t>
            </w:r>
          </w:p>
        </w:tc>
        <w:tc>
          <w:tcPr>
            <w:tcW w:w="1373" w:type="dxa"/>
            <w:tcBorders>
              <w:left w:val="single" w:sz="4" w:space="0" w:color="auto"/>
              <w:right w:val="single" w:sz="4" w:space="0" w:color="auto"/>
            </w:tcBorders>
            <w:noWrap/>
            <w:vAlign w:val="bottom"/>
          </w:tcPr>
          <w:p w:rsidR="00F971FC" w:rsidRPr="00F971FC" w:rsidRDefault="00F971FC" w:rsidP="00F971FC">
            <w:pPr>
              <w:jc w:val="center"/>
              <w:rPr>
                <w:rFonts w:ascii="Calibri" w:eastAsia="Calibri" w:hAnsi="Calibri"/>
                <w:iCs/>
                <w:color w:val="000000" w:themeColor="text1"/>
                <w:kern w:val="2"/>
                <w:szCs w:val="22"/>
              </w:rPr>
            </w:pPr>
            <w:r>
              <w:rPr>
                <w:rFonts w:ascii="Calibri" w:hAnsi="Calibri"/>
                <w:iCs/>
                <w:color w:val="000000" w:themeColor="text1"/>
                <w:szCs w:val="22"/>
              </w:rPr>
              <w:t>3.4</w:t>
            </w:r>
          </w:p>
        </w:tc>
        <w:tc>
          <w:tcPr>
            <w:tcW w:w="1634" w:type="dxa"/>
            <w:tcBorders>
              <w:left w:val="single" w:sz="4" w:space="0" w:color="auto"/>
            </w:tcBorders>
            <w:noWrap/>
            <w:vAlign w:val="bottom"/>
          </w:tcPr>
          <w:p w:rsidR="00F971FC" w:rsidRPr="00F971FC" w:rsidRDefault="00F971FC" w:rsidP="00F971FC">
            <w:pPr>
              <w:jc w:val="center"/>
              <w:rPr>
                <w:rFonts w:ascii="Calibri" w:eastAsia="Calibri" w:hAnsi="Calibri"/>
                <w:iCs/>
                <w:color w:val="000000" w:themeColor="text1"/>
                <w:kern w:val="2"/>
                <w:szCs w:val="22"/>
              </w:rPr>
            </w:pPr>
            <w:r>
              <w:rPr>
                <w:rFonts w:ascii="Calibri" w:hAnsi="Calibri"/>
                <w:iCs/>
                <w:color w:val="000000" w:themeColor="text1"/>
                <w:szCs w:val="22"/>
              </w:rPr>
              <w:t>0.9</w:t>
            </w:r>
          </w:p>
        </w:tc>
      </w:tr>
    </w:tbl>
    <w:p w:rsidR="00F971FC" w:rsidRPr="00F971FC" w:rsidRDefault="00F971FC" w:rsidP="00F971FC">
      <w:pPr>
        <w:rPr>
          <w:rFonts w:ascii="Calibri" w:eastAsia="Calibri" w:hAnsi="Calibri"/>
          <w:iCs/>
          <w:color w:val="000000" w:themeColor="text1"/>
          <w:kern w:val="2"/>
          <w:szCs w:val="22"/>
        </w:rPr>
      </w:pPr>
      <w:r>
        <w:rPr>
          <w:rFonts w:ascii="Calibri" w:hAnsi="Calibri"/>
          <w:iCs/>
          <w:color w:val="000000" w:themeColor="text1"/>
          <w:szCs w:val="22"/>
        </w:rPr>
        <w:tab/>
        <w:t>Note: Differences when summing up, where applicable, are due to rounding offs</w:t>
      </w:r>
    </w:p>
    <w:p w:rsidR="00F971FC" w:rsidRPr="00F971FC" w:rsidRDefault="00F971FC" w:rsidP="00F971FC">
      <w:pPr>
        <w:rPr>
          <w:rFonts w:ascii="Calibri" w:eastAsia="Calibri" w:hAnsi="Calibri"/>
          <w:iCs/>
          <w:color w:val="000000" w:themeColor="text1"/>
          <w:kern w:val="2"/>
          <w:szCs w:val="22"/>
        </w:rPr>
      </w:pPr>
      <w:r>
        <w:rPr>
          <w:rFonts w:ascii="Calibri" w:hAnsi="Calibri"/>
          <w:iCs/>
          <w:color w:val="000000" w:themeColor="text1"/>
          <w:szCs w:val="22"/>
        </w:rPr>
        <w:tab/>
        <w:t>Source: National Commission of Strategy and Prognosis</w:t>
      </w:r>
    </w:p>
    <w:p w:rsidR="004A37F1" w:rsidRDefault="004A37F1" w:rsidP="00F971FC">
      <w:pPr>
        <w:jc w:val="both"/>
        <w:rPr>
          <w:rFonts w:ascii="Calibri" w:eastAsia="Calibri" w:hAnsi="Calibri"/>
          <w:iCs/>
          <w:color w:val="000000" w:themeColor="text1"/>
          <w:kern w:val="2"/>
          <w:szCs w:val="22"/>
          <w:lang w:val="ro-RO" w:eastAsia="zh-CN"/>
        </w:rPr>
      </w:pPr>
    </w:p>
    <w:p w:rsidR="005063CB" w:rsidRDefault="005063CB" w:rsidP="00F971FC">
      <w:pPr>
        <w:jc w:val="both"/>
        <w:rPr>
          <w:rFonts w:ascii="Calibri" w:eastAsia="Calibri" w:hAnsi="Calibri"/>
          <w:iCs/>
          <w:color w:val="000000" w:themeColor="text1"/>
          <w:kern w:val="2"/>
          <w:szCs w:val="22"/>
          <w:lang w:val="ro-RO" w:eastAsia="zh-CN"/>
        </w:rPr>
      </w:pPr>
    </w:p>
    <w:p w:rsidR="00F971FC" w:rsidRDefault="00F971FC" w:rsidP="00F971FC">
      <w:pPr>
        <w:jc w:val="both"/>
        <w:rPr>
          <w:rFonts w:ascii="Calibri" w:hAnsi="Calibri"/>
          <w:iCs/>
          <w:color w:val="000000" w:themeColor="text1"/>
          <w:szCs w:val="22"/>
        </w:rPr>
      </w:pPr>
      <w:r>
        <w:rPr>
          <w:rFonts w:ascii="Calibri" w:hAnsi="Calibri"/>
          <w:iCs/>
          <w:color w:val="000000" w:themeColor="text1"/>
          <w:szCs w:val="22"/>
        </w:rPr>
        <w:t xml:space="preserve">The output-gap has slightly positive values as of 2017. Moreover, given that the effective growth of 2018 will slow down, due to circumstantial factors, the output-gap will be reduced to 0.2% of the potential GDP. On medium term, the output-gap will be at a maximum of 1% of the potential GDP.  </w:t>
      </w:r>
    </w:p>
    <w:p w:rsidR="005063CB" w:rsidRPr="00F971FC" w:rsidRDefault="005063CB" w:rsidP="00F971FC">
      <w:pPr>
        <w:jc w:val="both"/>
        <w:rPr>
          <w:rFonts w:ascii="Calibri" w:eastAsia="Calibri" w:hAnsi="Calibri"/>
          <w:iCs/>
          <w:color w:val="000000" w:themeColor="text1"/>
          <w:kern w:val="2"/>
          <w:szCs w:val="22"/>
        </w:rPr>
      </w:pPr>
    </w:p>
    <w:p w:rsidR="00F971FC" w:rsidRPr="00F971FC" w:rsidRDefault="00F971FC" w:rsidP="00F971FC">
      <w:pPr>
        <w:jc w:val="center"/>
        <w:rPr>
          <w:rFonts w:ascii="Calibri" w:eastAsia="Calibri" w:hAnsi="Calibri"/>
          <w:iCs/>
          <w:color w:val="000000" w:themeColor="text1"/>
          <w:kern w:val="2"/>
          <w:szCs w:val="22"/>
          <w:lang w:val="ro-RO" w:eastAsia="zh-CN"/>
        </w:rPr>
      </w:pPr>
    </w:p>
    <w:p w:rsidR="008F2E12" w:rsidRDefault="00DF768F" w:rsidP="00846670">
      <w:pPr>
        <w:spacing w:after="120"/>
        <w:jc w:val="center"/>
        <w:rPr>
          <w:rFonts w:ascii="Calibri" w:eastAsia="Calibri" w:hAnsi="Calibri"/>
          <w:b/>
          <w:iCs/>
          <w:color w:val="000000" w:themeColor="text1"/>
          <w:kern w:val="2"/>
          <w:szCs w:val="22"/>
        </w:rPr>
      </w:pPr>
      <w:r>
        <w:rPr>
          <w:rFonts w:ascii="Calibri" w:hAnsi="Calibri"/>
          <w:b/>
          <w:iCs/>
          <w:noProof/>
          <w:color w:val="000000" w:themeColor="text1"/>
          <w:szCs w:val="22"/>
          <w:lang w:val="ro-RO" w:eastAsia="ro-RO"/>
        </w:rPr>
        <mc:AlternateContent>
          <mc:Choice Requires="wps">
            <w:drawing>
              <wp:anchor distT="0" distB="0" distL="114300" distR="114300" simplePos="0" relativeHeight="251675136" behindDoc="0" locked="0" layoutInCell="1" allowOverlap="1">
                <wp:simplePos x="0" y="0"/>
                <wp:positionH relativeFrom="column">
                  <wp:posOffset>2360930</wp:posOffset>
                </wp:positionH>
                <wp:positionV relativeFrom="paragraph">
                  <wp:posOffset>1943735</wp:posOffset>
                </wp:positionV>
                <wp:extent cx="1062355" cy="238760"/>
                <wp:effectExtent l="8255" t="10160" r="5715" b="8255"/>
                <wp:wrapNone/>
                <wp:docPr id="717"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355" cy="238760"/>
                        </a:xfrm>
                        <a:prstGeom prst="rect">
                          <a:avLst/>
                        </a:prstGeom>
                        <a:solidFill>
                          <a:srgbClr val="FFFFFF"/>
                        </a:solidFill>
                        <a:ln w="9525">
                          <a:solidFill>
                            <a:srgbClr val="000000"/>
                          </a:solidFill>
                          <a:miter lim="800000"/>
                          <a:headEnd/>
                          <a:tailEnd/>
                        </a:ln>
                      </wps:spPr>
                      <wps:txbx>
                        <w:txbxContent>
                          <w:p w:rsidR="005063CB" w:rsidRPr="0001645F" w:rsidRDefault="005063CB">
                            <w:pPr>
                              <w:rPr>
                                <w:sz w:val="16"/>
                              </w:rPr>
                            </w:pPr>
                            <w:r w:rsidRPr="0001645F">
                              <w:rPr>
                                <w:sz w:val="16"/>
                              </w:rPr>
                              <w:t>Cyclical component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3" o:spid="_x0000_s1036" style="position:absolute;left:0;text-align:left;margin-left:185.9pt;margin-top:153.05pt;width:83.65pt;height:18.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">
                <v:textbox>
                  <w:txbxContent>
                    <w:p w:rsidR="005063CB" w:rsidRPr="0001645F" w:rsidRDefault="005063CB">
                      <w:pPr>
                        <w:rPr>
                          <w:sz w:val="16"/>
                        </w:rPr>
                      </w:pPr>
                      <w:r w:rsidRPr="0001645F">
                        <w:rPr>
                          <w:sz w:val="16"/>
                        </w:rPr>
                        <w:t>Cyclical component</w:t>
                      </w:r>
                    </w:p>
                  </w:txbxContent>
                </v:textbox>
              </v:rect>
            </w:pict>
          </mc:Fallback>
        </mc:AlternateContent>
      </w:r>
      <w:r w:rsidR="00F971FC">
        <w:rPr>
          <w:rFonts w:ascii="Calibri" w:hAnsi="Calibri"/>
          <w:b/>
          <w:iCs/>
          <w:color w:val="000000" w:themeColor="text1"/>
          <w:szCs w:val="22"/>
        </w:rPr>
        <w:t>Output-gap and the cyclical component of the structural deficit</w:t>
      </w:r>
      <w:r w:rsidR="00F971FC">
        <w:rPr>
          <w:noProof/>
          <w:lang w:val="ro-RO" w:eastAsia="ro-RO"/>
        </w:rPr>
        <w:drawing>
          <wp:inline distT="0" distB="0" distL="0" distR="0">
            <wp:extent cx="4638675" cy="1981200"/>
            <wp:effectExtent l="0" t="0" r="9525" b="0"/>
            <wp:docPr id="42" name="Chart 1" descr="cid:image001.png@01D4B4B9.DC7399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1.png@01D4B4B9.DC7399E0"/>
                    <pic:cNvPicPr>
                      <a:picLocks noChangeAspect="1" noChangeArrowheads="1"/>
                    </pic:cNvPicPr>
                  </pic:nvPicPr>
                  <pic:blipFill>
                    <a:blip r:embed="rId12" r:link="rId13"/>
                    <a:srcRect/>
                    <a:stretch>
                      <a:fillRect/>
                    </a:stretch>
                  </pic:blipFill>
                  <pic:spPr bwMode="auto">
                    <a:xfrm>
                      <a:off x="0" y="0"/>
                      <a:ext cx="4638675" cy="1981200"/>
                    </a:xfrm>
                    <a:prstGeom prst="rect">
                      <a:avLst/>
                    </a:prstGeom>
                    <a:noFill/>
                    <a:ln w="9525">
                      <a:noFill/>
                      <a:miter lim="800000"/>
                      <a:headEnd/>
                      <a:tailEnd/>
                    </a:ln>
                  </pic:spPr>
                </pic:pic>
              </a:graphicData>
            </a:graphic>
          </wp:inline>
        </w:drawing>
      </w:r>
    </w:p>
    <w:p w:rsidR="009C2F7C" w:rsidRDefault="009C2F7C" w:rsidP="00846670">
      <w:pPr>
        <w:spacing w:after="120"/>
        <w:jc w:val="center"/>
        <w:rPr>
          <w:rFonts w:ascii="Calibri" w:eastAsia="Calibri" w:hAnsi="Calibri"/>
          <w:b/>
          <w:iCs/>
          <w:color w:val="000000" w:themeColor="text1"/>
          <w:kern w:val="2"/>
          <w:szCs w:val="22"/>
          <w:lang w:val="ro-RO" w:eastAsia="zh-CN"/>
        </w:rPr>
      </w:pPr>
    </w:p>
    <w:p w:rsidR="005063CB" w:rsidRDefault="005063CB" w:rsidP="00846670">
      <w:pPr>
        <w:spacing w:after="120"/>
        <w:jc w:val="center"/>
        <w:rPr>
          <w:rFonts w:ascii="Calibri" w:eastAsia="Calibri" w:hAnsi="Calibri"/>
          <w:b/>
          <w:iCs/>
          <w:color w:val="000000" w:themeColor="text1"/>
          <w:kern w:val="2"/>
          <w:szCs w:val="22"/>
          <w:lang w:val="ro-RO" w:eastAsia="zh-CN"/>
        </w:rPr>
      </w:pPr>
    </w:p>
    <w:p w:rsidR="005063CB" w:rsidRDefault="005063CB" w:rsidP="00846670">
      <w:pPr>
        <w:spacing w:after="120"/>
        <w:jc w:val="center"/>
        <w:rPr>
          <w:rFonts w:ascii="Calibri" w:eastAsia="Calibri" w:hAnsi="Calibri"/>
          <w:b/>
          <w:iCs/>
          <w:color w:val="000000" w:themeColor="text1"/>
          <w:kern w:val="2"/>
          <w:szCs w:val="22"/>
          <w:lang w:val="ro-RO" w:eastAsia="zh-CN"/>
        </w:rPr>
      </w:pPr>
    </w:p>
    <w:p w:rsidR="005063CB" w:rsidRDefault="005063CB" w:rsidP="00846670">
      <w:pPr>
        <w:spacing w:after="120"/>
        <w:jc w:val="center"/>
        <w:rPr>
          <w:rFonts w:ascii="Calibri" w:eastAsia="Calibri" w:hAnsi="Calibri"/>
          <w:b/>
          <w:iCs/>
          <w:color w:val="000000" w:themeColor="text1"/>
          <w:kern w:val="2"/>
          <w:szCs w:val="22"/>
          <w:lang w:val="ro-RO" w:eastAsia="zh-CN"/>
        </w:rPr>
      </w:pPr>
    </w:p>
    <w:p w:rsidR="005063CB" w:rsidRDefault="005063CB" w:rsidP="00846670">
      <w:pPr>
        <w:spacing w:after="120"/>
        <w:jc w:val="center"/>
        <w:rPr>
          <w:rFonts w:ascii="Calibri" w:eastAsia="Calibri" w:hAnsi="Calibri"/>
          <w:b/>
          <w:iCs/>
          <w:color w:val="000000" w:themeColor="text1"/>
          <w:kern w:val="2"/>
          <w:szCs w:val="22"/>
          <w:lang w:val="ro-RO" w:eastAsia="zh-CN"/>
        </w:rPr>
      </w:pPr>
    </w:p>
    <w:p w:rsidR="009C2F7C" w:rsidRPr="008F2E12" w:rsidRDefault="009C2F7C" w:rsidP="00846670">
      <w:pPr>
        <w:spacing w:after="120"/>
        <w:jc w:val="center"/>
        <w:rPr>
          <w:rFonts w:ascii="Calibri" w:eastAsia="Calibri" w:hAnsi="Calibri"/>
          <w:b/>
          <w:iCs/>
          <w:color w:val="000000" w:themeColor="text1"/>
          <w:kern w:val="2"/>
          <w:szCs w:val="22"/>
          <w:lang w:val="ro-RO" w:eastAsia="zh-CN"/>
        </w:rPr>
      </w:pPr>
    </w:p>
    <w:p w:rsidR="00425593" w:rsidRPr="007A359C" w:rsidRDefault="00425593" w:rsidP="000207A9">
      <w:pPr>
        <w:shd w:val="clear" w:color="auto" w:fill="9CC2E5" w:themeFill="accent1" w:themeFillTint="99"/>
        <w:jc w:val="both"/>
        <w:rPr>
          <w:rFonts w:ascii="Calibri" w:hAnsi="Calibri"/>
          <w:b/>
          <w:color w:val="000066"/>
        </w:rPr>
      </w:pPr>
      <w:r>
        <w:rPr>
          <w:rFonts w:ascii="Calibri" w:hAnsi="Calibri"/>
          <w:b/>
          <w:color w:val="000066"/>
        </w:rPr>
        <w:t>2.2. Evolution of the structural deficit in the period 2015-2021</w:t>
      </w:r>
    </w:p>
    <w:p w:rsidR="00846670" w:rsidRPr="00846670" w:rsidRDefault="00846670" w:rsidP="00846670">
      <w:pPr>
        <w:spacing w:before="120"/>
        <w:jc w:val="both"/>
        <w:rPr>
          <w:rFonts w:ascii="Calibri" w:hAnsi="Calibri"/>
          <w:color w:val="000000" w:themeColor="text1"/>
        </w:rPr>
      </w:pPr>
      <w:r>
        <w:rPr>
          <w:rFonts w:ascii="Calibri" w:hAnsi="Calibri"/>
          <w:b/>
          <w:color w:val="000000" w:themeColor="text1"/>
        </w:rPr>
        <w:t>In 2017, Romania’s structural deficit was of 3.36% of GDP</w:t>
      </w:r>
      <w:r>
        <w:rPr>
          <w:rFonts w:ascii="Calibri" w:hAnsi="Calibri"/>
          <w:color w:val="000000" w:themeColor="text1"/>
        </w:rPr>
        <w:t xml:space="preserve">, while in 2015 it was of 0.2% of GDP.  </w:t>
      </w:r>
    </w:p>
    <w:p w:rsidR="00846670" w:rsidRPr="00846670" w:rsidRDefault="00846670" w:rsidP="00846670">
      <w:pPr>
        <w:keepLines/>
        <w:widowControl w:val="0"/>
        <w:tabs>
          <w:tab w:val="left" w:pos="318"/>
        </w:tabs>
        <w:autoSpaceDE w:val="0"/>
        <w:autoSpaceDN w:val="0"/>
        <w:adjustRightInd w:val="0"/>
        <w:jc w:val="center"/>
        <w:rPr>
          <w:rFonts w:ascii="Calibri" w:hAnsi="Calibri" w:cs="Arial"/>
          <w:b/>
          <w:color w:val="000000" w:themeColor="text1"/>
          <w:lang w:val="ro-RO"/>
        </w:rPr>
      </w:pPr>
    </w:p>
    <w:p w:rsidR="00846670" w:rsidRPr="00846670" w:rsidRDefault="00846670" w:rsidP="00846670">
      <w:pPr>
        <w:spacing w:after="160" w:line="259" w:lineRule="auto"/>
        <w:jc w:val="both"/>
        <w:rPr>
          <w:rFonts w:ascii="Calibri" w:eastAsia="Calibri" w:hAnsi="Calibri" w:cs="Arial"/>
          <w:b/>
        </w:rPr>
      </w:pPr>
      <w:r>
        <w:rPr>
          <w:rFonts w:ascii="Calibri" w:hAnsi="Calibri"/>
          <w:b/>
        </w:rPr>
        <w:t xml:space="preserve">                                                 Budget deficits between 2015 and 2021</w:t>
      </w:r>
    </w:p>
    <w:p w:rsidR="00D92F70" w:rsidRPr="00D92F70" w:rsidRDefault="00D92F70" w:rsidP="00D92F70">
      <w:pPr>
        <w:ind w:firstLine="6521"/>
        <w:jc w:val="both"/>
        <w:rPr>
          <w:rFonts w:ascii="Calibri" w:eastAsia="Calibri" w:hAnsi="Calibri" w:cs="Arial"/>
        </w:rPr>
      </w:pPr>
      <w:r>
        <w:rPr>
          <w:rFonts w:ascii="Calibri" w:hAnsi="Calibri"/>
        </w:rPr>
        <w:t xml:space="preserve">             - % of GDP </w:t>
      </w:r>
    </w:p>
    <w:tbl>
      <w:tblPr>
        <w:tblW w:w="7822" w:type="dxa"/>
        <w:jc w:val="center"/>
        <w:tblLook w:val="01E0" w:firstRow="1" w:lastRow="1" w:firstColumn="1" w:lastColumn="1" w:noHBand="0" w:noVBand="0"/>
      </w:tblPr>
      <w:tblGrid>
        <w:gridCol w:w="2127"/>
        <w:gridCol w:w="854"/>
        <w:gridCol w:w="851"/>
        <w:gridCol w:w="850"/>
        <w:gridCol w:w="788"/>
        <w:gridCol w:w="784"/>
        <w:gridCol w:w="784"/>
        <w:gridCol w:w="784"/>
      </w:tblGrid>
      <w:tr w:rsidR="00D92F70" w:rsidRPr="00D92F70" w:rsidTr="00D92F70">
        <w:trPr>
          <w:trHeight w:val="336"/>
          <w:jc w:val="center"/>
        </w:trPr>
        <w:tc>
          <w:tcPr>
            <w:tcW w:w="2127" w:type="dxa"/>
            <w:tcBorders>
              <w:top w:val="single" w:sz="6" w:space="0" w:color="000000"/>
              <w:bottom w:val="single" w:sz="6" w:space="0" w:color="000000"/>
            </w:tcBorders>
            <w:shd w:val="clear" w:color="auto" w:fill="99CCFF"/>
          </w:tcPr>
          <w:p w:rsidR="00D92F70" w:rsidRPr="00D92F70" w:rsidRDefault="00D92F70" w:rsidP="00D92F70">
            <w:pPr>
              <w:jc w:val="both"/>
              <w:rPr>
                <w:rFonts w:ascii="Calibri" w:eastAsia="Calibri" w:hAnsi="Calibri" w:cs="Arial"/>
                <w:b/>
              </w:rPr>
            </w:pPr>
            <w:r>
              <w:rPr>
                <w:rFonts w:ascii="Calibri" w:hAnsi="Calibri"/>
                <w:b/>
              </w:rPr>
              <w:t>Budget deficits</w:t>
            </w:r>
          </w:p>
        </w:tc>
        <w:tc>
          <w:tcPr>
            <w:tcW w:w="854" w:type="dxa"/>
            <w:tcBorders>
              <w:top w:val="single" w:sz="6" w:space="0" w:color="000000"/>
              <w:bottom w:val="single" w:sz="6" w:space="0" w:color="000000"/>
            </w:tcBorders>
            <w:shd w:val="clear" w:color="auto" w:fill="99CCFF"/>
          </w:tcPr>
          <w:p w:rsidR="00D92F70" w:rsidRPr="00D92F70" w:rsidRDefault="00D92F70" w:rsidP="00D92F70">
            <w:pPr>
              <w:jc w:val="both"/>
              <w:rPr>
                <w:rFonts w:ascii="Calibri" w:eastAsia="Calibri" w:hAnsi="Calibri" w:cs="Arial"/>
                <w:b/>
              </w:rPr>
            </w:pPr>
            <w:r>
              <w:rPr>
                <w:rFonts w:ascii="Calibri" w:hAnsi="Calibri"/>
                <w:b/>
              </w:rPr>
              <w:t>2015</w:t>
            </w:r>
          </w:p>
        </w:tc>
        <w:tc>
          <w:tcPr>
            <w:tcW w:w="851" w:type="dxa"/>
            <w:tcBorders>
              <w:top w:val="single" w:sz="6" w:space="0" w:color="000000"/>
              <w:bottom w:val="single" w:sz="6" w:space="0" w:color="000000"/>
            </w:tcBorders>
            <w:shd w:val="clear" w:color="auto" w:fill="99CCFF"/>
          </w:tcPr>
          <w:p w:rsidR="00D92F70" w:rsidRPr="00D92F70" w:rsidRDefault="00D92F70" w:rsidP="00D92F70">
            <w:pPr>
              <w:jc w:val="both"/>
              <w:rPr>
                <w:rFonts w:ascii="Calibri" w:eastAsia="Calibri" w:hAnsi="Calibri" w:cs="Arial"/>
                <w:b/>
              </w:rPr>
            </w:pPr>
            <w:r>
              <w:rPr>
                <w:rFonts w:ascii="Calibri" w:hAnsi="Calibri"/>
                <w:b/>
              </w:rPr>
              <w:t>2016</w:t>
            </w:r>
          </w:p>
        </w:tc>
        <w:tc>
          <w:tcPr>
            <w:tcW w:w="850" w:type="dxa"/>
            <w:tcBorders>
              <w:top w:val="single" w:sz="6" w:space="0" w:color="000000"/>
              <w:bottom w:val="single" w:sz="6" w:space="0" w:color="000000"/>
            </w:tcBorders>
            <w:shd w:val="clear" w:color="auto" w:fill="99CCFF"/>
          </w:tcPr>
          <w:p w:rsidR="00D92F70" w:rsidRPr="00D92F70" w:rsidRDefault="00D92F70" w:rsidP="00D92F70">
            <w:pPr>
              <w:jc w:val="both"/>
              <w:rPr>
                <w:rFonts w:ascii="Calibri" w:eastAsia="Calibri" w:hAnsi="Calibri" w:cs="Arial"/>
                <w:b/>
              </w:rPr>
            </w:pPr>
            <w:r>
              <w:rPr>
                <w:rFonts w:ascii="Calibri" w:hAnsi="Calibri"/>
                <w:b/>
              </w:rPr>
              <w:t>2017</w:t>
            </w:r>
          </w:p>
        </w:tc>
        <w:tc>
          <w:tcPr>
            <w:tcW w:w="788" w:type="dxa"/>
            <w:tcBorders>
              <w:top w:val="single" w:sz="6" w:space="0" w:color="000000"/>
              <w:bottom w:val="single" w:sz="6" w:space="0" w:color="000000"/>
            </w:tcBorders>
            <w:shd w:val="clear" w:color="auto" w:fill="99CCFF"/>
          </w:tcPr>
          <w:p w:rsidR="00D92F70" w:rsidRPr="00D92F70" w:rsidRDefault="00D92F70" w:rsidP="00D92F70">
            <w:pPr>
              <w:jc w:val="both"/>
              <w:rPr>
                <w:rFonts w:ascii="Calibri" w:eastAsia="Calibri" w:hAnsi="Calibri" w:cs="Arial"/>
                <w:b/>
              </w:rPr>
            </w:pPr>
            <w:r>
              <w:rPr>
                <w:rFonts w:ascii="Calibri" w:hAnsi="Calibri"/>
                <w:b/>
              </w:rPr>
              <w:t>2018</w:t>
            </w:r>
          </w:p>
        </w:tc>
        <w:tc>
          <w:tcPr>
            <w:tcW w:w="784" w:type="dxa"/>
            <w:tcBorders>
              <w:top w:val="single" w:sz="6" w:space="0" w:color="000000"/>
              <w:bottom w:val="single" w:sz="6" w:space="0" w:color="000000"/>
            </w:tcBorders>
            <w:shd w:val="clear" w:color="auto" w:fill="99CCFF"/>
          </w:tcPr>
          <w:p w:rsidR="00D92F70" w:rsidRPr="00D92F70" w:rsidRDefault="00D92F70" w:rsidP="00D92F70">
            <w:pPr>
              <w:jc w:val="both"/>
              <w:rPr>
                <w:rFonts w:ascii="Calibri" w:eastAsia="Calibri" w:hAnsi="Calibri" w:cs="Arial"/>
                <w:b/>
              </w:rPr>
            </w:pPr>
            <w:r>
              <w:rPr>
                <w:rFonts w:ascii="Calibri" w:hAnsi="Calibri"/>
                <w:b/>
              </w:rPr>
              <w:t>2019</w:t>
            </w:r>
          </w:p>
        </w:tc>
        <w:tc>
          <w:tcPr>
            <w:tcW w:w="784" w:type="dxa"/>
            <w:tcBorders>
              <w:top w:val="single" w:sz="6" w:space="0" w:color="000000"/>
              <w:bottom w:val="single" w:sz="6" w:space="0" w:color="000000"/>
            </w:tcBorders>
            <w:shd w:val="clear" w:color="auto" w:fill="99CCFF"/>
          </w:tcPr>
          <w:p w:rsidR="00D92F70" w:rsidRPr="00D92F70" w:rsidRDefault="00D92F70" w:rsidP="00D92F70">
            <w:pPr>
              <w:jc w:val="both"/>
              <w:rPr>
                <w:rFonts w:ascii="Calibri" w:eastAsia="Calibri" w:hAnsi="Calibri" w:cs="Arial"/>
                <w:b/>
              </w:rPr>
            </w:pPr>
            <w:r>
              <w:rPr>
                <w:rFonts w:ascii="Calibri" w:hAnsi="Calibri"/>
                <w:b/>
              </w:rPr>
              <w:t>2020</w:t>
            </w:r>
          </w:p>
        </w:tc>
        <w:tc>
          <w:tcPr>
            <w:tcW w:w="784" w:type="dxa"/>
            <w:tcBorders>
              <w:top w:val="single" w:sz="6" w:space="0" w:color="000000"/>
              <w:bottom w:val="single" w:sz="6" w:space="0" w:color="000000"/>
            </w:tcBorders>
            <w:shd w:val="clear" w:color="auto" w:fill="99CCFF"/>
          </w:tcPr>
          <w:p w:rsidR="00D92F70" w:rsidRPr="00D92F70" w:rsidRDefault="00D92F70" w:rsidP="00D92F70">
            <w:pPr>
              <w:jc w:val="both"/>
              <w:rPr>
                <w:rFonts w:ascii="Calibri" w:eastAsia="Calibri" w:hAnsi="Calibri" w:cs="Arial"/>
                <w:b/>
              </w:rPr>
            </w:pPr>
            <w:r>
              <w:rPr>
                <w:rFonts w:ascii="Calibri" w:hAnsi="Calibri"/>
                <w:b/>
              </w:rPr>
              <w:t>2021</w:t>
            </w:r>
          </w:p>
        </w:tc>
      </w:tr>
      <w:tr w:rsidR="00D92F70" w:rsidRPr="00D92F70" w:rsidTr="00D92F70">
        <w:trPr>
          <w:trHeight w:val="336"/>
          <w:jc w:val="center"/>
        </w:trPr>
        <w:tc>
          <w:tcPr>
            <w:tcW w:w="2127" w:type="dxa"/>
            <w:tcBorders>
              <w:top w:val="single" w:sz="6" w:space="0" w:color="000000"/>
            </w:tcBorders>
          </w:tcPr>
          <w:p w:rsidR="00D92F70" w:rsidRPr="00D92F70" w:rsidRDefault="00D92F70" w:rsidP="00D92F70">
            <w:pPr>
              <w:spacing w:after="160" w:line="259" w:lineRule="auto"/>
              <w:jc w:val="both"/>
              <w:rPr>
                <w:rFonts w:ascii="Calibri" w:eastAsia="Calibri" w:hAnsi="Calibri" w:cs="Arial"/>
              </w:rPr>
            </w:pPr>
            <w:r>
              <w:rPr>
                <w:rFonts w:ascii="Calibri" w:hAnsi="Calibri"/>
              </w:rPr>
              <w:t>ESA deficit</w:t>
            </w:r>
          </w:p>
        </w:tc>
        <w:tc>
          <w:tcPr>
            <w:tcW w:w="854" w:type="dxa"/>
            <w:tcBorders>
              <w:top w:val="single" w:sz="6" w:space="0" w:color="000000"/>
            </w:tcBorders>
          </w:tcPr>
          <w:p w:rsidR="00D92F70" w:rsidRPr="00D92F70" w:rsidRDefault="00D92F70" w:rsidP="00D92F70">
            <w:pPr>
              <w:spacing w:after="160" w:line="259" w:lineRule="auto"/>
              <w:jc w:val="both"/>
              <w:rPr>
                <w:rFonts w:ascii="Calibri" w:eastAsia="Calibri" w:hAnsi="Calibri" w:cs="Arial"/>
                <w:color w:val="000000"/>
              </w:rPr>
            </w:pPr>
            <w:r>
              <w:rPr>
                <w:rFonts w:ascii="Calibri" w:hAnsi="Calibri"/>
                <w:color w:val="000000"/>
              </w:rPr>
              <w:t>-0.69</w:t>
            </w:r>
          </w:p>
        </w:tc>
        <w:tc>
          <w:tcPr>
            <w:tcW w:w="851" w:type="dxa"/>
            <w:tcBorders>
              <w:top w:val="single" w:sz="6" w:space="0" w:color="000000"/>
            </w:tcBorders>
          </w:tcPr>
          <w:p w:rsidR="00D92F70" w:rsidRPr="00D92F70" w:rsidRDefault="00D92F70" w:rsidP="00D92F70">
            <w:pPr>
              <w:spacing w:after="160" w:line="259" w:lineRule="auto"/>
              <w:jc w:val="both"/>
              <w:rPr>
                <w:rFonts w:ascii="Calibri" w:eastAsia="Calibri" w:hAnsi="Calibri" w:cs="Arial"/>
                <w:color w:val="000000"/>
              </w:rPr>
            </w:pPr>
            <w:r>
              <w:rPr>
                <w:rFonts w:ascii="Calibri" w:hAnsi="Calibri"/>
                <w:color w:val="000000"/>
              </w:rPr>
              <w:t>-2.92</w:t>
            </w:r>
          </w:p>
        </w:tc>
        <w:tc>
          <w:tcPr>
            <w:tcW w:w="850" w:type="dxa"/>
            <w:tcBorders>
              <w:top w:val="single" w:sz="6" w:space="0" w:color="000000"/>
            </w:tcBorders>
          </w:tcPr>
          <w:p w:rsidR="00D92F70" w:rsidRPr="00D92F70" w:rsidRDefault="006C467E" w:rsidP="00D92F70">
            <w:pPr>
              <w:spacing w:after="160" w:line="259" w:lineRule="auto"/>
              <w:jc w:val="both"/>
              <w:rPr>
                <w:rFonts w:ascii="Calibri" w:eastAsia="Calibri" w:hAnsi="Calibri" w:cs="Arial"/>
                <w:color w:val="000000"/>
              </w:rPr>
            </w:pPr>
            <w:r>
              <w:rPr>
                <w:rFonts w:ascii="Calibri" w:hAnsi="Calibri"/>
                <w:color w:val="000000"/>
              </w:rPr>
              <w:t>-2.88</w:t>
            </w:r>
          </w:p>
        </w:tc>
        <w:tc>
          <w:tcPr>
            <w:tcW w:w="788" w:type="dxa"/>
            <w:tcBorders>
              <w:top w:val="single" w:sz="6" w:space="0" w:color="000000"/>
            </w:tcBorders>
          </w:tcPr>
          <w:p w:rsidR="00D92F70" w:rsidRPr="00D92F70" w:rsidRDefault="00D92F70" w:rsidP="00D92F70">
            <w:pPr>
              <w:spacing w:after="160" w:line="259" w:lineRule="auto"/>
              <w:jc w:val="both"/>
              <w:rPr>
                <w:rFonts w:ascii="Calibri" w:eastAsia="Calibri" w:hAnsi="Calibri" w:cs="Arial"/>
                <w:color w:val="000000"/>
              </w:rPr>
            </w:pPr>
            <w:r>
              <w:rPr>
                <w:rFonts w:ascii="Calibri" w:hAnsi="Calibri"/>
                <w:color w:val="000000"/>
              </w:rPr>
              <w:t>-2.96</w:t>
            </w:r>
          </w:p>
        </w:tc>
        <w:tc>
          <w:tcPr>
            <w:tcW w:w="784" w:type="dxa"/>
            <w:tcBorders>
              <w:top w:val="single" w:sz="6" w:space="0" w:color="000000"/>
            </w:tcBorders>
          </w:tcPr>
          <w:p w:rsidR="00D92F70" w:rsidRPr="00D92F70" w:rsidRDefault="00D92F70" w:rsidP="00D92F70">
            <w:pPr>
              <w:spacing w:after="160" w:line="259" w:lineRule="auto"/>
              <w:jc w:val="both"/>
              <w:rPr>
                <w:rFonts w:ascii="Calibri" w:eastAsia="Calibri" w:hAnsi="Calibri" w:cs="Arial"/>
                <w:color w:val="000000"/>
              </w:rPr>
            </w:pPr>
            <w:r>
              <w:rPr>
                <w:rFonts w:ascii="Calibri" w:hAnsi="Calibri"/>
                <w:color w:val="000000"/>
              </w:rPr>
              <w:t>-2.78</w:t>
            </w:r>
          </w:p>
        </w:tc>
        <w:tc>
          <w:tcPr>
            <w:tcW w:w="784" w:type="dxa"/>
            <w:tcBorders>
              <w:top w:val="single" w:sz="6" w:space="0" w:color="000000"/>
            </w:tcBorders>
          </w:tcPr>
          <w:p w:rsidR="00D92F70" w:rsidRPr="00D92F70" w:rsidRDefault="00D92F70" w:rsidP="00D92F70">
            <w:pPr>
              <w:spacing w:after="160" w:line="259" w:lineRule="auto"/>
              <w:jc w:val="both"/>
              <w:rPr>
                <w:rFonts w:ascii="Calibri" w:eastAsia="Calibri" w:hAnsi="Calibri" w:cs="Arial"/>
                <w:color w:val="000000"/>
              </w:rPr>
            </w:pPr>
            <w:r>
              <w:rPr>
                <w:rFonts w:ascii="Calibri" w:hAnsi="Calibri"/>
                <w:color w:val="000000"/>
              </w:rPr>
              <w:t>-2.68</w:t>
            </w:r>
          </w:p>
        </w:tc>
        <w:tc>
          <w:tcPr>
            <w:tcW w:w="784" w:type="dxa"/>
            <w:tcBorders>
              <w:top w:val="single" w:sz="6" w:space="0" w:color="000000"/>
            </w:tcBorders>
          </w:tcPr>
          <w:p w:rsidR="00D92F70" w:rsidRPr="00D92F70" w:rsidRDefault="00D92F70" w:rsidP="00D92F70">
            <w:pPr>
              <w:spacing w:after="160" w:line="259" w:lineRule="auto"/>
              <w:jc w:val="both"/>
              <w:rPr>
                <w:rFonts w:ascii="Calibri" w:eastAsia="Calibri" w:hAnsi="Calibri" w:cs="Arial"/>
                <w:color w:val="000000"/>
              </w:rPr>
            </w:pPr>
            <w:r>
              <w:rPr>
                <w:rFonts w:ascii="Calibri" w:hAnsi="Calibri"/>
                <w:color w:val="000000"/>
              </w:rPr>
              <w:t>-2.45</w:t>
            </w:r>
          </w:p>
        </w:tc>
      </w:tr>
      <w:tr w:rsidR="00D92F70" w:rsidRPr="00D92F70" w:rsidTr="00D92F70">
        <w:trPr>
          <w:trHeight w:val="640"/>
          <w:jc w:val="center"/>
        </w:trPr>
        <w:tc>
          <w:tcPr>
            <w:tcW w:w="2127" w:type="dxa"/>
          </w:tcPr>
          <w:p w:rsidR="00D92F70" w:rsidRPr="00D92F70" w:rsidRDefault="00D92F70" w:rsidP="00D92F70">
            <w:pPr>
              <w:spacing w:after="160" w:line="259" w:lineRule="auto"/>
              <w:jc w:val="both"/>
              <w:rPr>
                <w:rFonts w:ascii="Calibri" w:eastAsia="Calibri" w:hAnsi="Calibri" w:cs="Arial"/>
              </w:rPr>
            </w:pPr>
            <w:r>
              <w:rPr>
                <w:rFonts w:ascii="Calibri" w:hAnsi="Calibri"/>
              </w:rPr>
              <w:t>Structural Deficit*)</w:t>
            </w:r>
          </w:p>
        </w:tc>
        <w:tc>
          <w:tcPr>
            <w:tcW w:w="854" w:type="dxa"/>
          </w:tcPr>
          <w:p w:rsidR="00D92F70" w:rsidRPr="00D92F70" w:rsidRDefault="00D92F70" w:rsidP="00D92F70">
            <w:pPr>
              <w:spacing w:after="160" w:line="259" w:lineRule="auto"/>
              <w:jc w:val="both"/>
              <w:rPr>
                <w:rFonts w:ascii="Calibri" w:eastAsia="Calibri" w:hAnsi="Calibri" w:cs="Arial"/>
                <w:color w:val="000000"/>
              </w:rPr>
            </w:pPr>
            <w:r>
              <w:rPr>
                <w:rFonts w:ascii="Calibri" w:hAnsi="Calibri"/>
                <w:color w:val="000000"/>
              </w:rPr>
              <w:t>-0.2</w:t>
            </w:r>
          </w:p>
        </w:tc>
        <w:tc>
          <w:tcPr>
            <w:tcW w:w="851" w:type="dxa"/>
          </w:tcPr>
          <w:p w:rsidR="00D92F70" w:rsidRPr="00D92F70" w:rsidRDefault="00D92F70" w:rsidP="00D92F70">
            <w:pPr>
              <w:spacing w:after="160" w:line="259" w:lineRule="auto"/>
              <w:jc w:val="both"/>
              <w:rPr>
                <w:rFonts w:ascii="Calibri" w:eastAsia="Calibri" w:hAnsi="Calibri" w:cs="Arial"/>
                <w:color w:val="000000"/>
              </w:rPr>
            </w:pPr>
            <w:r>
              <w:rPr>
                <w:rFonts w:ascii="Calibri" w:hAnsi="Calibri"/>
                <w:color w:val="000000"/>
              </w:rPr>
              <w:t>-2.2</w:t>
            </w:r>
          </w:p>
        </w:tc>
        <w:tc>
          <w:tcPr>
            <w:tcW w:w="850" w:type="dxa"/>
          </w:tcPr>
          <w:p w:rsidR="00D92F70" w:rsidRPr="00D92F70" w:rsidRDefault="00D92F70" w:rsidP="00D92F70">
            <w:pPr>
              <w:spacing w:after="160" w:line="259" w:lineRule="auto"/>
              <w:jc w:val="both"/>
              <w:rPr>
                <w:rFonts w:ascii="Calibri" w:eastAsia="Calibri" w:hAnsi="Calibri" w:cs="Arial"/>
                <w:color w:val="000000"/>
              </w:rPr>
            </w:pPr>
            <w:r>
              <w:rPr>
                <w:rFonts w:ascii="Calibri" w:hAnsi="Calibri"/>
                <w:color w:val="000000"/>
              </w:rPr>
              <w:t>-3.36</w:t>
            </w:r>
          </w:p>
        </w:tc>
        <w:tc>
          <w:tcPr>
            <w:tcW w:w="788" w:type="dxa"/>
          </w:tcPr>
          <w:p w:rsidR="00D92F70" w:rsidRPr="00D92F70" w:rsidRDefault="00D92F70" w:rsidP="00D92F70">
            <w:pPr>
              <w:spacing w:after="160" w:line="259" w:lineRule="auto"/>
              <w:jc w:val="both"/>
              <w:rPr>
                <w:rFonts w:ascii="Calibri" w:eastAsia="Calibri" w:hAnsi="Calibri" w:cs="Arial"/>
                <w:color w:val="000000"/>
              </w:rPr>
            </w:pPr>
            <w:r>
              <w:rPr>
                <w:rFonts w:ascii="Calibri" w:hAnsi="Calibri"/>
                <w:color w:val="000000"/>
              </w:rPr>
              <w:t>-3.03</w:t>
            </w:r>
          </w:p>
        </w:tc>
        <w:tc>
          <w:tcPr>
            <w:tcW w:w="784" w:type="dxa"/>
          </w:tcPr>
          <w:p w:rsidR="00D92F70" w:rsidRPr="00D92F70" w:rsidRDefault="00D92F70" w:rsidP="00D92F70">
            <w:pPr>
              <w:spacing w:after="160" w:line="259" w:lineRule="auto"/>
              <w:jc w:val="both"/>
              <w:rPr>
                <w:rFonts w:ascii="Calibri" w:eastAsia="Calibri" w:hAnsi="Calibri" w:cs="Arial"/>
                <w:color w:val="000000"/>
              </w:rPr>
            </w:pPr>
            <w:r>
              <w:rPr>
                <w:rFonts w:ascii="Calibri" w:hAnsi="Calibri"/>
                <w:color w:val="000000"/>
              </w:rPr>
              <w:t>-2.97</w:t>
            </w:r>
          </w:p>
        </w:tc>
        <w:tc>
          <w:tcPr>
            <w:tcW w:w="784" w:type="dxa"/>
          </w:tcPr>
          <w:p w:rsidR="00D92F70" w:rsidRPr="00D92F70" w:rsidRDefault="00D92F70" w:rsidP="00D92F70">
            <w:pPr>
              <w:spacing w:after="160" w:line="259" w:lineRule="auto"/>
              <w:jc w:val="both"/>
              <w:rPr>
                <w:rFonts w:ascii="Calibri" w:eastAsia="Calibri" w:hAnsi="Calibri" w:cs="Arial"/>
                <w:color w:val="000000"/>
              </w:rPr>
            </w:pPr>
            <w:r>
              <w:rPr>
                <w:rFonts w:ascii="Calibri" w:hAnsi="Calibri"/>
                <w:color w:val="000000"/>
              </w:rPr>
              <w:t>-3.03</w:t>
            </w:r>
          </w:p>
        </w:tc>
        <w:tc>
          <w:tcPr>
            <w:tcW w:w="784" w:type="dxa"/>
          </w:tcPr>
          <w:p w:rsidR="00D92F70" w:rsidRPr="00D92F70" w:rsidRDefault="00D92F70" w:rsidP="00D92F70">
            <w:pPr>
              <w:spacing w:after="160" w:line="259" w:lineRule="auto"/>
              <w:jc w:val="both"/>
              <w:rPr>
                <w:rFonts w:ascii="Calibri" w:eastAsia="Calibri" w:hAnsi="Calibri" w:cs="Arial"/>
                <w:color w:val="000000"/>
              </w:rPr>
            </w:pPr>
            <w:r>
              <w:rPr>
                <w:rFonts w:ascii="Calibri" w:hAnsi="Calibri"/>
                <w:color w:val="000000"/>
              </w:rPr>
              <w:t>-2.77</w:t>
            </w:r>
          </w:p>
        </w:tc>
      </w:tr>
      <w:tr w:rsidR="00D92F70" w:rsidRPr="00D92F70" w:rsidTr="00D92F70">
        <w:trPr>
          <w:trHeight w:val="557"/>
          <w:jc w:val="center"/>
        </w:trPr>
        <w:tc>
          <w:tcPr>
            <w:tcW w:w="2127" w:type="dxa"/>
            <w:tcBorders>
              <w:bottom w:val="single" w:sz="4" w:space="0" w:color="auto"/>
            </w:tcBorders>
          </w:tcPr>
          <w:p w:rsidR="00D92F70" w:rsidRPr="00D92F70" w:rsidRDefault="00D92F70" w:rsidP="00D92F70">
            <w:pPr>
              <w:spacing w:after="160" w:line="259" w:lineRule="auto"/>
              <w:jc w:val="both"/>
              <w:rPr>
                <w:rFonts w:ascii="Calibri" w:eastAsia="Calibri" w:hAnsi="Calibri" w:cs="Arial"/>
              </w:rPr>
            </w:pPr>
            <w:r>
              <w:rPr>
                <w:rFonts w:ascii="Calibri" w:hAnsi="Calibri"/>
              </w:rPr>
              <w:t>Cash deficit</w:t>
            </w:r>
          </w:p>
        </w:tc>
        <w:tc>
          <w:tcPr>
            <w:tcW w:w="854" w:type="dxa"/>
            <w:tcBorders>
              <w:bottom w:val="single" w:sz="4" w:space="0" w:color="auto"/>
            </w:tcBorders>
          </w:tcPr>
          <w:p w:rsidR="00D92F70" w:rsidRPr="00D92F70" w:rsidRDefault="00D92F70" w:rsidP="00D92F70">
            <w:pPr>
              <w:spacing w:after="160" w:line="259" w:lineRule="auto"/>
              <w:jc w:val="both"/>
              <w:rPr>
                <w:rFonts w:ascii="Calibri" w:eastAsia="Calibri" w:hAnsi="Calibri" w:cs="Arial"/>
              </w:rPr>
            </w:pPr>
            <w:r>
              <w:rPr>
                <w:rFonts w:ascii="Calibri" w:hAnsi="Calibri"/>
              </w:rPr>
              <w:t>-1.4</w:t>
            </w:r>
          </w:p>
        </w:tc>
        <w:tc>
          <w:tcPr>
            <w:tcW w:w="851" w:type="dxa"/>
            <w:tcBorders>
              <w:bottom w:val="single" w:sz="4" w:space="0" w:color="auto"/>
            </w:tcBorders>
          </w:tcPr>
          <w:p w:rsidR="00D92F70" w:rsidRPr="00D92F70" w:rsidRDefault="00D92F70" w:rsidP="00D92F70">
            <w:pPr>
              <w:spacing w:after="160" w:line="259" w:lineRule="auto"/>
              <w:jc w:val="both"/>
              <w:rPr>
                <w:rFonts w:ascii="Calibri" w:eastAsia="Calibri" w:hAnsi="Calibri" w:cs="Arial"/>
              </w:rPr>
            </w:pPr>
            <w:r>
              <w:rPr>
                <w:rFonts w:ascii="Calibri" w:hAnsi="Calibri"/>
              </w:rPr>
              <w:t>-2.39</w:t>
            </w:r>
          </w:p>
        </w:tc>
        <w:tc>
          <w:tcPr>
            <w:tcW w:w="850" w:type="dxa"/>
            <w:tcBorders>
              <w:bottom w:val="single" w:sz="4" w:space="0" w:color="auto"/>
            </w:tcBorders>
          </w:tcPr>
          <w:p w:rsidR="00D92F70" w:rsidRPr="00D92F70" w:rsidRDefault="00D92F70" w:rsidP="00D92F70">
            <w:pPr>
              <w:spacing w:after="160" w:line="259" w:lineRule="auto"/>
              <w:jc w:val="both"/>
              <w:rPr>
                <w:rFonts w:ascii="Calibri" w:eastAsia="Calibri" w:hAnsi="Calibri" w:cs="Arial"/>
              </w:rPr>
            </w:pPr>
            <w:r>
              <w:rPr>
                <w:rFonts w:ascii="Calibri" w:hAnsi="Calibri"/>
              </w:rPr>
              <w:t>-2.84</w:t>
            </w:r>
          </w:p>
        </w:tc>
        <w:tc>
          <w:tcPr>
            <w:tcW w:w="788" w:type="dxa"/>
            <w:tcBorders>
              <w:bottom w:val="single" w:sz="4" w:space="0" w:color="auto"/>
            </w:tcBorders>
          </w:tcPr>
          <w:p w:rsidR="00D92F70" w:rsidRPr="003350EC" w:rsidRDefault="00D92F70" w:rsidP="0034169E">
            <w:pPr>
              <w:spacing w:after="160" w:line="259" w:lineRule="auto"/>
              <w:jc w:val="both"/>
              <w:rPr>
                <w:rFonts w:ascii="Calibri" w:eastAsia="Calibri" w:hAnsi="Calibri" w:cs="Arial"/>
                <w:color w:val="000000" w:themeColor="text1"/>
              </w:rPr>
            </w:pPr>
            <w:r>
              <w:rPr>
                <w:rFonts w:ascii="Calibri" w:hAnsi="Calibri"/>
                <w:color w:val="000000" w:themeColor="text1"/>
              </w:rPr>
              <w:t>-2.91</w:t>
            </w:r>
          </w:p>
        </w:tc>
        <w:tc>
          <w:tcPr>
            <w:tcW w:w="784" w:type="dxa"/>
            <w:tcBorders>
              <w:bottom w:val="single" w:sz="4" w:space="0" w:color="auto"/>
            </w:tcBorders>
          </w:tcPr>
          <w:p w:rsidR="00D92F70" w:rsidRPr="00D92F70" w:rsidRDefault="00D92F70" w:rsidP="00D92F70">
            <w:pPr>
              <w:spacing w:after="160" w:line="259" w:lineRule="auto"/>
              <w:jc w:val="both"/>
              <w:rPr>
                <w:rFonts w:ascii="Calibri" w:eastAsia="Calibri" w:hAnsi="Calibri" w:cs="Arial"/>
              </w:rPr>
            </w:pPr>
            <w:r>
              <w:rPr>
                <w:rFonts w:ascii="Calibri" w:hAnsi="Calibri"/>
              </w:rPr>
              <w:t>-2.76</w:t>
            </w:r>
          </w:p>
        </w:tc>
        <w:tc>
          <w:tcPr>
            <w:tcW w:w="784" w:type="dxa"/>
            <w:tcBorders>
              <w:bottom w:val="single" w:sz="4" w:space="0" w:color="auto"/>
            </w:tcBorders>
          </w:tcPr>
          <w:p w:rsidR="00D92F70" w:rsidRPr="00D92F70" w:rsidRDefault="00D92F70" w:rsidP="00D92F70">
            <w:pPr>
              <w:spacing w:after="160" w:line="259" w:lineRule="auto"/>
              <w:jc w:val="both"/>
              <w:rPr>
                <w:rFonts w:ascii="Calibri" w:eastAsia="Calibri" w:hAnsi="Calibri" w:cs="Arial"/>
              </w:rPr>
            </w:pPr>
            <w:r>
              <w:rPr>
                <w:rFonts w:ascii="Calibri" w:hAnsi="Calibri"/>
              </w:rPr>
              <w:t>-2.33</w:t>
            </w:r>
          </w:p>
        </w:tc>
        <w:tc>
          <w:tcPr>
            <w:tcW w:w="784" w:type="dxa"/>
            <w:tcBorders>
              <w:bottom w:val="single" w:sz="4" w:space="0" w:color="auto"/>
            </w:tcBorders>
          </w:tcPr>
          <w:p w:rsidR="00D92F70" w:rsidRPr="00D92F70" w:rsidRDefault="00D92F70" w:rsidP="00D92F70">
            <w:pPr>
              <w:spacing w:after="160" w:line="259" w:lineRule="auto"/>
              <w:jc w:val="both"/>
              <w:rPr>
                <w:rFonts w:ascii="Calibri" w:eastAsia="Calibri" w:hAnsi="Calibri" w:cs="Arial"/>
              </w:rPr>
            </w:pPr>
            <w:r>
              <w:rPr>
                <w:rFonts w:ascii="Calibri" w:hAnsi="Calibri"/>
              </w:rPr>
              <w:t>-2.01</w:t>
            </w:r>
          </w:p>
        </w:tc>
      </w:tr>
    </w:tbl>
    <w:p w:rsidR="00D92F70" w:rsidRPr="00846670" w:rsidRDefault="00D92F70" w:rsidP="00D92F70">
      <w:pPr>
        <w:spacing w:after="160" w:line="259" w:lineRule="auto"/>
        <w:rPr>
          <w:rFonts w:ascii="Calibri" w:eastAsia="Calibri" w:hAnsi="Calibri" w:cs="Arial"/>
          <w:color w:val="000000" w:themeColor="text1"/>
        </w:rPr>
      </w:pPr>
      <w:r>
        <w:rPr>
          <w:rFonts w:ascii="Calibri" w:hAnsi="Calibri"/>
        </w:rPr>
        <w:tab/>
      </w:r>
    </w:p>
    <w:p w:rsidR="00846670" w:rsidRPr="00846670" w:rsidRDefault="00846670" w:rsidP="00846670">
      <w:pPr>
        <w:jc w:val="both"/>
        <w:rPr>
          <w:rFonts w:ascii="Calibri" w:eastAsia="Calibri" w:hAnsi="Calibri" w:cs="Arial"/>
          <w:color w:val="000000" w:themeColor="text1"/>
        </w:rPr>
      </w:pPr>
      <w:r>
        <w:rPr>
          <w:rFonts w:ascii="Calibri" w:hAnsi="Calibri"/>
          <w:color w:val="000000" w:themeColor="text1"/>
        </w:rPr>
        <w:t xml:space="preserve">      *) 2018-2021 estimates of the NCSP</w:t>
      </w:r>
      <w:r>
        <w:rPr>
          <w:rFonts w:ascii="Calibri" w:hAnsi="Calibri"/>
          <w:color w:val="000000" w:themeColor="text1"/>
        </w:rPr>
        <w:tab/>
      </w:r>
    </w:p>
    <w:p w:rsidR="00846670" w:rsidRPr="00846670" w:rsidRDefault="00846670" w:rsidP="00846670">
      <w:pPr>
        <w:autoSpaceDE w:val="0"/>
        <w:autoSpaceDN w:val="0"/>
        <w:adjustRightInd w:val="0"/>
        <w:jc w:val="both"/>
        <w:rPr>
          <w:rFonts w:ascii="Calibri" w:eastAsia="Calibri" w:hAnsi="Calibri" w:cs="Arial"/>
        </w:rPr>
      </w:pPr>
      <w:r>
        <w:rPr>
          <w:rFonts w:ascii="Calibri" w:hAnsi="Calibri"/>
        </w:rPr>
        <w:t>Source: Autumn Forecast of the EC for 2018, AMECO, MPF</w:t>
      </w:r>
    </w:p>
    <w:p w:rsidR="00846670" w:rsidRPr="00846670" w:rsidRDefault="00846670" w:rsidP="00846670">
      <w:pPr>
        <w:autoSpaceDE w:val="0"/>
        <w:autoSpaceDN w:val="0"/>
        <w:adjustRightInd w:val="0"/>
        <w:jc w:val="both"/>
        <w:rPr>
          <w:rFonts w:ascii="Calibri" w:eastAsia="Calibri" w:hAnsi="Calibri" w:cs="Arial"/>
          <w:lang w:val="ro-RO" w:eastAsia="ro-RO"/>
        </w:rPr>
      </w:pPr>
    </w:p>
    <w:p w:rsidR="00846670" w:rsidRPr="00846670" w:rsidRDefault="00846670" w:rsidP="00846670">
      <w:pPr>
        <w:autoSpaceDE w:val="0"/>
        <w:autoSpaceDN w:val="0"/>
        <w:adjustRightInd w:val="0"/>
        <w:jc w:val="both"/>
        <w:rPr>
          <w:rFonts w:ascii="Calibri" w:eastAsia="Calibri" w:hAnsi="Calibri" w:cs="Arial"/>
          <w:lang w:val="ro-RO" w:eastAsia="ro-RO"/>
        </w:rPr>
      </w:pPr>
    </w:p>
    <w:p w:rsidR="00740421" w:rsidRPr="00740421" w:rsidRDefault="00DF768F" w:rsidP="00740421">
      <w:pPr>
        <w:pStyle w:val="NoSpacing"/>
        <w:spacing w:after="160" w:line="259" w:lineRule="auto"/>
        <w:rPr>
          <w:rFonts w:ascii="Calibri" w:eastAsia="Calibri" w:hAnsi="Calibri" w:cs="Arial"/>
          <w:b/>
        </w:rPr>
      </w:pPr>
      <w:r>
        <w:rPr>
          <w:rFonts w:ascii="Calibri" w:hAnsi="Calibri" w:cs="Arial"/>
          <w:noProof/>
          <w:color w:val="0070C0"/>
          <w:sz w:val="20"/>
          <w:szCs w:val="20"/>
          <w:lang w:val="ro-RO"/>
        </w:rPr>
        <mc:AlternateContent>
          <mc:Choice Requires="wps">
            <w:drawing>
              <wp:anchor distT="0" distB="0" distL="114300" distR="114300" simplePos="0" relativeHeight="251678208" behindDoc="0" locked="0" layoutInCell="1" allowOverlap="1">
                <wp:simplePos x="0" y="0"/>
                <wp:positionH relativeFrom="column">
                  <wp:posOffset>3745230</wp:posOffset>
                </wp:positionH>
                <wp:positionV relativeFrom="paragraph">
                  <wp:posOffset>3035935</wp:posOffset>
                </wp:positionV>
                <wp:extent cx="1021080" cy="238760"/>
                <wp:effectExtent l="11430" t="6985" r="5715" b="11430"/>
                <wp:wrapNone/>
                <wp:docPr id="716"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238760"/>
                        </a:xfrm>
                        <a:prstGeom prst="rect">
                          <a:avLst/>
                        </a:prstGeom>
                        <a:solidFill>
                          <a:srgbClr val="FFFFFF"/>
                        </a:solidFill>
                        <a:ln w="9525">
                          <a:solidFill>
                            <a:srgbClr val="000000"/>
                          </a:solidFill>
                          <a:miter lim="800000"/>
                          <a:headEnd/>
                          <a:tailEnd/>
                        </a:ln>
                      </wps:spPr>
                      <wps:txbx>
                        <w:txbxContent>
                          <w:p w:rsidR="005063CB" w:rsidRPr="0001645F" w:rsidRDefault="005063CB" w:rsidP="0001645F">
                            <w:pPr>
                              <w:rPr>
                                <w:sz w:val="16"/>
                              </w:rPr>
                            </w:pPr>
                            <w:r w:rsidRPr="0001645F">
                              <w:rPr>
                                <w:sz w:val="16"/>
                              </w:rPr>
                              <w:t>Structural deficit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6" o:spid="_x0000_s1037" style="position:absolute;margin-left:294.9pt;margin-top:239.05pt;width:80.4pt;height:18.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">
                <v:textbox>
                  <w:txbxContent>
                    <w:p w:rsidR="005063CB" w:rsidRPr="0001645F" w:rsidRDefault="005063CB" w:rsidP="0001645F">
                      <w:pPr>
                        <w:rPr>
                          <w:sz w:val="16"/>
                        </w:rPr>
                      </w:pPr>
                      <w:r w:rsidRPr="0001645F">
                        <w:rPr>
                          <w:sz w:val="16"/>
                        </w:rPr>
                        <w:t>Structural deficit</w:t>
                      </w:r>
                    </w:p>
                  </w:txbxContent>
                </v:textbox>
              </v:rect>
            </w:pict>
          </mc:Fallback>
        </mc:AlternateContent>
      </w:r>
      <w:r>
        <w:rPr>
          <w:rFonts w:ascii="Calibri" w:hAnsi="Calibri" w:cs="Arial"/>
          <w:noProof/>
          <w:color w:val="0070C0"/>
          <w:sz w:val="20"/>
          <w:szCs w:val="20"/>
          <w:lang w:val="ro-RO"/>
        </w:rPr>
        <mc:AlternateContent>
          <mc:Choice Requires="wps">
            <w:drawing>
              <wp:anchor distT="0" distB="0" distL="114300" distR="114300" simplePos="0" relativeHeight="251677184" behindDoc="0" locked="0" layoutInCell="1" allowOverlap="1">
                <wp:simplePos x="0" y="0"/>
                <wp:positionH relativeFrom="column">
                  <wp:posOffset>2921000</wp:posOffset>
                </wp:positionH>
                <wp:positionV relativeFrom="paragraph">
                  <wp:posOffset>3035935</wp:posOffset>
                </wp:positionV>
                <wp:extent cx="724535" cy="238760"/>
                <wp:effectExtent l="6350" t="6985" r="12065" b="11430"/>
                <wp:wrapNone/>
                <wp:docPr id="715"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535" cy="238760"/>
                        </a:xfrm>
                        <a:prstGeom prst="rect">
                          <a:avLst/>
                        </a:prstGeom>
                        <a:solidFill>
                          <a:srgbClr val="FFFFFF"/>
                        </a:solidFill>
                        <a:ln w="9525">
                          <a:solidFill>
                            <a:srgbClr val="000000"/>
                          </a:solidFill>
                          <a:miter lim="800000"/>
                          <a:headEnd/>
                          <a:tailEnd/>
                        </a:ln>
                      </wps:spPr>
                      <wps:txbx>
                        <w:txbxContent>
                          <w:p w:rsidR="005063CB" w:rsidRPr="0001645F" w:rsidRDefault="005063CB" w:rsidP="0001645F">
                            <w:pPr>
                              <w:rPr>
                                <w:sz w:val="16"/>
                              </w:rPr>
                            </w:pPr>
                            <w:r w:rsidRPr="0001645F">
                              <w:rPr>
                                <w:sz w:val="16"/>
                              </w:rPr>
                              <w:t>ESA deficit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5" o:spid="_x0000_s1038" style="position:absolute;margin-left:230pt;margin-top:239.05pt;width:57.05pt;height:18.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">
                <v:textbox>
                  <w:txbxContent>
                    <w:p w:rsidR="005063CB" w:rsidRPr="0001645F" w:rsidRDefault="005063CB" w:rsidP="0001645F">
                      <w:pPr>
                        <w:rPr>
                          <w:sz w:val="16"/>
                        </w:rPr>
                      </w:pPr>
                      <w:r w:rsidRPr="0001645F">
                        <w:rPr>
                          <w:sz w:val="16"/>
                        </w:rPr>
                        <w:t>ESA deficit</w:t>
                      </w:r>
                    </w:p>
                  </w:txbxContent>
                </v:textbox>
              </v:rect>
            </w:pict>
          </mc:Fallback>
        </mc:AlternateContent>
      </w:r>
      <w:r>
        <w:rPr>
          <w:rFonts w:ascii="Calibri" w:hAnsi="Calibri"/>
          <w:noProof/>
          <w:lang w:val="ro-RO"/>
        </w:rPr>
        <mc:AlternateContent>
          <mc:Choice Requires="wps">
            <w:drawing>
              <wp:anchor distT="0" distB="0" distL="114300" distR="114300" simplePos="0" relativeHeight="251676160" behindDoc="0" locked="0" layoutInCell="1" allowOverlap="1">
                <wp:simplePos x="0" y="0"/>
                <wp:positionH relativeFrom="column">
                  <wp:posOffset>2155190</wp:posOffset>
                </wp:positionH>
                <wp:positionV relativeFrom="paragraph">
                  <wp:posOffset>3035935</wp:posOffset>
                </wp:positionV>
                <wp:extent cx="708025" cy="238760"/>
                <wp:effectExtent l="12065" t="6985" r="13335" b="11430"/>
                <wp:wrapNone/>
                <wp:docPr id="714"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025" cy="238760"/>
                        </a:xfrm>
                        <a:prstGeom prst="rect">
                          <a:avLst/>
                        </a:prstGeom>
                        <a:solidFill>
                          <a:srgbClr val="FFFFFF"/>
                        </a:solidFill>
                        <a:ln w="9525">
                          <a:solidFill>
                            <a:srgbClr val="000000"/>
                          </a:solidFill>
                          <a:miter lim="800000"/>
                          <a:headEnd/>
                          <a:tailEnd/>
                        </a:ln>
                      </wps:spPr>
                      <wps:txbx>
                        <w:txbxContent>
                          <w:p w:rsidR="005063CB" w:rsidRPr="0001645F" w:rsidRDefault="005063CB">
                            <w:pPr>
                              <w:rPr>
                                <w:sz w:val="16"/>
                              </w:rPr>
                            </w:pPr>
                            <w:r w:rsidRPr="0001645F">
                              <w:rPr>
                                <w:sz w:val="16"/>
                              </w:rPr>
                              <w:t>Cash deficit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4" o:spid="_x0000_s1039" style="position:absolute;margin-left:169.7pt;margin-top:239.05pt;width:55.75pt;height:18.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">
                <v:textbox>
                  <w:txbxContent>
                    <w:p w:rsidR="005063CB" w:rsidRPr="0001645F" w:rsidRDefault="005063CB">
                      <w:pPr>
                        <w:rPr>
                          <w:sz w:val="16"/>
                        </w:rPr>
                      </w:pPr>
                      <w:r w:rsidRPr="0001645F">
                        <w:rPr>
                          <w:sz w:val="16"/>
                        </w:rPr>
                        <w:t>Cash deficit</w:t>
                      </w:r>
                    </w:p>
                  </w:txbxContent>
                </v:textbox>
              </v:rect>
            </w:pict>
          </mc:Fallback>
        </mc:AlternateContent>
      </w:r>
      <w:r>
        <w:rPr>
          <w:rFonts w:ascii="Calibri" w:hAnsi="Calibri"/>
          <w:noProof/>
          <w:lang w:val="ro-RO"/>
        </w:rPr>
        <w:drawing>
          <wp:inline distT="0" distB="0" distL="0" distR="0">
            <wp:extent cx="6581775" cy="3385820"/>
            <wp:effectExtent l="0" t="0" r="0" b="0"/>
            <wp:docPr id="1"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6C467E">
        <w:rPr>
          <w:rFonts w:ascii="Calibri" w:hAnsi="Calibri"/>
        </w:rPr>
        <w:t xml:space="preserve">                         Source: Autumn Forecast of the EC for 2018, AMECO, MPF, NCSP</w:t>
      </w:r>
    </w:p>
    <w:p w:rsidR="00846670" w:rsidRPr="00846670" w:rsidRDefault="00846670" w:rsidP="00846670">
      <w:pPr>
        <w:autoSpaceDE w:val="0"/>
        <w:autoSpaceDN w:val="0"/>
        <w:adjustRightInd w:val="0"/>
        <w:jc w:val="both"/>
        <w:rPr>
          <w:rFonts w:ascii="Calibri" w:hAnsi="Calibri" w:cs="Arial"/>
          <w:color w:val="0070C0"/>
          <w:sz w:val="20"/>
          <w:szCs w:val="20"/>
          <w:lang w:val="ro-RO"/>
        </w:rPr>
      </w:pPr>
    </w:p>
    <w:p w:rsidR="00846670" w:rsidRPr="00846670" w:rsidRDefault="00846670" w:rsidP="00846670">
      <w:pPr>
        <w:keepLines/>
        <w:widowControl w:val="0"/>
        <w:tabs>
          <w:tab w:val="left" w:pos="318"/>
        </w:tabs>
        <w:autoSpaceDE w:val="0"/>
        <w:autoSpaceDN w:val="0"/>
        <w:adjustRightInd w:val="0"/>
        <w:jc w:val="both"/>
        <w:rPr>
          <w:rFonts w:ascii="Calibri" w:hAnsi="Calibri" w:cs="Arial"/>
        </w:rPr>
      </w:pPr>
      <w:r>
        <w:rPr>
          <w:rFonts w:ascii="Calibri" w:hAnsi="Calibri"/>
        </w:rPr>
        <w:t>The adjustment made after the economic and financial crisis was mainly on the expenditure side, the structural reforms being promoted especially in the field of salaries of public employees, the public pension system and budget programming. Since Romania is a country which has had bigger imbalances at the beginning of the world crisis, bigger adjustment efforts were necessary compared to other countries from the region. The adjustment made by our country is a very ambitious one, and the performance obtained with regard to correcting fiscal imbalances judged in terms of structural deficit is very good, considering the extent thereof.</w:t>
      </w:r>
    </w:p>
    <w:p w:rsidR="00846670" w:rsidRPr="00846670" w:rsidRDefault="00846670" w:rsidP="00846670">
      <w:pPr>
        <w:keepLines/>
        <w:widowControl w:val="0"/>
        <w:tabs>
          <w:tab w:val="left" w:pos="318"/>
        </w:tabs>
        <w:autoSpaceDE w:val="0"/>
        <w:autoSpaceDN w:val="0"/>
        <w:adjustRightInd w:val="0"/>
        <w:jc w:val="both"/>
        <w:rPr>
          <w:rFonts w:ascii="Calibri" w:hAnsi="Calibri" w:cs="Arial"/>
          <w:lang w:val="ro-RO"/>
        </w:rPr>
      </w:pPr>
    </w:p>
    <w:p w:rsidR="00846670" w:rsidRPr="008D0FC5" w:rsidRDefault="00846670" w:rsidP="00565476">
      <w:pPr>
        <w:numPr>
          <w:ilvl w:val="0"/>
          <w:numId w:val="200"/>
        </w:numPr>
        <w:tabs>
          <w:tab w:val="left" w:pos="176"/>
          <w:tab w:val="left" w:pos="318"/>
        </w:tabs>
        <w:contextualSpacing/>
        <w:jc w:val="both"/>
        <w:rPr>
          <w:rFonts w:ascii="Calibri" w:hAnsi="Calibri" w:cs="Calibri"/>
          <w:color w:val="000000" w:themeColor="text1"/>
        </w:rPr>
      </w:pPr>
      <w:r>
        <w:rPr>
          <w:rFonts w:ascii="Calibri" w:hAnsi="Calibri"/>
          <w:color w:val="000000" w:themeColor="text1"/>
        </w:rPr>
        <w:t xml:space="preserve"> The semi-definitive statistical data reveals the great performance registered by the Romanian economy in 2017, when the dynamics of the gross domestic product was of 7.0%, being the seventh consecutive year of growth. Romania’s economic growth was of 4.1% in 2018, being supported on the offer side mainly by the sector of industry and that of services, and on the demand side by a more balanced contribution of consumption and gross investments.</w:t>
      </w:r>
    </w:p>
    <w:p w:rsidR="00846670" w:rsidRPr="00846670" w:rsidRDefault="00846670" w:rsidP="00565476">
      <w:pPr>
        <w:numPr>
          <w:ilvl w:val="0"/>
          <w:numId w:val="200"/>
        </w:numPr>
        <w:shd w:val="clear" w:color="auto" w:fill="FFFFFF"/>
        <w:spacing w:after="120"/>
        <w:jc w:val="both"/>
        <w:rPr>
          <w:rFonts w:ascii="Calibri" w:hAnsi="Calibri"/>
          <w:color w:val="000000" w:themeColor="text1"/>
        </w:rPr>
      </w:pPr>
      <w:r>
        <w:rPr>
          <w:rFonts w:ascii="Calibri" w:hAnsi="Calibri"/>
          <w:color w:val="000000" w:themeColor="text1"/>
        </w:rPr>
        <w:t>In 2015, the structural deficit was of 0.2% of GDP, the recorded level being consistent with the provisions of the Fiscal Treaty.</w:t>
      </w:r>
    </w:p>
    <w:p w:rsidR="00846670" w:rsidRPr="00846670" w:rsidRDefault="00846670" w:rsidP="00565476">
      <w:pPr>
        <w:numPr>
          <w:ilvl w:val="0"/>
          <w:numId w:val="200"/>
        </w:numPr>
        <w:shd w:val="clear" w:color="auto" w:fill="FFFFFF" w:themeFill="background1"/>
        <w:autoSpaceDE w:val="0"/>
        <w:autoSpaceDN w:val="0"/>
        <w:adjustRightInd w:val="0"/>
        <w:jc w:val="both"/>
        <w:rPr>
          <w:rFonts w:ascii="Calibri" w:hAnsi="Calibri" w:cs="Arial"/>
          <w:color w:val="000000" w:themeColor="text1"/>
        </w:rPr>
      </w:pPr>
      <w:r>
        <w:rPr>
          <w:rFonts w:ascii="Calibri" w:hAnsi="Calibri"/>
          <w:color w:val="000000" w:themeColor="text1"/>
        </w:rPr>
        <w:t>Considering the adopted fiscal relaxation measures, as well as those from the field of expenditures, the projection of the general consolidated budget deviates from the Medium-Term Budgetary Objective (MTO) as of 2016 and in the following period, respectively 2017-2021, the structural budget deficit being over 1% of GDP.</w:t>
      </w:r>
    </w:p>
    <w:p w:rsidR="00846670" w:rsidRPr="00846670" w:rsidRDefault="00846670" w:rsidP="00565476">
      <w:pPr>
        <w:numPr>
          <w:ilvl w:val="0"/>
          <w:numId w:val="200"/>
        </w:numPr>
        <w:shd w:val="clear" w:color="auto" w:fill="FFFFFF" w:themeFill="background1"/>
        <w:autoSpaceDE w:val="0"/>
        <w:autoSpaceDN w:val="0"/>
        <w:adjustRightInd w:val="0"/>
        <w:jc w:val="both"/>
        <w:rPr>
          <w:rFonts w:ascii="Calibri" w:hAnsi="Calibri" w:cs="Arial"/>
          <w:color w:val="000000" w:themeColor="text1"/>
        </w:rPr>
      </w:pPr>
      <w:r>
        <w:rPr>
          <w:rFonts w:ascii="Calibri" w:hAnsi="Calibri"/>
          <w:color w:val="000000" w:themeColor="text1"/>
        </w:rPr>
        <w:t>The budget deficit of 2019, defined in structural terms, is of 2.97% of GDP, compared to the Medium-term Budgetary Objective.</w:t>
      </w:r>
    </w:p>
    <w:p w:rsidR="00846670" w:rsidRPr="00846670" w:rsidRDefault="00846670" w:rsidP="00565476">
      <w:pPr>
        <w:numPr>
          <w:ilvl w:val="0"/>
          <w:numId w:val="200"/>
        </w:numPr>
        <w:spacing w:after="120" w:line="276" w:lineRule="auto"/>
        <w:jc w:val="both"/>
        <w:rPr>
          <w:rFonts w:ascii="Calibri" w:hAnsi="Calibri"/>
          <w:color w:val="000000" w:themeColor="text1"/>
        </w:rPr>
      </w:pPr>
      <w:r>
        <w:rPr>
          <w:rFonts w:ascii="Calibri" w:hAnsi="Calibri"/>
          <w:color w:val="000000" w:themeColor="text1"/>
        </w:rPr>
        <w:t>Although in 2016 a deviation is registered which is maintained in the following years, nevertheless, as of 2021 it enters on an adjustment trajectory, which means the application of measures of recovery from the estimated deviation.</w:t>
      </w:r>
    </w:p>
    <w:p w:rsidR="00846670" w:rsidRDefault="00846670" w:rsidP="00846670">
      <w:pPr>
        <w:keepLines/>
        <w:widowControl w:val="0"/>
        <w:ind w:right="259"/>
        <w:jc w:val="both"/>
        <w:rPr>
          <w:rFonts w:ascii="Calibri" w:hAnsi="Calibri" w:cs="Arial"/>
          <w:b/>
          <w:color w:val="002060"/>
        </w:rPr>
      </w:pPr>
      <w:r>
        <w:rPr>
          <w:rFonts w:ascii="Calibri" w:hAnsi="Calibri"/>
          <w:b/>
          <w:color w:val="002060"/>
        </w:rPr>
        <w:t>The deviation from the MTO would occur if a sustainable level of public debt below 40% of GDP is maintained on the entire planning horizon.</w:t>
      </w:r>
    </w:p>
    <w:p w:rsidR="009C2F7C" w:rsidRPr="00846670" w:rsidRDefault="009C2F7C" w:rsidP="00846670">
      <w:pPr>
        <w:keepLines/>
        <w:widowControl w:val="0"/>
        <w:ind w:right="259"/>
        <w:jc w:val="both"/>
        <w:rPr>
          <w:rFonts w:ascii="Calibri" w:hAnsi="Calibri"/>
          <w:lang w:val="ro-RO"/>
        </w:rPr>
      </w:pPr>
    </w:p>
    <w:p w:rsidR="006D4A53" w:rsidRDefault="006D4A53" w:rsidP="00B02F6C">
      <w:pPr>
        <w:jc w:val="both"/>
        <w:rPr>
          <w:rFonts w:ascii="Arial Narrow" w:hAnsi="Arial Narrow" w:cs="Arial"/>
          <w:b/>
          <w:bCs/>
          <w:color w:val="000080"/>
          <w:shd w:val="clear" w:color="auto" w:fill="99CCFF"/>
          <w:lang w:val="ro-RO"/>
        </w:rPr>
      </w:pPr>
    </w:p>
    <w:p w:rsidR="00E27C7A" w:rsidRPr="00C86702" w:rsidRDefault="00884E46" w:rsidP="00743BC3">
      <w:pPr>
        <w:keepNext/>
        <w:shd w:val="clear" w:color="auto" w:fill="9CC2E5" w:themeFill="accent1" w:themeFillTint="99"/>
        <w:rPr>
          <w:rFonts w:ascii="Calibri" w:hAnsi="Calibri" w:cs="Arial"/>
          <w:b/>
          <w:color w:val="000080"/>
        </w:rPr>
      </w:pPr>
      <w:r>
        <w:rPr>
          <w:rFonts w:ascii="Calibri" w:hAnsi="Calibri"/>
          <w:b/>
          <w:color w:val="000080"/>
        </w:rPr>
        <w:t>3. Macroeconomic framework</w:t>
      </w:r>
    </w:p>
    <w:p w:rsidR="00884E46" w:rsidRPr="00C86702" w:rsidRDefault="00884E46" w:rsidP="00FB2A65">
      <w:pPr>
        <w:keepNext/>
        <w:shd w:val="clear" w:color="auto" w:fill="FFFFFF"/>
        <w:rPr>
          <w:rFonts w:ascii="Calibri" w:hAnsi="Calibri" w:cs="Arial"/>
          <w:b/>
          <w:color w:val="000080"/>
          <w:lang w:val="ro-RO"/>
        </w:rPr>
      </w:pPr>
    </w:p>
    <w:tbl>
      <w:tblPr>
        <w:tblW w:w="5000" w:type="pct"/>
        <w:shd w:val="clear" w:color="auto" w:fill="99CCFF"/>
        <w:tblLook w:val="01E0" w:firstRow="1" w:lastRow="1" w:firstColumn="1" w:lastColumn="1" w:noHBand="0" w:noVBand="0"/>
      </w:tblPr>
      <w:tblGrid>
        <w:gridCol w:w="10081"/>
      </w:tblGrid>
      <w:tr w:rsidR="00E27C7A" w:rsidRPr="00C86702" w:rsidTr="00743BC3">
        <w:tc>
          <w:tcPr>
            <w:tcW w:w="5000" w:type="pct"/>
            <w:shd w:val="clear" w:color="auto" w:fill="99CCFF"/>
          </w:tcPr>
          <w:p w:rsidR="00E27C7A" w:rsidRPr="00C86702" w:rsidRDefault="00884E46" w:rsidP="009C2F7C">
            <w:pPr>
              <w:keepNext/>
              <w:jc w:val="both"/>
              <w:rPr>
                <w:rFonts w:ascii="Calibri" w:hAnsi="Calibri" w:cs="Arial"/>
                <w:b/>
                <w:color w:val="000080"/>
              </w:rPr>
            </w:pPr>
            <w:r>
              <w:rPr>
                <w:rFonts w:ascii="Calibri" w:hAnsi="Calibri"/>
                <w:b/>
                <w:color w:val="000080"/>
              </w:rPr>
              <w:t>3</w:t>
            </w:r>
            <w:r>
              <w:rPr>
                <w:rFonts w:ascii="Calibri" w:hAnsi="Calibri"/>
                <w:b/>
                <w:color w:val="000080"/>
                <w:shd w:val="clear" w:color="auto" w:fill="9CC2E5" w:themeFill="accent1" w:themeFillTint="99"/>
              </w:rPr>
              <w:t>.1 Recent macroeconomic evolutions of the Romanian economy</w:t>
            </w:r>
          </w:p>
        </w:tc>
      </w:tr>
    </w:tbl>
    <w:p w:rsidR="007A6990" w:rsidRPr="007A6990" w:rsidRDefault="007A6990" w:rsidP="007A6990">
      <w:pPr>
        <w:keepNext/>
        <w:autoSpaceDE w:val="0"/>
        <w:autoSpaceDN w:val="0"/>
        <w:adjustRightInd w:val="0"/>
        <w:spacing w:before="120"/>
        <w:jc w:val="both"/>
        <w:rPr>
          <w:rFonts w:ascii="Calibri" w:hAnsi="Calibri" w:cs="Calibri"/>
          <w:b/>
        </w:rPr>
      </w:pPr>
      <w:r>
        <w:rPr>
          <w:rFonts w:ascii="Calibri" w:hAnsi="Calibri"/>
          <w:b/>
        </w:rPr>
        <w:t>Year 2017</w:t>
      </w:r>
    </w:p>
    <w:p w:rsidR="007A6990" w:rsidRPr="007A6990" w:rsidRDefault="007A6990" w:rsidP="007A6990">
      <w:pPr>
        <w:keepNext/>
        <w:autoSpaceDE w:val="0"/>
        <w:autoSpaceDN w:val="0"/>
        <w:adjustRightInd w:val="0"/>
        <w:spacing w:before="120"/>
        <w:jc w:val="both"/>
        <w:rPr>
          <w:rFonts w:ascii="Calibri" w:hAnsi="Calibri" w:cs="Calibri"/>
        </w:rPr>
      </w:pPr>
      <w:r>
        <w:rPr>
          <w:rFonts w:ascii="Calibri" w:hAnsi="Calibri"/>
        </w:rPr>
        <w:t>In 2017, Romania registered an economic growth of 7.0%, being the seventh consecutive year of growth. In growth of 2017 was due both to the positive contribution of domestic demand to consumption, following the fiscal relaxation measures, and the salary increases that improved the population’s purchase power, and to the contribution of gross investments from the economy (gross fixed capital formation), which increased by 3.5% compared to 2016.</w:t>
      </w:r>
    </w:p>
    <w:p w:rsidR="007A6990" w:rsidRPr="007A6990" w:rsidRDefault="007A6990" w:rsidP="007A6990">
      <w:pPr>
        <w:keepNext/>
        <w:spacing w:before="120"/>
        <w:jc w:val="both"/>
        <w:rPr>
          <w:rFonts w:ascii="Calibri" w:hAnsi="Calibri" w:cs="Calibri"/>
        </w:rPr>
      </w:pPr>
      <w:r>
        <w:rPr>
          <w:rFonts w:ascii="Calibri" w:hAnsi="Calibri"/>
        </w:rPr>
        <w:t xml:space="preserve">Exports of goods and services increased by 10.0%, while imports of goods and services registered an increase of 11.3%, net external demand having a negative contribution (0.7 </w:t>
      </w:r>
      <w:r w:rsidR="00F00F75">
        <w:rPr>
          <w:rFonts w:ascii="Calibri" w:hAnsi="Calibri"/>
        </w:rPr>
        <w:t>percent</w:t>
      </w:r>
      <w:r>
        <w:rPr>
          <w:rFonts w:ascii="Calibri" w:hAnsi="Calibri"/>
        </w:rPr>
        <w:t>), mainly because the domestic demand increase could not be entirely covered from domestic production.</w:t>
      </w:r>
    </w:p>
    <w:p w:rsidR="007A6990" w:rsidRPr="007A6990" w:rsidRDefault="007A6990" w:rsidP="007A6990">
      <w:pPr>
        <w:keepNext/>
        <w:spacing w:before="120"/>
        <w:jc w:val="both"/>
        <w:rPr>
          <w:rFonts w:ascii="Calibri" w:hAnsi="Calibri" w:cs="Calibri"/>
        </w:rPr>
      </w:pPr>
      <w:r>
        <w:rPr>
          <w:rFonts w:ascii="Calibri" w:hAnsi="Calibri"/>
        </w:rPr>
        <w:t>In terms of domestic demand, it should be noted the significant increases of the gross added value in the agriculture sector by (14.6%), industry (8.3%) and services (6.9%). With regard to the constructions sector, the gross added value registered a slight contraction of 0.9%. Net taxes per product registered a 6.3% increase.</w:t>
      </w:r>
    </w:p>
    <w:p w:rsidR="007A6990" w:rsidRPr="007A6990" w:rsidRDefault="007A6990" w:rsidP="007A6990">
      <w:pPr>
        <w:keepNext/>
        <w:spacing w:before="120"/>
        <w:jc w:val="both"/>
        <w:rPr>
          <w:rFonts w:ascii="Calibri" w:hAnsi="Calibri" w:cs="Calibri"/>
          <w:b/>
          <w:color w:val="00B050"/>
          <w:lang w:val="ro-RO"/>
        </w:rPr>
      </w:pPr>
    </w:p>
    <w:p w:rsidR="007A6990" w:rsidRPr="007A6990" w:rsidRDefault="007A6990" w:rsidP="007A6990">
      <w:pPr>
        <w:keepNext/>
        <w:ind w:left="360" w:hanging="360"/>
        <w:jc w:val="both"/>
        <w:rPr>
          <w:rFonts w:ascii="Calibri" w:hAnsi="Calibri" w:cs="Calibri"/>
          <w:b/>
        </w:rPr>
      </w:pPr>
      <w:r>
        <w:rPr>
          <w:rFonts w:ascii="Calibri" w:hAnsi="Calibri"/>
          <w:b/>
        </w:rPr>
        <w:t>Year 2018</w:t>
      </w:r>
    </w:p>
    <w:p w:rsidR="000A02EA" w:rsidRDefault="000A02EA" w:rsidP="007A6990">
      <w:pPr>
        <w:keepNext/>
        <w:jc w:val="both"/>
        <w:rPr>
          <w:rFonts w:ascii="Calibri" w:hAnsi="Calibri" w:cs="Calibri"/>
          <w:lang w:val="ro-RO"/>
        </w:rPr>
      </w:pPr>
    </w:p>
    <w:p w:rsidR="007A6990" w:rsidRPr="008368B9" w:rsidRDefault="007A6990" w:rsidP="007A6990">
      <w:pPr>
        <w:keepNext/>
        <w:jc w:val="both"/>
        <w:rPr>
          <w:rFonts w:ascii="Calibri" w:hAnsi="Calibri" w:cs="Calibri"/>
        </w:rPr>
      </w:pPr>
      <w:r>
        <w:rPr>
          <w:rFonts w:ascii="Calibri" w:hAnsi="Calibri"/>
        </w:rPr>
        <w:t xml:space="preserve">According to the data published by the NIS, economic growth of 2018 was of 4.1%, compared to 2017 (gross series, provisional data 1). In terms of economic growth, Romania is among the first Member States of the EU. On the whole European Union, the economic advance was of 2.0%. On the offer side, positive evolutions were registered in agriculture (9.9%), industry (4.1%) and services (3.6%), which shows the sustainable nature of economic growth, while the gross added value in constructions decreased (-5.6%). Domestic demand, with a contribution to the increase of gross domestic product of 5.9 percent, was mainly based on the expenditures for the final consumption of households, which, based on an inflation following an ascending trend and on a more restrictive monetary policy, </w:t>
      </w:r>
      <w:r w:rsidR="00F00F75">
        <w:rPr>
          <w:rFonts w:ascii="Calibri" w:hAnsi="Calibri"/>
        </w:rPr>
        <w:t>tempered</w:t>
      </w:r>
      <w:r>
        <w:rPr>
          <w:rFonts w:ascii="Calibri" w:hAnsi="Calibri"/>
        </w:rPr>
        <w:t xml:space="preserve"> its growth manifested in the last 2 years, increasing by 5.2% in 2018 compared to 2017. At the same time, the effective collective final consumption of the public administration increased by 6.4%.</w:t>
      </w:r>
    </w:p>
    <w:p w:rsidR="007A6990" w:rsidRPr="008368B9" w:rsidRDefault="007A6990" w:rsidP="007A6990">
      <w:pPr>
        <w:keepNext/>
        <w:jc w:val="both"/>
        <w:rPr>
          <w:rFonts w:ascii="Calibri" w:hAnsi="Calibri" w:cs="Calibri"/>
        </w:rPr>
      </w:pPr>
      <w:r>
        <w:rPr>
          <w:rFonts w:ascii="Calibri" w:hAnsi="Calibri"/>
        </w:rPr>
        <w:t>The gross accumulation (gross capital formation) increased by 8.7% compared to 2017, having a contribution of 2.0 percentages to real GDP growth. On components, gross investments (gross fixed capital formation) decreased by 3.2%. Net export registered a negative contribution of 1.8 percent due to the fact that imports of goods and services increased by 8.7%, while export of goods and services increased by 4.7%.</w:t>
      </w:r>
    </w:p>
    <w:p w:rsidR="007A6990" w:rsidRPr="008368B9" w:rsidRDefault="00D5721D" w:rsidP="007A6990">
      <w:pPr>
        <w:keepNext/>
        <w:spacing w:before="120"/>
        <w:jc w:val="both"/>
        <w:rPr>
          <w:rFonts w:ascii="Calibri" w:hAnsi="Calibri" w:cs="Calibri"/>
        </w:rPr>
      </w:pPr>
      <w:r>
        <w:rPr>
          <w:rFonts w:ascii="Calibri" w:hAnsi="Calibri"/>
        </w:rPr>
        <w:t>The slowing of economic growth of 2018 has a circumstantial nature and was mainly caused by the accentuated increase of oil prices and of the prices of the other energy products, by the slowing down of economic growth in the EU, and on the domestic side, by the accentuated inflation and rough monetary policy.</w:t>
      </w:r>
    </w:p>
    <w:p w:rsidR="002D502E" w:rsidRPr="008368B9" w:rsidRDefault="002D502E" w:rsidP="007A6990">
      <w:pPr>
        <w:keepNext/>
        <w:spacing w:before="120"/>
        <w:jc w:val="both"/>
        <w:rPr>
          <w:rFonts w:ascii="Calibri" w:hAnsi="Calibri" w:cs="Calibri"/>
          <w:lang w:val="ro-RO"/>
        </w:rPr>
      </w:pPr>
    </w:p>
    <w:p w:rsidR="007A6990" w:rsidRPr="007A6990" w:rsidRDefault="007A6990" w:rsidP="007A6990">
      <w:pPr>
        <w:keepNext/>
        <w:ind w:left="360" w:right="240"/>
        <w:jc w:val="right"/>
        <w:rPr>
          <w:rFonts w:ascii="Calibri" w:hAnsi="Calibri"/>
        </w:rPr>
      </w:pPr>
      <w:r>
        <w:rPr>
          <w:rFonts w:ascii="Calibri" w:hAnsi="Calibri"/>
        </w:rPr>
        <w:t>- percentage amendments compared to the previous year -</w:t>
      </w:r>
    </w:p>
    <w:tbl>
      <w:tblPr>
        <w:tblW w:w="9118" w:type="dxa"/>
        <w:jc w:val="center"/>
        <w:tblBorders>
          <w:top w:val="single" w:sz="24" w:space="0" w:color="auto"/>
          <w:bottom w:val="single" w:sz="24" w:space="0" w:color="auto"/>
        </w:tblBorders>
        <w:shd w:val="clear" w:color="auto" w:fill="FBFBFF"/>
        <w:tblLook w:val="0000" w:firstRow="0" w:lastRow="0" w:firstColumn="0" w:lastColumn="0" w:noHBand="0" w:noVBand="0"/>
      </w:tblPr>
      <w:tblGrid>
        <w:gridCol w:w="5797"/>
        <w:gridCol w:w="1765"/>
        <w:gridCol w:w="1556"/>
      </w:tblGrid>
      <w:tr w:rsidR="007A6990" w:rsidRPr="007A6990" w:rsidTr="007A6990">
        <w:trPr>
          <w:trHeight w:val="475"/>
          <w:tblHeader/>
          <w:jc w:val="center"/>
        </w:trPr>
        <w:tc>
          <w:tcPr>
            <w:tcW w:w="5797" w:type="dxa"/>
            <w:tcBorders>
              <w:top w:val="single" w:sz="2" w:space="0" w:color="333399"/>
              <w:bottom w:val="single" w:sz="2" w:space="0" w:color="333399"/>
            </w:tcBorders>
            <w:shd w:val="clear" w:color="auto" w:fill="99CCFF"/>
            <w:noWrap/>
            <w:vAlign w:val="center"/>
          </w:tcPr>
          <w:p w:rsidR="007A6990" w:rsidRPr="007A6990" w:rsidRDefault="007A6990" w:rsidP="007A6990">
            <w:pPr>
              <w:keepNext/>
              <w:spacing w:before="120"/>
              <w:ind w:left="-325" w:firstLine="325"/>
              <w:jc w:val="both"/>
              <w:rPr>
                <w:rFonts w:ascii="Calibri" w:hAnsi="Calibri" w:cs="Arial"/>
              </w:rPr>
            </w:pPr>
            <w:r>
              <w:rPr>
                <w:rFonts w:ascii="Calibri" w:hAnsi="Calibri"/>
                <w:b/>
              </w:rPr>
              <w:t>Gross domestic product</w:t>
            </w:r>
          </w:p>
        </w:tc>
        <w:tc>
          <w:tcPr>
            <w:tcW w:w="1765" w:type="dxa"/>
            <w:tcBorders>
              <w:top w:val="single" w:sz="2" w:space="0" w:color="333399"/>
              <w:bottom w:val="single" w:sz="2" w:space="0" w:color="333399"/>
            </w:tcBorders>
            <w:shd w:val="clear" w:color="auto" w:fill="99CCFF"/>
            <w:vAlign w:val="center"/>
          </w:tcPr>
          <w:p w:rsidR="007A6990" w:rsidRPr="008368B9" w:rsidRDefault="007A6990" w:rsidP="007A6990">
            <w:pPr>
              <w:keepNext/>
              <w:spacing w:before="120"/>
              <w:jc w:val="center"/>
              <w:rPr>
                <w:rFonts w:ascii="Calibri" w:hAnsi="Calibri" w:cs="Arial"/>
                <w:b/>
              </w:rPr>
            </w:pPr>
            <w:r>
              <w:rPr>
                <w:rFonts w:ascii="Calibri" w:hAnsi="Calibri"/>
                <w:b/>
              </w:rPr>
              <w:t>2017</w:t>
            </w:r>
          </w:p>
          <w:p w:rsidR="0059380C" w:rsidRPr="008368B9" w:rsidRDefault="0059380C" w:rsidP="007A6990">
            <w:pPr>
              <w:keepNext/>
              <w:spacing w:before="120"/>
              <w:jc w:val="center"/>
              <w:rPr>
                <w:rFonts w:ascii="Calibri" w:hAnsi="Calibri" w:cs="Arial"/>
                <w:b/>
              </w:rPr>
            </w:pPr>
            <w:r>
              <w:rPr>
                <w:rFonts w:ascii="Calibri" w:hAnsi="Calibri"/>
                <w:b/>
              </w:rPr>
              <w:t>semi-definitive</w:t>
            </w:r>
          </w:p>
        </w:tc>
        <w:tc>
          <w:tcPr>
            <w:tcW w:w="1556" w:type="dxa"/>
            <w:tcBorders>
              <w:top w:val="single" w:sz="2" w:space="0" w:color="333399"/>
              <w:bottom w:val="single" w:sz="2" w:space="0" w:color="333399"/>
            </w:tcBorders>
            <w:shd w:val="clear" w:color="auto" w:fill="99CCFF"/>
            <w:vAlign w:val="center"/>
          </w:tcPr>
          <w:p w:rsidR="007A6990" w:rsidRPr="008368B9" w:rsidRDefault="007A6990" w:rsidP="007A6990">
            <w:pPr>
              <w:keepNext/>
              <w:spacing w:before="120"/>
              <w:jc w:val="center"/>
              <w:rPr>
                <w:rFonts w:ascii="Calibri" w:hAnsi="Calibri" w:cs="Arial"/>
                <w:b/>
              </w:rPr>
            </w:pPr>
            <w:r>
              <w:rPr>
                <w:rFonts w:ascii="Calibri" w:hAnsi="Calibri"/>
                <w:b/>
              </w:rPr>
              <w:t>2018</w:t>
            </w:r>
          </w:p>
          <w:p w:rsidR="007A6990" w:rsidRPr="008368B9" w:rsidRDefault="0059380C" w:rsidP="00455406">
            <w:pPr>
              <w:keepNext/>
              <w:spacing w:before="120"/>
              <w:jc w:val="center"/>
              <w:rPr>
                <w:rFonts w:ascii="Calibri" w:hAnsi="Calibri" w:cs="Arial"/>
                <w:b/>
              </w:rPr>
            </w:pPr>
            <w:r>
              <w:rPr>
                <w:rFonts w:ascii="Calibri" w:hAnsi="Calibri"/>
                <w:b/>
              </w:rPr>
              <w:t>provisional</w:t>
            </w:r>
          </w:p>
        </w:tc>
      </w:tr>
      <w:tr w:rsidR="007A6990" w:rsidRPr="007A6990" w:rsidTr="007A6990">
        <w:trPr>
          <w:trHeight w:hRule="exact" w:val="263"/>
          <w:jc w:val="center"/>
        </w:trPr>
        <w:tc>
          <w:tcPr>
            <w:tcW w:w="5797" w:type="dxa"/>
            <w:tcBorders>
              <w:top w:val="single" w:sz="2" w:space="0" w:color="333399"/>
              <w:bottom w:val="nil"/>
            </w:tcBorders>
            <w:shd w:val="clear" w:color="auto" w:fill="auto"/>
            <w:noWrap/>
            <w:vAlign w:val="center"/>
          </w:tcPr>
          <w:p w:rsidR="007A6990" w:rsidRPr="007A6990" w:rsidRDefault="007A6990" w:rsidP="007A6990">
            <w:pPr>
              <w:keepNext/>
              <w:jc w:val="both"/>
              <w:rPr>
                <w:rFonts w:ascii="Calibri" w:hAnsi="Calibri" w:cs="Arial"/>
              </w:rPr>
            </w:pPr>
            <w:r>
              <w:rPr>
                <w:rFonts w:ascii="Calibri" w:hAnsi="Calibri"/>
              </w:rPr>
              <w:t>Domestic demand, of which:</w:t>
            </w:r>
          </w:p>
        </w:tc>
        <w:tc>
          <w:tcPr>
            <w:tcW w:w="1765" w:type="dxa"/>
            <w:tcBorders>
              <w:top w:val="single" w:sz="2" w:space="0" w:color="333399"/>
              <w:bottom w:val="nil"/>
            </w:tcBorders>
            <w:shd w:val="clear" w:color="auto" w:fill="auto"/>
            <w:vAlign w:val="center"/>
          </w:tcPr>
          <w:p w:rsidR="007A6990" w:rsidRPr="007A6990" w:rsidRDefault="007A6990" w:rsidP="007A6990">
            <w:pPr>
              <w:keepNext/>
              <w:jc w:val="center"/>
              <w:rPr>
                <w:rFonts w:ascii="Calibri" w:hAnsi="Calibri" w:cs="Arial"/>
              </w:rPr>
            </w:pPr>
            <w:r>
              <w:rPr>
                <w:rFonts w:ascii="Calibri" w:hAnsi="Calibri"/>
              </w:rPr>
              <w:t>7.6</w:t>
            </w:r>
          </w:p>
        </w:tc>
        <w:tc>
          <w:tcPr>
            <w:tcW w:w="1556" w:type="dxa"/>
            <w:tcBorders>
              <w:top w:val="single" w:sz="2" w:space="0" w:color="333399"/>
              <w:bottom w:val="nil"/>
            </w:tcBorders>
            <w:vAlign w:val="center"/>
          </w:tcPr>
          <w:p w:rsidR="007A6990" w:rsidRPr="008368B9" w:rsidRDefault="00094580" w:rsidP="007A6990">
            <w:pPr>
              <w:jc w:val="center"/>
              <w:rPr>
                <w:rFonts w:ascii="Calibri" w:hAnsi="Calibri" w:cs="Arial"/>
              </w:rPr>
            </w:pPr>
            <w:r>
              <w:rPr>
                <w:rFonts w:ascii="Calibri" w:hAnsi="Calibri"/>
              </w:rPr>
              <w:t>5.8</w:t>
            </w:r>
          </w:p>
        </w:tc>
      </w:tr>
      <w:tr w:rsidR="007A6990" w:rsidRPr="007A6990" w:rsidTr="007A6990">
        <w:trPr>
          <w:trHeight w:hRule="exact" w:val="266"/>
          <w:jc w:val="center"/>
        </w:trPr>
        <w:tc>
          <w:tcPr>
            <w:tcW w:w="5797" w:type="dxa"/>
            <w:tcBorders>
              <w:top w:val="nil"/>
              <w:bottom w:val="nil"/>
            </w:tcBorders>
            <w:shd w:val="clear" w:color="auto" w:fill="auto"/>
            <w:noWrap/>
            <w:vAlign w:val="center"/>
          </w:tcPr>
          <w:p w:rsidR="007A6990" w:rsidRPr="007A6990" w:rsidRDefault="007A6990" w:rsidP="007A6990">
            <w:pPr>
              <w:keepNext/>
              <w:jc w:val="both"/>
              <w:rPr>
                <w:rFonts w:ascii="Calibri" w:hAnsi="Calibri" w:cs="Arial"/>
              </w:rPr>
            </w:pPr>
            <w:r>
              <w:rPr>
                <w:rFonts w:ascii="Calibri" w:hAnsi="Calibri"/>
              </w:rPr>
              <w:t xml:space="preserve">   Final consumption</w:t>
            </w:r>
          </w:p>
        </w:tc>
        <w:tc>
          <w:tcPr>
            <w:tcW w:w="1765" w:type="dxa"/>
            <w:tcBorders>
              <w:top w:val="nil"/>
              <w:bottom w:val="nil"/>
            </w:tcBorders>
            <w:shd w:val="clear" w:color="auto" w:fill="auto"/>
            <w:vAlign w:val="center"/>
          </w:tcPr>
          <w:p w:rsidR="007A6990" w:rsidRPr="007A6990" w:rsidRDefault="007A6990" w:rsidP="007A6990">
            <w:pPr>
              <w:keepNext/>
              <w:jc w:val="center"/>
              <w:rPr>
                <w:rFonts w:ascii="Calibri" w:hAnsi="Calibri" w:cs="Arial"/>
              </w:rPr>
            </w:pPr>
            <w:r>
              <w:rPr>
                <w:rFonts w:ascii="Calibri" w:hAnsi="Calibri"/>
              </w:rPr>
              <w:t>8.6</w:t>
            </w:r>
          </w:p>
        </w:tc>
        <w:tc>
          <w:tcPr>
            <w:tcW w:w="1556" w:type="dxa"/>
            <w:tcBorders>
              <w:top w:val="nil"/>
              <w:bottom w:val="nil"/>
            </w:tcBorders>
            <w:vAlign w:val="center"/>
          </w:tcPr>
          <w:p w:rsidR="007A6990" w:rsidRPr="008368B9" w:rsidRDefault="00455406" w:rsidP="007A6990">
            <w:pPr>
              <w:jc w:val="center"/>
              <w:rPr>
                <w:rFonts w:ascii="Calibri" w:hAnsi="Calibri" w:cs="Arial"/>
              </w:rPr>
            </w:pPr>
            <w:r>
              <w:rPr>
                <w:rFonts w:ascii="Calibri" w:hAnsi="Calibri"/>
              </w:rPr>
              <w:t>4.9</w:t>
            </w:r>
          </w:p>
        </w:tc>
      </w:tr>
      <w:tr w:rsidR="007A6990" w:rsidRPr="007A6990" w:rsidTr="007A6990">
        <w:trPr>
          <w:trHeight w:hRule="exact" w:val="266"/>
          <w:jc w:val="center"/>
        </w:trPr>
        <w:tc>
          <w:tcPr>
            <w:tcW w:w="5797" w:type="dxa"/>
            <w:tcBorders>
              <w:top w:val="nil"/>
              <w:bottom w:val="nil"/>
            </w:tcBorders>
            <w:shd w:val="clear" w:color="auto" w:fill="auto"/>
            <w:noWrap/>
            <w:vAlign w:val="center"/>
          </w:tcPr>
          <w:p w:rsidR="007A6990" w:rsidRPr="007A6990" w:rsidRDefault="007A6990" w:rsidP="007A6990">
            <w:pPr>
              <w:keepNext/>
              <w:jc w:val="both"/>
              <w:rPr>
                <w:rFonts w:ascii="Calibri" w:hAnsi="Calibri" w:cs="Arial"/>
              </w:rPr>
            </w:pPr>
            <w:r>
              <w:rPr>
                <w:rFonts w:ascii="Calibri" w:hAnsi="Calibri"/>
              </w:rPr>
              <w:t xml:space="preserve">      - Private consumption expenditures</w:t>
            </w:r>
          </w:p>
        </w:tc>
        <w:tc>
          <w:tcPr>
            <w:tcW w:w="1765" w:type="dxa"/>
            <w:tcBorders>
              <w:top w:val="nil"/>
              <w:bottom w:val="nil"/>
            </w:tcBorders>
            <w:shd w:val="clear" w:color="auto" w:fill="auto"/>
            <w:vAlign w:val="center"/>
          </w:tcPr>
          <w:p w:rsidR="007A6990" w:rsidRPr="007A6990" w:rsidRDefault="007A6990" w:rsidP="007A6990">
            <w:pPr>
              <w:keepNext/>
              <w:jc w:val="center"/>
              <w:rPr>
                <w:rFonts w:ascii="Calibri" w:hAnsi="Calibri" w:cs="Arial"/>
              </w:rPr>
            </w:pPr>
            <w:r>
              <w:rPr>
                <w:rFonts w:ascii="Calibri" w:hAnsi="Calibri"/>
              </w:rPr>
              <w:t>10.1</w:t>
            </w:r>
          </w:p>
        </w:tc>
        <w:tc>
          <w:tcPr>
            <w:tcW w:w="1556" w:type="dxa"/>
            <w:tcBorders>
              <w:top w:val="nil"/>
              <w:bottom w:val="nil"/>
            </w:tcBorders>
            <w:vAlign w:val="center"/>
          </w:tcPr>
          <w:p w:rsidR="007A6990" w:rsidRPr="008368B9" w:rsidRDefault="0016794C" w:rsidP="00094580">
            <w:pPr>
              <w:jc w:val="center"/>
              <w:rPr>
                <w:rFonts w:ascii="Calibri" w:hAnsi="Calibri" w:cs="Arial"/>
              </w:rPr>
            </w:pPr>
            <w:r>
              <w:rPr>
                <w:rFonts w:ascii="Calibri" w:hAnsi="Calibri"/>
              </w:rPr>
              <w:t>5.2</w:t>
            </w:r>
          </w:p>
        </w:tc>
      </w:tr>
      <w:tr w:rsidR="007A6990" w:rsidRPr="007A6990" w:rsidTr="007A6990">
        <w:trPr>
          <w:trHeight w:hRule="exact" w:val="266"/>
          <w:jc w:val="center"/>
        </w:trPr>
        <w:tc>
          <w:tcPr>
            <w:tcW w:w="5797" w:type="dxa"/>
            <w:tcBorders>
              <w:top w:val="nil"/>
              <w:bottom w:val="nil"/>
            </w:tcBorders>
            <w:shd w:val="clear" w:color="auto" w:fill="auto"/>
            <w:noWrap/>
            <w:vAlign w:val="center"/>
          </w:tcPr>
          <w:p w:rsidR="007A6990" w:rsidRPr="007A6990" w:rsidRDefault="007A6990" w:rsidP="007A6990">
            <w:pPr>
              <w:keepNext/>
              <w:jc w:val="both"/>
              <w:rPr>
                <w:rFonts w:ascii="Calibri" w:hAnsi="Calibri" w:cs="Arial"/>
              </w:rPr>
            </w:pPr>
            <w:r>
              <w:rPr>
                <w:rFonts w:ascii="Calibri" w:hAnsi="Calibri"/>
              </w:rPr>
              <w:t xml:space="preserve">             - Expenditures for final consumption of the population </w:t>
            </w:r>
          </w:p>
        </w:tc>
        <w:tc>
          <w:tcPr>
            <w:tcW w:w="1765" w:type="dxa"/>
            <w:tcBorders>
              <w:top w:val="nil"/>
              <w:bottom w:val="nil"/>
            </w:tcBorders>
            <w:shd w:val="clear" w:color="auto" w:fill="auto"/>
            <w:vAlign w:val="center"/>
          </w:tcPr>
          <w:p w:rsidR="007A6990" w:rsidRPr="007A6990" w:rsidRDefault="007A6990" w:rsidP="007A6990">
            <w:pPr>
              <w:keepNext/>
              <w:jc w:val="center"/>
              <w:rPr>
                <w:rFonts w:ascii="Calibri" w:hAnsi="Calibri" w:cs="Arial"/>
              </w:rPr>
            </w:pPr>
            <w:r>
              <w:rPr>
                <w:rFonts w:ascii="Calibri" w:hAnsi="Calibri"/>
              </w:rPr>
              <w:t>10.1</w:t>
            </w:r>
          </w:p>
        </w:tc>
        <w:tc>
          <w:tcPr>
            <w:tcW w:w="1556" w:type="dxa"/>
            <w:tcBorders>
              <w:top w:val="nil"/>
              <w:bottom w:val="nil"/>
            </w:tcBorders>
            <w:vAlign w:val="center"/>
          </w:tcPr>
          <w:p w:rsidR="007A6990" w:rsidRPr="008368B9" w:rsidRDefault="00455406" w:rsidP="007A6990">
            <w:pPr>
              <w:jc w:val="center"/>
              <w:rPr>
                <w:rFonts w:ascii="Calibri" w:hAnsi="Calibri" w:cs="Arial"/>
              </w:rPr>
            </w:pPr>
            <w:r>
              <w:rPr>
                <w:rFonts w:ascii="Calibri" w:hAnsi="Calibri"/>
              </w:rPr>
              <w:t>5.2</w:t>
            </w:r>
          </w:p>
        </w:tc>
      </w:tr>
      <w:tr w:rsidR="007A6990" w:rsidRPr="007A6990" w:rsidTr="007A6990">
        <w:trPr>
          <w:trHeight w:val="315"/>
          <w:jc w:val="center"/>
        </w:trPr>
        <w:tc>
          <w:tcPr>
            <w:tcW w:w="5797" w:type="dxa"/>
            <w:tcBorders>
              <w:top w:val="nil"/>
              <w:bottom w:val="nil"/>
            </w:tcBorders>
            <w:shd w:val="clear" w:color="auto" w:fill="auto"/>
            <w:noWrap/>
            <w:vAlign w:val="center"/>
          </w:tcPr>
          <w:p w:rsidR="007A6990" w:rsidRPr="007A6990" w:rsidRDefault="007A6990" w:rsidP="007A6990">
            <w:pPr>
              <w:keepNext/>
              <w:ind w:left="595" w:hanging="595"/>
              <w:jc w:val="both"/>
              <w:rPr>
                <w:rFonts w:ascii="Calibri" w:hAnsi="Calibri" w:cs="Arial"/>
              </w:rPr>
            </w:pPr>
            <w:r>
              <w:rPr>
                <w:rFonts w:ascii="Calibri" w:hAnsi="Calibri"/>
              </w:rPr>
              <w:t xml:space="preserve">      - Government consumption expenditures</w:t>
            </w:r>
          </w:p>
        </w:tc>
        <w:tc>
          <w:tcPr>
            <w:tcW w:w="1765" w:type="dxa"/>
            <w:tcBorders>
              <w:top w:val="nil"/>
              <w:bottom w:val="nil"/>
            </w:tcBorders>
            <w:shd w:val="clear" w:color="auto" w:fill="auto"/>
            <w:vAlign w:val="center"/>
          </w:tcPr>
          <w:p w:rsidR="007A6990" w:rsidRPr="007A6990" w:rsidRDefault="007A6990" w:rsidP="007A6990">
            <w:pPr>
              <w:keepNext/>
              <w:jc w:val="center"/>
              <w:rPr>
                <w:rFonts w:ascii="Calibri" w:hAnsi="Calibri" w:cs="Arial"/>
              </w:rPr>
            </w:pPr>
            <w:r>
              <w:rPr>
                <w:rFonts w:ascii="Calibri" w:hAnsi="Calibri"/>
              </w:rPr>
              <w:t>1.0</w:t>
            </w:r>
          </w:p>
        </w:tc>
        <w:tc>
          <w:tcPr>
            <w:tcW w:w="1556" w:type="dxa"/>
            <w:tcBorders>
              <w:top w:val="nil"/>
              <w:bottom w:val="nil"/>
            </w:tcBorders>
            <w:vAlign w:val="center"/>
          </w:tcPr>
          <w:p w:rsidR="007A6990" w:rsidRPr="008368B9" w:rsidRDefault="007A6990" w:rsidP="00094580">
            <w:pPr>
              <w:jc w:val="center"/>
              <w:rPr>
                <w:rFonts w:ascii="Calibri" w:hAnsi="Calibri" w:cs="Arial"/>
              </w:rPr>
            </w:pPr>
            <w:r>
              <w:rPr>
                <w:rFonts w:ascii="Calibri" w:hAnsi="Calibri"/>
              </w:rPr>
              <w:t>3.8</w:t>
            </w:r>
          </w:p>
        </w:tc>
      </w:tr>
      <w:tr w:rsidR="007A6990" w:rsidRPr="007A6990" w:rsidTr="007A6990">
        <w:trPr>
          <w:trHeight w:val="315"/>
          <w:jc w:val="center"/>
        </w:trPr>
        <w:tc>
          <w:tcPr>
            <w:tcW w:w="5797" w:type="dxa"/>
            <w:tcBorders>
              <w:top w:val="nil"/>
              <w:bottom w:val="nil"/>
            </w:tcBorders>
            <w:shd w:val="clear" w:color="auto" w:fill="auto"/>
            <w:noWrap/>
            <w:vAlign w:val="center"/>
          </w:tcPr>
          <w:p w:rsidR="007A6990" w:rsidRPr="007A6990" w:rsidRDefault="007A6990" w:rsidP="007A6990">
            <w:pPr>
              <w:keepNext/>
              <w:ind w:left="595" w:hanging="595"/>
              <w:jc w:val="both"/>
              <w:rPr>
                <w:rFonts w:ascii="Calibri" w:hAnsi="Calibri" w:cs="Arial"/>
              </w:rPr>
            </w:pPr>
            <w:r>
              <w:rPr>
                <w:rFonts w:ascii="Calibri" w:hAnsi="Calibri"/>
              </w:rPr>
              <w:t xml:space="preserve">             - Effective collective consumption of the public administration</w:t>
            </w:r>
          </w:p>
        </w:tc>
        <w:tc>
          <w:tcPr>
            <w:tcW w:w="1765" w:type="dxa"/>
            <w:tcBorders>
              <w:top w:val="nil"/>
              <w:bottom w:val="nil"/>
            </w:tcBorders>
            <w:shd w:val="clear" w:color="auto" w:fill="auto"/>
            <w:vAlign w:val="center"/>
          </w:tcPr>
          <w:p w:rsidR="007A6990" w:rsidRPr="007A6990" w:rsidRDefault="007A6990" w:rsidP="007A6990">
            <w:pPr>
              <w:keepNext/>
              <w:jc w:val="center"/>
              <w:rPr>
                <w:rFonts w:ascii="Calibri" w:hAnsi="Calibri" w:cs="Arial"/>
              </w:rPr>
            </w:pPr>
            <w:r>
              <w:rPr>
                <w:rFonts w:ascii="Calibri" w:hAnsi="Calibri"/>
              </w:rPr>
              <w:t>5.2</w:t>
            </w:r>
          </w:p>
        </w:tc>
        <w:tc>
          <w:tcPr>
            <w:tcW w:w="1556" w:type="dxa"/>
            <w:tcBorders>
              <w:top w:val="nil"/>
              <w:bottom w:val="nil"/>
            </w:tcBorders>
            <w:vAlign w:val="center"/>
          </w:tcPr>
          <w:p w:rsidR="007A6990" w:rsidRPr="008368B9" w:rsidRDefault="00455406" w:rsidP="00455406">
            <w:pPr>
              <w:jc w:val="center"/>
              <w:rPr>
                <w:rFonts w:ascii="Calibri" w:hAnsi="Calibri" w:cs="Arial"/>
              </w:rPr>
            </w:pPr>
            <w:r>
              <w:rPr>
                <w:rFonts w:ascii="Calibri" w:hAnsi="Calibri"/>
              </w:rPr>
              <w:t>6.4</w:t>
            </w:r>
          </w:p>
        </w:tc>
      </w:tr>
      <w:tr w:rsidR="007A6990" w:rsidRPr="007A6990" w:rsidTr="007A6990">
        <w:trPr>
          <w:trHeight w:hRule="exact" w:val="266"/>
          <w:jc w:val="center"/>
        </w:trPr>
        <w:tc>
          <w:tcPr>
            <w:tcW w:w="5797" w:type="dxa"/>
            <w:tcBorders>
              <w:top w:val="nil"/>
              <w:bottom w:val="nil"/>
            </w:tcBorders>
            <w:shd w:val="clear" w:color="auto" w:fill="auto"/>
            <w:noWrap/>
            <w:vAlign w:val="center"/>
          </w:tcPr>
          <w:p w:rsidR="007A6990" w:rsidRPr="007A6990" w:rsidRDefault="007A6990" w:rsidP="007A6990">
            <w:pPr>
              <w:keepNext/>
              <w:jc w:val="both"/>
              <w:rPr>
                <w:rFonts w:ascii="Calibri" w:hAnsi="Calibri" w:cs="Arial"/>
              </w:rPr>
            </w:pPr>
            <w:r>
              <w:rPr>
                <w:rFonts w:ascii="Calibri" w:hAnsi="Calibri"/>
              </w:rPr>
              <w:t xml:space="preserve">   Gross fixed capital formation</w:t>
            </w:r>
          </w:p>
        </w:tc>
        <w:tc>
          <w:tcPr>
            <w:tcW w:w="1765" w:type="dxa"/>
            <w:tcBorders>
              <w:top w:val="nil"/>
              <w:bottom w:val="nil"/>
            </w:tcBorders>
            <w:shd w:val="clear" w:color="auto" w:fill="auto"/>
            <w:vAlign w:val="center"/>
          </w:tcPr>
          <w:p w:rsidR="007A6990" w:rsidRPr="007A6990" w:rsidRDefault="007A6990" w:rsidP="007A6990">
            <w:pPr>
              <w:keepNext/>
              <w:jc w:val="center"/>
              <w:rPr>
                <w:rFonts w:ascii="Calibri" w:hAnsi="Calibri" w:cs="Arial"/>
              </w:rPr>
            </w:pPr>
            <w:r>
              <w:rPr>
                <w:rFonts w:ascii="Calibri" w:hAnsi="Calibri"/>
              </w:rPr>
              <w:t>3.5</w:t>
            </w:r>
          </w:p>
        </w:tc>
        <w:tc>
          <w:tcPr>
            <w:tcW w:w="1556" w:type="dxa"/>
            <w:tcBorders>
              <w:top w:val="nil"/>
              <w:bottom w:val="nil"/>
            </w:tcBorders>
            <w:vAlign w:val="center"/>
          </w:tcPr>
          <w:p w:rsidR="007A6990" w:rsidRPr="008368B9" w:rsidRDefault="00455406" w:rsidP="00455406">
            <w:pPr>
              <w:jc w:val="center"/>
              <w:rPr>
                <w:rFonts w:ascii="Calibri" w:hAnsi="Calibri" w:cs="Arial"/>
              </w:rPr>
            </w:pPr>
            <w:r>
              <w:rPr>
                <w:rFonts w:ascii="Calibri" w:hAnsi="Calibri"/>
              </w:rPr>
              <w:t>-3.2</w:t>
            </w:r>
          </w:p>
        </w:tc>
      </w:tr>
      <w:tr w:rsidR="007A6990" w:rsidRPr="007A6990" w:rsidTr="007A6990">
        <w:trPr>
          <w:trHeight w:hRule="exact" w:val="266"/>
          <w:jc w:val="center"/>
        </w:trPr>
        <w:tc>
          <w:tcPr>
            <w:tcW w:w="5797" w:type="dxa"/>
            <w:tcBorders>
              <w:top w:val="nil"/>
              <w:bottom w:val="nil"/>
            </w:tcBorders>
            <w:shd w:val="clear" w:color="auto" w:fill="auto"/>
            <w:noWrap/>
            <w:vAlign w:val="center"/>
          </w:tcPr>
          <w:p w:rsidR="007A6990" w:rsidRPr="007A6990" w:rsidRDefault="007A6990" w:rsidP="007A6990">
            <w:pPr>
              <w:keepNext/>
              <w:jc w:val="both"/>
              <w:rPr>
                <w:rFonts w:ascii="Calibri" w:hAnsi="Calibri" w:cs="Arial"/>
              </w:rPr>
            </w:pPr>
            <w:r>
              <w:rPr>
                <w:rFonts w:ascii="Calibri" w:hAnsi="Calibri"/>
              </w:rPr>
              <w:t>Export of goods and services</w:t>
            </w:r>
          </w:p>
        </w:tc>
        <w:tc>
          <w:tcPr>
            <w:tcW w:w="1765" w:type="dxa"/>
            <w:tcBorders>
              <w:top w:val="nil"/>
              <w:bottom w:val="nil"/>
            </w:tcBorders>
            <w:shd w:val="clear" w:color="auto" w:fill="auto"/>
            <w:vAlign w:val="center"/>
          </w:tcPr>
          <w:p w:rsidR="007A6990" w:rsidRPr="007A6990" w:rsidRDefault="007A6990" w:rsidP="007A6990">
            <w:pPr>
              <w:keepNext/>
              <w:jc w:val="center"/>
              <w:rPr>
                <w:rFonts w:ascii="Calibri" w:hAnsi="Calibri" w:cs="Arial"/>
              </w:rPr>
            </w:pPr>
            <w:r>
              <w:rPr>
                <w:rFonts w:ascii="Calibri" w:hAnsi="Calibri"/>
              </w:rPr>
              <w:t>10.0</w:t>
            </w:r>
          </w:p>
        </w:tc>
        <w:tc>
          <w:tcPr>
            <w:tcW w:w="1556" w:type="dxa"/>
            <w:tcBorders>
              <w:top w:val="nil"/>
              <w:bottom w:val="nil"/>
            </w:tcBorders>
            <w:vAlign w:val="center"/>
          </w:tcPr>
          <w:p w:rsidR="007A6990" w:rsidRPr="008368B9" w:rsidRDefault="00455406" w:rsidP="00455406">
            <w:pPr>
              <w:jc w:val="center"/>
              <w:rPr>
                <w:rFonts w:ascii="Calibri" w:hAnsi="Calibri" w:cs="Arial"/>
              </w:rPr>
            </w:pPr>
            <w:r>
              <w:rPr>
                <w:rFonts w:ascii="Calibri" w:hAnsi="Calibri"/>
              </w:rPr>
              <w:t>4.7</w:t>
            </w:r>
          </w:p>
        </w:tc>
      </w:tr>
      <w:tr w:rsidR="007A6990" w:rsidRPr="007A6990" w:rsidTr="007A6990">
        <w:trPr>
          <w:trHeight w:hRule="exact" w:val="266"/>
          <w:jc w:val="center"/>
        </w:trPr>
        <w:tc>
          <w:tcPr>
            <w:tcW w:w="5797" w:type="dxa"/>
            <w:tcBorders>
              <w:top w:val="nil"/>
              <w:bottom w:val="single" w:sz="4" w:space="0" w:color="333399"/>
            </w:tcBorders>
            <w:shd w:val="clear" w:color="auto" w:fill="auto"/>
            <w:noWrap/>
            <w:vAlign w:val="center"/>
          </w:tcPr>
          <w:p w:rsidR="007A6990" w:rsidRPr="007A6990" w:rsidRDefault="007A6990" w:rsidP="007A6990">
            <w:pPr>
              <w:keepNext/>
              <w:jc w:val="both"/>
              <w:rPr>
                <w:rFonts w:ascii="Calibri" w:hAnsi="Calibri" w:cs="Arial"/>
              </w:rPr>
            </w:pPr>
            <w:r>
              <w:rPr>
                <w:rFonts w:ascii="Calibri" w:hAnsi="Calibri"/>
              </w:rPr>
              <w:t>Import of goods and services</w:t>
            </w:r>
          </w:p>
        </w:tc>
        <w:tc>
          <w:tcPr>
            <w:tcW w:w="1765" w:type="dxa"/>
            <w:tcBorders>
              <w:top w:val="nil"/>
              <w:bottom w:val="single" w:sz="4" w:space="0" w:color="333399"/>
            </w:tcBorders>
            <w:shd w:val="clear" w:color="auto" w:fill="auto"/>
            <w:vAlign w:val="center"/>
          </w:tcPr>
          <w:p w:rsidR="007A6990" w:rsidRPr="007A6990" w:rsidRDefault="007A6990" w:rsidP="007A6990">
            <w:pPr>
              <w:keepNext/>
              <w:jc w:val="center"/>
              <w:rPr>
                <w:rFonts w:ascii="Calibri" w:hAnsi="Calibri" w:cs="Arial"/>
              </w:rPr>
            </w:pPr>
            <w:r>
              <w:rPr>
                <w:rFonts w:ascii="Calibri" w:hAnsi="Calibri"/>
              </w:rPr>
              <w:t>11.3</w:t>
            </w:r>
          </w:p>
        </w:tc>
        <w:tc>
          <w:tcPr>
            <w:tcW w:w="1556" w:type="dxa"/>
            <w:tcBorders>
              <w:top w:val="nil"/>
              <w:bottom w:val="single" w:sz="4" w:space="0" w:color="333399"/>
            </w:tcBorders>
            <w:vAlign w:val="center"/>
          </w:tcPr>
          <w:p w:rsidR="007A6990" w:rsidRPr="008368B9" w:rsidRDefault="00455406" w:rsidP="00455406">
            <w:pPr>
              <w:jc w:val="center"/>
              <w:rPr>
                <w:rFonts w:ascii="Calibri" w:hAnsi="Calibri" w:cs="Arial"/>
              </w:rPr>
            </w:pPr>
            <w:r>
              <w:rPr>
                <w:rFonts w:ascii="Calibri" w:hAnsi="Calibri"/>
              </w:rPr>
              <w:t>8.6</w:t>
            </w:r>
          </w:p>
        </w:tc>
      </w:tr>
      <w:tr w:rsidR="007A6990" w:rsidRPr="007A6990" w:rsidTr="007A6990">
        <w:trPr>
          <w:trHeight w:val="315"/>
          <w:jc w:val="center"/>
        </w:trPr>
        <w:tc>
          <w:tcPr>
            <w:tcW w:w="5797" w:type="dxa"/>
            <w:tcBorders>
              <w:top w:val="single" w:sz="4" w:space="0" w:color="333399"/>
              <w:bottom w:val="single" w:sz="4" w:space="0" w:color="333399"/>
            </w:tcBorders>
            <w:shd w:val="clear" w:color="auto" w:fill="99CCFF"/>
            <w:noWrap/>
            <w:vAlign w:val="center"/>
          </w:tcPr>
          <w:p w:rsidR="007A6990" w:rsidRPr="007A6990" w:rsidRDefault="007A6990" w:rsidP="007A6990">
            <w:pPr>
              <w:keepNext/>
              <w:jc w:val="both"/>
              <w:rPr>
                <w:rFonts w:ascii="Calibri" w:hAnsi="Calibri" w:cs="Arial"/>
                <w:b/>
              </w:rPr>
            </w:pPr>
            <w:r>
              <w:rPr>
                <w:rFonts w:ascii="Calibri" w:hAnsi="Calibri"/>
                <w:b/>
              </w:rPr>
              <w:t>GDP</w:t>
            </w:r>
          </w:p>
        </w:tc>
        <w:tc>
          <w:tcPr>
            <w:tcW w:w="1765" w:type="dxa"/>
            <w:tcBorders>
              <w:top w:val="single" w:sz="4" w:space="0" w:color="333399"/>
              <w:bottom w:val="single" w:sz="4" w:space="0" w:color="333399"/>
            </w:tcBorders>
            <w:shd w:val="clear" w:color="auto" w:fill="99CCFF"/>
            <w:vAlign w:val="center"/>
          </w:tcPr>
          <w:p w:rsidR="007A6990" w:rsidRPr="007A6990" w:rsidRDefault="007A6990" w:rsidP="007A6990">
            <w:pPr>
              <w:keepNext/>
              <w:jc w:val="center"/>
              <w:rPr>
                <w:rFonts w:ascii="Calibri" w:hAnsi="Calibri" w:cs="Arial"/>
                <w:b/>
              </w:rPr>
            </w:pPr>
            <w:r>
              <w:rPr>
                <w:rFonts w:ascii="Calibri" w:hAnsi="Calibri"/>
                <w:b/>
              </w:rPr>
              <w:t>7.0</w:t>
            </w:r>
          </w:p>
        </w:tc>
        <w:tc>
          <w:tcPr>
            <w:tcW w:w="1556" w:type="dxa"/>
            <w:tcBorders>
              <w:top w:val="single" w:sz="4" w:space="0" w:color="333399"/>
              <w:bottom w:val="single" w:sz="4" w:space="0" w:color="333399"/>
            </w:tcBorders>
            <w:shd w:val="clear" w:color="auto" w:fill="99CCFF"/>
            <w:vAlign w:val="center"/>
          </w:tcPr>
          <w:p w:rsidR="007A6990" w:rsidRPr="008368B9" w:rsidRDefault="007A6990" w:rsidP="007A6990">
            <w:pPr>
              <w:jc w:val="center"/>
              <w:rPr>
                <w:rFonts w:ascii="Calibri" w:hAnsi="Calibri" w:cs="Arial"/>
                <w:b/>
              </w:rPr>
            </w:pPr>
            <w:r>
              <w:rPr>
                <w:rFonts w:ascii="Calibri" w:hAnsi="Calibri"/>
                <w:b/>
              </w:rPr>
              <w:t>4.1</w:t>
            </w:r>
          </w:p>
        </w:tc>
      </w:tr>
      <w:tr w:rsidR="007A6990" w:rsidRPr="007A6990" w:rsidTr="007A6990">
        <w:trPr>
          <w:trHeight w:hRule="exact" w:val="266"/>
          <w:jc w:val="center"/>
        </w:trPr>
        <w:tc>
          <w:tcPr>
            <w:tcW w:w="5797" w:type="dxa"/>
            <w:tcBorders>
              <w:top w:val="single" w:sz="4" w:space="0" w:color="333399"/>
              <w:bottom w:val="nil"/>
            </w:tcBorders>
            <w:shd w:val="clear" w:color="auto" w:fill="auto"/>
            <w:noWrap/>
            <w:vAlign w:val="center"/>
          </w:tcPr>
          <w:p w:rsidR="007A6990" w:rsidRPr="007A6990" w:rsidRDefault="007A6990" w:rsidP="007A6990">
            <w:pPr>
              <w:keepNext/>
              <w:jc w:val="both"/>
              <w:rPr>
                <w:rFonts w:ascii="Calibri" w:hAnsi="Calibri" w:cs="Arial"/>
              </w:rPr>
            </w:pPr>
            <w:r>
              <w:rPr>
                <w:rFonts w:ascii="Calibri" w:hAnsi="Calibri"/>
              </w:rPr>
              <w:t>- Industry</w:t>
            </w:r>
          </w:p>
        </w:tc>
        <w:tc>
          <w:tcPr>
            <w:tcW w:w="1765" w:type="dxa"/>
            <w:tcBorders>
              <w:top w:val="single" w:sz="4" w:space="0" w:color="333399"/>
              <w:bottom w:val="nil"/>
            </w:tcBorders>
            <w:shd w:val="clear" w:color="auto" w:fill="auto"/>
            <w:vAlign w:val="center"/>
          </w:tcPr>
          <w:p w:rsidR="007A6990" w:rsidRPr="007A6990" w:rsidRDefault="007A6990" w:rsidP="007A6990">
            <w:pPr>
              <w:keepNext/>
              <w:jc w:val="center"/>
              <w:rPr>
                <w:rFonts w:ascii="Calibri" w:hAnsi="Calibri"/>
              </w:rPr>
            </w:pPr>
            <w:r>
              <w:rPr>
                <w:rFonts w:ascii="Calibri" w:hAnsi="Calibri"/>
              </w:rPr>
              <w:t>8.3</w:t>
            </w:r>
          </w:p>
        </w:tc>
        <w:tc>
          <w:tcPr>
            <w:tcW w:w="1556" w:type="dxa"/>
            <w:tcBorders>
              <w:top w:val="single" w:sz="4" w:space="0" w:color="333399"/>
              <w:bottom w:val="nil"/>
            </w:tcBorders>
            <w:vAlign w:val="center"/>
          </w:tcPr>
          <w:p w:rsidR="007A6990" w:rsidRPr="008368B9" w:rsidRDefault="007A6990" w:rsidP="007A6990">
            <w:pPr>
              <w:jc w:val="center"/>
              <w:rPr>
                <w:rFonts w:ascii="Calibri" w:hAnsi="Calibri"/>
              </w:rPr>
            </w:pPr>
            <w:r>
              <w:rPr>
                <w:rFonts w:ascii="Calibri" w:hAnsi="Calibri"/>
              </w:rPr>
              <w:t>4.1</w:t>
            </w:r>
          </w:p>
        </w:tc>
      </w:tr>
      <w:tr w:rsidR="007A6990" w:rsidRPr="007A6990" w:rsidTr="007A6990">
        <w:trPr>
          <w:trHeight w:hRule="exact" w:val="266"/>
          <w:jc w:val="center"/>
        </w:trPr>
        <w:tc>
          <w:tcPr>
            <w:tcW w:w="5797" w:type="dxa"/>
            <w:tcBorders>
              <w:top w:val="nil"/>
              <w:bottom w:val="nil"/>
            </w:tcBorders>
            <w:shd w:val="clear" w:color="auto" w:fill="auto"/>
            <w:noWrap/>
            <w:vAlign w:val="center"/>
          </w:tcPr>
          <w:p w:rsidR="007A6990" w:rsidRPr="007A6990" w:rsidRDefault="007A6990" w:rsidP="007A6990">
            <w:pPr>
              <w:keepNext/>
              <w:jc w:val="both"/>
              <w:rPr>
                <w:rFonts w:ascii="Calibri" w:hAnsi="Calibri" w:cs="Arial"/>
              </w:rPr>
            </w:pPr>
            <w:r>
              <w:rPr>
                <w:rFonts w:ascii="Calibri" w:hAnsi="Calibri"/>
              </w:rPr>
              <w:t>- Agriculture</w:t>
            </w:r>
          </w:p>
        </w:tc>
        <w:tc>
          <w:tcPr>
            <w:tcW w:w="1765" w:type="dxa"/>
            <w:tcBorders>
              <w:top w:val="nil"/>
              <w:bottom w:val="nil"/>
            </w:tcBorders>
            <w:shd w:val="clear" w:color="auto" w:fill="auto"/>
            <w:vAlign w:val="center"/>
          </w:tcPr>
          <w:p w:rsidR="007A6990" w:rsidRPr="007A6990" w:rsidRDefault="007A6990" w:rsidP="007A6990">
            <w:pPr>
              <w:keepNext/>
              <w:jc w:val="center"/>
              <w:rPr>
                <w:rFonts w:ascii="Calibri" w:hAnsi="Calibri"/>
              </w:rPr>
            </w:pPr>
            <w:r>
              <w:rPr>
                <w:rFonts w:ascii="Calibri" w:hAnsi="Calibri"/>
              </w:rPr>
              <w:t>14.6</w:t>
            </w:r>
          </w:p>
        </w:tc>
        <w:tc>
          <w:tcPr>
            <w:tcW w:w="1556" w:type="dxa"/>
            <w:tcBorders>
              <w:top w:val="nil"/>
              <w:bottom w:val="nil"/>
            </w:tcBorders>
            <w:vAlign w:val="center"/>
          </w:tcPr>
          <w:p w:rsidR="007A6990" w:rsidRPr="008368B9" w:rsidRDefault="007A6990" w:rsidP="007A6990">
            <w:pPr>
              <w:jc w:val="center"/>
              <w:rPr>
                <w:rFonts w:ascii="Calibri" w:hAnsi="Calibri"/>
              </w:rPr>
            </w:pPr>
            <w:r>
              <w:rPr>
                <w:rFonts w:ascii="Calibri" w:hAnsi="Calibri"/>
              </w:rPr>
              <w:t>9.9</w:t>
            </w:r>
          </w:p>
        </w:tc>
      </w:tr>
      <w:tr w:rsidR="007A6990" w:rsidRPr="007A6990" w:rsidTr="007A6990">
        <w:trPr>
          <w:trHeight w:hRule="exact" w:val="266"/>
          <w:jc w:val="center"/>
        </w:trPr>
        <w:tc>
          <w:tcPr>
            <w:tcW w:w="5797" w:type="dxa"/>
            <w:tcBorders>
              <w:top w:val="nil"/>
              <w:bottom w:val="nil"/>
            </w:tcBorders>
            <w:shd w:val="clear" w:color="auto" w:fill="auto"/>
            <w:noWrap/>
            <w:vAlign w:val="center"/>
          </w:tcPr>
          <w:p w:rsidR="007A6990" w:rsidRPr="007A6990" w:rsidRDefault="007A6990" w:rsidP="007A6990">
            <w:pPr>
              <w:keepNext/>
              <w:jc w:val="both"/>
              <w:rPr>
                <w:rFonts w:ascii="Calibri" w:hAnsi="Calibri" w:cs="Arial"/>
              </w:rPr>
            </w:pPr>
            <w:r>
              <w:rPr>
                <w:rFonts w:ascii="Calibri" w:hAnsi="Calibri"/>
              </w:rPr>
              <w:t>- Constructions</w:t>
            </w:r>
          </w:p>
        </w:tc>
        <w:tc>
          <w:tcPr>
            <w:tcW w:w="1765" w:type="dxa"/>
            <w:tcBorders>
              <w:top w:val="nil"/>
              <w:bottom w:val="nil"/>
            </w:tcBorders>
            <w:shd w:val="clear" w:color="auto" w:fill="auto"/>
            <w:vAlign w:val="center"/>
          </w:tcPr>
          <w:p w:rsidR="007A6990" w:rsidRPr="007A6990" w:rsidRDefault="007A6990" w:rsidP="007A6990">
            <w:pPr>
              <w:keepNext/>
              <w:jc w:val="center"/>
              <w:rPr>
                <w:rFonts w:ascii="Calibri" w:hAnsi="Calibri"/>
              </w:rPr>
            </w:pPr>
            <w:r>
              <w:rPr>
                <w:rFonts w:ascii="Calibri" w:hAnsi="Calibri"/>
              </w:rPr>
              <w:t>-0.9</w:t>
            </w:r>
          </w:p>
        </w:tc>
        <w:tc>
          <w:tcPr>
            <w:tcW w:w="1556" w:type="dxa"/>
            <w:tcBorders>
              <w:top w:val="nil"/>
              <w:bottom w:val="nil"/>
            </w:tcBorders>
            <w:vAlign w:val="center"/>
          </w:tcPr>
          <w:p w:rsidR="007A6990" w:rsidRPr="008368B9" w:rsidRDefault="007A6990" w:rsidP="00455406">
            <w:pPr>
              <w:jc w:val="center"/>
              <w:rPr>
                <w:rFonts w:ascii="Calibri" w:hAnsi="Calibri"/>
              </w:rPr>
            </w:pPr>
            <w:r>
              <w:rPr>
                <w:rFonts w:ascii="Calibri" w:hAnsi="Calibri"/>
              </w:rPr>
              <w:t>-5.6</w:t>
            </w:r>
          </w:p>
        </w:tc>
      </w:tr>
      <w:tr w:rsidR="007A6990" w:rsidRPr="007A6990" w:rsidTr="007A6990">
        <w:trPr>
          <w:trHeight w:hRule="exact" w:val="266"/>
          <w:jc w:val="center"/>
        </w:trPr>
        <w:tc>
          <w:tcPr>
            <w:tcW w:w="5797" w:type="dxa"/>
            <w:tcBorders>
              <w:top w:val="nil"/>
              <w:bottom w:val="single" w:sz="2" w:space="0" w:color="333399"/>
            </w:tcBorders>
            <w:shd w:val="clear" w:color="auto" w:fill="auto"/>
            <w:noWrap/>
            <w:vAlign w:val="center"/>
          </w:tcPr>
          <w:p w:rsidR="007A6990" w:rsidRPr="007A6990" w:rsidRDefault="007A6990" w:rsidP="007A6990">
            <w:pPr>
              <w:keepNext/>
              <w:jc w:val="both"/>
              <w:rPr>
                <w:rFonts w:ascii="Calibri" w:hAnsi="Calibri" w:cs="Arial"/>
              </w:rPr>
            </w:pPr>
            <w:r>
              <w:rPr>
                <w:rFonts w:ascii="Calibri" w:hAnsi="Calibri"/>
              </w:rPr>
              <w:t>- Services</w:t>
            </w:r>
          </w:p>
        </w:tc>
        <w:tc>
          <w:tcPr>
            <w:tcW w:w="1765" w:type="dxa"/>
            <w:tcBorders>
              <w:top w:val="nil"/>
              <w:bottom w:val="single" w:sz="2" w:space="0" w:color="333399"/>
            </w:tcBorders>
            <w:shd w:val="clear" w:color="auto" w:fill="auto"/>
            <w:vAlign w:val="center"/>
          </w:tcPr>
          <w:p w:rsidR="007A6990" w:rsidRPr="007A6990" w:rsidRDefault="007A6990" w:rsidP="007A6990">
            <w:pPr>
              <w:keepNext/>
              <w:jc w:val="center"/>
              <w:rPr>
                <w:rFonts w:ascii="Calibri" w:hAnsi="Calibri"/>
              </w:rPr>
            </w:pPr>
            <w:r>
              <w:rPr>
                <w:rFonts w:ascii="Calibri" w:hAnsi="Calibri"/>
              </w:rPr>
              <w:t>6.9</w:t>
            </w:r>
          </w:p>
        </w:tc>
        <w:tc>
          <w:tcPr>
            <w:tcW w:w="1556" w:type="dxa"/>
            <w:tcBorders>
              <w:top w:val="nil"/>
              <w:bottom w:val="single" w:sz="2" w:space="0" w:color="333399"/>
            </w:tcBorders>
            <w:vAlign w:val="center"/>
          </w:tcPr>
          <w:p w:rsidR="007A6990" w:rsidRPr="008368B9" w:rsidRDefault="00455406" w:rsidP="007A6990">
            <w:pPr>
              <w:jc w:val="center"/>
              <w:rPr>
                <w:rFonts w:ascii="Calibri" w:hAnsi="Calibri"/>
              </w:rPr>
            </w:pPr>
            <w:r>
              <w:rPr>
                <w:rFonts w:ascii="Calibri" w:hAnsi="Calibri"/>
              </w:rPr>
              <w:t>3.6</w:t>
            </w:r>
          </w:p>
        </w:tc>
      </w:tr>
    </w:tbl>
    <w:p w:rsidR="007A6990" w:rsidRPr="007A6990" w:rsidRDefault="007A6990" w:rsidP="007A6990">
      <w:pPr>
        <w:keepNext/>
        <w:spacing w:before="120"/>
        <w:ind w:firstLine="42"/>
        <w:jc w:val="both"/>
        <w:rPr>
          <w:rFonts w:ascii="Calibri" w:hAnsi="Calibri"/>
          <w:bCs/>
          <w:i/>
          <w:iCs/>
          <w:sz w:val="20"/>
          <w:szCs w:val="20"/>
        </w:rPr>
      </w:pPr>
      <w:r>
        <w:rPr>
          <w:rFonts w:ascii="Calibri" w:hAnsi="Calibri"/>
          <w:bCs/>
          <w:i/>
          <w:iCs/>
          <w:sz w:val="20"/>
          <w:szCs w:val="20"/>
        </w:rPr>
        <w:t xml:space="preserve">Source: National Institute of Statistics </w:t>
      </w:r>
    </w:p>
    <w:p w:rsidR="007A6990" w:rsidRPr="007A6990" w:rsidRDefault="007A6990" w:rsidP="007A6990">
      <w:pPr>
        <w:keepNext/>
        <w:spacing w:before="120" w:after="120"/>
        <w:jc w:val="both"/>
        <w:rPr>
          <w:rFonts w:ascii="Calibri" w:hAnsi="Calibri" w:cs="Calibri"/>
          <w:szCs w:val="22"/>
        </w:rPr>
      </w:pPr>
      <w:r>
        <w:rPr>
          <w:rFonts w:ascii="Calibri" w:hAnsi="Calibri"/>
          <w:szCs w:val="22"/>
        </w:rPr>
        <w:t xml:space="preserve">Occupation is improving, Romania fulfilling the commitment it undertook through the “Europe 2020” Strategy. Unemployment has reached historical minimum levels. </w:t>
      </w:r>
    </w:p>
    <w:p w:rsidR="007A6990" w:rsidRPr="007A6990" w:rsidRDefault="007A6990" w:rsidP="007A6990">
      <w:pPr>
        <w:keepNext/>
        <w:spacing w:before="120" w:after="120"/>
        <w:jc w:val="both"/>
        <w:rPr>
          <w:rFonts w:ascii="Calibri" w:hAnsi="Calibri" w:cs="Calibri"/>
          <w:szCs w:val="22"/>
        </w:rPr>
      </w:pPr>
      <w:r>
        <w:rPr>
          <w:rFonts w:ascii="Calibri" w:hAnsi="Calibri"/>
          <w:szCs w:val="22"/>
        </w:rPr>
        <w:t>In Q3 of 2018, the population employment rate for the population aged 20 to 64 years was of 71.3% (according to the AMIGO definition), exceeding by 1.3 percentage points the national target of 70% established in the framework of the 2020 Strategy.</w:t>
      </w:r>
    </w:p>
    <w:p w:rsidR="007A6990" w:rsidRPr="008368B9" w:rsidRDefault="007A6990" w:rsidP="007A6990">
      <w:pPr>
        <w:keepNext/>
        <w:spacing w:before="120" w:after="120"/>
        <w:jc w:val="both"/>
        <w:rPr>
          <w:rFonts w:ascii="Calibri" w:hAnsi="Calibri" w:cs="Calibri"/>
          <w:szCs w:val="22"/>
        </w:rPr>
      </w:pPr>
      <w:r>
        <w:rPr>
          <w:rFonts w:ascii="Calibri" w:hAnsi="Calibri"/>
          <w:szCs w:val="22"/>
        </w:rPr>
        <w:t>The average number of employees (average monthly population, according to the NIS, as per the national methodology) was of 4,929.5 thousand people in 2018, increasing by 1.8% compared to 2017 (respectively 86.8 thousand people). The biggest share in the total economy is represented by the number of employees from the industry, which reached 28.1%.</w:t>
      </w:r>
    </w:p>
    <w:p w:rsidR="007A6990" w:rsidRPr="008368B9" w:rsidRDefault="007A6990" w:rsidP="007A6990">
      <w:pPr>
        <w:keepNext/>
        <w:spacing w:after="120"/>
        <w:jc w:val="both"/>
        <w:rPr>
          <w:rFonts w:ascii="Calibri" w:hAnsi="Calibri" w:cs="Calibri"/>
          <w:szCs w:val="22"/>
        </w:rPr>
      </w:pPr>
      <w:r>
        <w:rPr>
          <w:rFonts w:ascii="Calibri" w:hAnsi="Calibri"/>
          <w:b/>
          <w:szCs w:val="22"/>
        </w:rPr>
        <w:t>The gross average salary</w:t>
      </w:r>
      <w:r>
        <w:rPr>
          <w:rFonts w:ascii="Calibri" w:hAnsi="Calibri"/>
          <w:szCs w:val="22"/>
        </w:rPr>
        <w:t xml:space="preserve"> per total economy was of 4,488 Lei in 2018. The average net salary increased by 13.1%, being of Lei 2,696.</w:t>
      </w:r>
    </w:p>
    <w:p w:rsidR="007A6990" w:rsidRPr="008368B9" w:rsidRDefault="007A6990" w:rsidP="007A6990">
      <w:pPr>
        <w:keepNext/>
        <w:spacing w:after="120"/>
        <w:jc w:val="both"/>
        <w:rPr>
          <w:rFonts w:ascii="Calibri" w:hAnsi="Calibri" w:cs="Calibri"/>
          <w:szCs w:val="22"/>
        </w:rPr>
      </w:pPr>
      <w:r>
        <w:rPr>
          <w:rFonts w:ascii="Calibri" w:hAnsi="Calibri"/>
          <w:szCs w:val="22"/>
        </w:rPr>
        <w:t xml:space="preserve">In real terms on the total economy, the increase of the salaries was of 8.1%. </w:t>
      </w:r>
    </w:p>
    <w:p w:rsidR="007A6990" w:rsidRPr="008368B9" w:rsidRDefault="007C1842" w:rsidP="007A6990">
      <w:pPr>
        <w:keepNext/>
        <w:spacing w:before="120"/>
        <w:jc w:val="both"/>
        <w:outlineLvl w:val="0"/>
        <w:rPr>
          <w:rFonts w:ascii="Calibri" w:eastAsia="Calibri" w:hAnsi="Calibri" w:cs="Calibri"/>
          <w:szCs w:val="22"/>
        </w:rPr>
      </w:pPr>
      <w:r>
        <w:rPr>
          <w:rFonts w:ascii="Calibri" w:hAnsi="Calibri"/>
          <w:szCs w:val="22"/>
        </w:rPr>
        <w:t>The unemployment rate registered at the end of December 2018 was of 3.31%, 0.72% lower than at the end of December 2017 (4.03).</w:t>
      </w:r>
    </w:p>
    <w:p w:rsidR="007A6990" w:rsidRPr="008368B9" w:rsidRDefault="007A6990" w:rsidP="007A6990">
      <w:pPr>
        <w:keepNext/>
        <w:spacing w:before="120"/>
        <w:jc w:val="both"/>
        <w:rPr>
          <w:rFonts w:ascii="Calibri" w:hAnsi="Calibri" w:cs="Arial"/>
        </w:rPr>
      </w:pPr>
      <w:r>
        <w:rPr>
          <w:rFonts w:ascii="Calibri" w:hAnsi="Calibri"/>
        </w:rPr>
        <w:t xml:space="preserve">In 2017, exports of goods had a value of 62.6 billion EUR, increasing by 9.2% compared to year 2016, while the increase registered by imports of goods was of 12.2%, the value thereof being of 75.6 billion EUR. Under these circumstances, the FOB-CIF commercial deficit was of 13.0 billion EUR, increasing by 30.0% compared to that registered in 2016. </w:t>
      </w:r>
    </w:p>
    <w:p w:rsidR="007A6990" w:rsidRPr="008368B9" w:rsidRDefault="007A6990" w:rsidP="007A6990">
      <w:pPr>
        <w:keepNext/>
        <w:spacing w:before="120"/>
        <w:jc w:val="both"/>
        <w:rPr>
          <w:rFonts w:ascii="Calibri" w:hAnsi="Calibri" w:cs="Calibri"/>
          <w:szCs w:val="22"/>
        </w:rPr>
      </w:pPr>
      <w:r>
        <w:rPr>
          <w:rFonts w:ascii="Calibri" w:hAnsi="Calibri"/>
          <w:szCs w:val="22"/>
        </w:rPr>
        <w:t xml:space="preserve">In 2018, exports of goods reached the value of 67.7 billion EUR, increasing by 8.1% compared to the previous year, and CIF imports reached a value of 82.9 billion EUR, increasing by 9.6%. </w:t>
      </w:r>
    </w:p>
    <w:p w:rsidR="007A6990" w:rsidRPr="008368B9" w:rsidRDefault="007A6990" w:rsidP="007A6990">
      <w:pPr>
        <w:keepNext/>
        <w:spacing w:before="120"/>
        <w:jc w:val="both"/>
        <w:rPr>
          <w:rFonts w:ascii="Calibri" w:hAnsi="Calibri" w:cs="Calibri"/>
          <w:szCs w:val="22"/>
        </w:rPr>
      </w:pPr>
      <w:r>
        <w:rPr>
          <w:rFonts w:ascii="Calibri" w:hAnsi="Calibri"/>
          <w:szCs w:val="22"/>
        </w:rPr>
        <w:t>The current account of the payment balance registered in 2018 a deficit of 9.4 billion EUR, representing 4.7% of GDP. It was financed up to 52.4% from direct foreign investments which totaled 4.9 billion EUR.</w:t>
      </w:r>
    </w:p>
    <w:p w:rsidR="00D07CEE" w:rsidRDefault="00D07CEE" w:rsidP="007A6990">
      <w:pPr>
        <w:keepNext/>
        <w:ind w:right="200"/>
        <w:jc w:val="right"/>
        <w:rPr>
          <w:rFonts w:ascii="Calibri" w:hAnsi="Calibri"/>
          <w:lang w:val="ro-RO"/>
        </w:rPr>
      </w:pPr>
    </w:p>
    <w:p w:rsidR="007A6990" w:rsidRPr="007A6990" w:rsidRDefault="007A6990" w:rsidP="007A6990">
      <w:pPr>
        <w:keepNext/>
        <w:ind w:right="200"/>
        <w:jc w:val="right"/>
        <w:rPr>
          <w:rFonts w:ascii="Calibri" w:hAnsi="Calibri"/>
        </w:rPr>
      </w:pPr>
      <w:r>
        <w:rPr>
          <w:rFonts w:ascii="Calibri" w:hAnsi="Calibri"/>
        </w:rPr>
        <w:t xml:space="preserve">- million EUR - </w:t>
      </w:r>
    </w:p>
    <w:tbl>
      <w:tblPr>
        <w:tblW w:w="9320" w:type="dxa"/>
        <w:jc w:val="center"/>
        <w:tblBorders>
          <w:top w:val="single" w:sz="24" w:space="0" w:color="auto"/>
          <w:bottom w:val="single" w:sz="24" w:space="0" w:color="auto"/>
        </w:tblBorders>
        <w:shd w:val="clear" w:color="auto" w:fill="FBFBFF"/>
        <w:tblLook w:val="0000" w:firstRow="0" w:lastRow="0" w:firstColumn="0" w:lastColumn="0" w:noHBand="0" w:noVBand="0"/>
      </w:tblPr>
      <w:tblGrid>
        <w:gridCol w:w="6055"/>
        <w:gridCol w:w="1582"/>
        <w:gridCol w:w="1683"/>
      </w:tblGrid>
      <w:tr w:rsidR="007A6990" w:rsidRPr="007A6990" w:rsidTr="007A6990">
        <w:trPr>
          <w:trHeight w:val="475"/>
          <w:tblHeader/>
          <w:jc w:val="center"/>
        </w:trPr>
        <w:tc>
          <w:tcPr>
            <w:tcW w:w="6055" w:type="dxa"/>
            <w:tcBorders>
              <w:top w:val="single" w:sz="2" w:space="0" w:color="333399"/>
              <w:bottom w:val="single" w:sz="2" w:space="0" w:color="333399"/>
            </w:tcBorders>
            <w:shd w:val="clear" w:color="auto" w:fill="99CCFF"/>
            <w:noWrap/>
            <w:vAlign w:val="center"/>
          </w:tcPr>
          <w:p w:rsidR="007A6990" w:rsidRPr="007A6990" w:rsidRDefault="007A6990" w:rsidP="007A6990">
            <w:pPr>
              <w:keepNext/>
              <w:jc w:val="both"/>
              <w:rPr>
                <w:rFonts w:ascii="Calibri" w:hAnsi="Calibri" w:cs="Arial"/>
                <w:b/>
              </w:rPr>
            </w:pPr>
            <w:r>
              <w:rPr>
                <w:rFonts w:ascii="Calibri" w:hAnsi="Calibri"/>
                <w:b/>
              </w:rPr>
              <w:t>Foreign trade and current account</w:t>
            </w:r>
          </w:p>
        </w:tc>
        <w:tc>
          <w:tcPr>
            <w:tcW w:w="1582" w:type="dxa"/>
            <w:tcBorders>
              <w:top w:val="single" w:sz="2" w:space="0" w:color="333399"/>
              <w:bottom w:val="single" w:sz="2" w:space="0" w:color="333399"/>
            </w:tcBorders>
            <w:shd w:val="clear" w:color="auto" w:fill="99CCFF"/>
            <w:vAlign w:val="center"/>
          </w:tcPr>
          <w:p w:rsidR="007A6990" w:rsidRPr="007A6990" w:rsidRDefault="007A6990" w:rsidP="007A6990">
            <w:pPr>
              <w:keepNext/>
              <w:jc w:val="center"/>
              <w:rPr>
                <w:rFonts w:ascii="Calibri" w:hAnsi="Calibri" w:cs="Arial"/>
                <w:b/>
              </w:rPr>
            </w:pPr>
            <w:r>
              <w:rPr>
                <w:rFonts w:ascii="Calibri" w:hAnsi="Calibri"/>
                <w:b/>
              </w:rPr>
              <w:t>2017</w:t>
            </w:r>
          </w:p>
        </w:tc>
        <w:tc>
          <w:tcPr>
            <w:tcW w:w="1683" w:type="dxa"/>
            <w:tcBorders>
              <w:top w:val="single" w:sz="2" w:space="0" w:color="333399"/>
              <w:bottom w:val="single" w:sz="2" w:space="0" w:color="333399"/>
            </w:tcBorders>
            <w:shd w:val="clear" w:color="auto" w:fill="99CCFF"/>
            <w:noWrap/>
            <w:vAlign w:val="center"/>
          </w:tcPr>
          <w:p w:rsidR="007A6990" w:rsidRPr="008368B9" w:rsidRDefault="007A6990" w:rsidP="007A6990">
            <w:pPr>
              <w:keepNext/>
              <w:jc w:val="center"/>
              <w:rPr>
                <w:rFonts w:ascii="Calibri" w:hAnsi="Calibri" w:cs="Arial"/>
                <w:b/>
              </w:rPr>
            </w:pPr>
            <w:r>
              <w:rPr>
                <w:rFonts w:ascii="Calibri" w:hAnsi="Calibri"/>
                <w:b/>
              </w:rPr>
              <w:t>2018</w:t>
            </w:r>
          </w:p>
        </w:tc>
      </w:tr>
      <w:tr w:rsidR="007A6990" w:rsidRPr="007A6990" w:rsidTr="007A6990">
        <w:trPr>
          <w:trHeight w:val="315"/>
          <w:jc w:val="center"/>
        </w:trPr>
        <w:tc>
          <w:tcPr>
            <w:tcW w:w="6055" w:type="dxa"/>
            <w:tcBorders>
              <w:top w:val="single" w:sz="2" w:space="0" w:color="333399"/>
              <w:bottom w:val="nil"/>
            </w:tcBorders>
            <w:shd w:val="clear" w:color="auto" w:fill="auto"/>
            <w:noWrap/>
            <w:vAlign w:val="center"/>
          </w:tcPr>
          <w:p w:rsidR="007A6990" w:rsidRPr="007A6990" w:rsidRDefault="007A6990" w:rsidP="007A6990">
            <w:pPr>
              <w:keepNext/>
              <w:jc w:val="both"/>
              <w:rPr>
                <w:rFonts w:ascii="Calibri" w:hAnsi="Calibri" w:cs="Arial"/>
              </w:rPr>
            </w:pPr>
            <w:r>
              <w:rPr>
                <w:rFonts w:ascii="Calibri" w:hAnsi="Calibri"/>
              </w:rPr>
              <w:t>FOB export</w:t>
            </w:r>
          </w:p>
        </w:tc>
        <w:tc>
          <w:tcPr>
            <w:tcW w:w="1582" w:type="dxa"/>
            <w:tcBorders>
              <w:top w:val="single" w:sz="2" w:space="0" w:color="333399"/>
              <w:bottom w:val="nil"/>
            </w:tcBorders>
            <w:vAlign w:val="center"/>
          </w:tcPr>
          <w:p w:rsidR="007A6990" w:rsidRPr="007A6990" w:rsidRDefault="007A6990" w:rsidP="007A6990">
            <w:pPr>
              <w:keepNext/>
              <w:jc w:val="center"/>
              <w:rPr>
                <w:rFonts w:ascii="Calibri" w:hAnsi="Calibri" w:cs="Arial"/>
              </w:rPr>
            </w:pPr>
            <w:r>
              <w:rPr>
                <w:rFonts w:ascii="Calibri" w:hAnsi="Calibri"/>
              </w:rPr>
              <w:t>62,644.1</w:t>
            </w:r>
          </w:p>
        </w:tc>
        <w:tc>
          <w:tcPr>
            <w:tcW w:w="1683" w:type="dxa"/>
            <w:tcBorders>
              <w:top w:val="single" w:sz="2" w:space="0" w:color="333399"/>
              <w:bottom w:val="nil"/>
            </w:tcBorders>
            <w:shd w:val="clear" w:color="auto" w:fill="auto"/>
            <w:noWrap/>
            <w:vAlign w:val="center"/>
          </w:tcPr>
          <w:p w:rsidR="007A6990" w:rsidRPr="008368B9" w:rsidRDefault="007A6990" w:rsidP="00F40A21">
            <w:pPr>
              <w:keepNext/>
              <w:jc w:val="center"/>
              <w:rPr>
                <w:rFonts w:ascii="Calibri" w:hAnsi="Calibri" w:cs="Arial"/>
              </w:rPr>
            </w:pPr>
            <w:r>
              <w:rPr>
                <w:rFonts w:ascii="Calibri" w:hAnsi="Calibri"/>
              </w:rPr>
              <w:t>67,732.4</w:t>
            </w:r>
          </w:p>
        </w:tc>
      </w:tr>
      <w:tr w:rsidR="007A6990" w:rsidRPr="007A6990" w:rsidTr="007A6990">
        <w:trPr>
          <w:trHeight w:val="315"/>
          <w:jc w:val="center"/>
        </w:trPr>
        <w:tc>
          <w:tcPr>
            <w:tcW w:w="6055" w:type="dxa"/>
            <w:tcBorders>
              <w:top w:val="nil"/>
              <w:bottom w:val="nil"/>
            </w:tcBorders>
            <w:shd w:val="clear" w:color="auto" w:fill="auto"/>
            <w:noWrap/>
            <w:vAlign w:val="center"/>
          </w:tcPr>
          <w:p w:rsidR="007A6990" w:rsidRPr="007A6990" w:rsidRDefault="007A6990" w:rsidP="007A6990">
            <w:pPr>
              <w:keepNext/>
              <w:jc w:val="both"/>
              <w:rPr>
                <w:rFonts w:ascii="Calibri" w:hAnsi="Calibri" w:cs="Arial"/>
              </w:rPr>
            </w:pPr>
            <w:r>
              <w:rPr>
                <w:rFonts w:ascii="Calibri" w:hAnsi="Calibri"/>
              </w:rPr>
              <w:t xml:space="preserve">    - annual percentage change, %</w:t>
            </w:r>
          </w:p>
        </w:tc>
        <w:tc>
          <w:tcPr>
            <w:tcW w:w="1582" w:type="dxa"/>
            <w:tcBorders>
              <w:top w:val="nil"/>
              <w:bottom w:val="nil"/>
            </w:tcBorders>
            <w:vAlign w:val="center"/>
          </w:tcPr>
          <w:p w:rsidR="007A6990" w:rsidRPr="007A6990" w:rsidRDefault="007A6990" w:rsidP="007A6990">
            <w:pPr>
              <w:keepNext/>
              <w:jc w:val="center"/>
              <w:rPr>
                <w:rFonts w:ascii="Calibri" w:hAnsi="Calibri" w:cs="Arial"/>
              </w:rPr>
            </w:pPr>
            <w:r>
              <w:rPr>
                <w:rFonts w:ascii="Calibri" w:hAnsi="Calibri"/>
              </w:rPr>
              <w:t>9.2</w:t>
            </w:r>
          </w:p>
        </w:tc>
        <w:tc>
          <w:tcPr>
            <w:tcW w:w="1683" w:type="dxa"/>
            <w:tcBorders>
              <w:top w:val="nil"/>
              <w:bottom w:val="nil"/>
            </w:tcBorders>
            <w:shd w:val="clear" w:color="auto" w:fill="auto"/>
            <w:noWrap/>
            <w:vAlign w:val="center"/>
          </w:tcPr>
          <w:p w:rsidR="007A6990" w:rsidRPr="008368B9" w:rsidRDefault="007A6990" w:rsidP="007A6990">
            <w:pPr>
              <w:keepNext/>
              <w:jc w:val="center"/>
              <w:rPr>
                <w:rFonts w:ascii="Calibri" w:hAnsi="Calibri" w:cs="Arial"/>
              </w:rPr>
            </w:pPr>
            <w:r>
              <w:rPr>
                <w:rFonts w:ascii="Calibri" w:hAnsi="Calibri"/>
              </w:rPr>
              <w:t>8.1</w:t>
            </w:r>
          </w:p>
        </w:tc>
      </w:tr>
      <w:tr w:rsidR="007A6990" w:rsidRPr="007A6990" w:rsidTr="007A6990">
        <w:trPr>
          <w:trHeight w:val="315"/>
          <w:jc w:val="center"/>
        </w:trPr>
        <w:tc>
          <w:tcPr>
            <w:tcW w:w="6055" w:type="dxa"/>
            <w:tcBorders>
              <w:top w:val="nil"/>
              <w:bottom w:val="nil"/>
            </w:tcBorders>
            <w:shd w:val="clear" w:color="auto" w:fill="auto"/>
            <w:noWrap/>
            <w:vAlign w:val="center"/>
          </w:tcPr>
          <w:p w:rsidR="007A6990" w:rsidRPr="007A6990" w:rsidRDefault="007A6990" w:rsidP="007A6990">
            <w:pPr>
              <w:keepNext/>
              <w:jc w:val="both"/>
              <w:rPr>
                <w:rFonts w:ascii="Calibri" w:hAnsi="Calibri" w:cs="Arial"/>
              </w:rPr>
            </w:pPr>
            <w:r>
              <w:rPr>
                <w:rFonts w:ascii="Calibri" w:hAnsi="Calibri"/>
              </w:rPr>
              <w:t>CIF import</w:t>
            </w:r>
          </w:p>
        </w:tc>
        <w:tc>
          <w:tcPr>
            <w:tcW w:w="1582" w:type="dxa"/>
            <w:tcBorders>
              <w:top w:val="nil"/>
              <w:bottom w:val="nil"/>
            </w:tcBorders>
            <w:vAlign w:val="center"/>
          </w:tcPr>
          <w:p w:rsidR="007A6990" w:rsidRPr="007A6990" w:rsidRDefault="007A6990" w:rsidP="007A6990">
            <w:pPr>
              <w:keepNext/>
              <w:jc w:val="center"/>
              <w:rPr>
                <w:rFonts w:ascii="Calibri" w:hAnsi="Calibri" w:cs="Arial"/>
              </w:rPr>
            </w:pPr>
            <w:r>
              <w:rPr>
                <w:rFonts w:ascii="Calibri" w:hAnsi="Calibri"/>
              </w:rPr>
              <w:t>75,603.9</w:t>
            </w:r>
          </w:p>
        </w:tc>
        <w:tc>
          <w:tcPr>
            <w:tcW w:w="1683" w:type="dxa"/>
            <w:tcBorders>
              <w:top w:val="nil"/>
              <w:bottom w:val="nil"/>
            </w:tcBorders>
            <w:shd w:val="clear" w:color="auto" w:fill="auto"/>
            <w:noWrap/>
            <w:vAlign w:val="center"/>
          </w:tcPr>
          <w:p w:rsidR="007A6990" w:rsidRPr="008368B9" w:rsidRDefault="007A6990" w:rsidP="00F40A21">
            <w:pPr>
              <w:keepNext/>
              <w:jc w:val="center"/>
              <w:rPr>
                <w:rFonts w:ascii="Calibri" w:hAnsi="Calibri" w:cs="Arial"/>
              </w:rPr>
            </w:pPr>
            <w:r>
              <w:rPr>
                <w:rFonts w:ascii="Calibri" w:hAnsi="Calibri"/>
              </w:rPr>
              <w:t>82,865.3</w:t>
            </w:r>
          </w:p>
        </w:tc>
      </w:tr>
      <w:tr w:rsidR="007A6990" w:rsidRPr="007A6990" w:rsidTr="007A6990">
        <w:trPr>
          <w:trHeight w:val="315"/>
          <w:jc w:val="center"/>
        </w:trPr>
        <w:tc>
          <w:tcPr>
            <w:tcW w:w="6055" w:type="dxa"/>
            <w:tcBorders>
              <w:top w:val="nil"/>
              <w:bottom w:val="nil"/>
            </w:tcBorders>
            <w:shd w:val="clear" w:color="auto" w:fill="auto"/>
            <w:noWrap/>
            <w:vAlign w:val="center"/>
          </w:tcPr>
          <w:p w:rsidR="007A6990" w:rsidRPr="007A6990" w:rsidRDefault="007A6990" w:rsidP="007A6990">
            <w:pPr>
              <w:keepNext/>
              <w:jc w:val="both"/>
              <w:rPr>
                <w:rFonts w:ascii="Calibri" w:hAnsi="Calibri" w:cs="Arial"/>
              </w:rPr>
            </w:pPr>
            <w:r>
              <w:rPr>
                <w:rFonts w:ascii="Calibri" w:hAnsi="Calibri"/>
              </w:rPr>
              <w:t xml:space="preserve">    - annual percentage change, %</w:t>
            </w:r>
          </w:p>
        </w:tc>
        <w:tc>
          <w:tcPr>
            <w:tcW w:w="1582" w:type="dxa"/>
            <w:tcBorders>
              <w:top w:val="nil"/>
              <w:bottom w:val="nil"/>
            </w:tcBorders>
            <w:vAlign w:val="center"/>
          </w:tcPr>
          <w:p w:rsidR="007A6990" w:rsidRPr="007A6990" w:rsidRDefault="007A6990" w:rsidP="007A6990">
            <w:pPr>
              <w:keepNext/>
              <w:jc w:val="center"/>
              <w:rPr>
                <w:rFonts w:ascii="Calibri" w:hAnsi="Calibri" w:cs="Arial"/>
              </w:rPr>
            </w:pPr>
            <w:r>
              <w:rPr>
                <w:rFonts w:ascii="Calibri" w:hAnsi="Calibri"/>
              </w:rPr>
              <w:t>12.2</w:t>
            </w:r>
          </w:p>
        </w:tc>
        <w:tc>
          <w:tcPr>
            <w:tcW w:w="1683" w:type="dxa"/>
            <w:tcBorders>
              <w:top w:val="nil"/>
              <w:bottom w:val="nil"/>
            </w:tcBorders>
            <w:shd w:val="clear" w:color="auto" w:fill="auto"/>
            <w:noWrap/>
            <w:vAlign w:val="center"/>
          </w:tcPr>
          <w:p w:rsidR="007A6990" w:rsidRPr="008368B9" w:rsidRDefault="00F40A21" w:rsidP="00F40A21">
            <w:pPr>
              <w:keepNext/>
              <w:jc w:val="center"/>
              <w:rPr>
                <w:rFonts w:ascii="Calibri" w:hAnsi="Calibri" w:cs="Arial"/>
              </w:rPr>
            </w:pPr>
            <w:r>
              <w:rPr>
                <w:rFonts w:ascii="Calibri" w:hAnsi="Calibri"/>
              </w:rPr>
              <w:t>9.6</w:t>
            </w:r>
          </w:p>
        </w:tc>
      </w:tr>
      <w:tr w:rsidR="007A6990" w:rsidRPr="007A6990" w:rsidTr="007A6990">
        <w:trPr>
          <w:trHeight w:val="315"/>
          <w:jc w:val="center"/>
        </w:trPr>
        <w:tc>
          <w:tcPr>
            <w:tcW w:w="6055" w:type="dxa"/>
            <w:tcBorders>
              <w:top w:val="nil"/>
              <w:bottom w:val="nil"/>
            </w:tcBorders>
            <w:shd w:val="clear" w:color="auto" w:fill="auto"/>
            <w:noWrap/>
            <w:vAlign w:val="center"/>
          </w:tcPr>
          <w:p w:rsidR="007A6990" w:rsidRPr="007A6990" w:rsidRDefault="007A6990" w:rsidP="007A6990">
            <w:pPr>
              <w:keepNext/>
              <w:jc w:val="both"/>
              <w:rPr>
                <w:rFonts w:ascii="Calibri" w:hAnsi="Calibri" w:cs="Arial"/>
              </w:rPr>
            </w:pPr>
            <w:r>
              <w:rPr>
                <w:rFonts w:ascii="Calibri" w:hAnsi="Calibri"/>
              </w:rPr>
              <w:t xml:space="preserve">FOB - CIF Commercial Balance  </w:t>
            </w:r>
          </w:p>
        </w:tc>
        <w:tc>
          <w:tcPr>
            <w:tcW w:w="1582" w:type="dxa"/>
            <w:tcBorders>
              <w:top w:val="nil"/>
              <w:bottom w:val="nil"/>
            </w:tcBorders>
            <w:vAlign w:val="center"/>
          </w:tcPr>
          <w:p w:rsidR="007A6990" w:rsidRPr="007A6990" w:rsidRDefault="007A6990" w:rsidP="007A6990">
            <w:pPr>
              <w:keepNext/>
              <w:jc w:val="center"/>
              <w:rPr>
                <w:rFonts w:ascii="Calibri" w:hAnsi="Calibri" w:cs="Arial"/>
              </w:rPr>
            </w:pPr>
            <w:r>
              <w:rPr>
                <w:rFonts w:ascii="Calibri" w:hAnsi="Calibri"/>
              </w:rPr>
              <w:t>-12,959.8</w:t>
            </w:r>
          </w:p>
        </w:tc>
        <w:tc>
          <w:tcPr>
            <w:tcW w:w="1683" w:type="dxa"/>
            <w:tcBorders>
              <w:top w:val="nil"/>
              <w:bottom w:val="nil"/>
            </w:tcBorders>
            <w:shd w:val="clear" w:color="auto" w:fill="auto"/>
            <w:noWrap/>
            <w:vAlign w:val="center"/>
          </w:tcPr>
          <w:p w:rsidR="007A6990" w:rsidRPr="008368B9" w:rsidRDefault="007A6990" w:rsidP="00F40A21">
            <w:pPr>
              <w:keepNext/>
              <w:jc w:val="center"/>
              <w:rPr>
                <w:rFonts w:ascii="Calibri" w:hAnsi="Calibri" w:cs="Arial"/>
              </w:rPr>
            </w:pPr>
            <w:r>
              <w:rPr>
                <w:rFonts w:ascii="Calibri" w:hAnsi="Calibri"/>
              </w:rPr>
              <w:t>-15,132.9</w:t>
            </w:r>
          </w:p>
        </w:tc>
      </w:tr>
      <w:tr w:rsidR="007A6990" w:rsidRPr="007A6990" w:rsidTr="007A6990">
        <w:trPr>
          <w:trHeight w:val="315"/>
          <w:jc w:val="center"/>
        </w:trPr>
        <w:tc>
          <w:tcPr>
            <w:tcW w:w="6055" w:type="dxa"/>
            <w:tcBorders>
              <w:top w:val="nil"/>
              <w:bottom w:val="nil"/>
            </w:tcBorders>
            <w:shd w:val="clear" w:color="auto" w:fill="auto"/>
            <w:noWrap/>
            <w:vAlign w:val="center"/>
          </w:tcPr>
          <w:p w:rsidR="007A6990" w:rsidRPr="007A6990" w:rsidRDefault="007A6990" w:rsidP="007A6990">
            <w:pPr>
              <w:keepNext/>
              <w:jc w:val="both"/>
              <w:rPr>
                <w:rFonts w:ascii="Calibri" w:hAnsi="Calibri" w:cs="Arial"/>
              </w:rPr>
            </w:pPr>
            <w:r>
              <w:rPr>
                <w:rFonts w:ascii="Calibri" w:hAnsi="Calibri"/>
              </w:rPr>
              <w:t>Current account balance</w:t>
            </w:r>
          </w:p>
        </w:tc>
        <w:tc>
          <w:tcPr>
            <w:tcW w:w="1582" w:type="dxa"/>
            <w:tcBorders>
              <w:top w:val="nil"/>
              <w:bottom w:val="nil"/>
            </w:tcBorders>
            <w:vAlign w:val="center"/>
          </w:tcPr>
          <w:p w:rsidR="007A6990" w:rsidRPr="007A6990" w:rsidRDefault="007A6990" w:rsidP="007A6990">
            <w:pPr>
              <w:keepNext/>
              <w:jc w:val="center"/>
              <w:rPr>
                <w:rFonts w:ascii="Calibri" w:hAnsi="Calibri" w:cs="Arial"/>
                <w:bCs/>
              </w:rPr>
            </w:pPr>
            <w:r>
              <w:rPr>
                <w:rFonts w:ascii="Calibri" w:hAnsi="Calibri"/>
                <w:bCs/>
              </w:rPr>
              <w:t>-5,970</w:t>
            </w:r>
          </w:p>
        </w:tc>
        <w:tc>
          <w:tcPr>
            <w:tcW w:w="1683" w:type="dxa"/>
            <w:tcBorders>
              <w:top w:val="nil"/>
              <w:bottom w:val="nil"/>
            </w:tcBorders>
            <w:shd w:val="clear" w:color="auto" w:fill="auto"/>
            <w:noWrap/>
            <w:vAlign w:val="center"/>
          </w:tcPr>
          <w:p w:rsidR="007A6990" w:rsidRPr="008368B9" w:rsidRDefault="007A6990" w:rsidP="00F40A21">
            <w:pPr>
              <w:keepNext/>
              <w:jc w:val="center"/>
              <w:rPr>
                <w:rFonts w:ascii="Calibri" w:hAnsi="Calibri" w:cs="Arial"/>
                <w:bCs/>
              </w:rPr>
            </w:pPr>
            <w:r>
              <w:rPr>
                <w:rFonts w:ascii="Calibri" w:hAnsi="Calibri"/>
                <w:bCs/>
              </w:rPr>
              <w:t>-9,416</w:t>
            </w:r>
          </w:p>
        </w:tc>
      </w:tr>
      <w:tr w:rsidR="007A6990" w:rsidRPr="007A6990" w:rsidTr="007A6990">
        <w:trPr>
          <w:trHeight w:val="315"/>
          <w:jc w:val="center"/>
        </w:trPr>
        <w:tc>
          <w:tcPr>
            <w:tcW w:w="6055" w:type="dxa"/>
            <w:tcBorders>
              <w:top w:val="nil"/>
              <w:bottom w:val="single" w:sz="2" w:space="0" w:color="auto"/>
            </w:tcBorders>
            <w:shd w:val="clear" w:color="auto" w:fill="auto"/>
            <w:noWrap/>
            <w:vAlign w:val="center"/>
          </w:tcPr>
          <w:p w:rsidR="007A6990" w:rsidRPr="007A6990" w:rsidRDefault="007A6990" w:rsidP="007A6990">
            <w:pPr>
              <w:keepNext/>
              <w:jc w:val="both"/>
              <w:rPr>
                <w:rFonts w:ascii="Calibri" w:hAnsi="Calibri" w:cs="Arial"/>
              </w:rPr>
            </w:pPr>
            <w:r>
              <w:rPr>
                <w:rFonts w:ascii="Calibri" w:hAnsi="Calibri"/>
              </w:rPr>
              <w:t xml:space="preserve">     - % of GDP</w:t>
            </w:r>
          </w:p>
        </w:tc>
        <w:tc>
          <w:tcPr>
            <w:tcW w:w="1582" w:type="dxa"/>
            <w:tcBorders>
              <w:top w:val="nil"/>
              <w:bottom w:val="single" w:sz="2" w:space="0" w:color="auto"/>
            </w:tcBorders>
            <w:vAlign w:val="bottom"/>
          </w:tcPr>
          <w:p w:rsidR="007A6990" w:rsidRPr="007A6990" w:rsidRDefault="007A6990" w:rsidP="007A6990">
            <w:pPr>
              <w:keepNext/>
              <w:jc w:val="center"/>
              <w:rPr>
                <w:rFonts w:ascii="Calibri" w:hAnsi="Calibri" w:cs="Arial"/>
                <w:bCs/>
              </w:rPr>
            </w:pPr>
            <w:r>
              <w:rPr>
                <w:rFonts w:ascii="Calibri" w:hAnsi="Calibri"/>
                <w:bCs/>
              </w:rPr>
              <w:t>-3.2</w:t>
            </w:r>
          </w:p>
        </w:tc>
        <w:tc>
          <w:tcPr>
            <w:tcW w:w="1683" w:type="dxa"/>
            <w:tcBorders>
              <w:top w:val="nil"/>
              <w:bottom w:val="single" w:sz="2" w:space="0" w:color="auto"/>
            </w:tcBorders>
            <w:shd w:val="clear" w:color="auto" w:fill="auto"/>
            <w:noWrap/>
            <w:vAlign w:val="bottom"/>
          </w:tcPr>
          <w:p w:rsidR="007A6990" w:rsidRPr="008368B9" w:rsidRDefault="007A6990" w:rsidP="007A6990">
            <w:pPr>
              <w:keepNext/>
              <w:jc w:val="center"/>
              <w:rPr>
                <w:rFonts w:ascii="Calibri" w:hAnsi="Calibri" w:cs="Arial"/>
                <w:bCs/>
              </w:rPr>
            </w:pPr>
            <w:r>
              <w:rPr>
                <w:rFonts w:ascii="Calibri" w:hAnsi="Calibri"/>
                <w:bCs/>
              </w:rPr>
              <w:t>-4.7</w:t>
            </w:r>
          </w:p>
        </w:tc>
      </w:tr>
    </w:tbl>
    <w:p w:rsidR="007A6990" w:rsidRPr="007A6990" w:rsidRDefault="007A6990" w:rsidP="007A6990">
      <w:pPr>
        <w:keepNext/>
        <w:spacing w:before="120"/>
        <w:jc w:val="both"/>
        <w:rPr>
          <w:rFonts w:ascii="Calibri" w:hAnsi="Calibri"/>
          <w:bCs/>
          <w:i/>
          <w:iCs/>
          <w:sz w:val="20"/>
          <w:szCs w:val="20"/>
        </w:rPr>
      </w:pPr>
      <w:r>
        <w:rPr>
          <w:rFonts w:ascii="Calibri" w:hAnsi="Calibri"/>
          <w:bCs/>
          <w:i/>
          <w:iCs/>
          <w:sz w:val="20"/>
          <w:szCs w:val="20"/>
        </w:rPr>
        <w:t xml:space="preserve">    Source: National Institute of Statistics and National Bank of Romania</w:t>
      </w:r>
    </w:p>
    <w:p w:rsidR="007A6990" w:rsidRPr="007A6990" w:rsidRDefault="007A6990" w:rsidP="007A6990">
      <w:pPr>
        <w:spacing w:before="120" w:after="120"/>
        <w:jc w:val="both"/>
        <w:rPr>
          <w:rFonts w:ascii="Calibri" w:eastAsia="Calibri" w:hAnsi="Calibri" w:cs="Calibri"/>
        </w:rPr>
      </w:pPr>
      <w:r>
        <w:rPr>
          <w:rFonts w:ascii="Calibri" w:hAnsi="Calibri"/>
        </w:rPr>
        <w:t>In 2018, consumption prices increased on average by 4.63% compared to the previous year, based on the increase of prices for non-food goods (6.20%), while prices of food goods increased by 3.75%, and services tariffs by 2.53%. Annual inflation in December reached the minimum level of this year, of 3.27%, which is 0.16 percentage points less than in November.</w:t>
      </w:r>
    </w:p>
    <w:p w:rsidR="00D03B49" w:rsidRPr="00C86702" w:rsidRDefault="007A6990" w:rsidP="006119F7">
      <w:pPr>
        <w:pStyle w:val="List"/>
        <w:ind w:left="0" w:firstLine="0"/>
        <w:jc w:val="both"/>
        <w:rPr>
          <w:rFonts w:ascii="Arial Narrow" w:hAnsi="Arial Narrow" w:cs="Arial"/>
          <w:b/>
          <w:bCs/>
          <w:color w:val="000080"/>
          <w:shd w:val="clear" w:color="auto" w:fill="99CCFF"/>
        </w:rPr>
      </w:pPr>
      <w:r>
        <w:rPr>
          <w:rFonts w:ascii="Calibri" w:hAnsi="Calibri"/>
        </w:rPr>
        <w:t>The increase registered in 2018 was due both to the exceeding of the statistical effect associated to the fiscal relaxation measures from the beginning of 2017 (the reduction of the VAT rate and the elimination of over-excise and of certain non-fiscal duties), and to the increase of international quotations for oil (+33.1% compared to 2017), as well as to the energy group (+10.4% in 2018 compared to the previous year). An important contribution was brought by the nominal depreciation of the national currency, which was of 1.84%.</w:t>
      </w:r>
    </w:p>
    <w:p w:rsidR="00D07CEE" w:rsidRPr="00C86702" w:rsidRDefault="00D07CEE" w:rsidP="00AC496E">
      <w:pPr>
        <w:pStyle w:val="List"/>
        <w:ind w:left="0" w:firstLine="0"/>
        <w:jc w:val="both"/>
        <w:rPr>
          <w:rFonts w:ascii="Arial Narrow" w:hAnsi="Arial Narrow" w:cs="Arial"/>
          <w:b/>
          <w:bCs/>
          <w:color w:val="000080"/>
          <w:shd w:val="clear" w:color="auto" w:fill="99CCFF"/>
          <w:lang w:val="ro-RO"/>
        </w:rPr>
      </w:pPr>
    </w:p>
    <w:tbl>
      <w:tblPr>
        <w:tblW w:w="5000" w:type="pct"/>
        <w:jc w:val="center"/>
        <w:shd w:val="clear" w:color="auto" w:fill="D9E2F3"/>
        <w:tblLook w:val="01E0" w:firstRow="1" w:lastRow="1" w:firstColumn="1" w:lastColumn="1" w:noHBand="0" w:noVBand="0"/>
      </w:tblPr>
      <w:tblGrid>
        <w:gridCol w:w="10081"/>
      </w:tblGrid>
      <w:tr w:rsidR="00884E46" w:rsidRPr="00C86702" w:rsidTr="00743BC3">
        <w:trPr>
          <w:trHeight w:val="284"/>
          <w:jc w:val="center"/>
        </w:trPr>
        <w:tc>
          <w:tcPr>
            <w:tcW w:w="5000" w:type="pct"/>
            <w:shd w:val="clear" w:color="auto" w:fill="9CC2E5"/>
          </w:tcPr>
          <w:p w:rsidR="00884E46" w:rsidRPr="00C86702" w:rsidRDefault="00884E46" w:rsidP="00D03B49">
            <w:pPr>
              <w:keepNext/>
              <w:jc w:val="both"/>
              <w:rPr>
                <w:rFonts w:ascii="Calibri" w:hAnsi="Calibri" w:cs="Arial"/>
                <w:b/>
                <w:color w:val="000080"/>
              </w:rPr>
            </w:pPr>
            <w:r>
              <w:rPr>
                <w:rFonts w:ascii="Calibri" w:hAnsi="Calibri"/>
                <w:b/>
                <w:color w:val="000080"/>
              </w:rPr>
              <w:t>3.2. Budget execution in 2017 and preliminary execution of 2018</w:t>
            </w:r>
          </w:p>
        </w:tc>
      </w:tr>
    </w:tbl>
    <w:p w:rsidR="00B24F19" w:rsidRPr="00B24F19" w:rsidRDefault="00B24F19" w:rsidP="00B24F19">
      <w:pPr>
        <w:jc w:val="both"/>
        <w:rPr>
          <w:rFonts w:asciiTheme="minorHAnsi" w:eastAsia="Calibri" w:hAnsiTheme="minorHAnsi" w:cs="Arial"/>
          <w:color w:val="FF0000"/>
          <w:shd w:val="clear" w:color="auto" w:fill="FFFFFF"/>
          <w:lang w:val="ro-RO"/>
        </w:rPr>
      </w:pPr>
    </w:p>
    <w:p w:rsidR="00B24F19" w:rsidRPr="00C923BA" w:rsidRDefault="00B24F19" w:rsidP="00B24F19">
      <w:pPr>
        <w:shd w:val="clear" w:color="auto" w:fill="DEEAF6" w:themeFill="accent1" w:themeFillTint="33"/>
        <w:spacing w:after="120"/>
        <w:jc w:val="both"/>
        <w:rPr>
          <w:rFonts w:ascii="Calibri" w:hAnsi="Calibri" w:cs="Arial"/>
          <w:b/>
          <w:color w:val="000080"/>
        </w:rPr>
      </w:pPr>
      <w:r>
        <w:rPr>
          <w:rFonts w:ascii="Calibri" w:hAnsi="Calibri"/>
          <w:b/>
          <w:color w:val="000080"/>
        </w:rPr>
        <w:t>Budget execution in 2017</w:t>
      </w:r>
    </w:p>
    <w:p w:rsidR="00912B6C" w:rsidRPr="00912B6C" w:rsidRDefault="00912B6C" w:rsidP="00912B6C">
      <w:pPr>
        <w:spacing w:line="276" w:lineRule="auto"/>
        <w:jc w:val="both"/>
        <w:rPr>
          <w:rFonts w:ascii="Calibri" w:eastAsia="Calibri" w:hAnsi="Calibri" w:cs="Arial"/>
        </w:rPr>
      </w:pPr>
      <w:r>
        <w:rPr>
          <w:rFonts w:ascii="Calibri" w:hAnsi="Calibri"/>
        </w:rPr>
        <w:t xml:space="preserve">According to definitive data, the execution of the general consolidated budget between January 1 and December 31, 2017 ended with a cash deficit of 24.29 billion Lei, respectively 2.84% of GDP, below the established target, respectively an annual deficit provided at 24.97 billion Lei.  </w:t>
      </w:r>
    </w:p>
    <w:p w:rsidR="00912B6C" w:rsidRPr="00912B6C" w:rsidRDefault="00912B6C" w:rsidP="00912B6C">
      <w:pPr>
        <w:spacing w:line="276" w:lineRule="auto"/>
        <w:ind w:firstLine="624"/>
        <w:jc w:val="both"/>
        <w:rPr>
          <w:rFonts w:ascii="Calibri" w:eastAsia="Calibri" w:hAnsi="Calibri" w:cs="Arial"/>
        </w:rPr>
      </w:pPr>
      <w:r>
        <w:rPr>
          <w:rFonts w:ascii="Calibri" w:hAnsi="Calibri"/>
        </w:rPr>
        <w:t xml:space="preserve">Compared to the previous year, the deficit of the general consolidated budget in 2017, on cash basis, increased as percentage of the GDP, by 0.45 percentage points, from 2.39% in 2016 to 2.84%.   </w:t>
      </w:r>
    </w:p>
    <w:p w:rsidR="00912B6C" w:rsidRPr="00912B6C" w:rsidRDefault="00912B6C" w:rsidP="00912B6C">
      <w:pPr>
        <w:spacing w:line="276" w:lineRule="auto"/>
        <w:jc w:val="both"/>
        <w:rPr>
          <w:rFonts w:ascii="Calibri" w:eastAsia="Calibri" w:hAnsi="Calibri" w:cs="Arial"/>
          <w:color w:val="FF0000"/>
          <w:lang w:val="ro-RO"/>
        </w:rPr>
      </w:pPr>
    </w:p>
    <w:tbl>
      <w:tblPr>
        <w:tblW w:w="9599" w:type="dxa"/>
        <w:tblInd w:w="108" w:type="dxa"/>
        <w:tblLook w:val="04A0" w:firstRow="1" w:lastRow="0" w:firstColumn="1" w:lastColumn="0" w:noHBand="0" w:noVBand="1"/>
      </w:tblPr>
      <w:tblGrid>
        <w:gridCol w:w="1409"/>
        <w:gridCol w:w="1744"/>
        <w:gridCol w:w="1925"/>
        <w:gridCol w:w="2261"/>
        <w:gridCol w:w="2260"/>
      </w:tblGrid>
      <w:tr w:rsidR="00912B6C" w:rsidRPr="008368B9" w:rsidTr="00F54451">
        <w:trPr>
          <w:trHeight w:val="376"/>
        </w:trPr>
        <w:tc>
          <w:tcPr>
            <w:tcW w:w="1409" w:type="dxa"/>
            <w:tcBorders>
              <w:top w:val="nil"/>
              <w:left w:val="nil"/>
              <w:bottom w:val="nil"/>
              <w:right w:val="nil"/>
            </w:tcBorders>
            <w:shd w:val="clear" w:color="auto" w:fill="auto"/>
            <w:noWrap/>
            <w:vAlign w:val="bottom"/>
            <w:hideMark/>
          </w:tcPr>
          <w:p w:rsidR="00912B6C" w:rsidRPr="00912B6C" w:rsidRDefault="00912B6C" w:rsidP="00912B6C">
            <w:pPr>
              <w:rPr>
                <w:sz w:val="20"/>
                <w:szCs w:val="20"/>
                <w:lang w:val="ro-RO" w:eastAsia="ro-RO"/>
              </w:rPr>
            </w:pPr>
          </w:p>
        </w:tc>
        <w:tc>
          <w:tcPr>
            <w:tcW w:w="1744" w:type="dxa"/>
            <w:tcBorders>
              <w:top w:val="nil"/>
              <w:left w:val="nil"/>
              <w:bottom w:val="nil"/>
              <w:right w:val="nil"/>
            </w:tcBorders>
            <w:shd w:val="clear" w:color="auto" w:fill="auto"/>
            <w:noWrap/>
            <w:vAlign w:val="bottom"/>
            <w:hideMark/>
          </w:tcPr>
          <w:p w:rsidR="00912B6C" w:rsidRPr="003964D3" w:rsidRDefault="00912B6C" w:rsidP="00912B6C">
            <w:pPr>
              <w:rPr>
                <w:sz w:val="20"/>
                <w:szCs w:val="20"/>
                <w:lang w:val="ro-RO"/>
              </w:rPr>
            </w:pPr>
          </w:p>
        </w:tc>
        <w:tc>
          <w:tcPr>
            <w:tcW w:w="1925" w:type="dxa"/>
            <w:tcBorders>
              <w:top w:val="nil"/>
              <w:left w:val="nil"/>
              <w:bottom w:val="nil"/>
              <w:right w:val="nil"/>
            </w:tcBorders>
            <w:shd w:val="clear" w:color="auto" w:fill="auto"/>
            <w:noWrap/>
            <w:vAlign w:val="bottom"/>
            <w:hideMark/>
          </w:tcPr>
          <w:p w:rsidR="00912B6C" w:rsidRPr="003964D3" w:rsidRDefault="00912B6C" w:rsidP="00912B6C">
            <w:pPr>
              <w:rPr>
                <w:sz w:val="20"/>
                <w:szCs w:val="20"/>
                <w:lang w:val="ro-RO"/>
              </w:rPr>
            </w:pPr>
          </w:p>
        </w:tc>
        <w:tc>
          <w:tcPr>
            <w:tcW w:w="2261" w:type="dxa"/>
            <w:tcBorders>
              <w:top w:val="nil"/>
              <w:left w:val="nil"/>
              <w:bottom w:val="nil"/>
              <w:right w:val="nil"/>
            </w:tcBorders>
            <w:shd w:val="clear" w:color="auto" w:fill="auto"/>
            <w:noWrap/>
            <w:vAlign w:val="bottom"/>
            <w:hideMark/>
          </w:tcPr>
          <w:p w:rsidR="00912B6C" w:rsidRPr="003964D3" w:rsidRDefault="00912B6C" w:rsidP="00912B6C">
            <w:pPr>
              <w:rPr>
                <w:sz w:val="20"/>
                <w:szCs w:val="20"/>
                <w:lang w:val="ro-RO"/>
              </w:rPr>
            </w:pPr>
          </w:p>
        </w:tc>
        <w:tc>
          <w:tcPr>
            <w:tcW w:w="2260" w:type="dxa"/>
            <w:tcBorders>
              <w:top w:val="nil"/>
              <w:left w:val="nil"/>
              <w:bottom w:val="nil"/>
              <w:right w:val="nil"/>
            </w:tcBorders>
            <w:shd w:val="clear" w:color="auto" w:fill="auto"/>
            <w:noWrap/>
            <w:vAlign w:val="bottom"/>
            <w:hideMark/>
          </w:tcPr>
          <w:p w:rsidR="00912B6C" w:rsidRPr="003964D3" w:rsidRDefault="00912B6C" w:rsidP="00912B6C">
            <w:pPr>
              <w:rPr>
                <w:sz w:val="20"/>
                <w:szCs w:val="20"/>
                <w:lang w:val="ro-RO"/>
              </w:rPr>
            </w:pPr>
          </w:p>
        </w:tc>
      </w:tr>
      <w:tr w:rsidR="00912B6C" w:rsidRPr="00912B6C" w:rsidTr="00F54451">
        <w:trPr>
          <w:trHeight w:val="376"/>
        </w:trPr>
        <w:tc>
          <w:tcPr>
            <w:tcW w:w="1409" w:type="dxa"/>
            <w:tcBorders>
              <w:top w:val="nil"/>
              <w:left w:val="nil"/>
              <w:bottom w:val="nil"/>
              <w:right w:val="nil"/>
            </w:tcBorders>
            <w:shd w:val="clear" w:color="000000" w:fill="FFFFFF"/>
            <w:noWrap/>
            <w:vAlign w:val="bottom"/>
            <w:hideMark/>
          </w:tcPr>
          <w:p w:rsidR="00912B6C" w:rsidRPr="003964D3" w:rsidRDefault="00912B6C" w:rsidP="00912B6C">
            <w:pPr>
              <w:rPr>
                <w:rFonts w:ascii="Arial" w:hAnsi="Arial" w:cs="Arial"/>
                <w:sz w:val="28"/>
                <w:szCs w:val="28"/>
              </w:rPr>
            </w:pPr>
            <w:r>
              <w:rPr>
                <w:rFonts w:ascii="Arial" w:hAnsi="Arial"/>
                <w:sz w:val="28"/>
                <w:szCs w:val="28"/>
              </w:rPr>
              <w:t> </w:t>
            </w:r>
          </w:p>
        </w:tc>
        <w:tc>
          <w:tcPr>
            <w:tcW w:w="1744" w:type="dxa"/>
            <w:tcBorders>
              <w:top w:val="nil"/>
              <w:left w:val="nil"/>
              <w:bottom w:val="nil"/>
              <w:right w:val="nil"/>
            </w:tcBorders>
            <w:shd w:val="clear" w:color="000000" w:fill="FFFFFF"/>
            <w:noWrap/>
            <w:vAlign w:val="bottom"/>
            <w:hideMark/>
          </w:tcPr>
          <w:p w:rsidR="00912B6C" w:rsidRPr="003964D3" w:rsidRDefault="00912B6C" w:rsidP="00912B6C">
            <w:pPr>
              <w:rPr>
                <w:rFonts w:ascii="Arial" w:hAnsi="Arial" w:cs="Arial"/>
                <w:sz w:val="28"/>
                <w:szCs w:val="28"/>
              </w:rPr>
            </w:pPr>
            <w:r>
              <w:rPr>
                <w:rFonts w:ascii="Arial" w:hAnsi="Arial"/>
                <w:sz w:val="28"/>
                <w:szCs w:val="28"/>
              </w:rPr>
              <w:t> </w:t>
            </w:r>
          </w:p>
        </w:tc>
        <w:tc>
          <w:tcPr>
            <w:tcW w:w="4186" w:type="dxa"/>
            <w:gridSpan w:val="2"/>
            <w:tcBorders>
              <w:top w:val="nil"/>
              <w:left w:val="nil"/>
              <w:bottom w:val="nil"/>
              <w:right w:val="nil"/>
            </w:tcBorders>
            <w:shd w:val="clear" w:color="000000" w:fill="FFFFFF"/>
            <w:noWrap/>
            <w:vAlign w:val="bottom"/>
            <w:hideMark/>
          </w:tcPr>
          <w:p w:rsidR="00912B6C" w:rsidRPr="00912B6C" w:rsidRDefault="00912B6C" w:rsidP="00912B6C">
            <w:pPr>
              <w:rPr>
                <w:rFonts w:asciiTheme="minorHAnsi" w:hAnsiTheme="minorHAnsi" w:cs="Arial"/>
              </w:rPr>
            </w:pPr>
            <w:r>
              <w:rPr>
                <w:rFonts w:asciiTheme="minorHAnsi" w:hAnsiTheme="minorHAnsi"/>
              </w:rPr>
              <w:t>Cash deficit</w:t>
            </w:r>
          </w:p>
        </w:tc>
        <w:tc>
          <w:tcPr>
            <w:tcW w:w="2260" w:type="dxa"/>
            <w:tcBorders>
              <w:top w:val="nil"/>
              <w:left w:val="nil"/>
              <w:bottom w:val="nil"/>
              <w:right w:val="nil"/>
            </w:tcBorders>
            <w:shd w:val="clear" w:color="000000" w:fill="FFFFFF"/>
            <w:noWrap/>
            <w:vAlign w:val="bottom"/>
            <w:hideMark/>
          </w:tcPr>
          <w:p w:rsidR="00912B6C" w:rsidRPr="00912B6C" w:rsidRDefault="00912B6C" w:rsidP="00912B6C">
            <w:pPr>
              <w:rPr>
                <w:rFonts w:ascii="Arial" w:hAnsi="Arial" w:cs="Arial"/>
                <w:sz w:val="28"/>
                <w:szCs w:val="28"/>
              </w:rPr>
            </w:pPr>
            <w:r>
              <w:rPr>
                <w:rFonts w:ascii="Arial" w:hAnsi="Arial"/>
                <w:sz w:val="28"/>
                <w:szCs w:val="28"/>
              </w:rPr>
              <w:t> </w:t>
            </w:r>
          </w:p>
        </w:tc>
      </w:tr>
      <w:tr w:rsidR="00912B6C" w:rsidRPr="00912B6C" w:rsidTr="00F54451">
        <w:trPr>
          <w:trHeight w:val="376"/>
        </w:trPr>
        <w:tc>
          <w:tcPr>
            <w:tcW w:w="3153" w:type="dxa"/>
            <w:gridSpan w:val="2"/>
            <w:vMerge w:val="restart"/>
            <w:tcBorders>
              <w:top w:val="nil"/>
              <w:left w:val="nil"/>
              <w:bottom w:val="double" w:sz="6" w:space="0" w:color="000000"/>
              <w:right w:val="nil"/>
            </w:tcBorders>
            <w:shd w:val="clear" w:color="000000" w:fill="DDEBF7"/>
            <w:noWrap/>
            <w:vAlign w:val="bottom"/>
            <w:hideMark/>
          </w:tcPr>
          <w:p w:rsidR="00912B6C" w:rsidRPr="00912B6C" w:rsidRDefault="00912B6C" w:rsidP="00912B6C">
            <w:pPr>
              <w:jc w:val="center"/>
              <w:rPr>
                <w:rFonts w:ascii="Arial" w:hAnsi="Arial" w:cs="Arial"/>
                <w:sz w:val="20"/>
                <w:szCs w:val="20"/>
              </w:rPr>
            </w:pPr>
            <w:r>
              <w:rPr>
                <w:rFonts w:ascii="Arial" w:hAnsi="Arial"/>
                <w:sz w:val="20"/>
                <w:szCs w:val="20"/>
              </w:rPr>
              <w:t> </w:t>
            </w:r>
          </w:p>
        </w:tc>
        <w:tc>
          <w:tcPr>
            <w:tcW w:w="1925" w:type="dxa"/>
            <w:vMerge w:val="restart"/>
            <w:tcBorders>
              <w:top w:val="nil"/>
              <w:left w:val="nil"/>
              <w:bottom w:val="double" w:sz="6" w:space="0" w:color="000000"/>
              <w:right w:val="nil"/>
            </w:tcBorders>
            <w:shd w:val="clear" w:color="000000" w:fill="DDEBF7"/>
            <w:noWrap/>
            <w:vAlign w:val="center"/>
            <w:hideMark/>
          </w:tcPr>
          <w:p w:rsidR="00912B6C" w:rsidRPr="00912B6C" w:rsidRDefault="00912B6C" w:rsidP="00912B6C">
            <w:pPr>
              <w:jc w:val="center"/>
              <w:rPr>
                <w:rFonts w:ascii="Arial" w:hAnsi="Arial" w:cs="Arial"/>
                <w:b/>
                <w:bCs/>
                <w:sz w:val="20"/>
                <w:szCs w:val="20"/>
              </w:rPr>
            </w:pPr>
            <w:r>
              <w:rPr>
                <w:rFonts w:ascii="Arial" w:hAnsi="Arial"/>
                <w:b/>
                <w:bCs/>
                <w:sz w:val="20"/>
                <w:szCs w:val="20"/>
              </w:rPr>
              <w:t>2016</w:t>
            </w:r>
          </w:p>
        </w:tc>
        <w:tc>
          <w:tcPr>
            <w:tcW w:w="2261" w:type="dxa"/>
            <w:vMerge w:val="restart"/>
            <w:tcBorders>
              <w:top w:val="nil"/>
              <w:left w:val="nil"/>
              <w:bottom w:val="double" w:sz="6" w:space="0" w:color="000000"/>
              <w:right w:val="nil"/>
            </w:tcBorders>
            <w:shd w:val="clear" w:color="000000" w:fill="DDEBF7"/>
            <w:noWrap/>
            <w:vAlign w:val="center"/>
            <w:hideMark/>
          </w:tcPr>
          <w:p w:rsidR="00912B6C" w:rsidRPr="00912B6C" w:rsidRDefault="00912B6C" w:rsidP="00912B6C">
            <w:pPr>
              <w:jc w:val="center"/>
              <w:rPr>
                <w:rFonts w:ascii="Arial" w:hAnsi="Arial" w:cs="Arial"/>
                <w:b/>
                <w:bCs/>
                <w:sz w:val="20"/>
                <w:szCs w:val="20"/>
              </w:rPr>
            </w:pPr>
            <w:r>
              <w:rPr>
                <w:rFonts w:ascii="Arial" w:hAnsi="Arial"/>
                <w:b/>
                <w:bCs/>
                <w:sz w:val="20"/>
                <w:szCs w:val="20"/>
              </w:rPr>
              <w:t>2017</w:t>
            </w:r>
          </w:p>
        </w:tc>
        <w:tc>
          <w:tcPr>
            <w:tcW w:w="2260" w:type="dxa"/>
            <w:vMerge w:val="restart"/>
            <w:tcBorders>
              <w:top w:val="nil"/>
              <w:left w:val="nil"/>
              <w:bottom w:val="double" w:sz="6" w:space="0" w:color="000000"/>
              <w:right w:val="nil"/>
            </w:tcBorders>
            <w:shd w:val="clear" w:color="000000" w:fill="DDEBF7"/>
            <w:vAlign w:val="center"/>
            <w:hideMark/>
          </w:tcPr>
          <w:p w:rsidR="00912B6C" w:rsidRPr="00912B6C" w:rsidRDefault="00912B6C" w:rsidP="00912B6C">
            <w:pPr>
              <w:jc w:val="center"/>
              <w:rPr>
                <w:rFonts w:ascii="Arial" w:hAnsi="Arial" w:cs="Arial"/>
                <w:b/>
                <w:bCs/>
                <w:sz w:val="20"/>
                <w:szCs w:val="20"/>
              </w:rPr>
            </w:pPr>
            <w:r>
              <w:rPr>
                <w:rFonts w:ascii="Arial" w:hAnsi="Arial"/>
                <w:b/>
                <w:bCs/>
                <w:sz w:val="20"/>
                <w:szCs w:val="20"/>
              </w:rPr>
              <w:t>Differences in 2017 compared to 2016</w:t>
            </w:r>
          </w:p>
        </w:tc>
      </w:tr>
      <w:tr w:rsidR="00912B6C" w:rsidRPr="00912B6C" w:rsidTr="00F54451">
        <w:trPr>
          <w:trHeight w:val="240"/>
        </w:trPr>
        <w:tc>
          <w:tcPr>
            <w:tcW w:w="3153" w:type="dxa"/>
            <w:gridSpan w:val="2"/>
            <w:vMerge/>
            <w:tcBorders>
              <w:top w:val="nil"/>
              <w:left w:val="nil"/>
              <w:bottom w:val="double" w:sz="6" w:space="0" w:color="000000"/>
              <w:right w:val="nil"/>
            </w:tcBorders>
            <w:vAlign w:val="center"/>
            <w:hideMark/>
          </w:tcPr>
          <w:p w:rsidR="00912B6C" w:rsidRPr="00912B6C" w:rsidRDefault="00912B6C" w:rsidP="00912B6C">
            <w:pPr>
              <w:rPr>
                <w:rFonts w:ascii="Arial" w:hAnsi="Arial" w:cs="Arial"/>
                <w:sz w:val="20"/>
                <w:szCs w:val="20"/>
              </w:rPr>
            </w:pPr>
          </w:p>
        </w:tc>
        <w:tc>
          <w:tcPr>
            <w:tcW w:w="1925" w:type="dxa"/>
            <w:vMerge/>
            <w:tcBorders>
              <w:top w:val="nil"/>
              <w:left w:val="nil"/>
              <w:bottom w:val="double" w:sz="6" w:space="0" w:color="000000"/>
              <w:right w:val="nil"/>
            </w:tcBorders>
            <w:vAlign w:val="center"/>
            <w:hideMark/>
          </w:tcPr>
          <w:p w:rsidR="00912B6C" w:rsidRPr="00912B6C" w:rsidRDefault="00912B6C" w:rsidP="00912B6C">
            <w:pPr>
              <w:rPr>
                <w:rFonts w:ascii="Arial" w:hAnsi="Arial" w:cs="Arial"/>
                <w:b/>
                <w:bCs/>
                <w:sz w:val="20"/>
                <w:szCs w:val="20"/>
              </w:rPr>
            </w:pPr>
          </w:p>
        </w:tc>
        <w:tc>
          <w:tcPr>
            <w:tcW w:w="2261" w:type="dxa"/>
            <w:vMerge/>
            <w:tcBorders>
              <w:top w:val="nil"/>
              <w:left w:val="nil"/>
              <w:bottom w:val="double" w:sz="6" w:space="0" w:color="000000"/>
              <w:right w:val="nil"/>
            </w:tcBorders>
            <w:vAlign w:val="center"/>
            <w:hideMark/>
          </w:tcPr>
          <w:p w:rsidR="00912B6C" w:rsidRPr="00912B6C" w:rsidRDefault="00912B6C" w:rsidP="00912B6C">
            <w:pPr>
              <w:rPr>
                <w:rFonts w:ascii="Arial" w:hAnsi="Arial" w:cs="Arial"/>
                <w:b/>
                <w:bCs/>
                <w:sz w:val="20"/>
                <w:szCs w:val="20"/>
              </w:rPr>
            </w:pPr>
          </w:p>
        </w:tc>
        <w:tc>
          <w:tcPr>
            <w:tcW w:w="2260" w:type="dxa"/>
            <w:vMerge/>
            <w:tcBorders>
              <w:top w:val="nil"/>
              <w:left w:val="nil"/>
              <w:bottom w:val="double" w:sz="6" w:space="0" w:color="000000"/>
              <w:right w:val="nil"/>
            </w:tcBorders>
            <w:vAlign w:val="center"/>
            <w:hideMark/>
          </w:tcPr>
          <w:p w:rsidR="00912B6C" w:rsidRPr="00912B6C" w:rsidRDefault="00912B6C" w:rsidP="00912B6C">
            <w:pPr>
              <w:rPr>
                <w:rFonts w:ascii="Arial" w:hAnsi="Arial" w:cs="Arial"/>
                <w:b/>
                <w:bCs/>
                <w:sz w:val="20"/>
                <w:szCs w:val="20"/>
              </w:rPr>
            </w:pPr>
          </w:p>
        </w:tc>
      </w:tr>
      <w:tr w:rsidR="00912B6C" w:rsidRPr="00912B6C" w:rsidTr="00F54451">
        <w:trPr>
          <w:trHeight w:val="392"/>
        </w:trPr>
        <w:tc>
          <w:tcPr>
            <w:tcW w:w="1409" w:type="dxa"/>
            <w:vMerge w:val="restart"/>
            <w:tcBorders>
              <w:top w:val="nil"/>
              <w:left w:val="nil"/>
              <w:bottom w:val="nil"/>
              <w:right w:val="nil"/>
            </w:tcBorders>
            <w:shd w:val="clear" w:color="000000" w:fill="FFFFFF"/>
            <w:noWrap/>
            <w:vAlign w:val="center"/>
            <w:hideMark/>
          </w:tcPr>
          <w:p w:rsidR="00912B6C" w:rsidRPr="00912B6C" w:rsidRDefault="00912B6C" w:rsidP="00912B6C">
            <w:pPr>
              <w:jc w:val="center"/>
              <w:rPr>
                <w:rFonts w:ascii="Arial" w:hAnsi="Arial" w:cs="Arial"/>
                <w:b/>
                <w:bCs/>
                <w:sz w:val="20"/>
                <w:szCs w:val="20"/>
              </w:rPr>
            </w:pPr>
            <w:r>
              <w:rPr>
                <w:rFonts w:ascii="Arial" w:hAnsi="Arial"/>
                <w:b/>
                <w:bCs/>
                <w:sz w:val="20"/>
                <w:szCs w:val="20"/>
              </w:rPr>
              <w:t xml:space="preserve">Deficit </w:t>
            </w:r>
          </w:p>
        </w:tc>
        <w:tc>
          <w:tcPr>
            <w:tcW w:w="1744" w:type="dxa"/>
            <w:tcBorders>
              <w:top w:val="nil"/>
              <w:left w:val="nil"/>
              <w:bottom w:val="single" w:sz="4" w:space="0" w:color="auto"/>
              <w:right w:val="nil"/>
            </w:tcBorders>
            <w:shd w:val="clear" w:color="000000" w:fill="FFFFFF"/>
            <w:vAlign w:val="center"/>
            <w:hideMark/>
          </w:tcPr>
          <w:p w:rsidR="00912B6C" w:rsidRPr="00912B6C" w:rsidRDefault="00912B6C" w:rsidP="00912B6C">
            <w:pPr>
              <w:rPr>
                <w:rFonts w:ascii="Arial" w:hAnsi="Arial" w:cs="Arial"/>
                <w:b/>
                <w:bCs/>
                <w:sz w:val="20"/>
                <w:szCs w:val="20"/>
              </w:rPr>
            </w:pPr>
            <w:r>
              <w:rPr>
                <w:rFonts w:ascii="Arial" w:hAnsi="Arial"/>
                <w:b/>
                <w:bCs/>
                <w:sz w:val="20"/>
                <w:szCs w:val="20"/>
              </w:rPr>
              <w:t xml:space="preserve">Million Lei </w:t>
            </w:r>
          </w:p>
        </w:tc>
        <w:tc>
          <w:tcPr>
            <w:tcW w:w="1925" w:type="dxa"/>
            <w:tcBorders>
              <w:top w:val="nil"/>
              <w:left w:val="nil"/>
              <w:bottom w:val="single" w:sz="4" w:space="0" w:color="auto"/>
              <w:right w:val="nil"/>
            </w:tcBorders>
            <w:shd w:val="clear" w:color="000000" w:fill="FFFFFF"/>
            <w:noWrap/>
            <w:vAlign w:val="center"/>
            <w:hideMark/>
          </w:tcPr>
          <w:p w:rsidR="00912B6C" w:rsidRPr="00912B6C" w:rsidRDefault="00912B6C" w:rsidP="00912B6C">
            <w:pPr>
              <w:jc w:val="center"/>
              <w:rPr>
                <w:rFonts w:ascii="Arial" w:hAnsi="Arial" w:cs="Arial"/>
                <w:sz w:val="20"/>
                <w:szCs w:val="20"/>
              </w:rPr>
            </w:pPr>
            <w:r>
              <w:rPr>
                <w:rFonts w:ascii="Arial" w:hAnsi="Arial"/>
                <w:sz w:val="20"/>
                <w:szCs w:val="20"/>
              </w:rPr>
              <w:t>-18,304.3</w:t>
            </w:r>
          </w:p>
        </w:tc>
        <w:tc>
          <w:tcPr>
            <w:tcW w:w="2261" w:type="dxa"/>
            <w:tcBorders>
              <w:top w:val="nil"/>
              <w:left w:val="nil"/>
              <w:bottom w:val="single" w:sz="4" w:space="0" w:color="auto"/>
              <w:right w:val="nil"/>
            </w:tcBorders>
            <w:shd w:val="clear" w:color="000000" w:fill="FFFFFF"/>
            <w:noWrap/>
            <w:vAlign w:val="center"/>
            <w:hideMark/>
          </w:tcPr>
          <w:p w:rsidR="00912B6C" w:rsidRPr="00912B6C" w:rsidRDefault="00912B6C" w:rsidP="00912B6C">
            <w:pPr>
              <w:jc w:val="center"/>
              <w:rPr>
                <w:rFonts w:ascii="Arial" w:hAnsi="Arial" w:cs="Arial"/>
                <w:sz w:val="20"/>
                <w:szCs w:val="20"/>
              </w:rPr>
            </w:pPr>
            <w:r>
              <w:rPr>
                <w:rFonts w:ascii="Arial" w:hAnsi="Arial"/>
                <w:sz w:val="20"/>
                <w:szCs w:val="20"/>
              </w:rPr>
              <w:t>-24,294.7</w:t>
            </w:r>
          </w:p>
        </w:tc>
        <w:tc>
          <w:tcPr>
            <w:tcW w:w="2260" w:type="dxa"/>
            <w:tcBorders>
              <w:top w:val="nil"/>
              <w:left w:val="nil"/>
              <w:bottom w:val="single" w:sz="4" w:space="0" w:color="auto"/>
              <w:right w:val="nil"/>
            </w:tcBorders>
            <w:shd w:val="clear" w:color="000000" w:fill="FFFFFF"/>
            <w:noWrap/>
            <w:vAlign w:val="center"/>
            <w:hideMark/>
          </w:tcPr>
          <w:p w:rsidR="00912B6C" w:rsidRPr="00912B6C" w:rsidRDefault="00912B6C" w:rsidP="00912B6C">
            <w:pPr>
              <w:jc w:val="center"/>
              <w:rPr>
                <w:rFonts w:ascii="Arial" w:hAnsi="Arial" w:cs="Arial"/>
                <w:sz w:val="20"/>
                <w:szCs w:val="20"/>
              </w:rPr>
            </w:pPr>
            <w:r>
              <w:rPr>
                <w:rFonts w:ascii="Arial" w:hAnsi="Arial"/>
                <w:sz w:val="20"/>
                <w:szCs w:val="20"/>
              </w:rPr>
              <w:t>-5,990.4</w:t>
            </w:r>
          </w:p>
        </w:tc>
      </w:tr>
      <w:tr w:rsidR="00912B6C" w:rsidRPr="00912B6C" w:rsidTr="00F54451">
        <w:trPr>
          <w:trHeight w:val="533"/>
        </w:trPr>
        <w:tc>
          <w:tcPr>
            <w:tcW w:w="1409" w:type="dxa"/>
            <w:vMerge/>
            <w:tcBorders>
              <w:top w:val="nil"/>
              <w:left w:val="nil"/>
              <w:bottom w:val="nil"/>
              <w:right w:val="nil"/>
            </w:tcBorders>
            <w:vAlign w:val="center"/>
            <w:hideMark/>
          </w:tcPr>
          <w:p w:rsidR="00912B6C" w:rsidRPr="00912B6C" w:rsidRDefault="00912B6C" w:rsidP="00912B6C">
            <w:pPr>
              <w:rPr>
                <w:rFonts w:ascii="Arial" w:hAnsi="Arial" w:cs="Arial"/>
                <w:b/>
                <w:bCs/>
                <w:sz w:val="20"/>
                <w:szCs w:val="20"/>
              </w:rPr>
            </w:pPr>
          </w:p>
        </w:tc>
        <w:tc>
          <w:tcPr>
            <w:tcW w:w="1744" w:type="dxa"/>
            <w:tcBorders>
              <w:top w:val="nil"/>
              <w:left w:val="nil"/>
              <w:bottom w:val="nil"/>
              <w:right w:val="nil"/>
            </w:tcBorders>
            <w:shd w:val="clear" w:color="000000" w:fill="FFFFFF"/>
            <w:vAlign w:val="center"/>
            <w:hideMark/>
          </w:tcPr>
          <w:p w:rsidR="00912B6C" w:rsidRPr="00912B6C" w:rsidRDefault="00912B6C" w:rsidP="00912B6C">
            <w:pPr>
              <w:rPr>
                <w:rFonts w:ascii="Arial" w:hAnsi="Arial" w:cs="Arial"/>
                <w:b/>
                <w:bCs/>
                <w:sz w:val="20"/>
                <w:szCs w:val="20"/>
              </w:rPr>
            </w:pPr>
            <w:r>
              <w:rPr>
                <w:rFonts w:ascii="Arial" w:hAnsi="Arial"/>
                <w:b/>
                <w:bCs/>
                <w:sz w:val="20"/>
                <w:szCs w:val="20"/>
              </w:rPr>
              <w:t>% of G.D.P.</w:t>
            </w:r>
          </w:p>
        </w:tc>
        <w:tc>
          <w:tcPr>
            <w:tcW w:w="1925" w:type="dxa"/>
            <w:tcBorders>
              <w:top w:val="nil"/>
              <w:left w:val="nil"/>
              <w:bottom w:val="nil"/>
              <w:right w:val="nil"/>
            </w:tcBorders>
            <w:shd w:val="clear" w:color="000000" w:fill="FFFFFF"/>
            <w:noWrap/>
            <w:vAlign w:val="center"/>
            <w:hideMark/>
          </w:tcPr>
          <w:p w:rsidR="00912B6C" w:rsidRPr="00912B6C" w:rsidRDefault="00912B6C" w:rsidP="00912B6C">
            <w:pPr>
              <w:jc w:val="center"/>
              <w:rPr>
                <w:rFonts w:ascii="Arial" w:hAnsi="Arial" w:cs="Arial"/>
                <w:sz w:val="20"/>
                <w:szCs w:val="20"/>
              </w:rPr>
            </w:pPr>
            <w:r>
              <w:rPr>
                <w:rFonts w:ascii="Arial" w:hAnsi="Arial"/>
                <w:sz w:val="20"/>
                <w:szCs w:val="20"/>
              </w:rPr>
              <w:t>-2.39</w:t>
            </w:r>
          </w:p>
        </w:tc>
        <w:tc>
          <w:tcPr>
            <w:tcW w:w="2261" w:type="dxa"/>
            <w:tcBorders>
              <w:top w:val="nil"/>
              <w:left w:val="nil"/>
              <w:bottom w:val="nil"/>
              <w:right w:val="nil"/>
            </w:tcBorders>
            <w:shd w:val="clear" w:color="000000" w:fill="FFFFFF"/>
            <w:noWrap/>
            <w:vAlign w:val="center"/>
            <w:hideMark/>
          </w:tcPr>
          <w:p w:rsidR="00912B6C" w:rsidRPr="00912B6C" w:rsidRDefault="00912B6C" w:rsidP="00912B6C">
            <w:pPr>
              <w:jc w:val="center"/>
              <w:rPr>
                <w:rFonts w:ascii="Arial" w:hAnsi="Arial" w:cs="Arial"/>
                <w:sz w:val="20"/>
                <w:szCs w:val="20"/>
              </w:rPr>
            </w:pPr>
            <w:r>
              <w:rPr>
                <w:rFonts w:ascii="Arial" w:hAnsi="Arial"/>
                <w:sz w:val="20"/>
                <w:szCs w:val="20"/>
              </w:rPr>
              <w:t>-2.84</w:t>
            </w:r>
          </w:p>
        </w:tc>
        <w:tc>
          <w:tcPr>
            <w:tcW w:w="2260" w:type="dxa"/>
            <w:tcBorders>
              <w:top w:val="nil"/>
              <w:left w:val="nil"/>
              <w:bottom w:val="nil"/>
              <w:right w:val="nil"/>
            </w:tcBorders>
            <w:shd w:val="clear" w:color="000000" w:fill="FFFFFF"/>
            <w:noWrap/>
            <w:vAlign w:val="center"/>
            <w:hideMark/>
          </w:tcPr>
          <w:p w:rsidR="00912B6C" w:rsidRPr="00912B6C" w:rsidRDefault="00912B6C" w:rsidP="00912B6C">
            <w:pPr>
              <w:jc w:val="center"/>
              <w:rPr>
                <w:rFonts w:ascii="Arial" w:hAnsi="Arial" w:cs="Arial"/>
                <w:sz w:val="20"/>
                <w:szCs w:val="20"/>
              </w:rPr>
            </w:pPr>
            <w:r>
              <w:rPr>
                <w:rFonts w:ascii="Arial" w:hAnsi="Arial"/>
                <w:sz w:val="20"/>
                <w:szCs w:val="20"/>
              </w:rPr>
              <w:t>-0.45</w:t>
            </w:r>
          </w:p>
        </w:tc>
      </w:tr>
    </w:tbl>
    <w:p w:rsidR="00912B6C" w:rsidRPr="00912B6C" w:rsidRDefault="00912B6C" w:rsidP="00912B6C">
      <w:pPr>
        <w:spacing w:line="276" w:lineRule="auto"/>
        <w:jc w:val="center"/>
        <w:rPr>
          <w:rFonts w:ascii="Calibri" w:eastAsia="Calibri" w:hAnsi="Calibri" w:cs="Arial"/>
          <w:color w:val="FF0000"/>
        </w:rPr>
      </w:pPr>
    </w:p>
    <w:p w:rsidR="00912B6C" w:rsidRPr="00912B6C" w:rsidRDefault="00912B6C" w:rsidP="00912B6C">
      <w:pPr>
        <w:spacing w:line="276" w:lineRule="auto"/>
        <w:ind w:left="870"/>
        <w:jc w:val="both"/>
        <w:rPr>
          <w:rFonts w:ascii="Calibri" w:eastAsia="Calibri" w:hAnsi="Calibri" w:cs="Arial"/>
          <w:b/>
          <w:bCs/>
        </w:rPr>
      </w:pPr>
    </w:p>
    <w:p w:rsidR="00912B6C" w:rsidRPr="00912B6C" w:rsidRDefault="00912B6C" w:rsidP="00912B6C">
      <w:pPr>
        <w:numPr>
          <w:ilvl w:val="1"/>
          <w:numId w:val="38"/>
        </w:numPr>
        <w:tabs>
          <w:tab w:val="num" w:pos="0"/>
        </w:tabs>
        <w:spacing w:after="160" w:line="276" w:lineRule="auto"/>
        <w:jc w:val="both"/>
        <w:rPr>
          <w:rFonts w:ascii="Calibri" w:eastAsia="Calibri" w:hAnsi="Calibri" w:cs="Arial"/>
          <w:b/>
          <w:bCs/>
        </w:rPr>
      </w:pPr>
      <w:r>
        <w:rPr>
          <w:rFonts w:ascii="Calibri" w:hAnsi="Calibri"/>
          <w:b/>
          <w:bCs/>
        </w:rPr>
        <w:t xml:space="preserve">Revenues of the general consolidated budget </w:t>
      </w:r>
    </w:p>
    <w:p w:rsidR="00912B6C" w:rsidRPr="00912B6C" w:rsidRDefault="00912B6C" w:rsidP="00912B6C">
      <w:pPr>
        <w:spacing w:line="276" w:lineRule="auto"/>
        <w:ind w:firstLine="708"/>
        <w:jc w:val="both"/>
        <w:rPr>
          <w:rFonts w:ascii="Calibri" w:eastAsia="Calibri" w:hAnsi="Calibri" w:cs="Arial"/>
        </w:rPr>
      </w:pPr>
      <w:r>
        <w:rPr>
          <w:rFonts w:ascii="Calibri" w:hAnsi="Calibri"/>
        </w:rPr>
        <w:t>The revenues of the general consolidated budget in 2017 totaled 251.9 billion Lei, representing 29.4% of the GDP and a degree of realization compared to annual estimates of 98.0%.</w:t>
      </w:r>
    </w:p>
    <w:p w:rsidR="00912B6C" w:rsidRPr="00912B6C" w:rsidRDefault="00912B6C" w:rsidP="00912B6C">
      <w:pPr>
        <w:spacing w:line="276" w:lineRule="auto"/>
        <w:ind w:firstLine="708"/>
        <w:jc w:val="both"/>
        <w:rPr>
          <w:rFonts w:ascii="Calibri" w:eastAsia="Calibri" w:hAnsi="Calibri" w:cs="Arial"/>
          <w:lang w:val="fr-FR"/>
        </w:rPr>
      </w:pPr>
    </w:p>
    <w:p w:rsidR="00912B6C" w:rsidRPr="00912B6C" w:rsidRDefault="00DF768F" w:rsidP="00912B6C">
      <w:pPr>
        <w:spacing w:line="276" w:lineRule="auto"/>
        <w:jc w:val="both"/>
        <w:rPr>
          <w:rFonts w:ascii="Calibri" w:eastAsia="Calibri" w:hAnsi="Calibri" w:cs="Arial"/>
        </w:rPr>
      </w:pPr>
      <w:r>
        <w:rPr>
          <w:rFonts w:ascii="Calibri" w:hAnsi="Calibri"/>
          <w:noProof/>
          <w:lang w:val="ro-RO" w:eastAsia="ro-RO"/>
        </w:rPr>
        <mc:AlternateContent>
          <mc:Choice Requires="wps">
            <w:drawing>
              <wp:anchor distT="0" distB="0" distL="114300" distR="114300" simplePos="0" relativeHeight="251688448" behindDoc="0" locked="0" layoutInCell="1" allowOverlap="1">
                <wp:simplePos x="0" y="0"/>
                <wp:positionH relativeFrom="column">
                  <wp:posOffset>437515</wp:posOffset>
                </wp:positionH>
                <wp:positionV relativeFrom="paragraph">
                  <wp:posOffset>1859915</wp:posOffset>
                </wp:positionV>
                <wp:extent cx="1544320" cy="213995"/>
                <wp:effectExtent l="8890" t="12065" r="8890" b="12065"/>
                <wp:wrapNone/>
                <wp:docPr id="713"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4320" cy="213995"/>
                        </a:xfrm>
                        <a:prstGeom prst="rect">
                          <a:avLst/>
                        </a:prstGeom>
                        <a:solidFill>
                          <a:srgbClr val="FFFFFF"/>
                        </a:solidFill>
                        <a:ln w="9525">
                          <a:solidFill>
                            <a:srgbClr val="000000"/>
                          </a:solidFill>
                          <a:miter lim="800000"/>
                          <a:headEnd/>
                          <a:tailEnd/>
                        </a:ln>
                      </wps:spPr>
                      <wps:txbx>
                        <w:txbxContent>
                          <w:p w:rsidR="005063CB" w:rsidRPr="00714870" w:rsidRDefault="005063CB" w:rsidP="00714870">
                            <w:pPr>
                              <w:rPr>
                                <w:sz w:val="20"/>
                              </w:rPr>
                            </w:pPr>
                            <w:r>
                              <w:rPr>
                                <w:sz w:val="20"/>
                              </w:rPr>
                              <w:t>Corporate income tax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6" o:spid="_x0000_s1040" style="position:absolute;left:0;text-align:left;margin-left:34.45pt;margin-top:146.45pt;width:121.6pt;height:16.8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">
                <v:textbox>
                  <w:txbxContent>
                    <w:p w:rsidR="005063CB" w:rsidRPr="00714870" w:rsidRDefault="005063CB" w:rsidP="00714870">
                      <w:pPr>
                        <w:rPr>
                          <w:sz w:val="20"/>
                        </w:rPr>
                      </w:pPr>
                      <w:r>
                        <w:rPr>
                          <w:sz w:val="20"/>
                        </w:rPr>
                        <w:t>Corporate income tax</w:t>
                      </w:r>
                    </w:p>
                  </w:txbxContent>
                </v:textbox>
              </v:rect>
            </w:pict>
          </mc:Fallback>
        </mc:AlternateContent>
      </w:r>
      <w:r>
        <w:rPr>
          <w:rFonts w:ascii="Calibri" w:hAnsi="Calibri"/>
          <w:noProof/>
          <w:lang w:val="ro-RO" w:eastAsia="ro-RO"/>
        </w:rPr>
        <mc:AlternateContent>
          <mc:Choice Requires="wps">
            <w:drawing>
              <wp:anchor distT="0" distB="0" distL="114300" distR="114300" simplePos="0" relativeHeight="251687424" behindDoc="0" locked="0" layoutInCell="1" allowOverlap="1">
                <wp:simplePos x="0" y="0"/>
                <wp:positionH relativeFrom="column">
                  <wp:posOffset>222885</wp:posOffset>
                </wp:positionH>
                <wp:positionV relativeFrom="paragraph">
                  <wp:posOffset>1645920</wp:posOffset>
                </wp:positionV>
                <wp:extent cx="1758950" cy="213995"/>
                <wp:effectExtent l="13335" t="7620" r="8890" b="6985"/>
                <wp:wrapNone/>
                <wp:docPr id="712"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8950" cy="213995"/>
                        </a:xfrm>
                        <a:prstGeom prst="rect">
                          <a:avLst/>
                        </a:prstGeom>
                        <a:solidFill>
                          <a:srgbClr val="FFFFFF"/>
                        </a:solidFill>
                        <a:ln w="9525">
                          <a:solidFill>
                            <a:srgbClr val="000000"/>
                          </a:solidFill>
                          <a:miter lim="800000"/>
                          <a:headEnd/>
                          <a:tailEnd/>
                        </a:ln>
                      </wps:spPr>
                      <wps:txbx>
                        <w:txbxContent>
                          <w:p w:rsidR="005063CB" w:rsidRPr="00714870" w:rsidRDefault="005063CB" w:rsidP="00714870">
                            <w:pPr>
                              <w:rPr>
                                <w:sz w:val="20"/>
                              </w:rPr>
                            </w:pPr>
                            <w:r>
                              <w:rPr>
                                <w:sz w:val="20"/>
                              </w:rPr>
                              <w:t>Taxes on salaries and income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5" o:spid="_x0000_s1041" style="position:absolute;left:0;text-align:left;margin-left:17.55pt;margin-top:129.6pt;width:138.5pt;height:16.8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">
                <v:textbox>
                  <w:txbxContent>
                    <w:p w:rsidR="005063CB" w:rsidRPr="00714870" w:rsidRDefault="005063CB" w:rsidP="00714870">
                      <w:pPr>
                        <w:rPr>
                          <w:sz w:val="20"/>
                        </w:rPr>
                      </w:pPr>
                      <w:r>
                        <w:rPr>
                          <w:sz w:val="20"/>
                        </w:rPr>
                        <w:t>Taxes on salaries and income</w:t>
                      </w:r>
                    </w:p>
                  </w:txbxContent>
                </v:textbox>
              </v:rect>
            </w:pict>
          </mc:Fallback>
        </mc:AlternateContent>
      </w:r>
      <w:r>
        <w:rPr>
          <w:rFonts w:ascii="Calibri" w:hAnsi="Calibri"/>
          <w:noProof/>
          <w:lang w:val="ro-RO" w:eastAsia="ro-RO"/>
        </w:rPr>
        <mc:AlternateContent>
          <mc:Choice Requires="wps">
            <w:drawing>
              <wp:anchor distT="0" distB="0" distL="114300" distR="114300" simplePos="0" relativeHeight="251686400" behindDoc="0" locked="0" layoutInCell="1" allowOverlap="1">
                <wp:simplePos x="0" y="0"/>
                <wp:positionH relativeFrom="column">
                  <wp:posOffset>54610</wp:posOffset>
                </wp:positionH>
                <wp:positionV relativeFrom="paragraph">
                  <wp:posOffset>1431925</wp:posOffset>
                </wp:positionV>
                <wp:extent cx="1981200" cy="255270"/>
                <wp:effectExtent l="6985" t="12700" r="12065" b="8255"/>
                <wp:wrapNone/>
                <wp:docPr id="711"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255270"/>
                        </a:xfrm>
                        <a:prstGeom prst="rect">
                          <a:avLst/>
                        </a:prstGeom>
                        <a:solidFill>
                          <a:srgbClr val="FFFFFF"/>
                        </a:solidFill>
                        <a:ln w="9525">
                          <a:solidFill>
                            <a:srgbClr val="000000"/>
                          </a:solidFill>
                          <a:miter lim="800000"/>
                          <a:headEnd/>
                          <a:tailEnd/>
                        </a:ln>
                      </wps:spPr>
                      <wps:txbx>
                        <w:txbxContent>
                          <w:p w:rsidR="005063CB" w:rsidRPr="00714870" w:rsidRDefault="005063CB" w:rsidP="00714870">
                            <w:pPr>
                              <w:rPr>
                                <w:sz w:val="20"/>
                              </w:rPr>
                            </w:pPr>
                            <w:r>
                              <w:rPr>
                                <w:sz w:val="20"/>
                              </w:rPr>
                              <w:t>Taxes and charges on property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4" o:spid="_x0000_s1042" style="position:absolute;left:0;text-align:left;margin-left:4.3pt;margin-top:112.75pt;width:156pt;height:20.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">
                <v:textbox>
                  <w:txbxContent>
                    <w:p w:rsidR="005063CB" w:rsidRPr="00714870" w:rsidRDefault="005063CB" w:rsidP="00714870">
                      <w:pPr>
                        <w:rPr>
                          <w:sz w:val="20"/>
                        </w:rPr>
                      </w:pPr>
                      <w:r>
                        <w:rPr>
                          <w:sz w:val="20"/>
                        </w:rPr>
                        <w:t>Taxes and charges on property</w:t>
                      </w:r>
                    </w:p>
                  </w:txbxContent>
                </v:textbox>
              </v:rect>
            </w:pict>
          </mc:Fallback>
        </mc:AlternateContent>
      </w:r>
      <w:r>
        <w:rPr>
          <w:rFonts w:ascii="Calibri" w:hAnsi="Calibri"/>
          <w:noProof/>
          <w:lang w:val="ro-RO" w:eastAsia="ro-RO"/>
        </w:rPr>
        <mc:AlternateContent>
          <mc:Choice Requires="wps">
            <w:drawing>
              <wp:anchor distT="0" distB="0" distL="114300" distR="114300" simplePos="0" relativeHeight="251685376" behindDoc="0" locked="0" layoutInCell="1" allowOverlap="1">
                <wp:simplePos x="0" y="0"/>
                <wp:positionH relativeFrom="column">
                  <wp:posOffset>1351280</wp:posOffset>
                </wp:positionH>
                <wp:positionV relativeFrom="paragraph">
                  <wp:posOffset>1299845</wp:posOffset>
                </wp:positionV>
                <wp:extent cx="630555" cy="213995"/>
                <wp:effectExtent l="8255" t="13970" r="8890" b="10160"/>
                <wp:wrapNone/>
                <wp:docPr id="710"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 cy="213995"/>
                        </a:xfrm>
                        <a:prstGeom prst="rect">
                          <a:avLst/>
                        </a:prstGeom>
                        <a:solidFill>
                          <a:srgbClr val="FFFFFF"/>
                        </a:solidFill>
                        <a:ln w="9525">
                          <a:solidFill>
                            <a:srgbClr val="000000"/>
                          </a:solidFill>
                          <a:miter lim="800000"/>
                          <a:headEnd/>
                          <a:tailEnd/>
                        </a:ln>
                      </wps:spPr>
                      <wps:txbx>
                        <w:txbxContent>
                          <w:p w:rsidR="005063CB" w:rsidRPr="00714870" w:rsidRDefault="005063CB" w:rsidP="00714870">
                            <w:pPr>
                              <w:rPr>
                                <w:sz w:val="20"/>
                              </w:rPr>
                            </w:pPr>
                            <w:r>
                              <w:rPr>
                                <w:sz w:val="20"/>
                              </w:rPr>
                              <w:t>VAT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3" o:spid="_x0000_s1043" style="position:absolute;left:0;text-align:left;margin-left:106.4pt;margin-top:102.35pt;width:49.65pt;height:16.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">
                <v:textbox>
                  <w:txbxContent>
                    <w:p w:rsidR="005063CB" w:rsidRPr="00714870" w:rsidRDefault="005063CB" w:rsidP="00714870">
                      <w:pPr>
                        <w:rPr>
                          <w:sz w:val="20"/>
                        </w:rPr>
                      </w:pPr>
                      <w:r>
                        <w:rPr>
                          <w:sz w:val="20"/>
                        </w:rPr>
                        <w:t>VAT</w:t>
                      </w:r>
                    </w:p>
                  </w:txbxContent>
                </v:textbox>
              </v:rect>
            </w:pict>
          </mc:Fallback>
        </mc:AlternateContent>
      </w:r>
      <w:r>
        <w:rPr>
          <w:rFonts w:ascii="Calibri" w:hAnsi="Calibri"/>
          <w:noProof/>
          <w:lang w:val="ro-RO" w:eastAsia="ro-RO"/>
        </w:rPr>
        <mc:AlternateContent>
          <mc:Choice Requires="wps">
            <w:drawing>
              <wp:anchor distT="0" distB="0" distL="114300" distR="114300" simplePos="0" relativeHeight="251684352" behindDoc="0" locked="0" layoutInCell="1" allowOverlap="1">
                <wp:simplePos x="0" y="0"/>
                <wp:positionH relativeFrom="column">
                  <wp:posOffset>923290</wp:posOffset>
                </wp:positionH>
                <wp:positionV relativeFrom="paragraph">
                  <wp:posOffset>1160145</wp:posOffset>
                </wp:positionV>
                <wp:extent cx="1058545" cy="213995"/>
                <wp:effectExtent l="8890" t="7620" r="8890" b="6985"/>
                <wp:wrapNone/>
                <wp:docPr id="709"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8545" cy="213995"/>
                        </a:xfrm>
                        <a:prstGeom prst="rect">
                          <a:avLst/>
                        </a:prstGeom>
                        <a:solidFill>
                          <a:srgbClr val="FFFFFF"/>
                        </a:solidFill>
                        <a:ln w="9525">
                          <a:solidFill>
                            <a:srgbClr val="000000"/>
                          </a:solidFill>
                          <a:miter lim="800000"/>
                          <a:headEnd/>
                          <a:tailEnd/>
                        </a:ln>
                      </wps:spPr>
                      <wps:txbx>
                        <w:txbxContent>
                          <w:p w:rsidR="005063CB" w:rsidRPr="00714870" w:rsidRDefault="005063CB" w:rsidP="00714870">
                            <w:pPr>
                              <w:rPr>
                                <w:sz w:val="20"/>
                              </w:rPr>
                            </w:pPr>
                            <w:r>
                              <w:rPr>
                                <w:sz w:val="20"/>
                              </w:rPr>
                              <w:t>Excise duties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2" o:spid="_x0000_s1044" style="position:absolute;left:0;text-align:left;margin-left:72.7pt;margin-top:91.35pt;width:83.35pt;height:16.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">
                <v:textbox>
                  <w:txbxContent>
                    <w:p w:rsidR="005063CB" w:rsidRPr="00714870" w:rsidRDefault="005063CB" w:rsidP="00714870">
                      <w:pPr>
                        <w:rPr>
                          <w:sz w:val="20"/>
                        </w:rPr>
                      </w:pPr>
                      <w:r>
                        <w:rPr>
                          <w:sz w:val="20"/>
                        </w:rPr>
                        <w:t>Excise duties</w:t>
                      </w:r>
                    </w:p>
                  </w:txbxContent>
                </v:textbox>
              </v:rect>
            </w:pict>
          </mc:Fallback>
        </mc:AlternateContent>
      </w:r>
      <w:r>
        <w:rPr>
          <w:rFonts w:ascii="Calibri" w:hAnsi="Calibri"/>
          <w:noProof/>
          <w:lang w:val="ro-RO" w:eastAsia="ro-RO"/>
        </w:rPr>
        <mc:AlternateContent>
          <mc:Choice Requires="wps">
            <w:drawing>
              <wp:anchor distT="0" distB="0" distL="114300" distR="114300" simplePos="0" relativeHeight="251683328" behindDoc="0" locked="0" layoutInCell="1" allowOverlap="1">
                <wp:simplePos x="0" y="0"/>
                <wp:positionH relativeFrom="column">
                  <wp:posOffset>491490</wp:posOffset>
                </wp:positionH>
                <wp:positionV relativeFrom="paragraph">
                  <wp:posOffset>1003300</wp:posOffset>
                </wp:positionV>
                <wp:extent cx="1544320" cy="213995"/>
                <wp:effectExtent l="5715" t="12700" r="12065" b="11430"/>
                <wp:wrapNone/>
                <wp:docPr id="708"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4320" cy="213995"/>
                        </a:xfrm>
                        <a:prstGeom prst="rect">
                          <a:avLst/>
                        </a:prstGeom>
                        <a:solidFill>
                          <a:srgbClr val="FFFFFF"/>
                        </a:solidFill>
                        <a:ln w="9525">
                          <a:solidFill>
                            <a:srgbClr val="000000"/>
                          </a:solidFill>
                          <a:miter lim="800000"/>
                          <a:headEnd/>
                          <a:tailEnd/>
                        </a:ln>
                      </wps:spPr>
                      <wps:txbx>
                        <w:txbxContent>
                          <w:p w:rsidR="005063CB" w:rsidRPr="00714870" w:rsidRDefault="005063CB" w:rsidP="00714870">
                            <w:pPr>
                              <w:rPr>
                                <w:sz w:val="20"/>
                              </w:rPr>
                            </w:pPr>
                            <w:r>
                              <w:rPr>
                                <w:sz w:val="20"/>
                              </w:rPr>
                              <w:t>Insurance contributions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1" o:spid="_x0000_s1045" style="position:absolute;left:0;text-align:left;margin-left:38.7pt;margin-top:79pt;width:121.6pt;height:16.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">
                <v:textbox>
                  <w:txbxContent>
                    <w:p w:rsidR="005063CB" w:rsidRPr="00714870" w:rsidRDefault="005063CB" w:rsidP="00714870">
                      <w:pPr>
                        <w:rPr>
                          <w:sz w:val="20"/>
                        </w:rPr>
                      </w:pPr>
                      <w:r>
                        <w:rPr>
                          <w:sz w:val="20"/>
                        </w:rPr>
                        <w:t>Insurance contributions</w:t>
                      </w:r>
                    </w:p>
                  </w:txbxContent>
                </v:textbox>
              </v:rect>
            </w:pict>
          </mc:Fallback>
        </mc:AlternateContent>
      </w:r>
      <w:r>
        <w:rPr>
          <w:rFonts w:ascii="Calibri" w:hAnsi="Calibri"/>
          <w:noProof/>
          <w:lang w:val="ro-RO" w:eastAsia="ro-RO"/>
        </w:rPr>
        <mc:AlternateContent>
          <mc:Choice Requires="wps">
            <w:drawing>
              <wp:anchor distT="0" distB="0" distL="114300" distR="114300" simplePos="0" relativeHeight="251682304" behindDoc="0" locked="0" layoutInCell="1" allowOverlap="1">
                <wp:simplePos x="0" y="0"/>
                <wp:positionH relativeFrom="column">
                  <wp:posOffset>697230</wp:posOffset>
                </wp:positionH>
                <wp:positionV relativeFrom="paragraph">
                  <wp:posOffset>789305</wp:posOffset>
                </wp:positionV>
                <wp:extent cx="1338580" cy="213995"/>
                <wp:effectExtent l="11430" t="8255" r="12065" b="6350"/>
                <wp:wrapNone/>
                <wp:docPr id="707"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8580" cy="213995"/>
                        </a:xfrm>
                        <a:prstGeom prst="rect">
                          <a:avLst/>
                        </a:prstGeom>
                        <a:solidFill>
                          <a:srgbClr val="FFFFFF"/>
                        </a:solidFill>
                        <a:ln w="9525">
                          <a:solidFill>
                            <a:srgbClr val="000000"/>
                          </a:solidFill>
                          <a:miter lim="800000"/>
                          <a:headEnd/>
                          <a:tailEnd/>
                        </a:ln>
                      </wps:spPr>
                      <wps:txbx>
                        <w:txbxContent>
                          <w:p w:rsidR="005063CB" w:rsidRPr="00714870" w:rsidRDefault="005063CB" w:rsidP="00714870">
                            <w:pPr>
                              <w:rPr>
                                <w:sz w:val="20"/>
                              </w:rPr>
                            </w:pPr>
                            <w:r>
                              <w:rPr>
                                <w:sz w:val="20"/>
                              </w:rPr>
                              <w:t>Non-fiscal revenues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0" o:spid="_x0000_s1046" style="position:absolute;left:0;text-align:left;margin-left:54.9pt;margin-top:62.15pt;width:105.4pt;height:16.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">
                <v:textbox>
                  <w:txbxContent>
                    <w:p w:rsidR="005063CB" w:rsidRPr="00714870" w:rsidRDefault="005063CB" w:rsidP="00714870">
                      <w:pPr>
                        <w:rPr>
                          <w:sz w:val="20"/>
                        </w:rPr>
                      </w:pPr>
                      <w:r>
                        <w:rPr>
                          <w:sz w:val="20"/>
                        </w:rPr>
                        <w:t>Non-fiscal revenues</w:t>
                      </w:r>
                    </w:p>
                  </w:txbxContent>
                </v:textbox>
              </v:rect>
            </w:pict>
          </mc:Fallback>
        </mc:AlternateContent>
      </w:r>
      <w:r>
        <w:rPr>
          <w:rFonts w:ascii="Calibri" w:hAnsi="Calibri"/>
          <w:noProof/>
          <w:lang w:val="ro-RO" w:eastAsia="ro-RO"/>
        </w:rPr>
        <mc:AlternateContent>
          <mc:Choice Requires="wps">
            <w:drawing>
              <wp:anchor distT="0" distB="0" distL="114300" distR="114300" simplePos="0" relativeHeight="251681280" behindDoc="0" locked="0" layoutInCell="1" allowOverlap="1">
                <wp:simplePos x="0" y="0"/>
                <wp:positionH relativeFrom="column">
                  <wp:posOffset>-93980</wp:posOffset>
                </wp:positionH>
                <wp:positionV relativeFrom="paragraph">
                  <wp:posOffset>648970</wp:posOffset>
                </wp:positionV>
                <wp:extent cx="2249170" cy="213995"/>
                <wp:effectExtent l="10795" t="10795" r="6985" b="13335"/>
                <wp:wrapNone/>
                <wp:docPr id="706"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9170" cy="213995"/>
                        </a:xfrm>
                        <a:prstGeom prst="rect">
                          <a:avLst/>
                        </a:prstGeom>
                        <a:solidFill>
                          <a:srgbClr val="FFFFFF"/>
                        </a:solidFill>
                        <a:ln w="9525">
                          <a:solidFill>
                            <a:srgbClr val="000000"/>
                          </a:solidFill>
                          <a:miter lim="800000"/>
                          <a:headEnd/>
                          <a:tailEnd/>
                        </a:ln>
                      </wps:spPr>
                      <wps:txbx>
                        <w:txbxContent>
                          <w:p w:rsidR="005063CB" w:rsidRPr="00714870" w:rsidRDefault="005063CB" w:rsidP="00714870">
                            <w:pPr>
                              <w:rPr>
                                <w:sz w:val="16"/>
                              </w:rPr>
                            </w:pPr>
                            <w:r w:rsidRPr="00714870">
                              <w:rPr>
                                <w:sz w:val="16"/>
                              </w:rPr>
                              <w:t>Amounts from the EU and donations from abroad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9" o:spid="_x0000_s1047" style="position:absolute;left:0;text-align:left;margin-left:-7.4pt;margin-top:51.1pt;width:177.1pt;height:16.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">
                <v:textbox>
                  <w:txbxContent>
                    <w:p w:rsidR="005063CB" w:rsidRPr="00714870" w:rsidRDefault="005063CB" w:rsidP="00714870">
                      <w:pPr>
                        <w:rPr>
                          <w:sz w:val="16"/>
                        </w:rPr>
                      </w:pPr>
                      <w:r w:rsidRPr="00714870">
                        <w:rPr>
                          <w:sz w:val="16"/>
                        </w:rPr>
                        <w:t>Amounts from the EU and donations from abroad</w:t>
                      </w:r>
                    </w:p>
                  </w:txbxContent>
                </v:textbox>
              </v:rect>
            </w:pict>
          </mc:Fallback>
        </mc:AlternateContent>
      </w:r>
      <w:r>
        <w:rPr>
          <w:rFonts w:ascii="Calibri" w:hAnsi="Calibri"/>
          <w:noProof/>
          <w:lang w:val="ro-RO" w:eastAsia="ro-RO"/>
        </w:rPr>
        <mc:AlternateContent>
          <mc:Choice Requires="wps">
            <w:drawing>
              <wp:anchor distT="0" distB="0" distL="114300" distR="114300" simplePos="0" relativeHeight="251680256" behindDoc="0" locked="0" layoutInCell="1" allowOverlap="1">
                <wp:simplePos x="0" y="0"/>
                <wp:positionH relativeFrom="column">
                  <wp:posOffset>697230</wp:posOffset>
                </wp:positionH>
                <wp:positionV relativeFrom="paragraph">
                  <wp:posOffset>434975</wp:posOffset>
                </wp:positionV>
                <wp:extent cx="1235710" cy="213995"/>
                <wp:effectExtent l="11430" t="6350" r="10160" b="8255"/>
                <wp:wrapNone/>
                <wp:docPr id="705"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710" cy="213995"/>
                        </a:xfrm>
                        <a:prstGeom prst="rect">
                          <a:avLst/>
                        </a:prstGeom>
                        <a:solidFill>
                          <a:srgbClr val="FFFFFF"/>
                        </a:solidFill>
                        <a:ln w="9525">
                          <a:solidFill>
                            <a:srgbClr val="000000"/>
                          </a:solidFill>
                          <a:miter lim="800000"/>
                          <a:headEnd/>
                          <a:tailEnd/>
                        </a:ln>
                      </wps:spPr>
                      <wps:txbx>
                        <w:txbxContent>
                          <w:p w:rsidR="005063CB" w:rsidRPr="00714870" w:rsidRDefault="005063CB">
                            <w:pPr>
                              <w:rPr>
                                <w:sz w:val="20"/>
                              </w:rPr>
                            </w:pPr>
                            <w:r w:rsidRPr="00714870">
                              <w:rPr>
                                <w:sz w:val="20"/>
                              </w:rPr>
                              <w:t>Other revenues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8" o:spid="_x0000_s1048" style="position:absolute;left:0;text-align:left;margin-left:54.9pt;margin-top:34.25pt;width:97.3pt;height:16.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">
                <v:textbox>
                  <w:txbxContent>
                    <w:p w:rsidR="005063CB" w:rsidRPr="00714870" w:rsidRDefault="005063CB">
                      <w:pPr>
                        <w:rPr>
                          <w:sz w:val="20"/>
                        </w:rPr>
                      </w:pPr>
                      <w:r w:rsidRPr="00714870">
                        <w:rPr>
                          <w:sz w:val="20"/>
                        </w:rPr>
                        <w:t>Other revenues</w:t>
                      </w:r>
                    </w:p>
                  </w:txbxContent>
                </v:textbox>
              </v:rect>
            </w:pict>
          </mc:Fallback>
        </mc:AlternateContent>
      </w:r>
      <w:r>
        <w:rPr>
          <w:rFonts w:ascii="Calibri" w:hAnsi="Calibri"/>
          <w:noProof/>
          <w:lang w:val="ro-RO" w:eastAsia="ro-RO"/>
        </w:rPr>
        <mc:AlternateContent>
          <mc:Choice Requires="wps">
            <w:drawing>
              <wp:anchor distT="0" distB="0" distL="114300" distR="114300" simplePos="0" relativeHeight="251679232" behindDoc="0" locked="0" layoutInCell="1" allowOverlap="1">
                <wp:simplePos x="0" y="0"/>
                <wp:positionH relativeFrom="column">
                  <wp:posOffset>788035</wp:posOffset>
                </wp:positionH>
                <wp:positionV relativeFrom="paragraph">
                  <wp:posOffset>72390</wp:posOffset>
                </wp:positionV>
                <wp:extent cx="4513580" cy="255270"/>
                <wp:effectExtent l="26035" t="24765" r="32385" b="53340"/>
                <wp:wrapNone/>
                <wp:docPr id="704"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3580" cy="25527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5063CB" w:rsidRPr="00714870" w:rsidRDefault="005063CB">
                            <w:pPr>
                              <w:rPr>
                                <w:sz w:val="20"/>
                              </w:rPr>
                            </w:pPr>
                            <w:r w:rsidRPr="00714870">
                              <w:rPr>
                                <w:sz w:val="20"/>
                              </w:rPr>
                              <w:t>Degree of realization of the revenues of the general consolidated budget in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7" o:spid="_x0000_s1049" style="position:absolute;left:0;text-align:left;margin-left:62.05pt;margin-top:5.7pt;width:355.4pt;height:20.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" fillcolor="#70ad47 [3209]" strokecolor="#f2f2f2 [3041]" strokeweight="3pt">
                <v:shadow on="t" color="#375623 [1609]" opacity=".5" offset="1pt"/>
                <v:textbox>
                  <w:txbxContent>
                    <w:p w:rsidR="005063CB" w:rsidRPr="00714870" w:rsidRDefault="005063CB">
                      <w:pPr>
                        <w:rPr>
                          <w:sz w:val="20"/>
                        </w:rPr>
                      </w:pPr>
                      <w:r w:rsidRPr="00714870">
                        <w:rPr>
                          <w:sz w:val="20"/>
                        </w:rPr>
                        <w:t>Degree of realization of the revenues of the general consolidated budget in 2017</w:t>
                      </w:r>
                    </w:p>
                  </w:txbxContent>
                </v:textbox>
              </v:rect>
            </w:pict>
          </mc:Fallback>
        </mc:AlternateContent>
      </w:r>
      <w:r w:rsidR="00912B6C">
        <w:rPr>
          <w:rFonts w:ascii="Calibri" w:hAnsi="Calibri"/>
          <w:noProof/>
          <w:lang w:val="ro-RO" w:eastAsia="ro-RO"/>
        </w:rPr>
        <w:drawing>
          <wp:inline distT="0" distB="0" distL="0" distR="0" wp14:anchorId="5C4DFB3A" wp14:editId="36ABD915">
            <wp:extent cx="6156960" cy="23545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6960" cy="2354580"/>
                    </a:xfrm>
                    <a:prstGeom prst="rect">
                      <a:avLst/>
                    </a:prstGeom>
                    <a:noFill/>
                    <a:ln>
                      <a:noFill/>
                    </a:ln>
                  </pic:spPr>
                </pic:pic>
              </a:graphicData>
            </a:graphic>
          </wp:inline>
        </w:drawing>
      </w:r>
    </w:p>
    <w:p w:rsidR="00912B6C" w:rsidRPr="00912B6C" w:rsidRDefault="00912B6C" w:rsidP="00A663FE">
      <w:pPr>
        <w:spacing w:line="276" w:lineRule="auto"/>
        <w:ind w:firstLine="720"/>
        <w:jc w:val="both"/>
        <w:rPr>
          <w:rFonts w:ascii="Calibri" w:eastAsia="Calibri" w:hAnsi="Calibri" w:cs="Arial"/>
        </w:rPr>
      </w:pPr>
      <w:r>
        <w:rPr>
          <w:rFonts w:ascii="Calibri" w:hAnsi="Calibri"/>
        </w:rPr>
        <w:t xml:space="preserve">Compared to the annual programme of collections, budget revenues registered the following evolutions: </w:t>
      </w:r>
    </w:p>
    <w:p w:rsidR="00912B6C" w:rsidRPr="00912B6C" w:rsidRDefault="00912B6C" w:rsidP="00912B6C">
      <w:pPr>
        <w:numPr>
          <w:ilvl w:val="0"/>
          <w:numId w:val="81"/>
        </w:numPr>
        <w:spacing w:before="120" w:after="160" w:line="276" w:lineRule="auto"/>
        <w:ind w:left="1434" w:hanging="357"/>
        <w:jc w:val="both"/>
        <w:rPr>
          <w:rFonts w:ascii="Calibri" w:hAnsi="Calibri" w:cs="Arial"/>
        </w:rPr>
      </w:pPr>
      <w:r>
        <w:rPr>
          <w:rFonts w:ascii="Calibri" w:hAnsi="Calibri"/>
        </w:rPr>
        <w:t>Collections from fiscal revenues were higher than the annual programme, the degree of realization being of 100.2%, being influenced by the positive evolution of collections from the corporate income tax (101.4%); other personal income taxes, corporate income taxes and capital earnings (102.5%), as well as from the value-added tax (101.3%). Less favorable evolutions were registered in the case of collections from the personal income and salaries tax (99.8%); taxes and charges on ownership (98.7%); excise duties (99.8%); other taxes and charges on goods and services (90.9%); the tax on foreign trade and international transactions (98.7%), as well as in the case of other fiscal taxes and charges (83%).</w:t>
      </w:r>
    </w:p>
    <w:p w:rsidR="00912B6C" w:rsidRPr="00912B6C" w:rsidRDefault="00912B6C" w:rsidP="00912B6C">
      <w:pPr>
        <w:numPr>
          <w:ilvl w:val="0"/>
          <w:numId w:val="81"/>
        </w:numPr>
        <w:spacing w:before="120" w:after="160" w:line="276" w:lineRule="auto"/>
        <w:ind w:left="1434" w:hanging="357"/>
        <w:jc w:val="both"/>
        <w:rPr>
          <w:rFonts w:ascii="Calibri" w:hAnsi="Calibri" w:cs="Arial"/>
        </w:rPr>
      </w:pPr>
      <w:r>
        <w:rPr>
          <w:rFonts w:ascii="Calibri" w:hAnsi="Calibri"/>
        </w:rPr>
        <w:t>The collections from insurance contributions were lower than the collections programme, the degree of realization being of 99.5%. The failure to achieve the plan was caused by the lower collections of the annual programme in the case of revenues from insurance contributions collected at the unemployment insurance budget (98.5%), as well as those at the budget of the national single fund of health insurance (98.6%), while in the case of State health insurance the revenues from contributions were almost at the level of the annual collections programme, the degree of realization being of 99.97%;</w:t>
      </w:r>
    </w:p>
    <w:p w:rsidR="00912B6C" w:rsidRPr="00912B6C" w:rsidRDefault="00912B6C" w:rsidP="00912B6C">
      <w:pPr>
        <w:numPr>
          <w:ilvl w:val="0"/>
          <w:numId w:val="81"/>
        </w:numPr>
        <w:spacing w:before="120" w:after="160" w:line="276" w:lineRule="auto"/>
        <w:ind w:left="1434" w:hanging="357"/>
        <w:jc w:val="both"/>
        <w:rPr>
          <w:rFonts w:ascii="Calibri" w:hAnsi="Calibri" w:cs="Arial"/>
        </w:rPr>
      </w:pPr>
      <w:r>
        <w:rPr>
          <w:rFonts w:ascii="Calibri" w:hAnsi="Calibri"/>
        </w:rPr>
        <w:t>The collections from non-fiscal revenues were below the annual programme, the degree of realization being of 97.6%;</w:t>
      </w:r>
    </w:p>
    <w:p w:rsidR="00912B6C" w:rsidRPr="00A663FE" w:rsidRDefault="00912B6C" w:rsidP="00A663FE">
      <w:pPr>
        <w:numPr>
          <w:ilvl w:val="0"/>
          <w:numId w:val="81"/>
        </w:numPr>
        <w:spacing w:before="120" w:after="160" w:line="276" w:lineRule="auto"/>
        <w:ind w:left="1434" w:hanging="357"/>
        <w:jc w:val="both"/>
        <w:rPr>
          <w:rFonts w:ascii="Calibri" w:hAnsi="Calibri" w:cs="Arial"/>
          <w:b/>
          <w:bCs/>
        </w:rPr>
      </w:pPr>
      <w:r>
        <w:rPr>
          <w:rFonts w:ascii="Calibri" w:hAnsi="Calibri"/>
        </w:rPr>
        <w:t xml:space="preserve">The collections from the amounts received from the EU and other donors on account of payments made were below the annual programme, the degree of realization being of 79.5%.  </w:t>
      </w:r>
    </w:p>
    <w:p w:rsidR="00912B6C" w:rsidRPr="00912B6C" w:rsidRDefault="00912B6C" w:rsidP="00912B6C">
      <w:pPr>
        <w:spacing w:line="276" w:lineRule="auto"/>
        <w:jc w:val="both"/>
        <w:rPr>
          <w:rFonts w:ascii="Calibri" w:hAnsi="Calibri" w:cs="Arial"/>
        </w:rPr>
      </w:pPr>
      <w:r>
        <w:rPr>
          <w:rFonts w:ascii="Calibri" w:hAnsi="Calibri"/>
          <w:color w:val="FF0000"/>
        </w:rPr>
        <w:tab/>
      </w:r>
      <w:r>
        <w:rPr>
          <w:rFonts w:ascii="Calibri" w:hAnsi="Calibri"/>
        </w:rPr>
        <w:t xml:space="preserve">Budget collections were influenced both by the economic evolutions, and by the fiscal policy decisions that were adopted, like: the increase of the minimum salary, the reduction of the standard VAT rate, the increase of salaries for certain categories of public employees, the increase of the pension point, the increase of the monthly non-taxable ceiling for pension revenues from Lei 1000 to Lei 2000 and the exemption of the retired from paying the health insurance contributions, as well as the amendment of the amount of excise duties. </w:t>
      </w:r>
    </w:p>
    <w:p w:rsidR="00912B6C" w:rsidRPr="00912B6C" w:rsidRDefault="00912B6C" w:rsidP="00912B6C">
      <w:pPr>
        <w:spacing w:line="276" w:lineRule="auto"/>
        <w:jc w:val="center"/>
        <w:rPr>
          <w:rFonts w:ascii="Calibri" w:eastAsia="Calibri" w:hAnsi="Calibri" w:cs="Arial"/>
          <w:b/>
          <w:bCs/>
        </w:rPr>
      </w:pPr>
      <w:r>
        <w:rPr>
          <w:rFonts w:ascii="Calibri" w:hAnsi="Calibri"/>
          <w:b/>
          <w:bCs/>
        </w:rPr>
        <w:t>Structure of budget revenues</w:t>
      </w:r>
    </w:p>
    <w:p w:rsidR="00912B6C" w:rsidRPr="00912B6C" w:rsidRDefault="00DF768F" w:rsidP="00912B6C">
      <w:pPr>
        <w:spacing w:line="276" w:lineRule="auto"/>
        <w:jc w:val="center"/>
        <w:rPr>
          <w:rFonts w:ascii="Calibri" w:eastAsia="Calibri" w:hAnsi="Calibri" w:cs="Arial"/>
          <w:b/>
          <w:bCs/>
        </w:rPr>
      </w:pPr>
      <w:r>
        <w:rPr>
          <w:rFonts w:ascii="Calibri" w:eastAsia="Calibri" w:hAnsi="Calibri" w:cs="Arial"/>
          <w:noProof/>
          <w:lang w:val="ro-RO" w:eastAsia="ro-RO"/>
        </w:rPr>
        <mc:AlternateContent>
          <mc:Choice Requires="wps">
            <w:drawing>
              <wp:anchor distT="0" distB="0" distL="114300" distR="114300" simplePos="0" relativeHeight="251696640" behindDoc="0" locked="0" layoutInCell="1" allowOverlap="1">
                <wp:simplePos x="0" y="0"/>
                <wp:positionH relativeFrom="column">
                  <wp:posOffset>2471420</wp:posOffset>
                </wp:positionH>
                <wp:positionV relativeFrom="paragraph">
                  <wp:posOffset>2050415</wp:posOffset>
                </wp:positionV>
                <wp:extent cx="1268730" cy="213995"/>
                <wp:effectExtent l="13970" t="12065" r="12700" b="12065"/>
                <wp:wrapNone/>
                <wp:docPr id="703"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730" cy="213995"/>
                        </a:xfrm>
                        <a:prstGeom prst="rect">
                          <a:avLst/>
                        </a:prstGeom>
                        <a:solidFill>
                          <a:srgbClr val="FFFFFF"/>
                        </a:solidFill>
                        <a:ln w="9525">
                          <a:solidFill>
                            <a:srgbClr val="000000"/>
                          </a:solidFill>
                          <a:miter lim="800000"/>
                          <a:headEnd/>
                          <a:tailEnd/>
                        </a:ln>
                      </wps:spPr>
                      <wps:txbx>
                        <w:txbxContent>
                          <w:p w:rsidR="005063CB" w:rsidRPr="00417056" w:rsidRDefault="005063CB" w:rsidP="00417056">
                            <w:pPr>
                              <w:rPr>
                                <w:sz w:val="18"/>
                              </w:rPr>
                            </w:pPr>
                            <w:r>
                              <w:rPr>
                                <w:sz w:val="18"/>
                              </w:rPr>
                              <w:t>Other revenues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4" o:spid="_x0000_s1050" style="position:absolute;left:0;text-align:left;margin-left:194.6pt;margin-top:161.45pt;width:99.9pt;height:16.8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">
                <v:textbox>
                  <w:txbxContent>
                    <w:p w:rsidR="005063CB" w:rsidRPr="00417056" w:rsidRDefault="005063CB" w:rsidP="00417056">
                      <w:pPr>
                        <w:rPr>
                          <w:sz w:val="18"/>
                        </w:rPr>
                      </w:pPr>
                      <w:r>
                        <w:rPr>
                          <w:sz w:val="18"/>
                        </w:rPr>
                        <w:t>Other revenues</w:t>
                      </w:r>
                    </w:p>
                  </w:txbxContent>
                </v:textbox>
              </v:rect>
            </w:pict>
          </mc:Fallback>
        </mc:AlternateContent>
      </w:r>
      <w:r>
        <w:rPr>
          <w:rFonts w:ascii="Calibri" w:eastAsia="Calibri" w:hAnsi="Calibri" w:cs="Arial"/>
          <w:noProof/>
          <w:lang w:val="ro-RO" w:eastAsia="ro-RO"/>
        </w:rPr>
        <mc:AlternateContent>
          <mc:Choice Requires="wps">
            <w:drawing>
              <wp:anchor distT="0" distB="0" distL="114300" distR="114300" simplePos="0" relativeHeight="251695616" behindDoc="0" locked="0" layoutInCell="1" allowOverlap="1">
                <wp:simplePos x="0" y="0"/>
                <wp:positionH relativeFrom="column">
                  <wp:posOffset>2471420</wp:posOffset>
                </wp:positionH>
                <wp:positionV relativeFrom="paragraph">
                  <wp:posOffset>1670685</wp:posOffset>
                </wp:positionV>
                <wp:extent cx="976630" cy="454025"/>
                <wp:effectExtent l="13970" t="13335" r="9525" b="8890"/>
                <wp:wrapNone/>
                <wp:docPr id="702"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54025"/>
                        </a:xfrm>
                        <a:prstGeom prst="rect">
                          <a:avLst/>
                        </a:prstGeom>
                        <a:solidFill>
                          <a:srgbClr val="FFFFFF"/>
                        </a:solidFill>
                        <a:ln w="9525">
                          <a:solidFill>
                            <a:srgbClr val="000000"/>
                          </a:solidFill>
                          <a:miter lim="800000"/>
                          <a:headEnd/>
                          <a:tailEnd/>
                        </a:ln>
                      </wps:spPr>
                      <wps:txbx>
                        <w:txbxContent>
                          <w:p w:rsidR="005063CB" w:rsidRPr="00417056" w:rsidRDefault="005063CB" w:rsidP="00417056">
                            <w:pPr>
                              <w:rPr>
                                <w:sz w:val="16"/>
                              </w:rPr>
                            </w:pPr>
                            <w:r w:rsidRPr="00417056">
                              <w:rPr>
                                <w:sz w:val="16"/>
                              </w:rPr>
                              <w:t>Amounts received from the EU and donations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3" o:spid="_x0000_s1051" style="position:absolute;left:0;text-align:left;margin-left:194.6pt;margin-top:131.55pt;width:76.9pt;height:35.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">
                <v:textbox>
                  <w:txbxContent>
                    <w:p w:rsidR="005063CB" w:rsidRPr="00417056" w:rsidRDefault="005063CB" w:rsidP="00417056">
                      <w:pPr>
                        <w:rPr>
                          <w:sz w:val="16"/>
                        </w:rPr>
                      </w:pPr>
                      <w:r w:rsidRPr="00417056">
                        <w:rPr>
                          <w:sz w:val="16"/>
                        </w:rPr>
                        <w:t>Amounts received from the EU and donations</w:t>
                      </w:r>
                    </w:p>
                  </w:txbxContent>
                </v:textbox>
              </v:rect>
            </w:pict>
          </mc:Fallback>
        </mc:AlternateContent>
      </w:r>
      <w:r>
        <w:rPr>
          <w:rFonts w:ascii="Calibri" w:eastAsia="Calibri" w:hAnsi="Calibri" w:cs="Arial"/>
          <w:noProof/>
          <w:color w:val="FF0000"/>
          <w:lang w:val="ro-RO" w:eastAsia="ro-RO"/>
        </w:rPr>
        <mc:AlternateContent>
          <mc:Choice Requires="wps">
            <w:drawing>
              <wp:anchor distT="0" distB="0" distL="114300" distR="114300" simplePos="0" relativeHeight="251694592" behindDoc="0" locked="0" layoutInCell="1" allowOverlap="1">
                <wp:simplePos x="0" y="0"/>
                <wp:positionH relativeFrom="column">
                  <wp:posOffset>2459355</wp:posOffset>
                </wp:positionH>
                <wp:positionV relativeFrom="paragraph">
                  <wp:posOffset>1456690</wp:posOffset>
                </wp:positionV>
                <wp:extent cx="1268730" cy="213995"/>
                <wp:effectExtent l="11430" t="8890" r="5715" b="5715"/>
                <wp:wrapNone/>
                <wp:docPr id="701"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730" cy="213995"/>
                        </a:xfrm>
                        <a:prstGeom prst="rect">
                          <a:avLst/>
                        </a:prstGeom>
                        <a:solidFill>
                          <a:srgbClr val="FFFFFF"/>
                        </a:solidFill>
                        <a:ln w="9525">
                          <a:solidFill>
                            <a:srgbClr val="000000"/>
                          </a:solidFill>
                          <a:miter lim="800000"/>
                          <a:headEnd/>
                          <a:tailEnd/>
                        </a:ln>
                      </wps:spPr>
                      <wps:txbx>
                        <w:txbxContent>
                          <w:p w:rsidR="005063CB" w:rsidRPr="00417056" w:rsidRDefault="005063CB" w:rsidP="00417056">
                            <w:pPr>
                              <w:rPr>
                                <w:sz w:val="18"/>
                              </w:rPr>
                            </w:pPr>
                            <w:r>
                              <w:rPr>
                                <w:sz w:val="18"/>
                              </w:rPr>
                              <w:t>Non-fiscal revenues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 o:spid="_x0000_s1052" style="position:absolute;left:0;text-align:left;margin-left:193.65pt;margin-top:114.7pt;width:99.9pt;height:16.8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">
                <v:textbox>
                  <w:txbxContent>
                    <w:p w:rsidR="005063CB" w:rsidRPr="00417056" w:rsidRDefault="005063CB" w:rsidP="00417056">
                      <w:pPr>
                        <w:rPr>
                          <w:sz w:val="18"/>
                        </w:rPr>
                      </w:pPr>
                      <w:r>
                        <w:rPr>
                          <w:sz w:val="18"/>
                        </w:rPr>
                        <w:t>Non-fiscal revenues</w:t>
                      </w:r>
                    </w:p>
                  </w:txbxContent>
                </v:textbox>
              </v:rect>
            </w:pict>
          </mc:Fallback>
        </mc:AlternateContent>
      </w:r>
      <w:r>
        <w:rPr>
          <w:rFonts w:ascii="Calibri" w:eastAsia="Calibri" w:hAnsi="Calibri" w:cs="Arial"/>
          <w:noProof/>
          <w:lang w:val="ro-RO" w:eastAsia="ro-RO"/>
        </w:rPr>
        <mc:AlternateContent>
          <mc:Choice Requires="wps">
            <w:drawing>
              <wp:anchor distT="0" distB="0" distL="114300" distR="114300" simplePos="0" relativeHeight="251693568" behindDoc="0" locked="0" layoutInCell="1" allowOverlap="1">
                <wp:simplePos x="0" y="0"/>
                <wp:positionH relativeFrom="column">
                  <wp:posOffset>2459355</wp:posOffset>
                </wp:positionH>
                <wp:positionV relativeFrom="paragraph">
                  <wp:posOffset>1242695</wp:posOffset>
                </wp:positionV>
                <wp:extent cx="1268730" cy="213995"/>
                <wp:effectExtent l="11430" t="13970" r="5715" b="10160"/>
                <wp:wrapNone/>
                <wp:docPr id="700"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730" cy="213995"/>
                        </a:xfrm>
                        <a:prstGeom prst="rect">
                          <a:avLst/>
                        </a:prstGeom>
                        <a:solidFill>
                          <a:srgbClr val="FFFFFF"/>
                        </a:solidFill>
                        <a:ln w="9525">
                          <a:solidFill>
                            <a:srgbClr val="000000"/>
                          </a:solidFill>
                          <a:miter lim="800000"/>
                          <a:headEnd/>
                          <a:tailEnd/>
                        </a:ln>
                      </wps:spPr>
                      <wps:txbx>
                        <w:txbxContent>
                          <w:p w:rsidR="005063CB" w:rsidRPr="00417056" w:rsidRDefault="005063CB" w:rsidP="00417056">
                            <w:pPr>
                              <w:rPr>
                                <w:sz w:val="18"/>
                              </w:rPr>
                            </w:pPr>
                            <w:r>
                              <w:rPr>
                                <w:sz w:val="18"/>
                              </w:rPr>
                              <w:t>Insurance contributions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53" style="position:absolute;left:0;text-align:left;margin-left:193.65pt;margin-top:97.85pt;width:99.9pt;height:16.8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">
                <v:textbox>
                  <w:txbxContent>
                    <w:p w:rsidR="005063CB" w:rsidRPr="00417056" w:rsidRDefault="005063CB" w:rsidP="00417056">
                      <w:pPr>
                        <w:rPr>
                          <w:sz w:val="18"/>
                        </w:rPr>
                      </w:pPr>
                      <w:r>
                        <w:rPr>
                          <w:sz w:val="18"/>
                        </w:rPr>
                        <w:t>Insurance contributions</w:t>
                      </w:r>
                    </w:p>
                  </w:txbxContent>
                </v:textbox>
              </v:rect>
            </w:pict>
          </mc:Fallback>
        </mc:AlternateContent>
      </w:r>
      <w:r>
        <w:rPr>
          <w:rFonts w:ascii="Calibri" w:eastAsia="Calibri" w:hAnsi="Calibri" w:cs="Arial"/>
          <w:noProof/>
          <w:lang w:val="ro-RO" w:eastAsia="ro-RO"/>
        </w:rPr>
        <mc:AlternateContent>
          <mc:Choice Requires="wps">
            <w:drawing>
              <wp:anchor distT="0" distB="0" distL="114300" distR="114300" simplePos="0" relativeHeight="251692544" behindDoc="0" locked="0" layoutInCell="1" allowOverlap="1">
                <wp:simplePos x="0" y="0"/>
                <wp:positionH relativeFrom="column">
                  <wp:posOffset>2459355</wp:posOffset>
                </wp:positionH>
                <wp:positionV relativeFrom="paragraph">
                  <wp:posOffset>889000</wp:posOffset>
                </wp:positionV>
                <wp:extent cx="910590" cy="213995"/>
                <wp:effectExtent l="11430" t="12700" r="11430" b="11430"/>
                <wp:wrapNone/>
                <wp:docPr id="699"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0590" cy="213995"/>
                        </a:xfrm>
                        <a:prstGeom prst="rect">
                          <a:avLst/>
                        </a:prstGeom>
                        <a:solidFill>
                          <a:srgbClr val="FFFFFF"/>
                        </a:solidFill>
                        <a:ln w="9525">
                          <a:solidFill>
                            <a:srgbClr val="000000"/>
                          </a:solidFill>
                          <a:miter lim="800000"/>
                          <a:headEnd/>
                          <a:tailEnd/>
                        </a:ln>
                      </wps:spPr>
                      <wps:txbx>
                        <w:txbxContent>
                          <w:p w:rsidR="005063CB" w:rsidRPr="00417056" w:rsidRDefault="005063CB" w:rsidP="00417056">
                            <w:pPr>
                              <w:rPr>
                                <w:sz w:val="18"/>
                              </w:rPr>
                            </w:pPr>
                            <w:r>
                              <w:rPr>
                                <w:sz w:val="18"/>
                              </w:rPr>
                              <w:t>Excise duties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0" o:spid="_x0000_s1054" style="position:absolute;left:0;text-align:left;margin-left:193.65pt;margin-top:70pt;width:71.7pt;height:16.8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">
                <v:textbox>
                  <w:txbxContent>
                    <w:p w:rsidR="005063CB" w:rsidRPr="00417056" w:rsidRDefault="005063CB" w:rsidP="00417056">
                      <w:pPr>
                        <w:rPr>
                          <w:sz w:val="18"/>
                        </w:rPr>
                      </w:pPr>
                      <w:r>
                        <w:rPr>
                          <w:sz w:val="18"/>
                        </w:rPr>
                        <w:t>Excise duties</w:t>
                      </w:r>
                    </w:p>
                  </w:txbxContent>
                </v:textbox>
              </v:rect>
            </w:pict>
          </mc:Fallback>
        </mc:AlternateContent>
      </w:r>
      <w:r>
        <w:rPr>
          <w:rFonts w:ascii="Calibri" w:eastAsia="Calibri" w:hAnsi="Calibri" w:cs="Arial"/>
          <w:noProof/>
          <w:lang w:val="ro-RO" w:eastAsia="ro-RO"/>
        </w:rPr>
        <mc:AlternateContent>
          <mc:Choice Requires="wps">
            <w:drawing>
              <wp:anchor distT="0" distB="0" distL="114300" distR="114300" simplePos="0" relativeHeight="251691520" behindDoc="0" locked="0" layoutInCell="1" allowOverlap="1">
                <wp:simplePos x="0" y="0"/>
                <wp:positionH relativeFrom="column">
                  <wp:posOffset>2459355</wp:posOffset>
                </wp:positionH>
                <wp:positionV relativeFrom="paragraph">
                  <wp:posOffset>608330</wp:posOffset>
                </wp:positionV>
                <wp:extent cx="597535" cy="213995"/>
                <wp:effectExtent l="11430" t="8255" r="10160" b="6350"/>
                <wp:wrapNone/>
                <wp:docPr id="698"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35" cy="213995"/>
                        </a:xfrm>
                        <a:prstGeom prst="rect">
                          <a:avLst/>
                        </a:prstGeom>
                        <a:solidFill>
                          <a:srgbClr val="FFFFFF"/>
                        </a:solidFill>
                        <a:ln w="9525">
                          <a:solidFill>
                            <a:srgbClr val="000000"/>
                          </a:solidFill>
                          <a:miter lim="800000"/>
                          <a:headEnd/>
                          <a:tailEnd/>
                        </a:ln>
                      </wps:spPr>
                      <wps:txbx>
                        <w:txbxContent>
                          <w:p w:rsidR="005063CB" w:rsidRPr="00417056" w:rsidRDefault="005063CB" w:rsidP="00417056">
                            <w:pPr>
                              <w:rPr>
                                <w:sz w:val="18"/>
                              </w:rPr>
                            </w:pPr>
                            <w:r>
                              <w:rPr>
                                <w:sz w:val="18"/>
                              </w:rPr>
                              <w:t>VAT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9" o:spid="_x0000_s1055" style="position:absolute;left:0;text-align:left;margin-left:193.65pt;margin-top:47.9pt;width:47.05pt;height:16.8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">
                <v:textbox>
                  <w:txbxContent>
                    <w:p w:rsidR="005063CB" w:rsidRPr="00417056" w:rsidRDefault="005063CB" w:rsidP="00417056">
                      <w:pPr>
                        <w:rPr>
                          <w:sz w:val="18"/>
                        </w:rPr>
                      </w:pPr>
                      <w:r>
                        <w:rPr>
                          <w:sz w:val="18"/>
                        </w:rPr>
                        <w:t>VAT</w:t>
                      </w:r>
                    </w:p>
                  </w:txbxContent>
                </v:textbox>
              </v:rect>
            </w:pict>
          </mc:Fallback>
        </mc:AlternateContent>
      </w:r>
      <w:r>
        <w:rPr>
          <w:rFonts w:ascii="Calibri" w:eastAsia="Calibri" w:hAnsi="Calibri" w:cs="Arial"/>
          <w:noProof/>
          <w:lang w:val="ro-RO" w:eastAsia="ro-RO"/>
        </w:rPr>
        <mc:AlternateContent>
          <mc:Choice Requires="wps">
            <w:drawing>
              <wp:anchor distT="0" distB="0" distL="114300" distR="114300" simplePos="0" relativeHeight="251690496" behindDoc="0" locked="0" layoutInCell="1" allowOverlap="1">
                <wp:simplePos x="0" y="0"/>
                <wp:positionH relativeFrom="column">
                  <wp:posOffset>2459355</wp:posOffset>
                </wp:positionH>
                <wp:positionV relativeFrom="paragraph">
                  <wp:posOffset>394335</wp:posOffset>
                </wp:positionV>
                <wp:extent cx="1487170" cy="213995"/>
                <wp:effectExtent l="11430" t="13335" r="6350" b="10795"/>
                <wp:wrapNone/>
                <wp:docPr id="697"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7170" cy="213995"/>
                        </a:xfrm>
                        <a:prstGeom prst="rect">
                          <a:avLst/>
                        </a:prstGeom>
                        <a:solidFill>
                          <a:srgbClr val="FFFFFF"/>
                        </a:solidFill>
                        <a:ln w="9525">
                          <a:solidFill>
                            <a:srgbClr val="000000"/>
                          </a:solidFill>
                          <a:miter lim="800000"/>
                          <a:headEnd/>
                          <a:tailEnd/>
                        </a:ln>
                      </wps:spPr>
                      <wps:txbx>
                        <w:txbxContent>
                          <w:p w:rsidR="005063CB" w:rsidRPr="00417056" w:rsidRDefault="005063CB" w:rsidP="00417056">
                            <w:pPr>
                              <w:rPr>
                                <w:sz w:val="18"/>
                              </w:rPr>
                            </w:pPr>
                            <w:r>
                              <w:rPr>
                                <w:sz w:val="18"/>
                              </w:rPr>
                              <w:t>Tax on salaries and income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8" o:spid="_x0000_s1056" style="position:absolute;left:0;text-align:left;margin-left:193.65pt;margin-top:31.05pt;width:117.1pt;height:16.8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">
                <v:textbox>
                  <w:txbxContent>
                    <w:p w:rsidR="005063CB" w:rsidRPr="00417056" w:rsidRDefault="005063CB" w:rsidP="00417056">
                      <w:pPr>
                        <w:rPr>
                          <w:sz w:val="18"/>
                        </w:rPr>
                      </w:pPr>
                      <w:r>
                        <w:rPr>
                          <w:sz w:val="18"/>
                        </w:rPr>
                        <w:t>Tax on salaries and income</w:t>
                      </w:r>
                    </w:p>
                  </w:txbxContent>
                </v:textbox>
              </v:rect>
            </w:pict>
          </mc:Fallback>
        </mc:AlternateContent>
      </w:r>
      <w:r>
        <w:rPr>
          <w:rFonts w:ascii="Calibri" w:eastAsia="Calibri" w:hAnsi="Calibri" w:cs="Arial"/>
          <w:noProof/>
          <w:color w:val="FF0000"/>
          <w:lang w:val="ro-RO" w:eastAsia="ro-RO"/>
        </w:rPr>
        <mc:AlternateContent>
          <mc:Choice Requires="wps">
            <w:drawing>
              <wp:anchor distT="0" distB="0" distL="114300" distR="114300" simplePos="0" relativeHeight="251689472" behindDoc="0" locked="0" layoutInCell="1" allowOverlap="1">
                <wp:simplePos x="0" y="0"/>
                <wp:positionH relativeFrom="column">
                  <wp:posOffset>2459355</wp:posOffset>
                </wp:positionH>
                <wp:positionV relativeFrom="paragraph">
                  <wp:posOffset>64770</wp:posOffset>
                </wp:positionV>
                <wp:extent cx="1268730" cy="213995"/>
                <wp:effectExtent l="11430" t="7620" r="5715" b="6985"/>
                <wp:wrapNone/>
                <wp:docPr id="696"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730" cy="213995"/>
                        </a:xfrm>
                        <a:prstGeom prst="rect">
                          <a:avLst/>
                        </a:prstGeom>
                        <a:solidFill>
                          <a:srgbClr val="FFFFFF"/>
                        </a:solidFill>
                        <a:ln w="9525">
                          <a:solidFill>
                            <a:srgbClr val="000000"/>
                          </a:solidFill>
                          <a:miter lim="800000"/>
                          <a:headEnd/>
                          <a:tailEnd/>
                        </a:ln>
                      </wps:spPr>
                      <wps:txbx>
                        <w:txbxContent>
                          <w:p w:rsidR="005063CB" w:rsidRPr="00417056" w:rsidRDefault="005063CB">
                            <w:pPr>
                              <w:rPr>
                                <w:sz w:val="18"/>
                              </w:rPr>
                            </w:pPr>
                            <w:r w:rsidRPr="00417056">
                              <w:rPr>
                                <w:sz w:val="18"/>
                              </w:rPr>
                              <w:t xml:space="preserve">Corporate </w:t>
                            </w:r>
                            <w:r>
                              <w:rPr>
                                <w:sz w:val="18"/>
                              </w:rPr>
                              <w:t>income tax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7" o:spid="_x0000_s1057" style="position:absolute;left:0;text-align:left;margin-left:193.65pt;margin-top:5.1pt;width:99.9pt;height:16.8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">
                <v:textbox>
                  <w:txbxContent>
                    <w:p w:rsidR="005063CB" w:rsidRPr="00417056" w:rsidRDefault="005063CB">
                      <w:pPr>
                        <w:rPr>
                          <w:sz w:val="18"/>
                        </w:rPr>
                      </w:pPr>
                      <w:r w:rsidRPr="00417056">
                        <w:rPr>
                          <w:sz w:val="18"/>
                        </w:rPr>
                        <w:t xml:space="preserve">Corporate </w:t>
                      </w:r>
                      <w:r>
                        <w:rPr>
                          <w:sz w:val="18"/>
                        </w:rPr>
                        <w:t>income tax</w:t>
                      </w:r>
                    </w:p>
                  </w:txbxContent>
                </v:textbox>
              </v:rect>
            </w:pict>
          </mc:Fallback>
        </mc:AlternateContent>
      </w:r>
      <w:r w:rsidR="00A663FE">
        <w:rPr>
          <w:rFonts w:ascii="Calibri" w:hAnsi="Calibri"/>
          <w:noProof/>
          <w:color w:val="FF0000"/>
          <w:lang w:val="ro-RO" w:eastAsia="ro-RO"/>
        </w:rPr>
        <w:drawing>
          <wp:inline distT="0" distB="0" distL="0" distR="0" wp14:anchorId="17C5E77E" wp14:editId="1E4E91EF">
            <wp:extent cx="2941320" cy="23393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1320" cy="2339340"/>
                    </a:xfrm>
                    <a:prstGeom prst="rect">
                      <a:avLst/>
                    </a:prstGeom>
                    <a:noFill/>
                    <a:ln>
                      <a:noFill/>
                    </a:ln>
                  </pic:spPr>
                </pic:pic>
              </a:graphicData>
            </a:graphic>
          </wp:inline>
        </w:drawing>
      </w:r>
      <w:r w:rsidR="00A663FE">
        <w:rPr>
          <w:rFonts w:ascii="Calibri" w:hAnsi="Calibri"/>
          <w:noProof/>
          <w:color w:val="FF0000"/>
          <w:lang w:val="ro-RO" w:eastAsia="ro-RO"/>
        </w:rPr>
        <w:drawing>
          <wp:inline distT="0" distB="0" distL="0" distR="0" wp14:anchorId="47414A67" wp14:editId="2ED01D52">
            <wp:extent cx="2796540" cy="236220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6540" cy="2362200"/>
                    </a:xfrm>
                    <a:prstGeom prst="rect">
                      <a:avLst/>
                    </a:prstGeom>
                    <a:noFill/>
                    <a:ln>
                      <a:noFill/>
                    </a:ln>
                  </pic:spPr>
                </pic:pic>
              </a:graphicData>
            </a:graphic>
          </wp:inline>
        </w:drawing>
      </w:r>
    </w:p>
    <w:p w:rsidR="00912B6C" w:rsidRPr="00912B6C" w:rsidRDefault="00912B6C" w:rsidP="00912B6C">
      <w:pPr>
        <w:spacing w:line="276" w:lineRule="auto"/>
        <w:jc w:val="both"/>
        <w:rPr>
          <w:rFonts w:ascii="Calibri" w:eastAsia="Calibri" w:hAnsi="Calibri" w:cs="Arial"/>
          <w:color w:val="FF0000"/>
        </w:rPr>
      </w:pPr>
    </w:p>
    <w:p w:rsidR="00912B6C" w:rsidRPr="00912B6C" w:rsidRDefault="00912B6C" w:rsidP="00912B6C">
      <w:pPr>
        <w:spacing w:line="276" w:lineRule="auto"/>
        <w:ind w:firstLine="624"/>
        <w:jc w:val="both"/>
        <w:rPr>
          <w:rFonts w:ascii="Calibri" w:eastAsia="Calibri" w:hAnsi="Calibri" w:cs="Arial"/>
        </w:rPr>
      </w:pPr>
    </w:p>
    <w:p w:rsidR="00912B6C" w:rsidRPr="00912B6C" w:rsidRDefault="00912B6C" w:rsidP="00912B6C">
      <w:pPr>
        <w:spacing w:line="276" w:lineRule="auto"/>
        <w:ind w:firstLine="624"/>
        <w:jc w:val="both"/>
        <w:rPr>
          <w:rFonts w:ascii="Calibri" w:eastAsia="Calibri" w:hAnsi="Calibri" w:cs="Arial"/>
        </w:rPr>
      </w:pPr>
      <w:r>
        <w:rPr>
          <w:rFonts w:ascii="Calibri" w:hAnsi="Calibri"/>
        </w:rPr>
        <w:t xml:space="preserve">In terms of the share of the main categories of taxes in the total collected taxes, increases were registered compared to the previous year, mainly in the case of revenues from insurance contributions, by 1.1 pp, of non-fiscal revenues, by 0.6 pp, and of the amounts received from the EU on account of payments made corresponding to the financial framework 2014-2020, by 3.7 percentage points. </w:t>
      </w:r>
    </w:p>
    <w:p w:rsidR="00912B6C" w:rsidRPr="00912B6C" w:rsidRDefault="00912B6C" w:rsidP="00912B6C">
      <w:pPr>
        <w:spacing w:line="276" w:lineRule="auto"/>
        <w:ind w:firstLine="708"/>
        <w:jc w:val="both"/>
        <w:rPr>
          <w:rFonts w:ascii="Calibri" w:eastAsia="Calibri" w:hAnsi="Calibri" w:cs="Arial"/>
        </w:rPr>
      </w:pPr>
      <w:r>
        <w:rPr>
          <w:rFonts w:ascii="Calibri" w:hAnsi="Calibri"/>
        </w:rPr>
        <w:t xml:space="preserve">In parallel, reductions were registered mainly in the case of revenues from the corporate income tax, by 1.1 pp, from taxes and charges on ownership, by 0.5 pp, the value added tax, by 1.8 pp, and the revenues from excise duties, by 1.4 pp, other taxes and charges on goods and services, by 0.2 pp. </w:t>
      </w:r>
    </w:p>
    <w:p w:rsidR="00912B6C" w:rsidRPr="003964D3" w:rsidRDefault="00912B6C" w:rsidP="00912B6C">
      <w:pPr>
        <w:spacing w:line="276" w:lineRule="auto"/>
        <w:ind w:firstLine="708"/>
        <w:jc w:val="both"/>
        <w:rPr>
          <w:rFonts w:ascii="Calibri" w:eastAsia="Calibri" w:hAnsi="Calibri" w:cs="Arial"/>
          <w:color w:val="FF0000"/>
        </w:rPr>
      </w:pPr>
      <w:r>
        <w:rPr>
          <w:rFonts w:ascii="Calibri" w:hAnsi="Calibri"/>
        </w:rPr>
        <w:t xml:space="preserve">Compared to the previous year, </w:t>
      </w:r>
      <w:r>
        <w:rPr>
          <w:rFonts w:ascii="Calibri" w:hAnsi="Calibri"/>
          <w:b/>
        </w:rPr>
        <w:t>the revenues of the general consolidated budget</w:t>
      </w:r>
      <w:r>
        <w:rPr>
          <w:rFonts w:ascii="Calibri" w:hAnsi="Calibri"/>
        </w:rPr>
        <w:t xml:space="preserve"> increased by 12.5% in 2017, and as percentage of the GDP they increased by 0.1 pp.  </w:t>
      </w:r>
    </w:p>
    <w:p w:rsidR="00912B6C" w:rsidRPr="00912B6C" w:rsidRDefault="00912B6C" w:rsidP="00912B6C">
      <w:pPr>
        <w:spacing w:before="120" w:after="120" w:line="276" w:lineRule="auto"/>
        <w:ind w:firstLine="709"/>
        <w:jc w:val="both"/>
        <w:rPr>
          <w:rFonts w:ascii="Calibri" w:eastAsia="Calibri" w:hAnsi="Calibri" w:cs="Arial"/>
        </w:rPr>
      </w:pPr>
      <w:r>
        <w:rPr>
          <w:rFonts w:ascii="Calibri" w:hAnsi="Calibri"/>
          <w:b/>
        </w:rPr>
        <w:t>Fiscal revenues</w:t>
      </w:r>
      <w:r>
        <w:rPr>
          <w:rFonts w:ascii="Calibri" w:hAnsi="Calibri"/>
        </w:rPr>
        <w:t xml:space="preserve"> increased in nominal terms by 2.8% compared to the previous year, and as percentage of the GDP they decreased by 1.5 percentage points. </w:t>
      </w:r>
    </w:p>
    <w:p w:rsidR="00912B6C" w:rsidRPr="00912B6C" w:rsidRDefault="00912B6C" w:rsidP="00912B6C">
      <w:pPr>
        <w:spacing w:after="120" w:line="276" w:lineRule="auto"/>
        <w:ind w:firstLine="709"/>
        <w:jc w:val="both"/>
        <w:rPr>
          <w:rFonts w:ascii="Calibri" w:eastAsia="Calibri" w:hAnsi="Calibri" w:cs="Arial"/>
        </w:rPr>
      </w:pPr>
      <w:r>
        <w:rPr>
          <w:rFonts w:ascii="Calibri" w:hAnsi="Calibri"/>
        </w:rPr>
        <w:t xml:space="preserve">Collections from the </w:t>
      </w:r>
      <w:r>
        <w:rPr>
          <w:rFonts w:ascii="Calibri" w:hAnsi="Calibri"/>
          <w:b/>
        </w:rPr>
        <w:t>corporate income tax</w:t>
      </w:r>
      <w:r>
        <w:rPr>
          <w:rFonts w:ascii="Calibri" w:hAnsi="Calibri"/>
        </w:rPr>
        <w:t xml:space="preserve"> decreased compared to 2016 by 4.6% based on the decrease of collections of the economic agents, while collections from commercial banks were higher than in the previous year. </w:t>
      </w:r>
    </w:p>
    <w:p w:rsidR="00912B6C" w:rsidRPr="00912B6C" w:rsidRDefault="00912B6C" w:rsidP="00912B6C">
      <w:pPr>
        <w:spacing w:line="276" w:lineRule="auto"/>
        <w:ind w:firstLine="624"/>
        <w:jc w:val="both"/>
        <w:rPr>
          <w:rFonts w:ascii="Calibri" w:eastAsia="Calibri" w:hAnsi="Calibri" w:cs="Arial"/>
          <w:noProof/>
        </w:rPr>
      </w:pPr>
      <w:r>
        <w:rPr>
          <w:rFonts w:ascii="Calibri" w:hAnsi="Calibri"/>
        </w:rPr>
        <w:t>The evolution in structure of the corporate income tax at the State budget is the following:</w:t>
      </w:r>
    </w:p>
    <w:p w:rsidR="00912B6C" w:rsidRPr="00912B6C" w:rsidRDefault="00912B6C" w:rsidP="00912B6C">
      <w:pPr>
        <w:numPr>
          <w:ilvl w:val="0"/>
          <w:numId w:val="82"/>
        </w:numPr>
        <w:spacing w:after="160" w:line="276" w:lineRule="auto"/>
        <w:ind w:left="1134"/>
        <w:jc w:val="both"/>
        <w:rPr>
          <w:rFonts w:ascii="Calibri" w:hAnsi="Calibri" w:cs="Arial"/>
          <w:noProof/>
        </w:rPr>
      </w:pPr>
      <w:r>
        <w:rPr>
          <w:rFonts w:ascii="Calibri" w:hAnsi="Calibri"/>
        </w:rPr>
        <w:t>the corporate income tax paid by the economic agents</w:t>
      </w:r>
      <w:r w:rsidRPr="00912B6C">
        <w:rPr>
          <w:rFonts w:ascii="Calibri" w:hAnsi="Calibri" w:cs="Arial"/>
          <w:noProof/>
          <w:vertAlign w:val="superscript"/>
          <w:lang w:eastAsia="ro-RO"/>
        </w:rPr>
        <w:footnoteReference w:id="4"/>
      </w:r>
      <w:r>
        <w:rPr>
          <w:rFonts w:ascii="Calibri" w:hAnsi="Calibri"/>
        </w:rPr>
        <w:t xml:space="preserve"> has a negative dynamic in 2017 compared to the previous year, the collections registering a level of 14.0 billion Lei, i.e. 1.1 billion Lei less than in the previous year, representing a degree of realization of 101.2% in the programme; </w:t>
      </w:r>
    </w:p>
    <w:p w:rsidR="00912B6C" w:rsidRPr="00912B6C" w:rsidRDefault="00912B6C" w:rsidP="00912B6C">
      <w:pPr>
        <w:spacing w:line="276" w:lineRule="auto"/>
        <w:ind w:firstLine="426"/>
        <w:jc w:val="both"/>
        <w:rPr>
          <w:rFonts w:ascii="Calibri" w:eastAsia="Calibri" w:hAnsi="Calibri" w:cs="Arial"/>
          <w:noProof/>
        </w:rPr>
      </w:pPr>
      <w:r>
        <w:rPr>
          <w:rFonts w:ascii="Calibri" w:hAnsi="Calibri"/>
        </w:rPr>
        <w:t>Among the possible factors that exercised influences on the evolution of collections for this tax, the following can be mentioned:</w:t>
      </w:r>
    </w:p>
    <w:p w:rsidR="00912B6C" w:rsidRPr="00912B6C" w:rsidRDefault="00912B6C" w:rsidP="00912B6C">
      <w:pPr>
        <w:spacing w:line="276" w:lineRule="auto"/>
        <w:jc w:val="both"/>
        <w:rPr>
          <w:rFonts w:ascii="Calibri" w:eastAsia="Calibri" w:hAnsi="Calibri" w:cs="Arial"/>
          <w:noProof/>
          <w:lang w:val="fr-FR" w:eastAsia="ro-RO"/>
        </w:rPr>
      </w:pPr>
    </w:p>
    <w:p w:rsidR="00912B6C" w:rsidRPr="00912B6C" w:rsidRDefault="00912B6C" w:rsidP="00912B6C">
      <w:pPr>
        <w:numPr>
          <w:ilvl w:val="0"/>
          <w:numId w:val="83"/>
        </w:numPr>
        <w:tabs>
          <w:tab w:val="left" w:pos="851"/>
        </w:tabs>
        <w:spacing w:after="160" w:line="276" w:lineRule="auto"/>
        <w:ind w:hanging="344"/>
        <w:contextualSpacing/>
        <w:jc w:val="both"/>
        <w:rPr>
          <w:rFonts w:ascii="Calibri" w:hAnsi="Calibri" w:cs="Arial"/>
          <w:noProof/>
        </w:rPr>
      </w:pPr>
      <w:r>
        <w:rPr>
          <w:rFonts w:ascii="Calibri" w:hAnsi="Calibri"/>
        </w:rPr>
        <w:t>amendments of the payment system for the tax owed by companies, according to the provisions of the Law no. 170/2016</w:t>
      </w:r>
      <w:r w:rsidRPr="00912B6C">
        <w:rPr>
          <w:rFonts w:ascii="Calibri" w:hAnsi="Calibri" w:cs="Arial"/>
          <w:noProof/>
          <w:lang w:eastAsia="ro-RO"/>
        </w:rPr>
        <w:footnoteReference w:id="5"/>
      </w:r>
      <w:r>
        <w:rPr>
          <w:rFonts w:ascii="Calibri" w:hAnsi="Calibri"/>
        </w:rPr>
        <w:t xml:space="preserve"> on the tax specific for certain activities</w:t>
      </w:r>
    </w:p>
    <w:p w:rsidR="00912B6C" w:rsidRPr="00912B6C" w:rsidRDefault="00912B6C" w:rsidP="00912B6C">
      <w:pPr>
        <w:spacing w:line="276" w:lineRule="auto"/>
        <w:jc w:val="both"/>
        <w:rPr>
          <w:rFonts w:ascii="Calibri" w:hAnsi="Calibri" w:cs="Arial"/>
          <w:noProof/>
        </w:rPr>
      </w:pPr>
      <w:r>
        <w:rPr>
          <w:rFonts w:ascii="Calibri" w:hAnsi="Calibri"/>
        </w:rPr>
        <w:t xml:space="preserve"> The legislative act mentioned above includes the derogation from the provisions of title II</w:t>
      </w:r>
      <w:r w:rsidRPr="00912B6C">
        <w:rPr>
          <w:rFonts w:ascii="Calibri" w:hAnsi="Calibri" w:cs="Arial"/>
          <w:noProof/>
          <w:vertAlign w:val="superscript"/>
          <w:lang w:eastAsia="ro-RO"/>
        </w:rPr>
        <w:footnoteReference w:id="6"/>
      </w:r>
      <w:r>
        <w:rPr>
          <w:rFonts w:ascii="Calibri" w:hAnsi="Calibri"/>
        </w:rPr>
        <w:t xml:space="preserve"> in Law no. 227/2015 on the Fiscal Code, as subsequently amended and supplemented, regulating the specific tax for Romanian legal entities who perform activities corresponding to the NACE codes: 5510 - “Hotels and similar accommodation facilities”, 5520 - “Holiday and other short-stay accommodation”, 5530 - “Camping grounds, recreational vehicle parks and trailer parks”, 5590 - “Other accommodation services”, 5610 - “Restaurants”, 5621 “Event catering activities”, 5629 - “Other catering activities, n.e.c.”, 5630 - “Bars and other beverage serving activities”. At the end of 2017 were collected 0.1 billion Lei, considering that the provisions regarding the payment of this tax entered into force on January 1, 2017, the declaration and payment of the specific tax is made for one semester.</w:t>
      </w:r>
    </w:p>
    <w:p w:rsidR="00912B6C" w:rsidRPr="00912B6C" w:rsidRDefault="00912B6C" w:rsidP="00912B6C">
      <w:pPr>
        <w:spacing w:line="276" w:lineRule="auto"/>
        <w:jc w:val="both"/>
        <w:rPr>
          <w:rFonts w:ascii="Calibri" w:hAnsi="Calibri" w:cs="Arial"/>
          <w:noProof/>
          <w:lang w:val="fr-FR" w:eastAsia="ro-RO"/>
        </w:rPr>
      </w:pPr>
    </w:p>
    <w:p w:rsidR="00912B6C" w:rsidRPr="00912B6C" w:rsidRDefault="00912B6C" w:rsidP="00912B6C">
      <w:pPr>
        <w:numPr>
          <w:ilvl w:val="0"/>
          <w:numId w:val="83"/>
        </w:numPr>
        <w:spacing w:after="160" w:line="276" w:lineRule="auto"/>
        <w:ind w:firstLine="426"/>
        <w:contextualSpacing/>
        <w:jc w:val="both"/>
        <w:rPr>
          <w:rFonts w:ascii="Calibri" w:hAnsi="Calibri" w:cs="Arial"/>
          <w:noProof/>
        </w:rPr>
      </w:pPr>
      <w:r>
        <w:rPr>
          <w:rFonts w:ascii="Calibri" w:hAnsi="Calibri"/>
        </w:rPr>
        <w:t>extension of the scope of the provisions in “TITLE III Tax on the income of microenterprises"</w:t>
      </w:r>
      <w:r w:rsidRPr="00912B6C">
        <w:rPr>
          <w:rFonts w:ascii="Calibri" w:hAnsi="Calibri" w:cs="Arial"/>
          <w:noProof/>
          <w:vertAlign w:val="superscript"/>
          <w:lang w:eastAsia="ro-RO"/>
        </w:rPr>
        <w:footnoteReference w:id="7"/>
      </w:r>
      <w:r>
        <w:rPr>
          <w:rFonts w:ascii="Calibri" w:hAnsi="Calibri"/>
        </w:rPr>
        <w:t xml:space="preserve"> for the Romanian legal entities that have obtained revenues between the equivalent in Lei of EUR 100,000 and the equivalent in Lei of EUR 500,000, at the same time repealing the rate of 2% for the microenterprises which have one employee and entering into force the application of the rate of 1% for microenterprises which have one or several employees</w:t>
      </w:r>
      <w:r w:rsidRPr="00912B6C">
        <w:rPr>
          <w:rFonts w:ascii="Calibri" w:hAnsi="Calibri" w:cs="Arial"/>
          <w:noProof/>
          <w:vertAlign w:val="superscript"/>
          <w:lang w:eastAsia="ro-RO"/>
        </w:rPr>
        <w:footnoteReference w:id="8"/>
      </w:r>
    </w:p>
    <w:p w:rsidR="00912B6C" w:rsidRPr="00912B6C" w:rsidRDefault="00912B6C" w:rsidP="00912B6C">
      <w:pPr>
        <w:spacing w:line="276" w:lineRule="auto"/>
        <w:ind w:left="1196"/>
        <w:contextualSpacing/>
        <w:jc w:val="both"/>
        <w:rPr>
          <w:rFonts w:ascii="Calibri" w:hAnsi="Calibri" w:cs="Arial"/>
          <w:noProof/>
          <w:lang w:val="fr-FR" w:eastAsia="ro-RO"/>
        </w:rPr>
      </w:pPr>
    </w:p>
    <w:p w:rsidR="00912B6C" w:rsidRPr="00912B6C" w:rsidRDefault="00912B6C" w:rsidP="00912B6C">
      <w:pPr>
        <w:spacing w:line="276" w:lineRule="auto"/>
        <w:jc w:val="both"/>
        <w:rPr>
          <w:rFonts w:ascii="Calibri" w:hAnsi="Calibri" w:cs="Arial"/>
          <w:noProof/>
        </w:rPr>
      </w:pPr>
      <w:r>
        <w:rPr>
          <w:rFonts w:ascii="Calibri" w:hAnsi="Calibri"/>
        </w:rPr>
        <w:t xml:space="preserve">Thus, the collections from the revenue of microenterprises in 2017 were of 1.3 billion Lei, recording a growth of 0.5 billion Lei (+59.1%), compared to year 2016. </w:t>
      </w:r>
    </w:p>
    <w:p w:rsidR="00912B6C" w:rsidRPr="00912B6C" w:rsidRDefault="00912B6C" w:rsidP="00912B6C">
      <w:pPr>
        <w:spacing w:line="276" w:lineRule="auto"/>
        <w:jc w:val="both"/>
        <w:rPr>
          <w:rFonts w:ascii="Calibri" w:eastAsia="Calibri" w:hAnsi="Calibri" w:cs="Arial"/>
          <w:noProof/>
        </w:rPr>
      </w:pPr>
      <w:r>
        <w:rPr>
          <w:rFonts w:ascii="Calibri" w:hAnsi="Calibri"/>
        </w:rPr>
        <w:t>Although the level of collections from the corporate income tax from economic agents decreased compared to the previous year, in 2017 compared to 2016, in nominal terms the turnover from market services provided mainly to enterprises, gross series, increased on the whole by 12.8%, due to the increases registered for transport (+15.7%), other services supplied mainly to the enterprises (+15.4%), cinematographic production activities, video, TV programs; program broadcasting and transmission (+14.0%), information services and information technology activities (+4.3%) and communications (+4.2%).</w:t>
      </w:r>
      <w:r w:rsidRPr="00912B6C">
        <w:rPr>
          <w:rFonts w:ascii="Calibri" w:eastAsia="Calibri" w:hAnsi="Calibri" w:cs="Arial"/>
          <w:noProof/>
          <w:vertAlign w:val="superscript"/>
          <w:lang w:eastAsia="ro-RO"/>
        </w:rPr>
        <w:footnoteReference w:id="9"/>
      </w:r>
    </w:p>
    <w:p w:rsidR="00912B6C" w:rsidRPr="00912B6C" w:rsidRDefault="00912B6C" w:rsidP="00912B6C">
      <w:pPr>
        <w:spacing w:line="276" w:lineRule="auto"/>
        <w:ind w:firstLine="624"/>
        <w:jc w:val="both"/>
        <w:rPr>
          <w:rFonts w:ascii="Calibri" w:eastAsia="Calibri" w:hAnsi="Calibri" w:cs="Arial"/>
          <w:noProof/>
        </w:rPr>
      </w:pPr>
      <w:r>
        <w:rPr>
          <w:rFonts w:ascii="Calibri" w:hAnsi="Calibri"/>
        </w:rPr>
        <w:t>Also, the turnover from wholesale trade (with the exception of trade in motor vehicles and motorcycles), gross series, in 2017 compared to 2016, in nominal terms, registered a 7.5% increase due to the increase of non-specialized wholesale trade (+16.5%), specialized wholesale trade of other products (+14.6%), wholesale trade of consumer products, other than food products (+6.8%), wholesale trade of food products, beverages and tobacco (+5.9%), wholesale trade of gross agricultural products and live animals (+5.2%) and wholesale trade of other cars, equipment and supplies (+5.0%).</w:t>
      </w:r>
      <w:r w:rsidRPr="00912B6C">
        <w:rPr>
          <w:rFonts w:ascii="Calibri" w:eastAsia="Calibri" w:hAnsi="Calibri" w:cs="Arial"/>
          <w:noProof/>
          <w:vertAlign w:val="superscript"/>
          <w:lang w:eastAsia="ro-RO"/>
        </w:rPr>
        <w:footnoteReference w:id="10"/>
      </w:r>
      <w:r>
        <w:rPr>
          <w:rFonts w:ascii="Calibri" w:hAnsi="Calibri"/>
        </w:rPr>
        <w:t> </w:t>
      </w:r>
    </w:p>
    <w:p w:rsidR="00912B6C" w:rsidRPr="00912B6C" w:rsidRDefault="00912B6C" w:rsidP="00912B6C">
      <w:pPr>
        <w:spacing w:line="276" w:lineRule="auto"/>
        <w:ind w:left="1134"/>
        <w:jc w:val="both"/>
        <w:rPr>
          <w:rFonts w:ascii="Calibri" w:hAnsi="Calibri" w:cs="Arial"/>
          <w:noProof/>
          <w:lang w:val="fr-FR" w:eastAsia="ro-RO"/>
        </w:rPr>
      </w:pPr>
    </w:p>
    <w:p w:rsidR="00912B6C" w:rsidRPr="00912B6C" w:rsidRDefault="00912B6C" w:rsidP="00912B6C">
      <w:pPr>
        <w:numPr>
          <w:ilvl w:val="0"/>
          <w:numId w:val="82"/>
        </w:numPr>
        <w:spacing w:after="160" w:line="276" w:lineRule="auto"/>
        <w:ind w:left="1134"/>
        <w:jc w:val="both"/>
        <w:rPr>
          <w:rFonts w:ascii="Calibri" w:hAnsi="Calibri" w:cs="Arial"/>
          <w:noProof/>
        </w:rPr>
      </w:pPr>
      <w:r>
        <w:rPr>
          <w:rFonts w:ascii="Calibri" w:hAnsi="Calibri"/>
        </w:rPr>
        <w:t>the corporate income tax paid by commercial banks</w:t>
      </w:r>
      <w:r w:rsidRPr="00912B6C">
        <w:rPr>
          <w:rFonts w:ascii="Calibri" w:hAnsi="Calibri" w:cs="Arial"/>
          <w:noProof/>
          <w:vertAlign w:val="superscript"/>
          <w:lang w:eastAsia="ro-RO"/>
        </w:rPr>
        <w:footnoteReference w:id="11"/>
      </w:r>
      <w:r>
        <w:rPr>
          <w:rFonts w:ascii="Calibri" w:hAnsi="Calibri"/>
        </w:rPr>
        <w:t xml:space="preserve"> presents an ascending trend in 2017 compared to 2016, with a level of collections of 0.7 billion Lei, having a degree of realization of 107.1% in the programme.</w:t>
      </w:r>
    </w:p>
    <w:p w:rsidR="00912B6C" w:rsidRPr="00912B6C" w:rsidRDefault="00912B6C" w:rsidP="00912B6C">
      <w:pPr>
        <w:jc w:val="both"/>
        <w:rPr>
          <w:rFonts w:ascii="Calibri" w:hAnsi="Calibri" w:cs="Arial"/>
          <w:noProof/>
          <w:lang w:val="fr-FR" w:eastAsia="ro-RO"/>
        </w:rPr>
      </w:pPr>
    </w:p>
    <w:p w:rsidR="00912B6C" w:rsidRPr="00912B6C" w:rsidRDefault="00912B6C" w:rsidP="00912B6C">
      <w:pPr>
        <w:spacing w:after="120" w:line="276" w:lineRule="auto"/>
        <w:ind w:right="-57" w:firstLine="624"/>
        <w:jc w:val="both"/>
        <w:rPr>
          <w:rFonts w:ascii="Calibri" w:eastAsia="Calibri" w:hAnsi="Calibri" w:cs="Arial"/>
          <w:noProof/>
        </w:rPr>
      </w:pPr>
      <w:r>
        <w:rPr>
          <w:rFonts w:ascii="Calibri" w:hAnsi="Calibri"/>
        </w:rPr>
        <w:t xml:space="preserve">Collections from the </w:t>
      </w:r>
      <w:r>
        <w:rPr>
          <w:rFonts w:ascii="Calibri" w:hAnsi="Calibri"/>
          <w:b/>
        </w:rPr>
        <w:t>personal income and salaries tax</w:t>
      </w:r>
      <w:r>
        <w:rPr>
          <w:rFonts w:ascii="Calibri" w:hAnsi="Calibri"/>
        </w:rPr>
        <w:t xml:space="preserve"> registered an increase of 8.6%, the positive dynamic being influenced by the increase of the gross salary fund at national level by 18%</w:t>
      </w:r>
      <w:r w:rsidRPr="00912B6C">
        <w:rPr>
          <w:rFonts w:ascii="Calibri" w:eastAsia="Calibri" w:hAnsi="Calibri" w:cs="Arial"/>
          <w:noProof/>
          <w:vertAlign w:val="superscript"/>
          <w:lang w:eastAsia="ro-RO"/>
        </w:rPr>
        <w:footnoteReference w:id="12"/>
      </w:r>
      <w:r>
        <w:rPr>
          <w:rFonts w:ascii="Calibri" w:hAnsi="Calibri"/>
        </w:rPr>
        <w:t>as well as by the increase as of February 1, 2017 of the basic minimum gross salary at country level from Lei 1250 to Lei 1450.</w:t>
      </w:r>
    </w:p>
    <w:p w:rsidR="00912B6C" w:rsidRPr="00912B6C" w:rsidRDefault="00912B6C" w:rsidP="00912B6C">
      <w:pPr>
        <w:spacing w:after="120" w:line="276" w:lineRule="auto"/>
        <w:ind w:right="-57" w:firstLine="624"/>
        <w:jc w:val="both"/>
        <w:rPr>
          <w:rFonts w:ascii="Calibri" w:eastAsia="Calibri" w:hAnsi="Calibri" w:cs="Arial"/>
          <w:noProof/>
        </w:rPr>
      </w:pPr>
      <w:r>
        <w:rPr>
          <w:rFonts w:ascii="Calibri" w:hAnsi="Calibri"/>
        </w:rPr>
        <w:t>A negative evolution was registered by the pension income tax (-35%) influenced by the legislative measures regarding the increase of the monthly non-taxable ceiling for pension revenues from Lei 1000 to Lei 2000 and the exemption of the retired from paying health insurance contributions (as of the month of February 2017).</w:t>
      </w:r>
    </w:p>
    <w:p w:rsidR="00912B6C" w:rsidRPr="00912B6C" w:rsidRDefault="00912B6C" w:rsidP="00912B6C">
      <w:pPr>
        <w:spacing w:line="276" w:lineRule="auto"/>
        <w:ind w:firstLine="624"/>
        <w:jc w:val="both"/>
        <w:rPr>
          <w:rFonts w:ascii="Calibri" w:eastAsia="Calibri" w:hAnsi="Calibri" w:cs="Arial"/>
        </w:rPr>
      </w:pPr>
      <w:r>
        <w:rPr>
          <w:rFonts w:ascii="Calibri" w:hAnsi="Calibri"/>
        </w:rPr>
        <w:t xml:space="preserve">Collections from </w:t>
      </w:r>
      <w:r>
        <w:rPr>
          <w:rFonts w:ascii="Calibri" w:hAnsi="Calibri"/>
          <w:b/>
        </w:rPr>
        <w:t>taxes and charges on ownership</w:t>
      </w:r>
      <w:r>
        <w:rPr>
          <w:rFonts w:ascii="Calibri" w:hAnsi="Calibri"/>
        </w:rPr>
        <w:t xml:space="preserve"> decreased by 9.1% compared to the year 2016, and as ratio in the GDP they decreased by 0.2 pp, the degree of realization of the programme being of 98.7%.</w:t>
      </w:r>
    </w:p>
    <w:p w:rsidR="00912B6C" w:rsidRPr="00912B6C" w:rsidRDefault="00912B6C" w:rsidP="00912B6C">
      <w:pPr>
        <w:spacing w:after="120" w:line="276" w:lineRule="auto"/>
        <w:ind w:firstLine="709"/>
        <w:jc w:val="both"/>
        <w:rPr>
          <w:rFonts w:ascii="Calibri" w:eastAsia="Calibri" w:hAnsi="Calibri" w:cs="Arial"/>
        </w:rPr>
      </w:pPr>
      <w:r>
        <w:rPr>
          <w:rFonts w:ascii="Calibri" w:hAnsi="Calibri"/>
        </w:rPr>
        <w:t>The decrease of collections compared to the previous year was due to the decrease of collections from taxes and charges on ownership at the State budget (-91.0%) based on the elimination of the tax on special constructions as of 2017.</w:t>
      </w:r>
    </w:p>
    <w:p w:rsidR="00912B6C" w:rsidRPr="00912B6C" w:rsidRDefault="00912B6C" w:rsidP="00912B6C">
      <w:pPr>
        <w:spacing w:line="276" w:lineRule="auto"/>
        <w:ind w:firstLine="624"/>
        <w:jc w:val="both"/>
        <w:rPr>
          <w:rFonts w:ascii="Calibri" w:eastAsia="Calibri" w:hAnsi="Calibri" w:cs="Arial"/>
        </w:rPr>
      </w:pPr>
      <w:r>
        <w:rPr>
          <w:rFonts w:ascii="Calibri" w:hAnsi="Calibri"/>
        </w:rPr>
        <w:t xml:space="preserve">Collections from </w:t>
      </w:r>
      <w:r>
        <w:rPr>
          <w:rFonts w:ascii="Calibri" w:hAnsi="Calibri"/>
          <w:b/>
        </w:rPr>
        <w:t>VAT</w:t>
      </w:r>
      <w:r>
        <w:rPr>
          <w:rFonts w:ascii="Calibri" w:hAnsi="Calibri"/>
        </w:rPr>
        <w:t xml:space="preserve"> registered an increase of 3.6% compared to the previous year, the degree of realization of the collections programme being of 101.3%. </w:t>
      </w:r>
    </w:p>
    <w:p w:rsidR="00912B6C" w:rsidRPr="00912B6C" w:rsidRDefault="00912B6C" w:rsidP="00912B6C">
      <w:pPr>
        <w:autoSpaceDE w:val="0"/>
        <w:autoSpaceDN w:val="0"/>
        <w:adjustRightInd w:val="0"/>
        <w:spacing w:line="276" w:lineRule="auto"/>
        <w:ind w:firstLine="624"/>
        <w:jc w:val="both"/>
        <w:rPr>
          <w:rFonts w:ascii="Calibri" w:eastAsia="Calibri" w:hAnsi="Calibri" w:cs="Arial"/>
        </w:rPr>
      </w:pPr>
      <w:r>
        <w:rPr>
          <w:rFonts w:ascii="Calibri" w:hAnsi="Calibri"/>
        </w:rPr>
        <w:t>Compared to the revenues collected during the same period of the previous year, the revenues from value added tax registered an increase of 1.9 billion Lei, considering that the measure of reduction of the standard VAT rate from 20% to 19% was applied as of January 1, 2017, a measure which was reflected in the collections as of February 2017.</w:t>
      </w:r>
    </w:p>
    <w:p w:rsidR="00912B6C" w:rsidRPr="00912B6C" w:rsidRDefault="00912B6C" w:rsidP="00912B6C">
      <w:pPr>
        <w:autoSpaceDE w:val="0"/>
        <w:autoSpaceDN w:val="0"/>
        <w:adjustRightInd w:val="0"/>
        <w:spacing w:line="276" w:lineRule="auto"/>
        <w:ind w:firstLine="624"/>
        <w:jc w:val="both"/>
        <w:rPr>
          <w:rFonts w:ascii="Calibri" w:eastAsia="Calibri" w:hAnsi="Calibri" w:cs="Arial"/>
          <w:noProof/>
          <w:lang w:val="fr-FR" w:eastAsia="ro-RO"/>
        </w:rPr>
      </w:pPr>
    </w:p>
    <w:p w:rsidR="00912B6C" w:rsidRPr="00912B6C" w:rsidRDefault="00912B6C" w:rsidP="00912B6C">
      <w:pPr>
        <w:autoSpaceDE w:val="0"/>
        <w:autoSpaceDN w:val="0"/>
        <w:adjustRightInd w:val="0"/>
        <w:spacing w:line="276" w:lineRule="auto"/>
        <w:ind w:firstLine="720"/>
        <w:jc w:val="both"/>
        <w:rPr>
          <w:rFonts w:ascii="Calibri" w:eastAsia="Calibri" w:hAnsi="Calibri" w:cs="Arial"/>
          <w:noProof/>
        </w:rPr>
      </w:pPr>
      <w:r>
        <w:rPr>
          <w:rFonts w:ascii="Calibri" w:hAnsi="Calibri"/>
        </w:rPr>
        <w:t>In structure, the revenues collected from VAT in 2017 are presented as follows:</w:t>
      </w:r>
    </w:p>
    <w:p w:rsidR="00912B6C" w:rsidRPr="00912B6C" w:rsidRDefault="00912B6C" w:rsidP="00912B6C">
      <w:pPr>
        <w:numPr>
          <w:ilvl w:val="0"/>
          <w:numId w:val="84"/>
        </w:numPr>
        <w:spacing w:after="160" w:line="276" w:lineRule="auto"/>
        <w:ind w:left="1440" w:hanging="164"/>
        <w:jc w:val="both"/>
        <w:rPr>
          <w:rFonts w:ascii="Calibri" w:hAnsi="Calibri" w:cs="Arial"/>
          <w:noProof/>
        </w:rPr>
      </w:pPr>
      <w:r>
        <w:rPr>
          <w:rFonts w:ascii="Calibri" w:hAnsi="Calibri"/>
        </w:rPr>
        <w:t>collections from domestic operations increased by 1.7%, considering that the volume of the turnover for retail trade (with the exception of trade in motor vehicles and motorcycles), gross series, between January 1 and November 30, 2017 compared to the period January 1 - November 30, 2016</w:t>
      </w:r>
      <w:r w:rsidRPr="00912B6C">
        <w:rPr>
          <w:rFonts w:ascii="Calibri" w:hAnsi="Calibri" w:cs="Arial"/>
          <w:noProof/>
          <w:vertAlign w:val="superscript"/>
          <w:lang w:eastAsia="ro-RO"/>
        </w:rPr>
        <w:footnoteReference w:id="13"/>
      </w:r>
      <w:r>
        <w:rPr>
          <w:rFonts w:ascii="Calibri" w:hAnsi="Calibri"/>
        </w:rPr>
        <w:t xml:space="preserve"> registered an increase of 10.3%,</w:t>
      </w:r>
    </w:p>
    <w:p w:rsidR="00912B6C" w:rsidRPr="00912B6C" w:rsidRDefault="00912B6C" w:rsidP="00912B6C">
      <w:pPr>
        <w:spacing w:line="276" w:lineRule="auto"/>
        <w:ind w:firstLine="1276"/>
        <w:rPr>
          <w:rFonts w:ascii="Calibri" w:eastAsia="Calibri" w:hAnsi="Calibri" w:cs="Arial"/>
          <w:noProof/>
        </w:rPr>
      </w:pPr>
      <w:r>
        <w:rPr>
          <w:rFonts w:ascii="Calibri" w:hAnsi="Calibri"/>
        </w:rPr>
        <w:t>- collections from imports of goods increased by 7%,</w:t>
      </w:r>
    </w:p>
    <w:p w:rsidR="00912B6C" w:rsidRPr="00912B6C" w:rsidRDefault="00912B6C" w:rsidP="00912B6C">
      <w:pPr>
        <w:spacing w:line="276" w:lineRule="auto"/>
        <w:ind w:left="1276"/>
        <w:rPr>
          <w:rFonts w:ascii="Calibri" w:eastAsia="Calibri" w:hAnsi="Calibri" w:cs="Arial"/>
          <w:noProof/>
        </w:rPr>
      </w:pPr>
      <w:r>
        <w:rPr>
          <w:rFonts w:ascii="Calibri" w:hAnsi="Calibri"/>
        </w:rPr>
        <w:t>- value of value added tax returns decreased by 3%.</w:t>
      </w:r>
    </w:p>
    <w:p w:rsidR="00912B6C" w:rsidRPr="00912B6C" w:rsidRDefault="00912B6C" w:rsidP="00912B6C">
      <w:pPr>
        <w:spacing w:after="120" w:line="276" w:lineRule="auto"/>
        <w:ind w:firstLine="720"/>
        <w:jc w:val="both"/>
        <w:rPr>
          <w:rFonts w:ascii="Calibri" w:eastAsia="Calibri" w:hAnsi="Calibri" w:cs="Arial"/>
          <w:noProof/>
        </w:rPr>
      </w:pPr>
      <w:r>
        <w:rPr>
          <w:rFonts w:ascii="Calibri" w:hAnsi="Calibri"/>
        </w:rPr>
        <w:t>With regard to the value of extra-Community exchanges of goods</w:t>
      </w:r>
      <w:r w:rsidRPr="00912B6C">
        <w:rPr>
          <w:rFonts w:ascii="Calibri" w:eastAsia="Calibri" w:hAnsi="Calibri" w:cs="Arial"/>
          <w:vertAlign w:val="superscript"/>
        </w:rPr>
        <w:footnoteReference w:id="14"/>
      </w:r>
      <w:r>
        <w:rPr>
          <w:rFonts w:ascii="Calibri" w:hAnsi="Calibri"/>
        </w:rPr>
        <w:t xml:space="preserve"> (Extra-EU28) it increased by 21.2% for imports and by 8.7% for exports (at values expressed in Lei) between January 1 and November 30, 2017 compared to the similar period of the previous year. </w:t>
      </w:r>
    </w:p>
    <w:p w:rsidR="00912B6C" w:rsidRPr="00912B6C" w:rsidRDefault="00912B6C" w:rsidP="00912B6C">
      <w:pPr>
        <w:spacing w:after="120" w:line="276" w:lineRule="auto"/>
        <w:ind w:firstLine="624"/>
        <w:jc w:val="both"/>
        <w:rPr>
          <w:rFonts w:ascii="Calibri" w:eastAsia="Calibri" w:hAnsi="Calibri" w:cs="Arial"/>
        </w:rPr>
      </w:pPr>
      <w:r>
        <w:rPr>
          <w:rFonts w:ascii="Calibri" w:hAnsi="Calibri"/>
        </w:rPr>
        <w:t xml:space="preserve">Collections from </w:t>
      </w:r>
      <w:r>
        <w:rPr>
          <w:rFonts w:ascii="Calibri" w:hAnsi="Calibri"/>
          <w:b/>
        </w:rPr>
        <w:t>excise duties</w:t>
      </w:r>
      <w:r>
        <w:rPr>
          <w:rFonts w:ascii="Calibri" w:hAnsi="Calibri"/>
        </w:rPr>
        <w:t xml:space="preserve"> were of 26.6 billion Lei, decreasing by 1.3% compared to the previous year and with a degree of realization of the annual programme of 99.8%.</w:t>
      </w:r>
    </w:p>
    <w:p w:rsidR="00912B6C" w:rsidRPr="00912B6C" w:rsidRDefault="00912B6C" w:rsidP="00912B6C">
      <w:pPr>
        <w:autoSpaceDE w:val="0"/>
        <w:autoSpaceDN w:val="0"/>
        <w:adjustRightInd w:val="0"/>
        <w:spacing w:line="276" w:lineRule="auto"/>
        <w:ind w:firstLine="709"/>
        <w:jc w:val="both"/>
        <w:rPr>
          <w:rFonts w:ascii="Calibri" w:eastAsia="Calibri" w:hAnsi="Calibri" w:cs="Arial"/>
        </w:rPr>
      </w:pPr>
      <w:r>
        <w:rPr>
          <w:rFonts w:ascii="Calibri" w:hAnsi="Calibri"/>
        </w:rPr>
        <w:t>Collections from excise duties on energy products for year 2017 registered 14.3 billion Lei, representing 53.8% of total yearly collections, being 6.0% lower compared to the same period of the previous year. Collections from excise duties on energy products were influenced in legislative terms by the entry into force as of January 1, 2017 of the provisions of Law no. 227/2015 on the decrease of the level of excise duties on energy products.</w:t>
      </w:r>
    </w:p>
    <w:p w:rsidR="00912B6C" w:rsidRPr="00912B6C" w:rsidRDefault="00912B6C" w:rsidP="00912B6C">
      <w:pPr>
        <w:autoSpaceDE w:val="0"/>
        <w:autoSpaceDN w:val="0"/>
        <w:adjustRightInd w:val="0"/>
        <w:spacing w:line="276" w:lineRule="auto"/>
        <w:jc w:val="both"/>
        <w:rPr>
          <w:rFonts w:ascii="Calibri" w:eastAsia="Calibri" w:hAnsi="Calibri" w:cs="Arial"/>
        </w:rPr>
      </w:pPr>
      <w:r>
        <w:rPr>
          <w:rFonts w:ascii="Calibri" w:hAnsi="Calibri"/>
        </w:rPr>
        <w:t xml:space="preserve">            Collections from excise duties on tobacco at the State budget for year 2017 registered 9.8 billion Lei, representing 39.1 % of total yearly collections, </w:t>
      </w:r>
      <w:r w:rsidR="00F00F75">
        <w:rPr>
          <w:rFonts w:ascii="Calibri" w:hAnsi="Calibri"/>
        </w:rPr>
        <w:t>and being</w:t>
      </w:r>
      <w:r>
        <w:rPr>
          <w:rFonts w:ascii="Calibri" w:hAnsi="Calibri"/>
        </w:rPr>
        <w:t xml:space="preserve"> 5.3 % bigger compared to the same period of the previous year.</w:t>
      </w:r>
    </w:p>
    <w:p w:rsidR="00912B6C" w:rsidRPr="00912B6C" w:rsidRDefault="00912B6C" w:rsidP="00912B6C">
      <w:pPr>
        <w:autoSpaceDE w:val="0"/>
        <w:autoSpaceDN w:val="0"/>
        <w:adjustRightInd w:val="0"/>
        <w:spacing w:after="120" w:line="276" w:lineRule="auto"/>
        <w:ind w:firstLine="709"/>
        <w:jc w:val="both"/>
        <w:rPr>
          <w:rFonts w:ascii="Calibri" w:eastAsia="Calibri" w:hAnsi="Calibri" w:cs="Arial"/>
        </w:rPr>
      </w:pPr>
      <w:r>
        <w:rPr>
          <w:rFonts w:ascii="Calibri" w:hAnsi="Calibri"/>
        </w:rPr>
        <w:t>Collections from excise duties on tobacco from 2016 had an atypical tendency compared to those of previous years, being influenced by the uncertainties related to the date of approval of the transposition of the Tobacco directive into the national legislation, which brought major amendments to the conditions of manufacturing and sale of tobacco products. In November 2016 was approved Law no. 201/2016, which eliminated the existing uncertainties. The level of the excise duty increased from Lei 430.71/1000 cigarettes in 2016 to Lei 435.58/1000 cigarettes in 2017, according to a schedule approved for the period 2017-2022, of the excise duties for certain products from processed tobacco, like: cigarettes, finely cut smoking tobacco, dedicated to rolling cigarettes and other smoking tobacco.</w:t>
      </w:r>
      <w:r>
        <w:rPr>
          <w:rFonts w:ascii="Calibri" w:hAnsi="Calibri"/>
          <w:color w:val="000000"/>
        </w:rPr>
        <w:t xml:space="preserve"> In this respect, starting with July 24, 2017, the level of excise duties for cigarettes was increased from Lei 435.58/1000 cigarettes to Lei 439.94/1000 cigarettes.</w:t>
      </w:r>
    </w:p>
    <w:p w:rsidR="00912B6C" w:rsidRPr="00912B6C" w:rsidRDefault="00912B6C" w:rsidP="00912B6C">
      <w:pPr>
        <w:spacing w:after="120" w:line="276" w:lineRule="auto"/>
        <w:ind w:firstLine="709"/>
        <w:jc w:val="both"/>
        <w:rPr>
          <w:rFonts w:ascii="Calibri" w:eastAsia="Calibri" w:hAnsi="Calibri" w:cs="Arial"/>
          <w:bCs/>
        </w:rPr>
      </w:pPr>
      <w:r>
        <w:rPr>
          <w:rFonts w:ascii="Calibri" w:hAnsi="Calibri"/>
          <w:bCs/>
        </w:rPr>
        <w:t xml:space="preserve">The collections from </w:t>
      </w:r>
      <w:r>
        <w:rPr>
          <w:rFonts w:ascii="Calibri" w:hAnsi="Calibri"/>
          <w:b/>
          <w:bCs/>
        </w:rPr>
        <w:t>other taxes and charges on goods and services</w:t>
      </w:r>
      <w:r>
        <w:rPr>
          <w:rFonts w:ascii="Calibri" w:hAnsi="Calibri"/>
          <w:bCs/>
        </w:rPr>
        <w:t xml:space="preserve"> increased by 37.9% compared to 2016, the schedule of collections being made up to 90.9% due to the failure to achieve the revenues provided for the national single health fund, respectively the quarterly contribution for financing of certain expenditures in the health field (compared to an estimated level of 2.4 billion Lei, only 2.1 billion Lei were collected, the biggest failure coming from the contribution owed for cost-volume/cost-volume-result agreements). </w:t>
      </w:r>
    </w:p>
    <w:p w:rsidR="00912B6C" w:rsidRPr="00912B6C" w:rsidRDefault="00912B6C" w:rsidP="00912B6C">
      <w:pPr>
        <w:spacing w:after="120" w:line="276" w:lineRule="auto"/>
        <w:ind w:firstLine="624"/>
        <w:jc w:val="both"/>
        <w:rPr>
          <w:rFonts w:ascii="Calibri" w:eastAsia="Calibri" w:hAnsi="Calibri" w:cs="Arial"/>
        </w:rPr>
      </w:pPr>
      <w:r>
        <w:rPr>
          <w:rFonts w:ascii="Calibri" w:hAnsi="Calibri"/>
        </w:rPr>
        <w:t xml:space="preserve">The collections from </w:t>
      </w:r>
      <w:r>
        <w:rPr>
          <w:rFonts w:ascii="Calibri" w:hAnsi="Calibri"/>
          <w:b/>
        </w:rPr>
        <w:t>charges on the use of goods, the authorization of the use of goods or the performance of activities</w:t>
      </w:r>
      <w:r>
        <w:rPr>
          <w:rFonts w:ascii="Calibri" w:hAnsi="Calibri"/>
        </w:rPr>
        <w:t xml:space="preserve"> totaled 2.9 billion Lei, 9.5% less compared to the previous year. </w:t>
      </w:r>
    </w:p>
    <w:p w:rsidR="00912B6C" w:rsidRPr="00912B6C" w:rsidRDefault="00912B6C" w:rsidP="00912B6C">
      <w:pPr>
        <w:spacing w:after="120" w:line="276" w:lineRule="auto"/>
        <w:ind w:firstLine="624"/>
        <w:jc w:val="both"/>
        <w:rPr>
          <w:rFonts w:ascii="Calibri" w:eastAsia="Calibri" w:hAnsi="Calibri" w:cs="Arial"/>
        </w:rPr>
      </w:pPr>
      <w:r>
        <w:rPr>
          <w:rFonts w:ascii="Calibri" w:hAnsi="Calibri"/>
        </w:rPr>
        <w:t>The decrease of collections for the charge on the use of goods, the authorization of the use of goods or the performance of activities was due to the decrease by 86.3% compared to the previous year of the collections of the budget of institutions/activities financed entirely and/or partially from own revenues, mainly as a result of the elimination</w:t>
      </w:r>
      <w:r w:rsidRPr="00912B6C">
        <w:rPr>
          <w:rFonts w:ascii="Calibri" w:eastAsia="Calibri" w:hAnsi="Calibri" w:cs="Arial"/>
          <w:vertAlign w:val="superscript"/>
        </w:rPr>
        <w:footnoteReference w:id="15"/>
      </w:r>
      <w:r>
        <w:rPr>
          <w:rFonts w:ascii="Calibri" w:hAnsi="Calibri"/>
        </w:rPr>
        <w:t xml:space="preserve"> of the environmental stamp for motor vehicles.</w:t>
      </w:r>
    </w:p>
    <w:p w:rsidR="00912B6C" w:rsidRPr="00912B6C" w:rsidRDefault="00912B6C" w:rsidP="00912B6C">
      <w:pPr>
        <w:spacing w:after="120" w:line="276" w:lineRule="auto"/>
        <w:ind w:firstLine="624"/>
        <w:jc w:val="both"/>
        <w:rPr>
          <w:rFonts w:ascii="Calibri" w:eastAsia="Calibri" w:hAnsi="Calibri" w:cs="Arial"/>
        </w:rPr>
      </w:pPr>
      <w:r>
        <w:rPr>
          <w:rFonts w:ascii="Calibri" w:hAnsi="Calibri"/>
        </w:rPr>
        <w:t xml:space="preserve">The collections from the </w:t>
      </w:r>
      <w:r>
        <w:rPr>
          <w:rFonts w:ascii="Calibri" w:hAnsi="Calibri"/>
          <w:b/>
        </w:rPr>
        <w:t>tax on foreign trade and international transactions</w:t>
      </w:r>
      <w:r>
        <w:rPr>
          <w:rFonts w:ascii="Calibri" w:hAnsi="Calibri"/>
        </w:rPr>
        <w:t xml:space="preserve"> increased by 5.7% compared to the same period of the previous year, based on the increase of the value of extra-Community exchanges of goods</w:t>
      </w:r>
      <w:r w:rsidRPr="00912B6C">
        <w:rPr>
          <w:rFonts w:ascii="Calibri" w:eastAsia="Calibri" w:hAnsi="Calibri" w:cs="Arial"/>
          <w:vertAlign w:val="superscript"/>
        </w:rPr>
        <w:footnoteReference w:id="16"/>
      </w:r>
      <w:r>
        <w:rPr>
          <w:rFonts w:ascii="Calibri" w:hAnsi="Calibri"/>
        </w:rPr>
        <w:t xml:space="preserve"> (Extra-EU28) by 21.2% at imports.  </w:t>
      </w:r>
    </w:p>
    <w:p w:rsidR="00912B6C" w:rsidRPr="00912B6C" w:rsidRDefault="00912B6C" w:rsidP="00912B6C">
      <w:pPr>
        <w:spacing w:after="120" w:line="276" w:lineRule="auto"/>
        <w:ind w:firstLine="624"/>
        <w:jc w:val="both"/>
        <w:rPr>
          <w:rFonts w:ascii="Calibri" w:eastAsia="Calibri" w:hAnsi="Calibri" w:cs="Arial"/>
        </w:rPr>
      </w:pPr>
      <w:r>
        <w:rPr>
          <w:rFonts w:ascii="Calibri" w:hAnsi="Calibri"/>
        </w:rPr>
        <w:t xml:space="preserve">The collections from </w:t>
      </w:r>
      <w:r>
        <w:rPr>
          <w:rFonts w:ascii="Calibri" w:hAnsi="Calibri"/>
          <w:b/>
        </w:rPr>
        <w:t>insurance contributions</w:t>
      </w:r>
      <w:r>
        <w:rPr>
          <w:rFonts w:ascii="Calibri" w:hAnsi="Calibri"/>
        </w:rPr>
        <w:t xml:space="preserve"> increased by 17.0% on the basis of the positive evolution of the number of employees, of the average gross salary, of the minimum salary, as well as of the salary increased given to certain categories of employees from the public sector. </w:t>
      </w:r>
    </w:p>
    <w:p w:rsidR="00912B6C" w:rsidRPr="00912B6C" w:rsidRDefault="00912B6C" w:rsidP="00912B6C">
      <w:pPr>
        <w:spacing w:line="276" w:lineRule="auto"/>
        <w:ind w:firstLine="708"/>
        <w:jc w:val="both"/>
        <w:rPr>
          <w:rFonts w:ascii="Calibri" w:eastAsia="Calibri" w:hAnsi="Calibri" w:cs="Arial"/>
        </w:rPr>
      </w:pPr>
      <w:r>
        <w:rPr>
          <w:rFonts w:ascii="Calibri" w:hAnsi="Calibri"/>
        </w:rPr>
        <w:t>Compared to 2016 were registered increases at the budget of social insurance by 19.1%, at the unemployment budget of 16.5% and at the budget of the national single fund for health insurance by 11.6%.</w:t>
      </w:r>
    </w:p>
    <w:p w:rsidR="00912B6C" w:rsidRPr="00912B6C" w:rsidRDefault="00912B6C" w:rsidP="00912B6C">
      <w:pPr>
        <w:autoSpaceDE w:val="0"/>
        <w:autoSpaceDN w:val="0"/>
        <w:adjustRightInd w:val="0"/>
        <w:spacing w:line="276" w:lineRule="auto"/>
        <w:ind w:firstLine="851"/>
        <w:contextualSpacing/>
        <w:jc w:val="both"/>
        <w:rPr>
          <w:rFonts w:ascii="Calibri" w:eastAsia="Calibri" w:hAnsi="Calibri" w:cs="Arial"/>
          <w:noProof/>
        </w:rPr>
      </w:pPr>
      <w:r>
        <w:rPr>
          <w:rFonts w:ascii="Calibri" w:hAnsi="Calibri"/>
        </w:rPr>
        <w:t>The increase of social contributions in the case of the social insurance budget by 19.1% is over the evolution of the gross salary fund at national level of 18.1%</w:t>
      </w:r>
      <w:r w:rsidRPr="00912B6C">
        <w:rPr>
          <w:rFonts w:ascii="Calibri" w:eastAsia="Calibri" w:hAnsi="Calibri" w:cs="Arial"/>
          <w:noProof/>
          <w:vertAlign w:val="superscript"/>
          <w:lang w:eastAsia="ro-RO"/>
        </w:rPr>
        <w:footnoteReference w:id="17"/>
      </w:r>
      <w:r>
        <w:rPr>
          <w:rFonts w:ascii="Calibri" w:hAnsi="Calibri"/>
        </w:rPr>
        <w:t xml:space="preserve"> , being influenced by legislative measures like the elimination of the maximum ceiling of 5 average gross salaries and the introduction of the payment obligation for contributions owed by the employers at the level of the minimum guaranteed gross salary at country level for part-time employees and full-time employees whose salaries are below Lei 1450.</w:t>
      </w:r>
    </w:p>
    <w:p w:rsidR="00912B6C" w:rsidRPr="00912B6C" w:rsidRDefault="00912B6C" w:rsidP="00912B6C">
      <w:pPr>
        <w:spacing w:line="276" w:lineRule="auto"/>
        <w:ind w:firstLine="630"/>
        <w:jc w:val="both"/>
        <w:rPr>
          <w:rFonts w:ascii="Calibri" w:eastAsia="Calibri" w:hAnsi="Calibri" w:cs="Arial"/>
        </w:rPr>
      </w:pPr>
      <w:r>
        <w:rPr>
          <w:rFonts w:ascii="Calibri" w:hAnsi="Calibri"/>
        </w:rPr>
        <w:t xml:space="preserve">     The amounts transferred from the social insurance budget to Pension Pillar II totaled 7.1 billion Lei, which represented 99.3% of the annual programme estimated for Pension Pillar II. </w:t>
      </w:r>
    </w:p>
    <w:p w:rsidR="00912B6C" w:rsidRPr="00912B6C" w:rsidRDefault="00912B6C" w:rsidP="00912B6C">
      <w:pPr>
        <w:autoSpaceDE w:val="0"/>
        <w:autoSpaceDN w:val="0"/>
        <w:adjustRightInd w:val="0"/>
        <w:spacing w:line="276" w:lineRule="auto"/>
        <w:ind w:firstLine="851"/>
        <w:contextualSpacing/>
        <w:jc w:val="both"/>
        <w:rPr>
          <w:rFonts w:ascii="Calibri" w:hAnsi="Calibri" w:cs="Arial"/>
          <w:noProof/>
        </w:rPr>
      </w:pPr>
      <w:r>
        <w:rPr>
          <w:rFonts w:ascii="Calibri" w:hAnsi="Calibri"/>
          <w:b/>
        </w:rPr>
        <w:t>Social contributions collected at the unemployment insurance budget</w:t>
      </w:r>
      <w:r>
        <w:rPr>
          <w:rFonts w:ascii="Calibri" w:hAnsi="Calibri"/>
        </w:rPr>
        <w:t xml:space="preserve"> were of 2.2 billion Lei, i.e. 16.5% over the collections registered in the same period of the previous year, the degree of achievement of the collection program being of 98.5%. </w:t>
      </w:r>
    </w:p>
    <w:p w:rsidR="00912B6C" w:rsidRPr="00912B6C" w:rsidRDefault="00912B6C" w:rsidP="00912B6C">
      <w:pPr>
        <w:autoSpaceDE w:val="0"/>
        <w:autoSpaceDN w:val="0"/>
        <w:adjustRightInd w:val="0"/>
        <w:spacing w:line="276" w:lineRule="auto"/>
        <w:ind w:firstLine="851"/>
        <w:contextualSpacing/>
        <w:jc w:val="both"/>
        <w:rPr>
          <w:rFonts w:ascii="Calibri" w:hAnsi="Calibri" w:cs="Arial"/>
          <w:noProof/>
        </w:rPr>
      </w:pPr>
      <w:r>
        <w:rPr>
          <w:rFonts w:ascii="Calibri" w:hAnsi="Calibri"/>
          <w:b/>
        </w:rPr>
        <w:t>Social contributions collected at the national single health insurance fund</w:t>
      </w:r>
      <w:r>
        <w:rPr>
          <w:rFonts w:ascii="Calibri" w:hAnsi="Calibri"/>
        </w:rPr>
        <w:t xml:space="preserve"> were of 23.8 billion Lei, i.e. 11.6% over the collections registered in the same period of the previous year, the degree of achievement of the collection program being of 98.6%. </w:t>
      </w:r>
    </w:p>
    <w:p w:rsidR="00912B6C" w:rsidRPr="00912B6C" w:rsidRDefault="00912B6C" w:rsidP="00912B6C">
      <w:pPr>
        <w:spacing w:after="120" w:line="276" w:lineRule="auto"/>
        <w:ind w:right="-57" w:firstLine="1134"/>
        <w:jc w:val="both"/>
        <w:rPr>
          <w:rFonts w:ascii="Calibri" w:hAnsi="Calibri" w:cs="Arial"/>
          <w:noProof/>
        </w:rPr>
      </w:pPr>
      <w:r>
        <w:rPr>
          <w:rFonts w:ascii="Calibri" w:hAnsi="Calibri"/>
        </w:rPr>
        <w:t>A negative evolution compared to the previous year was registered for the collections from the health insurance contribution owed by the retired, which was influenced by the legislative measure related to exempting the retired from paying health insurance contributions (as of February 2017).</w:t>
      </w:r>
    </w:p>
    <w:p w:rsidR="00912B6C" w:rsidRPr="00912B6C" w:rsidRDefault="00912B6C" w:rsidP="00912B6C">
      <w:pPr>
        <w:spacing w:before="120" w:line="276" w:lineRule="auto"/>
        <w:ind w:firstLine="709"/>
        <w:jc w:val="both"/>
        <w:rPr>
          <w:rFonts w:ascii="Calibri" w:eastAsia="Calibri" w:hAnsi="Calibri" w:cs="Arial"/>
        </w:rPr>
      </w:pPr>
      <w:r>
        <w:rPr>
          <w:rFonts w:ascii="Calibri" w:hAnsi="Calibri"/>
          <w:b/>
        </w:rPr>
        <w:t>Non-fiscal revenues</w:t>
      </w:r>
      <w:r>
        <w:rPr>
          <w:rFonts w:ascii="Calibri" w:hAnsi="Calibri"/>
        </w:rPr>
        <w:t xml:space="preserve"> of 2017 totaled 21.9 billion Lei (2.6% of GDP), i.e. 21.2% bigger than the collections of 2016. </w:t>
      </w:r>
    </w:p>
    <w:p w:rsidR="00912B6C" w:rsidRPr="00912B6C" w:rsidRDefault="00912B6C" w:rsidP="00912B6C">
      <w:pPr>
        <w:spacing w:after="120" w:line="276" w:lineRule="auto"/>
        <w:ind w:firstLine="624"/>
        <w:jc w:val="both"/>
        <w:rPr>
          <w:rFonts w:ascii="Calibri" w:eastAsia="Calibri" w:hAnsi="Calibri" w:cs="Arial"/>
        </w:rPr>
      </w:pPr>
      <w:r>
        <w:rPr>
          <w:rFonts w:ascii="Calibri" w:hAnsi="Calibri"/>
        </w:rPr>
        <w:t>The positive evolution of the collections in the case of non-fiscal revenues compared to the previous year was mainly due to the increase registered in the case of revenues from ownership (+87%), at the State budget, due to the increase of the revenues from dividends and of the transfers from the net profit of autonomous administrations (+3.2 billion Lei), of the transfers from the net revenues of the N.B.R.</w:t>
      </w:r>
      <w:r>
        <w:rPr>
          <w:rFonts w:ascii="Calibri" w:hAnsi="Calibri"/>
          <w:color w:val="000000"/>
        </w:rPr>
        <w:t xml:space="preserve"> (+0.1 billion Lei), as well as of the revenues and amounts from the sale of greenhouse gas emission certificates (+0.2 billion Lei). A measure with positive impact on the revenues from ownership was represented by the introduction in 2017 in the scope of distribution of the revenues from dividends of the amounts distributed in previous years from other reserves, as well as of the distribution of the carried over result existing in the balance at the end of every year. </w:t>
      </w:r>
    </w:p>
    <w:p w:rsidR="00912B6C" w:rsidRPr="00912B6C" w:rsidRDefault="00912B6C" w:rsidP="00912B6C">
      <w:pPr>
        <w:spacing w:line="276" w:lineRule="auto"/>
        <w:ind w:firstLine="709"/>
        <w:jc w:val="both"/>
        <w:rPr>
          <w:rFonts w:ascii="Calibri" w:eastAsia="Calibri" w:hAnsi="Calibri" w:cs="Arial"/>
        </w:rPr>
      </w:pPr>
      <w:r>
        <w:rPr>
          <w:rFonts w:ascii="Calibri" w:hAnsi="Calibri"/>
          <w:b/>
        </w:rPr>
        <w:t>The amounts received from the European Union</w:t>
      </w:r>
      <w:r>
        <w:rPr>
          <w:rFonts w:ascii="Calibri" w:hAnsi="Calibri"/>
        </w:rPr>
        <w:t xml:space="preserve"> on account of the payments made (including donations), in 2017, were of 17.3 billion Lei, i.e. 247.6% over the level registered in 2016. </w:t>
      </w:r>
    </w:p>
    <w:p w:rsidR="00912B6C" w:rsidRPr="00912B6C" w:rsidRDefault="00912B6C" w:rsidP="00912B6C">
      <w:pPr>
        <w:spacing w:line="276" w:lineRule="auto"/>
        <w:ind w:firstLine="709"/>
        <w:jc w:val="both"/>
        <w:rPr>
          <w:rFonts w:ascii="Calibri" w:eastAsia="Calibri" w:hAnsi="Calibri" w:cs="Arial"/>
        </w:rPr>
      </w:pPr>
      <w:r>
        <w:rPr>
          <w:rFonts w:ascii="Calibri" w:hAnsi="Calibri"/>
        </w:rPr>
        <w:t>Also, as ratio in the GDP, they registered an increase of 1.1 percentage points, from 0.9% in 2016 to 2.0% in 2017.</w:t>
      </w:r>
    </w:p>
    <w:p w:rsidR="00912B6C" w:rsidRPr="00912B6C" w:rsidRDefault="00912B6C" w:rsidP="00912B6C">
      <w:pPr>
        <w:spacing w:line="276" w:lineRule="auto"/>
        <w:jc w:val="both"/>
        <w:rPr>
          <w:rFonts w:ascii="Calibri" w:eastAsia="Calibri" w:hAnsi="Calibri" w:cs="Arial"/>
          <w:b/>
          <w:bCs/>
          <w:sz w:val="4"/>
          <w:lang w:val="fr-FR"/>
        </w:rPr>
      </w:pPr>
    </w:p>
    <w:p w:rsidR="00912B6C" w:rsidRPr="00912B6C" w:rsidRDefault="00912B6C" w:rsidP="00912B6C">
      <w:pPr>
        <w:spacing w:line="276" w:lineRule="auto"/>
        <w:jc w:val="both"/>
        <w:rPr>
          <w:rFonts w:ascii="Calibri" w:eastAsia="Calibri" w:hAnsi="Calibri" w:cs="Arial"/>
          <w:b/>
          <w:bCs/>
        </w:rPr>
      </w:pPr>
      <w:r>
        <w:rPr>
          <w:rFonts w:ascii="Calibri" w:hAnsi="Calibri"/>
          <w:b/>
          <w:bCs/>
        </w:rPr>
        <w:t>Expenditures of the general consolidated budget</w:t>
      </w:r>
    </w:p>
    <w:p w:rsidR="00912B6C" w:rsidRPr="00912B6C" w:rsidRDefault="00912B6C" w:rsidP="00912B6C">
      <w:pPr>
        <w:spacing w:before="120" w:line="276" w:lineRule="auto"/>
        <w:ind w:firstLine="624"/>
        <w:jc w:val="both"/>
        <w:rPr>
          <w:rFonts w:ascii="Calibri" w:eastAsia="Calibri" w:hAnsi="Calibri" w:cs="Arial"/>
          <w:bCs/>
        </w:rPr>
      </w:pPr>
      <w:r>
        <w:rPr>
          <w:rFonts w:ascii="Calibri" w:hAnsi="Calibri"/>
          <w:b/>
          <w:bCs/>
        </w:rPr>
        <w:t>The expenditures of the general consolidated budget</w:t>
      </w:r>
      <w:r>
        <w:rPr>
          <w:rFonts w:ascii="Calibri" w:hAnsi="Calibri"/>
          <w:bCs/>
        </w:rPr>
        <w:t xml:space="preserve"> in 2017 totaled 276.2 billion Lei, representing 32.2% of the GDP and a degree of realization compared to the established level of 98.0%.</w:t>
      </w:r>
    </w:p>
    <w:p w:rsidR="00912B6C" w:rsidRPr="00912B6C" w:rsidRDefault="00DF768F" w:rsidP="00912B6C">
      <w:pPr>
        <w:spacing w:before="120" w:line="276" w:lineRule="auto"/>
        <w:jc w:val="both"/>
        <w:rPr>
          <w:rFonts w:ascii="Calibri" w:eastAsia="Calibri" w:hAnsi="Calibri" w:cs="Arial"/>
        </w:rPr>
      </w:pPr>
      <w:r>
        <w:rPr>
          <w:rFonts w:ascii="Calibri" w:hAnsi="Calibri"/>
          <w:noProof/>
          <w:lang w:val="ro-RO" w:eastAsia="ro-RO"/>
        </w:rPr>
        <mc:AlternateContent>
          <mc:Choice Requires="wps">
            <w:drawing>
              <wp:anchor distT="0" distB="0" distL="114300" distR="114300" simplePos="0" relativeHeight="251705856" behindDoc="0" locked="0" layoutInCell="1" allowOverlap="1">
                <wp:simplePos x="0" y="0"/>
                <wp:positionH relativeFrom="column">
                  <wp:posOffset>218440</wp:posOffset>
                </wp:positionH>
                <wp:positionV relativeFrom="paragraph">
                  <wp:posOffset>2112645</wp:posOffset>
                </wp:positionV>
                <wp:extent cx="1194435" cy="271780"/>
                <wp:effectExtent l="8890" t="7620" r="6350" b="6350"/>
                <wp:wrapNone/>
                <wp:docPr id="695"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4435" cy="271780"/>
                        </a:xfrm>
                        <a:prstGeom prst="rect">
                          <a:avLst/>
                        </a:prstGeom>
                        <a:solidFill>
                          <a:srgbClr val="FFFFFF"/>
                        </a:solidFill>
                        <a:ln w="9525">
                          <a:solidFill>
                            <a:srgbClr val="000000"/>
                          </a:solidFill>
                          <a:miter lim="800000"/>
                          <a:headEnd/>
                          <a:tailEnd/>
                        </a:ln>
                      </wps:spPr>
                      <wps:txbx>
                        <w:txbxContent>
                          <w:p w:rsidR="005063CB" w:rsidRPr="00832CED" w:rsidRDefault="005063CB" w:rsidP="00832CED">
                            <w:pPr>
                              <w:rPr>
                                <w:sz w:val="16"/>
                              </w:rPr>
                            </w:pPr>
                            <w:r>
                              <w:rPr>
                                <w:sz w:val="16"/>
                              </w:rPr>
                              <w:t>Personnel expenditures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3" o:spid="_x0000_s1058" style="position:absolute;left:0;text-align:left;margin-left:17.2pt;margin-top:166.35pt;width:94.05pt;height:21.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">
                <v:textbox>
                  <w:txbxContent>
                    <w:p w:rsidR="005063CB" w:rsidRPr="00832CED" w:rsidRDefault="005063CB" w:rsidP="00832CED">
                      <w:pPr>
                        <w:rPr>
                          <w:sz w:val="16"/>
                        </w:rPr>
                      </w:pPr>
                      <w:r>
                        <w:rPr>
                          <w:sz w:val="16"/>
                        </w:rPr>
                        <w:t>Personnel expenditures</w:t>
                      </w:r>
                    </w:p>
                  </w:txbxContent>
                </v:textbox>
              </v:rect>
            </w:pict>
          </mc:Fallback>
        </mc:AlternateContent>
      </w:r>
      <w:r>
        <w:rPr>
          <w:rFonts w:ascii="Calibri" w:eastAsia="Calibri" w:hAnsi="Calibri" w:cs="Arial"/>
          <w:b/>
          <w:bCs/>
          <w:noProof/>
          <w:lang w:val="ro-RO" w:eastAsia="ro-RO"/>
        </w:rPr>
        <mc:AlternateContent>
          <mc:Choice Requires="wps">
            <w:drawing>
              <wp:anchor distT="0" distB="0" distL="114300" distR="114300" simplePos="0" relativeHeight="251704832" behindDoc="0" locked="0" layoutInCell="1" allowOverlap="1">
                <wp:simplePos x="0" y="0"/>
                <wp:positionH relativeFrom="column">
                  <wp:posOffset>375285</wp:posOffset>
                </wp:positionH>
                <wp:positionV relativeFrom="paragraph">
                  <wp:posOffset>1840865</wp:posOffset>
                </wp:positionV>
                <wp:extent cx="1037590" cy="271780"/>
                <wp:effectExtent l="13335" t="12065" r="6350" b="11430"/>
                <wp:wrapNone/>
                <wp:docPr id="694"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7590" cy="271780"/>
                        </a:xfrm>
                        <a:prstGeom prst="rect">
                          <a:avLst/>
                        </a:prstGeom>
                        <a:solidFill>
                          <a:srgbClr val="FFFFFF"/>
                        </a:solidFill>
                        <a:ln w="9525">
                          <a:solidFill>
                            <a:srgbClr val="000000"/>
                          </a:solidFill>
                          <a:miter lim="800000"/>
                          <a:headEnd/>
                          <a:tailEnd/>
                        </a:ln>
                      </wps:spPr>
                      <wps:txbx>
                        <w:txbxContent>
                          <w:p w:rsidR="005063CB" w:rsidRPr="00832CED" w:rsidRDefault="005063CB" w:rsidP="00832CED">
                            <w:pPr>
                              <w:rPr>
                                <w:sz w:val="16"/>
                              </w:rPr>
                            </w:pPr>
                            <w:r>
                              <w:rPr>
                                <w:sz w:val="16"/>
                              </w:rPr>
                              <w:t>Goods and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059" style="position:absolute;left:0;text-align:left;margin-left:29.55pt;margin-top:144.95pt;width:81.7pt;height:21.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">
                <v:textbox>
                  <w:txbxContent>
                    <w:p w:rsidR="005063CB" w:rsidRPr="00832CED" w:rsidRDefault="005063CB" w:rsidP="00832CED">
                      <w:pPr>
                        <w:rPr>
                          <w:sz w:val="16"/>
                        </w:rPr>
                      </w:pPr>
                      <w:r>
                        <w:rPr>
                          <w:sz w:val="16"/>
                        </w:rPr>
                        <w:t>Goods and services</w:t>
                      </w:r>
                    </w:p>
                  </w:txbxContent>
                </v:textbox>
              </v:rect>
            </w:pict>
          </mc:Fallback>
        </mc:AlternateContent>
      </w:r>
      <w:r>
        <w:rPr>
          <w:rFonts w:ascii="Calibri" w:eastAsia="Calibri" w:hAnsi="Calibri" w:cs="Arial"/>
          <w:b/>
          <w:bCs/>
          <w:noProof/>
          <w:lang w:val="ro-RO" w:eastAsia="ro-RO"/>
        </w:rPr>
        <mc:AlternateContent>
          <mc:Choice Requires="wps">
            <w:drawing>
              <wp:anchor distT="0" distB="0" distL="114300" distR="114300" simplePos="0" relativeHeight="251703808" behindDoc="0" locked="0" layoutInCell="1" allowOverlap="1">
                <wp:simplePos x="0" y="0"/>
                <wp:positionH relativeFrom="column">
                  <wp:posOffset>770255</wp:posOffset>
                </wp:positionH>
                <wp:positionV relativeFrom="paragraph">
                  <wp:posOffset>1684655</wp:posOffset>
                </wp:positionV>
                <wp:extent cx="642620" cy="206375"/>
                <wp:effectExtent l="8255" t="8255" r="6350" b="13970"/>
                <wp:wrapNone/>
                <wp:docPr id="693"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20" cy="206375"/>
                        </a:xfrm>
                        <a:prstGeom prst="rect">
                          <a:avLst/>
                        </a:prstGeom>
                        <a:solidFill>
                          <a:srgbClr val="FFFFFF"/>
                        </a:solidFill>
                        <a:ln w="9525">
                          <a:solidFill>
                            <a:srgbClr val="000000"/>
                          </a:solidFill>
                          <a:miter lim="800000"/>
                          <a:headEnd/>
                          <a:tailEnd/>
                        </a:ln>
                      </wps:spPr>
                      <wps:txbx>
                        <w:txbxContent>
                          <w:p w:rsidR="005063CB" w:rsidRPr="00832CED" w:rsidRDefault="005063CB" w:rsidP="00832CED">
                            <w:pPr>
                              <w:rPr>
                                <w:sz w:val="16"/>
                              </w:rPr>
                            </w:pPr>
                            <w:r>
                              <w:rPr>
                                <w:sz w:val="16"/>
                              </w:rPr>
                              <w:t>Interests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060" style="position:absolute;left:0;text-align:left;margin-left:60.65pt;margin-top:132.65pt;width:50.6pt;height:16.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">
                <v:textbox>
                  <w:txbxContent>
                    <w:p w:rsidR="005063CB" w:rsidRPr="00832CED" w:rsidRDefault="005063CB" w:rsidP="00832CED">
                      <w:pPr>
                        <w:rPr>
                          <w:sz w:val="16"/>
                        </w:rPr>
                      </w:pPr>
                      <w:r>
                        <w:rPr>
                          <w:sz w:val="16"/>
                        </w:rPr>
                        <w:t>Interests</w:t>
                      </w:r>
                    </w:p>
                  </w:txbxContent>
                </v:textbox>
              </v:rect>
            </w:pict>
          </mc:Fallback>
        </mc:AlternateContent>
      </w:r>
      <w:r>
        <w:rPr>
          <w:rFonts w:ascii="Calibri" w:eastAsia="Calibri" w:hAnsi="Calibri" w:cs="Arial"/>
          <w:b/>
          <w:bCs/>
          <w:noProof/>
          <w:lang w:val="ro-RO" w:eastAsia="ro-RO"/>
        </w:rPr>
        <mc:AlternateContent>
          <mc:Choice Requires="wps">
            <w:drawing>
              <wp:anchor distT="0" distB="0" distL="114300" distR="114300" simplePos="0" relativeHeight="251702784" behindDoc="0" locked="0" layoutInCell="1" allowOverlap="1">
                <wp:simplePos x="0" y="0"/>
                <wp:positionH relativeFrom="column">
                  <wp:posOffset>737235</wp:posOffset>
                </wp:positionH>
                <wp:positionV relativeFrom="paragraph">
                  <wp:posOffset>1527810</wp:posOffset>
                </wp:positionV>
                <wp:extent cx="675640" cy="213995"/>
                <wp:effectExtent l="13335" t="13335" r="6350" b="10795"/>
                <wp:wrapNone/>
                <wp:docPr id="692"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640" cy="213995"/>
                        </a:xfrm>
                        <a:prstGeom prst="rect">
                          <a:avLst/>
                        </a:prstGeom>
                        <a:solidFill>
                          <a:srgbClr val="FFFFFF"/>
                        </a:solidFill>
                        <a:ln w="9525">
                          <a:solidFill>
                            <a:srgbClr val="000000"/>
                          </a:solidFill>
                          <a:miter lim="800000"/>
                          <a:headEnd/>
                          <a:tailEnd/>
                        </a:ln>
                      </wps:spPr>
                      <wps:txbx>
                        <w:txbxContent>
                          <w:p w:rsidR="005063CB" w:rsidRPr="00832CED" w:rsidRDefault="005063CB" w:rsidP="00832CED">
                            <w:pPr>
                              <w:rPr>
                                <w:sz w:val="16"/>
                              </w:rPr>
                            </w:pPr>
                            <w:r>
                              <w:rPr>
                                <w:sz w:val="16"/>
                              </w:rPr>
                              <w:t>Subsidies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61" style="position:absolute;left:0;text-align:left;margin-left:58.05pt;margin-top:120.3pt;width:53.2pt;height:16.8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">
                <v:textbox>
                  <w:txbxContent>
                    <w:p w:rsidR="005063CB" w:rsidRPr="00832CED" w:rsidRDefault="005063CB" w:rsidP="00832CED">
                      <w:pPr>
                        <w:rPr>
                          <w:sz w:val="16"/>
                        </w:rPr>
                      </w:pPr>
                      <w:r>
                        <w:rPr>
                          <w:sz w:val="16"/>
                        </w:rPr>
                        <w:t>Subsidies</w:t>
                      </w:r>
                    </w:p>
                  </w:txbxContent>
                </v:textbox>
              </v:rect>
            </w:pict>
          </mc:Fallback>
        </mc:AlternateContent>
      </w:r>
      <w:r>
        <w:rPr>
          <w:rFonts w:ascii="Calibri" w:eastAsia="Calibri" w:hAnsi="Calibri" w:cs="Arial"/>
          <w:b/>
          <w:bCs/>
          <w:noProof/>
          <w:lang w:val="ro-RO" w:eastAsia="ro-RO"/>
        </w:rPr>
        <mc:AlternateContent>
          <mc:Choice Requires="wps">
            <w:drawing>
              <wp:anchor distT="0" distB="0" distL="114300" distR="114300" simplePos="0" relativeHeight="251701760" behindDoc="0" locked="0" layoutInCell="1" allowOverlap="1">
                <wp:simplePos x="0" y="0"/>
                <wp:positionH relativeFrom="column">
                  <wp:posOffset>160655</wp:posOffset>
                </wp:positionH>
                <wp:positionV relativeFrom="paragraph">
                  <wp:posOffset>1297305</wp:posOffset>
                </wp:positionV>
                <wp:extent cx="1252220" cy="329565"/>
                <wp:effectExtent l="8255" t="11430" r="6350" b="11430"/>
                <wp:wrapNone/>
                <wp:docPr id="691"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2220" cy="329565"/>
                        </a:xfrm>
                        <a:prstGeom prst="rect">
                          <a:avLst/>
                        </a:prstGeom>
                        <a:solidFill>
                          <a:srgbClr val="FFFFFF"/>
                        </a:solidFill>
                        <a:ln w="9525">
                          <a:solidFill>
                            <a:srgbClr val="000000"/>
                          </a:solidFill>
                          <a:miter lim="800000"/>
                          <a:headEnd/>
                          <a:tailEnd/>
                        </a:ln>
                      </wps:spPr>
                      <wps:txbx>
                        <w:txbxContent>
                          <w:p w:rsidR="005063CB" w:rsidRPr="00832CED" w:rsidRDefault="005063CB" w:rsidP="00832CED">
                            <w:pPr>
                              <w:rPr>
                                <w:sz w:val="16"/>
                              </w:rPr>
                            </w:pPr>
                            <w:r>
                              <w:rPr>
                                <w:sz w:val="16"/>
                              </w:rPr>
                              <w:t>Projects financed from ENF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9" o:spid="_x0000_s1062" style="position:absolute;left:0;text-align:left;margin-left:12.65pt;margin-top:102.15pt;width:98.6pt;height:25.9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">
                <v:textbox>
                  <w:txbxContent>
                    <w:p w:rsidR="005063CB" w:rsidRPr="00832CED" w:rsidRDefault="005063CB" w:rsidP="00832CED">
                      <w:pPr>
                        <w:rPr>
                          <w:sz w:val="16"/>
                        </w:rPr>
                      </w:pPr>
                      <w:r>
                        <w:rPr>
                          <w:sz w:val="16"/>
                        </w:rPr>
                        <w:t>Projects financed from ENF</w:t>
                      </w:r>
                    </w:p>
                  </w:txbxContent>
                </v:textbox>
              </v:rect>
            </w:pict>
          </mc:Fallback>
        </mc:AlternateContent>
      </w:r>
      <w:r>
        <w:rPr>
          <w:rFonts w:ascii="Calibri" w:hAnsi="Calibri"/>
          <w:noProof/>
          <w:lang w:val="ro-RO" w:eastAsia="ro-RO"/>
        </w:rPr>
        <mc:AlternateContent>
          <mc:Choice Requires="wps">
            <w:drawing>
              <wp:anchor distT="0" distB="0" distL="114300" distR="114300" simplePos="0" relativeHeight="251700736" behindDoc="0" locked="0" layoutInCell="1" allowOverlap="1">
                <wp:simplePos x="0" y="0"/>
                <wp:positionH relativeFrom="column">
                  <wp:posOffset>375285</wp:posOffset>
                </wp:positionH>
                <wp:positionV relativeFrom="paragraph">
                  <wp:posOffset>1025525</wp:posOffset>
                </wp:positionV>
                <wp:extent cx="1037590" cy="271780"/>
                <wp:effectExtent l="13335" t="6350" r="6350" b="7620"/>
                <wp:wrapNone/>
                <wp:docPr id="690"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7590" cy="271780"/>
                        </a:xfrm>
                        <a:prstGeom prst="rect">
                          <a:avLst/>
                        </a:prstGeom>
                        <a:solidFill>
                          <a:srgbClr val="FFFFFF"/>
                        </a:solidFill>
                        <a:ln w="9525">
                          <a:solidFill>
                            <a:srgbClr val="000000"/>
                          </a:solidFill>
                          <a:miter lim="800000"/>
                          <a:headEnd/>
                          <a:tailEnd/>
                        </a:ln>
                      </wps:spPr>
                      <wps:txbx>
                        <w:txbxContent>
                          <w:p w:rsidR="005063CB" w:rsidRPr="00832CED" w:rsidRDefault="005063CB" w:rsidP="00832CED">
                            <w:pPr>
                              <w:rPr>
                                <w:sz w:val="16"/>
                              </w:rPr>
                            </w:pPr>
                            <w:r>
                              <w:rPr>
                                <w:sz w:val="16"/>
                              </w:rPr>
                              <w:t>Social assistance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063" style="position:absolute;left:0;text-align:left;margin-left:29.55pt;margin-top:80.75pt;width:81.7pt;height:21.4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">
                <v:textbox>
                  <w:txbxContent>
                    <w:p w:rsidR="005063CB" w:rsidRPr="00832CED" w:rsidRDefault="005063CB" w:rsidP="00832CED">
                      <w:pPr>
                        <w:rPr>
                          <w:sz w:val="16"/>
                        </w:rPr>
                      </w:pPr>
                      <w:r>
                        <w:rPr>
                          <w:sz w:val="16"/>
                        </w:rPr>
                        <w:t>Social assistance</w:t>
                      </w:r>
                    </w:p>
                  </w:txbxContent>
                </v:textbox>
              </v:rect>
            </w:pict>
          </mc:Fallback>
        </mc:AlternateContent>
      </w:r>
      <w:r>
        <w:rPr>
          <w:rFonts w:ascii="Calibri" w:eastAsia="Calibri" w:hAnsi="Calibri" w:cs="Arial"/>
          <w:b/>
          <w:bCs/>
          <w:noProof/>
          <w:lang w:val="ro-RO" w:eastAsia="ro-RO"/>
        </w:rPr>
        <mc:AlternateContent>
          <mc:Choice Requires="wps">
            <w:drawing>
              <wp:anchor distT="0" distB="0" distL="114300" distR="114300" simplePos="0" relativeHeight="251699712" behindDoc="0" locked="0" layoutInCell="1" allowOverlap="1">
                <wp:simplePos x="0" y="0"/>
                <wp:positionH relativeFrom="column">
                  <wp:posOffset>375285</wp:posOffset>
                </wp:positionH>
                <wp:positionV relativeFrom="paragraph">
                  <wp:posOffset>836295</wp:posOffset>
                </wp:positionV>
                <wp:extent cx="1037590" cy="271780"/>
                <wp:effectExtent l="13335" t="7620" r="6350" b="6350"/>
                <wp:wrapNone/>
                <wp:docPr id="689"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7590" cy="271780"/>
                        </a:xfrm>
                        <a:prstGeom prst="rect">
                          <a:avLst/>
                        </a:prstGeom>
                        <a:solidFill>
                          <a:srgbClr val="FFFFFF"/>
                        </a:solidFill>
                        <a:ln w="9525">
                          <a:solidFill>
                            <a:srgbClr val="000000"/>
                          </a:solidFill>
                          <a:miter lim="800000"/>
                          <a:headEnd/>
                          <a:tailEnd/>
                        </a:ln>
                      </wps:spPr>
                      <wps:txbx>
                        <w:txbxContent>
                          <w:p w:rsidR="005063CB" w:rsidRPr="00832CED" w:rsidRDefault="005063CB" w:rsidP="00832CED">
                            <w:pPr>
                              <w:rPr>
                                <w:sz w:val="16"/>
                              </w:rPr>
                            </w:pPr>
                            <w:r>
                              <w:rPr>
                                <w:sz w:val="16"/>
                              </w:rPr>
                              <w:t>Capital expenditures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7" o:spid="_x0000_s1064" style="position:absolute;left:0;text-align:left;margin-left:29.55pt;margin-top:65.85pt;width:81.7pt;height:21.4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">
                <v:textbox>
                  <w:txbxContent>
                    <w:p w:rsidR="005063CB" w:rsidRPr="00832CED" w:rsidRDefault="005063CB" w:rsidP="00832CED">
                      <w:pPr>
                        <w:rPr>
                          <w:sz w:val="16"/>
                        </w:rPr>
                      </w:pPr>
                      <w:r>
                        <w:rPr>
                          <w:sz w:val="16"/>
                        </w:rPr>
                        <w:t>Capital expenditures</w:t>
                      </w:r>
                    </w:p>
                  </w:txbxContent>
                </v:textbox>
              </v:rect>
            </w:pict>
          </mc:Fallback>
        </mc:AlternateContent>
      </w:r>
      <w:r>
        <w:rPr>
          <w:rFonts w:ascii="Calibri" w:eastAsia="Calibri" w:hAnsi="Calibri" w:cs="Arial"/>
          <w:b/>
          <w:bCs/>
          <w:noProof/>
          <w:lang w:val="ro-RO" w:eastAsia="ro-RO"/>
        </w:rPr>
        <mc:AlternateContent>
          <mc:Choice Requires="wps">
            <w:drawing>
              <wp:anchor distT="0" distB="0" distL="114300" distR="114300" simplePos="0" relativeHeight="251698688" behindDoc="0" locked="0" layoutInCell="1" allowOverlap="1">
                <wp:simplePos x="0" y="0"/>
                <wp:positionH relativeFrom="column">
                  <wp:posOffset>375285</wp:posOffset>
                </wp:positionH>
                <wp:positionV relativeFrom="paragraph">
                  <wp:posOffset>564515</wp:posOffset>
                </wp:positionV>
                <wp:extent cx="1037590" cy="271780"/>
                <wp:effectExtent l="13335" t="12065" r="6350" b="11430"/>
                <wp:wrapNone/>
                <wp:docPr id="688"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7590" cy="271780"/>
                        </a:xfrm>
                        <a:prstGeom prst="rect">
                          <a:avLst/>
                        </a:prstGeom>
                        <a:solidFill>
                          <a:srgbClr val="FFFFFF"/>
                        </a:solidFill>
                        <a:ln w="9525">
                          <a:solidFill>
                            <a:srgbClr val="000000"/>
                          </a:solidFill>
                          <a:miter lim="800000"/>
                          <a:headEnd/>
                          <a:tailEnd/>
                        </a:ln>
                      </wps:spPr>
                      <wps:txbx>
                        <w:txbxContent>
                          <w:p w:rsidR="005063CB" w:rsidRPr="00832CED" w:rsidRDefault="005063CB" w:rsidP="00832CED">
                            <w:pPr>
                              <w:rPr>
                                <w:sz w:val="16"/>
                              </w:rPr>
                            </w:pPr>
                            <w:r>
                              <w:rPr>
                                <w:sz w:val="16"/>
                              </w:rPr>
                              <w:t>Other expenditures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6" o:spid="_x0000_s1065" style="position:absolute;left:0;text-align:left;margin-left:29.55pt;margin-top:44.45pt;width:81.7pt;height:21.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">
                <v:textbox>
                  <w:txbxContent>
                    <w:p w:rsidR="005063CB" w:rsidRPr="00832CED" w:rsidRDefault="005063CB" w:rsidP="00832CED">
                      <w:pPr>
                        <w:rPr>
                          <w:sz w:val="16"/>
                        </w:rPr>
                      </w:pPr>
                      <w:r>
                        <w:rPr>
                          <w:sz w:val="16"/>
                        </w:rPr>
                        <w:t>Other expenditures</w:t>
                      </w:r>
                    </w:p>
                  </w:txbxContent>
                </v:textbox>
              </v:rect>
            </w:pict>
          </mc:Fallback>
        </mc:AlternateContent>
      </w:r>
      <w:r>
        <w:rPr>
          <w:rFonts w:ascii="Calibri" w:eastAsia="Calibri" w:hAnsi="Calibri" w:cs="Arial"/>
          <w:b/>
          <w:bCs/>
          <w:noProof/>
          <w:lang w:val="ro-RO" w:eastAsia="ro-RO"/>
        </w:rPr>
        <mc:AlternateContent>
          <mc:Choice Requires="wps">
            <w:drawing>
              <wp:anchor distT="0" distB="0" distL="114300" distR="114300" simplePos="0" relativeHeight="251697664" behindDoc="0" locked="0" layoutInCell="1" allowOverlap="1">
                <wp:simplePos x="0" y="0"/>
                <wp:positionH relativeFrom="column">
                  <wp:posOffset>713105</wp:posOffset>
                </wp:positionH>
                <wp:positionV relativeFrom="paragraph">
                  <wp:posOffset>144145</wp:posOffset>
                </wp:positionV>
                <wp:extent cx="4679315" cy="271780"/>
                <wp:effectExtent l="8255" t="10795" r="8255" b="12700"/>
                <wp:wrapNone/>
                <wp:docPr id="687"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315" cy="271780"/>
                        </a:xfrm>
                        <a:prstGeom prst="rect">
                          <a:avLst/>
                        </a:prstGeom>
                        <a:solidFill>
                          <a:srgbClr val="FFFFFF"/>
                        </a:solidFill>
                        <a:ln w="9525">
                          <a:solidFill>
                            <a:srgbClr val="000000"/>
                          </a:solidFill>
                          <a:miter lim="800000"/>
                          <a:headEnd/>
                          <a:tailEnd/>
                        </a:ln>
                      </wps:spPr>
                      <wps:txbx>
                        <w:txbxContent>
                          <w:p w:rsidR="005063CB" w:rsidRPr="00832CED" w:rsidRDefault="005063CB">
                            <w:pPr>
                              <w:rPr>
                                <w:sz w:val="20"/>
                              </w:rPr>
                            </w:pPr>
                            <w:r w:rsidRPr="00832CED">
                              <w:rPr>
                                <w:sz w:val="20"/>
                              </w:rPr>
                              <w:t>Degree of realization of the expenditures of the general consolidated budget in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066" style="position:absolute;left:0;text-align:left;margin-left:56.15pt;margin-top:11.35pt;width:368.45pt;height:21.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">
                <v:textbox>
                  <w:txbxContent>
                    <w:p w:rsidR="005063CB" w:rsidRPr="00832CED" w:rsidRDefault="005063CB">
                      <w:pPr>
                        <w:rPr>
                          <w:sz w:val="20"/>
                        </w:rPr>
                      </w:pPr>
                      <w:r w:rsidRPr="00832CED">
                        <w:rPr>
                          <w:sz w:val="20"/>
                        </w:rPr>
                        <w:t>Degree of realization of the expenditures of the general consolidated budget in 2017</w:t>
                      </w:r>
                    </w:p>
                  </w:txbxContent>
                </v:textbox>
              </v:rect>
            </w:pict>
          </mc:Fallback>
        </mc:AlternateContent>
      </w:r>
      <w:r w:rsidR="00912B6C">
        <w:rPr>
          <w:rFonts w:ascii="Calibri" w:hAnsi="Calibri"/>
          <w:noProof/>
          <w:lang w:val="ro-RO" w:eastAsia="ro-RO"/>
        </w:rPr>
        <w:drawing>
          <wp:inline distT="0" distB="0" distL="0" distR="0" wp14:anchorId="4E3E8AF3" wp14:editId="50656571">
            <wp:extent cx="5981700" cy="26060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1700" cy="2606040"/>
                    </a:xfrm>
                    <a:prstGeom prst="rect">
                      <a:avLst/>
                    </a:prstGeom>
                    <a:noFill/>
                    <a:ln>
                      <a:noFill/>
                    </a:ln>
                  </pic:spPr>
                </pic:pic>
              </a:graphicData>
            </a:graphic>
          </wp:inline>
        </w:drawing>
      </w:r>
    </w:p>
    <w:p w:rsidR="00912B6C" w:rsidRPr="00912B6C" w:rsidRDefault="00912B6C" w:rsidP="00912B6C">
      <w:pPr>
        <w:tabs>
          <w:tab w:val="left" w:pos="3261"/>
        </w:tabs>
        <w:spacing w:line="276" w:lineRule="auto"/>
        <w:ind w:firstLine="624"/>
        <w:jc w:val="center"/>
        <w:rPr>
          <w:rFonts w:ascii="Calibri" w:eastAsia="Calibri" w:hAnsi="Calibri" w:cs="Arial"/>
          <w:b/>
          <w:bCs/>
          <w:sz w:val="8"/>
        </w:rPr>
      </w:pPr>
    </w:p>
    <w:p w:rsidR="00912B6C" w:rsidRPr="00912B6C" w:rsidRDefault="00912B6C" w:rsidP="00912B6C">
      <w:pPr>
        <w:tabs>
          <w:tab w:val="left" w:pos="3261"/>
        </w:tabs>
        <w:spacing w:line="276" w:lineRule="auto"/>
        <w:ind w:firstLine="624"/>
        <w:jc w:val="center"/>
        <w:rPr>
          <w:rFonts w:ascii="Calibri" w:eastAsia="Calibri" w:hAnsi="Calibri" w:cs="Arial"/>
          <w:b/>
          <w:bCs/>
        </w:rPr>
      </w:pPr>
    </w:p>
    <w:p w:rsidR="00912B6C" w:rsidRPr="00912B6C" w:rsidRDefault="00912B6C" w:rsidP="00912B6C">
      <w:pPr>
        <w:spacing w:before="120" w:line="276" w:lineRule="auto"/>
        <w:ind w:right="6" w:firstLine="720"/>
        <w:jc w:val="both"/>
        <w:rPr>
          <w:rFonts w:ascii="Calibri" w:eastAsia="Calibri" w:hAnsi="Calibri" w:cs="Arial"/>
          <w:bCs/>
        </w:rPr>
      </w:pPr>
      <w:r>
        <w:rPr>
          <w:rFonts w:ascii="Calibri" w:hAnsi="Calibri"/>
        </w:rPr>
        <w:t xml:space="preserve">With regard to the degree of realization of the annual program, the main categories of budget expenditures registered the following evolutions: </w:t>
      </w:r>
      <w:r>
        <w:rPr>
          <w:rFonts w:ascii="Calibri" w:hAnsi="Calibri"/>
          <w:bCs/>
        </w:rPr>
        <w:t>personnel expenditures of 100%, expenditures for goods and services of 103.1%, expenditures for interests of 97.7%, expenditures for subsidies of 89.8%, expenditures for social assistance of 99.1%, capital expenditures of 104%.</w:t>
      </w:r>
    </w:p>
    <w:p w:rsidR="00912B6C" w:rsidRDefault="00912B6C" w:rsidP="00912B6C">
      <w:pPr>
        <w:tabs>
          <w:tab w:val="left" w:pos="3261"/>
        </w:tabs>
        <w:spacing w:line="276" w:lineRule="auto"/>
        <w:ind w:firstLine="624"/>
        <w:jc w:val="center"/>
        <w:rPr>
          <w:rFonts w:ascii="Calibri" w:eastAsia="Calibri" w:hAnsi="Calibri" w:cs="Arial"/>
          <w:b/>
          <w:bCs/>
        </w:rPr>
      </w:pPr>
    </w:p>
    <w:p w:rsidR="009C2F7C" w:rsidRDefault="009C2F7C" w:rsidP="00912B6C">
      <w:pPr>
        <w:tabs>
          <w:tab w:val="left" w:pos="3261"/>
        </w:tabs>
        <w:spacing w:line="276" w:lineRule="auto"/>
        <w:ind w:firstLine="624"/>
        <w:jc w:val="center"/>
        <w:rPr>
          <w:rFonts w:ascii="Calibri" w:eastAsia="Calibri" w:hAnsi="Calibri" w:cs="Arial"/>
          <w:b/>
          <w:bCs/>
        </w:rPr>
      </w:pPr>
    </w:p>
    <w:p w:rsidR="00912B6C" w:rsidRPr="00912B6C" w:rsidRDefault="00912B6C" w:rsidP="00912B6C">
      <w:pPr>
        <w:tabs>
          <w:tab w:val="left" w:pos="3261"/>
        </w:tabs>
        <w:spacing w:line="276" w:lineRule="auto"/>
        <w:ind w:firstLine="624"/>
        <w:jc w:val="center"/>
        <w:rPr>
          <w:rFonts w:ascii="Calibri" w:eastAsia="Calibri" w:hAnsi="Calibri" w:cs="Arial"/>
          <w:b/>
          <w:bCs/>
        </w:rPr>
      </w:pPr>
      <w:r>
        <w:rPr>
          <w:rFonts w:ascii="Calibri" w:hAnsi="Calibri"/>
          <w:b/>
          <w:bCs/>
        </w:rPr>
        <w:t>Structure of the budget expenditures</w:t>
      </w:r>
    </w:p>
    <w:p w:rsidR="00912B6C" w:rsidRPr="00912B6C" w:rsidRDefault="00912B6C" w:rsidP="00912B6C">
      <w:pPr>
        <w:tabs>
          <w:tab w:val="left" w:pos="3261"/>
        </w:tabs>
        <w:spacing w:line="276" w:lineRule="auto"/>
        <w:ind w:firstLine="624"/>
        <w:jc w:val="center"/>
        <w:rPr>
          <w:rFonts w:ascii="Calibri" w:eastAsia="Calibri" w:hAnsi="Calibri" w:cs="Arial"/>
          <w:b/>
          <w:bCs/>
          <w:color w:val="FF0000"/>
          <w:sz w:val="10"/>
        </w:rPr>
      </w:pPr>
    </w:p>
    <w:p w:rsidR="00912B6C" w:rsidRPr="00912B6C" w:rsidRDefault="00DF768F" w:rsidP="00912B6C">
      <w:pPr>
        <w:spacing w:line="276" w:lineRule="auto"/>
        <w:jc w:val="both"/>
        <w:rPr>
          <w:rFonts w:ascii="Calibri" w:eastAsia="Calibri" w:hAnsi="Calibri" w:cs="Arial"/>
          <w:color w:val="FF0000"/>
        </w:rPr>
      </w:pPr>
      <w:r>
        <w:rPr>
          <w:rFonts w:ascii="Calibri" w:hAnsi="Calibri"/>
          <w:noProof/>
          <w:lang w:val="ro-RO" w:eastAsia="ro-RO"/>
        </w:rPr>
        <mc:AlternateContent>
          <mc:Choice Requires="wps">
            <w:drawing>
              <wp:anchor distT="0" distB="0" distL="114300" distR="114300" simplePos="0" relativeHeight="251712000" behindDoc="0" locked="0" layoutInCell="1" allowOverlap="1">
                <wp:simplePos x="0" y="0"/>
                <wp:positionH relativeFrom="column">
                  <wp:posOffset>2138680</wp:posOffset>
                </wp:positionH>
                <wp:positionV relativeFrom="paragraph">
                  <wp:posOffset>2000250</wp:posOffset>
                </wp:positionV>
                <wp:extent cx="1383665" cy="272415"/>
                <wp:effectExtent l="5080" t="9525" r="11430" b="13335"/>
                <wp:wrapNone/>
                <wp:docPr id="686"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665" cy="272415"/>
                        </a:xfrm>
                        <a:prstGeom prst="rect">
                          <a:avLst/>
                        </a:prstGeom>
                        <a:solidFill>
                          <a:srgbClr val="FFFFFF"/>
                        </a:solidFill>
                        <a:ln w="9525">
                          <a:solidFill>
                            <a:srgbClr val="000000"/>
                          </a:solidFill>
                          <a:miter lim="800000"/>
                          <a:headEnd/>
                          <a:tailEnd/>
                        </a:ln>
                      </wps:spPr>
                      <wps:txbx>
                        <w:txbxContent>
                          <w:p w:rsidR="005063CB" w:rsidRPr="00832CED" w:rsidRDefault="005063CB" w:rsidP="00832CED">
                            <w:pPr>
                              <w:rPr>
                                <w:sz w:val="18"/>
                              </w:rPr>
                            </w:pPr>
                            <w:r>
                              <w:rPr>
                                <w:sz w:val="18"/>
                              </w:rPr>
                              <w:t>Social assistance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9" o:spid="_x0000_s1067" style="position:absolute;left:0;text-align:left;margin-left:168.4pt;margin-top:157.5pt;width:108.95pt;height:21.4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">
                <v:textbox>
                  <w:txbxContent>
                    <w:p w:rsidR="005063CB" w:rsidRPr="00832CED" w:rsidRDefault="005063CB" w:rsidP="00832CED">
                      <w:pPr>
                        <w:rPr>
                          <w:sz w:val="18"/>
                        </w:rPr>
                      </w:pPr>
                      <w:r>
                        <w:rPr>
                          <w:sz w:val="18"/>
                        </w:rPr>
                        <w:t>Social assistance</w:t>
                      </w:r>
                    </w:p>
                  </w:txbxContent>
                </v:textbox>
              </v:rect>
            </w:pict>
          </mc:Fallback>
        </mc:AlternateContent>
      </w:r>
      <w:r>
        <w:rPr>
          <w:rFonts w:ascii="Calibri" w:hAnsi="Calibri"/>
          <w:noProof/>
          <w:lang w:val="ro-RO" w:eastAsia="ro-RO"/>
        </w:rPr>
        <mc:AlternateContent>
          <mc:Choice Requires="wps">
            <w:drawing>
              <wp:anchor distT="0" distB="0" distL="114300" distR="114300" simplePos="0" relativeHeight="251710976" behindDoc="0" locked="0" layoutInCell="1" allowOverlap="1">
                <wp:simplePos x="0" y="0"/>
                <wp:positionH relativeFrom="column">
                  <wp:posOffset>2138680</wp:posOffset>
                </wp:positionH>
                <wp:positionV relativeFrom="paragraph">
                  <wp:posOffset>1473200</wp:posOffset>
                </wp:positionV>
                <wp:extent cx="790575" cy="527050"/>
                <wp:effectExtent l="5080" t="6350" r="13970" b="9525"/>
                <wp:wrapNone/>
                <wp:docPr id="685"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527050"/>
                        </a:xfrm>
                        <a:prstGeom prst="rect">
                          <a:avLst/>
                        </a:prstGeom>
                        <a:solidFill>
                          <a:srgbClr val="FFFFFF"/>
                        </a:solidFill>
                        <a:ln w="9525">
                          <a:solidFill>
                            <a:srgbClr val="000000"/>
                          </a:solidFill>
                          <a:miter lim="800000"/>
                          <a:headEnd/>
                          <a:tailEnd/>
                        </a:ln>
                      </wps:spPr>
                      <wps:txbx>
                        <w:txbxContent>
                          <w:p w:rsidR="005063CB" w:rsidRPr="00832CED" w:rsidRDefault="005063CB" w:rsidP="00832CED">
                            <w:pPr>
                              <w:rPr>
                                <w:sz w:val="18"/>
                              </w:rPr>
                            </w:pPr>
                            <w:r>
                              <w:rPr>
                                <w:sz w:val="18"/>
                              </w:rPr>
                              <w:t>Projects financed from ENF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068" style="position:absolute;left:0;text-align:left;margin-left:168.4pt;margin-top:116pt;width:62.25pt;height:41.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">
                <v:textbox>
                  <w:txbxContent>
                    <w:p w:rsidR="005063CB" w:rsidRPr="00832CED" w:rsidRDefault="005063CB" w:rsidP="00832CED">
                      <w:pPr>
                        <w:rPr>
                          <w:sz w:val="18"/>
                        </w:rPr>
                      </w:pPr>
                      <w:r>
                        <w:rPr>
                          <w:sz w:val="18"/>
                        </w:rPr>
                        <w:t>Projects financed from ENF</w:t>
                      </w:r>
                    </w:p>
                  </w:txbxContent>
                </v:textbox>
              </v:rect>
            </w:pict>
          </mc:Fallback>
        </mc:AlternateContent>
      </w:r>
      <w:r>
        <w:rPr>
          <w:rFonts w:ascii="Calibri" w:hAnsi="Calibri"/>
          <w:noProof/>
          <w:lang w:val="ro-RO" w:eastAsia="ro-RO"/>
        </w:rPr>
        <mc:AlternateContent>
          <mc:Choice Requires="wps">
            <w:drawing>
              <wp:anchor distT="0" distB="0" distL="114300" distR="114300" simplePos="0" relativeHeight="251709952" behindDoc="0" locked="0" layoutInCell="1" allowOverlap="1">
                <wp:simplePos x="0" y="0"/>
                <wp:positionH relativeFrom="column">
                  <wp:posOffset>2138680</wp:posOffset>
                </wp:positionH>
                <wp:positionV relativeFrom="paragraph">
                  <wp:posOffset>1266825</wp:posOffset>
                </wp:positionV>
                <wp:extent cx="790575" cy="206375"/>
                <wp:effectExtent l="5080" t="9525" r="13970" b="12700"/>
                <wp:wrapNone/>
                <wp:docPr id="684"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206375"/>
                        </a:xfrm>
                        <a:prstGeom prst="rect">
                          <a:avLst/>
                        </a:prstGeom>
                        <a:solidFill>
                          <a:srgbClr val="FFFFFF"/>
                        </a:solidFill>
                        <a:ln w="9525">
                          <a:solidFill>
                            <a:srgbClr val="000000"/>
                          </a:solidFill>
                          <a:miter lim="800000"/>
                          <a:headEnd/>
                          <a:tailEnd/>
                        </a:ln>
                      </wps:spPr>
                      <wps:txbx>
                        <w:txbxContent>
                          <w:p w:rsidR="005063CB" w:rsidRPr="00832CED" w:rsidRDefault="005063CB" w:rsidP="00832CED">
                            <w:pPr>
                              <w:rPr>
                                <w:sz w:val="18"/>
                              </w:rPr>
                            </w:pPr>
                            <w:r>
                              <w:rPr>
                                <w:sz w:val="18"/>
                              </w:rPr>
                              <w:t>Subsidies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69" style="position:absolute;left:0;text-align:left;margin-left:168.4pt;margin-top:99.75pt;width:62.25pt;height:16.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">
                <v:textbox>
                  <w:txbxContent>
                    <w:p w:rsidR="005063CB" w:rsidRPr="00832CED" w:rsidRDefault="005063CB" w:rsidP="00832CED">
                      <w:pPr>
                        <w:rPr>
                          <w:sz w:val="18"/>
                        </w:rPr>
                      </w:pPr>
                      <w:r>
                        <w:rPr>
                          <w:sz w:val="18"/>
                        </w:rPr>
                        <w:t>Subsidies</w:t>
                      </w:r>
                    </w:p>
                  </w:txbxContent>
                </v:textbox>
              </v:rect>
            </w:pict>
          </mc:Fallback>
        </mc:AlternateContent>
      </w:r>
      <w:r>
        <w:rPr>
          <w:rFonts w:ascii="Calibri" w:hAnsi="Calibri"/>
          <w:noProof/>
          <w:lang w:val="ro-RO" w:eastAsia="ro-RO"/>
        </w:rPr>
        <mc:AlternateContent>
          <mc:Choice Requires="wps">
            <w:drawing>
              <wp:anchor distT="0" distB="0" distL="114300" distR="114300" simplePos="0" relativeHeight="251708928" behindDoc="0" locked="0" layoutInCell="1" allowOverlap="1">
                <wp:simplePos x="0" y="0"/>
                <wp:positionH relativeFrom="column">
                  <wp:posOffset>2138680</wp:posOffset>
                </wp:positionH>
                <wp:positionV relativeFrom="paragraph">
                  <wp:posOffset>822325</wp:posOffset>
                </wp:positionV>
                <wp:extent cx="650240" cy="272415"/>
                <wp:effectExtent l="5080" t="12700" r="11430" b="10160"/>
                <wp:wrapNone/>
                <wp:docPr id="683"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240" cy="272415"/>
                        </a:xfrm>
                        <a:prstGeom prst="rect">
                          <a:avLst/>
                        </a:prstGeom>
                        <a:solidFill>
                          <a:srgbClr val="FFFFFF"/>
                        </a:solidFill>
                        <a:ln w="9525">
                          <a:solidFill>
                            <a:srgbClr val="000000"/>
                          </a:solidFill>
                          <a:miter lim="800000"/>
                          <a:headEnd/>
                          <a:tailEnd/>
                        </a:ln>
                      </wps:spPr>
                      <wps:txbx>
                        <w:txbxContent>
                          <w:p w:rsidR="005063CB" w:rsidRPr="00832CED" w:rsidRDefault="005063CB" w:rsidP="00832CED">
                            <w:pPr>
                              <w:rPr>
                                <w:sz w:val="18"/>
                              </w:rPr>
                            </w:pPr>
                            <w:r>
                              <w:rPr>
                                <w:sz w:val="18"/>
                              </w:rPr>
                              <w:t>Interests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6" o:spid="_x0000_s1070" style="position:absolute;left:0;text-align:left;margin-left:168.4pt;margin-top:64.75pt;width:51.2pt;height:21.4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">
                <v:textbox>
                  <w:txbxContent>
                    <w:p w:rsidR="005063CB" w:rsidRPr="00832CED" w:rsidRDefault="005063CB" w:rsidP="00832CED">
                      <w:pPr>
                        <w:rPr>
                          <w:sz w:val="18"/>
                        </w:rPr>
                      </w:pPr>
                      <w:r>
                        <w:rPr>
                          <w:sz w:val="18"/>
                        </w:rPr>
                        <w:t>Interests</w:t>
                      </w:r>
                    </w:p>
                  </w:txbxContent>
                </v:textbox>
              </v:rect>
            </w:pict>
          </mc:Fallback>
        </mc:AlternateContent>
      </w:r>
      <w:r>
        <w:rPr>
          <w:rFonts w:ascii="Calibri" w:hAnsi="Calibri"/>
          <w:noProof/>
          <w:lang w:val="ro-RO" w:eastAsia="ro-RO"/>
        </w:rPr>
        <mc:AlternateContent>
          <mc:Choice Requires="wps">
            <w:drawing>
              <wp:anchor distT="0" distB="0" distL="114300" distR="114300" simplePos="0" relativeHeight="251707904" behindDoc="0" locked="0" layoutInCell="1" allowOverlap="1">
                <wp:simplePos x="0" y="0"/>
                <wp:positionH relativeFrom="column">
                  <wp:posOffset>2138680</wp:posOffset>
                </wp:positionH>
                <wp:positionV relativeFrom="paragraph">
                  <wp:posOffset>509270</wp:posOffset>
                </wp:positionV>
                <wp:extent cx="1087120" cy="206375"/>
                <wp:effectExtent l="5080" t="13970" r="12700" b="8255"/>
                <wp:wrapNone/>
                <wp:docPr id="682"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120" cy="206375"/>
                        </a:xfrm>
                        <a:prstGeom prst="rect">
                          <a:avLst/>
                        </a:prstGeom>
                        <a:solidFill>
                          <a:srgbClr val="FFFFFF"/>
                        </a:solidFill>
                        <a:ln w="9525">
                          <a:solidFill>
                            <a:srgbClr val="000000"/>
                          </a:solidFill>
                          <a:miter lim="800000"/>
                          <a:headEnd/>
                          <a:tailEnd/>
                        </a:ln>
                      </wps:spPr>
                      <wps:txbx>
                        <w:txbxContent>
                          <w:p w:rsidR="005063CB" w:rsidRPr="00832CED" w:rsidRDefault="005063CB" w:rsidP="00832CED">
                            <w:pPr>
                              <w:rPr>
                                <w:sz w:val="18"/>
                              </w:rPr>
                            </w:pPr>
                            <w:r>
                              <w:rPr>
                                <w:sz w:val="18"/>
                              </w:rPr>
                              <w:t>Goods and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5" o:spid="_x0000_s1071" style="position:absolute;left:0;text-align:left;margin-left:168.4pt;margin-top:40.1pt;width:85.6pt;height:16.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">
                <v:textbox>
                  <w:txbxContent>
                    <w:p w:rsidR="005063CB" w:rsidRPr="00832CED" w:rsidRDefault="005063CB" w:rsidP="00832CED">
                      <w:pPr>
                        <w:rPr>
                          <w:sz w:val="18"/>
                        </w:rPr>
                      </w:pPr>
                      <w:r>
                        <w:rPr>
                          <w:sz w:val="18"/>
                        </w:rPr>
                        <w:t>Goods and services</w:t>
                      </w:r>
                    </w:p>
                  </w:txbxContent>
                </v:textbox>
              </v:rect>
            </w:pict>
          </mc:Fallback>
        </mc:AlternateContent>
      </w:r>
      <w:r>
        <w:rPr>
          <w:rFonts w:ascii="Calibri" w:hAnsi="Calibri"/>
          <w:noProof/>
          <w:lang w:val="ro-RO" w:eastAsia="ro-RO"/>
        </w:rPr>
        <mc:AlternateContent>
          <mc:Choice Requires="wps">
            <w:drawing>
              <wp:anchor distT="0" distB="0" distL="114300" distR="114300" simplePos="0" relativeHeight="251706880" behindDoc="0" locked="0" layoutInCell="1" allowOverlap="1">
                <wp:simplePos x="0" y="0"/>
                <wp:positionH relativeFrom="column">
                  <wp:posOffset>2138680</wp:posOffset>
                </wp:positionH>
                <wp:positionV relativeFrom="paragraph">
                  <wp:posOffset>138430</wp:posOffset>
                </wp:positionV>
                <wp:extent cx="1383665" cy="272415"/>
                <wp:effectExtent l="5080" t="5080" r="11430" b="8255"/>
                <wp:wrapNone/>
                <wp:docPr id="681"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665" cy="272415"/>
                        </a:xfrm>
                        <a:prstGeom prst="rect">
                          <a:avLst/>
                        </a:prstGeom>
                        <a:solidFill>
                          <a:srgbClr val="FFFFFF"/>
                        </a:solidFill>
                        <a:ln w="9525">
                          <a:solidFill>
                            <a:srgbClr val="000000"/>
                          </a:solidFill>
                          <a:miter lim="800000"/>
                          <a:headEnd/>
                          <a:tailEnd/>
                        </a:ln>
                      </wps:spPr>
                      <wps:txbx>
                        <w:txbxContent>
                          <w:p w:rsidR="005063CB" w:rsidRPr="00832CED" w:rsidRDefault="005063CB">
                            <w:pPr>
                              <w:rPr>
                                <w:sz w:val="18"/>
                              </w:rPr>
                            </w:pPr>
                            <w:r>
                              <w:rPr>
                                <w:sz w:val="18"/>
                              </w:rPr>
                              <w:t>Personnel expenditures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4" o:spid="_x0000_s1072" style="position:absolute;left:0;text-align:left;margin-left:168.4pt;margin-top:10.9pt;width:108.95pt;height:21.4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">
                <v:textbox>
                  <w:txbxContent>
                    <w:p w:rsidR="005063CB" w:rsidRPr="00832CED" w:rsidRDefault="005063CB">
                      <w:pPr>
                        <w:rPr>
                          <w:sz w:val="18"/>
                        </w:rPr>
                      </w:pPr>
                      <w:r>
                        <w:rPr>
                          <w:sz w:val="18"/>
                        </w:rPr>
                        <w:t>Personnel expenditures</w:t>
                      </w:r>
                    </w:p>
                  </w:txbxContent>
                </v:textbox>
              </v:rect>
            </w:pict>
          </mc:Fallback>
        </mc:AlternateContent>
      </w:r>
      <w:r w:rsidR="00912B6C">
        <w:rPr>
          <w:rFonts w:ascii="Calibri" w:hAnsi="Calibri"/>
          <w:noProof/>
          <w:color w:val="FF0000"/>
          <w:lang w:val="ro-RO" w:eastAsia="ro-RO"/>
        </w:rPr>
        <w:drawing>
          <wp:inline distT="0" distB="0" distL="0" distR="0" wp14:anchorId="59781362" wp14:editId="6E8C8EDC">
            <wp:extent cx="2872740" cy="2567940"/>
            <wp:effectExtent l="0" t="0" r="381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2740" cy="2567940"/>
                    </a:xfrm>
                    <a:prstGeom prst="rect">
                      <a:avLst/>
                    </a:prstGeom>
                    <a:noFill/>
                    <a:ln>
                      <a:noFill/>
                    </a:ln>
                  </pic:spPr>
                </pic:pic>
              </a:graphicData>
            </a:graphic>
          </wp:inline>
        </w:drawing>
      </w:r>
      <w:r w:rsidR="00912B6C">
        <w:rPr>
          <w:rFonts w:ascii="Calibri" w:hAnsi="Calibri"/>
          <w:noProof/>
          <w:color w:val="FF0000"/>
          <w:lang w:val="ro-RO" w:eastAsia="ro-RO"/>
        </w:rPr>
        <w:drawing>
          <wp:inline distT="0" distB="0" distL="0" distR="0" wp14:anchorId="21517C38" wp14:editId="4E173235">
            <wp:extent cx="2667000" cy="25679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0" cy="2567940"/>
                    </a:xfrm>
                    <a:prstGeom prst="rect">
                      <a:avLst/>
                    </a:prstGeom>
                    <a:noFill/>
                    <a:ln>
                      <a:noFill/>
                    </a:ln>
                  </pic:spPr>
                </pic:pic>
              </a:graphicData>
            </a:graphic>
          </wp:inline>
        </w:drawing>
      </w:r>
    </w:p>
    <w:p w:rsidR="005063CB" w:rsidRDefault="005063CB" w:rsidP="00912B6C">
      <w:pPr>
        <w:spacing w:line="276" w:lineRule="auto"/>
        <w:ind w:firstLine="624"/>
        <w:jc w:val="both"/>
        <w:rPr>
          <w:rFonts w:ascii="Calibri" w:hAnsi="Calibri"/>
        </w:rPr>
      </w:pPr>
    </w:p>
    <w:p w:rsidR="005063CB" w:rsidRDefault="005063CB" w:rsidP="00912B6C">
      <w:pPr>
        <w:spacing w:line="276" w:lineRule="auto"/>
        <w:ind w:firstLine="624"/>
        <w:jc w:val="both"/>
        <w:rPr>
          <w:rFonts w:ascii="Calibri" w:hAnsi="Calibri"/>
        </w:rPr>
      </w:pPr>
    </w:p>
    <w:p w:rsidR="00912B6C" w:rsidRPr="00912B6C" w:rsidRDefault="00912B6C" w:rsidP="00912B6C">
      <w:pPr>
        <w:spacing w:line="276" w:lineRule="auto"/>
        <w:ind w:firstLine="624"/>
        <w:jc w:val="both"/>
        <w:rPr>
          <w:rFonts w:ascii="Calibri" w:eastAsia="Calibri" w:hAnsi="Calibri" w:cs="Arial"/>
        </w:rPr>
      </w:pPr>
      <w:r>
        <w:rPr>
          <w:rFonts w:ascii="Calibri" w:hAnsi="Calibri"/>
        </w:rPr>
        <w:t>Compared to 2016, the economic structure of the expenditures presents an increase of the share in the total expenditures of personnel expenditures by 1.6 pp and of the expenditures corresponding to projects financed from external non-reimbursable funds by 2.8 pp, reductions of the share being registered in the case of expenditures for goods and services of 2.2 pp, of subsidies by 0.5 and of interests by 0.4 pp, as well as in the case of capital expenditures of 0.8 percentage points.</w:t>
      </w:r>
    </w:p>
    <w:p w:rsidR="00912B6C" w:rsidRPr="00912B6C" w:rsidRDefault="00912B6C" w:rsidP="00912B6C">
      <w:pPr>
        <w:spacing w:line="276" w:lineRule="auto"/>
        <w:ind w:firstLine="624"/>
        <w:jc w:val="both"/>
        <w:rPr>
          <w:rFonts w:ascii="Calibri" w:eastAsia="Calibri" w:hAnsi="Calibri" w:cs="Arial"/>
        </w:rPr>
      </w:pPr>
    </w:p>
    <w:p w:rsidR="00912B6C" w:rsidRPr="00912B6C" w:rsidRDefault="00912B6C" w:rsidP="00912B6C">
      <w:pPr>
        <w:spacing w:line="276" w:lineRule="auto"/>
        <w:ind w:firstLine="624"/>
        <w:jc w:val="both"/>
        <w:rPr>
          <w:rFonts w:ascii="Calibri" w:eastAsia="Calibri" w:hAnsi="Calibri" w:cs="Arial"/>
        </w:rPr>
      </w:pPr>
      <w:r>
        <w:rPr>
          <w:rFonts w:ascii="Calibri" w:hAnsi="Calibri"/>
        </w:rPr>
        <w:t xml:space="preserve">Compared to the previous year, </w:t>
      </w:r>
      <w:r>
        <w:rPr>
          <w:rFonts w:ascii="Calibri" w:hAnsi="Calibri"/>
          <w:b/>
        </w:rPr>
        <w:t>the expenditures of the general consolidated budget</w:t>
      </w:r>
      <w:r>
        <w:rPr>
          <w:rFonts w:ascii="Calibri" w:hAnsi="Calibri"/>
        </w:rPr>
        <w:t xml:space="preserve"> increased by 14% and as percentage in the GDP by 0.4 percentage points, from 31.7% as they were in 2016 to 32.2% in 2017. </w:t>
      </w:r>
    </w:p>
    <w:p w:rsidR="00912B6C" w:rsidRPr="00912B6C" w:rsidRDefault="00912B6C" w:rsidP="00912B6C">
      <w:pPr>
        <w:spacing w:line="276" w:lineRule="auto"/>
        <w:ind w:firstLine="624"/>
        <w:jc w:val="both"/>
        <w:rPr>
          <w:rFonts w:ascii="Calibri" w:eastAsia="Calibri" w:hAnsi="Calibri" w:cs="Arial"/>
        </w:rPr>
      </w:pPr>
      <w:r>
        <w:rPr>
          <w:rFonts w:ascii="Calibri" w:hAnsi="Calibri"/>
        </w:rPr>
        <w:t xml:space="preserve">In 2017 were registered decreases of the budget expenditures compared to the previous year in the case of projects financed from external non-reimbursable funds corresponding to the financial framework for 2007-2013 (-78.3%), of the expenditures that correspond to the programs with reimbursable financing (-30%), but also of the expenditures for awarded subsidies (-6.1%). </w:t>
      </w:r>
    </w:p>
    <w:p w:rsidR="00912B6C" w:rsidRPr="00912B6C" w:rsidRDefault="00912B6C" w:rsidP="00912B6C">
      <w:pPr>
        <w:spacing w:before="120" w:after="120" w:line="276" w:lineRule="auto"/>
        <w:ind w:firstLine="624"/>
        <w:jc w:val="both"/>
        <w:rPr>
          <w:rFonts w:ascii="Calibri" w:eastAsia="Calibri" w:hAnsi="Calibri" w:cs="Arial"/>
        </w:rPr>
      </w:pPr>
      <w:r>
        <w:rPr>
          <w:rFonts w:ascii="Calibri" w:hAnsi="Calibri"/>
          <w:b/>
        </w:rPr>
        <w:t>Personnel expenditures of the general consolidated budget</w:t>
      </w:r>
      <w:r>
        <w:rPr>
          <w:rFonts w:ascii="Calibri" w:hAnsi="Calibri"/>
        </w:rPr>
        <w:t xml:space="preserve">, in 2017 increased by 22% compared to the previous year, and as percentage in the GDP by 0.7 percentage points, being determined by the salary increases awarded in the second part of 2016, respectively the application as of August 2016 of the provisions in G.E.O. No. 20/2016 amending and supplementing Government Emergency Ordinance no. 57/2015 on the salaries of personnel paid from public funds in 2016, the postponement of certain terms, as well as certain fiscal and budgetary measures and for the amendment and supplementation of certain legislative acts, as well as the salary increases given in 2017, respectively the increase by 15% of the salaries from the health and education field as of January 1, 2017, of the personnel paid from public funds from the public institutions and authorities of the local public administration which benefit of the 20% increase as of February 1, 2017, the increase of the minimum gross salary guaranteed at country level from Lei 1,250 to Lei 1,450 as of February 1, 2017, the increase by 30% of the salaries of the personnel from the national libraries and the national museums as of June 2017, the increase by 10% of the salaries of acting policemen as of October 1, 2017, as well as the entry into force as of July 1, 2017 of the provisions in Framework Law no. 153/2017 on the salaries of personnel paid from public funds.  </w:t>
      </w:r>
    </w:p>
    <w:p w:rsidR="00912B6C" w:rsidRPr="00912B6C" w:rsidRDefault="00912B6C" w:rsidP="00912B6C">
      <w:pPr>
        <w:spacing w:after="120" w:line="276" w:lineRule="auto"/>
        <w:ind w:firstLine="624"/>
        <w:jc w:val="both"/>
        <w:rPr>
          <w:rFonts w:ascii="Calibri" w:eastAsia="Calibri" w:hAnsi="Calibri" w:cs="Arial"/>
          <w:bCs/>
        </w:rPr>
      </w:pPr>
      <w:r>
        <w:rPr>
          <w:rFonts w:ascii="Calibri" w:hAnsi="Calibri"/>
          <w:bCs/>
        </w:rPr>
        <w:t>Compared with the annual program the personnel expenditures were realized up to 100%.</w:t>
      </w:r>
    </w:p>
    <w:p w:rsidR="00912B6C" w:rsidRPr="00912B6C" w:rsidRDefault="00912B6C" w:rsidP="00912B6C">
      <w:pPr>
        <w:spacing w:after="120" w:line="276" w:lineRule="auto"/>
        <w:ind w:firstLine="624"/>
        <w:jc w:val="both"/>
        <w:rPr>
          <w:rFonts w:ascii="Calibri" w:eastAsia="Calibri" w:hAnsi="Calibri" w:cs="Arial"/>
        </w:rPr>
      </w:pPr>
      <w:r>
        <w:rPr>
          <w:rFonts w:ascii="Calibri" w:hAnsi="Calibri"/>
          <w:b/>
        </w:rPr>
        <w:t>The expenditures for goods and services</w:t>
      </w:r>
      <w:r>
        <w:rPr>
          <w:rFonts w:ascii="Calibri" w:hAnsi="Calibri"/>
        </w:rPr>
        <w:t xml:space="preserve"> registered a slight decrease of 0.6% compared to the previous year, and as share in the GDP they decreased by 0.6 pp. Compared with the annual program, the expenditures for goods and services were achieved up to 103.1%.</w:t>
      </w:r>
    </w:p>
    <w:p w:rsidR="00912B6C" w:rsidRPr="00912B6C" w:rsidRDefault="00912B6C" w:rsidP="00912B6C">
      <w:pPr>
        <w:spacing w:after="120" w:line="276" w:lineRule="auto"/>
        <w:ind w:firstLine="624"/>
        <w:jc w:val="both"/>
        <w:rPr>
          <w:rFonts w:ascii="Calibri" w:eastAsia="Calibri" w:hAnsi="Calibri" w:cs="Arial"/>
        </w:rPr>
      </w:pPr>
      <w:r>
        <w:rPr>
          <w:rFonts w:ascii="Calibri" w:hAnsi="Calibri"/>
          <w:b/>
        </w:rPr>
        <w:t>Expenditures for interests</w:t>
      </w:r>
      <w:r>
        <w:rPr>
          <w:rFonts w:ascii="Calibri" w:hAnsi="Calibri"/>
        </w:rPr>
        <w:t xml:space="preserve"> increased by 1.1% compared to the previous year, and as share in the GDP they decreased by 0.1 pp. They did not manage to reach the ceiling provided to be achieved in 2017, the degree of realization being of 97.7%. </w:t>
      </w:r>
    </w:p>
    <w:p w:rsidR="00912B6C" w:rsidRPr="00912B6C" w:rsidRDefault="00912B6C" w:rsidP="00912B6C">
      <w:pPr>
        <w:spacing w:after="120" w:line="276" w:lineRule="auto"/>
        <w:ind w:firstLine="624"/>
        <w:jc w:val="both"/>
        <w:rPr>
          <w:rFonts w:ascii="Calibri" w:eastAsia="Calibri" w:hAnsi="Calibri" w:cs="Arial"/>
          <w:bCs/>
        </w:rPr>
      </w:pPr>
      <w:r>
        <w:rPr>
          <w:rFonts w:ascii="Calibri" w:hAnsi="Calibri"/>
          <w:b/>
        </w:rPr>
        <w:t>Expenditures for subsidies</w:t>
      </w:r>
      <w:r>
        <w:rPr>
          <w:rFonts w:ascii="Calibri" w:hAnsi="Calibri"/>
        </w:rPr>
        <w:t xml:space="preserve"> decreased compared to the previous year by 6.1%, the share in the GDP being also reduced by 0.1 percentage points. It can be mentioned that the degree of achievement was of 89.8%. </w:t>
      </w:r>
      <w:r>
        <w:rPr>
          <w:rFonts w:ascii="Calibri" w:hAnsi="Calibri"/>
          <w:bCs/>
        </w:rPr>
        <w:t>Of the total expenditures for subsidies, a share of 60.5% would be represented by the expenditures with subsidies of the State budget, and within them a more significant share is held by the expenditures in support of agricultural producers of 51.9% (1,944.7 million Lei), subsidies in support of public railway passenger transport of 35.5% (1,332.85 million Lei),  subsidies for subway passenger transport of 7.1% (266.85 million Lei), programs of conservation or closing of mines of 3% (111.7 million Lei).</w:t>
      </w:r>
    </w:p>
    <w:p w:rsidR="00912B6C" w:rsidRPr="00912B6C" w:rsidRDefault="00912B6C" w:rsidP="00912B6C">
      <w:pPr>
        <w:spacing w:line="276" w:lineRule="auto"/>
        <w:ind w:firstLine="624"/>
        <w:jc w:val="both"/>
        <w:rPr>
          <w:rFonts w:ascii="Calibri" w:eastAsia="Calibri" w:hAnsi="Calibri" w:cs="Arial"/>
          <w:color w:val="000000"/>
        </w:rPr>
      </w:pPr>
      <w:r>
        <w:rPr>
          <w:rFonts w:ascii="Calibri" w:hAnsi="Calibri"/>
          <w:b/>
        </w:rPr>
        <w:t>Expenditures for social assistance</w:t>
      </w:r>
      <w:r>
        <w:rPr>
          <w:rFonts w:ascii="Calibri" w:hAnsi="Calibri"/>
        </w:rPr>
        <w:t xml:space="preserve"> increased in nominal terms by 13.1% compared to the previous year, and the share in the GDP increased by 0.1 percentage points.</w:t>
      </w:r>
    </w:p>
    <w:p w:rsidR="00912B6C" w:rsidRPr="00912B6C" w:rsidRDefault="00912B6C" w:rsidP="00912B6C">
      <w:pPr>
        <w:spacing w:line="276" w:lineRule="auto"/>
        <w:ind w:firstLine="624"/>
        <w:jc w:val="both"/>
        <w:rPr>
          <w:rFonts w:ascii="Calibri" w:eastAsia="Calibri" w:hAnsi="Calibri" w:cs="Arial"/>
          <w:color w:val="000000"/>
          <w:lang w:val="fr-FR"/>
        </w:rPr>
      </w:pPr>
    </w:p>
    <w:p w:rsidR="00912B6C" w:rsidRPr="00912B6C" w:rsidRDefault="00912B6C" w:rsidP="00912B6C">
      <w:pPr>
        <w:spacing w:after="120" w:line="276" w:lineRule="auto"/>
        <w:ind w:firstLine="624"/>
        <w:jc w:val="both"/>
        <w:rPr>
          <w:rFonts w:ascii="Calibri" w:eastAsia="Calibri" w:hAnsi="Calibri" w:cs="Arial"/>
          <w:bCs/>
          <w:color w:val="000000"/>
        </w:rPr>
      </w:pPr>
      <w:r>
        <w:rPr>
          <w:rFonts w:ascii="Calibri" w:hAnsi="Calibri"/>
        </w:rPr>
        <w:t>The evolution of social assistance expenditures in 2017 was influenced mainly by the increase by 5.25% of the pension point as of January 1, 2017, which reached 917.5 Lei, and by 9% as of July 1, 2017, reaching Lei 1000, as well as by the measures that were approved in 2016 which contributed to the increase of social expenditures; the increase and amendment of the modality of establishment of the monthly child care allowance and of the insertion incentive.</w:t>
      </w:r>
    </w:p>
    <w:p w:rsidR="00912B6C" w:rsidRPr="00912B6C" w:rsidRDefault="00912B6C" w:rsidP="00912B6C">
      <w:pPr>
        <w:spacing w:after="120" w:line="276" w:lineRule="auto"/>
        <w:ind w:firstLine="624"/>
        <w:jc w:val="both"/>
        <w:rPr>
          <w:rFonts w:ascii="Calibri" w:eastAsia="Calibri" w:hAnsi="Calibri" w:cs="Arial"/>
          <w:bCs/>
          <w:color w:val="000000"/>
        </w:rPr>
      </w:pPr>
      <w:r>
        <w:rPr>
          <w:rFonts w:ascii="Calibri" w:hAnsi="Calibri"/>
          <w:bCs/>
          <w:color w:val="000000"/>
        </w:rPr>
        <w:t>Compared with the annual program the social assistance expenditures were realized up to 99.1%.</w:t>
      </w:r>
    </w:p>
    <w:p w:rsidR="00912B6C" w:rsidRPr="00912B6C" w:rsidRDefault="00912B6C" w:rsidP="00912B6C">
      <w:pPr>
        <w:spacing w:after="120" w:line="276" w:lineRule="auto"/>
        <w:ind w:firstLine="624"/>
        <w:jc w:val="both"/>
        <w:rPr>
          <w:rFonts w:ascii="Calibri" w:eastAsia="Calibri" w:hAnsi="Calibri" w:cs="Arial"/>
          <w:bCs/>
          <w:strike/>
          <w:color w:val="000000"/>
        </w:rPr>
      </w:pPr>
      <w:r>
        <w:rPr>
          <w:rFonts w:ascii="Calibri" w:hAnsi="Calibri"/>
          <w:bCs/>
          <w:color w:val="000000"/>
        </w:rPr>
        <w:t xml:space="preserve">At the State budget, the expenditures for social assistance amounted to 27.8 billion Lei and represented 19.2% of the total expenditures of the State budget. Of the total payments, the amount of 19.2 billion Lei, respectively 69.1%, was used by the Ministry of Labor and Social Justice. </w:t>
      </w:r>
    </w:p>
    <w:p w:rsidR="00912B6C" w:rsidRPr="00912B6C" w:rsidRDefault="00912B6C" w:rsidP="00912B6C">
      <w:pPr>
        <w:spacing w:after="120" w:line="276" w:lineRule="auto"/>
        <w:ind w:firstLine="624"/>
        <w:jc w:val="both"/>
        <w:rPr>
          <w:rFonts w:ascii="Calibri" w:eastAsia="Calibri" w:hAnsi="Calibri" w:cs="Arial"/>
          <w:bCs/>
          <w:color w:val="000000"/>
        </w:rPr>
      </w:pPr>
      <w:r>
        <w:rPr>
          <w:rFonts w:ascii="Calibri" w:hAnsi="Calibri"/>
          <w:bCs/>
          <w:color w:val="000000"/>
        </w:rPr>
        <w:t xml:space="preserve">The expenditures for social assistance at the State budget registered an increase of 19.7% compared to the previous year. </w:t>
      </w:r>
    </w:p>
    <w:p w:rsidR="00912B6C" w:rsidRPr="00912B6C" w:rsidRDefault="00912B6C" w:rsidP="00912B6C">
      <w:pPr>
        <w:spacing w:after="120" w:line="276" w:lineRule="auto"/>
        <w:ind w:firstLine="624"/>
        <w:jc w:val="both"/>
        <w:rPr>
          <w:rFonts w:ascii="Calibri" w:eastAsia="Calibri" w:hAnsi="Calibri" w:cs="Arial"/>
          <w:bCs/>
          <w:color w:val="000000"/>
        </w:rPr>
      </w:pPr>
      <w:r>
        <w:rPr>
          <w:rFonts w:ascii="Calibri" w:hAnsi="Calibri"/>
          <w:b/>
          <w:bCs/>
          <w:color w:val="000000"/>
        </w:rPr>
        <w:t>The expenditures corresponding to the projects with external reimbursable financing</w:t>
      </w:r>
      <w:r>
        <w:rPr>
          <w:rFonts w:ascii="Calibri" w:hAnsi="Calibri"/>
          <w:bCs/>
          <w:color w:val="000000"/>
        </w:rPr>
        <w:t xml:space="preserve"> decreased by 30%. </w:t>
      </w:r>
    </w:p>
    <w:p w:rsidR="00912B6C" w:rsidRPr="00912B6C" w:rsidRDefault="00912B6C" w:rsidP="00912B6C">
      <w:pPr>
        <w:spacing w:after="120" w:line="276" w:lineRule="auto"/>
        <w:ind w:firstLine="624"/>
        <w:jc w:val="both"/>
        <w:rPr>
          <w:rFonts w:ascii="Calibri" w:eastAsia="Calibri" w:hAnsi="Calibri" w:cs="Arial"/>
          <w:bCs/>
          <w:color w:val="000000"/>
        </w:rPr>
      </w:pPr>
      <w:r>
        <w:rPr>
          <w:rFonts w:ascii="Calibri" w:hAnsi="Calibri"/>
          <w:b/>
          <w:bCs/>
          <w:color w:val="000000"/>
        </w:rPr>
        <w:t>The expenditures corresponding to the projects with external non-reimbursable financing corresponding to the financial framework of 2014-2020</w:t>
      </w:r>
      <w:r>
        <w:rPr>
          <w:rFonts w:ascii="Calibri" w:hAnsi="Calibri"/>
          <w:bCs/>
          <w:color w:val="000000"/>
        </w:rPr>
        <w:t xml:space="preserve"> increased compared to the previous year by 12.4 billion Lei (196.0%) and as share in the GDP they increased by 1.4 percentage points.</w:t>
      </w:r>
    </w:p>
    <w:p w:rsidR="005063CB" w:rsidRDefault="00912B6C" w:rsidP="00912B6C">
      <w:pPr>
        <w:spacing w:after="120" w:line="276" w:lineRule="auto"/>
        <w:jc w:val="both"/>
        <w:rPr>
          <w:rFonts w:ascii="Calibri" w:hAnsi="Calibri"/>
        </w:rPr>
      </w:pPr>
      <w:r>
        <w:rPr>
          <w:rFonts w:ascii="Calibri" w:hAnsi="Calibri"/>
          <w:b/>
          <w:bCs/>
          <w:color w:val="FF0000"/>
        </w:rPr>
        <w:tab/>
      </w:r>
      <w:r>
        <w:rPr>
          <w:rFonts w:ascii="Calibri" w:hAnsi="Calibri"/>
          <w:b/>
        </w:rPr>
        <w:t>Investment expenditures</w:t>
      </w:r>
      <w:r>
        <w:rPr>
          <w:rFonts w:ascii="Calibri" w:hAnsi="Calibri"/>
        </w:rPr>
        <w:t xml:space="preserve">, which include capital expenditures, as well as the expenditures corresponding to development programs financed from domestic and foreign sources, were of Lei 26.8 billion in 2017, namely 3.1% of the GDP. </w:t>
      </w:r>
    </w:p>
    <w:p w:rsidR="005063CB" w:rsidRDefault="005063CB" w:rsidP="00912B6C">
      <w:pPr>
        <w:spacing w:after="120" w:line="276" w:lineRule="auto"/>
        <w:jc w:val="both"/>
        <w:rPr>
          <w:rFonts w:ascii="Calibri" w:hAnsi="Calibri"/>
        </w:rPr>
      </w:pPr>
    </w:p>
    <w:p w:rsidR="005063CB" w:rsidRDefault="005063CB" w:rsidP="00912B6C">
      <w:pPr>
        <w:spacing w:after="120" w:line="276" w:lineRule="auto"/>
        <w:jc w:val="both"/>
        <w:rPr>
          <w:rFonts w:ascii="Calibri" w:hAnsi="Calibri"/>
        </w:rPr>
      </w:pPr>
    </w:p>
    <w:p w:rsidR="005063CB" w:rsidRDefault="005063CB" w:rsidP="00912B6C">
      <w:pPr>
        <w:spacing w:after="120" w:line="276" w:lineRule="auto"/>
        <w:jc w:val="both"/>
        <w:rPr>
          <w:rFonts w:ascii="Calibri" w:hAnsi="Calibri"/>
        </w:rPr>
      </w:pPr>
    </w:p>
    <w:p w:rsidR="005063CB" w:rsidRDefault="005063CB" w:rsidP="00912B6C">
      <w:pPr>
        <w:spacing w:after="120" w:line="276" w:lineRule="auto"/>
        <w:jc w:val="both"/>
        <w:rPr>
          <w:rFonts w:ascii="Calibri" w:hAnsi="Calibri"/>
        </w:rPr>
      </w:pPr>
    </w:p>
    <w:p w:rsidR="005063CB" w:rsidRDefault="005063CB" w:rsidP="00912B6C">
      <w:pPr>
        <w:spacing w:after="120" w:line="276" w:lineRule="auto"/>
        <w:jc w:val="both"/>
        <w:rPr>
          <w:rFonts w:ascii="Calibri" w:hAnsi="Calibri"/>
        </w:rPr>
      </w:pPr>
    </w:p>
    <w:p w:rsidR="005063CB" w:rsidRDefault="005063CB" w:rsidP="00912B6C">
      <w:pPr>
        <w:spacing w:after="120" w:line="276" w:lineRule="auto"/>
        <w:jc w:val="both"/>
        <w:rPr>
          <w:rFonts w:ascii="Calibri" w:hAnsi="Calibri"/>
        </w:rPr>
      </w:pPr>
    </w:p>
    <w:p w:rsidR="005063CB" w:rsidRDefault="005063CB" w:rsidP="00912B6C">
      <w:pPr>
        <w:spacing w:after="120" w:line="276" w:lineRule="auto"/>
        <w:jc w:val="both"/>
        <w:rPr>
          <w:rFonts w:ascii="Calibri" w:hAnsi="Calibri"/>
        </w:rPr>
      </w:pPr>
    </w:p>
    <w:p w:rsidR="005063CB" w:rsidRDefault="005063CB" w:rsidP="00912B6C">
      <w:pPr>
        <w:spacing w:after="120" w:line="276" w:lineRule="auto"/>
        <w:jc w:val="both"/>
        <w:rPr>
          <w:rFonts w:ascii="Calibri" w:hAnsi="Calibri"/>
        </w:rPr>
      </w:pPr>
    </w:p>
    <w:p w:rsidR="005063CB" w:rsidRDefault="005063CB" w:rsidP="00912B6C">
      <w:pPr>
        <w:spacing w:after="120" w:line="276" w:lineRule="auto"/>
        <w:jc w:val="both"/>
        <w:rPr>
          <w:rFonts w:ascii="Calibri" w:hAnsi="Calibri"/>
        </w:rPr>
      </w:pPr>
    </w:p>
    <w:p w:rsidR="005063CB" w:rsidRDefault="005063CB" w:rsidP="00912B6C">
      <w:pPr>
        <w:spacing w:after="120" w:line="276" w:lineRule="auto"/>
        <w:jc w:val="both"/>
        <w:rPr>
          <w:rFonts w:ascii="Calibri" w:hAnsi="Calibri"/>
        </w:rPr>
      </w:pPr>
    </w:p>
    <w:p w:rsidR="005063CB" w:rsidRDefault="005063CB" w:rsidP="00912B6C">
      <w:pPr>
        <w:spacing w:after="120" w:line="276" w:lineRule="auto"/>
        <w:jc w:val="both"/>
        <w:rPr>
          <w:rFonts w:ascii="Calibri" w:hAnsi="Calibri"/>
        </w:rPr>
      </w:pPr>
    </w:p>
    <w:p w:rsidR="005063CB" w:rsidRDefault="005063CB" w:rsidP="00912B6C">
      <w:pPr>
        <w:spacing w:after="120" w:line="276" w:lineRule="auto"/>
        <w:jc w:val="both"/>
        <w:rPr>
          <w:rFonts w:ascii="Calibri" w:hAnsi="Calibri"/>
        </w:rPr>
      </w:pPr>
    </w:p>
    <w:p w:rsidR="00912B6C" w:rsidRPr="00912B6C" w:rsidRDefault="00DF768F" w:rsidP="00912B6C">
      <w:pPr>
        <w:spacing w:after="120" w:line="276" w:lineRule="auto"/>
        <w:jc w:val="center"/>
        <w:rPr>
          <w:rFonts w:ascii="Calibri" w:eastAsia="Calibri" w:hAnsi="Calibri" w:cs="Arial"/>
          <w:b/>
          <w:bCs/>
        </w:rPr>
      </w:pPr>
      <w:r>
        <w:rPr>
          <w:rFonts w:ascii="Calibri" w:hAnsi="Calibri"/>
          <w:b/>
          <w:bCs/>
          <w:noProof/>
          <w:color w:val="FF0000"/>
          <w:lang w:val="ro-RO" w:eastAsia="ro-RO"/>
        </w:rPr>
        <mc:AlternateContent>
          <mc:Choice Requires="wps">
            <w:drawing>
              <wp:anchor distT="0" distB="0" distL="114300" distR="114300" simplePos="0" relativeHeight="251713024" behindDoc="0" locked="0" layoutInCell="1" allowOverlap="1">
                <wp:simplePos x="0" y="0"/>
                <wp:positionH relativeFrom="column">
                  <wp:posOffset>2591435</wp:posOffset>
                </wp:positionH>
                <wp:positionV relativeFrom="paragraph">
                  <wp:posOffset>233680</wp:posOffset>
                </wp:positionV>
                <wp:extent cx="3665855" cy="321310"/>
                <wp:effectExtent l="10160" t="5080" r="10160" b="6985"/>
                <wp:wrapNone/>
                <wp:docPr id="680"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5855" cy="321310"/>
                        </a:xfrm>
                        <a:prstGeom prst="rect">
                          <a:avLst/>
                        </a:prstGeom>
                        <a:solidFill>
                          <a:srgbClr val="FFFFFF"/>
                        </a:solidFill>
                        <a:ln w="9525">
                          <a:solidFill>
                            <a:srgbClr val="000000"/>
                          </a:solidFill>
                          <a:miter lim="800000"/>
                          <a:headEnd/>
                          <a:tailEnd/>
                        </a:ln>
                      </wps:spPr>
                      <wps:txbx>
                        <w:txbxContent>
                          <w:p w:rsidR="005063CB" w:rsidRPr="00832CED" w:rsidRDefault="005063CB">
                            <w:pPr>
                              <w:rPr>
                                <w:b/>
                                <w:sz w:val="12"/>
                              </w:rPr>
                            </w:pPr>
                            <w:r w:rsidRPr="00832CED">
                              <w:rPr>
                                <w:b/>
                                <w:sz w:val="12"/>
                              </w:rPr>
                              <w:t>Realized in 2016                                   Realized in 2017                              Differences between 2017 and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0" o:spid="_x0000_s1073" style="position:absolute;left:0;text-align:left;margin-left:204.05pt;margin-top:18.4pt;width:288.65pt;height:25.3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">
                <v:textbox>
                  <w:txbxContent>
                    <w:p w:rsidR="005063CB" w:rsidRPr="00832CED" w:rsidRDefault="005063CB">
                      <w:pPr>
                        <w:rPr>
                          <w:b/>
                          <w:sz w:val="12"/>
                        </w:rPr>
                      </w:pPr>
                      <w:r w:rsidRPr="00832CED">
                        <w:rPr>
                          <w:b/>
                          <w:sz w:val="12"/>
                        </w:rPr>
                        <w:t>Realized in 2016                                   Realized in 2017                              Differences between 2017 and 2016</w:t>
                      </w:r>
                    </w:p>
                  </w:txbxContent>
                </v:textbox>
              </v:rect>
            </w:pict>
          </mc:Fallback>
        </mc:AlternateContent>
      </w:r>
      <w:r w:rsidR="00912B6C">
        <w:rPr>
          <w:rFonts w:ascii="Calibri" w:hAnsi="Calibri"/>
          <w:b/>
          <w:bCs/>
        </w:rPr>
        <w:t>Evolution of the main fields financed from the general consolidated budget</w:t>
      </w:r>
    </w:p>
    <w:p w:rsidR="00912B6C" w:rsidRPr="00912B6C" w:rsidRDefault="00DF768F" w:rsidP="00912B6C">
      <w:pPr>
        <w:spacing w:line="276" w:lineRule="auto"/>
        <w:jc w:val="center"/>
        <w:rPr>
          <w:rFonts w:ascii="Calibri" w:eastAsia="Calibri" w:hAnsi="Calibri" w:cs="Arial"/>
          <w:b/>
          <w:bCs/>
          <w:color w:val="FF0000"/>
        </w:rPr>
      </w:pPr>
      <w:r>
        <w:rPr>
          <w:noProof/>
          <w:lang w:val="ro-RO" w:eastAsia="ro-RO"/>
        </w:rPr>
        <mc:AlternateContent>
          <mc:Choice Requires="wps">
            <w:drawing>
              <wp:anchor distT="0" distB="0" distL="114300" distR="114300" simplePos="0" relativeHeight="251714048" behindDoc="0" locked="0" layoutInCell="1" allowOverlap="1">
                <wp:simplePos x="0" y="0"/>
                <wp:positionH relativeFrom="column">
                  <wp:posOffset>-111125</wp:posOffset>
                </wp:positionH>
                <wp:positionV relativeFrom="paragraph">
                  <wp:posOffset>627380</wp:posOffset>
                </wp:positionV>
                <wp:extent cx="2546350" cy="3493135"/>
                <wp:effectExtent l="12700" t="8255" r="12700" b="13335"/>
                <wp:wrapNone/>
                <wp:docPr id="679"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0" cy="3493135"/>
                        </a:xfrm>
                        <a:prstGeom prst="rect">
                          <a:avLst/>
                        </a:prstGeom>
                        <a:solidFill>
                          <a:srgbClr val="FFFFFF"/>
                        </a:solidFill>
                        <a:ln w="9525">
                          <a:solidFill>
                            <a:srgbClr val="000000"/>
                          </a:solidFill>
                          <a:miter lim="800000"/>
                          <a:headEnd/>
                          <a:tailEnd/>
                        </a:ln>
                      </wps:spPr>
                      <wps:txbx>
                        <w:txbxContent>
                          <w:p w:rsidR="005063CB" w:rsidRDefault="005063CB">
                            <w:pPr>
                              <w:rPr>
                                <w:sz w:val="20"/>
                              </w:rPr>
                            </w:pPr>
                            <w:r w:rsidRPr="00832CED">
                              <w:rPr>
                                <w:sz w:val="20"/>
                              </w:rPr>
                              <w:t>GDP</w:t>
                            </w:r>
                          </w:p>
                          <w:p w:rsidR="005063CB" w:rsidRPr="00832CED" w:rsidRDefault="005063CB">
                            <w:pPr>
                              <w:rPr>
                                <w:sz w:val="20"/>
                              </w:rPr>
                            </w:pPr>
                          </w:p>
                          <w:p w:rsidR="005063CB" w:rsidRDefault="005063CB">
                            <w:pPr>
                              <w:rPr>
                                <w:sz w:val="20"/>
                              </w:rPr>
                            </w:pPr>
                            <w:r w:rsidRPr="00832CED">
                              <w:rPr>
                                <w:sz w:val="20"/>
                              </w:rPr>
                              <w:t>TOTAL EXPENDITURES</w:t>
                            </w:r>
                          </w:p>
                          <w:p w:rsidR="005063CB" w:rsidRDefault="005063CB">
                            <w:pPr>
                              <w:rPr>
                                <w:sz w:val="20"/>
                              </w:rPr>
                            </w:pPr>
                          </w:p>
                          <w:p w:rsidR="005063CB" w:rsidRDefault="005063CB">
                            <w:pPr>
                              <w:rPr>
                                <w:sz w:val="20"/>
                              </w:rPr>
                            </w:pPr>
                            <w:r>
                              <w:rPr>
                                <w:sz w:val="20"/>
                              </w:rPr>
                              <w:t>Public authorities and external actions</w:t>
                            </w:r>
                          </w:p>
                          <w:p w:rsidR="005063CB" w:rsidRDefault="005063CB">
                            <w:pPr>
                              <w:rPr>
                                <w:sz w:val="20"/>
                              </w:rPr>
                            </w:pPr>
                            <w:r>
                              <w:rPr>
                                <w:sz w:val="20"/>
                              </w:rPr>
                              <w:t>Transactions regarding public debt and</w:t>
                            </w:r>
                          </w:p>
                          <w:p w:rsidR="005063CB" w:rsidRDefault="005063CB">
                            <w:pPr>
                              <w:rPr>
                                <w:sz w:val="20"/>
                              </w:rPr>
                            </w:pPr>
                            <w:r>
                              <w:rPr>
                                <w:sz w:val="20"/>
                              </w:rPr>
                              <w:t>loans</w:t>
                            </w:r>
                          </w:p>
                          <w:p w:rsidR="005063CB" w:rsidRDefault="005063CB">
                            <w:pPr>
                              <w:rPr>
                                <w:sz w:val="20"/>
                              </w:rPr>
                            </w:pPr>
                            <w:r>
                              <w:rPr>
                                <w:sz w:val="20"/>
                              </w:rPr>
                              <w:t xml:space="preserve">Defense </w:t>
                            </w:r>
                          </w:p>
                          <w:p w:rsidR="005063CB" w:rsidRDefault="005063CB">
                            <w:pPr>
                              <w:rPr>
                                <w:sz w:val="20"/>
                              </w:rPr>
                            </w:pPr>
                            <w:r>
                              <w:rPr>
                                <w:sz w:val="20"/>
                              </w:rPr>
                              <w:t>Public order and national safety</w:t>
                            </w:r>
                          </w:p>
                          <w:p w:rsidR="005063CB" w:rsidRDefault="005063CB">
                            <w:pPr>
                              <w:rPr>
                                <w:sz w:val="20"/>
                              </w:rPr>
                            </w:pPr>
                          </w:p>
                          <w:p w:rsidR="005063CB" w:rsidRDefault="005063CB">
                            <w:pPr>
                              <w:rPr>
                                <w:sz w:val="20"/>
                              </w:rPr>
                            </w:pPr>
                            <w:r>
                              <w:rPr>
                                <w:sz w:val="20"/>
                              </w:rPr>
                              <w:t>Education</w:t>
                            </w:r>
                          </w:p>
                          <w:p w:rsidR="005063CB" w:rsidRDefault="005063CB">
                            <w:pPr>
                              <w:rPr>
                                <w:sz w:val="20"/>
                              </w:rPr>
                            </w:pPr>
                            <w:r>
                              <w:rPr>
                                <w:sz w:val="20"/>
                              </w:rPr>
                              <w:t>Health</w:t>
                            </w:r>
                          </w:p>
                          <w:p w:rsidR="005063CB" w:rsidRDefault="005063CB">
                            <w:pPr>
                              <w:rPr>
                                <w:sz w:val="20"/>
                              </w:rPr>
                            </w:pPr>
                            <w:r>
                              <w:rPr>
                                <w:sz w:val="20"/>
                              </w:rPr>
                              <w:t>Culture, recreation, and religion</w:t>
                            </w:r>
                          </w:p>
                          <w:p w:rsidR="005063CB" w:rsidRDefault="005063CB">
                            <w:pPr>
                              <w:rPr>
                                <w:sz w:val="20"/>
                              </w:rPr>
                            </w:pPr>
                            <w:r>
                              <w:rPr>
                                <w:sz w:val="20"/>
                              </w:rPr>
                              <w:t>Insurance and social assistance</w:t>
                            </w:r>
                          </w:p>
                          <w:p w:rsidR="005063CB" w:rsidRDefault="005063CB">
                            <w:pPr>
                              <w:rPr>
                                <w:sz w:val="20"/>
                              </w:rPr>
                            </w:pPr>
                          </w:p>
                          <w:p w:rsidR="005063CB" w:rsidRDefault="005063CB">
                            <w:pPr>
                              <w:rPr>
                                <w:sz w:val="20"/>
                              </w:rPr>
                            </w:pPr>
                            <w:r>
                              <w:rPr>
                                <w:sz w:val="20"/>
                              </w:rPr>
                              <w:t>Housing, services and public development</w:t>
                            </w:r>
                          </w:p>
                          <w:p w:rsidR="005063CB" w:rsidRDefault="005063CB">
                            <w:pPr>
                              <w:rPr>
                                <w:sz w:val="20"/>
                              </w:rPr>
                            </w:pPr>
                            <w:r>
                              <w:rPr>
                                <w:sz w:val="20"/>
                              </w:rPr>
                              <w:t>Environmental protection</w:t>
                            </w:r>
                          </w:p>
                          <w:p w:rsidR="005063CB" w:rsidRDefault="005063CB">
                            <w:pPr>
                              <w:rPr>
                                <w:sz w:val="20"/>
                              </w:rPr>
                            </w:pPr>
                            <w:r>
                              <w:rPr>
                                <w:sz w:val="20"/>
                              </w:rPr>
                              <w:t>Fuel and energy</w:t>
                            </w:r>
                          </w:p>
                          <w:p w:rsidR="005063CB" w:rsidRDefault="005063CB">
                            <w:pPr>
                              <w:rPr>
                                <w:sz w:val="20"/>
                              </w:rPr>
                            </w:pPr>
                          </w:p>
                          <w:p w:rsidR="005063CB" w:rsidRDefault="005063CB">
                            <w:pPr>
                              <w:rPr>
                                <w:sz w:val="20"/>
                              </w:rPr>
                            </w:pPr>
                            <w:r>
                              <w:rPr>
                                <w:sz w:val="20"/>
                              </w:rPr>
                              <w:t>Agriculture, forestry, fishing and hunting</w:t>
                            </w:r>
                          </w:p>
                          <w:p w:rsidR="005063CB" w:rsidRDefault="005063CB">
                            <w:pPr>
                              <w:rPr>
                                <w:sz w:val="20"/>
                              </w:rPr>
                            </w:pPr>
                            <w:r>
                              <w:rPr>
                                <w:sz w:val="20"/>
                              </w:rPr>
                              <w:t>Transport</w:t>
                            </w:r>
                          </w:p>
                          <w:p w:rsidR="005063CB" w:rsidRPr="00832CED" w:rsidRDefault="005063CB">
                            <w:pPr>
                              <w:rPr>
                                <w:sz w:val="20"/>
                              </w:rPr>
                            </w:pPr>
                            <w:r>
                              <w:rPr>
                                <w:sz w:val="20"/>
                              </w:rPr>
                              <w:t>Other budgetary fields (other general services, communications,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1" o:spid="_x0000_s1074" style="position:absolute;left:0;text-align:left;margin-left:-8.75pt;margin-top:49.4pt;width:200.5pt;height:275.0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">
                <v:textbox>
                  <w:txbxContent>
                    <w:p w:rsidR="005063CB" w:rsidRDefault="005063CB">
                      <w:pPr>
                        <w:rPr>
                          <w:sz w:val="20"/>
                        </w:rPr>
                      </w:pPr>
                      <w:r w:rsidRPr="00832CED">
                        <w:rPr>
                          <w:sz w:val="20"/>
                        </w:rPr>
                        <w:t>GDP</w:t>
                      </w:r>
                    </w:p>
                    <w:p w:rsidR="005063CB" w:rsidRPr="00832CED" w:rsidRDefault="005063CB">
                      <w:pPr>
                        <w:rPr>
                          <w:sz w:val="20"/>
                        </w:rPr>
                      </w:pPr>
                    </w:p>
                    <w:p w:rsidR="005063CB" w:rsidRDefault="005063CB">
                      <w:pPr>
                        <w:rPr>
                          <w:sz w:val="20"/>
                        </w:rPr>
                      </w:pPr>
                      <w:r w:rsidRPr="00832CED">
                        <w:rPr>
                          <w:sz w:val="20"/>
                        </w:rPr>
                        <w:t>TOTAL EXPENDITURES</w:t>
                      </w:r>
                    </w:p>
                    <w:p w:rsidR="005063CB" w:rsidRDefault="005063CB">
                      <w:pPr>
                        <w:rPr>
                          <w:sz w:val="20"/>
                        </w:rPr>
                      </w:pPr>
                    </w:p>
                    <w:p w:rsidR="005063CB" w:rsidRDefault="005063CB">
                      <w:pPr>
                        <w:rPr>
                          <w:sz w:val="20"/>
                        </w:rPr>
                      </w:pPr>
                      <w:r>
                        <w:rPr>
                          <w:sz w:val="20"/>
                        </w:rPr>
                        <w:t>Public authorities and external actions</w:t>
                      </w:r>
                    </w:p>
                    <w:p w:rsidR="005063CB" w:rsidRDefault="005063CB">
                      <w:pPr>
                        <w:rPr>
                          <w:sz w:val="20"/>
                        </w:rPr>
                      </w:pPr>
                      <w:r>
                        <w:rPr>
                          <w:sz w:val="20"/>
                        </w:rPr>
                        <w:t>Transactions regarding public debt and</w:t>
                      </w:r>
                    </w:p>
                    <w:p w:rsidR="005063CB" w:rsidRDefault="005063CB">
                      <w:pPr>
                        <w:rPr>
                          <w:sz w:val="20"/>
                        </w:rPr>
                      </w:pPr>
                      <w:r>
                        <w:rPr>
                          <w:sz w:val="20"/>
                        </w:rPr>
                        <w:t>loans</w:t>
                      </w:r>
                    </w:p>
                    <w:p w:rsidR="005063CB" w:rsidRDefault="005063CB">
                      <w:pPr>
                        <w:rPr>
                          <w:sz w:val="20"/>
                        </w:rPr>
                      </w:pPr>
                      <w:r>
                        <w:rPr>
                          <w:sz w:val="20"/>
                        </w:rPr>
                        <w:t xml:space="preserve">Defense </w:t>
                      </w:r>
                    </w:p>
                    <w:p w:rsidR="005063CB" w:rsidRDefault="005063CB">
                      <w:pPr>
                        <w:rPr>
                          <w:sz w:val="20"/>
                        </w:rPr>
                      </w:pPr>
                      <w:r>
                        <w:rPr>
                          <w:sz w:val="20"/>
                        </w:rPr>
                        <w:t>Public order and national safety</w:t>
                      </w:r>
                    </w:p>
                    <w:p w:rsidR="005063CB" w:rsidRDefault="005063CB">
                      <w:pPr>
                        <w:rPr>
                          <w:sz w:val="20"/>
                        </w:rPr>
                      </w:pPr>
                    </w:p>
                    <w:p w:rsidR="005063CB" w:rsidRDefault="005063CB">
                      <w:pPr>
                        <w:rPr>
                          <w:sz w:val="20"/>
                        </w:rPr>
                      </w:pPr>
                      <w:r>
                        <w:rPr>
                          <w:sz w:val="20"/>
                        </w:rPr>
                        <w:t>Education</w:t>
                      </w:r>
                    </w:p>
                    <w:p w:rsidR="005063CB" w:rsidRDefault="005063CB">
                      <w:pPr>
                        <w:rPr>
                          <w:sz w:val="20"/>
                        </w:rPr>
                      </w:pPr>
                      <w:r>
                        <w:rPr>
                          <w:sz w:val="20"/>
                        </w:rPr>
                        <w:t>Health</w:t>
                      </w:r>
                    </w:p>
                    <w:p w:rsidR="005063CB" w:rsidRDefault="005063CB">
                      <w:pPr>
                        <w:rPr>
                          <w:sz w:val="20"/>
                        </w:rPr>
                      </w:pPr>
                      <w:r>
                        <w:rPr>
                          <w:sz w:val="20"/>
                        </w:rPr>
                        <w:t>Culture, recreation, and religion</w:t>
                      </w:r>
                    </w:p>
                    <w:p w:rsidR="005063CB" w:rsidRDefault="005063CB">
                      <w:pPr>
                        <w:rPr>
                          <w:sz w:val="20"/>
                        </w:rPr>
                      </w:pPr>
                      <w:r>
                        <w:rPr>
                          <w:sz w:val="20"/>
                        </w:rPr>
                        <w:t>Insurance and social assistance</w:t>
                      </w:r>
                    </w:p>
                    <w:p w:rsidR="005063CB" w:rsidRDefault="005063CB">
                      <w:pPr>
                        <w:rPr>
                          <w:sz w:val="20"/>
                        </w:rPr>
                      </w:pPr>
                    </w:p>
                    <w:p w:rsidR="005063CB" w:rsidRDefault="005063CB">
                      <w:pPr>
                        <w:rPr>
                          <w:sz w:val="20"/>
                        </w:rPr>
                      </w:pPr>
                      <w:r>
                        <w:rPr>
                          <w:sz w:val="20"/>
                        </w:rPr>
                        <w:t>Housing, services and public development</w:t>
                      </w:r>
                    </w:p>
                    <w:p w:rsidR="005063CB" w:rsidRDefault="005063CB">
                      <w:pPr>
                        <w:rPr>
                          <w:sz w:val="20"/>
                        </w:rPr>
                      </w:pPr>
                      <w:r>
                        <w:rPr>
                          <w:sz w:val="20"/>
                        </w:rPr>
                        <w:t>Environmental protection</w:t>
                      </w:r>
                    </w:p>
                    <w:p w:rsidR="005063CB" w:rsidRDefault="005063CB">
                      <w:pPr>
                        <w:rPr>
                          <w:sz w:val="20"/>
                        </w:rPr>
                      </w:pPr>
                      <w:r>
                        <w:rPr>
                          <w:sz w:val="20"/>
                        </w:rPr>
                        <w:t>Fuel and energy</w:t>
                      </w:r>
                    </w:p>
                    <w:p w:rsidR="005063CB" w:rsidRDefault="005063CB">
                      <w:pPr>
                        <w:rPr>
                          <w:sz w:val="20"/>
                        </w:rPr>
                      </w:pPr>
                    </w:p>
                    <w:p w:rsidR="005063CB" w:rsidRDefault="005063CB">
                      <w:pPr>
                        <w:rPr>
                          <w:sz w:val="20"/>
                        </w:rPr>
                      </w:pPr>
                      <w:r>
                        <w:rPr>
                          <w:sz w:val="20"/>
                        </w:rPr>
                        <w:t>Agriculture, forestry, fishing and hunting</w:t>
                      </w:r>
                    </w:p>
                    <w:p w:rsidR="005063CB" w:rsidRDefault="005063CB">
                      <w:pPr>
                        <w:rPr>
                          <w:sz w:val="20"/>
                        </w:rPr>
                      </w:pPr>
                      <w:r>
                        <w:rPr>
                          <w:sz w:val="20"/>
                        </w:rPr>
                        <w:t>Transport</w:t>
                      </w:r>
                    </w:p>
                    <w:p w:rsidR="005063CB" w:rsidRPr="00832CED" w:rsidRDefault="005063CB">
                      <w:pPr>
                        <w:rPr>
                          <w:sz w:val="20"/>
                        </w:rPr>
                      </w:pPr>
                      <w:r>
                        <w:rPr>
                          <w:sz w:val="20"/>
                        </w:rPr>
                        <w:t>Other budgetary fields (other general services, communications, etc.)</w:t>
                      </w:r>
                    </w:p>
                  </w:txbxContent>
                </v:textbox>
              </v:rect>
            </w:pict>
          </mc:Fallback>
        </mc:AlternateContent>
      </w:r>
      <w:r w:rsidR="00412395">
        <w:rPr>
          <w:noProof/>
          <w:lang w:val="ro-RO" w:eastAsia="ro-RO"/>
        </w:rPr>
        <w:drawing>
          <wp:inline distT="0" distB="0" distL="0" distR="0">
            <wp:extent cx="6264275" cy="4110579"/>
            <wp:effectExtent l="0" t="0" r="317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64275" cy="4110579"/>
                    </a:xfrm>
                    <a:prstGeom prst="rect">
                      <a:avLst/>
                    </a:prstGeom>
                    <a:noFill/>
                    <a:ln>
                      <a:noFill/>
                    </a:ln>
                  </pic:spPr>
                </pic:pic>
              </a:graphicData>
            </a:graphic>
          </wp:inline>
        </w:drawing>
      </w:r>
    </w:p>
    <w:p w:rsidR="00912B6C" w:rsidRPr="00912B6C" w:rsidRDefault="00912B6C" w:rsidP="00912B6C">
      <w:pPr>
        <w:spacing w:line="276" w:lineRule="auto"/>
        <w:ind w:firstLine="624"/>
        <w:jc w:val="both"/>
        <w:rPr>
          <w:rFonts w:ascii="Calibri" w:eastAsia="Calibri" w:hAnsi="Calibri" w:cs="Arial"/>
          <w:bCs/>
        </w:rPr>
      </w:pPr>
    </w:p>
    <w:p w:rsidR="00912B6C" w:rsidRPr="00912B6C" w:rsidRDefault="00912B6C" w:rsidP="00912B6C">
      <w:pPr>
        <w:spacing w:line="276" w:lineRule="auto"/>
        <w:ind w:firstLine="624"/>
        <w:jc w:val="both"/>
        <w:rPr>
          <w:rFonts w:ascii="Calibri" w:eastAsia="Calibri" w:hAnsi="Calibri" w:cs="Arial"/>
          <w:bCs/>
        </w:rPr>
      </w:pPr>
      <w:r>
        <w:rPr>
          <w:rFonts w:ascii="Calibri" w:hAnsi="Calibri"/>
          <w:bCs/>
        </w:rPr>
        <w:t>With regard to the expenditures on the main fields in 2017 compared to 2016, increases are found in the case of most fields, the most significant ones being registered in the field of agriculture, forestry, fishing and hunting (+113.9%), defense (+47.8%), health (+13.2%), insurance and social assistance (+13.7%), education (+14%), culture, recreation and religion (+29.6%). Decreases were registered in the fields of: residences, public services and development (-0.5%), transport (-9.3%), environmental protection (-9.2%).</w:t>
      </w:r>
    </w:p>
    <w:p w:rsidR="00D03B49" w:rsidRPr="00C86702" w:rsidRDefault="00D03B49" w:rsidP="00D03B49">
      <w:pPr>
        <w:jc w:val="both"/>
        <w:rPr>
          <w:rFonts w:ascii="Calibri" w:eastAsia="Calibri" w:hAnsi="Calibri" w:cs="Arial"/>
          <w:color w:val="FF0000"/>
          <w:shd w:val="clear" w:color="auto" w:fill="FFFFFF"/>
          <w:lang w:val="ro-RO"/>
        </w:rPr>
      </w:pPr>
    </w:p>
    <w:p w:rsidR="00D03B49" w:rsidRPr="00FA5738" w:rsidRDefault="00D03B49" w:rsidP="00FA5738">
      <w:pPr>
        <w:keepNext/>
        <w:shd w:val="clear" w:color="auto" w:fill="9CC2E5" w:themeFill="accent1" w:themeFillTint="99"/>
        <w:jc w:val="both"/>
        <w:rPr>
          <w:rFonts w:ascii="Calibri" w:hAnsi="Calibri" w:cs="Arial"/>
          <w:b/>
          <w:color w:val="000080"/>
        </w:rPr>
      </w:pPr>
      <w:r>
        <w:rPr>
          <w:rFonts w:ascii="Calibri" w:hAnsi="Calibri"/>
          <w:b/>
          <w:color w:val="000080"/>
        </w:rPr>
        <w:t>Preliminary budget execution of 2018</w:t>
      </w:r>
    </w:p>
    <w:p w:rsidR="00912B6C" w:rsidRPr="00912B6C" w:rsidRDefault="00912B6C" w:rsidP="00912B6C">
      <w:pPr>
        <w:spacing w:before="240"/>
        <w:ind w:right="-57" w:firstLine="720"/>
        <w:jc w:val="both"/>
        <w:rPr>
          <w:rFonts w:ascii="Calibri" w:hAnsi="Calibri" w:cs="Arial"/>
          <w:bCs/>
        </w:rPr>
      </w:pPr>
      <w:r>
        <w:rPr>
          <w:rFonts w:ascii="Calibri" w:hAnsi="Calibri"/>
          <w:b/>
          <w:bCs/>
        </w:rPr>
        <w:t xml:space="preserve">The execution of the general consolidated budget </w:t>
      </w:r>
      <w:r>
        <w:rPr>
          <w:rFonts w:ascii="Calibri" w:hAnsi="Calibri"/>
          <w:bCs/>
        </w:rPr>
        <w:t>on the basis of the operative execution data for 2018 ended with a deficit of 27.3 billion Lei, i.e. 2.91% of GDP, below the established annual target of 2.97% of the GDP.</w:t>
      </w:r>
    </w:p>
    <w:p w:rsidR="00912B6C" w:rsidRPr="00912B6C" w:rsidRDefault="00912B6C" w:rsidP="00912B6C">
      <w:pPr>
        <w:spacing w:before="240"/>
        <w:ind w:right="-57" w:firstLine="720"/>
        <w:jc w:val="both"/>
        <w:rPr>
          <w:rFonts w:ascii="Calibri" w:hAnsi="Calibri" w:cs="Arial"/>
          <w:bCs/>
        </w:rPr>
      </w:pPr>
      <w:r>
        <w:rPr>
          <w:rFonts w:ascii="Calibri" w:hAnsi="Calibri"/>
          <w:b/>
          <w:bCs/>
        </w:rPr>
        <w:t>1. The revenues of the general consolidated budget</w:t>
      </w:r>
      <w:r>
        <w:rPr>
          <w:rFonts w:ascii="Calibri" w:hAnsi="Calibri"/>
          <w:bCs/>
        </w:rPr>
        <w:t xml:space="preserve">, amounting to </w:t>
      </w:r>
      <w:r>
        <w:rPr>
          <w:rFonts w:ascii="Calibri" w:hAnsi="Calibri"/>
          <w:b/>
          <w:bCs/>
        </w:rPr>
        <w:t>Lei 295.1 billion, representing 31.4% of GDP</w:t>
      </w:r>
      <w:r>
        <w:rPr>
          <w:rFonts w:ascii="Calibri" w:hAnsi="Calibri"/>
          <w:bCs/>
        </w:rPr>
        <w:t>, compared with 29.4% of the GDP in 2017. In percentages, the revenues were 17.2% bigger in nominal terms than in the previous year.</w:t>
      </w:r>
    </w:p>
    <w:p w:rsidR="00912B6C" w:rsidRPr="00912B6C" w:rsidRDefault="00912B6C" w:rsidP="00912B6C">
      <w:pPr>
        <w:ind w:right="-57" w:firstLine="720"/>
        <w:jc w:val="both"/>
        <w:rPr>
          <w:rFonts w:ascii="Calibri" w:hAnsi="Calibri" w:cs="Arial"/>
          <w:bCs/>
        </w:rPr>
      </w:pPr>
      <w:r>
        <w:rPr>
          <w:rFonts w:ascii="Calibri" w:hAnsi="Calibri"/>
          <w:bCs/>
        </w:rPr>
        <w:t xml:space="preserve">Increases are registered compared to the previous year in the case of collections from </w:t>
      </w:r>
      <w:r>
        <w:rPr>
          <w:rFonts w:ascii="Calibri" w:hAnsi="Calibri"/>
          <w:b/>
          <w:bCs/>
        </w:rPr>
        <w:t>insurance contributions</w:t>
      </w:r>
      <w:r>
        <w:rPr>
          <w:rFonts w:ascii="Calibri" w:hAnsi="Calibri"/>
          <w:bCs/>
        </w:rPr>
        <w:t xml:space="preserve"> (+36.8%).  </w:t>
      </w:r>
      <w:r>
        <w:rPr>
          <w:rFonts w:ascii="Calibri" w:hAnsi="Calibri"/>
        </w:rPr>
        <w:t>Collections from insurance contributions were influenced by the increase of the number of employees from the economy, of the average gross salary, of the minimum salary, as well as by the legislative conditions regarding the transfer of contributions from the employer to the employee, regulated by GEO no. 79/2017 amending and supplementing Law no. 227/2015 on the Fiscal Code.</w:t>
      </w:r>
    </w:p>
    <w:p w:rsidR="00912B6C" w:rsidRPr="00912B6C" w:rsidRDefault="00912B6C" w:rsidP="00912B6C">
      <w:pPr>
        <w:ind w:right="-57" w:firstLine="720"/>
        <w:jc w:val="both"/>
        <w:rPr>
          <w:rFonts w:ascii="Calibri" w:hAnsi="Calibri" w:cs="Arial"/>
          <w:bCs/>
        </w:rPr>
      </w:pPr>
      <w:r>
        <w:rPr>
          <w:rFonts w:ascii="Calibri" w:hAnsi="Calibri"/>
          <w:bCs/>
        </w:rPr>
        <w:t xml:space="preserve">As of May, it is found an improvement of the collection of revenues from VAT, meaning that they increased by 11.3% compared to the achievements of 2017, reaching a value of 59.6 billion Lei on the entire year 2018. </w:t>
      </w:r>
    </w:p>
    <w:p w:rsidR="00912B6C" w:rsidRPr="00912B6C" w:rsidRDefault="00912B6C" w:rsidP="00912B6C">
      <w:pPr>
        <w:ind w:right="-57" w:firstLine="720"/>
        <w:jc w:val="both"/>
        <w:rPr>
          <w:rFonts w:ascii="Calibri" w:hAnsi="Calibri" w:cs="Arial"/>
          <w:bCs/>
        </w:rPr>
      </w:pPr>
      <w:r>
        <w:rPr>
          <w:rFonts w:ascii="Calibri" w:hAnsi="Calibri"/>
          <w:bCs/>
        </w:rPr>
        <w:t xml:space="preserve">The revenues from </w:t>
      </w:r>
      <w:r>
        <w:rPr>
          <w:rFonts w:ascii="Calibri" w:hAnsi="Calibri"/>
          <w:b/>
          <w:bCs/>
        </w:rPr>
        <w:t>excise duties</w:t>
      </w:r>
      <w:r>
        <w:rPr>
          <w:rFonts w:ascii="Calibri" w:hAnsi="Calibri"/>
          <w:bCs/>
        </w:rPr>
        <w:t xml:space="preserve"> were of 28.5 billion Lei (3% of GDP), i.e. 7.2% bigger compared to the previous year. </w:t>
      </w:r>
    </w:p>
    <w:p w:rsidR="00912B6C" w:rsidRPr="00912B6C" w:rsidRDefault="00912B6C" w:rsidP="00912B6C">
      <w:pPr>
        <w:ind w:right="-57" w:firstLine="720"/>
        <w:jc w:val="both"/>
        <w:rPr>
          <w:rFonts w:ascii="Calibri" w:hAnsi="Calibri" w:cs="Arial"/>
          <w:bCs/>
        </w:rPr>
      </w:pPr>
      <w:r>
        <w:rPr>
          <w:rFonts w:ascii="Calibri" w:hAnsi="Calibri"/>
          <w:bCs/>
        </w:rPr>
        <w:t xml:space="preserve">Also, the collections from </w:t>
      </w:r>
      <w:r>
        <w:rPr>
          <w:rFonts w:ascii="Calibri" w:hAnsi="Calibri"/>
          <w:b/>
          <w:bCs/>
        </w:rPr>
        <w:t>taxes and charges on ownership</w:t>
      </w:r>
      <w:r>
        <w:rPr>
          <w:rFonts w:ascii="Calibri" w:hAnsi="Calibri"/>
          <w:bCs/>
        </w:rPr>
        <w:t xml:space="preserve"> increased by 2% compared to 2017, and the collections from non-fiscal revenues increased by 24%, being positively influenced by the collections from dividends.</w:t>
      </w:r>
    </w:p>
    <w:p w:rsidR="00912B6C" w:rsidRPr="00912B6C" w:rsidRDefault="00912B6C" w:rsidP="00912B6C">
      <w:pPr>
        <w:ind w:right="-57" w:firstLine="720"/>
        <w:jc w:val="both"/>
        <w:rPr>
          <w:rFonts w:ascii="Calibri" w:hAnsi="Calibri" w:cs="Arial"/>
          <w:bCs/>
        </w:rPr>
      </w:pPr>
      <w:r>
        <w:rPr>
          <w:rFonts w:ascii="Calibri" w:hAnsi="Calibri"/>
          <w:bCs/>
        </w:rPr>
        <w:t xml:space="preserve">Decreases were registered for the collections from the </w:t>
      </w:r>
      <w:r>
        <w:rPr>
          <w:rFonts w:ascii="Calibri" w:hAnsi="Calibri"/>
          <w:b/>
          <w:bCs/>
        </w:rPr>
        <w:t>salaries and personal income tax,</w:t>
      </w:r>
      <w:r>
        <w:rPr>
          <w:rFonts w:ascii="Calibri" w:hAnsi="Calibri"/>
          <w:bCs/>
        </w:rPr>
        <w:t xml:space="preserve"> by 24.8%, based on the decrease as of January 01, 2018 of the personal income tax rate from 16% to 10%, a measure which was reflected into the collections as of February 2018. </w:t>
      </w:r>
    </w:p>
    <w:p w:rsidR="00912B6C" w:rsidRPr="00912B6C" w:rsidRDefault="00912B6C" w:rsidP="00912B6C">
      <w:pPr>
        <w:ind w:right="-57" w:firstLine="720"/>
        <w:jc w:val="both"/>
        <w:rPr>
          <w:rFonts w:ascii="Calibri" w:hAnsi="Calibri" w:cs="Arial"/>
          <w:bCs/>
          <w:i/>
        </w:rPr>
      </w:pPr>
      <w:r>
        <w:rPr>
          <w:rFonts w:ascii="Calibri" w:hAnsi="Calibri"/>
          <w:bCs/>
        </w:rPr>
        <w:t xml:space="preserve">Also, a 42% decrease compared to the previous year is registered for </w:t>
      </w:r>
      <w:r>
        <w:rPr>
          <w:rFonts w:ascii="Calibri" w:hAnsi="Calibri"/>
          <w:b/>
          <w:bCs/>
        </w:rPr>
        <w:t>the charge on the use of goods, the authorization of the use of goods or on the performance of activities</w:t>
      </w:r>
      <w:r>
        <w:rPr>
          <w:rFonts w:ascii="Calibri" w:hAnsi="Calibri"/>
          <w:bCs/>
        </w:rPr>
        <w:t xml:space="preserve">, as a result of the enforcement of </w:t>
      </w:r>
      <w:r>
        <w:rPr>
          <w:rFonts w:ascii="Calibri" w:hAnsi="Calibri"/>
          <w:bCs/>
          <w:i/>
        </w:rPr>
        <w:t>GEO no. 52/2017 on the return of the amounts representing the special charge for motor vehicles and vehicles, the charge on pollution for motor vehicles, the charge on pollutant emissions coming from motor vehicles and the environmental stamp for motor vehicles.</w:t>
      </w:r>
    </w:p>
    <w:p w:rsidR="00912B6C" w:rsidRPr="00912B6C" w:rsidRDefault="00912B6C" w:rsidP="00912B6C">
      <w:pPr>
        <w:ind w:right="-57" w:firstLine="720"/>
        <w:jc w:val="both"/>
        <w:rPr>
          <w:rFonts w:ascii="Calibri" w:hAnsi="Calibri" w:cs="Arial"/>
        </w:rPr>
      </w:pPr>
      <w:r>
        <w:rPr>
          <w:rFonts w:ascii="Calibri" w:hAnsi="Calibri"/>
          <w:b/>
        </w:rPr>
        <w:t>The amounts from the European Union on account of payments made</w:t>
      </w:r>
      <w:r>
        <w:rPr>
          <w:rFonts w:ascii="Calibri" w:hAnsi="Calibri"/>
        </w:rPr>
        <w:t xml:space="preserve"> are of 27.1 billion Lei, being 57.8% bigger compared to 2017.</w:t>
      </w:r>
      <w:r>
        <w:rPr>
          <w:rFonts w:ascii="Calibri" w:hAnsi="Calibri"/>
          <w:bCs/>
        </w:rPr>
        <w:t xml:space="preserve"> </w:t>
      </w:r>
    </w:p>
    <w:p w:rsidR="00912B6C" w:rsidRPr="00912B6C" w:rsidRDefault="00912B6C" w:rsidP="00912B6C">
      <w:pPr>
        <w:ind w:right="-57" w:firstLine="737"/>
        <w:jc w:val="both"/>
        <w:rPr>
          <w:rFonts w:ascii="Calibri" w:hAnsi="Calibri" w:cs="Arial"/>
          <w:b/>
          <w:bCs/>
          <w:lang w:val="fr-FR"/>
        </w:rPr>
      </w:pPr>
    </w:p>
    <w:p w:rsidR="00912B6C" w:rsidRPr="00912B6C" w:rsidRDefault="00912B6C" w:rsidP="00912B6C">
      <w:pPr>
        <w:ind w:right="-57" w:firstLine="737"/>
        <w:jc w:val="both"/>
        <w:rPr>
          <w:rFonts w:ascii="Calibri" w:hAnsi="Calibri" w:cs="Arial"/>
          <w:bCs/>
        </w:rPr>
      </w:pPr>
      <w:r>
        <w:rPr>
          <w:rFonts w:ascii="Calibri" w:hAnsi="Calibri"/>
          <w:b/>
          <w:bCs/>
        </w:rPr>
        <w:t>2. The expenditures of the general consolidated budget</w:t>
      </w:r>
      <w:r>
        <w:rPr>
          <w:rFonts w:ascii="Calibri" w:hAnsi="Calibri"/>
          <w:bCs/>
        </w:rPr>
        <w:t xml:space="preserve"> are of </w:t>
      </w:r>
      <w:r>
        <w:rPr>
          <w:rFonts w:ascii="Calibri" w:hAnsi="Calibri"/>
          <w:b/>
          <w:bCs/>
        </w:rPr>
        <w:t>322.4 billion Lei</w:t>
      </w:r>
      <w:r>
        <w:rPr>
          <w:rFonts w:ascii="Calibri" w:hAnsi="Calibri"/>
          <w:bCs/>
        </w:rPr>
        <w:t>, i.e. 16.8% bigger than in the previous year.</w:t>
      </w:r>
    </w:p>
    <w:p w:rsidR="00912B6C" w:rsidRPr="00912B6C" w:rsidRDefault="00912B6C" w:rsidP="00912B6C">
      <w:pPr>
        <w:ind w:right="-57" w:firstLine="720"/>
        <w:jc w:val="both"/>
        <w:rPr>
          <w:rFonts w:ascii="Calibri" w:hAnsi="Calibri" w:cs="Arial"/>
          <w:bCs/>
        </w:rPr>
      </w:pPr>
      <w:r>
        <w:rPr>
          <w:rFonts w:ascii="Calibri" w:hAnsi="Calibri"/>
          <w:b/>
          <w:bCs/>
        </w:rPr>
        <w:t>Personnel expenditures</w:t>
      </w:r>
      <w:r>
        <w:rPr>
          <w:rFonts w:ascii="Calibri" w:hAnsi="Calibri"/>
          <w:bCs/>
        </w:rPr>
        <w:t xml:space="preserve"> are 23.7% bigger than in 2017, the increase being caused by the salary increases given on the basis of the Framework Law no. 153/2017 on the salaries of personnel paid from public funds.</w:t>
      </w:r>
    </w:p>
    <w:p w:rsidR="00912B6C" w:rsidRPr="00912B6C" w:rsidRDefault="00912B6C" w:rsidP="00912B6C">
      <w:pPr>
        <w:spacing w:before="240"/>
        <w:ind w:firstLine="720"/>
        <w:contextualSpacing/>
        <w:jc w:val="both"/>
        <w:rPr>
          <w:rFonts w:ascii="Calibri" w:hAnsi="Calibri" w:cs="Arial"/>
          <w:bCs/>
        </w:rPr>
      </w:pPr>
      <w:r>
        <w:rPr>
          <w:rFonts w:ascii="Calibri" w:hAnsi="Calibri"/>
          <w:bCs/>
        </w:rPr>
        <w:t xml:space="preserve">Expenditures for </w:t>
      </w:r>
      <w:r>
        <w:rPr>
          <w:rFonts w:ascii="Calibri" w:hAnsi="Calibri"/>
          <w:b/>
          <w:bCs/>
        </w:rPr>
        <w:t>goods and services</w:t>
      </w:r>
      <w:r>
        <w:rPr>
          <w:rFonts w:ascii="Calibri" w:hAnsi="Calibri"/>
          <w:bCs/>
        </w:rPr>
        <w:t xml:space="preserve"> increased by 9.8% compared to the previous year. Significant increases are registered both at the local budgets and at the budget of the national single fund for health insurance and the budget of the public institutions financed from own revenues and budget subsidies.</w:t>
      </w:r>
    </w:p>
    <w:p w:rsidR="00912B6C" w:rsidRPr="00912B6C" w:rsidRDefault="00912B6C" w:rsidP="00912B6C">
      <w:pPr>
        <w:spacing w:before="240"/>
        <w:ind w:firstLine="720"/>
        <w:contextualSpacing/>
        <w:jc w:val="both"/>
        <w:rPr>
          <w:rFonts w:ascii="Calibri" w:hAnsi="Calibri" w:cs="Arial"/>
          <w:bCs/>
        </w:rPr>
      </w:pPr>
      <w:r>
        <w:rPr>
          <w:rFonts w:ascii="Calibri" w:hAnsi="Calibri"/>
          <w:b/>
          <w:bCs/>
        </w:rPr>
        <w:t>Subsidies</w:t>
      </w:r>
      <w:r>
        <w:rPr>
          <w:rFonts w:ascii="Calibri" w:hAnsi="Calibri"/>
          <w:bCs/>
        </w:rPr>
        <w:t xml:space="preserve"> are 7.6% bigger compared to 2017, remaining at the same level as percentage of the Gross Domestic Product, namely of 0.7%.</w:t>
      </w:r>
    </w:p>
    <w:p w:rsidR="00912B6C" w:rsidRPr="00912B6C" w:rsidRDefault="00912B6C" w:rsidP="00912B6C">
      <w:pPr>
        <w:spacing w:before="240"/>
        <w:ind w:firstLine="720"/>
        <w:contextualSpacing/>
        <w:jc w:val="both"/>
        <w:rPr>
          <w:rFonts w:ascii="Calibri" w:hAnsi="Calibri" w:cs="Arial"/>
          <w:bCs/>
        </w:rPr>
      </w:pPr>
      <w:r>
        <w:rPr>
          <w:rFonts w:ascii="Calibri" w:hAnsi="Calibri"/>
          <w:b/>
          <w:bCs/>
        </w:rPr>
        <w:t>Interests</w:t>
      </w:r>
      <w:r>
        <w:rPr>
          <w:rFonts w:ascii="Calibri" w:hAnsi="Calibri"/>
          <w:bCs/>
        </w:rPr>
        <w:t xml:space="preserve"> are 27.8% bigger than the previous year, representing 1.4% of the GDP, since in October 2018 was registered an interest payment peak, considering the cumulation of interest payment data corresponding to several benchmark type government securities.</w:t>
      </w:r>
    </w:p>
    <w:p w:rsidR="00912B6C" w:rsidRPr="00912B6C" w:rsidRDefault="00912B6C" w:rsidP="00912B6C">
      <w:pPr>
        <w:spacing w:before="240"/>
        <w:ind w:firstLine="720"/>
        <w:contextualSpacing/>
        <w:jc w:val="both"/>
        <w:rPr>
          <w:rFonts w:ascii="Calibri" w:hAnsi="Calibri" w:cs="Arial"/>
          <w:bCs/>
        </w:rPr>
      </w:pPr>
      <w:r>
        <w:rPr>
          <w:rFonts w:ascii="Calibri" w:hAnsi="Calibri"/>
          <w:b/>
          <w:bCs/>
        </w:rPr>
        <w:t>Social assistance expenditures</w:t>
      </w:r>
      <w:r>
        <w:rPr>
          <w:rFonts w:ascii="Calibri" w:hAnsi="Calibri"/>
          <w:bCs/>
        </w:rPr>
        <w:t xml:space="preserve"> increased compared to the previous year by 9.5%, being mainly influenced by the 9% increase of the pension point as of July 1, 2017, reaching Lei 1000, respectively by 10% as of July 1, 2018, reaching Lei 1100, by the increase of the social allowance for the retired from Lei 520 to Lei 640, as well as by the increase and amendment of the manner of establishment of the monthly child care allowance and of the insertion incentive.</w:t>
      </w:r>
    </w:p>
    <w:p w:rsidR="00A47503" w:rsidRDefault="00912B6C" w:rsidP="00912B6C">
      <w:pPr>
        <w:spacing w:before="240"/>
        <w:ind w:firstLine="720"/>
        <w:contextualSpacing/>
        <w:jc w:val="both"/>
        <w:rPr>
          <w:rFonts w:ascii="Calibri" w:hAnsi="Calibri" w:cs="Arial"/>
          <w:bCs/>
          <w:lang w:val="fr-FR"/>
        </w:rPr>
      </w:pPr>
      <w:r>
        <w:rPr>
          <w:rFonts w:ascii="Calibri" w:hAnsi="Calibri"/>
          <w:b/>
          <w:bCs/>
        </w:rPr>
        <w:t>Investment expenditures</w:t>
      </w:r>
      <w:r>
        <w:rPr>
          <w:rFonts w:ascii="Calibri" w:hAnsi="Calibri"/>
          <w:bCs/>
        </w:rPr>
        <w:t>, which include capital expenditures, as well as the expenditures corresponding to development programs financed from domestic and foreign sources, were of Lei 34.2 billion, namely 27.9% bigger than in 2017.</w:t>
      </w:r>
    </w:p>
    <w:p w:rsidR="00AC4302" w:rsidRDefault="00AC4302" w:rsidP="00912B6C">
      <w:pPr>
        <w:spacing w:before="240"/>
        <w:ind w:firstLine="720"/>
        <w:contextualSpacing/>
        <w:jc w:val="both"/>
        <w:rPr>
          <w:rFonts w:ascii="Calibri" w:hAnsi="Calibri" w:cs="Arial"/>
          <w:bCs/>
          <w:lang w:val="fr-FR"/>
        </w:rPr>
      </w:pPr>
    </w:p>
    <w:p w:rsidR="00710350" w:rsidRPr="00676235" w:rsidRDefault="00884E46" w:rsidP="00676235">
      <w:pPr>
        <w:keepNext/>
        <w:shd w:val="clear" w:color="auto" w:fill="9CC2E5" w:themeFill="accent1" w:themeFillTint="99"/>
        <w:jc w:val="both"/>
        <w:rPr>
          <w:rFonts w:ascii="Calibri" w:hAnsi="Calibri" w:cs="Arial"/>
          <w:b/>
          <w:color w:val="000080"/>
        </w:rPr>
      </w:pPr>
      <w:r>
        <w:rPr>
          <w:rFonts w:ascii="Calibri" w:hAnsi="Calibri"/>
          <w:b/>
          <w:color w:val="000080"/>
        </w:rPr>
        <w:t>3.3.</w:t>
      </w:r>
      <w:r>
        <w:rPr>
          <w:rFonts w:ascii="Calibri" w:hAnsi="Calibri"/>
          <w:b/>
          <w:color w:val="000080"/>
        </w:rPr>
        <w:tab/>
        <w:t>Medium-term macroeconomic forecasts (2019-2021)</w:t>
      </w:r>
    </w:p>
    <w:p w:rsidR="006346A7" w:rsidRDefault="006346A7" w:rsidP="00322391">
      <w:pPr>
        <w:keepNext/>
        <w:jc w:val="both"/>
        <w:rPr>
          <w:rFonts w:ascii="Calibri" w:hAnsi="Calibri" w:cs="Arial"/>
          <w:b/>
          <w:color w:val="000080"/>
          <w:lang w:val="ro-RO"/>
        </w:rPr>
      </w:pPr>
    </w:p>
    <w:p w:rsidR="00D07CEE" w:rsidRPr="00D07CEE" w:rsidRDefault="00D07CEE" w:rsidP="00D07CEE">
      <w:pPr>
        <w:keepNext/>
        <w:spacing w:before="120"/>
        <w:jc w:val="both"/>
        <w:rPr>
          <w:rFonts w:ascii="Calibri" w:hAnsi="Calibri" w:cs="Calibri"/>
          <w:iCs/>
        </w:rPr>
      </w:pPr>
      <w:r>
        <w:rPr>
          <w:rFonts w:ascii="Calibri" w:hAnsi="Calibri"/>
        </w:rPr>
        <w:t xml:space="preserve">The macroeconomic framework configured for 2019-2021 has taken into consideration: </w:t>
      </w:r>
      <w:r>
        <w:rPr>
          <w:rFonts w:ascii="Calibri" w:hAnsi="Calibri"/>
          <w:b/>
        </w:rPr>
        <w:t>(i)</w:t>
      </w:r>
      <w:r>
        <w:rPr>
          <w:rFonts w:ascii="Calibri" w:hAnsi="Calibri"/>
        </w:rPr>
        <w:t xml:space="preserve"> the positive impact of the fiscal and budgetary measures taken so far on the business environment and on the population’s purchase power; </w:t>
      </w:r>
      <w:r>
        <w:rPr>
          <w:rFonts w:ascii="Calibri" w:hAnsi="Calibri"/>
          <w:b/>
        </w:rPr>
        <w:t>(ii)</w:t>
      </w:r>
      <w:r>
        <w:rPr>
          <w:rFonts w:ascii="Calibri" w:hAnsi="Calibri"/>
        </w:rPr>
        <w:t xml:space="preserve"> the European and global framework, emphasized in the fall forecasts of the European Commission, and characterized by economic growth, but a less dynamic one, on the background of a higher degree of uncertainty, the increase of </w:t>
      </w:r>
      <w:r>
        <w:rPr>
          <w:rFonts w:ascii="Verdana" w:hAnsi="Verdana"/>
          <w:sz w:val="20"/>
          <w:szCs w:val="20"/>
          <w:shd w:val="clear" w:color="auto" w:fill="FFFFFF"/>
        </w:rPr>
        <w:t xml:space="preserve">commercial tensions, the increase of oil prices, tensed financial markets, marked by multiple negative interconnected evolution risks; </w:t>
      </w:r>
      <w:r>
        <w:rPr>
          <w:b/>
        </w:rPr>
        <w:t>(iii)</w:t>
      </w:r>
      <w:r>
        <w:t xml:space="preserve"> the economic and social achievements of 2017 and 2018 until the present, aspects which will form the basis of substantiation of the budget indicators for 2019 and the reference horizon 2020-2021, thus ensuring the predictable and sustainable nature thereof. </w:t>
      </w:r>
    </w:p>
    <w:p w:rsidR="00D07CEE" w:rsidRPr="005063CB" w:rsidRDefault="00D07CEE" w:rsidP="00D07CEE">
      <w:pPr>
        <w:keepNext/>
        <w:spacing w:before="120"/>
        <w:jc w:val="both"/>
      </w:pPr>
      <w:r w:rsidRPr="005063CB">
        <w:t xml:space="preserve">Considering the evolution of the economic growth potential, for the period of 2019-2021 it is estimated that the Romanian economy will continue its sustained growth, being possible an increase of </w:t>
      </w:r>
      <w:r w:rsidRPr="005063CB">
        <w:rPr>
          <w:b/>
        </w:rPr>
        <w:t>the gross domestic product</w:t>
      </w:r>
      <w:r w:rsidRPr="005063CB">
        <w:t xml:space="preserve"> by 5.4% yearly, on average.</w:t>
      </w:r>
    </w:p>
    <w:p w:rsidR="00D07CEE" w:rsidRPr="005063CB" w:rsidRDefault="00D07CEE" w:rsidP="00D07CEE">
      <w:pPr>
        <w:keepNext/>
        <w:jc w:val="both"/>
        <w:rPr>
          <w:lang w:val="ro-RO"/>
        </w:rPr>
      </w:pPr>
    </w:p>
    <w:tbl>
      <w:tblPr>
        <w:tblW w:w="9001" w:type="dxa"/>
        <w:jc w:val="center"/>
        <w:tblBorders>
          <w:top w:val="single" w:sz="24" w:space="0" w:color="auto"/>
          <w:left w:val="single" w:sz="4" w:space="0" w:color="auto"/>
          <w:bottom w:val="single" w:sz="24" w:space="0" w:color="auto"/>
          <w:right w:val="single" w:sz="4" w:space="0" w:color="auto"/>
        </w:tblBorders>
        <w:tblLayout w:type="fixed"/>
        <w:tblLook w:val="01E0" w:firstRow="1" w:lastRow="1" w:firstColumn="1" w:lastColumn="1" w:noHBand="0" w:noVBand="0"/>
      </w:tblPr>
      <w:tblGrid>
        <w:gridCol w:w="6267"/>
        <w:gridCol w:w="872"/>
        <w:gridCol w:w="14"/>
        <w:gridCol w:w="901"/>
        <w:gridCol w:w="15"/>
        <w:gridCol w:w="932"/>
      </w:tblGrid>
      <w:tr w:rsidR="00D07CEE" w:rsidRPr="00D07CEE" w:rsidTr="00BC1ED9">
        <w:trPr>
          <w:trHeight w:val="19"/>
          <w:tblHeader/>
          <w:jc w:val="center"/>
        </w:trPr>
        <w:tc>
          <w:tcPr>
            <w:tcW w:w="6267" w:type="dxa"/>
            <w:tcBorders>
              <w:top w:val="single" w:sz="2" w:space="0" w:color="333399"/>
              <w:left w:val="nil"/>
              <w:bottom w:val="single" w:sz="4" w:space="0" w:color="333399"/>
            </w:tcBorders>
            <w:shd w:val="clear" w:color="auto" w:fill="99CCFF"/>
            <w:vAlign w:val="center"/>
          </w:tcPr>
          <w:p w:rsidR="00D07CEE" w:rsidRPr="00D07CEE" w:rsidRDefault="00D07CEE" w:rsidP="00D07CEE">
            <w:pPr>
              <w:keepNext/>
              <w:jc w:val="both"/>
              <w:outlineLvl w:val="1"/>
              <w:rPr>
                <w:rFonts w:ascii="Calibri" w:hAnsi="Calibri" w:cs="Arial"/>
                <w:b/>
                <w:iCs/>
              </w:rPr>
            </w:pPr>
            <w:r>
              <w:rPr>
                <w:rFonts w:ascii="Calibri" w:hAnsi="Calibri"/>
                <w:b/>
                <w:iCs/>
              </w:rPr>
              <w:t>Economic growth</w:t>
            </w:r>
          </w:p>
        </w:tc>
        <w:tc>
          <w:tcPr>
            <w:tcW w:w="872" w:type="dxa"/>
            <w:tcBorders>
              <w:top w:val="single" w:sz="2" w:space="0" w:color="333399"/>
              <w:bottom w:val="single" w:sz="4" w:space="0" w:color="333399"/>
            </w:tcBorders>
            <w:shd w:val="clear" w:color="auto" w:fill="99CCFF"/>
            <w:vAlign w:val="center"/>
          </w:tcPr>
          <w:p w:rsidR="00D07CEE" w:rsidRPr="00D07CEE" w:rsidRDefault="00D07CEE" w:rsidP="00D07CEE">
            <w:pPr>
              <w:keepNext/>
              <w:jc w:val="center"/>
              <w:rPr>
                <w:rFonts w:ascii="Calibri" w:hAnsi="Calibri" w:cs="Arial"/>
                <w:b/>
              </w:rPr>
            </w:pPr>
            <w:r>
              <w:rPr>
                <w:rFonts w:ascii="Calibri" w:hAnsi="Calibri"/>
                <w:b/>
              </w:rPr>
              <w:t>2019</w:t>
            </w:r>
          </w:p>
        </w:tc>
        <w:tc>
          <w:tcPr>
            <w:tcW w:w="930" w:type="dxa"/>
            <w:gridSpan w:val="3"/>
            <w:tcBorders>
              <w:top w:val="single" w:sz="2" w:space="0" w:color="333399"/>
              <w:bottom w:val="single" w:sz="4" w:space="0" w:color="333399"/>
            </w:tcBorders>
            <w:shd w:val="clear" w:color="auto" w:fill="99CCFF"/>
            <w:vAlign w:val="center"/>
          </w:tcPr>
          <w:p w:rsidR="00D07CEE" w:rsidRPr="00D07CEE" w:rsidRDefault="00D07CEE" w:rsidP="00D07CEE">
            <w:pPr>
              <w:keepNext/>
              <w:jc w:val="center"/>
              <w:rPr>
                <w:rFonts w:ascii="Calibri" w:hAnsi="Calibri" w:cs="Arial"/>
                <w:b/>
              </w:rPr>
            </w:pPr>
            <w:r>
              <w:rPr>
                <w:rFonts w:ascii="Calibri" w:hAnsi="Calibri"/>
                <w:b/>
              </w:rPr>
              <w:t>2020</w:t>
            </w:r>
          </w:p>
        </w:tc>
        <w:tc>
          <w:tcPr>
            <w:tcW w:w="932" w:type="dxa"/>
            <w:tcBorders>
              <w:top w:val="single" w:sz="2" w:space="0" w:color="333399"/>
              <w:bottom w:val="single" w:sz="4" w:space="0" w:color="333399"/>
              <w:right w:val="nil"/>
            </w:tcBorders>
            <w:shd w:val="clear" w:color="auto" w:fill="99CCFF"/>
            <w:vAlign w:val="center"/>
          </w:tcPr>
          <w:p w:rsidR="00D07CEE" w:rsidRPr="00D07CEE" w:rsidRDefault="00D07CEE" w:rsidP="00D07CEE">
            <w:pPr>
              <w:keepNext/>
              <w:jc w:val="center"/>
              <w:rPr>
                <w:rFonts w:ascii="Calibri" w:hAnsi="Calibri" w:cs="Arial"/>
                <w:b/>
              </w:rPr>
            </w:pPr>
            <w:r>
              <w:rPr>
                <w:rFonts w:ascii="Calibri" w:hAnsi="Calibri"/>
                <w:b/>
              </w:rPr>
              <w:t>2021</w:t>
            </w:r>
          </w:p>
        </w:tc>
      </w:tr>
      <w:tr w:rsidR="00D07CEE" w:rsidRPr="00D07CEE" w:rsidTr="00BC1ED9">
        <w:trPr>
          <w:trHeight w:val="19"/>
          <w:jc w:val="center"/>
        </w:trPr>
        <w:tc>
          <w:tcPr>
            <w:tcW w:w="9001" w:type="dxa"/>
            <w:gridSpan w:val="6"/>
            <w:tcBorders>
              <w:top w:val="single" w:sz="4" w:space="0" w:color="333399"/>
              <w:left w:val="nil"/>
              <w:bottom w:val="single" w:sz="4" w:space="0" w:color="auto"/>
              <w:right w:val="nil"/>
            </w:tcBorders>
            <w:shd w:val="clear" w:color="auto" w:fill="99CCFF"/>
            <w:vAlign w:val="center"/>
          </w:tcPr>
          <w:p w:rsidR="00D07CEE" w:rsidRPr="00D07CEE" w:rsidRDefault="00D07CEE" w:rsidP="00D07CEE">
            <w:pPr>
              <w:keepNext/>
              <w:jc w:val="center"/>
              <w:rPr>
                <w:rFonts w:ascii="Calibri" w:hAnsi="Calibri" w:cs="Arial"/>
              </w:rPr>
            </w:pPr>
            <w:r>
              <w:rPr>
                <w:rFonts w:ascii="Calibri" w:hAnsi="Calibri"/>
                <w:i/>
                <w:iCs/>
              </w:rPr>
              <w:t>Annual percentage change</w:t>
            </w:r>
          </w:p>
        </w:tc>
      </w:tr>
      <w:tr w:rsidR="00D07CEE" w:rsidRPr="00D07CEE" w:rsidTr="00BC1ED9">
        <w:trPr>
          <w:trHeight w:val="19"/>
          <w:jc w:val="center"/>
        </w:trPr>
        <w:tc>
          <w:tcPr>
            <w:tcW w:w="6267" w:type="dxa"/>
            <w:tcBorders>
              <w:top w:val="single" w:sz="4" w:space="0" w:color="auto"/>
              <w:left w:val="nil"/>
              <w:bottom w:val="nil"/>
              <w:right w:val="nil"/>
            </w:tcBorders>
            <w:shd w:val="clear" w:color="auto" w:fill="auto"/>
            <w:vAlign w:val="center"/>
          </w:tcPr>
          <w:p w:rsidR="00D07CEE" w:rsidRPr="00D07CEE" w:rsidRDefault="00D07CEE" w:rsidP="00D07CEE">
            <w:pPr>
              <w:keepNext/>
              <w:jc w:val="both"/>
              <w:rPr>
                <w:rFonts w:ascii="Calibri" w:hAnsi="Calibri" w:cs="Arial"/>
              </w:rPr>
            </w:pPr>
            <w:r>
              <w:rPr>
                <w:rFonts w:ascii="Calibri" w:hAnsi="Calibri"/>
              </w:rPr>
              <w:t>Real GDP</w:t>
            </w:r>
          </w:p>
        </w:tc>
        <w:tc>
          <w:tcPr>
            <w:tcW w:w="872" w:type="dxa"/>
            <w:tcBorders>
              <w:top w:val="single" w:sz="4" w:space="0" w:color="auto"/>
              <w:left w:val="nil"/>
              <w:bottom w:val="nil"/>
              <w:right w:val="nil"/>
            </w:tcBorders>
            <w:shd w:val="clear" w:color="auto" w:fill="auto"/>
            <w:vAlign w:val="center"/>
          </w:tcPr>
          <w:p w:rsidR="00D07CEE" w:rsidRPr="00D07CEE" w:rsidRDefault="00D07CEE" w:rsidP="00D07CEE">
            <w:pPr>
              <w:keepNext/>
              <w:jc w:val="center"/>
              <w:rPr>
                <w:rFonts w:ascii="Calibri" w:hAnsi="Calibri" w:cs="Arial"/>
              </w:rPr>
            </w:pPr>
            <w:r>
              <w:rPr>
                <w:rFonts w:ascii="Calibri" w:hAnsi="Calibri"/>
              </w:rPr>
              <w:t>5.5</w:t>
            </w:r>
          </w:p>
        </w:tc>
        <w:tc>
          <w:tcPr>
            <w:tcW w:w="930" w:type="dxa"/>
            <w:gridSpan w:val="3"/>
            <w:tcBorders>
              <w:top w:val="single" w:sz="4" w:space="0" w:color="auto"/>
              <w:left w:val="nil"/>
              <w:bottom w:val="nil"/>
              <w:right w:val="nil"/>
            </w:tcBorders>
            <w:shd w:val="clear" w:color="auto" w:fill="auto"/>
            <w:vAlign w:val="center"/>
          </w:tcPr>
          <w:p w:rsidR="00D07CEE" w:rsidRPr="00D07CEE" w:rsidRDefault="00D07CEE" w:rsidP="00D07CEE">
            <w:pPr>
              <w:keepNext/>
              <w:jc w:val="center"/>
              <w:rPr>
                <w:rFonts w:ascii="Calibri" w:hAnsi="Calibri" w:cs="Arial"/>
              </w:rPr>
            </w:pPr>
            <w:r>
              <w:rPr>
                <w:rFonts w:ascii="Calibri" w:hAnsi="Calibri"/>
              </w:rPr>
              <w:t>5.7</w:t>
            </w:r>
          </w:p>
        </w:tc>
        <w:tc>
          <w:tcPr>
            <w:tcW w:w="932" w:type="dxa"/>
            <w:tcBorders>
              <w:top w:val="single" w:sz="4" w:space="0" w:color="auto"/>
              <w:left w:val="nil"/>
              <w:bottom w:val="nil"/>
              <w:right w:val="nil"/>
            </w:tcBorders>
            <w:shd w:val="clear" w:color="auto" w:fill="auto"/>
            <w:vAlign w:val="center"/>
          </w:tcPr>
          <w:p w:rsidR="00D07CEE" w:rsidRPr="00D07CEE" w:rsidRDefault="00D07CEE" w:rsidP="00D07CEE">
            <w:pPr>
              <w:keepNext/>
              <w:jc w:val="center"/>
              <w:rPr>
                <w:rFonts w:ascii="Calibri" w:hAnsi="Calibri" w:cs="Arial"/>
              </w:rPr>
            </w:pPr>
            <w:r>
              <w:rPr>
                <w:rFonts w:ascii="Calibri" w:hAnsi="Calibri"/>
              </w:rPr>
              <w:t>5.0</w:t>
            </w:r>
          </w:p>
        </w:tc>
      </w:tr>
      <w:tr w:rsidR="00D07CEE" w:rsidRPr="00D07CEE" w:rsidTr="00BC1ED9">
        <w:trPr>
          <w:trHeight w:val="19"/>
          <w:jc w:val="center"/>
        </w:trPr>
        <w:tc>
          <w:tcPr>
            <w:tcW w:w="6267" w:type="dxa"/>
            <w:tcBorders>
              <w:top w:val="nil"/>
              <w:left w:val="nil"/>
              <w:bottom w:val="single" w:sz="4" w:space="0" w:color="auto"/>
              <w:right w:val="nil"/>
            </w:tcBorders>
            <w:shd w:val="clear" w:color="auto" w:fill="auto"/>
            <w:vAlign w:val="center"/>
          </w:tcPr>
          <w:p w:rsidR="00D07CEE" w:rsidRPr="00D07CEE" w:rsidRDefault="00D07CEE" w:rsidP="00D07CEE">
            <w:pPr>
              <w:keepNext/>
              <w:jc w:val="both"/>
              <w:rPr>
                <w:rFonts w:ascii="Calibri" w:hAnsi="Calibri" w:cs="Arial"/>
              </w:rPr>
            </w:pPr>
            <w:r>
              <w:rPr>
                <w:rFonts w:ascii="Calibri" w:hAnsi="Calibri"/>
              </w:rPr>
              <w:t>Nominal GDP</w:t>
            </w:r>
          </w:p>
        </w:tc>
        <w:tc>
          <w:tcPr>
            <w:tcW w:w="872" w:type="dxa"/>
            <w:tcBorders>
              <w:top w:val="nil"/>
              <w:left w:val="nil"/>
              <w:bottom w:val="single" w:sz="4" w:space="0" w:color="auto"/>
              <w:right w:val="nil"/>
            </w:tcBorders>
            <w:shd w:val="clear" w:color="auto" w:fill="auto"/>
            <w:vAlign w:val="center"/>
          </w:tcPr>
          <w:p w:rsidR="00D07CEE" w:rsidRPr="00D07CEE" w:rsidRDefault="00D07CEE" w:rsidP="00D07CEE">
            <w:pPr>
              <w:keepNext/>
              <w:jc w:val="center"/>
              <w:rPr>
                <w:rFonts w:ascii="Calibri" w:hAnsi="Calibri" w:cs="Arial"/>
              </w:rPr>
            </w:pPr>
            <w:r>
              <w:rPr>
                <w:rFonts w:ascii="Calibri" w:hAnsi="Calibri"/>
              </w:rPr>
              <w:t>7.7</w:t>
            </w:r>
          </w:p>
        </w:tc>
        <w:tc>
          <w:tcPr>
            <w:tcW w:w="930" w:type="dxa"/>
            <w:gridSpan w:val="3"/>
            <w:tcBorders>
              <w:top w:val="nil"/>
              <w:left w:val="nil"/>
              <w:bottom w:val="single" w:sz="4" w:space="0" w:color="auto"/>
              <w:right w:val="nil"/>
            </w:tcBorders>
            <w:shd w:val="clear" w:color="auto" w:fill="auto"/>
            <w:vAlign w:val="center"/>
          </w:tcPr>
          <w:p w:rsidR="00D07CEE" w:rsidRPr="00D07CEE" w:rsidRDefault="00D07CEE" w:rsidP="00D07CEE">
            <w:pPr>
              <w:keepNext/>
              <w:jc w:val="center"/>
              <w:rPr>
                <w:rFonts w:ascii="Calibri" w:hAnsi="Calibri" w:cs="Arial"/>
              </w:rPr>
            </w:pPr>
            <w:r>
              <w:rPr>
                <w:rFonts w:ascii="Calibri" w:hAnsi="Calibri"/>
              </w:rPr>
              <w:t>7.7</w:t>
            </w:r>
          </w:p>
        </w:tc>
        <w:tc>
          <w:tcPr>
            <w:tcW w:w="932" w:type="dxa"/>
            <w:tcBorders>
              <w:top w:val="nil"/>
              <w:left w:val="nil"/>
              <w:bottom w:val="single" w:sz="4" w:space="0" w:color="auto"/>
              <w:right w:val="nil"/>
            </w:tcBorders>
            <w:shd w:val="clear" w:color="auto" w:fill="auto"/>
            <w:vAlign w:val="center"/>
          </w:tcPr>
          <w:p w:rsidR="00D07CEE" w:rsidRPr="00D07CEE" w:rsidRDefault="00D07CEE" w:rsidP="00D07CEE">
            <w:pPr>
              <w:keepNext/>
              <w:jc w:val="center"/>
              <w:rPr>
                <w:rFonts w:ascii="Calibri" w:hAnsi="Calibri" w:cs="Arial"/>
              </w:rPr>
            </w:pPr>
            <w:r>
              <w:rPr>
                <w:rFonts w:ascii="Calibri" w:hAnsi="Calibri"/>
              </w:rPr>
              <w:t>7.0</w:t>
            </w:r>
          </w:p>
        </w:tc>
      </w:tr>
      <w:tr w:rsidR="00D07CEE" w:rsidRPr="00D07CEE" w:rsidTr="00BC1ED9">
        <w:trPr>
          <w:trHeight w:val="19"/>
          <w:jc w:val="center"/>
        </w:trPr>
        <w:tc>
          <w:tcPr>
            <w:tcW w:w="9001" w:type="dxa"/>
            <w:gridSpan w:val="6"/>
            <w:tcBorders>
              <w:top w:val="single" w:sz="4" w:space="0" w:color="auto"/>
              <w:left w:val="nil"/>
              <w:bottom w:val="single" w:sz="4" w:space="0" w:color="auto"/>
              <w:right w:val="nil"/>
            </w:tcBorders>
            <w:shd w:val="clear" w:color="auto" w:fill="99CCFF"/>
            <w:vAlign w:val="center"/>
          </w:tcPr>
          <w:p w:rsidR="00D07CEE" w:rsidRPr="00D07CEE" w:rsidRDefault="00D07CEE" w:rsidP="00D07CEE">
            <w:pPr>
              <w:keepNext/>
              <w:jc w:val="center"/>
              <w:rPr>
                <w:rFonts w:ascii="Calibri" w:hAnsi="Calibri" w:cs="Arial"/>
              </w:rPr>
            </w:pPr>
            <w:r>
              <w:rPr>
                <w:rFonts w:ascii="Calibri" w:hAnsi="Calibri"/>
              </w:rPr>
              <w:t>Real GDP components</w:t>
            </w:r>
          </w:p>
        </w:tc>
      </w:tr>
      <w:tr w:rsidR="00D07CEE" w:rsidRPr="00D07CEE" w:rsidTr="00BC1ED9">
        <w:trPr>
          <w:trHeight w:val="19"/>
          <w:jc w:val="center"/>
        </w:trPr>
        <w:tc>
          <w:tcPr>
            <w:tcW w:w="6267" w:type="dxa"/>
            <w:tcBorders>
              <w:top w:val="single" w:sz="4" w:space="0" w:color="auto"/>
              <w:left w:val="nil"/>
              <w:bottom w:val="nil"/>
              <w:right w:val="nil"/>
            </w:tcBorders>
            <w:shd w:val="clear" w:color="auto" w:fill="auto"/>
            <w:vAlign w:val="center"/>
          </w:tcPr>
          <w:p w:rsidR="00D07CEE" w:rsidRPr="00D07CEE" w:rsidRDefault="00D07CEE" w:rsidP="00D07CEE">
            <w:pPr>
              <w:keepNext/>
              <w:jc w:val="both"/>
              <w:rPr>
                <w:rFonts w:ascii="Calibri" w:hAnsi="Calibri" w:cs="Arial"/>
              </w:rPr>
            </w:pPr>
            <w:r>
              <w:rPr>
                <w:rFonts w:ascii="Calibri" w:hAnsi="Calibri"/>
              </w:rPr>
              <w:t>Domestic demand, of which:</w:t>
            </w:r>
          </w:p>
        </w:tc>
        <w:tc>
          <w:tcPr>
            <w:tcW w:w="872" w:type="dxa"/>
            <w:tcBorders>
              <w:top w:val="single" w:sz="4" w:space="0" w:color="auto"/>
              <w:left w:val="nil"/>
              <w:bottom w:val="nil"/>
              <w:right w:val="nil"/>
            </w:tcBorders>
            <w:shd w:val="clear" w:color="auto" w:fill="auto"/>
            <w:vAlign w:val="center"/>
          </w:tcPr>
          <w:p w:rsidR="00D07CEE" w:rsidRPr="00D07CEE" w:rsidRDefault="00D07CEE" w:rsidP="00D07CEE">
            <w:pPr>
              <w:keepNext/>
              <w:jc w:val="center"/>
              <w:rPr>
                <w:rFonts w:ascii="Calibri" w:hAnsi="Calibri" w:cs="Arial"/>
              </w:rPr>
            </w:pPr>
            <w:r>
              <w:rPr>
                <w:rFonts w:ascii="Calibri" w:hAnsi="Calibri"/>
              </w:rPr>
              <w:t>5.9</w:t>
            </w:r>
          </w:p>
        </w:tc>
        <w:tc>
          <w:tcPr>
            <w:tcW w:w="930" w:type="dxa"/>
            <w:gridSpan w:val="3"/>
            <w:tcBorders>
              <w:top w:val="single" w:sz="4" w:space="0" w:color="auto"/>
              <w:left w:val="nil"/>
              <w:bottom w:val="nil"/>
              <w:right w:val="nil"/>
            </w:tcBorders>
            <w:shd w:val="clear" w:color="auto" w:fill="auto"/>
            <w:vAlign w:val="center"/>
          </w:tcPr>
          <w:p w:rsidR="00D07CEE" w:rsidRPr="00D07CEE" w:rsidRDefault="00D07CEE" w:rsidP="00D07CEE">
            <w:pPr>
              <w:keepNext/>
              <w:jc w:val="center"/>
              <w:rPr>
                <w:rFonts w:ascii="Calibri" w:hAnsi="Calibri" w:cs="Arial"/>
              </w:rPr>
            </w:pPr>
            <w:r>
              <w:rPr>
                <w:rFonts w:ascii="Calibri" w:hAnsi="Calibri"/>
              </w:rPr>
              <w:t>6.1</w:t>
            </w:r>
          </w:p>
        </w:tc>
        <w:tc>
          <w:tcPr>
            <w:tcW w:w="932" w:type="dxa"/>
            <w:tcBorders>
              <w:top w:val="single" w:sz="4" w:space="0" w:color="auto"/>
              <w:left w:val="nil"/>
              <w:bottom w:val="nil"/>
              <w:right w:val="nil"/>
            </w:tcBorders>
            <w:shd w:val="clear" w:color="auto" w:fill="auto"/>
            <w:vAlign w:val="center"/>
          </w:tcPr>
          <w:p w:rsidR="00D07CEE" w:rsidRPr="00D07CEE" w:rsidRDefault="00D07CEE" w:rsidP="00D07CEE">
            <w:pPr>
              <w:keepNext/>
              <w:jc w:val="center"/>
              <w:rPr>
                <w:rFonts w:ascii="Calibri" w:hAnsi="Calibri" w:cs="Arial"/>
              </w:rPr>
            </w:pPr>
            <w:r>
              <w:rPr>
                <w:rFonts w:ascii="Calibri" w:hAnsi="Calibri"/>
              </w:rPr>
              <w:t>5.4</w:t>
            </w:r>
          </w:p>
        </w:tc>
      </w:tr>
      <w:tr w:rsidR="00D07CEE" w:rsidRPr="00D07CEE" w:rsidTr="00BC1ED9">
        <w:trPr>
          <w:trHeight w:val="19"/>
          <w:jc w:val="center"/>
        </w:trPr>
        <w:tc>
          <w:tcPr>
            <w:tcW w:w="6267" w:type="dxa"/>
            <w:tcBorders>
              <w:top w:val="nil"/>
              <w:left w:val="nil"/>
              <w:bottom w:val="nil"/>
              <w:right w:val="nil"/>
            </w:tcBorders>
            <w:shd w:val="clear" w:color="auto" w:fill="auto"/>
            <w:vAlign w:val="center"/>
          </w:tcPr>
          <w:p w:rsidR="00D07CEE" w:rsidRPr="00D07CEE" w:rsidRDefault="00D07CEE" w:rsidP="00D07CEE">
            <w:pPr>
              <w:keepNext/>
              <w:jc w:val="both"/>
              <w:rPr>
                <w:rFonts w:ascii="Calibri" w:hAnsi="Calibri" w:cs="Arial"/>
              </w:rPr>
            </w:pPr>
            <w:r>
              <w:rPr>
                <w:rFonts w:ascii="Calibri" w:hAnsi="Calibri"/>
              </w:rPr>
              <w:t xml:space="preserve">   Final consumption</w:t>
            </w:r>
          </w:p>
        </w:tc>
        <w:tc>
          <w:tcPr>
            <w:tcW w:w="872" w:type="dxa"/>
            <w:tcBorders>
              <w:top w:val="nil"/>
              <w:left w:val="nil"/>
              <w:bottom w:val="nil"/>
              <w:right w:val="nil"/>
            </w:tcBorders>
            <w:shd w:val="clear" w:color="auto" w:fill="auto"/>
            <w:vAlign w:val="center"/>
          </w:tcPr>
          <w:p w:rsidR="00D07CEE" w:rsidRPr="00D07CEE" w:rsidRDefault="00D07CEE" w:rsidP="00D07CEE">
            <w:pPr>
              <w:keepNext/>
              <w:jc w:val="center"/>
              <w:rPr>
                <w:rFonts w:ascii="Calibri" w:hAnsi="Calibri" w:cs="Arial"/>
              </w:rPr>
            </w:pPr>
            <w:r>
              <w:rPr>
                <w:rFonts w:ascii="Calibri" w:hAnsi="Calibri"/>
              </w:rPr>
              <w:t>5.9</w:t>
            </w:r>
          </w:p>
        </w:tc>
        <w:tc>
          <w:tcPr>
            <w:tcW w:w="930" w:type="dxa"/>
            <w:gridSpan w:val="3"/>
            <w:tcBorders>
              <w:top w:val="nil"/>
              <w:left w:val="nil"/>
              <w:bottom w:val="nil"/>
              <w:right w:val="nil"/>
            </w:tcBorders>
            <w:shd w:val="clear" w:color="auto" w:fill="auto"/>
            <w:vAlign w:val="center"/>
          </w:tcPr>
          <w:p w:rsidR="00D07CEE" w:rsidRPr="00D07CEE" w:rsidRDefault="00D07CEE" w:rsidP="00D07CEE">
            <w:pPr>
              <w:keepNext/>
              <w:jc w:val="center"/>
              <w:rPr>
                <w:rFonts w:ascii="Calibri" w:hAnsi="Calibri" w:cs="Arial"/>
              </w:rPr>
            </w:pPr>
            <w:r>
              <w:rPr>
                <w:rFonts w:ascii="Calibri" w:hAnsi="Calibri"/>
              </w:rPr>
              <w:t>5.7</w:t>
            </w:r>
          </w:p>
        </w:tc>
        <w:tc>
          <w:tcPr>
            <w:tcW w:w="932" w:type="dxa"/>
            <w:tcBorders>
              <w:top w:val="nil"/>
              <w:left w:val="nil"/>
              <w:bottom w:val="nil"/>
              <w:right w:val="nil"/>
            </w:tcBorders>
            <w:shd w:val="clear" w:color="auto" w:fill="auto"/>
            <w:vAlign w:val="center"/>
          </w:tcPr>
          <w:p w:rsidR="00D07CEE" w:rsidRPr="00D07CEE" w:rsidRDefault="00D07CEE" w:rsidP="00D07CEE">
            <w:pPr>
              <w:keepNext/>
              <w:jc w:val="center"/>
              <w:rPr>
                <w:rFonts w:ascii="Calibri" w:hAnsi="Calibri" w:cs="Arial"/>
              </w:rPr>
            </w:pPr>
            <w:r>
              <w:rPr>
                <w:rFonts w:ascii="Calibri" w:hAnsi="Calibri"/>
              </w:rPr>
              <w:t>4.8</w:t>
            </w:r>
          </w:p>
        </w:tc>
      </w:tr>
      <w:tr w:rsidR="00D07CEE" w:rsidRPr="00D07CEE" w:rsidTr="00BC1ED9">
        <w:trPr>
          <w:trHeight w:val="19"/>
          <w:jc w:val="center"/>
        </w:trPr>
        <w:tc>
          <w:tcPr>
            <w:tcW w:w="6267" w:type="dxa"/>
            <w:tcBorders>
              <w:top w:val="nil"/>
              <w:left w:val="nil"/>
              <w:bottom w:val="nil"/>
              <w:right w:val="nil"/>
            </w:tcBorders>
            <w:shd w:val="clear" w:color="auto" w:fill="auto"/>
            <w:vAlign w:val="center"/>
          </w:tcPr>
          <w:p w:rsidR="00D07CEE" w:rsidRPr="00D07CEE" w:rsidRDefault="00D07CEE" w:rsidP="00D07CEE">
            <w:pPr>
              <w:keepNext/>
              <w:jc w:val="both"/>
              <w:rPr>
                <w:rFonts w:ascii="Calibri" w:hAnsi="Calibri" w:cs="Arial"/>
              </w:rPr>
            </w:pPr>
            <w:r>
              <w:rPr>
                <w:rFonts w:ascii="Calibri" w:hAnsi="Calibri"/>
              </w:rPr>
              <w:t xml:space="preserve">      - Expenditures for private consumption, of which:</w:t>
            </w:r>
          </w:p>
        </w:tc>
        <w:tc>
          <w:tcPr>
            <w:tcW w:w="872" w:type="dxa"/>
            <w:tcBorders>
              <w:top w:val="nil"/>
              <w:left w:val="nil"/>
              <w:bottom w:val="nil"/>
              <w:right w:val="nil"/>
            </w:tcBorders>
            <w:shd w:val="clear" w:color="auto" w:fill="auto"/>
            <w:vAlign w:val="center"/>
          </w:tcPr>
          <w:p w:rsidR="00D07CEE" w:rsidRPr="00D07CEE" w:rsidRDefault="00D07CEE" w:rsidP="00D07CEE">
            <w:pPr>
              <w:keepNext/>
              <w:jc w:val="center"/>
              <w:rPr>
                <w:rFonts w:ascii="Calibri" w:hAnsi="Calibri" w:cs="Arial"/>
              </w:rPr>
            </w:pPr>
            <w:r>
              <w:rPr>
                <w:rFonts w:ascii="Calibri" w:hAnsi="Calibri"/>
              </w:rPr>
              <w:t>6.4</w:t>
            </w:r>
          </w:p>
        </w:tc>
        <w:tc>
          <w:tcPr>
            <w:tcW w:w="930" w:type="dxa"/>
            <w:gridSpan w:val="3"/>
            <w:tcBorders>
              <w:top w:val="nil"/>
              <w:left w:val="nil"/>
              <w:bottom w:val="nil"/>
              <w:right w:val="nil"/>
            </w:tcBorders>
            <w:shd w:val="clear" w:color="auto" w:fill="auto"/>
            <w:vAlign w:val="center"/>
          </w:tcPr>
          <w:p w:rsidR="00D07CEE" w:rsidRPr="00D07CEE" w:rsidRDefault="00D07CEE" w:rsidP="00D07CEE">
            <w:pPr>
              <w:keepNext/>
              <w:jc w:val="center"/>
              <w:rPr>
                <w:rFonts w:ascii="Calibri" w:hAnsi="Calibri" w:cs="Arial"/>
              </w:rPr>
            </w:pPr>
            <w:r>
              <w:rPr>
                <w:rFonts w:ascii="Calibri" w:hAnsi="Calibri"/>
              </w:rPr>
              <w:t>6.2</w:t>
            </w:r>
          </w:p>
        </w:tc>
        <w:tc>
          <w:tcPr>
            <w:tcW w:w="932" w:type="dxa"/>
            <w:tcBorders>
              <w:top w:val="nil"/>
              <w:left w:val="nil"/>
              <w:bottom w:val="nil"/>
              <w:right w:val="nil"/>
            </w:tcBorders>
            <w:shd w:val="clear" w:color="auto" w:fill="auto"/>
            <w:vAlign w:val="center"/>
          </w:tcPr>
          <w:p w:rsidR="00D07CEE" w:rsidRPr="00D07CEE" w:rsidRDefault="00D07CEE" w:rsidP="00D07CEE">
            <w:pPr>
              <w:keepNext/>
              <w:jc w:val="center"/>
              <w:rPr>
                <w:rFonts w:ascii="Calibri" w:hAnsi="Calibri" w:cs="Arial"/>
              </w:rPr>
            </w:pPr>
            <w:r>
              <w:rPr>
                <w:rFonts w:ascii="Calibri" w:hAnsi="Calibri"/>
              </w:rPr>
              <w:t>5.5</w:t>
            </w:r>
          </w:p>
        </w:tc>
      </w:tr>
      <w:tr w:rsidR="00D07CEE" w:rsidRPr="00D07CEE" w:rsidTr="00BC1ED9">
        <w:trPr>
          <w:trHeight w:val="19"/>
          <w:jc w:val="center"/>
        </w:trPr>
        <w:tc>
          <w:tcPr>
            <w:tcW w:w="6267" w:type="dxa"/>
            <w:tcBorders>
              <w:top w:val="nil"/>
              <w:left w:val="nil"/>
              <w:bottom w:val="nil"/>
              <w:right w:val="nil"/>
            </w:tcBorders>
            <w:shd w:val="clear" w:color="auto" w:fill="auto"/>
            <w:vAlign w:val="center"/>
          </w:tcPr>
          <w:p w:rsidR="00D07CEE" w:rsidRPr="00D07CEE" w:rsidRDefault="00D07CEE" w:rsidP="00D07CEE">
            <w:pPr>
              <w:keepNext/>
              <w:ind w:left="595" w:hanging="595"/>
              <w:jc w:val="both"/>
              <w:rPr>
                <w:rFonts w:ascii="Calibri" w:hAnsi="Calibri" w:cs="Arial"/>
              </w:rPr>
            </w:pPr>
            <w:r>
              <w:rPr>
                <w:rFonts w:ascii="Calibri" w:hAnsi="Calibri"/>
              </w:rPr>
              <w:t xml:space="preserve">              - Expenditures for final consumption of the population</w:t>
            </w:r>
          </w:p>
        </w:tc>
        <w:tc>
          <w:tcPr>
            <w:tcW w:w="872" w:type="dxa"/>
            <w:tcBorders>
              <w:top w:val="nil"/>
              <w:left w:val="nil"/>
              <w:bottom w:val="nil"/>
              <w:right w:val="nil"/>
            </w:tcBorders>
            <w:shd w:val="clear" w:color="auto" w:fill="auto"/>
            <w:vAlign w:val="center"/>
          </w:tcPr>
          <w:p w:rsidR="00D07CEE" w:rsidRPr="00D07CEE" w:rsidRDefault="00D07CEE" w:rsidP="00D07CEE">
            <w:pPr>
              <w:keepNext/>
              <w:jc w:val="center"/>
              <w:rPr>
                <w:rFonts w:ascii="Calibri" w:hAnsi="Calibri" w:cs="Arial"/>
              </w:rPr>
            </w:pPr>
            <w:r>
              <w:rPr>
                <w:rFonts w:ascii="Calibri" w:hAnsi="Calibri"/>
              </w:rPr>
              <w:t>6.5</w:t>
            </w:r>
          </w:p>
        </w:tc>
        <w:tc>
          <w:tcPr>
            <w:tcW w:w="930" w:type="dxa"/>
            <w:gridSpan w:val="3"/>
            <w:tcBorders>
              <w:top w:val="nil"/>
              <w:left w:val="nil"/>
              <w:bottom w:val="nil"/>
              <w:right w:val="nil"/>
            </w:tcBorders>
            <w:shd w:val="clear" w:color="auto" w:fill="auto"/>
            <w:vAlign w:val="center"/>
          </w:tcPr>
          <w:p w:rsidR="00D07CEE" w:rsidRPr="00D07CEE" w:rsidRDefault="00D07CEE" w:rsidP="00D07CEE">
            <w:pPr>
              <w:keepNext/>
              <w:jc w:val="center"/>
              <w:rPr>
                <w:rFonts w:ascii="Calibri" w:hAnsi="Calibri" w:cs="Arial"/>
              </w:rPr>
            </w:pPr>
            <w:r>
              <w:rPr>
                <w:rFonts w:ascii="Calibri" w:hAnsi="Calibri"/>
              </w:rPr>
              <w:t>6.3</w:t>
            </w:r>
          </w:p>
        </w:tc>
        <w:tc>
          <w:tcPr>
            <w:tcW w:w="932" w:type="dxa"/>
            <w:tcBorders>
              <w:top w:val="nil"/>
              <w:left w:val="nil"/>
              <w:bottom w:val="nil"/>
              <w:right w:val="nil"/>
            </w:tcBorders>
            <w:shd w:val="clear" w:color="auto" w:fill="auto"/>
            <w:vAlign w:val="center"/>
          </w:tcPr>
          <w:p w:rsidR="00D07CEE" w:rsidRPr="00D07CEE" w:rsidRDefault="00D07CEE" w:rsidP="00D07CEE">
            <w:pPr>
              <w:keepNext/>
              <w:jc w:val="center"/>
              <w:rPr>
                <w:rFonts w:ascii="Calibri" w:hAnsi="Calibri" w:cs="Arial"/>
              </w:rPr>
            </w:pPr>
            <w:r>
              <w:rPr>
                <w:rFonts w:ascii="Calibri" w:hAnsi="Calibri"/>
              </w:rPr>
              <w:t>5.5</w:t>
            </w:r>
          </w:p>
        </w:tc>
      </w:tr>
      <w:tr w:rsidR="00D07CEE" w:rsidRPr="00D07CEE" w:rsidTr="00BC1ED9">
        <w:trPr>
          <w:trHeight w:val="19"/>
          <w:jc w:val="center"/>
        </w:trPr>
        <w:tc>
          <w:tcPr>
            <w:tcW w:w="6267" w:type="dxa"/>
            <w:tcBorders>
              <w:top w:val="nil"/>
              <w:left w:val="nil"/>
              <w:bottom w:val="nil"/>
              <w:right w:val="nil"/>
            </w:tcBorders>
            <w:shd w:val="clear" w:color="auto" w:fill="auto"/>
            <w:vAlign w:val="center"/>
          </w:tcPr>
          <w:p w:rsidR="00D07CEE" w:rsidRPr="00D07CEE" w:rsidRDefault="00D07CEE" w:rsidP="00D07CEE">
            <w:pPr>
              <w:keepNext/>
              <w:ind w:left="595" w:hanging="595"/>
              <w:jc w:val="both"/>
              <w:rPr>
                <w:rFonts w:ascii="Calibri" w:hAnsi="Calibri" w:cs="Arial"/>
              </w:rPr>
            </w:pPr>
            <w:r>
              <w:rPr>
                <w:rFonts w:ascii="Calibri" w:hAnsi="Calibri"/>
              </w:rPr>
              <w:t xml:space="preserve">      - Expenditures for government consumption, of which:</w:t>
            </w:r>
          </w:p>
        </w:tc>
        <w:tc>
          <w:tcPr>
            <w:tcW w:w="872" w:type="dxa"/>
            <w:tcBorders>
              <w:top w:val="nil"/>
              <w:left w:val="nil"/>
              <w:bottom w:val="nil"/>
              <w:right w:val="nil"/>
            </w:tcBorders>
            <w:shd w:val="clear" w:color="auto" w:fill="auto"/>
            <w:vAlign w:val="center"/>
          </w:tcPr>
          <w:p w:rsidR="00D07CEE" w:rsidRPr="00D07CEE" w:rsidRDefault="00D07CEE" w:rsidP="00D07CEE">
            <w:pPr>
              <w:keepNext/>
              <w:jc w:val="center"/>
              <w:rPr>
                <w:rFonts w:ascii="Calibri" w:hAnsi="Calibri" w:cs="Arial"/>
              </w:rPr>
            </w:pPr>
            <w:r>
              <w:rPr>
                <w:rFonts w:ascii="Calibri" w:hAnsi="Calibri"/>
              </w:rPr>
              <w:t>4.0</w:t>
            </w:r>
          </w:p>
        </w:tc>
        <w:tc>
          <w:tcPr>
            <w:tcW w:w="930" w:type="dxa"/>
            <w:gridSpan w:val="3"/>
            <w:tcBorders>
              <w:top w:val="nil"/>
              <w:left w:val="nil"/>
              <w:bottom w:val="nil"/>
              <w:right w:val="nil"/>
            </w:tcBorders>
            <w:shd w:val="clear" w:color="auto" w:fill="auto"/>
            <w:vAlign w:val="center"/>
          </w:tcPr>
          <w:p w:rsidR="00D07CEE" w:rsidRPr="00D07CEE" w:rsidRDefault="00D07CEE" w:rsidP="00D07CEE">
            <w:pPr>
              <w:keepNext/>
              <w:jc w:val="center"/>
              <w:rPr>
                <w:rFonts w:ascii="Calibri" w:hAnsi="Calibri" w:cs="Arial"/>
              </w:rPr>
            </w:pPr>
            <w:r>
              <w:rPr>
                <w:rFonts w:ascii="Calibri" w:hAnsi="Calibri"/>
              </w:rPr>
              <w:t>3.8</w:t>
            </w:r>
          </w:p>
        </w:tc>
        <w:tc>
          <w:tcPr>
            <w:tcW w:w="932" w:type="dxa"/>
            <w:tcBorders>
              <w:top w:val="nil"/>
              <w:left w:val="nil"/>
              <w:bottom w:val="nil"/>
              <w:right w:val="nil"/>
            </w:tcBorders>
            <w:shd w:val="clear" w:color="auto" w:fill="auto"/>
            <w:vAlign w:val="center"/>
          </w:tcPr>
          <w:p w:rsidR="00D07CEE" w:rsidRPr="00D07CEE" w:rsidRDefault="00D07CEE" w:rsidP="00D07CEE">
            <w:pPr>
              <w:keepNext/>
              <w:jc w:val="center"/>
              <w:rPr>
                <w:rFonts w:ascii="Calibri" w:hAnsi="Calibri" w:cs="Arial"/>
              </w:rPr>
            </w:pPr>
            <w:r>
              <w:rPr>
                <w:rFonts w:ascii="Calibri" w:hAnsi="Calibri"/>
              </w:rPr>
              <w:t>2.3</w:t>
            </w:r>
          </w:p>
        </w:tc>
      </w:tr>
      <w:tr w:rsidR="00D07CEE" w:rsidRPr="00D07CEE" w:rsidTr="00BC1ED9">
        <w:trPr>
          <w:trHeight w:val="19"/>
          <w:jc w:val="center"/>
        </w:trPr>
        <w:tc>
          <w:tcPr>
            <w:tcW w:w="6267" w:type="dxa"/>
            <w:tcBorders>
              <w:top w:val="nil"/>
              <w:left w:val="nil"/>
              <w:bottom w:val="nil"/>
              <w:right w:val="nil"/>
            </w:tcBorders>
            <w:shd w:val="clear" w:color="auto" w:fill="auto"/>
            <w:vAlign w:val="center"/>
          </w:tcPr>
          <w:p w:rsidR="00D07CEE" w:rsidRPr="00D07CEE" w:rsidRDefault="00D07CEE" w:rsidP="00D07CEE">
            <w:pPr>
              <w:keepNext/>
              <w:jc w:val="both"/>
              <w:rPr>
                <w:rFonts w:ascii="Calibri" w:hAnsi="Calibri" w:cs="Arial"/>
              </w:rPr>
            </w:pPr>
            <w:r>
              <w:rPr>
                <w:rFonts w:ascii="Calibri" w:hAnsi="Calibri"/>
              </w:rPr>
              <w:t xml:space="preserve">              - Collective consumption of the public administration</w:t>
            </w:r>
          </w:p>
        </w:tc>
        <w:tc>
          <w:tcPr>
            <w:tcW w:w="872" w:type="dxa"/>
            <w:tcBorders>
              <w:top w:val="nil"/>
              <w:left w:val="nil"/>
              <w:bottom w:val="nil"/>
              <w:right w:val="nil"/>
            </w:tcBorders>
            <w:shd w:val="clear" w:color="auto" w:fill="auto"/>
            <w:vAlign w:val="center"/>
          </w:tcPr>
          <w:p w:rsidR="00D07CEE" w:rsidRPr="00D07CEE" w:rsidRDefault="00D07CEE" w:rsidP="00D07CEE">
            <w:pPr>
              <w:keepNext/>
              <w:jc w:val="center"/>
              <w:rPr>
                <w:rFonts w:ascii="Calibri" w:hAnsi="Calibri" w:cs="Arial"/>
              </w:rPr>
            </w:pPr>
            <w:r>
              <w:rPr>
                <w:rFonts w:ascii="Calibri" w:hAnsi="Calibri"/>
              </w:rPr>
              <w:t>4.5</w:t>
            </w:r>
          </w:p>
        </w:tc>
        <w:tc>
          <w:tcPr>
            <w:tcW w:w="930" w:type="dxa"/>
            <w:gridSpan w:val="3"/>
            <w:tcBorders>
              <w:top w:val="nil"/>
              <w:left w:val="nil"/>
              <w:bottom w:val="nil"/>
              <w:right w:val="nil"/>
            </w:tcBorders>
            <w:shd w:val="clear" w:color="auto" w:fill="auto"/>
            <w:vAlign w:val="center"/>
          </w:tcPr>
          <w:p w:rsidR="00D07CEE" w:rsidRPr="00D07CEE" w:rsidRDefault="00D07CEE" w:rsidP="00D07CEE">
            <w:pPr>
              <w:keepNext/>
              <w:jc w:val="center"/>
              <w:rPr>
                <w:rFonts w:ascii="Calibri" w:hAnsi="Calibri" w:cs="Arial"/>
              </w:rPr>
            </w:pPr>
            <w:r>
              <w:rPr>
                <w:rFonts w:ascii="Calibri" w:hAnsi="Calibri"/>
              </w:rPr>
              <w:t>4.0</w:t>
            </w:r>
          </w:p>
        </w:tc>
        <w:tc>
          <w:tcPr>
            <w:tcW w:w="932" w:type="dxa"/>
            <w:tcBorders>
              <w:top w:val="nil"/>
              <w:left w:val="nil"/>
              <w:bottom w:val="nil"/>
              <w:right w:val="nil"/>
            </w:tcBorders>
            <w:shd w:val="clear" w:color="auto" w:fill="auto"/>
            <w:vAlign w:val="center"/>
          </w:tcPr>
          <w:p w:rsidR="00D07CEE" w:rsidRPr="00D07CEE" w:rsidRDefault="00D07CEE" w:rsidP="00D07CEE">
            <w:pPr>
              <w:keepNext/>
              <w:jc w:val="center"/>
              <w:rPr>
                <w:rFonts w:ascii="Calibri" w:hAnsi="Calibri" w:cs="Arial"/>
              </w:rPr>
            </w:pPr>
            <w:r>
              <w:rPr>
                <w:rFonts w:ascii="Calibri" w:hAnsi="Calibri"/>
              </w:rPr>
              <w:t>2.5</w:t>
            </w:r>
          </w:p>
        </w:tc>
      </w:tr>
      <w:tr w:rsidR="00D07CEE" w:rsidRPr="00D07CEE" w:rsidTr="00BC1ED9">
        <w:trPr>
          <w:trHeight w:val="19"/>
          <w:jc w:val="center"/>
        </w:trPr>
        <w:tc>
          <w:tcPr>
            <w:tcW w:w="6267" w:type="dxa"/>
            <w:tcBorders>
              <w:top w:val="nil"/>
              <w:left w:val="nil"/>
              <w:bottom w:val="nil"/>
              <w:right w:val="nil"/>
            </w:tcBorders>
            <w:shd w:val="clear" w:color="auto" w:fill="auto"/>
            <w:vAlign w:val="center"/>
          </w:tcPr>
          <w:p w:rsidR="00D07CEE" w:rsidRPr="00D07CEE" w:rsidRDefault="00D07CEE" w:rsidP="00D07CEE">
            <w:pPr>
              <w:keepNext/>
              <w:jc w:val="both"/>
              <w:rPr>
                <w:rFonts w:ascii="Calibri" w:hAnsi="Calibri" w:cs="Arial"/>
              </w:rPr>
            </w:pPr>
            <w:r>
              <w:rPr>
                <w:rFonts w:ascii="Calibri" w:hAnsi="Calibri"/>
              </w:rPr>
              <w:t xml:space="preserve">   Gross fixed capital formation</w:t>
            </w:r>
          </w:p>
        </w:tc>
        <w:tc>
          <w:tcPr>
            <w:tcW w:w="872" w:type="dxa"/>
            <w:tcBorders>
              <w:top w:val="nil"/>
              <w:left w:val="nil"/>
              <w:bottom w:val="nil"/>
              <w:right w:val="nil"/>
            </w:tcBorders>
            <w:shd w:val="clear" w:color="auto" w:fill="auto"/>
            <w:vAlign w:val="center"/>
          </w:tcPr>
          <w:p w:rsidR="00D07CEE" w:rsidRPr="00D07CEE" w:rsidRDefault="00D07CEE" w:rsidP="00D07CEE">
            <w:pPr>
              <w:keepNext/>
              <w:jc w:val="center"/>
              <w:rPr>
                <w:rFonts w:ascii="Calibri" w:hAnsi="Calibri" w:cs="Arial"/>
              </w:rPr>
            </w:pPr>
            <w:r>
              <w:rPr>
                <w:rFonts w:ascii="Calibri" w:hAnsi="Calibri"/>
              </w:rPr>
              <w:t>6.9</w:t>
            </w:r>
          </w:p>
        </w:tc>
        <w:tc>
          <w:tcPr>
            <w:tcW w:w="930" w:type="dxa"/>
            <w:gridSpan w:val="3"/>
            <w:tcBorders>
              <w:top w:val="nil"/>
              <w:left w:val="nil"/>
              <w:bottom w:val="nil"/>
              <w:right w:val="nil"/>
            </w:tcBorders>
            <w:shd w:val="clear" w:color="auto" w:fill="auto"/>
            <w:vAlign w:val="center"/>
          </w:tcPr>
          <w:p w:rsidR="00D07CEE" w:rsidRPr="00D07CEE" w:rsidRDefault="00D07CEE" w:rsidP="00D07CEE">
            <w:pPr>
              <w:keepNext/>
              <w:jc w:val="center"/>
              <w:rPr>
                <w:rFonts w:ascii="Calibri" w:hAnsi="Calibri" w:cs="Arial"/>
              </w:rPr>
            </w:pPr>
            <w:r>
              <w:rPr>
                <w:rFonts w:ascii="Calibri" w:hAnsi="Calibri"/>
              </w:rPr>
              <w:t>7.9</w:t>
            </w:r>
          </w:p>
        </w:tc>
        <w:tc>
          <w:tcPr>
            <w:tcW w:w="932" w:type="dxa"/>
            <w:tcBorders>
              <w:top w:val="nil"/>
              <w:left w:val="nil"/>
              <w:bottom w:val="nil"/>
              <w:right w:val="nil"/>
            </w:tcBorders>
            <w:shd w:val="clear" w:color="auto" w:fill="auto"/>
            <w:vAlign w:val="center"/>
          </w:tcPr>
          <w:p w:rsidR="00D07CEE" w:rsidRPr="00D07CEE" w:rsidRDefault="00D07CEE" w:rsidP="00D07CEE">
            <w:pPr>
              <w:keepNext/>
              <w:jc w:val="center"/>
              <w:rPr>
                <w:rFonts w:ascii="Calibri" w:hAnsi="Calibri" w:cs="Arial"/>
              </w:rPr>
            </w:pPr>
            <w:r>
              <w:rPr>
                <w:rFonts w:ascii="Calibri" w:hAnsi="Calibri"/>
              </w:rPr>
              <w:t>7.4</w:t>
            </w:r>
          </w:p>
        </w:tc>
      </w:tr>
      <w:tr w:rsidR="00D07CEE" w:rsidRPr="00D07CEE" w:rsidTr="00BC1ED9">
        <w:trPr>
          <w:trHeight w:val="19"/>
          <w:jc w:val="center"/>
        </w:trPr>
        <w:tc>
          <w:tcPr>
            <w:tcW w:w="6267" w:type="dxa"/>
            <w:tcBorders>
              <w:top w:val="nil"/>
              <w:left w:val="nil"/>
              <w:bottom w:val="nil"/>
              <w:right w:val="nil"/>
            </w:tcBorders>
            <w:shd w:val="clear" w:color="auto" w:fill="auto"/>
            <w:vAlign w:val="center"/>
          </w:tcPr>
          <w:p w:rsidR="00D07CEE" w:rsidRPr="00D07CEE" w:rsidRDefault="00D07CEE" w:rsidP="00D07CEE">
            <w:pPr>
              <w:keepNext/>
              <w:jc w:val="both"/>
              <w:rPr>
                <w:rFonts w:ascii="Calibri" w:hAnsi="Calibri" w:cs="Arial"/>
              </w:rPr>
            </w:pPr>
            <w:r>
              <w:rPr>
                <w:rFonts w:ascii="Calibri" w:hAnsi="Calibri"/>
              </w:rPr>
              <w:t>Exports of goods and services*)</w:t>
            </w:r>
          </w:p>
        </w:tc>
        <w:tc>
          <w:tcPr>
            <w:tcW w:w="872" w:type="dxa"/>
            <w:tcBorders>
              <w:top w:val="nil"/>
              <w:left w:val="nil"/>
              <w:bottom w:val="nil"/>
              <w:right w:val="nil"/>
            </w:tcBorders>
            <w:shd w:val="clear" w:color="auto" w:fill="auto"/>
            <w:vAlign w:val="center"/>
          </w:tcPr>
          <w:p w:rsidR="00D07CEE" w:rsidRPr="00D07CEE" w:rsidRDefault="00D07CEE" w:rsidP="00D07CEE">
            <w:pPr>
              <w:keepNext/>
              <w:jc w:val="center"/>
              <w:rPr>
                <w:rFonts w:ascii="Calibri" w:hAnsi="Calibri" w:cs="Arial"/>
              </w:rPr>
            </w:pPr>
            <w:r>
              <w:rPr>
                <w:rFonts w:ascii="Calibri" w:hAnsi="Calibri"/>
              </w:rPr>
              <w:t>6.9</w:t>
            </w:r>
          </w:p>
        </w:tc>
        <w:tc>
          <w:tcPr>
            <w:tcW w:w="930" w:type="dxa"/>
            <w:gridSpan w:val="3"/>
            <w:tcBorders>
              <w:top w:val="nil"/>
              <w:left w:val="nil"/>
              <w:bottom w:val="nil"/>
              <w:right w:val="nil"/>
            </w:tcBorders>
            <w:shd w:val="clear" w:color="auto" w:fill="auto"/>
            <w:vAlign w:val="center"/>
          </w:tcPr>
          <w:p w:rsidR="00D07CEE" w:rsidRPr="00D07CEE" w:rsidRDefault="00D07CEE" w:rsidP="00D07CEE">
            <w:pPr>
              <w:keepNext/>
              <w:jc w:val="center"/>
              <w:rPr>
                <w:rFonts w:ascii="Calibri" w:hAnsi="Calibri" w:cs="Arial"/>
              </w:rPr>
            </w:pPr>
            <w:r>
              <w:rPr>
                <w:rFonts w:ascii="Calibri" w:hAnsi="Calibri"/>
              </w:rPr>
              <w:t>7.1</w:t>
            </w:r>
          </w:p>
        </w:tc>
        <w:tc>
          <w:tcPr>
            <w:tcW w:w="932" w:type="dxa"/>
            <w:tcBorders>
              <w:top w:val="nil"/>
              <w:left w:val="nil"/>
              <w:bottom w:val="nil"/>
              <w:right w:val="nil"/>
            </w:tcBorders>
            <w:shd w:val="clear" w:color="auto" w:fill="auto"/>
            <w:vAlign w:val="center"/>
          </w:tcPr>
          <w:p w:rsidR="00D07CEE" w:rsidRPr="00D07CEE" w:rsidRDefault="00D07CEE" w:rsidP="00D07CEE">
            <w:pPr>
              <w:keepNext/>
              <w:jc w:val="center"/>
              <w:rPr>
                <w:rFonts w:ascii="Calibri" w:hAnsi="Calibri" w:cs="Arial"/>
              </w:rPr>
            </w:pPr>
            <w:r>
              <w:rPr>
                <w:rFonts w:ascii="Calibri" w:hAnsi="Calibri"/>
              </w:rPr>
              <w:t>7.0</w:t>
            </w:r>
          </w:p>
        </w:tc>
      </w:tr>
      <w:tr w:rsidR="00D07CEE" w:rsidRPr="00D07CEE" w:rsidTr="00BC1ED9">
        <w:trPr>
          <w:trHeight w:val="19"/>
          <w:jc w:val="center"/>
        </w:trPr>
        <w:tc>
          <w:tcPr>
            <w:tcW w:w="6267" w:type="dxa"/>
            <w:tcBorders>
              <w:top w:val="nil"/>
              <w:left w:val="nil"/>
              <w:bottom w:val="single" w:sz="4" w:space="0" w:color="auto"/>
              <w:right w:val="nil"/>
            </w:tcBorders>
            <w:shd w:val="clear" w:color="auto" w:fill="auto"/>
            <w:vAlign w:val="center"/>
          </w:tcPr>
          <w:p w:rsidR="00D07CEE" w:rsidRPr="00D07CEE" w:rsidRDefault="00D07CEE" w:rsidP="00D07CEE">
            <w:pPr>
              <w:keepNext/>
              <w:jc w:val="both"/>
              <w:rPr>
                <w:rFonts w:ascii="Calibri" w:hAnsi="Calibri" w:cs="Arial"/>
              </w:rPr>
            </w:pPr>
            <w:r>
              <w:rPr>
                <w:rFonts w:ascii="Calibri" w:hAnsi="Calibri"/>
              </w:rPr>
              <w:t>Imports of goods and services*)</w:t>
            </w:r>
          </w:p>
        </w:tc>
        <w:tc>
          <w:tcPr>
            <w:tcW w:w="872" w:type="dxa"/>
            <w:tcBorders>
              <w:top w:val="nil"/>
              <w:left w:val="nil"/>
              <w:bottom w:val="single" w:sz="4" w:space="0" w:color="auto"/>
              <w:right w:val="nil"/>
            </w:tcBorders>
            <w:shd w:val="clear" w:color="auto" w:fill="auto"/>
            <w:vAlign w:val="center"/>
          </w:tcPr>
          <w:p w:rsidR="00D07CEE" w:rsidRPr="00D07CEE" w:rsidRDefault="00D07CEE" w:rsidP="00D07CEE">
            <w:pPr>
              <w:keepNext/>
              <w:jc w:val="center"/>
              <w:rPr>
                <w:rFonts w:ascii="Calibri" w:hAnsi="Calibri" w:cs="Arial"/>
              </w:rPr>
            </w:pPr>
            <w:r>
              <w:rPr>
                <w:rFonts w:ascii="Calibri" w:hAnsi="Calibri"/>
              </w:rPr>
              <w:t>7.8</w:t>
            </w:r>
          </w:p>
        </w:tc>
        <w:tc>
          <w:tcPr>
            <w:tcW w:w="930" w:type="dxa"/>
            <w:gridSpan w:val="3"/>
            <w:tcBorders>
              <w:top w:val="nil"/>
              <w:left w:val="nil"/>
              <w:bottom w:val="single" w:sz="4" w:space="0" w:color="auto"/>
              <w:right w:val="nil"/>
            </w:tcBorders>
            <w:shd w:val="clear" w:color="auto" w:fill="auto"/>
            <w:vAlign w:val="center"/>
          </w:tcPr>
          <w:p w:rsidR="00D07CEE" w:rsidRPr="00D07CEE" w:rsidRDefault="00D07CEE" w:rsidP="00D07CEE">
            <w:pPr>
              <w:keepNext/>
              <w:jc w:val="center"/>
              <w:rPr>
                <w:rFonts w:ascii="Calibri" w:hAnsi="Calibri" w:cs="Arial"/>
              </w:rPr>
            </w:pPr>
            <w:r>
              <w:rPr>
                <w:rFonts w:ascii="Calibri" w:hAnsi="Calibri"/>
              </w:rPr>
              <w:t>7.9</w:t>
            </w:r>
          </w:p>
        </w:tc>
        <w:tc>
          <w:tcPr>
            <w:tcW w:w="932" w:type="dxa"/>
            <w:tcBorders>
              <w:top w:val="nil"/>
              <w:left w:val="nil"/>
              <w:bottom w:val="single" w:sz="4" w:space="0" w:color="auto"/>
              <w:right w:val="nil"/>
            </w:tcBorders>
            <w:shd w:val="clear" w:color="auto" w:fill="auto"/>
            <w:vAlign w:val="center"/>
          </w:tcPr>
          <w:p w:rsidR="00D07CEE" w:rsidRPr="00D07CEE" w:rsidRDefault="00D07CEE" w:rsidP="00D07CEE">
            <w:pPr>
              <w:keepNext/>
              <w:jc w:val="center"/>
              <w:rPr>
                <w:rFonts w:ascii="Calibri" w:hAnsi="Calibri" w:cs="Arial"/>
              </w:rPr>
            </w:pPr>
            <w:r>
              <w:rPr>
                <w:rFonts w:ascii="Calibri" w:hAnsi="Calibri"/>
              </w:rPr>
              <w:t>7.8</w:t>
            </w:r>
          </w:p>
        </w:tc>
      </w:tr>
      <w:tr w:rsidR="00D07CEE" w:rsidRPr="008368B9" w:rsidTr="00BC1ED9">
        <w:trPr>
          <w:trHeight w:val="19"/>
          <w:jc w:val="center"/>
        </w:trPr>
        <w:tc>
          <w:tcPr>
            <w:tcW w:w="9001" w:type="dxa"/>
            <w:gridSpan w:val="6"/>
            <w:tcBorders>
              <w:top w:val="single" w:sz="4" w:space="0" w:color="auto"/>
              <w:left w:val="nil"/>
              <w:bottom w:val="single" w:sz="4" w:space="0" w:color="auto"/>
              <w:right w:val="nil"/>
            </w:tcBorders>
            <w:shd w:val="clear" w:color="auto" w:fill="99CCFF"/>
            <w:vAlign w:val="center"/>
          </w:tcPr>
          <w:p w:rsidR="00D07CEE" w:rsidRPr="00D07CEE" w:rsidRDefault="00D07CEE" w:rsidP="00D07CEE">
            <w:pPr>
              <w:keepNext/>
              <w:jc w:val="center"/>
              <w:rPr>
                <w:rFonts w:ascii="Calibri" w:hAnsi="Calibri" w:cs="Arial"/>
              </w:rPr>
            </w:pPr>
            <w:r>
              <w:rPr>
                <w:rFonts w:ascii="Calibri" w:hAnsi="Calibri"/>
              </w:rPr>
              <w:t>Contributions to GDP growth (percentages)</w:t>
            </w:r>
          </w:p>
        </w:tc>
      </w:tr>
      <w:tr w:rsidR="00D07CEE" w:rsidRPr="00D07CEE" w:rsidTr="00BC1ED9">
        <w:trPr>
          <w:trHeight w:val="19"/>
          <w:jc w:val="center"/>
        </w:trPr>
        <w:tc>
          <w:tcPr>
            <w:tcW w:w="6267" w:type="dxa"/>
            <w:tcBorders>
              <w:top w:val="single" w:sz="4" w:space="0" w:color="auto"/>
              <w:left w:val="nil"/>
              <w:bottom w:val="nil"/>
              <w:right w:val="nil"/>
            </w:tcBorders>
            <w:shd w:val="clear" w:color="auto" w:fill="auto"/>
            <w:vAlign w:val="center"/>
          </w:tcPr>
          <w:p w:rsidR="00D07CEE" w:rsidRPr="00D07CEE" w:rsidRDefault="00D07CEE" w:rsidP="00D07CEE">
            <w:pPr>
              <w:keepNext/>
              <w:jc w:val="both"/>
              <w:rPr>
                <w:rFonts w:ascii="Calibri" w:hAnsi="Calibri" w:cs="Arial"/>
              </w:rPr>
            </w:pPr>
            <w:r>
              <w:rPr>
                <w:rFonts w:ascii="Calibri" w:hAnsi="Calibri"/>
              </w:rPr>
              <w:t>Final domestic demand</w:t>
            </w:r>
          </w:p>
        </w:tc>
        <w:tc>
          <w:tcPr>
            <w:tcW w:w="886" w:type="dxa"/>
            <w:gridSpan w:val="2"/>
            <w:tcBorders>
              <w:top w:val="single" w:sz="4" w:space="0" w:color="auto"/>
              <w:left w:val="nil"/>
              <w:bottom w:val="nil"/>
              <w:right w:val="nil"/>
            </w:tcBorders>
            <w:shd w:val="clear" w:color="auto" w:fill="auto"/>
            <w:vAlign w:val="center"/>
          </w:tcPr>
          <w:p w:rsidR="00D07CEE" w:rsidRPr="00D07CEE" w:rsidRDefault="00D07CEE" w:rsidP="00D07CEE">
            <w:pPr>
              <w:keepNext/>
              <w:jc w:val="center"/>
              <w:rPr>
                <w:rFonts w:ascii="Calibri" w:hAnsi="Calibri" w:cs="Arial"/>
              </w:rPr>
            </w:pPr>
            <w:r>
              <w:rPr>
                <w:rFonts w:ascii="Calibri" w:hAnsi="Calibri"/>
              </w:rPr>
              <w:t>6.1</w:t>
            </w:r>
          </w:p>
        </w:tc>
        <w:tc>
          <w:tcPr>
            <w:tcW w:w="901" w:type="dxa"/>
            <w:tcBorders>
              <w:top w:val="single" w:sz="4" w:space="0" w:color="auto"/>
              <w:left w:val="nil"/>
              <w:bottom w:val="nil"/>
              <w:right w:val="nil"/>
            </w:tcBorders>
            <w:shd w:val="clear" w:color="auto" w:fill="auto"/>
            <w:vAlign w:val="center"/>
          </w:tcPr>
          <w:p w:rsidR="00D07CEE" w:rsidRPr="00D07CEE" w:rsidRDefault="00D07CEE" w:rsidP="00D07CEE">
            <w:pPr>
              <w:keepNext/>
              <w:jc w:val="center"/>
              <w:rPr>
                <w:rFonts w:ascii="Calibri" w:hAnsi="Calibri" w:cs="Arial"/>
              </w:rPr>
            </w:pPr>
            <w:r>
              <w:rPr>
                <w:rFonts w:ascii="Calibri" w:hAnsi="Calibri"/>
              </w:rPr>
              <w:t>6.2</w:t>
            </w:r>
          </w:p>
        </w:tc>
        <w:tc>
          <w:tcPr>
            <w:tcW w:w="947" w:type="dxa"/>
            <w:gridSpan w:val="2"/>
            <w:tcBorders>
              <w:top w:val="single" w:sz="4" w:space="0" w:color="auto"/>
              <w:left w:val="nil"/>
              <w:bottom w:val="nil"/>
              <w:right w:val="nil"/>
            </w:tcBorders>
            <w:shd w:val="clear" w:color="auto" w:fill="auto"/>
            <w:vAlign w:val="center"/>
          </w:tcPr>
          <w:p w:rsidR="00D07CEE" w:rsidRPr="00D07CEE" w:rsidRDefault="00D07CEE" w:rsidP="00D07CEE">
            <w:pPr>
              <w:keepNext/>
              <w:jc w:val="center"/>
              <w:rPr>
                <w:rFonts w:ascii="Calibri" w:hAnsi="Calibri" w:cs="Arial"/>
              </w:rPr>
            </w:pPr>
            <w:r>
              <w:rPr>
                <w:rFonts w:ascii="Calibri" w:hAnsi="Calibri"/>
              </w:rPr>
              <w:t>5.4</w:t>
            </w:r>
          </w:p>
        </w:tc>
      </w:tr>
      <w:tr w:rsidR="00D07CEE" w:rsidRPr="00D07CEE" w:rsidTr="00BC1ED9">
        <w:trPr>
          <w:trHeight w:val="19"/>
          <w:jc w:val="center"/>
        </w:trPr>
        <w:tc>
          <w:tcPr>
            <w:tcW w:w="6267" w:type="dxa"/>
            <w:tcBorders>
              <w:top w:val="nil"/>
              <w:left w:val="nil"/>
              <w:bottom w:val="nil"/>
              <w:right w:val="nil"/>
            </w:tcBorders>
            <w:shd w:val="clear" w:color="auto" w:fill="auto"/>
            <w:vAlign w:val="center"/>
          </w:tcPr>
          <w:p w:rsidR="00D07CEE" w:rsidRPr="00D07CEE" w:rsidRDefault="00D07CEE" w:rsidP="00D07CEE">
            <w:pPr>
              <w:keepNext/>
              <w:jc w:val="both"/>
              <w:rPr>
                <w:rFonts w:ascii="Calibri" w:hAnsi="Calibri" w:cs="Arial"/>
              </w:rPr>
            </w:pPr>
            <w:r>
              <w:rPr>
                <w:rFonts w:ascii="Calibri" w:hAnsi="Calibri"/>
              </w:rPr>
              <w:t>Change of stocks</w:t>
            </w:r>
          </w:p>
        </w:tc>
        <w:tc>
          <w:tcPr>
            <w:tcW w:w="886" w:type="dxa"/>
            <w:gridSpan w:val="2"/>
            <w:tcBorders>
              <w:top w:val="nil"/>
              <w:left w:val="nil"/>
              <w:bottom w:val="nil"/>
              <w:right w:val="nil"/>
            </w:tcBorders>
            <w:shd w:val="clear" w:color="auto" w:fill="auto"/>
            <w:vAlign w:val="bottom"/>
          </w:tcPr>
          <w:p w:rsidR="00D07CEE" w:rsidRPr="00D07CEE" w:rsidRDefault="00D07CEE" w:rsidP="00D07CEE">
            <w:pPr>
              <w:keepNext/>
              <w:jc w:val="center"/>
              <w:rPr>
                <w:rFonts w:ascii="Calibri" w:hAnsi="Calibri" w:cs="Arial"/>
              </w:rPr>
            </w:pPr>
            <w:r>
              <w:rPr>
                <w:rFonts w:ascii="Calibri" w:hAnsi="Calibri"/>
              </w:rPr>
              <w:t>0.0</w:t>
            </w:r>
          </w:p>
        </w:tc>
        <w:tc>
          <w:tcPr>
            <w:tcW w:w="901" w:type="dxa"/>
            <w:tcBorders>
              <w:top w:val="nil"/>
              <w:left w:val="nil"/>
              <w:bottom w:val="nil"/>
              <w:right w:val="nil"/>
            </w:tcBorders>
            <w:shd w:val="clear" w:color="auto" w:fill="auto"/>
            <w:vAlign w:val="bottom"/>
          </w:tcPr>
          <w:p w:rsidR="00D07CEE" w:rsidRPr="00D07CEE" w:rsidRDefault="00D07CEE" w:rsidP="00D07CEE">
            <w:pPr>
              <w:keepNext/>
              <w:jc w:val="center"/>
              <w:rPr>
                <w:rFonts w:ascii="Calibri" w:hAnsi="Calibri" w:cs="Arial"/>
              </w:rPr>
            </w:pPr>
            <w:r>
              <w:rPr>
                <w:rFonts w:ascii="Calibri" w:hAnsi="Calibri"/>
              </w:rPr>
              <w:t>0.0</w:t>
            </w:r>
          </w:p>
        </w:tc>
        <w:tc>
          <w:tcPr>
            <w:tcW w:w="947" w:type="dxa"/>
            <w:gridSpan w:val="2"/>
            <w:tcBorders>
              <w:top w:val="nil"/>
              <w:left w:val="nil"/>
              <w:bottom w:val="nil"/>
              <w:right w:val="nil"/>
            </w:tcBorders>
            <w:shd w:val="clear" w:color="auto" w:fill="auto"/>
            <w:vAlign w:val="bottom"/>
          </w:tcPr>
          <w:p w:rsidR="00D07CEE" w:rsidRPr="00D07CEE" w:rsidRDefault="00D07CEE" w:rsidP="00D07CEE">
            <w:pPr>
              <w:keepNext/>
              <w:jc w:val="center"/>
              <w:rPr>
                <w:rFonts w:ascii="Calibri" w:hAnsi="Calibri" w:cs="Arial"/>
              </w:rPr>
            </w:pPr>
            <w:r>
              <w:rPr>
                <w:rFonts w:ascii="Calibri" w:hAnsi="Calibri"/>
              </w:rPr>
              <w:t>0.0</w:t>
            </w:r>
          </w:p>
        </w:tc>
      </w:tr>
      <w:tr w:rsidR="00D07CEE" w:rsidRPr="00D07CEE" w:rsidTr="00BC1ED9">
        <w:trPr>
          <w:trHeight w:val="19"/>
          <w:jc w:val="center"/>
        </w:trPr>
        <w:tc>
          <w:tcPr>
            <w:tcW w:w="6267" w:type="dxa"/>
            <w:tcBorders>
              <w:top w:val="nil"/>
              <w:left w:val="nil"/>
              <w:bottom w:val="single" w:sz="2" w:space="0" w:color="333399"/>
              <w:right w:val="nil"/>
            </w:tcBorders>
            <w:shd w:val="clear" w:color="auto" w:fill="auto"/>
            <w:vAlign w:val="center"/>
          </w:tcPr>
          <w:p w:rsidR="00D07CEE" w:rsidRPr="00D07CEE" w:rsidRDefault="00D07CEE" w:rsidP="00D07CEE">
            <w:pPr>
              <w:keepNext/>
              <w:jc w:val="both"/>
              <w:rPr>
                <w:rFonts w:ascii="Calibri" w:hAnsi="Calibri" w:cs="Arial"/>
              </w:rPr>
            </w:pPr>
            <w:r>
              <w:rPr>
                <w:rFonts w:ascii="Calibri" w:hAnsi="Calibri"/>
              </w:rPr>
              <w:t>Net export</w:t>
            </w:r>
          </w:p>
        </w:tc>
        <w:tc>
          <w:tcPr>
            <w:tcW w:w="886" w:type="dxa"/>
            <w:gridSpan w:val="2"/>
            <w:tcBorders>
              <w:top w:val="nil"/>
              <w:left w:val="nil"/>
              <w:bottom w:val="single" w:sz="2" w:space="0" w:color="333399"/>
              <w:right w:val="nil"/>
            </w:tcBorders>
            <w:shd w:val="clear" w:color="auto" w:fill="auto"/>
            <w:vAlign w:val="center"/>
          </w:tcPr>
          <w:p w:rsidR="00D07CEE" w:rsidRPr="00D07CEE" w:rsidRDefault="00D07CEE" w:rsidP="00D07CEE">
            <w:pPr>
              <w:keepNext/>
              <w:jc w:val="center"/>
              <w:rPr>
                <w:rFonts w:ascii="Calibri" w:hAnsi="Calibri" w:cs="Arial"/>
              </w:rPr>
            </w:pPr>
            <w:r>
              <w:rPr>
                <w:rFonts w:ascii="Calibri" w:hAnsi="Calibri"/>
              </w:rPr>
              <w:t>-0.6</w:t>
            </w:r>
          </w:p>
        </w:tc>
        <w:tc>
          <w:tcPr>
            <w:tcW w:w="901" w:type="dxa"/>
            <w:tcBorders>
              <w:top w:val="nil"/>
              <w:left w:val="nil"/>
              <w:bottom w:val="single" w:sz="2" w:space="0" w:color="333399"/>
              <w:right w:val="nil"/>
            </w:tcBorders>
            <w:shd w:val="clear" w:color="auto" w:fill="auto"/>
            <w:vAlign w:val="center"/>
          </w:tcPr>
          <w:p w:rsidR="00D07CEE" w:rsidRPr="00D07CEE" w:rsidRDefault="00D07CEE" w:rsidP="00D07CEE">
            <w:pPr>
              <w:keepNext/>
              <w:jc w:val="center"/>
              <w:rPr>
                <w:rFonts w:ascii="Calibri" w:hAnsi="Calibri" w:cs="Arial"/>
              </w:rPr>
            </w:pPr>
            <w:r>
              <w:rPr>
                <w:rFonts w:ascii="Calibri" w:hAnsi="Calibri"/>
              </w:rPr>
              <w:t>-0.5</w:t>
            </w:r>
          </w:p>
        </w:tc>
        <w:tc>
          <w:tcPr>
            <w:tcW w:w="947" w:type="dxa"/>
            <w:gridSpan w:val="2"/>
            <w:tcBorders>
              <w:top w:val="nil"/>
              <w:left w:val="nil"/>
              <w:bottom w:val="single" w:sz="2" w:space="0" w:color="333399"/>
              <w:right w:val="nil"/>
            </w:tcBorders>
            <w:shd w:val="clear" w:color="auto" w:fill="auto"/>
            <w:vAlign w:val="center"/>
          </w:tcPr>
          <w:p w:rsidR="00D07CEE" w:rsidRPr="00D07CEE" w:rsidRDefault="00D07CEE" w:rsidP="00D07CEE">
            <w:pPr>
              <w:keepNext/>
              <w:jc w:val="center"/>
              <w:rPr>
                <w:rFonts w:ascii="Calibri" w:hAnsi="Calibri" w:cs="Arial"/>
              </w:rPr>
            </w:pPr>
            <w:r>
              <w:rPr>
                <w:rFonts w:ascii="Calibri" w:hAnsi="Calibri"/>
              </w:rPr>
              <w:t>-0.5</w:t>
            </w:r>
          </w:p>
        </w:tc>
      </w:tr>
      <w:tr w:rsidR="00D07CEE" w:rsidRPr="00D07CEE" w:rsidTr="00BC1ED9">
        <w:trPr>
          <w:trHeight w:val="19"/>
          <w:tblHeader/>
          <w:jc w:val="center"/>
        </w:trPr>
        <w:tc>
          <w:tcPr>
            <w:tcW w:w="6267" w:type="dxa"/>
            <w:tcBorders>
              <w:top w:val="single" w:sz="2" w:space="0" w:color="333399"/>
              <w:left w:val="nil"/>
              <w:bottom w:val="single" w:sz="4" w:space="0" w:color="333399"/>
            </w:tcBorders>
            <w:shd w:val="clear" w:color="auto" w:fill="99CCFF"/>
            <w:vAlign w:val="center"/>
          </w:tcPr>
          <w:p w:rsidR="00D07CEE" w:rsidRPr="00D07CEE" w:rsidRDefault="00D07CEE" w:rsidP="00D07CEE">
            <w:pPr>
              <w:keepNext/>
              <w:jc w:val="both"/>
              <w:outlineLvl w:val="1"/>
              <w:rPr>
                <w:rFonts w:ascii="Calibri" w:hAnsi="Calibri" w:cs="Arial"/>
                <w:b/>
                <w:iCs/>
                <w:lang w:val="ro-RO"/>
              </w:rPr>
            </w:pPr>
          </w:p>
        </w:tc>
        <w:tc>
          <w:tcPr>
            <w:tcW w:w="872" w:type="dxa"/>
            <w:tcBorders>
              <w:top w:val="single" w:sz="2" w:space="0" w:color="333399"/>
              <w:bottom w:val="single" w:sz="4" w:space="0" w:color="333399"/>
            </w:tcBorders>
            <w:shd w:val="clear" w:color="auto" w:fill="99CCFF"/>
            <w:vAlign w:val="center"/>
          </w:tcPr>
          <w:p w:rsidR="00D07CEE" w:rsidRPr="00D07CEE" w:rsidRDefault="00D07CEE" w:rsidP="00D07CEE">
            <w:pPr>
              <w:keepNext/>
              <w:jc w:val="center"/>
              <w:rPr>
                <w:rFonts w:ascii="Calibri" w:hAnsi="Calibri" w:cs="Arial"/>
                <w:b/>
                <w:lang w:val="ro-RO"/>
              </w:rPr>
            </w:pPr>
          </w:p>
        </w:tc>
        <w:tc>
          <w:tcPr>
            <w:tcW w:w="930" w:type="dxa"/>
            <w:gridSpan w:val="3"/>
            <w:tcBorders>
              <w:top w:val="single" w:sz="2" w:space="0" w:color="333399"/>
              <w:bottom w:val="single" w:sz="4" w:space="0" w:color="333399"/>
            </w:tcBorders>
            <w:shd w:val="clear" w:color="auto" w:fill="99CCFF"/>
            <w:vAlign w:val="center"/>
          </w:tcPr>
          <w:p w:rsidR="00D07CEE" w:rsidRPr="00D07CEE" w:rsidRDefault="00D07CEE" w:rsidP="00D07CEE">
            <w:pPr>
              <w:keepNext/>
              <w:jc w:val="center"/>
              <w:rPr>
                <w:rFonts w:ascii="Calibri" w:hAnsi="Calibri" w:cs="Arial"/>
                <w:b/>
                <w:lang w:val="ro-RO"/>
              </w:rPr>
            </w:pPr>
          </w:p>
        </w:tc>
        <w:tc>
          <w:tcPr>
            <w:tcW w:w="932" w:type="dxa"/>
            <w:tcBorders>
              <w:top w:val="single" w:sz="2" w:space="0" w:color="333399"/>
              <w:bottom w:val="single" w:sz="4" w:space="0" w:color="333399"/>
              <w:right w:val="nil"/>
            </w:tcBorders>
            <w:shd w:val="clear" w:color="auto" w:fill="99CCFF"/>
            <w:vAlign w:val="center"/>
          </w:tcPr>
          <w:p w:rsidR="00D07CEE" w:rsidRPr="00D07CEE" w:rsidRDefault="00D07CEE" w:rsidP="00D07CEE">
            <w:pPr>
              <w:keepNext/>
              <w:jc w:val="center"/>
              <w:rPr>
                <w:rFonts w:ascii="Calibri" w:hAnsi="Calibri" w:cs="Arial"/>
                <w:b/>
                <w:lang w:val="ro-RO"/>
              </w:rPr>
            </w:pPr>
          </w:p>
        </w:tc>
      </w:tr>
    </w:tbl>
    <w:p w:rsidR="00D07CEE" w:rsidRPr="00D07CEE" w:rsidRDefault="00D07CEE" w:rsidP="00D07CEE">
      <w:pPr>
        <w:keepNext/>
        <w:ind w:firstLine="210"/>
        <w:jc w:val="both"/>
        <w:rPr>
          <w:rFonts w:ascii="Calibri" w:hAnsi="Calibri"/>
          <w:i/>
        </w:rPr>
      </w:pPr>
      <w:r>
        <w:rPr>
          <w:rFonts w:ascii="Calibri" w:hAnsi="Calibri"/>
          <w:i/>
        </w:rPr>
        <w:t>Source: National Commission of Strategy and Prognosis</w:t>
      </w:r>
    </w:p>
    <w:p w:rsidR="00D07CEE" w:rsidRPr="00D07CEE" w:rsidRDefault="00D07CEE" w:rsidP="00D07CEE">
      <w:pPr>
        <w:keepNext/>
        <w:jc w:val="both"/>
        <w:rPr>
          <w:rFonts w:ascii="Calibri" w:hAnsi="Calibri"/>
          <w:bCs/>
        </w:rPr>
      </w:pPr>
      <w:r>
        <w:rPr>
          <w:rFonts w:ascii="Calibri" w:hAnsi="Calibri"/>
          <w:bCs/>
        </w:rPr>
        <w:t>*) Exports and imports of goods and services are expressed in real terms (of volume)</w:t>
      </w:r>
    </w:p>
    <w:p w:rsidR="00D07CEE" w:rsidRPr="00D07CEE" w:rsidRDefault="00D07CEE" w:rsidP="00D07CEE">
      <w:pPr>
        <w:keepNext/>
        <w:spacing w:before="120"/>
        <w:jc w:val="both"/>
        <w:outlineLvl w:val="0"/>
        <w:rPr>
          <w:rFonts w:ascii="Calibri" w:hAnsi="Calibri" w:cs="Arial"/>
        </w:rPr>
      </w:pPr>
      <w:r>
        <w:rPr>
          <w:rFonts w:ascii="Calibri" w:hAnsi="Calibri"/>
        </w:rPr>
        <w:t>Domestic demand (consumption and investments) will continue to represent the engine of economic growth. Private consumption expenses will increase on average by 6% yearly. Gross fixed capital formation will accelerate on the basis of improvement of financing in the economy, at an average annual pace of 7.4%.</w:t>
      </w:r>
    </w:p>
    <w:p w:rsidR="00D07CEE" w:rsidRPr="00D07CEE" w:rsidRDefault="00D07CEE" w:rsidP="00D07CEE">
      <w:pPr>
        <w:keepNext/>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before="120"/>
        <w:jc w:val="both"/>
        <w:rPr>
          <w:rFonts w:ascii="Calibri" w:hAnsi="Calibri" w:cs="Arial"/>
          <w:spacing w:val="-2"/>
        </w:rPr>
      </w:pPr>
      <w:r>
        <w:rPr>
          <w:rFonts w:ascii="Calibri" w:hAnsi="Calibri"/>
        </w:rPr>
        <w:t>Exports and imports of goods and services will register growth rhythms, in real terms, with an annual average of 7%, respectively 7.8%, net export having a negative effect on the gross domestic product, decreasing its growth.</w:t>
      </w:r>
    </w:p>
    <w:p w:rsidR="00D07CEE" w:rsidRPr="00A13AB9" w:rsidRDefault="00A13AB9" w:rsidP="00D07CEE">
      <w:pPr>
        <w:keepNext/>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before="120"/>
        <w:jc w:val="both"/>
        <w:rPr>
          <w:rFonts w:ascii="Calibri" w:hAnsi="Calibri" w:cs="Arial"/>
          <w:spacing w:val="-2"/>
        </w:rPr>
      </w:pPr>
      <w:r>
        <w:rPr>
          <w:rFonts w:ascii="Calibri" w:hAnsi="Calibri"/>
          <w:b/>
        </w:rPr>
        <w:t>The average number of employees</w:t>
      </w:r>
      <w:r>
        <w:rPr>
          <w:rFonts w:ascii="Calibri" w:hAnsi="Calibri"/>
        </w:rPr>
        <w:t xml:space="preserve"> will increase between 2019 and 2021, by 3.3% on average every year, and </w:t>
      </w:r>
      <w:r>
        <w:rPr>
          <w:rFonts w:ascii="Calibri" w:hAnsi="Calibri"/>
          <w:b/>
        </w:rPr>
        <w:t>the unemployment rate registered</w:t>
      </w:r>
      <w:r>
        <w:rPr>
          <w:rFonts w:ascii="Calibri" w:hAnsi="Calibri"/>
        </w:rPr>
        <w:t xml:space="preserve"> at the end of the year will decrease, reaching 2.8% at the end of 2021.</w:t>
      </w:r>
    </w:p>
    <w:p w:rsidR="00D07CEE" w:rsidRPr="00D07CEE" w:rsidRDefault="00D07CEE" w:rsidP="00D07CEE">
      <w:pPr>
        <w:keepNext/>
        <w:spacing w:before="120"/>
        <w:jc w:val="both"/>
        <w:rPr>
          <w:rFonts w:ascii="Calibri" w:hAnsi="Calibri"/>
        </w:rPr>
      </w:pPr>
      <w:r>
        <w:rPr>
          <w:rFonts w:ascii="Calibri" w:hAnsi="Calibri"/>
        </w:rPr>
        <w:t xml:space="preserve">Starting from the assumption of </w:t>
      </w:r>
      <w:r w:rsidR="00F00F75">
        <w:rPr>
          <w:rFonts w:ascii="Calibri" w:hAnsi="Calibri"/>
        </w:rPr>
        <w:t>tempered</w:t>
      </w:r>
      <w:r>
        <w:rPr>
          <w:rFonts w:ascii="Calibri" w:hAnsi="Calibri"/>
        </w:rPr>
        <w:t xml:space="preserve"> economic growth at world level, with a positive effect on the growth of external demand and, implicitly, of Romanian </w:t>
      </w:r>
      <w:r>
        <w:rPr>
          <w:rFonts w:ascii="Calibri" w:hAnsi="Calibri"/>
          <w:b/>
        </w:rPr>
        <w:t>foreign trade</w:t>
      </w:r>
      <w:r>
        <w:rPr>
          <w:rFonts w:ascii="Calibri" w:hAnsi="Calibri"/>
        </w:rPr>
        <w:t>, between 2019 and 2021 it is estimated an increase of the annual average of exports of goods by 8.5% and of imports by 9.0%.</w:t>
      </w:r>
    </w:p>
    <w:p w:rsidR="00D07CEE" w:rsidRPr="00D07CEE" w:rsidRDefault="00D07CEE" w:rsidP="00D07CEE">
      <w:pPr>
        <w:keepNext/>
        <w:spacing w:before="120"/>
        <w:jc w:val="right"/>
        <w:rPr>
          <w:rFonts w:ascii="Calibri" w:hAnsi="Calibri"/>
        </w:rPr>
      </w:pPr>
      <w:r>
        <w:rPr>
          <w:rFonts w:ascii="Calibri" w:hAnsi="Calibri"/>
        </w:rPr>
        <w:t xml:space="preserve">  - million EUR -</w:t>
      </w:r>
    </w:p>
    <w:tbl>
      <w:tblPr>
        <w:tblW w:w="9213" w:type="dxa"/>
        <w:jc w:val="center"/>
        <w:tblBorders>
          <w:top w:val="single" w:sz="24" w:space="0" w:color="auto"/>
          <w:bottom w:val="single" w:sz="24" w:space="0" w:color="auto"/>
        </w:tblBorders>
        <w:tblLayout w:type="fixed"/>
        <w:tblLook w:val="0000" w:firstRow="0" w:lastRow="0" w:firstColumn="0" w:lastColumn="0" w:noHBand="0" w:noVBand="0"/>
      </w:tblPr>
      <w:tblGrid>
        <w:gridCol w:w="4141"/>
        <w:gridCol w:w="1599"/>
        <w:gridCol w:w="1528"/>
        <w:gridCol w:w="1945"/>
      </w:tblGrid>
      <w:tr w:rsidR="00D07CEE" w:rsidRPr="00D07CEE" w:rsidTr="00BC1ED9">
        <w:trPr>
          <w:tblHeader/>
          <w:jc w:val="center"/>
        </w:trPr>
        <w:tc>
          <w:tcPr>
            <w:tcW w:w="4141" w:type="dxa"/>
            <w:tcBorders>
              <w:top w:val="single" w:sz="2" w:space="0" w:color="333399"/>
              <w:bottom w:val="single" w:sz="2" w:space="0" w:color="333399"/>
            </w:tcBorders>
            <w:shd w:val="clear" w:color="auto" w:fill="99CCFF"/>
            <w:noWrap/>
            <w:vAlign w:val="center"/>
          </w:tcPr>
          <w:p w:rsidR="00D07CEE" w:rsidRPr="00D07CEE" w:rsidRDefault="00D07CEE" w:rsidP="00D07CEE">
            <w:pPr>
              <w:keepNext/>
              <w:spacing w:after="120"/>
              <w:jc w:val="both"/>
              <w:rPr>
                <w:rFonts w:ascii="Calibri" w:hAnsi="Calibri" w:cs="Arial"/>
                <w:b/>
                <w:bCs/>
              </w:rPr>
            </w:pPr>
            <w:r>
              <w:rPr>
                <w:rFonts w:ascii="Calibri" w:hAnsi="Calibri"/>
                <w:b/>
                <w:bCs/>
              </w:rPr>
              <w:t>Foreign trade and current account</w:t>
            </w:r>
          </w:p>
        </w:tc>
        <w:tc>
          <w:tcPr>
            <w:tcW w:w="1599" w:type="dxa"/>
            <w:tcBorders>
              <w:top w:val="single" w:sz="2" w:space="0" w:color="333399"/>
              <w:bottom w:val="single" w:sz="2" w:space="0" w:color="333399"/>
            </w:tcBorders>
            <w:shd w:val="clear" w:color="auto" w:fill="99CCFF"/>
            <w:noWrap/>
            <w:vAlign w:val="center"/>
          </w:tcPr>
          <w:p w:rsidR="00D07CEE" w:rsidRPr="00D07CEE" w:rsidRDefault="00D07CEE" w:rsidP="00D07CEE">
            <w:pPr>
              <w:keepNext/>
              <w:jc w:val="center"/>
              <w:rPr>
                <w:rFonts w:ascii="Calibri" w:hAnsi="Calibri" w:cs="Arial"/>
                <w:b/>
              </w:rPr>
            </w:pPr>
            <w:r>
              <w:rPr>
                <w:rFonts w:ascii="Calibri" w:hAnsi="Calibri"/>
                <w:b/>
              </w:rPr>
              <w:t>2019</w:t>
            </w:r>
          </w:p>
        </w:tc>
        <w:tc>
          <w:tcPr>
            <w:tcW w:w="1528" w:type="dxa"/>
            <w:tcBorders>
              <w:top w:val="single" w:sz="2" w:space="0" w:color="333399"/>
              <w:bottom w:val="single" w:sz="2" w:space="0" w:color="333399"/>
            </w:tcBorders>
            <w:shd w:val="clear" w:color="auto" w:fill="99CCFF"/>
            <w:vAlign w:val="center"/>
          </w:tcPr>
          <w:p w:rsidR="00D07CEE" w:rsidRPr="00D07CEE" w:rsidRDefault="00D07CEE" w:rsidP="00D07CEE">
            <w:pPr>
              <w:keepNext/>
              <w:jc w:val="center"/>
              <w:rPr>
                <w:rFonts w:ascii="Calibri" w:hAnsi="Calibri" w:cs="Arial"/>
                <w:b/>
              </w:rPr>
            </w:pPr>
            <w:r>
              <w:rPr>
                <w:rFonts w:ascii="Calibri" w:hAnsi="Calibri"/>
                <w:b/>
              </w:rPr>
              <w:t>2020</w:t>
            </w:r>
          </w:p>
        </w:tc>
        <w:tc>
          <w:tcPr>
            <w:tcW w:w="1945" w:type="dxa"/>
            <w:tcBorders>
              <w:top w:val="single" w:sz="2" w:space="0" w:color="333399"/>
              <w:bottom w:val="single" w:sz="2" w:space="0" w:color="333399"/>
            </w:tcBorders>
            <w:shd w:val="clear" w:color="auto" w:fill="99CCFF"/>
            <w:vAlign w:val="center"/>
          </w:tcPr>
          <w:p w:rsidR="00D07CEE" w:rsidRPr="00D07CEE" w:rsidRDefault="00D07CEE" w:rsidP="00D07CEE">
            <w:pPr>
              <w:keepNext/>
              <w:jc w:val="center"/>
              <w:rPr>
                <w:rFonts w:ascii="Calibri" w:hAnsi="Calibri" w:cs="Arial"/>
                <w:b/>
              </w:rPr>
            </w:pPr>
            <w:r>
              <w:rPr>
                <w:rFonts w:ascii="Calibri" w:hAnsi="Calibri"/>
                <w:b/>
              </w:rPr>
              <w:t>2021</w:t>
            </w:r>
          </w:p>
        </w:tc>
      </w:tr>
      <w:tr w:rsidR="00D07CEE" w:rsidRPr="00D07CEE" w:rsidTr="00BC1ED9">
        <w:trPr>
          <w:jc w:val="center"/>
        </w:trPr>
        <w:tc>
          <w:tcPr>
            <w:tcW w:w="4141" w:type="dxa"/>
            <w:tcBorders>
              <w:top w:val="single" w:sz="2" w:space="0" w:color="333399"/>
              <w:left w:val="nil"/>
              <w:bottom w:val="nil"/>
              <w:right w:val="nil"/>
            </w:tcBorders>
            <w:noWrap/>
            <w:vAlign w:val="center"/>
          </w:tcPr>
          <w:p w:rsidR="00D07CEE" w:rsidRPr="00D07CEE" w:rsidRDefault="00D07CEE" w:rsidP="00D07CEE">
            <w:pPr>
              <w:keepNext/>
              <w:jc w:val="both"/>
              <w:rPr>
                <w:rFonts w:ascii="Calibri" w:hAnsi="Calibri" w:cs="Arial"/>
                <w:bCs/>
              </w:rPr>
            </w:pPr>
            <w:r>
              <w:rPr>
                <w:rFonts w:ascii="Calibri" w:hAnsi="Calibri"/>
              </w:rPr>
              <w:t>FOG export of goods</w:t>
            </w:r>
            <w:r>
              <w:rPr>
                <w:rFonts w:ascii="Calibri" w:hAnsi="Calibri"/>
                <w:vertAlign w:val="superscript"/>
              </w:rPr>
              <w:t>*)</w:t>
            </w:r>
          </w:p>
        </w:tc>
        <w:tc>
          <w:tcPr>
            <w:tcW w:w="1599" w:type="dxa"/>
            <w:tcBorders>
              <w:top w:val="single" w:sz="2" w:space="0" w:color="333399"/>
              <w:left w:val="nil"/>
              <w:bottom w:val="nil"/>
              <w:right w:val="nil"/>
            </w:tcBorders>
            <w:noWrap/>
            <w:vAlign w:val="center"/>
          </w:tcPr>
          <w:p w:rsidR="00D07CEE" w:rsidRPr="00D07CEE" w:rsidRDefault="00D07CEE" w:rsidP="00D07CEE">
            <w:pPr>
              <w:jc w:val="center"/>
              <w:rPr>
                <w:rFonts w:ascii="Calibri" w:hAnsi="Calibri" w:cs="Arial"/>
              </w:rPr>
            </w:pPr>
            <w:r>
              <w:rPr>
                <w:rFonts w:ascii="Calibri" w:hAnsi="Calibri"/>
              </w:rPr>
              <w:t>74,000</w:t>
            </w:r>
          </w:p>
        </w:tc>
        <w:tc>
          <w:tcPr>
            <w:tcW w:w="1528" w:type="dxa"/>
            <w:tcBorders>
              <w:top w:val="single" w:sz="2" w:space="0" w:color="333399"/>
              <w:left w:val="nil"/>
              <w:bottom w:val="nil"/>
              <w:right w:val="nil"/>
            </w:tcBorders>
            <w:vAlign w:val="center"/>
          </w:tcPr>
          <w:p w:rsidR="00D07CEE" w:rsidRPr="00D07CEE" w:rsidRDefault="00D07CEE" w:rsidP="00D07CEE">
            <w:pPr>
              <w:jc w:val="center"/>
              <w:rPr>
                <w:rFonts w:ascii="Calibri" w:hAnsi="Calibri" w:cs="Arial"/>
              </w:rPr>
            </w:pPr>
            <w:r>
              <w:rPr>
                <w:rFonts w:ascii="Calibri" w:hAnsi="Calibri"/>
              </w:rPr>
              <w:t>80,215</w:t>
            </w:r>
          </w:p>
        </w:tc>
        <w:tc>
          <w:tcPr>
            <w:tcW w:w="1945" w:type="dxa"/>
            <w:tcBorders>
              <w:top w:val="single" w:sz="2" w:space="0" w:color="333399"/>
              <w:left w:val="nil"/>
              <w:bottom w:val="nil"/>
              <w:right w:val="nil"/>
            </w:tcBorders>
            <w:vAlign w:val="center"/>
          </w:tcPr>
          <w:p w:rsidR="00D07CEE" w:rsidRPr="00D07CEE" w:rsidRDefault="00D07CEE" w:rsidP="00D07CEE">
            <w:pPr>
              <w:jc w:val="center"/>
              <w:rPr>
                <w:rFonts w:ascii="Calibri" w:hAnsi="Calibri" w:cs="Arial"/>
              </w:rPr>
            </w:pPr>
            <w:r>
              <w:rPr>
                <w:rFonts w:ascii="Calibri" w:hAnsi="Calibri"/>
              </w:rPr>
              <w:t>87,035</w:t>
            </w:r>
          </w:p>
        </w:tc>
      </w:tr>
      <w:tr w:rsidR="00D07CEE" w:rsidRPr="00D07CEE" w:rsidTr="00BC1ED9">
        <w:trPr>
          <w:jc w:val="center"/>
        </w:trPr>
        <w:tc>
          <w:tcPr>
            <w:tcW w:w="4141" w:type="dxa"/>
            <w:tcBorders>
              <w:top w:val="nil"/>
              <w:left w:val="nil"/>
              <w:bottom w:val="nil"/>
              <w:right w:val="nil"/>
            </w:tcBorders>
            <w:noWrap/>
            <w:vAlign w:val="center"/>
          </w:tcPr>
          <w:p w:rsidR="00D07CEE" w:rsidRPr="00D07CEE" w:rsidRDefault="00D07CEE" w:rsidP="00D07CEE">
            <w:pPr>
              <w:keepNext/>
              <w:jc w:val="both"/>
              <w:rPr>
                <w:rFonts w:ascii="Calibri" w:hAnsi="Calibri" w:cs="Arial"/>
                <w:bCs/>
              </w:rPr>
            </w:pPr>
            <w:r>
              <w:rPr>
                <w:rFonts w:ascii="Calibri" w:hAnsi="Calibri"/>
                <w:bCs/>
              </w:rPr>
              <w:t xml:space="preserve">    - annual percentage change, %</w:t>
            </w:r>
          </w:p>
        </w:tc>
        <w:tc>
          <w:tcPr>
            <w:tcW w:w="1599" w:type="dxa"/>
            <w:tcBorders>
              <w:top w:val="nil"/>
              <w:left w:val="nil"/>
              <w:bottom w:val="nil"/>
              <w:right w:val="nil"/>
            </w:tcBorders>
            <w:noWrap/>
            <w:vAlign w:val="center"/>
          </w:tcPr>
          <w:p w:rsidR="00D07CEE" w:rsidRPr="00D07CEE" w:rsidRDefault="00D07CEE" w:rsidP="00D07CEE">
            <w:pPr>
              <w:jc w:val="center"/>
              <w:rPr>
                <w:rFonts w:ascii="Calibri" w:hAnsi="Calibri" w:cs="Arial"/>
              </w:rPr>
            </w:pPr>
            <w:r>
              <w:rPr>
                <w:rFonts w:ascii="Calibri" w:hAnsi="Calibri"/>
              </w:rPr>
              <w:t>8.6</w:t>
            </w:r>
          </w:p>
        </w:tc>
        <w:tc>
          <w:tcPr>
            <w:tcW w:w="1528" w:type="dxa"/>
            <w:tcBorders>
              <w:top w:val="nil"/>
              <w:left w:val="nil"/>
              <w:bottom w:val="nil"/>
              <w:right w:val="nil"/>
            </w:tcBorders>
            <w:vAlign w:val="center"/>
          </w:tcPr>
          <w:p w:rsidR="00D07CEE" w:rsidRPr="00D07CEE" w:rsidRDefault="00D07CEE" w:rsidP="00D07CEE">
            <w:pPr>
              <w:jc w:val="center"/>
              <w:rPr>
                <w:rFonts w:ascii="Calibri" w:hAnsi="Calibri" w:cs="Arial"/>
              </w:rPr>
            </w:pPr>
            <w:r>
              <w:rPr>
                <w:rFonts w:ascii="Calibri" w:hAnsi="Calibri"/>
              </w:rPr>
              <w:t>8.4</w:t>
            </w:r>
          </w:p>
        </w:tc>
        <w:tc>
          <w:tcPr>
            <w:tcW w:w="1945" w:type="dxa"/>
            <w:tcBorders>
              <w:top w:val="nil"/>
              <w:left w:val="nil"/>
              <w:bottom w:val="nil"/>
              <w:right w:val="nil"/>
            </w:tcBorders>
            <w:vAlign w:val="center"/>
          </w:tcPr>
          <w:p w:rsidR="00D07CEE" w:rsidRPr="00D07CEE" w:rsidRDefault="00D07CEE" w:rsidP="00D07CEE">
            <w:pPr>
              <w:jc w:val="center"/>
              <w:rPr>
                <w:rFonts w:ascii="Calibri" w:hAnsi="Calibri" w:cs="Arial"/>
              </w:rPr>
            </w:pPr>
            <w:r>
              <w:rPr>
                <w:rFonts w:ascii="Calibri" w:hAnsi="Calibri"/>
              </w:rPr>
              <w:t>8.5</w:t>
            </w:r>
          </w:p>
        </w:tc>
      </w:tr>
      <w:tr w:rsidR="00D07CEE" w:rsidRPr="00D07CEE" w:rsidTr="00BC1ED9">
        <w:trPr>
          <w:jc w:val="center"/>
        </w:trPr>
        <w:tc>
          <w:tcPr>
            <w:tcW w:w="4141" w:type="dxa"/>
            <w:tcBorders>
              <w:top w:val="nil"/>
              <w:left w:val="nil"/>
              <w:bottom w:val="nil"/>
              <w:right w:val="nil"/>
            </w:tcBorders>
            <w:noWrap/>
            <w:vAlign w:val="center"/>
          </w:tcPr>
          <w:p w:rsidR="00D07CEE" w:rsidRPr="00D07CEE" w:rsidRDefault="00D07CEE" w:rsidP="00D07CEE">
            <w:pPr>
              <w:keepNext/>
              <w:jc w:val="both"/>
              <w:rPr>
                <w:rFonts w:ascii="Calibri" w:hAnsi="Calibri" w:cs="Arial"/>
                <w:bCs/>
              </w:rPr>
            </w:pPr>
            <w:r>
              <w:rPr>
                <w:rFonts w:ascii="Calibri" w:hAnsi="Calibri"/>
              </w:rPr>
              <w:t>CIF import of goods</w:t>
            </w:r>
            <w:r>
              <w:rPr>
                <w:rFonts w:ascii="Calibri" w:hAnsi="Calibri"/>
                <w:vertAlign w:val="superscript"/>
              </w:rPr>
              <w:t>*)</w:t>
            </w:r>
          </w:p>
        </w:tc>
        <w:tc>
          <w:tcPr>
            <w:tcW w:w="1599" w:type="dxa"/>
            <w:tcBorders>
              <w:top w:val="nil"/>
              <w:left w:val="nil"/>
              <w:bottom w:val="nil"/>
              <w:right w:val="nil"/>
            </w:tcBorders>
            <w:noWrap/>
            <w:vAlign w:val="center"/>
          </w:tcPr>
          <w:p w:rsidR="00D07CEE" w:rsidRPr="00D07CEE" w:rsidRDefault="00D07CEE" w:rsidP="00D07CEE">
            <w:pPr>
              <w:jc w:val="center"/>
              <w:rPr>
                <w:rFonts w:ascii="Calibri" w:hAnsi="Calibri" w:cs="Arial"/>
              </w:rPr>
            </w:pPr>
            <w:r>
              <w:rPr>
                <w:rFonts w:ascii="Calibri" w:hAnsi="Calibri"/>
              </w:rPr>
              <w:t>90,900</w:t>
            </w:r>
          </w:p>
        </w:tc>
        <w:tc>
          <w:tcPr>
            <w:tcW w:w="1528" w:type="dxa"/>
            <w:tcBorders>
              <w:top w:val="nil"/>
              <w:left w:val="nil"/>
              <w:bottom w:val="nil"/>
              <w:right w:val="nil"/>
            </w:tcBorders>
            <w:vAlign w:val="center"/>
          </w:tcPr>
          <w:p w:rsidR="00D07CEE" w:rsidRPr="00D07CEE" w:rsidRDefault="00D07CEE" w:rsidP="00D07CEE">
            <w:pPr>
              <w:jc w:val="center"/>
              <w:rPr>
                <w:rFonts w:ascii="Calibri" w:hAnsi="Calibri" w:cs="Arial"/>
              </w:rPr>
            </w:pPr>
            <w:r>
              <w:rPr>
                <w:rFonts w:ascii="Calibri" w:hAnsi="Calibri"/>
              </w:rPr>
              <w:t>99,080</w:t>
            </w:r>
          </w:p>
        </w:tc>
        <w:tc>
          <w:tcPr>
            <w:tcW w:w="1945" w:type="dxa"/>
            <w:tcBorders>
              <w:top w:val="nil"/>
              <w:left w:val="nil"/>
              <w:bottom w:val="nil"/>
              <w:right w:val="nil"/>
            </w:tcBorders>
            <w:vAlign w:val="center"/>
          </w:tcPr>
          <w:p w:rsidR="00D07CEE" w:rsidRPr="00D07CEE" w:rsidRDefault="00D07CEE" w:rsidP="00D07CEE">
            <w:pPr>
              <w:jc w:val="center"/>
              <w:rPr>
                <w:rFonts w:ascii="Calibri" w:hAnsi="Calibri" w:cs="Arial"/>
              </w:rPr>
            </w:pPr>
            <w:r>
              <w:rPr>
                <w:rFonts w:ascii="Calibri" w:hAnsi="Calibri"/>
              </w:rPr>
              <w:t>107,895</w:t>
            </w:r>
          </w:p>
        </w:tc>
      </w:tr>
      <w:tr w:rsidR="00D07CEE" w:rsidRPr="00D07CEE" w:rsidTr="00BC1ED9">
        <w:trPr>
          <w:jc w:val="center"/>
        </w:trPr>
        <w:tc>
          <w:tcPr>
            <w:tcW w:w="4141" w:type="dxa"/>
            <w:tcBorders>
              <w:top w:val="nil"/>
              <w:left w:val="nil"/>
              <w:bottom w:val="nil"/>
              <w:right w:val="nil"/>
            </w:tcBorders>
            <w:noWrap/>
            <w:vAlign w:val="center"/>
          </w:tcPr>
          <w:p w:rsidR="00D07CEE" w:rsidRPr="00D07CEE" w:rsidRDefault="00D07CEE" w:rsidP="00D07CEE">
            <w:pPr>
              <w:keepNext/>
              <w:jc w:val="both"/>
              <w:rPr>
                <w:rFonts w:ascii="Calibri" w:hAnsi="Calibri" w:cs="Arial"/>
                <w:bCs/>
              </w:rPr>
            </w:pPr>
            <w:r>
              <w:rPr>
                <w:rFonts w:ascii="Calibri" w:hAnsi="Calibri"/>
                <w:bCs/>
              </w:rPr>
              <w:t xml:space="preserve">   - annual percentage change, %</w:t>
            </w:r>
          </w:p>
        </w:tc>
        <w:tc>
          <w:tcPr>
            <w:tcW w:w="1599" w:type="dxa"/>
            <w:tcBorders>
              <w:top w:val="nil"/>
              <w:left w:val="nil"/>
              <w:bottom w:val="nil"/>
              <w:right w:val="nil"/>
            </w:tcBorders>
            <w:noWrap/>
            <w:vAlign w:val="center"/>
          </w:tcPr>
          <w:p w:rsidR="00D07CEE" w:rsidRPr="00D07CEE" w:rsidRDefault="00D07CEE" w:rsidP="00D07CEE">
            <w:pPr>
              <w:jc w:val="center"/>
              <w:rPr>
                <w:rFonts w:ascii="Calibri" w:hAnsi="Calibri" w:cs="Arial"/>
              </w:rPr>
            </w:pPr>
            <w:r>
              <w:rPr>
                <w:rFonts w:ascii="Calibri" w:hAnsi="Calibri"/>
              </w:rPr>
              <w:t>9.2</w:t>
            </w:r>
          </w:p>
        </w:tc>
        <w:tc>
          <w:tcPr>
            <w:tcW w:w="1528" w:type="dxa"/>
            <w:tcBorders>
              <w:top w:val="nil"/>
              <w:left w:val="nil"/>
              <w:bottom w:val="nil"/>
              <w:right w:val="nil"/>
            </w:tcBorders>
            <w:vAlign w:val="center"/>
          </w:tcPr>
          <w:p w:rsidR="00D07CEE" w:rsidRPr="00D07CEE" w:rsidRDefault="00D07CEE" w:rsidP="00D07CEE">
            <w:pPr>
              <w:jc w:val="center"/>
              <w:rPr>
                <w:rFonts w:ascii="Calibri" w:hAnsi="Calibri" w:cs="Arial"/>
              </w:rPr>
            </w:pPr>
            <w:r>
              <w:rPr>
                <w:rFonts w:ascii="Calibri" w:hAnsi="Calibri"/>
              </w:rPr>
              <w:t>9.0</w:t>
            </w:r>
          </w:p>
        </w:tc>
        <w:tc>
          <w:tcPr>
            <w:tcW w:w="1945" w:type="dxa"/>
            <w:tcBorders>
              <w:top w:val="nil"/>
              <w:left w:val="nil"/>
              <w:bottom w:val="nil"/>
              <w:right w:val="nil"/>
            </w:tcBorders>
            <w:vAlign w:val="center"/>
          </w:tcPr>
          <w:p w:rsidR="00D07CEE" w:rsidRPr="00D07CEE" w:rsidRDefault="00D07CEE" w:rsidP="00D07CEE">
            <w:pPr>
              <w:jc w:val="center"/>
              <w:rPr>
                <w:rFonts w:ascii="Calibri" w:hAnsi="Calibri" w:cs="Arial"/>
              </w:rPr>
            </w:pPr>
            <w:r>
              <w:rPr>
                <w:rFonts w:ascii="Calibri" w:hAnsi="Calibri"/>
              </w:rPr>
              <w:t>8.9</w:t>
            </w:r>
          </w:p>
        </w:tc>
      </w:tr>
      <w:tr w:rsidR="00D07CEE" w:rsidRPr="00D07CEE" w:rsidTr="00BC1ED9">
        <w:trPr>
          <w:jc w:val="center"/>
        </w:trPr>
        <w:tc>
          <w:tcPr>
            <w:tcW w:w="4141" w:type="dxa"/>
            <w:tcBorders>
              <w:top w:val="nil"/>
              <w:left w:val="nil"/>
              <w:bottom w:val="single" w:sz="4" w:space="0" w:color="auto"/>
              <w:right w:val="nil"/>
            </w:tcBorders>
            <w:noWrap/>
            <w:vAlign w:val="center"/>
          </w:tcPr>
          <w:p w:rsidR="00D07CEE" w:rsidRPr="00D07CEE" w:rsidRDefault="00D07CEE" w:rsidP="00D07CEE">
            <w:pPr>
              <w:keepNext/>
              <w:jc w:val="both"/>
              <w:rPr>
                <w:rFonts w:ascii="Calibri" w:hAnsi="Calibri" w:cs="Arial"/>
                <w:bCs/>
              </w:rPr>
            </w:pPr>
            <w:r>
              <w:rPr>
                <w:rFonts w:ascii="Calibri" w:hAnsi="Calibri"/>
                <w:bCs/>
              </w:rPr>
              <w:t xml:space="preserve">FOB - CIF Commercial Balance </w:t>
            </w:r>
          </w:p>
        </w:tc>
        <w:tc>
          <w:tcPr>
            <w:tcW w:w="1599" w:type="dxa"/>
            <w:tcBorders>
              <w:top w:val="nil"/>
              <w:left w:val="nil"/>
              <w:bottom w:val="single" w:sz="4" w:space="0" w:color="auto"/>
              <w:right w:val="nil"/>
            </w:tcBorders>
            <w:noWrap/>
            <w:vAlign w:val="center"/>
          </w:tcPr>
          <w:p w:rsidR="00D07CEE" w:rsidRPr="00D07CEE" w:rsidRDefault="00D07CEE" w:rsidP="00D07CEE">
            <w:pPr>
              <w:jc w:val="center"/>
              <w:rPr>
                <w:rFonts w:ascii="Calibri" w:hAnsi="Calibri" w:cs="Arial"/>
              </w:rPr>
            </w:pPr>
            <w:r>
              <w:rPr>
                <w:rFonts w:ascii="Calibri" w:hAnsi="Calibri"/>
              </w:rPr>
              <w:t>-16,900</w:t>
            </w:r>
          </w:p>
        </w:tc>
        <w:tc>
          <w:tcPr>
            <w:tcW w:w="1528" w:type="dxa"/>
            <w:tcBorders>
              <w:top w:val="nil"/>
              <w:left w:val="nil"/>
              <w:bottom w:val="single" w:sz="4" w:space="0" w:color="auto"/>
              <w:right w:val="nil"/>
            </w:tcBorders>
            <w:vAlign w:val="center"/>
          </w:tcPr>
          <w:p w:rsidR="00D07CEE" w:rsidRPr="00D07CEE" w:rsidRDefault="00D07CEE" w:rsidP="00D07CEE">
            <w:pPr>
              <w:jc w:val="center"/>
              <w:rPr>
                <w:rFonts w:ascii="Calibri" w:hAnsi="Calibri" w:cs="Arial"/>
              </w:rPr>
            </w:pPr>
            <w:r>
              <w:rPr>
                <w:rFonts w:ascii="Calibri" w:hAnsi="Calibri"/>
              </w:rPr>
              <w:t>-18,865</w:t>
            </w:r>
          </w:p>
        </w:tc>
        <w:tc>
          <w:tcPr>
            <w:tcW w:w="1945" w:type="dxa"/>
            <w:tcBorders>
              <w:top w:val="nil"/>
              <w:left w:val="nil"/>
              <w:bottom w:val="single" w:sz="4" w:space="0" w:color="auto"/>
              <w:right w:val="nil"/>
            </w:tcBorders>
            <w:vAlign w:val="center"/>
          </w:tcPr>
          <w:p w:rsidR="00D07CEE" w:rsidRPr="00D07CEE" w:rsidRDefault="00D07CEE" w:rsidP="00D07CEE">
            <w:pPr>
              <w:jc w:val="center"/>
              <w:rPr>
                <w:rFonts w:ascii="Calibri" w:hAnsi="Calibri" w:cs="Arial"/>
              </w:rPr>
            </w:pPr>
            <w:r>
              <w:rPr>
                <w:rFonts w:ascii="Calibri" w:hAnsi="Calibri"/>
              </w:rPr>
              <w:t>-20,860</w:t>
            </w:r>
          </w:p>
        </w:tc>
      </w:tr>
      <w:tr w:rsidR="00D07CEE" w:rsidRPr="00D07CEE" w:rsidTr="00BC1ED9">
        <w:trPr>
          <w:jc w:val="center"/>
        </w:trPr>
        <w:tc>
          <w:tcPr>
            <w:tcW w:w="4141" w:type="dxa"/>
            <w:tcBorders>
              <w:top w:val="single" w:sz="4" w:space="0" w:color="auto"/>
              <w:left w:val="nil"/>
              <w:bottom w:val="nil"/>
              <w:right w:val="nil"/>
            </w:tcBorders>
            <w:noWrap/>
            <w:vAlign w:val="center"/>
          </w:tcPr>
          <w:p w:rsidR="00D07CEE" w:rsidRPr="00D07CEE" w:rsidRDefault="00D07CEE" w:rsidP="00D07CEE">
            <w:pPr>
              <w:keepNext/>
              <w:jc w:val="both"/>
              <w:rPr>
                <w:rFonts w:ascii="Calibri" w:hAnsi="Calibri" w:cs="Arial"/>
                <w:bCs/>
              </w:rPr>
            </w:pPr>
            <w:r>
              <w:rPr>
                <w:rFonts w:ascii="Calibri" w:hAnsi="Calibri"/>
                <w:bCs/>
              </w:rPr>
              <w:t>Current account balance</w:t>
            </w:r>
          </w:p>
        </w:tc>
        <w:tc>
          <w:tcPr>
            <w:tcW w:w="1599" w:type="dxa"/>
            <w:tcBorders>
              <w:top w:val="single" w:sz="4" w:space="0" w:color="auto"/>
              <w:left w:val="nil"/>
              <w:bottom w:val="nil"/>
              <w:right w:val="nil"/>
            </w:tcBorders>
            <w:noWrap/>
            <w:vAlign w:val="center"/>
          </w:tcPr>
          <w:p w:rsidR="00D07CEE" w:rsidRPr="00D07CEE" w:rsidRDefault="00D07CEE" w:rsidP="00D07CEE">
            <w:pPr>
              <w:jc w:val="center"/>
              <w:rPr>
                <w:rFonts w:ascii="Calibri" w:hAnsi="Calibri" w:cs="Arial"/>
                <w:b/>
                <w:bCs/>
              </w:rPr>
            </w:pPr>
            <w:r>
              <w:rPr>
                <w:rFonts w:ascii="Calibri" w:hAnsi="Calibri"/>
                <w:b/>
                <w:bCs/>
              </w:rPr>
              <w:t>-7,270</w:t>
            </w:r>
          </w:p>
        </w:tc>
        <w:tc>
          <w:tcPr>
            <w:tcW w:w="1528" w:type="dxa"/>
            <w:tcBorders>
              <w:top w:val="single" w:sz="4" w:space="0" w:color="auto"/>
              <w:left w:val="nil"/>
              <w:bottom w:val="nil"/>
              <w:right w:val="nil"/>
            </w:tcBorders>
            <w:vAlign w:val="center"/>
          </w:tcPr>
          <w:p w:rsidR="00D07CEE" w:rsidRPr="00D07CEE" w:rsidRDefault="00D07CEE" w:rsidP="00D07CEE">
            <w:pPr>
              <w:jc w:val="center"/>
              <w:rPr>
                <w:rFonts w:ascii="Calibri" w:hAnsi="Calibri" w:cs="Arial"/>
                <w:b/>
                <w:bCs/>
              </w:rPr>
            </w:pPr>
            <w:r>
              <w:rPr>
                <w:rFonts w:ascii="Calibri" w:hAnsi="Calibri"/>
                <w:b/>
                <w:bCs/>
              </w:rPr>
              <w:t>-6,910</w:t>
            </w:r>
          </w:p>
        </w:tc>
        <w:tc>
          <w:tcPr>
            <w:tcW w:w="1945" w:type="dxa"/>
            <w:tcBorders>
              <w:top w:val="single" w:sz="4" w:space="0" w:color="auto"/>
              <w:left w:val="nil"/>
              <w:bottom w:val="nil"/>
              <w:right w:val="nil"/>
            </w:tcBorders>
            <w:vAlign w:val="center"/>
          </w:tcPr>
          <w:p w:rsidR="00D07CEE" w:rsidRPr="00D07CEE" w:rsidRDefault="00D07CEE" w:rsidP="00D07CEE">
            <w:pPr>
              <w:jc w:val="center"/>
              <w:rPr>
                <w:rFonts w:ascii="Calibri" w:hAnsi="Calibri" w:cs="Arial"/>
                <w:b/>
                <w:bCs/>
              </w:rPr>
            </w:pPr>
            <w:r>
              <w:rPr>
                <w:rFonts w:ascii="Calibri" w:hAnsi="Calibri"/>
                <w:b/>
                <w:bCs/>
              </w:rPr>
              <w:t>-6,725</w:t>
            </w:r>
          </w:p>
        </w:tc>
      </w:tr>
      <w:tr w:rsidR="00D07CEE" w:rsidRPr="00D07CEE" w:rsidTr="00BC1ED9">
        <w:trPr>
          <w:jc w:val="center"/>
        </w:trPr>
        <w:tc>
          <w:tcPr>
            <w:tcW w:w="4141" w:type="dxa"/>
            <w:tcBorders>
              <w:top w:val="nil"/>
              <w:left w:val="nil"/>
              <w:bottom w:val="single" w:sz="2" w:space="0" w:color="333399"/>
              <w:right w:val="nil"/>
            </w:tcBorders>
            <w:noWrap/>
            <w:vAlign w:val="center"/>
          </w:tcPr>
          <w:p w:rsidR="00D07CEE" w:rsidRPr="00D07CEE" w:rsidRDefault="00D07CEE" w:rsidP="00D07CEE">
            <w:pPr>
              <w:keepNext/>
              <w:jc w:val="both"/>
              <w:rPr>
                <w:rFonts w:ascii="Calibri" w:hAnsi="Calibri" w:cs="Arial"/>
                <w:bCs/>
              </w:rPr>
            </w:pPr>
            <w:r>
              <w:rPr>
                <w:rFonts w:ascii="Calibri" w:hAnsi="Calibri"/>
                <w:bCs/>
              </w:rPr>
              <w:t xml:space="preserve">     - % of GDP</w:t>
            </w:r>
          </w:p>
        </w:tc>
        <w:tc>
          <w:tcPr>
            <w:tcW w:w="1599" w:type="dxa"/>
            <w:tcBorders>
              <w:top w:val="nil"/>
              <w:left w:val="nil"/>
              <w:bottom w:val="single" w:sz="2" w:space="0" w:color="333399"/>
              <w:right w:val="nil"/>
            </w:tcBorders>
            <w:noWrap/>
            <w:vAlign w:val="center"/>
          </w:tcPr>
          <w:p w:rsidR="00D07CEE" w:rsidRPr="00D07CEE" w:rsidRDefault="00D07CEE" w:rsidP="00D07CEE">
            <w:pPr>
              <w:jc w:val="center"/>
              <w:rPr>
                <w:rFonts w:ascii="Calibri" w:hAnsi="Calibri" w:cs="Arial"/>
                <w:b/>
                <w:bCs/>
              </w:rPr>
            </w:pPr>
            <w:r>
              <w:rPr>
                <w:rFonts w:ascii="Calibri" w:hAnsi="Calibri"/>
                <w:b/>
                <w:bCs/>
              </w:rPr>
              <w:t>-3.3</w:t>
            </w:r>
          </w:p>
        </w:tc>
        <w:tc>
          <w:tcPr>
            <w:tcW w:w="1528" w:type="dxa"/>
            <w:tcBorders>
              <w:top w:val="nil"/>
              <w:left w:val="nil"/>
              <w:bottom w:val="single" w:sz="2" w:space="0" w:color="333399"/>
              <w:right w:val="nil"/>
            </w:tcBorders>
            <w:vAlign w:val="center"/>
          </w:tcPr>
          <w:p w:rsidR="00D07CEE" w:rsidRPr="00D07CEE" w:rsidRDefault="00D07CEE" w:rsidP="00D07CEE">
            <w:pPr>
              <w:jc w:val="center"/>
              <w:rPr>
                <w:rFonts w:ascii="Calibri" w:hAnsi="Calibri" w:cs="Arial"/>
                <w:b/>
                <w:bCs/>
              </w:rPr>
            </w:pPr>
            <w:r>
              <w:rPr>
                <w:rFonts w:ascii="Calibri" w:hAnsi="Calibri"/>
                <w:b/>
                <w:bCs/>
              </w:rPr>
              <w:t>-2.9</w:t>
            </w:r>
          </w:p>
        </w:tc>
        <w:tc>
          <w:tcPr>
            <w:tcW w:w="1945" w:type="dxa"/>
            <w:tcBorders>
              <w:top w:val="nil"/>
              <w:left w:val="nil"/>
              <w:bottom w:val="single" w:sz="2" w:space="0" w:color="333399"/>
              <w:right w:val="nil"/>
            </w:tcBorders>
            <w:vAlign w:val="center"/>
          </w:tcPr>
          <w:p w:rsidR="00D07CEE" w:rsidRPr="00D07CEE" w:rsidRDefault="00D07CEE" w:rsidP="00D07CEE">
            <w:pPr>
              <w:jc w:val="center"/>
              <w:rPr>
                <w:rFonts w:ascii="Calibri" w:hAnsi="Calibri" w:cs="Arial"/>
                <w:b/>
                <w:bCs/>
              </w:rPr>
            </w:pPr>
            <w:r>
              <w:rPr>
                <w:rFonts w:ascii="Calibri" w:hAnsi="Calibri"/>
                <w:b/>
                <w:bCs/>
              </w:rPr>
              <w:t>-2.6</w:t>
            </w:r>
          </w:p>
        </w:tc>
      </w:tr>
    </w:tbl>
    <w:p w:rsidR="00D07CEE" w:rsidRPr="00D07CEE" w:rsidRDefault="00D07CEE" w:rsidP="00D07CEE">
      <w:pPr>
        <w:keepNext/>
        <w:spacing w:before="120"/>
        <w:jc w:val="both"/>
        <w:rPr>
          <w:rFonts w:ascii="Calibri" w:hAnsi="Calibri"/>
          <w:bCs/>
        </w:rPr>
      </w:pPr>
      <w:r>
        <w:rPr>
          <w:rFonts w:ascii="Calibri" w:hAnsi="Calibri"/>
          <w:bCs/>
          <w:vertAlign w:val="superscript"/>
        </w:rPr>
        <w:t xml:space="preserve">        *)</w:t>
      </w:r>
      <w:r>
        <w:rPr>
          <w:rFonts w:ascii="Calibri" w:hAnsi="Calibri"/>
          <w:bCs/>
        </w:rPr>
        <w:t xml:space="preserve"> Export and import of goods are nominal values expressed in EUR.</w:t>
      </w:r>
    </w:p>
    <w:p w:rsidR="00D07CEE" w:rsidRPr="00D07CEE" w:rsidRDefault="00D07CEE" w:rsidP="00D07CEE">
      <w:pPr>
        <w:keepNext/>
        <w:spacing w:after="120"/>
        <w:ind w:firstLine="210"/>
        <w:jc w:val="both"/>
        <w:rPr>
          <w:rFonts w:ascii="Calibri" w:hAnsi="Calibri"/>
          <w:i/>
        </w:rPr>
      </w:pPr>
      <w:r>
        <w:rPr>
          <w:rFonts w:ascii="Calibri" w:hAnsi="Calibri"/>
          <w:i/>
        </w:rPr>
        <w:t>Source: National Commission of Strategy and Prognosis</w:t>
      </w:r>
    </w:p>
    <w:p w:rsidR="00D07CEE" w:rsidRPr="00D07CEE" w:rsidRDefault="00D07CEE" w:rsidP="00D07CEE">
      <w:pPr>
        <w:keepNext/>
        <w:spacing w:after="120"/>
        <w:jc w:val="both"/>
        <w:rPr>
          <w:rFonts w:ascii="Calibri" w:hAnsi="Calibri"/>
        </w:rPr>
      </w:pPr>
      <w:r>
        <w:rPr>
          <w:rFonts w:ascii="Calibri" w:hAnsi="Calibri"/>
        </w:rPr>
        <w:t xml:space="preserve">The level of the </w:t>
      </w:r>
      <w:r>
        <w:rPr>
          <w:rFonts w:ascii="Calibri" w:hAnsi="Calibri"/>
          <w:b/>
        </w:rPr>
        <w:t>current account deficit</w:t>
      </w:r>
      <w:r>
        <w:rPr>
          <w:rFonts w:ascii="Calibri" w:hAnsi="Calibri"/>
        </w:rPr>
        <w:t xml:space="preserve"> will be in 2019-2021 at values between 7.3 and 6.7 billion EUR, the weight in the GDP decreasing to 2.6% in 2021. </w:t>
      </w:r>
    </w:p>
    <w:p w:rsidR="00D07CEE" w:rsidRPr="00D07CEE" w:rsidRDefault="00D07CEE" w:rsidP="00D07CEE">
      <w:pPr>
        <w:keepNext/>
        <w:spacing w:before="120" w:after="120"/>
        <w:jc w:val="both"/>
        <w:rPr>
          <w:rFonts w:ascii="Calibri" w:hAnsi="Calibri" w:cs="Calibri"/>
        </w:rPr>
      </w:pPr>
      <w:r>
        <w:rPr>
          <w:rFonts w:ascii="Calibri" w:hAnsi="Calibri"/>
        </w:rPr>
        <w:t xml:space="preserve">For 2019, it is estimated that </w:t>
      </w:r>
      <w:r>
        <w:rPr>
          <w:rFonts w:ascii="Calibri" w:hAnsi="Calibri"/>
          <w:b/>
        </w:rPr>
        <w:t>inflation</w:t>
      </w:r>
      <w:r>
        <w:rPr>
          <w:rFonts w:ascii="Calibri" w:hAnsi="Calibri"/>
        </w:rPr>
        <w:t xml:space="preserve"> will be reduced as annual average, as well as at the end of the year, down to 2.8%. It is expected that inflation will continue its descending rhythm between 2020 -2021, reaching 2.3% in 2021 at the end of the year and 2.5% as annual average.</w:t>
      </w:r>
    </w:p>
    <w:p w:rsidR="00D07CEE" w:rsidRPr="00D07CEE" w:rsidRDefault="00D07CEE" w:rsidP="00D07CEE">
      <w:pPr>
        <w:keepNext/>
        <w:spacing w:before="120" w:after="120"/>
        <w:jc w:val="both"/>
        <w:rPr>
          <w:rFonts w:ascii="Calibri" w:hAnsi="Calibri" w:cs="Calibri"/>
        </w:rPr>
      </w:pPr>
      <w:r>
        <w:rPr>
          <w:rFonts w:ascii="Calibri" w:hAnsi="Calibri"/>
        </w:rPr>
        <w:t>The forecasts took into account the normal agricultural years and a slight increase for the international price of oil.</w:t>
      </w:r>
      <w:r>
        <w:rPr>
          <w:rFonts w:ascii="Calibri" w:hAnsi="Calibri"/>
        </w:rPr>
        <w:tab/>
      </w:r>
      <w:r>
        <w:rPr>
          <w:rFonts w:ascii="Calibri" w:hAnsi="Calibri"/>
        </w:rPr>
        <w:tab/>
      </w:r>
      <w:r>
        <w:rPr>
          <w:rFonts w:ascii="Calibri" w:hAnsi="Calibri"/>
        </w:rPr>
        <w:tab/>
      </w:r>
    </w:p>
    <w:p w:rsidR="00D07CEE" w:rsidRPr="00D07CEE" w:rsidRDefault="00D07CEE" w:rsidP="00D07CEE">
      <w:pPr>
        <w:keepNext/>
        <w:spacing w:before="120" w:after="120"/>
        <w:ind w:firstLine="708"/>
        <w:jc w:val="center"/>
        <w:rPr>
          <w:rFonts w:ascii="Calibri" w:hAnsi="Calibri" w:cs="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 %-</w:t>
      </w:r>
    </w:p>
    <w:tbl>
      <w:tblPr>
        <w:tblW w:w="9299" w:type="dxa"/>
        <w:jc w:val="center"/>
        <w:tblBorders>
          <w:top w:val="single" w:sz="24" w:space="0" w:color="auto"/>
          <w:bottom w:val="single" w:sz="24" w:space="0" w:color="auto"/>
        </w:tblBorders>
        <w:shd w:val="clear" w:color="auto" w:fill="FBFBFF"/>
        <w:tblLook w:val="0000" w:firstRow="0" w:lastRow="0" w:firstColumn="0" w:lastColumn="0" w:noHBand="0" w:noVBand="0"/>
      </w:tblPr>
      <w:tblGrid>
        <w:gridCol w:w="5846"/>
        <w:gridCol w:w="1282"/>
        <w:gridCol w:w="1181"/>
        <w:gridCol w:w="990"/>
      </w:tblGrid>
      <w:tr w:rsidR="00D07CEE" w:rsidRPr="00D07CEE" w:rsidTr="00BC1ED9">
        <w:trPr>
          <w:trHeight w:val="502"/>
          <w:tblHeader/>
          <w:jc w:val="center"/>
        </w:trPr>
        <w:tc>
          <w:tcPr>
            <w:tcW w:w="5846" w:type="dxa"/>
            <w:tcBorders>
              <w:top w:val="single" w:sz="2" w:space="0" w:color="333399"/>
              <w:bottom w:val="single" w:sz="2" w:space="0" w:color="333399"/>
            </w:tcBorders>
            <w:shd w:val="clear" w:color="auto" w:fill="99CCFF"/>
            <w:noWrap/>
            <w:vAlign w:val="center"/>
          </w:tcPr>
          <w:p w:rsidR="00D07CEE" w:rsidRPr="00D07CEE" w:rsidRDefault="00D07CEE" w:rsidP="00D07CEE">
            <w:pPr>
              <w:keepNext/>
              <w:spacing w:before="120" w:line="360" w:lineRule="auto"/>
              <w:jc w:val="both"/>
              <w:rPr>
                <w:rFonts w:ascii="Calibri" w:hAnsi="Calibri" w:cs="Calibri"/>
                <w:b/>
              </w:rPr>
            </w:pPr>
            <w:r>
              <w:rPr>
                <w:rFonts w:ascii="Calibri" w:hAnsi="Calibri"/>
                <w:b/>
              </w:rPr>
              <w:t xml:space="preserve">Inflation </w:t>
            </w:r>
          </w:p>
        </w:tc>
        <w:tc>
          <w:tcPr>
            <w:tcW w:w="1282" w:type="dxa"/>
            <w:tcBorders>
              <w:top w:val="single" w:sz="2" w:space="0" w:color="333399"/>
              <w:bottom w:val="single" w:sz="2" w:space="0" w:color="333399"/>
            </w:tcBorders>
            <w:shd w:val="clear" w:color="auto" w:fill="99CCFF"/>
            <w:noWrap/>
            <w:vAlign w:val="center"/>
          </w:tcPr>
          <w:p w:rsidR="00D07CEE" w:rsidRPr="00D07CEE" w:rsidRDefault="00D07CEE" w:rsidP="00D07CEE">
            <w:pPr>
              <w:keepNext/>
              <w:jc w:val="center"/>
              <w:rPr>
                <w:rFonts w:ascii="Calibri" w:hAnsi="Calibri" w:cs="Calibri"/>
                <w:b/>
              </w:rPr>
            </w:pPr>
            <w:r>
              <w:rPr>
                <w:rFonts w:ascii="Calibri" w:hAnsi="Calibri"/>
                <w:b/>
              </w:rPr>
              <w:t>2019</w:t>
            </w:r>
          </w:p>
        </w:tc>
        <w:tc>
          <w:tcPr>
            <w:tcW w:w="1181" w:type="dxa"/>
            <w:tcBorders>
              <w:top w:val="single" w:sz="2" w:space="0" w:color="333399"/>
              <w:bottom w:val="single" w:sz="2" w:space="0" w:color="333399"/>
            </w:tcBorders>
            <w:shd w:val="clear" w:color="auto" w:fill="99CCFF"/>
            <w:vAlign w:val="center"/>
          </w:tcPr>
          <w:p w:rsidR="00D07CEE" w:rsidRPr="00D07CEE" w:rsidRDefault="00D07CEE" w:rsidP="00D07CEE">
            <w:pPr>
              <w:keepNext/>
              <w:jc w:val="center"/>
              <w:rPr>
                <w:rFonts w:ascii="Calibri" w:hAnsi="Calibri" w:cs="Calibri"/>
                <w:b/>
              </w:rPr>
            </w:pPr>
            <w:r>
              <w:rPr>
                <w:rFonts w:ascii="Calibri" w:hAnsi="Calibri"/>
                <w:b/>
              </w:rPr>
              <w:t>2020</w:t>
            </w:r>
          </w:p>
        </w:tc>
        <w:tc>
          <w:tcPr>
            <w:tcW w:w="990" w:type="dxa"/>
            <w:tcBorders>
              <w:top w:val="single" w:sz="2" w:space="0" w:color="333399"/>
              <w:bottom w:val="single" w:sz="2" w:space="0" w:color="333399"/>
            </w:tcBorders>
            <w:shd w:val="clear" w:color="auto" w:fill="99CCFF"/>
            <w:vAlign w:val="center"/>
          </w:tcPr>
          <w:p w:rsidR="00D07CEE" w:rsidRPr="00D07CEE" w:rsidRDefault="00D07CEE" w:rsidP="00D07CEE">
            <w:pPr>
              <w:keepNext/>
              <w:jc w:val="center"/>
              <w:rPr>
                <w:rFonts w:ascii="Calibri" w:hAnsi="Calibri" w:cs="Calibri"/>
                <w:b/>
              </w:rPr>
            </w:pPr>
            <w:r>
              <w:rPr>
                <w:rFonts w:ascii="Calibri" w:hAnsi="Calibri"/>
                <w:b/>
              </w:rPr>
              <w:t>2021</w:t>
            </w:r>
          </w:p>
        </w:tc>
      </w:tr>
      <w:tr w:rsidR="00D07CEE" w:rsidRPr="00D07CEE" w:rsidTr="00BC1ED9">
        <w:trPr>
          <w:trHeight w:val="422"/>
          <w:jc w:val="center"/>
        </w:trPr>
        <w:tc>
          <w:tcPr>
            <w:tcW w:w="5846" w:type="dxa"/>
            <w:tcBorders>
              <w:top w:val="single" w:sz="2" w:space="0" w:color="333399"/>
              <w:left w:val="nil"/>
              <w:bottom w:val="nil"/>
              <w:right w:val="nil"/>
            </w:tcBorders>
            <w:shd w:val="clear" w:color="auto" w:fill="auto"/>
            <w:noWrap/>
            <w:vAlign w:val="center"/>
          </w:tcPr>
          <w:p w:rsidR="00D07CEE" w:rsidRPr="00D07CEE" w:rsidRDefault="00D07CEE" w:rsidP="00D07CEE">
            <w:pPr>
              <w:keepNext/>
              <w:jc w:val="both"/>
              <w:rPr>
                <w:rFonts w:ascii="Calibri" w:hAnsi="Calibri" w:cs="Calibri"/>
              </w:rPr>
            </w:pPr>
            <w:r>
              <w:rPr>
                <w:rFonts w:ascii="Calibri" w:hAnsi="Calibri"/>
              </w:rPr>
              <w:t xml:space="preserve">   - end of year</w:t>
            </w:r>
          </w:p>
        </w:tc>
        <w:tc>
          <w:tcPr>
            <w:tcW w:w="1282" w:type="dxa"/>
            <w:tcBorders>
              <w:top w:val="single" w:sz="2" w:space="0" w:color="333399"/>
              <w:left w:val="nil"/>
              <w:bottom w:val="nil"/>
              <w:right w:val="nil"/>
            </w:tcBorders>
            <w:shd w:val="clear" w:color="auto" w:fill="auto"/>
            <w:noWrap/>
            <w:vAlign w:val="center"/>
          </w:tcPr>
          <w:p w:rsidR="00D07CEE" w:rsidRPr="00D07CEE" w:rsidRDefault="00D07CEE" w:rsidP="00D07CEE">
            <w:pPr>
              <w:keepNext/>
              <w:jc w:val="center"/>
              <w:rPr>
                <w:rFonts w:ascii="Calibri" w:hAnsi="Calibri" w:cs="Calibri"/>
              </w:rPr>
            </w:pPr>
            <w:r>
              <w:rPr>
                <w:rFonts w:ascii="Calibri" w:hAnsi="Calibri"/>
              </w:rPr>
              <w:t>2.8</w:t>
            </w:r>
          </w:p>
        </w:tc>
        <w:tc>
          <w:tcPr>
            <w:tcW w:w="1181" w:type="dxa"/>
            <w:tcBorders>
              <w:top w:val="single" w:sz="2" w:space="0" w:color="333399"/>
              <w:left w:val="nil"/>
              <w:bottom w:val="nil"/>
              <w:right w:val="nil"/>
            </w:tcBorders>
            <w:shd w:val="clear" w:color="auto" w:fill="auto"/>
            <w:vAlign w:val="center"/>
          </w:tcPr>
          <w:p w:rsidR="00D07CEE" w:rsidRPr="00D07CEE" w:rsidRDefault="00D07CEE" w:rsidP="00D07CEE">
            <w:pPr>
              <w:keepNext/>
              <w:jc w:val="center"/>
              <w:rPr>
                <w:rFonts w:ascii="Calibri" w:hAnsi="Calibri" w:cs="Calibri"/>
              </w:rPr>
            </w:pPr>
            <w:r>
              <w:rPr>
                <w:rFonts w:ascii="Calibri" w:hAnsi="Calibri"/>
              </w:rPr>
              <w:t>2.5</w:t>
            </w:r>
          </w:p>
        </w:tc>
        <w:tc>
          <w:tcPr>
            <w:tcW w:w="990" w:type="dxa"/>
            <w:tcBorders>
              <w:top w:val="single" w:sz="2" w:space="0" w:color="333399"/>
              <w:left w:val="nil"/>
              <w:bottom w:val="nil"/>
              <w:right w:val="nil"/>
            </w:tcBorders>
            <w:vAlign w:val="center"/>
          </w:tcPr>
          <w:p w:rsidR="00D07CEE" w:rsidRPr="00D07CEE" w:rsidRDefault="00D07CEE" w:rsidP="00D07CEE">
            <w:pPr>
              <w:keepNext/>
              <w:jc w:val="center"/>
              <w:rPr>
                <w:rFonts w:ascii="Calibri" w:hAnsi="Calibri" w:cs="Calibri"/>
              </w:rPr>
            </w:pPr>
            <w:r>
              <w:rPr>
                <w:rFonts w:ascii="Calibri" w:hAnsi="Calibri"/>
              </w:rPr>
              <w:t>2.3</w:t>
            </w:r>
          </w:p>
        </w:tc>
      </w:tr>
      <w:tr w:rsidR="00D07CEE" w:rsidRPr="00D07CEE" w:rsidTr="00BC1ED9">
        <w:trPr>
          <w:trHeight w:val="333"/>
          <w:jc w:val="center"/>
        </w:trPr>
        <w:tc>
          <w:tcPr>
            <w:tcW w:w="5846" w:type="dxa"/>
            <w:tcBorders>
              <w:top w:val="nil"/>
              <w:left w:val="nil"/>
              <w:bottom w:val="single" w:sz="2" w:space="0" w:color="333399"/>
              <w:right w:val="nil"/>
            </w:tcBorders>
            <w:shd w:val="clear" w:color="auto" w:fill="auto"/>
            <w:noWrap/>
            <w:vAlign w:val="center"/>
          </w:tcPr>
          <w:p w:rsidR="00D07CEE" w:rsidRPr="00D07CEE" w:rsidRDefault="00D07CEE" w:rsidP="00D07CEE">
            <w:pPr>
              <w:keepNext/>
              <w:jc w:val="both"/>
              <w:rPr>
                <w:rFonts w:ascii="Calibri" w:hAnsi="Calibri" w:cs="Calibri"/>
              </w:rPr>
            </w:pPr>
            <w:r>
              <w:rPr>
                <w:rFonts w:ascii="Calibri" w:hAnsi="Calibri"/>
              </w:rPr>
              <w:t xml:space="preserve">   - annual average</w:t>
            </w:r>
          </w:p>
        </w:tc>
        <w:tc>
          <w:tcPr>
            <w:tcW w:w="1282" w:type="dxa"/>
            <w:tcBorders>
              <w:top w:val="nil"/>
              <w:left w:val="nil"/>
              <w:bottom w:val="single" w:sz="2" w:space="0" w:color="333399"/>
              <w:right w:val="nil"/>
            </w:tcBorders>
            <w:shd w:val="clear" w:color="auto" w:fill="auto"/>
            <w:noWrap/>
            <w:vAlign w:val="center"/>
          </w:tcPr>
          <w:p w:rsidR="00D07CEE" w:rsidRPr="00D07CEE" w:rsidRDefault="00D07CEE" w:rsidP="00D07CEE">
            <w:pPr>
              <w:keepNext/>
              <w:jc w:val="center"/>
              <w:rPr>
                <w:rFonts w:ascii="Calibri" w:hAnsi="Calibri" w:cs="Calibri"/>
              </w:rPr>
            </w:pPr>
            <w:r>
              <w:rPr>
                <w:rFonts w:ascii="Calibri" w:hAnsi="Calibri"/>
              </w:rPr>
              <w:t>2.8</w:t>
            </w:r>
          </w:p>
        </w:tc>
        <w:tc>
          <w:tcPr>
            <w:tcW w:w="1181" w:type="dxa"/>
            <w:tcBorders>
              <w:top w:val="nil"/>
              <w:left w:val="nil"/>
              <w:bottom w:val="single" w:sz="2" w:space="0" w:color="333399"/>
              <w:right w:val="nil"/>
            </w:tcBorders>
            <w:shd w:val="clear" w:color="auto" w:fill="auto"/>
            <w:vAlign w:val="center"/>
          </w:tcPr>
          <w:p w:rsidR="00D07CEE" w:rsidRPr="00D07CEE" w:rsidRDefault="00D07CEE" w:rsidP="00D07CEE">
            <w:pPr>
              <w:keepNext/>
              <w:jc w:val="center"/>
              <w:rPr>
                <w:rFonts w:ascii="Calibri" w:hAnsi="Calibri" w:cs="Calibri"/>
              </w:rPr>
            </w:pPr>
            <w:r>
              <w:rPr>
                <w:rFonts w:ascii="Calibri" w:hAnsi="Calibri"/>
              </w:rPr>
              <w:t>2.6</w:t>
            </w:r>
          </w:p>
        </w:tc>
        <w:tc>
          <w:tcPr>
            <w:tcW w:w="990" w:type="dxa"/>
            <w:tcBorders>
              <w:top w:val="nil"/>
              <w:left w:val="nil"/>
              <w:bottom w:val="single" w:sz="2" w:space="0" w:color="333399"/>
              <w:right w:val="nil"/>
            </w:tcBorders>
            <w:vAlign w:val="center"/>
          </w:tcPr>
          <w:p w:rsidR="00D07CEE" w:rsidRPr="00D07CEE" w:rsidRDefault="00D07CEE" w:rsidP="00D07CEE">
            <w:pPr>
              <w:keepNext/>
              <w:jc w:val="center"/>
              <w:rPr>
                <w:rFonts w:ascii="Calibri" w:hAnsi="Calibri" w:cs="Calibri"/>
              </w:rPr>
            </w:pPr>
            <w:r>
              <w:rPr>
                <w:rFonts w:ascii="Calibri" w:hAnsi="Calibri"/>
              </w:rPr>
              <w:t>2.5</w:t>
            </w:r>
          </w:p>
        </w:tc>
      </w:tr>
    </w:tbl>
    <w:p w:rsidR="00D07CEE" w:rsidRPr="00D07CEE" w:rsidRDefault="00D07CEE" w:rsidP="00D07CEE">
      <w:pPr>
        <w:keepNext/>
        <w:ind w:firstLine="450"/>
        <w:jc w:val="both"/>
        <w:rPr>
          <w:rFonts w:ascii="Calibri" w:hAnsi="Calibri" w:cs="Calibri"/>
          <w:lang w:val="ro-RO"/>
        </w:rPr>
      </w:pPr>
    </w:p>
    <w:p w:rsidR="00D07CEE" w:rsidRPr="00D07CEE" w:rsidRDefault="00D07CEE" w:rsidP="00D07CEE">
      <w:pPr>
        <w:keepNext/>
        <w:jc w:val="both"/>
        <w:rPr>
          <w:rFonts w:ascii="Calibri" w:hAnsi="Calibri" w:cs="Arial"/>
          <w:b/>
          <w:lang w:val="ro-RO"/>
        </w:rPr>
      </w:pPr>
    </w:p>
    <w:p w:rsidR="00884E46" w:rsidRPr="00C86702" w:rsidRDefault="00884E46" w:rsidP="00743BC3">
      <w:pPr>
        <w:shd w:val="clear" w:color="auto" w:fill="9CC2E5" w:themeFill="accent1" w:themeFillTint="99"/>
        <w:autoSpaceDE w:val="0"/>
        <w:autoSpaceDN w:val="0"/>
        <w:adjustRightInd w:val="0"/>
        <w:spacing w:before="120" w:line="276" w:lineRule="auto"/>
        <w:jc w:val="both"/>
        <w:rPr>
          <w:rFonts w:ascii="Calibri" w:hAnsi="Calibri" w:cs="Arial"/>
          <w:b/>
          <w:color w:val="002060"/>
        </w:rPr>
      </w:pPr>
      <w:r>
        <w:rPr>
          <w:rFonts w:ascii="Calibri" w:hAnsi="Calibri"/>
          <w:b/>
          <w:color w:val="002060"/>
        </w:rPr>
        <w:t>4. The fiscal and budgetary framework for 2019-2021</w:t>
      </w:r>
    </w:p>
    <w:p w:rsidR="0002401E" w:rsidRDefault="0002401E" w:rsidP="0002401E">
      <w:pPr>
        <w:jc w:val="both"/>
        <w:rPr>
          <w:rFonts w:ascii="Calibri" w:hAnsi="Calibri" w:cs="Arial"/>
        </w:rPr>
      </w:pPr>
    </w:p>
    <w:p w:rsidR="0002401E" w:rsidRPr="00E33B63" w:rsidRDefault="000A2B70" w:rsidP="000A2B70">
      <w:pPr>
        <w:shd w:val="clear" w:color="auto" w:fill="9CC2E5" w:themeFill="accent1" w:themeFillTint="99"/>
        <w:autoSpaceDE w:val="0"/>
        <w:autoSpaceDN w:val="0"/>
        <w:adjustRightInd w:val="0"/>
        <w:spacing w:before="120" w:line="276" w:lineRule="auto"/>
        <w:jc w:val="both"/>
        <w:rPr>
          <w:rFonts w:ascii="Calibri" w:hAnsi="Calibri" w:cs="Arial"/>
          <w:shd w:val="clear" w:color="auto" w:fill="FFFFFF"/>
        </w:rPr>
      </w:pPr>
      <w:r>
        <w:rPr>
          <w:rFonts w:ascii="Calibri" w:hAnsi="Calibri"/>
          <w:b/>
          <w:bCs/>
          <w:color w:val="002060"/>
        </w:rPr>
        <w:t>4.1. Achievements in 2018 relative to the measures undertaken through the previous strategy</w:t>
      </w:r>
    </w:p>
    <w:p w:rsidR="002D6C69" w:rsidRPr="002D6C69" w:rsidRDefault="002D6C69" w:rsidP="002D6C69">
      <w:pPr>
        <w:suppressAutoHyphens/>
        <w:jc w:val="both"/>
        <w:rPr>
          <w:rFonts w:ascii="Calibri" w:hAnsi="Calibri"/>
          <w:color w:val="000000" w:themeColor="text1"/>
        </w:rPr>
      </w:pPr>
      <w:r>
        <w:rPr>
          <w:rFonts w:ascii="Calibri" w:hAnsi="Calibri"/>
          <w:b/>
          <w:bCs/>
          <w:color w:val="000000" w:themeColor="text1"/>
          <w:u w:val="single"/>
        </w:rPr>
        <w:t>In the field of direct taxes</w:t>
      </w:r>
    </w:p>
    <w:p w:rsidR="002D6C69" w:rsidRPr="002D6C69" w:rsidRDefault="002D6C69" w:rsidP="002D6C69">
      <w:pPr>
        <w:suppressAutoHyphens/>
        <w:jc w:val="both"/>
        <w:rPr>
          <w:rFonts w:ascii="Calibri" w:hAnsi="Calibri"/>
          <w:color w:val="000000" w:themeColor="text1"/>
        </w:rPr>
      </w:pPr>
      <w:r>
        <w:rPr>
          <w:rFonts w:ascii="Calibri" w:hAnsi="Calibri"/>
          <w:b/>
          <w:bCs/>
          <w:color w:val="000000" w:themeColor="text1"/>
        </w:rPr>
        <w:t>Corporate income tax</w:t>
      </w:r>
    </w:p>
    <w:p w:rsidR="002D6C69" w:rsidRPr="002D6C69" w:rsidRDefault="002D6C69" w:rsidP="00565476">
      <w:pPr>
        <w:numPr>
          <w:ilvl w:val="0"/>
          <w:numId w:val="216"/>
        </w:numPr>
        <w:suppressAutoHyphens/>
        <w:jc w:val="both"/>
        <w:rPr>
          <w:rFonts w:ascii="Calibri" w:hAnsi="Calibri"/>
          <w:color w:val="000000" w:themeColor="text1"/>
        </w:rPr>
      </w:pPr>
      <w:r>
        <w:rPr>
          <w:rFonts w:ascii="Calibri" w:hAnsi="Calibri"/>
          <w:color w:val="000000" w:themeColor="text1"/>
        </w:rPr>
        <w:t xml:space="preserve">As of April 26, 2018 were promoted measures to fight the decrease of the fiscal result through debt assignments. Thus, when calculating corporate income tax, </w:t>
      </w:r>
      <w:r>
        <w:rPr>
          <w:rFonts w:ascii="Calibri" w:hAnsi="Calibri"/>
          <w:i/>
          <w:color w:val="000000" w:themeColor="text1"/>
        </w:rPr>
        <w:t>in the case of assigned debts, the net loss representing the difference between the assignment price and the value of the assigned receivable is deductible within the limit of a ceiling of 30% of the value of this loss.</w:t>
      </w:r>
    </w:p>
    <w:p w:rsidR="002D6C69" w:rsidRPr="002D6C69" w:rsidRDefault="002D6C69" w:rsidP="00565476">
      <w:pPr>
        <w:numPr>
          <w:ilvl w:val="0"/>
          <w:numId w:val="216"/>
        </w:numPr>
        <w:suppressAutoHyphens/>
        <w:ind w:right="132"/>
        <w:jc w:val="both"/>
        <w:rPr>
          <w:rFonts w:ascii="Calibri" w:hAnsi="Calibri" w:cs="Arial"/>
          <w:color w:val="000000" w:themeColor="text1"/>
        </w:rPr>
      </w:pPr>
      <w:r>
        <w:rPr>
          <w:rFonts w:ascii="Calibri" w:hAnsi="Calibri"/>
          <w:color w:val="000000" w:themeColor="text1"/>
        </w:rPr>
        <w:t>As of April 1, 2018 was established the obligation for the taxpayers who make sponsorship/patronage actions, or give private scholarships and who deduct these amounts from the corporate income tax to declare the beneficiaries of those amounts, in order to monitor and control these amounts, so as to ensure that the amounts received by the beneficiaries are spent only for the purpose for which they were incorporated and for the purpose for which they were allocated, as applicable.</w:t>
      </w:r>
    </w:p>
    <w:p w:rsidR="002D6C69" w:rsidRPr="002D6C69" w:rsidRDefault="002D6C69" w:rsidP="00565476">
      <w:pPr>
        <w:numPr>
          <w:ilvl w:val="0"/>
          <w:numId w:val="216"/>
        </w:numPr>
        <w:suppressAutoHyphens/>
        <w:ind w:right="132"/>
        <w:jc w:val="both"/>
        <w:rPr>
          <w:rFonts w:ascii="Calibri" w:hAnsi="Calibri"/>
          <w:color w:val="000000" w:themeColor="text1"/>
        </w:rPr>
      </w:pPr>
      <w:r>
        <w:rPr>
          <w:rFonts w:ascii="Calibri" w:hAnsi="Calibri"/>
          <w:color w:val="000000" w:themeColor="text1"/>
        </w:rPr>
        <w:t>In the case of sponsorship made to entities which are non-profit legal entities, including cult units, as of April 1, 2019 the amounts corresponding thereto shall be deducted from the corporate income tax owed if the beneficiary of the sponsorship is registered on the date of conclusion of the agreement in the Register of cult entities/units for which fiscal deductions are given.</w:t>
      </w:r>
    </w:p>
    <w:p w:rsidR="002D6C69" w:rsidRPr="002D6C69" w:rsidRDefault="002D6C69" w:rsidP="00565476">
      <w:pPr>
        <w:numPr>
          <w:ilvl w:val="0"/>
          <w:numId w:val="216"/>
        </w:numPr>
        <w:suppressAutoHyphens/>
        <w:ind w:right="132"/>
        <w:jc w:val="both"/>
        <w:rPr>
          <w:rFonts w:ascii="Calibri" w:hAnsi="Calibri"/>
          <w:color w:val="000000" w:themeColor="text1"/>
        </w:rPr>
      </w:pPr>
      <w:r>
        <w:rPr>
          <w:rFonts w:ascii="Calibri" w:hAnsi="Calibri"/>
          <w:color w:val="000000" w:themeColor="text1"/>
        </w:rPr>
        <w:t>In order to deduct the excess costs of indebtedness when calculating the fiscal result, in accordance with the provisions of Law no. 30/2019 approving GEO no. 25/2018 it was increased the deductible ceiling from EUR 200,000 to EUR 1,000,000, as well as the level of deduction according to EBITDA from 10% to 30%.</w:t>
      </w:r>
    </w:p>
    <w:p w:rsidR="002D6C69" w:rsidRPr="002D6C69" w:rsidRDefault="002D6C69" w:rsidP="002D6C69">
      <w:pPr>
        <w:suppressAutoHyphens/>
        <w:ind w:right="132"/>
        <w:jc w:val="both"/>
        <w:rPr>
          <w:rFonts w:ascii="Calibri" w:hAnsi="Calibri"/>
          <w:color w:val="000000" w:themeColor="text1"/>
          <w:lang w:val="ro-RO" w:eastAsia="zh-CN"/>
        </w:rPr>
      </w:pPr>
    </w:p>
    <w:p w:rsidR="002D6C69" w:rsidRPr="002D6C69" w:rsidRDefault="002D6C69" w:rsidP="002D6C69">
      <w:pPr>
        <w:suppressAutoHyphens/>
        <w:jc w:val="both"/>
        <w:rPr>
          <w:rFonts w:ascii="Calibri" w:hAnsi="Calibri"/>
          <w:color w:val="000000" w:themeColor="text1"/>
        </w:rPr>
      </w:pPr>
      <w:r>
        <w:rPr>
          <w:rFonts w:ascii="Calibri" w:hAnsi="Calibri"/>
          <w:b/>
          <w:bCs/>
          <w:color w:val="000000" w:themeColor="text1"/>
        </w:rPr>
        <w:t>Tax on the income of microenterprises</w:t>
      </w:r>
    </w:p>
    <w:p w:rsidR="002D6C69" w:rsidRPr="002D6C69" w:rsidRDefault="002D6C69" w:rsidP="002D6C69">
      <w:pPr>
        <w:widowControl w:val="0"/>
        <w:tabs>
          <w:tab w:val="left" w:pos="21"/>
        </w:tabs>
        <w:suppressAutoHyphens/>
        <w:jc w:val="both"/>
        <w:rPr>
          <w:rFonts w:ascii="Calibri" w:eastAsia="SimSun" w:hAnsi="Calibri" w:cs="Arial"/>
          <w:b/>
          <w:color w:val="000000" w:themeColor="text1"/>
        </w:rPr>
      </w:pPr>
      <w:r>
        <w:rPr>
          <w:rFonts w:ascii="Calibri" w:hAnsi="Calibri"/>
          <w:b/>
          <w:color w:val="000000" w:themeColor="text1"/>
        </w:rPr>
        <w:t>Starting with April 01, 2018:</w:t>
      </w:r>
    </w:p>
    <w:p w:rsidR="002D6C69" w:rsidRPr="002D6C69" w:rsidRDefault="002D6C69" w:rsidP="002D6C69">
      <w:pPr>
        <w:widowControl w:val="0"/>
        <w:tabs>
          <w:tab w:val="left" w:pos="21"/>
        </w:tabs>
        <w:suppressAutoHyphens/>
        <w:jc w:val="both"/>
        <w:rPr>
          <w:rFonts w:ascii="Calibri" w:hAnsi="Calibri"/>
          <w:color w:val="000000" w:themeColor="text1"/>
          <w:lang w:val="fr-BE" w:eastAsia="zh-CN"/>
        </w:rPr>
      </w:pPr>
    </w:p>
    <w:p w:rsidR="002D6C69" w:rsidRPr="002D6C69" w:rsidRDefault="002D6C69" w:rsidP="00565476">
      <w:pPr>
        <w:widowControl w:val="0"/>
        <w:numPr>
          <w:ilvl w:val="0"/>
          <w:numId w:val="217"/>
        </w:numPr>
        <w:tabs>
          <w:tab w:val="left" w:pos="21"/>
        </w:tabs>
        <w:suppressAutoHyphens/>
        <w:jc w:val="both"/>
        <w:rPr>
          <w:rFonts w:ascii="Calibri" w:hAnsi="Calibri"/>
          <w:color w:val="000000" w:themeColor="text1"/>
        </w:rPr>
      </w:pPr>
      <w:r>
        <w:rPr>
          <w:rFonts w:ascii="Calibri" w:hAnsi="Calibri"/>
          <w:color w:val="000000" w:themeColor="text1"/>
        </w:rPr>
        <w:t>It is established the fiscal rule according to which microenterprises may opt to pay the corporate income tax if they fulfill two requirements:</w:t>
      </w:r>
    </w:p>
    <w:p w:rsidR="002D6C69" w:rsidRPr="002D6C69" w:rsidRDefault="002D6C69" w:rsidP="00565476">
      <w:pPr>
        <w:widowControl w:val="0"/>
        <w:numPr>
          <w:ilvl w:val="0"/>
          <w:numId w:val="218"/>
        </w:numPr>
        <w:tabs>
          <w:tab w:val="left" w:pos="446"/>
        </w:tabs>
        <w:suppressAutoHyphens/>
        <w:ind w:right="52"/>
        <w:jc w:val="both"/>
        <w:rPr>
          <w:rFonts w:ascii="Calibri" w:hAnsi="Calibri"/>
          <w:color w:val="000000" w:themeColor="text1"/>
        </w:rPr>
      </w:pPr>
      <w:r>
        <w:rPr>
          <w:rFonts w:ascii="Calibri" w:hAnsi="Calibri"/>
          <w:bCs/>
          <w:color w:val="000000" w:themeColor="text1"/>
        </w:rPr>
        <w:t xml:space="preserve">they have a level of the minimum share capital of Lei 45,000 (approx. EUR 10,000) and </w:t>
      </w:r>
    </w:p>
    <w:p w:rsidR="002D6C69" w:rsidRPr="002D6C69" w:rsidRDefault="002D6C69" w:rsidP="00565476">
      <w:pPr>
        <w:widowControl w:val="0"/>
        <w:numPr>
          <w:ilvl w:val="0"/>
          <w:numId w:val="218"/>
        </w:numPr>
        <w:tabs>
          <w:tab w:val="left" w:pos="465"/>
        </w:tabs>
        <w:suppressAutoHyphens/>
        <w:ind w:right="52"/>
        <w:jc w:val="both"/>
        <w:rPr>
          <w:rFonts w:ascii="Calibri" w:hAnsi="Calibri"/>
          <w:color w:val="000000" w:themeColor="text1"/>
        </w:rPr>
      </w:pPr>
      <w:r>
        <w:rPr>
          <w:rFonts w:ascii="Calibri" w:hAnsi="Calibri"/>
          <w:color w:val="000000" w:themeColor="text1"/>
        </w:rPr>
        <w:t>they have at least 2 employees.</w:t>
      </w:r>
    </w:p>
    <w:p w:rsidR="002D6C69" w:rsidRPr="002D6C69" w:rsidRDefault="002D6C69" w:rsidP="002D6C69">
      <w:pPr>
        <w:widowControl w:val="0"/>
        <w:suppressAutoHyphens/>
        <w:ind w:left="720"/>
        <w:jc w:val="both"/>
        <w:rPr>
          <w:rFonts w:ascii="Calibri" w:hAnsi="Calibri"/>
          <w:color w:val="000000" w:themeColor="text1"/>
        </w:rPr>
      </w:pPr>
      <w:r>
        <w:rPr>
          <w:rFonts w:ascii="Calibri" w:hAnsi="Calibri"/>
          <w:color w:val="000000" w:themeColor="text1"/>
        </w:rPr>
        <w:t>The measure targeted the stimulation of investments and entrepreneurship, through the creation of an attractive business environment for small and medium enterprises, with cumulative fulfillment of certain requirements related to the value of the share capital and the number of employees.</w:t>
      </w:r>
    </w:p>
    <w:p w:rsidR="002D6C69" w:rsidRPr="002D6C69" w:rsidRDefault="002D6C69" w:rsidP="00565476">
      <w:pPr>
        <w:widowControl w:val="0"/>
        <w:numPr>
          <w:ilvl w:val="0"/>
          <w:numId w:val="217"/>
        </w:numPr>
        <w:suppressAutoHyphens/>
        <w:jc w:val="both"/>
        <w:rPr>
          <w:rFonts w:ascii="Calibri" w:hAnsi="Calibri"/>
          <w:color w:val="000000" w:themeColor="text1"/>
        </w:rPr>
      </w:pPr>
      <w:r>
        <w:rPr>
          <w:rFonts w:ascii="Calibri" w:hAnsi="Calibri"/>
          <w:b/>
          <w:color w:val="000000" w:themeColor="text1"/>
        </w:rPr>
        <w:t xml:space="preserve">In order to support the social field </w:t>
      </w:r>
      <w:r>
        <w:rPr>
          <w:rFonts w:ascii="Calibri" w:hAnsi="Calibri"/>
          <w:color w:val="000000" w:themeColor="text1"/>
        </w:rPr>
        <w:t xml:space="preserve">was established the measure which allows microenterprises to deduct from the tax owed the sponsorship expenditures made </w:t>
      </w:r>
      <w:r>
        <w:rPr>
          <w:rFonts w:ascii="Calibri" w:hAnsi="Calibri"/>
          <w:color w:val="000000" w:themeColor="text1"/>
          <w:shd w:val="clear" w:color="auto" w:fill="FFFFFF"/>
        </w:rPr>
        <w:t>to support non-profit entities and cult units, which are providers of services certified with at least one social service licensed under the law,</w:t>
      </w:r>
      <w:r>
        <w:rPr>
          <w:rFonts w:ascii="Calibri" w:hAnsi="Calibri"/>
          <w:color w:val="000000" w:themeColor="text1"/>
        </w:rPr>
        <w:t xml:space="preserve"> within the limit of the value representing 20% of the tax.</w:t>
      </w:r>
    </w:p>
    <w:p w:rsidR="002D6C69" w:rsidRPr="002D6C69" w:rsidRDefault="002D6C69" w:rsidP="002D6C69">
      <w:pPr>
        <w:widowControl w:val="0"/>
        <w:suppressAutoHyphens/>
        <w:ind w:left="720"/>
        <w:jc w:val="both"/>
        <w:rPr>
          <w:rFonts w:ascii="Calibri" w:eastAsia="SimSun" w:hAnsi="Calibri" w:cs="Arial"/>
          <w:color w:val="000000" w:themeColor="text1"/>
        </w:rPr>
      </w:pPr>
      <w:r>
        <w:rPr>
          <w:rFonts w:ascii="Calibri" w:hAnsi="Calibri"/>
          <w:color w:val="000000" w:themeColor="text1"/>
        </w:rPr>
        <w:t>In order to monitor the use of these budgetary financing resources was established the obligation to declare the beneficiaries of those amounts. As of April 1, 2019, the amounts corresponding to the expenditures for sponsorships shall be deducted from the tax on the income of microenterprises only if the beneficiary of the sponsorship is registered on the date of conclusion of the agreement in the Register of cult entities/units for which fiscal deductions are given.</w:t>
      </w:r>
    </w:p>
    <w:p w:rsidR="002D6C69" w:rsidRDefault="002D6C69" w:rsidP="002D6C69">
      <w:pPr>
        <w:widowControl w:val="0"/>
        <w:suppressAutoHyphens/>
        <w:jc w:val="both"/>
        <w:rPr>
          <w:rFonts w:ascii="Calibri" w:hAnsi="Calibri"/>
          <w:color w:val="000000" w:themeColor="text1"/>
          <w:lang w:val="ro-RO" w:eastAsia="zh-CN"/>
        </w:rPr>
      </w:pPr>
    </w:p>
    <w:p w:rsidR="00E021A7" w:rsidRPr="002D6C69" w:rsidRDefault="00E021A7" w:rsidP="002D6C69">
      <w:pPr>
        <w:widowControl w:val="0"/>
        <w:suppressAutoHyphens/>
        <w:jc w:val="both"/>
        <w:rPr>
          <w:rFonts w:ascii="Calibri" w:hAnsi="Calibri"/>
          <w:color w:val="000000" w:themeColor="text1"/>
          <w:lang w:val="ro-RO" w:eastAsia="zh-CN"/>
        </w:rPr>
      </w:pPr>
    </w:p>
    <w:p w:rsidR="002D6C69" w:rsidRPr="002D6C69" w:rsidRDefault="002D6C69" w:rsidP="002D6C69">
      <w:pPr>
        <w:suppressAutoHyphens/>
        <w:jc w:val="both"/>
        <w:rPr>
          <w:rFonts w:ascii="Calibri" w:eastAsia="Arial" w:hAnsi="Calibri" w:cs="Arial"/>
          <w:b/>
          <w:color w:val="000000" w:themeColor="text1"/>
        </w:rPr>
      </w:pPr>
      <w:r>
        <w:rPr>
          <w:rFonts w:ascii="Calibri" w:hAnsi="Calibri"/>
          <w:b/>
          <w:color w:val="000000" w:themeColor="text1"/>
        </w:rPr>
        <w:t>Other direct taxes in the field of natural resources for 2018:</w:t>
      </w:r>
    </w:p>
    <w:p w:rsidR="002D6C69" w:rsidRPr="002D6C69" w:rsidRDefault="002D6C69" w:rsidP="002D6C69">
      <w:pPr>
        <w:suppressAutoHyphens/>
        <w:jc w:val="both"/>
        <w:rPr>
          <w:rFonts w:ascii="Calibri" w:hAnsi="Calibri"/>
          <w:color w:val="000000" w:themeColor="text1"/>
          <w:lang w:val="fr-BE" w:eastAsia="zh-CN"/>
        </w:rPr>
      </w:pPr>
    </w:p>
    <w:p w:rsidR="002D6C69" w:rsidRPr="002D6C69" w:rsidRDefault="002D6C69" w:rsidP="00565476">
      <w:pPr>
        <w:numPr>
          <w:ilvl w:val="0"/>
          <w:numId w:val="219"/>
        </w:numPr>
        <w:suppressAutoHyphens/>
        <w:jc w:val="both"/>
        <w:rPr>
          <w:rFonts w:ascii="Calibri" w:eastAsia="Arial" w:hAnsi="Calibri" w:cs="Arial"/>
          <w:color w:val="000000" w:themeColor="text1"/>
        </w:rPr>
      </w:pPr>
      <w:r>
        <w:rPr>
          <w:rFonts w:ascii="Calibri" w:hAnsi="Calibri"/>
          <w:color w:val="000000" w:themeColor="text1"/>
        </w:rPr>
        <w:t>The term in Government Ordinance no. 6/2013 establishing certain special measures for taxation of the exploration of natural resources, other than natural gas, approved as amended and supplemented through Law no. 261/2013, as subsequently amended, was postponed. Through Government Emergency Ordinance no. 114/2018 was postponed the enforcement term for the period 2019-2021;</w:t>
      </w:r>
    </w:p>
    <w:p w:rsidR="002D6C69" w:rsidRPr="002D6C69" w:rsidRDefault="002D6C69" w:rsidP="00565476">
      <w:pPr>
        <w:numPr>
          <w:ilvl w:val="0"/>
          <w:numId w:val="219"/>
        </w:numPr>
        <w:suppressAutoHyphens/>
        <w:jc w:val="both"/>
        <w:rPr>
          <w:rFonts w:ascii="Calibri" w:hAnsi="Calibri"/>
          <w:color w:val="000000" w:themeColor="text1"/>
        </w:rPr>
      </w:pPr>
      <w:r>
        <w:rPr>
          <w:rFonts w:ascii="Calibri" w:hAnsi="Calibri"/>
          <w:color w:val="000000" w:themeColor="text1"/>
        </w:rPr>
        <w:t xml:space="preserve">Through its approval as law, </w:t>
      </w:r>
      <w:r>
        <w:rPr>
          <w:rFonts w:ascii="Calibri" w:hAnsi="Calibri"/>
          <w:i/>
          <w:color w:val="000000" w:themeColor="text1"/>
        </w:rPr>
        <w:t>Government Ordinance no. 7/2013 on the establishment of the tax on additional revenues obtained as a result of the deregulation of prices from the natural gas sector, as subsequently amended and supplemented</w:t>
      </w:r>
      <w:r>
        <w:rPr>
          <w:rFonts w:ascii="Calibri" w:hAnsi="Calibri"/>
          <w:color w:val="000000" w:themeColor="text1"/>
        </w:rPr>
        <w:t>, establishes a permanent tax for the operators in this activity sector.</w:t>
      </w:r>
    </w:p>
    <w:p w:rsidR="002D6C69" w:rsidRPr="002D6C69" w:rsidRDefault="002D6C69" w:rsidP="00565476">
      <w:pPr>
        <w:numPr>
          <w:ilvl w:val="0"/>
          <w:numId w:val="219"/>
        </w:numPr>
        <w:suppressAutoHyphens/>
        <w:jc w:val="both"/>
        <w:rPr>
          <w:rFonts w:ascii="Calibri" w:eastAsia="Arial" w:hAnsi="Calibri" w:cs="Arial"/>
          <w:color w:val="000000" w:themeColor="text1"/>
        </w:rPr>
      </w:pPr>
      <w:r>
        <w:rPr>
          <w:rFonts w:ascii="Calibri" w:hAnsi="Calibri"/>
          <w:color w:val="000000" w:themeColor="text1"/>
        </w:rPr>
        <w:t xml:space="preserve">Through the approval of </w:t>
      </w:r>
      <w:r>
        <w:rPr>
          <w:rFonts w:ascii="Calibri" w:hAnsi="Calibri"/>
          <w:i/>
          <w:color w:val="000000" w:themeColor="text1"/>
        </w:rPr>
        <w:t>Law no. 256/2018 of November 12, 2018 on certain measures necessary to implement oil operations by the holders of oil agreements regarding offshore oil perimeters</w:t>
      </w:r>
      <w:r>
        <w:rPr>
          <w:rFonts w:ascii="Calibri" w:hAnsi="Calibri"/>
          <w:color w:val="000000" w:themeColor="text1"/>
        </w:rPr>
        <w:t xml:space="preserve"> it was established a tax on the additional offshore revenues obtained from the sale of natural gas extracted from offshore perimeters.</w:t>
      </w:r>
    </w:p>
    <w:p w:rsidR="002D6C69" w:rsidRPr="002D6C69" w:rsidRDefault="002D6C69" w:rsidP="002D6C69">
      <w:pPr>
        <w:suppressAutoHyphens/>
        <w:jc w:val="both"/>
        <w:rPr>
          <w:rFonts w:ascii="Calibri" w:eastAsia="Arial" w:hAnsi="Calibri" w:cs="Arial"/>
          <w:color w:val="000000" w:themeColor="text1"/>
          <w:lang w:val="ro-RO" w:eastAsia="zh-CN"/>
        </w:rPr>
      </w:pPr>
    </w:p>
    <w:p w:rsidR="002D6C69" w:rsidRPr="002D6C69" w:rsidRDefault="002D6C69" w:rsidP="002D6C69">
      <w:pPr>
        <w:suppressAutoHyphens/>
        <w:jc w:val="both"/>
        <w:rPr>
          <w:rFonts w:ascii="Calibri" w:eastAsia="Arial" w:hAnsi="Calibri" w:cs="Arial"/>
          <w:color w:val="000000" w:themeColor="text1"/>
        </w:rPr>
      </w:pPr>
      <w:r>
        <w:rPr>
          <w:rFonts w:ascii="Calibri" w:hAnsi="Calibri"/>
          <w:b/>
          <w:color w:val="000000" w:themeColor="text1"/>
        </w:rPr>
        <w:t xml:space="preserve">Other direct taxes in specific fields </w:t>
      </w:r>
    </w:p>
    <w:p w:rsidR="002D6C69" w:rsidRPr="002D6C69" w:rsidRDefault="002D6C69" w:rsidP="002D6C69">
      <w:pPr>
        <w:suppressAutoHyphens/>
        <w:jc w:val="both"/>
        <w:rPr>
          <w:rFonts w:ascii="Calibri" w:eastAsia="Arial" w:hAnsi="Calibri" w:cs="Arial"/>
          <w:color w:val="000000" w:themeColor="text1"/>
          <w:lang w:val="ro-RO" w:eastAsia="zh-CN"/>
        </w:rPr>
      </w:pPr>
    </w:p>
    <w:p w:rsidR="002D6C69" w:rsidRPr="002D6C69" w:rsidRDefault="002D6C69" w:rsidP="002D6C69">
      <w:pPr>
        <w:suppressAutoHyphens/>
        <w:jc w:val="both"/>
        <w:rPr>
          <w:rFonts w:ascii="Calibri" w:eastAsia="Arial" w:hAnsi="Calibri" w:cs="Arial"/>
          <w:color w:val="000000" w:themeColor="text1"/>
        </w:rPr>
      </w:pPr>
      <w:r>
        <w:rPr>
          <w:rFonts w:ascii="Calibri" w:hAnsi="Calibri"/>
          <w:color w:val="000000" w:themeColor="text1"/>
        </w:rPr>
        <w:t>As of January 1, 2019, through Government Emergency Ordinance no. 114/2018 was established the charge on the financial assets of credit institutions whose possible impact was not included in the projection of budget revenues.</w:t>
      </w:r>
    </w:p>
    <w:p w:rsidR="002D6C69" w:rsidRPr="002D6C69" w:rsidRDefault="002D6C69" w:rsidP="002D6C69">
      <w:pPr>
        <w:suppressAutoHyphens/>
        <w:jc w:val="both"/>
        <w:rPr>
          <w:rFonts w:ascii="Calibri" w:eastAsia="Arial" w:hAnsi="Calibri" w:cs="Arial"/>
          <w:color w:val="000000" w:themeColor="text1"/>
          <w:lang w:val="ro-RO" w:eastAsia="zh-CN"/>
        </w:rPr>
      </w:pPr>
    </w:p>
    <w:p w:rsidR="002D6C69" w:rsidRPr="002D6C69" w:rsidRDefault="002D6C69" w:rsidP="002D6C69">
      <w:pPr>
        <w:suppressAutoHyphens/>
        <w:jc w:val="both"/>
        <w:rPr>
          <w:rFonts w:ascii="Calibri" w:hAnsi="Calibri"/>
          <w:color w:val="000000" w:themeColor="text1"/>
        </w:rPr>
      </w:pPr>
      <w:r>
        <w:rPr>
          <w:rFonts w:ascii="Calibri" w:hAnsi="Calibri"/>
          <w:b/>
          <w:color w:val="000000" w:themeColor="text1"/>
        </w:rPr>
        <w:t>In the field of the personal income tax and mandatory social contributions</w:t>
      </w:r>
    </w:p>
    <w:p w:rsidR="002D6C69" w:rsidRPr="002D6C69" w:rsidRDefault="002D6C69" w:rsidP="00565476">
      <w:pPr>
        <w:numPr>
          <w:ilvl w:val="0"/>
          <w:numId w:val="220"/>
        </w:numPr>
        <w:suppressAutoHyphens/>
        <w:jc w:val="both"/>
        <w:rPr>
          <w:rFonts w:ascii="Calibri" w:hAnsi="Calibri"/>
          <w:color w:val="000000" w:themeColor="text1"/>
        </w:rPr>
      </w:pPr>
      <w:r>
        <w:rPr>
          <w:rFonts w:ascii="Calibri" w:hAnsi="Calibri"/>
          <w:color w:val="000000" w:themeColor="text1"/>
        </w:rPr>
        <w:t>Reducing the personal income tax rate from 16% to 10%;</w:t>
      </w:r>
    </w:p>
    <w:p w:rsidR="002D6C69" w:rsidRPr="002D6C69" w:rsidRDefault="002D6C69" w:rsidP="00565476">
      <w:pPr>
        <w:numPr>
          <w:ilvl w:val="0"/>
          <w:numId w:val="220"/>
        </w:numPr>
        <w:suppressAutoHyphens/>
        <w:jc w:val="both"/>
        <w:rPr>
          <w:rFonts w:ascii="Calibri" w:eastAsia="Calibri" w:hAnsi="Calibri"/>
          <w:color w:val="000000" w:themeColor="text1"/>
        </w:rPr>
      </w:pPr>
      <w:r>
        <w:rPr>
          <w:rFonts w:ascii="Calibri" w:hAnsi="Calibri"/>
          <w:color w:val="000000" w:themeColor="text1"/>
        </w:rPr>
        <w:t>Increasing the level of the gross monthly salary according to which the personal deduction is given, as well as increasing the level of personal deductions in fixed amount awarded to the persons who obtain revenues from salaries and assimilated to salaries of up to Lei 1,950 and increasing the personal deductions awarded in a digressive manner to private individuals who obtain revenues from salaries and assimilated to salaries up to the value of Lei 3,600, inclusive;</w:t>
      </w:r>
    </w:p>
    <w:p w:rsidR="002D6C69" w:rsidRPr="002D6C69" w:rsidRDefault="002D6C69" w:rsidP="00565476">
      <w:pPr>
        <w:numPr>
          <w:ilvl w:val="0"/>
          <w:numId w:val="220"/>
        </w:numPr>
        <w:suppressAutoHyphens/>
        <w:jc w:val="both"/>
        <w:rPr>
          <w:rFonts w:ascii="Calibri" w:eastAsia="Calibri" w:hAnsi="Calibri"/>
          <w:color w:val="000000" w:themeColor="text1"/>
        </w:rPr>
      </w:pPr>
      <w:r>
        <w:rPr>
          <w:rFonts w:ascii="Calibri" w:hAnsi="Calibri"/>
          <w:color w:val="000000" w:themeColor="text1"/>
        </w:rPr>
        <w:t>Reducing the total share of mandatory social contributions, on the whole by 2 percentage points, from 39.25% to 37.25%;</w:t>
      </w:r>
    </w:p>
    <w:p w:rsidR="002D6C69" w:rsidRPr="002D6C69" w:rsidRDefault="002D6C69" w:rsidP="00565476">
      <w:pPr>
        <w:numPr>
          <w:ilvl w:val="0"/>
          <w:numId w:val="220"/>
        </w:numPr>
        <w:suppressAutoHyphens/>
        <w:jc w:val="both"/>
        <w:rPr>
          <w:rFonts w:ascii="Calibri" w:hAnsi="Calibri"/>
          <w:color w:val="000000" w:themeColor="text1"/>
        </w:rPr>
      </w:pPr>
      <w:r>
        <w:rPr>
          <w:rFonts w:ascii="Calibri" w:hAnsi="Calibri"/>
          <w:bCs/>
          <w:color w:val="000000" w:themeColor="text1"/>
        </w:rPr>
        <w:t xml:space="preserve">Reducing the number of social contributions from 9 to 3, namely the social insurance contribution (CAS), the health insurance contribution (CASS) - owned by the employees and the labor insurance contribution - owed by the employers. </w:t>
      </w:r>
    </w:p>
    <w:p w:rsidR="002D6C69" w:rsidRPr="002D6C69" w:rsidRDefault="002D6C69" w:rsidP="00565476">
      <w:pPr>
        <w:numPr>
          <w:ilvl w:val="0"/>
          <w:numId w:val="220"/>
        </w:numPr>
        <w:suppressAutoHyphens/>
        <w:jc w:val="both"/>
        <w:rPr>
          <w:rFonts w:ascii="Calibri" w:hAnsi="Calibri"/>
          <w:color w:val="000000" w:themeColor="text1"/>
        </w:rPr>
      </w:pPr>
      <w:r>
        <w:rPr>
          <w:rFonts w:ascii="Calibri" w:hAnsi="Calibri"/>
          <w:color w:val="000000" w:themeColor="text1"/>
        </w:rPr>
        <w:t xml:space="preserve">Transferring the fiscal burden of the obligations related to mandatory social contributions (CAS and CASS) owed by the employer and the employee, in the case of revenues from salaries and assimilated to salaries, namely: </w:t>
      </w:r>
    </w:p>
    <w:p w:rsidR="002D6C69" w:rsidRPr="002D6C69" w:rsidRDefault="002D6C69" w:rsidP="00565476">
      <w:pPr>
        <w:numPr>
          <w:ilvl w:val="0"/>
          <w:numId w:val="221"/>
        </w:numPr>
        <w:tabs>
          <w:tab w:val="left" w:pos="362"/>
          <w:tab w:val="left" w:pos="543"/>
        </w:tabs>
        <w:suppressAutoHyphens/>
        <w:jc w:val="both"/>
        <w:rPr>
          <w:rFonts w:ascii="Calibri" w:hAnsi="Calibri"/>
          <w:color w:val="000000" w:themeColor="text1"/>
        </w:rPr>
      </w:pPr>
      <w:r>
        <w:rPr>
          <w:rFonts w:ascii="Calibri" w:hAnsi="Calibri"/>
          <w:color w:val="000000" w:themeColor="text1"/>
        </w:rPr>
        <w:t xml:space="preserve">CAS (25%) and CASS (10%) shall be owed by the private individual </w:t>
      </w:r>
    </w:p>
    <w:p w:rsidR="002D6C69" w:rsidRPr="002D6C69" w:rsidRDefault="002D6C69" w:rsidP="00565476">
      <w:pPr>
        <w:numPr>
          <w:ilvl w:val="0"/>
          <w:numId w:val="221"/>
        </w:numPr>
        <w:tabs>
          <w:tab w:val="left" w:pos="362"/>
          <w:tab w:val="left" w:pos="543"/>
        </w:tabs>
        <w:suppressAutoHyphens/>
        <w:jc w:val="both"/>
        <w:rPr>
          <w:rFonts w:ascii="Calibri" w:hAnsi="Calibri"/>
          <w:color w:val="000000" w:themeColor="text1"/>
        </w:rPr>
      </w:pPr>
      <w:r>
        <w:rPr>
          <w:rFonts w:ascii="Calibri" w:hAnsi="Calibri"/>
          <w:color w:val="000000" w:themeColor="text1"/>
        </w:rPr>
        <w:t>The additional CAS rate (4% or 8%) for special, extraordinary or other labor conditions defined under the law and the labor insurance contribution, owed by the employers (2.25%).</w:t>
      </w:r>
    </w:p>
    <w:p w:rsidR="002D6C69" w:rsidRPr="002D6C69" w:rsidRDefault="002D6C69" w:rsidP="00565476">
      <w:pPr>
        <w:numPr>
          <w:ilvl w:val="0"/>
          <w:numId w:val="220"/>
        </w:numPr>
        <w:suppressAutoHyphens/>
        <w:jc w:val="both"/>
        <w:rPr>
          <w:rFonts w:ascii="Calibri" w:eastAsia="Calibri" w:hAnsi="Calibri"/>
          <w:color w:val="000000" w:themeColor="text1"/>
        </w:rPr>
      </w:pPr>
      <w:r>
        <w:rPr>
          <w:rFonts w:ascii="Calibri" w:hAnsi="Calibri"/>
          <w:color w:val="000000" w:themeColor="text1"/>
        </w:rPr>
        <w:t>Simplifying the declarative obligations of private individuals, by merging 7 declarations into a single declaration and making the payments anytime during the year until March 15, inclusive, of the year following that of realization of the revenues;</w:t>
      </w:r>
    </w:p>
    <w:p w:rsidR="002D6C69" w:rsidRPr="002D6C69" w:rsidRDefault="002D6C69" w:rsidP="00565476">
      <w:pPr>
        <w:numPr>
          <w:ilvl w:val="0"/>
          <w:numId w:val="220"/>
        </w:numPr>
        <w:suppressAutoHyphens/>
        <w:autoSpaceDE w:val="0"/>
        <w:jc w:val="both"/>
        <w:rPr>
          <w:rFonts w:ascii="Calibri" w:hAnsi="Calibri"/>
          <w:color w:val="000000" w:themeColor="text1"/>
        </w:rPr>
      </w:pPr>
      <w:r>
        <w:rPr>
          <w:rFonts w:ascii="Calibri" w:hAnsi="Calibri"/>
          <w:iCs/>
          <w:color w:val="000000" w:themeColor="text1"/>
        </w:rPr>
        <w:t>The regulation of a system of bonuses for full payment of the estimated fiscal liabilities, respectively of the personal income tax and of the social contributions to stimulate the submission of the single declaration by electronic means of remote transmission and for the anticipated payment of the fiscal liabilities.</w:t>
      </w:r>
    </w:p>
    <w:p w:rsidR="002D6C69" w:rsidRPr="002D6C69" w:rsidRDefault="002D6C69" w:rsidP="00565476">
      <w:pPr>
        <w:numPr>
          <w:ilvl w:val="0"/>
          <w:numId w:val="220"/>
        </w:numPr>
        <w:suppressAutoHyphens/>
        <w:jc w:val="both"/>
        <w:rPr>
          <w:rFonts w:ascii="Calibri" w:eastAsia="Calibri" w:hAnsi="Calibri"/>
          <w:color w:val="000000" w:themeColor="text1"/>
        </w:rPr>
      </w:pPr>
      <w:r>
        <w:rPr>
          <w:rFonts w:ascii="Calibri" w:hAnsi="Calibri"/>
          <w:color w:val="000000" w:themeColor="text1"/>
        </w:rPr>
        <w:t>Implementation of a new mechanism of establishment of the personal income tax and of the mandatory social contributions, respectively self-taxation, which presupposes the elimination of taxation decisions issued by the competent fiscal body;</w:t>
      </w:r>
    </w:p>
    <w:p w:rsidR="002D6C69" w:rsidRPr="002D6C69" w:rsidRDefault="002D6C69" w:rsidP="00565476">
      <w:pPr>
        <w:numPr>
          <w:ilvl w:val="0"/>
          <w:numId w:val="220"/>
        </w:numPr>
        <w:suppressAutoHyphens/>
        <w:autoSpaceDE w:val="0"/>
        <w:jc w:val="both"/>
        <w:rPr>
          <w:rFonts w:ascii="Calibri" w:eastAsia="Calibri" w:hAnsi="Calibri"/>
          <w:color w:val="000000" w:themeColor="text1"/>
        </w:rPr>
      </w:pPr>
      <w:r>
        <w:rPr>
          <w:rFonts w:ascii="Calibri" w:hAnsi="Calibri"/>
          <w:color w:val="000000" w:themeColor="text1"/>
        </w:rPr>
        <w:t>The possibility for the taxpayers to opt for the payers of revenues to distribute the share of 2% or of 3.5% from the tax owed to support non-profit entities which are incorporated and operate under the law, of cult units, as well as for the award of private scholarships or of non-profit entities and cult units which are providers of social services certified with at least one licensed social service, under the law;</w:t>
      </w:r>
    </w:p>
    <w:p w:rsidR="002D6C69" w:rsidRPr="002D6C69" w:rsidRDefault="002D6C69" w:rsidP="00565476">
      <w:pPr>
        <w:numPr>
          <w:ilvl w:val="0"/>
          <w:numId w:val="220"/>
        </w:numPr>
        <w:suppressAutoHyphens/>
        <w:jc w:val="both"/>
        <w:rPr>
          <w:rFonts w:ascii="Calibri" w:eastAsia="Calibri" w:hAnsi="Calibri"/>
          <w:color w:val="000000" w:themeColor="text1"/>
        </w:rPr>
      </w:pPr>
      <w:r>
        <w:rPr>
          <w:rFonts w:ascii="Calibri" w:hAnsi="Calibri"/>
          <w:color w:val="000000" w:themeColor="text1"/>
        </w:rPr>
        <w:t xml:space="preserve">Changing the manner of establishment of the CAS and CASS in the case of private individuals who carry out independent activities or other categories of revenues, meaning that these individuals no longer owe the social contributions on the revenues the obtain: </w:t>
      </w:r>
    </w:p>
    <w:p w:rsidR="002D6C69" w:rsidRPr="002D6C69" w:rsidRDefault="002D6C69" w:rsidP="00565476">
      <w:pPr>
        <w:numPr>
          <w:ilvl w:val="0"/>
          <w:numId w:val="222"/>
        </w:numPr>
        <w:suppressAutoHyphens/>
        <w:jc w:val="both"/>
        <w:rPr>
          <w:rFonts w:ascii="Calibri" w:eastAsia="Calibri" w:hAnsi="Calibri"/>
          <w:color w:val="000000" w:themeColor="text1"/>
        </w:rPr>
      </w:pPr>
      <w:r>
        <w:rPr>
          <w:rFonts w:ascii="Calibri" w:hAnsi="Calibri"/>
          <w:color w:val="000000" w:themeColor="text1"/>
        </w:rPr>
        <w:t>the calculation base of the CAS is the chosen revenue, which is at least equal to the minimum gross salary at country level;</w:t>
      </w:r>
    </w:p>
    <w:p w:rsidR="002D6C69" w:rsidRPr="002D6C69" w:rsidRDefault="002D6C69" w:rsidP="00565476">
      <w:pPr>
        <w:numPr>
          <w:ilvl w:val="0"/>
          <w:numId w:val="222"/>
        </w:numPr>
        <w:suppressAutoHyphens/>
        <w:jc w:val="both"/>
        <w:rPr>
          <w:rFonts w:ascii="Calibri" w:eastAsia="Calibri" w:hAnsi="Calibri"/>
          <w:color w:val="000000" w:themeColor="text1"/>
        </w:rPr>
      </w:pPr>
      <w:r>
        <w:rPr>
          <w:rFonts w:ascii="Calibri" w:hAnsi="Calibri"/>
          <w:color w:val="000000" w:themeColor="text1"/>
        </w:rPr>
        <w:t>the calculation base of the CASS is the minimum gross salary at country level.</w:t>
      </w:r>
    </w:p>
    <w:p w:rsidR="002D6C69" w:rsidRPr="002D6C69" w:rsidRDefault="002D6C69" w:rsidP="00565476">
      <w:pPr>
        <w:numPr>
          <w:ilvl w:val="0"/>
          <w:numId w:val="220"/>
        </w:numPr>
        <w:suppressAutoHyphens/>
        <w:jc w:val="both"/>
        <w:rPr>
          <w:rFonts w:ascii="Calibri" w:hAnsi="Calibri" w:cs="Arial"/>
          <w:bCs/>
          <w:color w:val="000000" w:themeColor="text1"/>
          <w:kern w:val="1"/>
        </w:rPr>
      </w:pPr>
      <w:r>
        <w:rPr>
          <w:rFonts w:ascii="Calibri" w:hAnsi="Calibri"/>
          <w:bCs/>
          <w:color w:val="000000" w:themeColor="text1"/>
        </w:rPr>
        <w:t>Private individuals who are retired, unemployed, people on maternity leave, people who obtain social aid and other categories of people under protection of the State or in State custody are insured in the public health system without payment of CASS.</w:t>
      </w:r>
    </w:p>
    <w:p w:rsidR="002D6C69" w:rsidRPr="002D6C69" w:rsidRDefault="002D6C69" w:rsidP="002D6C69">
      <w:pPr>
        <w:suppressAutoHyphens/>
        <w:jc w:val="both"/>
        <w:rPr>
          <w:rFonts w:ascii="Calibri" w:hAnsi="Calibri" w:cs="Arial"/>
          <w:bCs/>
          <w:color w:val="000000" w:themeColor="text1"/>
          <w:kern w:val="1"/>
          <w:lang w:val="ro-RO" w:eastAsia="zh-CN"/>
        </w:rPr>
      </w:pPr>
    </w:p>
    <w:p w:rsidR="002D6C69" w:rsidRPr="002D6C69" w:rsidRDefault="002D6C69" w:rsidP="002D6C69">
      <w:pPr>
        <w:suppressAutoHyphens/>
        <w:jc w:val="both"/>
        <w:rPr>
          <w:rFonts w:ascii="Calibri" w:hAnsi="Calibri" w:cs="Arial"/>
          <w:bCs/>
          <w:color w:val="000000" w:themeColor="text1"/>
          <w:kern w:val="1"/>
        </w:rPr>
      </w:pPr>
      <w:r>
        <w:rPr>
          <w:rFonts w:ascii="Calibri" w:hAnsi="Calibri"/>
          <w:bCs/>
          <w:color w:val="000000" w:themeColor="text1"/>
        </w:rPr>
        <w:t>with applicability as of January 1, 2019:</w:t>
      </w:r>
    </w:p>
    <w:p w:rsidR="002D6C69" w:rsidRPr="002D6C69" w:rsidRDefault="002D6C69" w:rsidP="00565476">
      <w:pPr>
        <w:numPr>
          <w:ilvl w:val="0"/>
          <w:numId w:val="223"/>
        </w:numPr>
        <w:suppressAutoHyphens/>
        <w:jc w:val="both"/>
        <w:rPr>
          <w:rFonts w:ascii="Calibri" w:hAnsi="Calibri" w:cs="Arial"/>
          <w:bCs/>
          <w:color w:val="000000" w:themeColor="text1"/>
          <w:kern w:val="1"/>
        </w:rPr>
      </w:pPr>
      <w:r>
        <w:rPr>
          <w:rFonts w:ascii="Calibri" w:hAnsi="Calibri"/>
          <w:bCs/>
          <w:color w:val="000000" w:themeColor="text1"/>
        </w:rPr>
        <w:t xml:space="preserve">the award of fiscal facilities to the private individuals, for the revenues from salaries and assimilated to salaries comprised between 3,000 Lei and 30,000 Lei, inclusive, on a monthly basis, obtained on the basis of individual employment agreements concluded with employers who operate in the constructions sector, as well as in the sectors of manufacturing of construction materials, between January 1, 2019 - December 31, 2028, respectively: </w:t>
      </w:r>
    </w:p>
    <w:p w:rsidR="002D6C69" w:rsidRPr="002D6C69" w:rsidRDefault="002D6C69" w:rsidP="00565476">
      <w:pPr>
        <w:numPr>
          <w:ilvl w:val="0"/>
          <w:numId w:val="223"/>
        </w:numPr>
        <w:suppressAutoHyphens/>
        <w:jc w:val="both"/>
        <w:rPr>
          <w:rFonts w:ascii="Calibri" w:hAnsi="Calibri" w:cs="Arial"/>
          <w:bCs/>
          <w:color w:val="000000" w:themeColor="text1"/>
          <w:kern w:val="1"/>
        </w:rPr>
      </w:pPr>
      <w:r>
        <w:rPr>
          <w:rFonts w:ascii="Calibri" w:hAnsi="Calibri"/>
          <w:bCs/>
          <w:color w:val="000000" w:themeColor="text1"/>
        </w:rPr>
        <w:t>exemption from the payment of personal income tax;</w:t>
      </w:r>
    </w:p>
    <w:p w:rsidR="002D6C69" w:rsidRPr="002D6C69" w:rsidRDefault="002D6C69" w:rsidP="00565476">
      <w:pPr>
        <w:numPr>
          <w:ilvl w:val="0"/>
          <w:numId w:val="223"/>
        </w:numPr>
        <w:suppressAutoHyphens/>
        <w:jc w:val="both"/>
        <w:rPr>
          <w:rFonts w:ascii="Calibri" w:hAnsi="Calibri" w:cs="Arial"/>
          <w:bCs/>
          <w:color w:val="000000" w:themeColor="text1"/>
          <w:kern w:val="1"/>
        </w:rPr>
      </w:pPr>
      <w:r>
        <w:rPr>
          <w:rFonts w:ascii="Calibri" w:hAnsi="Calibri"/>
          <w:bCs/>
          <w:color w:val="000000" w:themeColor="text1"/>
        </w:rPr>
        <w:t xml:space="preserve">reduction of the CASS rate owed by the employee by 3.75 percentage points. </w:t>
      </w:r>
    </w:p>
    <w:p w:rsidR="002D6C69" w:rsidRPr="002D6C69" w:rsidRDefault="002D6C69" w:rsidP="00565476">
      <w:pPr>
        <w:numPr>
          <w:ilvl w:val="0"/>
          <w:numId w:val="223"/>
        </w:numPr>
        <w:suppressAutoHyphens/>
        <w:jc w:val="both"/>
        <w:rPr>
          <w:rFonts w:ascii="Calibri" w:hAnsi="Calibri" w:cs="Arial"/>
          <w:bCs/>
          <w:color w:val="000000" w:themeColor="text1"/>
          <w:kern w:val="1"/>
        </w:rPr>
      </w:pPr>
      <w:r>
        <w:rPr>
          <w:rFonts w:ascii="Calibri" w:hAnsi="Calibri"/>
          <w:bCs/>
          <w:color w:val="000000" w:themeColor="text1"/>
        </w:rPr>
        <w:t>exempting the employee from CASS payment;</w:t>
      </w:r>
    </w:p>
    <w:p w:rsidR="002D6C69" w:rsidRPr="002D6C69" w:rsidRDefault="002D6C69" w:rsidP="00565476">
      <w:pPr>
        <w:numPr>
          <w:ilvl w:val="0"/>
          <w:numId w:val="223"/>
        </w:numPr>
        <w:suppressAutoHyphens/>
        <w:jc w:val="both"/>
        <w:rPr>
          <w:rFonts w:ascii="Calibri" w:hAnsi="Calibri" w:cs="Arial"/>
          <w:bCs/>
          <w:color w:val="000000" w:themeColor="text1"/>
          <w:kern w:val="1"/>
        </w:rPr>
      </w:pPr>
      <w:r>
        <w:rPr>
          <w:rFonts w:ascii="Calibri" w:hAnsi="Calibri"/>
          <w:bCs/>
          <w:color w:val="000000" w:themeColor="text1"/>
        </w:rPr>
        <w:t>exemption from the payment of CAS owed by the employer for special/extraordinary labor conditions;</w:t>
      </w:r>
    </w:p>
    <w:p w:rsidR="002D6C69" w:rsidRPr="002D6C69" w:rsidRDefault="002D6C69" w:rsidP="00565476">
      <w:pPr>
        <w:numPr>
          <w:ilvl w:val="0"/>
          <w:numId w:val="223"/>
        </w:numPr>
        <w:suppressAutoHyphens/>
        <w:jc w:val="both"/>
        <w:rPr>
          <w:rFonts w:ascii="Calibri" w:hAnsi="Calibri" w:cs="Arial"/>
          <w:bCs/>
          <w:color w:val="000000" w:themeColor="text1"/>
          <w:kern w:val="1"/>
        </w:rPr>
      </w:pPr>
      <w:r>
        <w:rPr>
          <w:rFonts w:ascii="Calibri" w:hAnsi="Calibri"/>
          <w:bCs/>
          <w:color w:val="000000" w:themeColor="text1"/>
        </w:rPr>
        <w:t>reducing the share of the labor insurance contribution owed by the employer to the level of the share corresponding to the contribution to the Guarantee fund for payment of salary debts.</w:t>
      </w:r>
    </w:p>
    <w:p w:rsidR="002D6C69" w:rsidRPr="002D6C69" w:rsidRDefault="002D6C69" w:rsidP="002D6C69">
      <w:pPr>
        <w:suppressAutoHyphens/>
        <w:jc w:val="both"/>
        <w:rPr>
          <w:rFonts w:ascii="Calibri" w:hAnsi="Calibri" w:cs="Arial"/>
          <w:bCs/>
          <w:color w:val="000000" w:themeColor="text1"/>
          <w:kern w:val="1"/>
        </w:rPr>
      </w:pPr>
      <w:r>
        <w:rPr>
          <w:rFonts w:ascii="Calibri" w:hAnsi="Calibri"/>
          <w:bCs/>
          <w:color w:val="000000" w:themeColor="text1"/>
        </w:rPr>
        <w:t>with applicability as of April 01, 2019:</w:t>
      </w:r>
    </w:p>
    <w:p w:rsidR="002D6C69" w:rsidRPr="002D6C69" w:rsidRDefault="002D6C69" w:rsidP="002D6C69">
      <w:pPr>
        <w:suppressAutoHyphens/>
        <w:jc w:val="both"/>
        <w:rPr>
          <w:rFonts w:ascii="Calibri" w:hAnsi="Calibri" w:cs="Arial"/>
          <w:bCs/>
          <w:color w:val="000000" w:themeColor="text1"/>
          <w:kern w:val="1"/>
        </w:rPr>
      </w:pPr>
      <w:r>
        <w:rPr>
          <w:rFonts w:ascii="Calibri" w:hAnsi="Calibri"/>
          <w:bCs/>
          <w:color w:val="000000" w:themeColor="text1"/>
        </w:rPr>
        <w:t>As a result of the proposals of the business environment: application of a single rate (3.5%) which can be distributed from the personal income tax to non-profit entities and cult units registered in the Register of cult entities/units.</w:t>
      </w:r>
    </w:p>
    <w:p w:rsidR="002D6C69" w:rsidRPr="002D6C69" w:rsidRDefault="002D6C69" w:rsidP="002D6C69">
      <w:pPr>
        <w:suppressAutoHyphens/>
        <w:jc w:val="both"/>
        <w:rPr>
          <w:rFonts w:ascii="Calibri" w:hAnsi="Calibri" w:cs="Arial"/>
          <w:bCs/>
          <w:color w:val="000000" w:themeColor="text1"/>
          <w:kern w:val="1"/>
          <w:lang w:val="ro-RO" w:eastAsia="zh-CN"/>
        </w:rPr>
      </w:pPr>
    </w:p>
    <w:p w:rsidR="002D6C69" w:rsidRPr="002D6C69" w:rsidRDefault="002D6C69" w:rsidP="002D6C69">
      <w:pPr>
        <w:suppressAutoHyphens/>
        <w:jc w:val="both"/>
        <w:rPr>
          <w:rFonts w:ascii="Calibri" w:hAnsi="Calibri"/>
          <w:color w:val="000000" w:themeColor="text1"/>
        </w:rPr>
      </w:pPr>
      <w:r>
        <w:rPr>
          <w:rFonts w:ascii="Calibri" w:hAnsi="Calibri"/>
          <w:b/>
          <w:bCs/>
          <w:color w:val="000000" w:themeColor="text1"/>
        </w:rPr>
        <w:t>In the field of local taxes and charges:</w:t>
      </w:r>
    </w:p>
    <w:p w:rsidR="002D6C69" w:rsidRPr="002D6C69" w:rsidRDefault="002D6C69" w:rsidP="00565476">
      <w:pPr>
        <w:numPr>
          <w:ilvl w:val="0"/>
          <w:numId w:val="224"/>
        </w:numPr>
        <w:suppressAutoHyphens/>
        <w:jc w:val="both"/>
        <w:rPr>
          <w:rFonts w:ascii="Calibri" w:hAnsi="Calibri" w:cs="Arial"/>
          <w:bCs/>
          <w:color w:val="000000" w:themeColor="text1"/>
          <w:kern w:val="1"/>
        </w:rPr>
      </w:pPr>
      <w:r>
        <w:rPr>
          <w:rFonts w:ascii="Calibri" w:hAnsi="Calibri"/>
          <w:bCs/>
          <w:color w:val="000000" w:themeColor="text1"/>
        </w:rPr>
        <w:t xml:space="preserve">Law no. 145/2018 approving Government Emergency Ordinance no. 18/2018 on the adoption of certain fiscal and budgetary measures and on the amendment and supplementation of certain legislative acts, extended the exemption from the payment of the tax on buildings and of the tax on land, for the building of domicile, respectively the land plot from the address of domicile which is owned or co-owned by people persecuted for political reasons. </w:t>
      </w:r>
    </w:p>
    <w:p w:rsidR="002D6C69" w:rsidRPr="002D6C69" w:rsidRDefault="002D6C69" w:rsidP="00565476">
      <w:pPr>
        <w:numPr>
          <w:ilvl w:val="0"/>
          <w:numId w:val="224"/>
        </w:numPr>
        <w:suppressAutoHyphens/>
        <w:jc w:val="both"/>
        <w:rPr>
          <w:rFonts w:ascii="Calibri" w:hAnsi="Calibri"/>
          <w:color w:val="000000" w:themeColor="text1"/>
        </w:rPr>
      </w:pPr>
      <w:r>
        <w:rPr>
          <w:rFonts w:ascii="Calibri" w:hAnsi="Calibri"/>
          <w:bCs/>
          <w:color w:val="000000" w:themeColor="text1"/>
        </w:rPr>
        <w:t xml:space="preserve">Through Law no. 111/2018 amending and supplementing Law no. 227/2015 on the Fiscal Code was extended the exemption from payment of the tax on buildings and the tax on land for the building of domicile, respectively the land plot from the address of domicile, for the legal representatives who care for, supervise and support people with serious or accentuated handicap and people classified with degree I of invalidity. </w:t>
      </w:r>
    </w:p>
    <w:p w:rsidR="002D6C69" w:rsidRPr="002D6C69" w:rsidRDefault="002D6C69" w:rsidP="002D6C69">
      <w:pPr>
        <w:suppressAutoHyphens/>
        <w:autoSpaceDE w:val="0"/>
        <w:jc w:val="both"/>
        <w:rPr>
          <w:rFonts w:ascii="Calibri" w:hAnsi="Calibri" w:cs="Arial"/>
          <w:bCs/>
          <w:i/>
          <w:strike/>
          <w:color w:val="000000" w:themeColor="text1"/>
          <w:kern w:val="1"/>
          <w:lang w:val="pt-BR" w:eastAsia="zh-CN"/>
        </w:rPr>
      </w:pPr>
    </w:p>
    <w:p w:rsidR="002D6C69" w:rsidRPr="002D6C69" w:rsidRDefault="002D6C69" w:rsidP="002D6C69">
      <w:pPr>
        <w:tabs>
          <w:tab w:val="left" w:pos="0"/>
        </w:tabs>
        <w:suppressAutoHyphens/>
        <w:jc w:val="both"/>
        <w:rPr>
          <w:rFonts w:ascii="Calibri" w:hAnsi="Calibri"/>
          <w:color w:val="000000" w:themeColor="text1"/>
        </w:rPr>
      </w:pPr>
      <w:r>
        <w:rPr>
          <w:rFonts w:ascii="Calibri" w:hAnsi="Calibri"/>
          <w:b/>
          <w:bCs/>
          <w:iCs/>
          <w:color w:val="000000" w:themeColor="text1"/>
          <w:u w:val="single"/>
        </w:rPr>
        <w:t>In the field of direct taxation:</w:t>
      </w:r>
    </w:p>
    <w:p w:rsidR="002D6C69" w:rsidRPr="002D6C69" w:rsidRDefault="002D6C69" w:rsidP="002D6C69">
      <w:pPr>
        <w:tabs>
          <w:tab w:val="left" w:pos="0"/>
        </w:tabs>
        <w:suppressAutoHyphens/>
        <w:jc w:val="both"/>
        <w:rPr>
          <w:rFonts w:ascii="Calibri" w:hAnsi="Calibri" w:cs="Arial"/>
          <w:b/>
          <w:bCs/>
          <w:color w:val="000000" w:themeColor="text1"/>
          <w:lang w:val="pt-BR" w:eastAsia="zh-CN"/>
        </w:rPr>
      </w:pPr>
    </w:p>
    <w:p w:rsidR="002D6C69" w:rsidRPr="002D6C69" w:rsidRDefault="002D6C69" w:rsidP="002D6C69">
      <w:pPr>
        <w:tabs>
          <w:tab w:val="left" w:pos="0"/>
        </w:tabs>
        <w:suppressAutoHyphens/>
        <w:jc w:val="both"/>
        <w:rPr>
          <w:rFonts w:ascii="Calibri" w:hAnsi="Calibri" w:cs="Arial"/>
          <w:color w:val="000000" w:themeColor="text1"/>
        </w:rPr>
      </w:pPr>
      <w:r>
        <w:rPr>
          <w:rFonts w:ascii="Calibri" w:hAnsi="Calibri"/>
          <w:b/>
          <w:color w:val="000000" w:themeColor="text1"/>
        </w:rPr>
        <w:t>In the field of VAT</w:t>
      </w:r>
      <w:r>
        <w:rPr>
          <w:rFonts w:ascii="Calibri" w:hAnsi="Calibri"/>
          <w:color w:val="000000" w:themeColor="text1"/>
        </w:rPr>
        <w:t xml:space="preserve"> were adopted the following measures:</w:t>
      </w:r>
    </w:p>
    <w:p w:rsidR="002D6C69" w:rsidRPr="002D6C69" w:rsidRDefault="002D6C69" w:rsidP="002D6C69">
      <w:pPr>
        <w:tabs>
          <w:tab w:val="left" w:pos="0"/>
        </w:tabs>
        <w:suppressAutoHyphens/>
        <w:jc w:val="both"/>
        <w:rPr>
          <w:rFonts w:ascii="Calibri" w:hAnsi="Calibri" w:cs="Arial"/>
          <w:b/>
          <w:i/>
          <w:color w:val="000000" w:themeColor="text1"/>
          <w:lang w:val="ro-RO" w:eastAsia="zh-CN"/>
        </w:rPr>
      </w:pPr>
    </w:p>
    <w:p w:rsidR="002D6C69" w:rsidRPr="002D6C69" w:rsidRDefault="002D6C69" w:rsidP="002D6C69">
      <w:pPr>
        <w:tabs>
          <w:tab w:val="left" w:pos="0"/>
        </w:tabs>
        <w:suppressAutoHyphens/>
        <w:jc w:val="both"/>
        <w:rPr>
          <w:rFonts w:ascii="Calibri" w:hAnsi="Calibri"/>
          <w:color w:val="000000" w:themeColor="text1"/>
        </w:rPr>
      </w:pPr>
      <w:r>
        <w:rPr>
          <w:rFonts w:ascii="Calibri" w:hAnsi="Calibri"/>
          <w:b/>
          <w:i/>
          <w:color w:val="000000" w:themeColor="text1"/>
        </w:rPr>
        <w:t>with applicability as of April 01, 2018:</w:t>
      </w:r>
    </w:p>
    <w:p w:rsidR="002D6C69" w:rsidRPr="002D6C69" w:rsidRDefault="002D6C69" w:rsidP="00565476">
      <w:pPr>
        <w:numPr>
          <w:ilvl w:val="0"/>
          <w:numId w:val="225"/>
        </w:numPr>
        <w:tabs>
          <w:tab w:val="left" w:pos="0"/>
        </w:tabs>
        <w:suppressAutoHyphens/>
        <w:jc w:val="both"/>
        <w:rPr>
          <w:rFonts w:ascii="Calibri" w:hAnsi="Calibri" w:cs="Arial"/>
          <w:color w:val="000000" w:themeColor="text1"/>
        </w:rPr>
      </w:pPr>
      <w:r>
        <w:rPr>
          <w:rFonts w:ascii="Calibri" w:hAnsi="Calibri"/>
          <w:color w:val="000000" w:themeColor="text1"/>
        </w:rPr>
        <w:t>Increase of the ceiling of exemption from payment of VAT, from the equivalent in national currency of EUR 65,000, calculated at the exchange rate from the day of accession to the European Union, namely Lei 220,000, to the equivalent in national currency of EUR 88,500, calculated at the exchange rate from the day of accession to the European Union, namely Lei 300,000. This measure was introduced by the Romanian Parliament through Law no. 72/2018 approving Government Ordinance no. 25/2017 amending and supplementing Law no. 227/2015 on the Fiscal Code.</w:t>
      </w:r>
    </w:p>
    <w:p w:rsidR="002D6C69" w:rsidRPr="002D6C69" w:rsidRDefault="002D6C69" w:rsidP="002D6C69">
      <w:pPr>
        <w:tabs>
          <w:tab w:val="left" w:pos="0"/>
        </w:tabs>
        <w:suppressAutoHyphens/>
        <w:jc w:val="both"/>
        <w:rPr>
          <w:rFonts w:ascii="Calibri" w:eastAsia="Arial" w:hAnsi="Calibri" w:cs="Arial"/>
          <w:i/>
          <w:color w:val="000000" w:themeColor="text1"/>
          <w:lang w:val="ro-RO" w:eastAsia="ro-RO"/>
        </w:rPr>
      </w:pPr>
    </w:p>
    <w:p w:rsidR="002D6C69" w:rsidRPr="002D6C69" w:rsidRDefault="002D6C69" w:rsidP="002D6C69">
      <w:pPr>
        <w:tabs>
          <w:tab w:val="left" w:pos="0"/>
        </w:tabs>
        <w:suppressAutoHyphens/>
        <w:jc w:val="both"/>
        <w:rPr>
          <w:rFonts w:ascii="Calibri" w:hAnsi="Calibri"/>
          <w:color w:val="000000" w:themeColor="text1"/>
        </w:rPr>
      </w:pPr>
      <w:r>
        <w:rPr>
          <w:rFonts w:ascii="Calibri" w:hAnsi="Calibri"/>
          <w:b/>
          <w:i/>
          <w:color w:val="000000" w:themeColor="text1"/>
        </w:rPr>
        <w:t>with applicability as of November 01, 2018:</w:t>
      </w:r>
    </w:p>
    <w:p w:rsidR="002D6C69" w:rsidRPr="002D6C69" w:rsidRDefault="002D6C69" w:rsidP="00565476">
      <w:pPr>
        <w:numPr>
          <w:ilvl w:val="0"/>
          <w:numId w:val="226"/>
        </w:numPr>
        <w:tabs>
          <w:tab w:val="left" w:pos="0"/>
        </w:tabs>
        <w:suppressAutoHyphens/>
        <w:jc w:val="both"/>
        <w:rPr>
          <w:rFonts w:ascii="Calibri" w:hAnsi="Calibri"/>
          <w:color w:val="000000" w:themeColor="text1"/>
        </w:rPr>
      </w:pPr>
      <w:r>
        <w:rPr>
          <w:rFonts w:ascii="Calibri" w:hAnsi="Calibri"/>
          <w:color w:val="000000" w:themeColor="text1"/>
        </w:rPr>
        <w:t>reducing the VAT rate to 5% for:</w:t>
      </w:r>
    </w:p>
    <w:p w:rsidR="002D6C69" w:rsidRPr="002D6C69" w:rsidRDefault="002D6C69" w:rsidP="00565476">
      <w:pPr>
        <w:numPr>
          <w:ilvl w:val="0"/>
          <w:numId w:val="226"/>
        </w:numPr>
        <w:suppressAutoHyphens/>
        <w:autoSpaceDE w:val="0"/>
        <w:jc w:val="both"/>
        <w:rPr>
          <w:rFonts w:ascii="Calibri" w:hAnsi="Calibri"/>
          <w:color w:val="000000" w:themeColor="text1"/>
        </w:rPr>
      </w:pPr>
      <w:r>
        <w:rPr>
          <w:rFonts w:ascii="Calibri" w:hAnsi="Calibri"/>
          <w:color w:val="000000" w:themeColor="text1"/>
        </w:rPr>
        <w:t>accommodations in the hotel sector or in the sectors with similar function, including renting of land plots arranged for camping;</w:t>
      </w:r>
    </w:p>
    <w:p w:rsidR="002D6C69" w:rsidRPr="002D6C69" w:rsidRDefault="002D6C69" w:rsidP="00565476">
      <w:pPr>
        <w:numPr>
          <w:ilvl w:val="0"/>
          <w:numId w:val="226"/>
        </w:numPr>
        <w:suppressAutoHyphens/>
        <w:autoSpaceDE w:val="0"/>
        <w:jc w:val="both"/>
        <w:rPr>
          <w:rFonts w:ascii="Calibri" w:hAnsi="Calibri"/>
          <w:color w:val="000000" w:themeColor="text1"/>
        </w:rPr>
      </w:pPr>
      <w:r>
        <w:rPr>
          <w:rFonts w:ascii="Calibri" w:hAnsi="Calibri"/>
          <w:color w:val="000000" w:themeColor="text1"/>
        </w:rPr>
        <w:t>restaurant and catering services, with the exception of alcoholic beverages, other than beer, which fall under code NC 22 03 00 10;</w:t>
      </w:r>
    </w:p>
    <w:p w:rsidR="002D6C69" w:rsidRPr="002D6C69" w:rsidRDefault="002D6C69" w:rsidP="00565476">
      <w:pPr>
        <w:numPr>
          <w:ilvl w:val="0"/>
          <w:numId w:val="226"/>
        </w:numPr>
        <w:tabs>
          <w:tab w:val="left" w:pos="724"/>
        </w:tabs>
        <w:suppressAutoHyphens/>
        <w:jc w:val="both"/>
        <w:rPr>
          <w:rFonts w:ascii="Calibri" w:hAnsi="Calibri"/>
          <w:color w:val="000000" w:themeColor="text1"/>
        </w:rPr>
      </w:pPr>
      <w:r>
        <w:rPr>
          <w:rFonts w:ascii="Calibri" w:hAnsi="Calibri"/>
          <w:color w:val="000000" w:themeColor="text1"/>
        </w:rPr>
        <w:t>services consisting of allowing access to fairs, amusement parks and recreational parks whose activities are classified under NACE codes 9321 and 9329, according to the Classification of activities in the national economy - NACE, updated through the Order of the Chairman of the National Institute of Statistics no. 337/2007;</w:t>
      </w:r>
    </w:p>
    <w:p w:rsidR="002D6C69" w:rsidRPr="002D6C69" w:rsidRDefault="002D6C69" w:rsidP="00565476">
      <w:pPr>
        <w:numPr>
          <w:ilvl w:val="0"/>
          <w:numId w:val="226"/>
        </w:numPr>
        <w:tabs>
          <w:tab w:val="left" w:pos="724"/>
        </w:tabs>
        <w:suppressAutoHyphens/>
        <w:autoSpaceDE w:val="0"/>
        <w:jc w:val="both"/>
        <w:rPr>
          <w:rFonts w:ascii="Calibri" w:hAnsi="Calibri" w:cs="Arial"/>
          <w:color w:val="000000" w:themeColor="text1"/>
        </w:rPr>
      </w:pPr>
      <w:r>
        <w:rPr>
          <w:rFonts w:ascii="Calibri" w:hAnsi="Calibri"/>
          <w:color w:val="000000" w:themeColor="text1"/>
        </w:rPr>
        <w:t>the right of use of sports facilities whose activities are classified under NACE codes 9311 and 9313, according to the Classification of activities in the national economy - NACE, updated through the Order of the Chairman of the National Institute of Statistics no. 337/2007, for the purpose of practicing sports and physical education, other than those exempt in accordance with art. 292 para. (1) letter l).</w:t>
      </w:r>
    </w:p>
    <w:p w:rsidR="002D6C69" w:rsidRPr="002D6C69" w:rsidRDefault="002D6C69" w:rsidP="002D6C69">
      <w:pPr>
        <w:tabs>
          <w:tab w:val="left" w:pos="0"/>
        </w:tabs>
        <w:suppressAutoHyphens/>
        <w:jc w:val="both"/>
        <w:rPr>
          <w:rFonts w:ascii="Calibri" w:eastAsia="Arial" w:hAnsi="Calibri" w:cs="Arial"/>
          <w:i/>
          <w:color w:val="000000" w:themeColor="text1"/>
          <w:lang w:val="ro-RO" w:eastAsia="ro-RO"/>
        </w:rPr>
      </w:pPr>
    </w:p>
    <w:p w:rsidR="002D6C69" w:rsidRPr="002D6C69" w:rsidRDefault="002D6C69" w:rsidP="002D6C69">
      <w:pPr>
        <w:tabs>
          <w:tab w:val="left" w:pos="0"/>
        </w:tabs>
        <w:suppressAutoHyphens/>
        <w:jc w:val="both"/>
        <w:rPr>
          <w:rFonts w:ascii="Calibri" w:hAnsi="Calibri"/>
          <w:color w:val="000000" w:themeColor="text1"/>
        </w:rPr>
      </w:pPr>
      <w:r>
        <w:rPr>
          <w:rFonts w:ascii="Calibri" w:hAnsi="Calibri"/>
          <w:b/>
          <w:i/>
          <w:color w:val="000000" w:themeColor="text1"/>
        </w:rPr>
        <w:t>with applicability as of January 1, 2019:</w:t>
      </w:r>
    </w:p>
    <w:p w:rsidR="002D6C69" w:rsidRPr="002D6C69" w:rsidRDefault="002D6C69" w:rsidP="00565476">
      <w:pPr>
        <w:numPr>
          <w:ilvl w:val="0"/>
          <w:numId w:val="227"/>
        </w:numPr>
        <w:suppressAutoHyphens/>
        <w:autoSpaceDE w:val="0"/>
        <w:jc w:val="both"/>
        <w:rPr>
          <w:rFonts w:ascii="Calibri" w:hAnsi="Calibri"/>
          <w:color w:val="000000" w:themeColor="text1"/>
        </w:rPr>
      </w:pPr>
      <w:r>
        <w:rPr>
          <w:rFonts w:ascii="Calibri" w:hAnsi="Calibri"/>
          <w:color w:val="000000" w:themeColor="text1"/>
        </w:rPr>
        <w:t>the reduction of the VAT rate to 9% for water and sewerage supply services. This measure was introduced by the Romanian Parliament through Law no. 175/2018 amending and supplementing art. 291 para. (2) in Law no. 227/2015 on the Fiscal Code.</w:t>
      </w:r>
    </w:p>
    <w:p w:rsidR="002D6C69" w:rsidRPr="002D6C69" w:rsidRDefault="002D6C69" w:rsidP="002D6C69">
      <w:pPr>
        <w:suppressAutoHyphens/>
        <w:autoSpaceDE w:val="0"/>
        <w:jc w:val="both"/>
        <w:rPr>
          <w:rFonts w:ascii="Calibri" w:hAnsi="Calibri"/>
          <w:color w:val="000000" w:themeColor="text1"/>
          <w:lang w:val="ro-RO" w:eastAsia="zh-CN"/>
        </w:rPr>
      </w:pPr>
    </w:p>
    <w:p w:rsidR="002D6C69" w:rsidRPr="002D6C69" w:rsidRDefault="002D6C69" w:rsidP="00565476">
      <w:pPr>
        <w:numPr>
          <w:ilvl w:val="0"/>
          <w:numId w:val="227"/>
        </w:numPr>
        <w:suppressAutoHyphens/>
        <w:autoSpaceDE w:val="0"/>
        <w:jc w:val="both"/>
        <w:rPr>
          <w:rFonts w:ascii="Calibri" w:hAnsi="Calibri"/>
          <w:color w:val="000000" w:themeColor="text1"/>
        </w:rPr>
      </w:pPr>
      <w:r>
        <w:rPr>
          <w:rFonts w:ascii="Calibri" w:hAnsi="Calibri"/>
          <w:color w:val="000000" w:themeColor="text1"/>
        </w:rPr>
        <w:t xml:space="preserve">Extension until June 30, 2022 of the application of the reverse tax in the field of VAT for the delivery of cereals and technical plants, the transfer of greenhouse gas emission certificates, the delivery of electricity to a taxable person trader established in Romania, the transfer of green certificates, the supplies of mobile phones, of devices with integrated circuits, of game consoles, of PC tablets and laptops, through Government Emergency Ordinance no. 114/2018 on the establishment of measures in the field of public investments and of fiscal and budgetary measures, amending and supplementing certain legislative acts and postponing certain terms. </w:t>
      </w:r>
    </w:p>
    <w:p w:rsidR="002D6C69" w:rsidRPr="002D6C69" w:rsidRDefault="002D6C69" w:rsidP="00565476">
      <w:pPr>
        <w:numPr>
          <w:ilvl w:val="0"/>
          <w:numId w:val="227"/>
        </w:numPr>
        <w:suppressAutoHyphens/>
        <w:autoSpaceDE w:val="0"/>
        <w:jc w:val="both"/>
        <w:rPr>
          <w:rFonts w:ascii="Calibri" w:hAnsi="Calibri"/>
          <w:color w:val="000000" w:themeColor="text1"/>
        </w:rPr>
      </w:pPr>
      <w:r>
        <w:rPr>
          <w:rFonts w:ascii="Calibri" w:hAnsi="Calibri"/>
          <w:color w:val="000000" w:themeColor="text1"/>
        </w:rPr>
        <w:t>extending the VAT rate of 5% for the delivery of housing (those with an area lower than 120 sq. m. and a maximum value of Lei 450,000).</w:t>
      </w:r>
    </w:p>
    <w:p w:rsidR="002D6C69" w:rsidRPr="002D6C69" w:rsidRDefault="002D6C69" w:rsidP="002D6C69">
      <w:pPr>
        <w:suppressAutoHyphens/>
        <w:autoSpaceDE w:val="0"/>
        <w:jc w:val="both"/>
        <w:rPr>
          <w:rFonts w:ascii="Calibri" w:hAnsi="Calibri"/>
          <w:color w:val="000000" w:themeColor="text1"/>
          <w:lang w:val="ro-RO" w:eastAsia="zh-CN"/>
        </w:rPr>
      </w:pPr>
    </w:p>
    <w:p w:rsidR="002D6C69" w:rsidRPr="002D6C69" w:rsidRDefault="002D6C69" w:rsidP="002D6C69">
      <w:pPr>
        <w:suppressAutoHyphens/>
        <w:autoSpaceDE w:val="0"/>
        <w:spacing w:line="276" w:lineRule="auto"/>
        <w:contextualSpacing/>
        <w:jc w:val="both"/>
        <w:rPr>
          <w:rFonts w:ascii="Calibri" w:eastAsia="Calibri" w:hAnsi="Calibri"/>
          <w:color w:val="000000" w:themeColor="text1"/>
        </w:rPr>
      </w:pPr>
      <w:r>
        <w:rPr>
          <w:rFonts w:ascii="Calibri" w:hAnsi="Calibri"/>
          <w:color w:val="000000" w:themeColor="text1"/>
        </w:rPr>
        <w:t>with applicability as of January 13, 2019:</w:t>
      </w:r>
    </w:p>
    <w:p w:rsidR="002D6C69" w:rsidRPr="002D6C69" w:rsidRDefault="002D6C69" w:rsidP="00565476">
      <w:pPr>
        <w:numPr>
          <w:ilvl w:val="0"/>
          <w:numId w:val="229"/>
        </w:numPr>
        <w:suppressAutoHyphens/>
        <w:autoSpaceDE w:val="0"/>
        <w:jc w:val="both"/>
        <w:rPr>
          <w:rFonts w:ascii="Calibri" w:hAnsi="Calibri"/>
          <w:color w:val="000000" w:themeColor="text1"/>
        </w:rPr>
      </w:pPr>
      <w:r>
        <w:rPr>
          <w:rFonts w:ascii="Calibri" w:hAnsi="Calibri"/>
          <w:color w:val="000000" w:themeColor="text1"/>
        </w:rPr>
        <w:t>extending the VAT rate of 5% for:</w:t>
      </w:r>
    </w:p>
    <w:p w:rsidR="002D6C69" w:rsidRPr="002D6C69" w:rsidRDefault="002D6C69" w:rsidP="00565476">
      <w:pPr>
        <w:numPr>
          <w:ilvl w:val="0"/>
          <w:numId w:val="228"/>
        </w:numPr>
        <w:suppressAutoHyphens/>
        <w:autoSpaceDE w:val="0"/>
        <w:jc w:val="both"/>
        <w:rPr>
          <w:rFonts w:ascii="Calibri" w:hAnsi="Calibri"/>
          <w:color w:val="000000" w:themeColor="text1"/>
        </w:rPr>
      </w:pPr>
      <w:r>
        <w:rPr>
          <w:rFonts w:ascii="Calibri" w:hAnsi="Calibri"/>
          <w:color w:val="000000" w:themeColor="text1"/>
        </w:rPr>
        <w:t>passenger transport with trains or historical steam powered traction vehicles on narrow lines for tourism or recreation;</w:t>
      </w:r>
    </w:p>
    <w:p w:rsidR="002D6C69" w:rsidRPr="002D6C69" w:rsidRDefault="002D6C69" w:rsidP="00565476">
      <w:pPr>
        <w:numPr>
          <w:ilvl w:val="0"/>
          <w:numId w:val="228"/>
        </w:numPr>
        <w:suppressAutoHyphens/>
        <w:autoSpaceDE w:val="0"/>
        <w:jc w:val="both"/>
        <w:rPr>
          <w:rFonts w:ascii="Calibri" w:hAnsi="Calibri"/>
          <w:color w:val="000000" w:themeColor="text1"/>
        </w:rPr>
      </w:pPr>
      <w:r>
        <w:rPr>
          <w:rFonts w:ascii="Calibri" w:hAnsi="Calibri"/>
          <w:color w:val="000000" w:themeColor="text1"/>
        </w:rPr>
        <w:t>passenger transport using transport with cabins, gondola, chairlift, lift - for tourism or recreation;</w:t>
      </w:r>
    </w:p>
    <w:p w:rsidR="002D6C69" w:rsidRPr="002D6C69" w:rsidRDefault="002D6C69" w:rsidP="00565476">
      <w:pPr>
        <w:numPr>
          <w:ilvl w:val="0"/>
          <w:numId w:val="228"/>
        </w:numPr>
        <w:suppressAutoHyphens/>
        <w:autoSpaceDE w:val="0"/>
        <w:jc w:val="both"/>
        <w:rPr>
          <w:rFonts w:ascii="Calibri" w:hAnsi="Calibri"/>
          <w:color w:val="000000" w:themeColor="text1"/>
        </w:rPr>
      </w:pPr>
      <w:r>
        <w:rPr>
          <w:rFonts w:ascii="Calibri" w:hAnsi="Calibri"/>
          <w:color w:val="000000" w:themeColor="text1"/>
        </w:rPr>
        <w:t>passenger transport with animal traction vehicles for tourism or recreation;</w:t>
      </w:r>
    </w:p>
    <w:p w:rsidR="002D6C69" w:rsidRPr="002D6C69" w:rsidRDefault="002D6C69" w:rsidP="00565476">
      <w:pPr>
        <w:numPr>
          <w:ilvl w:val="0"/>
          <w:numId w:val="228"/>
        </w:numPr>
        <w:suppressAutoHyphens/>
        <w:autoSpaceDE w:val="0"/>
        <w:jc w:val="both"/>
        <w:rPr>
          <w:rFonts w:ascii="Calibri" w:hAnsi="Calibri"/>
          <w:color w:val="000000" w:themeColor="text1"/>
        </w:rPr>
      </w:pPr>
      <w:r>
        <w:rPr>
          <w:rFonts w:ascii="Calibri" w:hAnsi="Calibri"/>
          <w:color w:val="000000" w:themeColor="text1"/>
        </w:rPr>
        <w:t>passenger transport with boats used for tourism or recreation.</w:t>
      </w:r>
    </w:p>
    <w:p w:rsidR="002D6C69" w:rsidRPr="002D6C69" w:rsidRDefault="002D6C69" w:rsidP="002D6C69">
      <w:pPr>
        <w:suppressAutoHyphens/>
        <w:autoSpaceDE w:val="0"/>
        <w:jc w:val="both"/>
        <w:rPr>
          <w:rFonts w:ascii="Calibri" w:hAnsi="Calibri"/>
          <w:color w:val="000000" w:themeColor="text1"/>
        </w:rPr>
      </w:pPr>
      <w:r>
        <w:rPr>
          <w:rFonts w:ascii="Calibri" w:hAnsi="Calibri"/>
          <w:color w:val="000000" w:themeColor="text1"/>
        </w:rPr>
        <w:t xml:space="preserve">At the same time, considering Romania’s obligation in its capacity as Member State of the European Union to harmonize the national legislation with the legislation of the European Union was elaborated a draft law which transposed into the national legislation the provisions of the following directives: </w:t>
      </w:r>
    </w:p>
    <w:p w:rsidR="002D6C69" w:rsidRPr="002D6C69" w:rsidRDefault="002D6C69" w:rsidP="002D6C69">
      <w:pPr>
        <w:suppressAutoHyphens/>
        <w:jc w:val="both"/>
        <w:rPr>
          <w:rFonts w:ascii="Calibri" w:hAnsi="Calibri"/>
          <w:color w:val="000000" w:themeColor="text1"/>
        </w:rPr>
      </w:pPr>
      <w:r>
        <w:rPr>
          <w:rFonts w:ascii="Calibri" w:hAnsi="Calibri"/>
          <w:b/>
          <w:color w:val="000000" w:themeColor="text1"/>
        </w:rPr>
        <w:t>Directive (EU) 2016/1065</w:t>
      </w:r>
      <w:r>
        <w:rPr>
          <w:rFonts w:ascii="Calibri" w:hAnsi="Calibri"/>
          <w:color w:val="000000" w:themeColor="text1"/>
        </w:rPr>
        <w:t xml:space="preserve"> of the Council of June 27, 2016 amending Directive 2006/112/EC as regards the treatment of vouchers and </w:t>
      </w:r>
      <w:r>
        <w:rPr>
          <w:rFonts w:ascii="Calibri" w:hAnsi="Calibri"/>
          <w:b/>
          <w:color w:val="000000" w:themeColor="text1"/>
        </w:rPr>
        <w:t>art. 1 in Directive (EU) 2017/2455</w:t>
      </w:r>
      <w:r>
        <w:rPr>
          <w:rFonts w:ascii="Calibri" w:hAnsi="Calibri"/>
          <w:color w:val="000000" w:themeColor="text1"/>
        </w:rPr>
        <w:t xml:space="preserve"> of the Council of December 5, 2017 amending Directive 2006/112/EC and Directive 2009/132/EC as regards certain value added tax obligations for supplies of services and distance sales of goods.</w:t>
      </w:r>
    </w:p>
    <w:p w:rsidR="002D6C69" w:rsidRPr="002D6C69" w:rsidRDefault="002D6C69" w:rsidP="002D6C69">
      <w:pPr>
        <w:suppressAutoHyphens/>
        <w:ind w:left="362"/>
        <w:jc w:val="both"/>
        <w:rPr>
          <w:rFonts w:ascii="Calibri" w:eastAsia="SimSun" w:hAnsi="Calibri" w:cs="Arial"/>
          <w:color w:val="000000" w:themeColor="text1"/>
          <w:shd w:val="clear" w:color="auto" w:fill="FFFFFF"/>
          <w:lang w:val="ro-RO" w:eastAsia="ro-RO"/>
        </w:rPr>
      </w:pPr>
    </w:p>
    <w:p w:rsidR="002D6C69" w:rsidRPr="002D6C69" w:rsidRDefault="002D6C69" w:rsidP="002D6C69">
      <w:pPr>
        <w:tabs>
          <w:tab w:val="left" w:pos="0"/>
        </w:tabs>
        <w:suppressAutoHyphens/>
        <w:jc w:val="both"/>
        <w:rPr>
          <w:rFonts w:ascii="Calibri" w:hAnsi="Calibri" w:cs="Arial"/>
          <w:color w:val="000000" w:themeColor="text1"/>
        </w:rPr>
      </w:pPr>
      <w:r>
        <w:rPr>
          <w:rFonts w:ascii="Calibri" w:hAnsi="Calibri"/>
          <w:b/>
          <w:color w:val="000000" w:themeColor="text1"/>
        </w:rPr>
        <w:t>In the field of excise duties</w:t>
      </w:r>
      <w:r>
        <w:rPr>
          <w:rFonts w:ascii="Calibri" w:hAnsi="Calibri"/>
          <w:color w:val="000000" w:themeColor="text1"/>
        </w:rPr>
        <w:t xml:space="preserve"> were adopted the following measures:</w:t>
      </w:r>
    </w:p>
    <w:p w:rsidR="002D6C69" w:rsidRPr="002D6C69" w:rsidRDefault="002D6C69" w:rsidP="002D6C69">
      <w:pPr>
        <w:tabs>
          <w:tab w:val="left" w:pos="0"/>
        </w:tabs>
        <w:suppressAutoHyphens/>
        <w:jc w:val="both"/>
        <w:rPr>
          <w:rFonts w:ascii="Calibri" w:hAnsi="Calibri" w:cs="Arial"/>
          <w:color w:val="000000" w:themeColor="text1"/>
          <w:lang w:val="ro-RO" w:eastAsia="zh-CN"/>
        </w:rPr>
      </w:pPr>
    </w:p>
    <w:p w:rsidR="002D6C69" w:rsidRPr="002D6C69" w:rsidRDefault="002D6C69" w:rsidP="002D6C69">
      <w:pPr>
        <w:tabs>
          <w:tab w:val="left" w:pos="0"/>
        </w:tabs>
        <w:suppressAutoHyphens/>
        <w:autoSpaceDE w:val="0"/>
        <w:jc w:val="both"/>
        <w:rPr>
          <w:rFonts w:ascii="Calibri" w:hAnsi="Calibri"/>
          <w:color w:val="000000" w:themeColor="text1"/>
        </w:rPr>
      </w:pPr>
      <w:r>
        <w:rPr>
          <w:rFonts w:ascii="Calibri" w:hAnsi="Calibri"/>
          <w:b/>
          <w:bCs/>
          <w:i/>
          <w:color w:val="000000" w:themeColor="text1"/>
          <w:shd w:val="clear" w:color="auto" w:fill="FFFFFF"/>
        </w:rPr>
        <w:t>with applicability as of January 01, 2018:</w:t>
      </w:r>
    </w:p>
    <w:p w:rsidR="002D6C69" w:rsidRPr="002D6C69" w:rsidRDefault="002D6C69" w:rsidP="00565476">
      <w:pPr>
        <w:numPr>
          <w:ilvl w:val="0"/>
          <w:numId w:val="229"/>
        </w:numPr>
        <w:tabs>
          <w:tab w:val="left" w:pos="0"/>
        </w:tabs>
        <w:suppressAutoHyphens/>
        <w:jc w:val="both"/>
        <w:rPr>
          <w:rFonts w:ascii="Calibri" w:eastAsia="Arial (W1)" w:hAnsi="Calibri" w:cs="Arial"/>
          <w:color w:val="000000" w:themeColor="text1"/>
        </w:rPr>
      </w:pPr>
      <w:r>
        <w:rPr>
          <w:rFonts w:ascii="Calibri" w:hAnsi="Calibri"/>
          <w:color w:val="000000" w:themeColor="text1"/>
        </w:rPr>
        <w:t>Was increased the level of excise duties for finely cut smoking tobacco used for rolling cigarettes, as well as for other smoking tobacco from Lei 383.78/kg to Lei 398.70/kg.</w:t>
      </w:r>
    </w:p>
    <w:p w:rsidR="002D6C69" w:rsidRPr="002D6C69" w:rsidRDefault="002D6C69" w:rsidP="002D6C69">
      <w:pPr>
        <w:suppressAutoHyphens/>
        <w:autoSpaceDE w:val="0"/>
        <w:jc w:val="both"/>
        <w:rPr>
          <w:rFonts w:ascii="Calibri" w:eastAsia="Arial" w:hAnsi="Calibri" w:cs="Arial"/>
          <w:b/>
          <w:bCs/>
          <w:i/>
          <w:color w:val="000000" w:themeColor="text1"/>
          <w:shd w:val="clear" w:color="auto" w:fill="FFFFFF"/>
          <w:lang w:val="it-IT" w:eastAsia="zh-CN"/>
        </w:rPr>
      </w:pPr>
    </w:p>
    <w:p w:rsidR="002D6C69" w:rsidRPr="002D6C69" w:rsidRDefault="002D6C69" w:rsidP="002D6C69">
      <w:pPr>
        <w:suppressAutoHyphens/>
        <w:autoSpaceDE w:val="0"/>
        <w:jc w:val="both"/>
        <w:rPr>
          <w:rFonts w:ascii="Calibri" w:hAnsi="Calibri"/>
          <w:color w:val="000000" w:themeColor="text1"/>
        </w:rPr>
      </w:pPr>
      <w:r>
        <w:rPr>
          <w:rFonts w:ascii="Calibri" w:hAnsi="Calibri"/>
          <w:b/>
          <w:bCs/>
          <w:i/>
          <w:color w:val="000000" w:themeColor="text1"/>
          <w:shd w:val="clear" w:color="auto" w:fill="FFFFFF"/>
        </w:rPr>
        <w:t>with applicability as of April 01, 2018:</w:t>
      </w:r>
    </w:p>
    <w:p w:rsidR="002D6C69" w:rsidRPr="002D6C69" w:rsidRDefault="002D6C69" w:rsidP="00565476">
      <w:pPr>
        <w:numPr>
          <w:ilvl w:val="0"/>
          <w:numId w:val="229"/>
        </w:numPr>
        <w:suppressAutoHyphens/>
        <w:autoSpaceDE w:val="0"/>
        <w:jc w:val="both"/>
        <w:rPr>
          <w:rFonts w:ascii="Calibri" w:hAnsi="Calibri"/>
          <w:color w:val="000000" w:themeColor="text1"/>
        </w:rPr>
      </w:pPr>
      <w:r>
        <w:rPr>
          <w:rFonts w:ascii="Calibri" w:hAnsi="Calibri"/>
          <w:color w:val="000000" w:themeColor="text1"/>
        </w:rPr>
        <w:t>Was increased the level of the total excise duty for cigarettes from Lei 439.94/1000 cigarettes to Lei 448.74/1000 cigarettes.</w:t>
      </w:r>
    </w:p>
    <w:p w:rsidR="002D6C69" w:rsidRPr="002D6C69" w:rsidRDefault="002D6C69" w:rsidP="00565476">
      <w:pPr>
        <w:numPr>
          <w:ilvl w:val="0"/>
          <w:numId w:val="229"/>
        </w:numPr>
        <w:suppressAutoHyphens/>
        <w:autoSpaceDE w:val="0"/>
        <w:jc w:val="both"/>
        <w:rPr>
          <w:rFonts w:ascii="Calibri" w:hAnsi="Calibri" w:cs="Arial"/>
          <w:color w:val="000000" w:themeColor="text1"/>
        </w:rPr>
      </w:pPr>
      <w:r>
        <w:rPr>
          <w:rFonts w:ascii="Calibri" w:hAnsi="Calibri"/>
          <w:color w:val="000000" w:themeColor="text1"/>
        </w:rPr>
        <w:t xml:space="preserve">At the same time, according to the provisions in Government Ordinance no. 25/2018 </w:t>
      </w:r>
      <w:r>
        <w:rPr>
          <w:rFonts w:ascii="Calibri" w:hAnsi="Calibri"/>
          <w:i/>
          <w:color w:val="000000" w:themeColor="text1"/>
        </w:rPr>
        <w:t>amending and supplementing certain legislative acts, as well as approving certain fiscal and budgetary measures</w:t>
      </w:r>
      <w:r>
        <w:rPr>
          <w:rFonts w:ascii="Calibri" w:hAnsi="Calibri"/>
          <w:color w:val="000000" w:themeColor="text1"/>
        </w:rPr>
        <w:t xml:space="preserve"> it was established a level of the excise duties differentiated for diesel used as fuel for road freight transport on one’s own account or on another’s account, as well as for passenger transport, either regular or occasional, excluding local public passenger transport, through the decrease by Lei 183.62/1,000 liters, respectively Lei 217.31/ton of the standard level provided for diesel in annex no. 1 of Title VIII in the Fiscal Code.</w:t>
      </w:r>
    </w:p>
    <w:p w:rsidR="002D6C69" w:rsidRPr="002D6C69" w:rsidRDefault="002D6C69" w:rsidP="002D6C69">
      <w:pPr>
        <w:suppressAutoHyphens/>
        <w:autoSpaceDE w:val="0"/>
        <w:jc w:val="both"/>
        <w:rPr>
          <w:rFonts w:ascii="Calibri" w:eastAsia="Arial" w:hAnsi="Calibri" w:cs="Arial"/>
          <w:b/>
          <w:bCs/>
          <w:i/>
          <w:color w:val="000000" w:themeColor="text1"/>
          <w:highlight w:val="white"/>
          <w:lang w:val="it-IT" w:eastAsia="zh-CN"/>
        </w:rPr>
      </w:pPr>
    </w:p>
    <w:p w:rsidR="002D6C69" w:rsidRPr="002D6C69" w:rsidRDefault="002D6C69" w:rsidP="002D6C69">
      <w:pPr>
        <w:suppressAutoHyphens/>
        <w:autoSpaceDE w:val="0"/>
        <w:jc w:val="both"/>
        <w:rPr>
          <w:rFonts w:ascii="Calibri" w:hAnsi="Calibri"/>
          <w:color w:val="000000" w:themeColor="text1"/>
        </w:rPr>
      </w:pPr>
      <w:r>
        <w:rPr>
          <w:rFonts w:ascii="Calibri" w:hAnsi="Calibri"/>
          <w:b/>
          <w:bCs/>
          <w:i/>
          <w:color w:val="000000" w:themeColor="text1"/>
          <w:highlight w:val="white"/>
        </w:rPr>
        <w:t>with applicability as of January 01, 2019:</w:t>
      </w:r>
    </w:p>
    <w:p w:rsidR="002D6C69" w:rsidRPr="002D6C69" w:rsidRDefault="002D6C69" w:rsidP="00565476">
      <w:pPr>
        <w:numPr>
          <w:ilvl w:val="0"/>
          <w:numId w:val="230"/>
        </w:numPr>
        <w:suppressAutoHyphens/>
        <w:autoSpaceDE w:val="0"/>
        <w:jc w:val="both"/>
        <w:rPr>
          <w:rFonts w:ascii="Calibri" w:hAnsi="Calibri"/>
          <w:color w:val="000000" w:themeColor="text1"/>
        </w:rPr>
      </w:pPr>
      <w:r>
        <w:rPr>
          <w:rFonts w:ascii="Calibri" w:hAnsi="Calibri"/>
          <w:color w:val="000000" w:themeColor="text1"/>
        </w:rPr>
        <w:t xml:space="preserve">Was increased the level of the total excise duty for cigarettes from Lei 448.74/1000 cigarettes to Lei 483.74/1000 cigarettes and was provided in a gradual increase calendar of the level of the total excise duty for cigarettes through Government Emergency Ordinance no. 114/2018 </w:t>
      </w:r>
      <w:r>
        <w:rPr>
          <w:rFonts w:ascii="Calibri" w:hAnsi="Calibri"/>
          <w:i/>
          <w:color w:val="000000" w:themeColor="text1"/>
        </w:rPr>
        <w:t>on the establishment of certain measures in the field of public investments and of certain fiscal and budgetary measures, the amendment and supplementation of certain legislative acts and the postponement of certain terms.</w:t>
      </w:r>
    </w:p>
    <w:p w:rsidR="001D5EB6" w:rsidRPr="001D5EB6" w:rsidRDefault="001D5EB6" w:rsidP="00A05FB4">
      <w:pPr>
        <w:suppressAutoHyphens/>
        <w:jc w:val="both"/>
        <w:rPr>
          <w:rFonts w:asciiTheme="minorHAnsi" w:hAnsiTheme="minorHAnsi"/>
          <w:color w:val="000000" w:themeColor="text1"/>
          <w:lang w:val="fr-BE" w:eastAsia="zh-CN"/>
        </w:rPr>
      </w:pPr>
    </w:p>
    <w:p w:rsidR="000050E5" w:rsidRPr="00FA2A39" w:rsidRDefault="000050E5" w:rsidP="000050E5">
      <w:pPr>
        <w:tabs>
          <w:tab w:val="left" w:pos="0"/>
        </w:tabs>
        <w:suppressAutoHyphens/>
        <w:jc w:val="both"/>
        <w:rPr>
          <w:rFonts w:asciiTheme="minorHAnsi" w:hAnsiTheme="minorHAnsi" w:cs="Arial"/>
          <w:bCs/>
          <w:kern w:val="1"/>
          <w:lang w:val="ro-RO" w:eastAsia="zh-CN"/>
        </w:rPr>
      </w:pPr>
    </w:p>
    <w:p w:rsidR="0002401E" w:rsidRPr="003C5DCD" w:rsidRDefault="0002401E" w:rsidP="000A2B70">
      <w:pPr>
        <w:shd w:val="clear" w:color="auto" w:fill="9CC2E5" w:themeFill="accent1" w:themeFillTint="99"/>
        <w:autoSpaceDE w:val="0"/>
        <w:autoSpaceDN w:val="0"/>
        <w:adjustRightInd w:val="0"/>
        <w:spacing w:before="120" w:line="276" w:lineRule="auto"/>
        <w:jc w:val="both"/>
        <w:rPr>
          <w:rFonts w:ascii="Calibri" w:hAnsi="Calibri"/>
          <w:color w:val="002060"/>
        </w:rPr>
      </w:pPr>
      <w:r>
        <w:rPr>
          <w:rFonts w:ascii="Calibri" w:hAnsi="Calibri"/>
          <w:b/>
          <w:bCs/>
          <w:color w:val="002060"/>
        </w:rPr>
        <w:t xml:space="preserve">4.2.  </w:t>
      </w:r>
      <w:r w:rsidR="00F00F75">
        <w:rPr>
          <w:rFonts w:ascii="Calibri" w:hAnsi="Calibri"/>
          <w:b/>
          <w:bCs/>
          <w:color w:val="002060"/>
        </w:rPr>
        <w:t>Brief</w:t>
      </w:r>
      <w:r>
        <w:rPr>
          <w:rFonts w:ascii="Calibri" w:hAnsi="Calibri"/>
          <w:b/>
          <w:bCs/>
          <w:color w:val="002060"/>
        </w:rPr>
        <w:t xml:space="preserve"> characterization of the fiscal policy for 2019-2021, main medium-term objectives </w:t>
      </w:r>
    </w:p>
    <w:p w:rsidR="002D6C69" w:rsidRPr="002D6C69" w:rsidRDefault="002D6C69" w:rsidP="002D6C69">
      <w:pPr>
        <w:suppressAutoHyphens/>
        <w:autoSpaceDE w:val="0"/>
        <w:jc w:val="both"/>
        <w:rPr>
          <w:rFonts w:ascii="Calibri" w:hAnsi="Calibri"/>
        </w:rPr>
      </w:pPr>
      <w:r>
        <w:rPr>
          <w:rFonts w:ascii="Calibri" w:hAnsi="Calibri"/>
        </w:rPr>
        <w:t>The main objectives of the fiscal policy taken into account for medium term mainly refer to the following aspects:</w:t>
      </w:r>
    </w:p>
    <w:p w:rsidR="002D6C69" w:rsidRPr="002D6C69" w:rsidRDefault="002D6C69" w:rsidP="00565476">
      <w:pPr>
        <w:numPr>
          <w:ilvl w:val="0"/>
          <w:numId w:val="212"/>
        </w:numPr>
        <w:tabs>
          <w:tab w:val="clear" w:pos="720"/>
          <w:tab w:val="num" w:pos="-1800"/>
          <w:tab w:val="num" w:pos="0"/>
        </w:tabs>
        <w:suppressAutoHyphens/>
        <w:autoSpaceDE w:val="0"/>
        <w:jc w:val="both"/>
        <w:rPr>
          <w:rFonts w:ascii="Calibri" w:hAnsi="Calibri"/>
        </w:rPr>
      </w:pPr>
      <w:r>
        <w:rPr>
          <w:rFonts w:ascii="Calibri" w:hAnsi="Calibri"/>
        </w:rPr>
        <w:t>Continued implementation of the measures included in the Government Programme for 2018 - 2020, as the fiscal and budgetary space allows it;</w:t>
      </w:r>
    </w:p>
    <w:p w:rsidR="002D6C69" w:rsidRPr="002D6C69" w:rsidRDefault="002D6C69" w:rsidP="00565476">
      <w:pPr>
        <w:numPr>
          <w:ilvl w:val="0"/>
          <w:numId w:val="212"/>
        </w:numPr>
        <w:tabs>
          <w:tab w:val="clear" w:pos="720"/>
          <w:tab w:val="num" w:pos="-1800"/>
          <w:tab w:val="num" w:pos="0"/>
        </w:tabs>
        <w:suppressAutoHyphens/>
        <w:autoSpaceDE w:val="0"/>
        <w:jc w:val="both"/>
        <w:rPr>
          <w:rFonts w:ascii="Calibri" w:hAnsi="Calibri"/>
        </w:rPr>
      </w:pPr>
      <w:r>
        <w:rPr>
          <w:rFonts w:ascii="Calibri" w:hAnsi="Calibri"/>
        </w:rPr>
        <w:t>Continued improvement of the legislation to correspond to the criteria of harmonization with the Community legislation, through transposition into the national legislation of the measures adopted at European level;</w:t>
      </w:r>
    </w:p>
    <w:p w:rsidR="002D6C69" w:rsidRPr="002D6C69" w:rsidRDefault="002D6C69" w:rsidP="00565476">
      <w:pPr>
        <w:numPr>
          <w:ilvl w:val="0"/>
          <w:numId w:val="212"/>
        </w:numPr>
        <w:tabs>
          <w:tab w:val="clear" w:pos="720"/>
          <w:tab w:val="num" w:pos="-1800"/>
          <w:tab w:val="num" w:pos="0"/>
        </w:tabs>
        <w:suppressAutoHyphens/>
        <w:autoSpaceDE w:val="0"/>
        <w:jc w:val="both"/>
        <w:rPr>
          <w:rFonts w:ascii="Calibri" w:hAnsi="Calibri"/>
        </w:rPr>
      </w:pPr>
      <w:r>
        <w:rPr>
          <w:rFonts w:ascii="Calibri" w:hAnsi="Calibri"/>
        </w:rPr>
        <w:t>Improvement and simplification of the fiscal legislation, as a result of the dialogue with the business environment;</w:t>
      </w:r>
    </w:p>
    <w:p w:rsidR="002D6C69" w:rsidRPr="002D6C69" w:rsidRDefault="002D6C69" w:rsidP="00565476">
      <w:pPr>
        <w:numPr>
          <w:ilvl w:val="0"/>
          <w:numId w:val="212"/>
        </w:numPr>
        <w:tabs>
          <w:tab w:val="clear" w:pos="720"/>
          <w:tab w:val="num" w:pos="-1800"/>
          <w:tab w:val="num" w:pos="0"/>
        </w:tabs>
        <w:suppressAutoHyphens/>
        <w:autoSpaceDE w:val="0"/>
        <w:jc w:val="both"/>
        <w:rPr>
          <w:rFonts w:ascii="Calibri" w:hAnsi="Calibri"/>
        </w:rPr>
      </w:pPr>
      <w:r>
        <w:rPr>
          <w:rFonts w:ascii="Calibri" w:hAnsi="Calibri"/>
        </w:rPr>
        <w:t>Improving the legislation according to evasion phenomena, in order to fight them.</w:t>
      </w:r>
    </w:p>
    <w:p w:rsidR="002D6C69" w:rsidRPr="002D6C69" w:rsidRDefault="002D6C69" w:rsidP="002D6C69">
      <w:pPr>
        <w:suppressAutoHyphens/>
        <w:autoSpaceDE w:val="0"/>
        <w:spacing w:after="160" w:line="259" w:lineRule="auto"/>
        <w:ind w:left="720"/>
        <w:jc w:val="both"/>
        <w:rPr>
          <w:rFonts w:asciiTheme="minorHAnsi" w:hAnsiTheme="minorHAnsi"/>
          <w:lang w:val="en-GB" w:eastAsia="zh-CN"/>
        </w:rPr>
      </w:pPr>
    </w:p>
    <w:p w:rsidR="002D6C69" w:rsidRPr="002D6C69" w:rsidRDefault="002D6C69" w:rsidP="002D6C69">
      <w:pPr>
        <w:widowControl w:val="0"/>
        <w:tabs>
          <w:tab w:val="num" w:pos="1920"/>
        </w:tabs>
        <w:spacing w:before="120"/>
        <w:jc w:val="both"/>
        <w:rPr>
          <w:rFonts w:ascii="Calibri" w:hAnsi="Calibri" w:cs="Arial"/>
        </w:rPr>
      </w:pPr>
      <w:r>
        <w:rPr>
          <w:rFonts w:ascii="Calibri" w:hAnsi="Calibri"/>
          <w:b/>
          <w:color w:val="000050"/>
        </w:rPr>
        <w:t>The projection of the revenues of the general consolidated budget for the period 2019-2021</w:t>
      </w:r>
      <w:r>
        <w:rPr>
          <w:rFonts w:ascii="Calibri" w:hAnsi="Calibri"/>
        </w:rPr>
        <w:t xml:space="preserve"> was made on the basis of the macroeconomic indicators for the reference horizon, as well as of the current regulations from the fiscal field.</w:t>
      </w:r>
    </w:p>
    <w:p w:rsidR="002D6C69" w:rsidRPr="002D6C69" w:rsidRDefault="002D6C69" w:rsidP="002D6C69">
      <w:pPr>
        <w:widowControl w:val="0"/>
        <w:tabs>
          <w:tab w:val="num" w:pos="1920"/>
        </w:tabs>
        <w:spacing w:before="120"/>
        <w:jc w:val="both"/>
        <w:rPr>
          <w:rFonts w:ascii="Calibri" w:hAnsi="Calibri" w:cs="Arial"/>
        </w:rPr>
      </w:pPr>
      <w:r>
        <w:rPr>
          <w:rFonts w:ascii="Calibri" w:hAnsi="Calibri"/>
        </w:rPr>
        <w:t>On medium term, based on economic revival, budget revenues will follow an ascending trend in nominal value, as well as percentage of the GDP.</w:t>
      </w:r>
    </w:p>
    <w:p w:rsidR="002D6C69" w:rsidRPr="002D6C69" w:rsidRDefault="002D6C69" w:rsidP="002D6C69">
      <w:pPr>
        <w:widowControl w:val="0"/>
        <w:tabs>
          <w:tab w:val="num" w:pos="1920"/>
        </w:tabs>
        <w:spacing w:before="120"/>
        <w:jc w:val="both"/>
        <w:rPr>
          <w:rFonts w:ascii="Calibri" w:hAnsi="Calibri" w:cs="Arial"/>
          <w:color w:val="000000" w:themeColor="text1"/>
        </w:rPr>
      </w:pPr>
      <w:r>
        <w:rPr>
          <w:rFonts w:ascii="Calibri" w:hAnsi="Calibri"/>
        </w:rPr>
        <w:t>Thus, in 2019, budget revenues in nominal terms are estimated at 342.7 billion Lei (33.51% of GDP), increasing in nominal value on the reference horizon and reaching 354.8 billion Lei in 2020 (32.23% of the GDP), and 376.8 billion Lei in 2021, respectively a nominal increase of 34.1 billion Lei compared to 2019.</w:t>
      </w:r>
    </w:p>
    <w:p w:rsidR="002D6C69" w:rsidRPr="002D6C69" w:rsidRDefault="002D6C69" w:rsidP="002D6C69">
      <w:pPr>
        <w:widowControl w:val="0"/>
        <w:tabs>
          <w:tab w:val="num" w:pos="1920"/>
        </w:tabs>
        <w:spacing w:before="120"/>
        <w:jc w:val="both"/>
        <w:rPr>
          <w:rFonts w:ascii="Calibri" w:hAnsi="Calibri" w:cs="Arial"/>
        </w:rPr>
      </w:pPr>
      <w:r>
        <w:rPr>
          <w:rFonts w:ascii="Calibri" w:hAnsi="Calibri"/>
        </w:rPr>
        <w:t xml:space="preserve">The biggest shares in the budget revenues are held by </w:t>
      </w:r>
      <w:r>
        <w:rPr>
          <w:rFonts w:ascii="Calibri" w:hAnsi="Calibri"/>
          <w:b/>
          <w:color w:val="000050"/>
        </w:rPr>
        <w:t xml:space="preserve">social insurance contributions </w:t>
      </w:r>
      <w:r>
        <w:rPr>
          <w:rFonts w:ascii="Calibri" w:hAnsi="Calibri"/>
        </w:rPr>
        <w:t>(34.2) , VAT( 20.3 %),</w:t>
      </w:r>
      <w:r>
        <w:rPr>
          <w:rFonts w:ascii="Calibri" w:hAnsi="Calibri"/>
          <w:b/>
        </w:rPr>
        <w:t xml:space="preserve"> amounts received from the EU </w:t>
      </w:r>
      <w:r>
        <w:rPr>
          <w:rFonts w:ascii="Calibri" w:hAnsi="Calibri"/>
        </w:rPr>
        <w:t xml:space="preserve">(9.8% of the total), </w:t>
      </w:r>
      <w:r>
        <w:rPr>
          <w:rFonts w:ascii="Calibri" w:hAnsi="Calibri"/>
          <w:b/>
        </w:rPr>
        <w:t>excise duties</w:t>
      </w:r>
      <w:r>
        <w:rPr>
          <w:rFonts w:ascii="Calibri" w:hAnsi="Calibri"/>
        </w:rPr>
        <w:t xml:space="preserve"> (9.1%), </w:t>
      </w:r>
      <w:r>
        <w:rPr>
          <w:rFonts w:ascii="Calibri" w:hAnsi="Calibri"/>
          <w:b/>
        </w:rPr>
        <w:t>non-fiscal revenues</w:t>
      </w:r>
      <w:r>
        <w:rPr>
          <w:rFonts w:ascii="Calibri" w:hAnsi="Calibri"/>
        </w:rPr>
        <w:t xml:space="preserve"> ( 8.3 %),  </w:t>
      </w:r>
      <w:r>
        <w:rPr>
          <w:rFonts w:ascii="Calibri" w:hAnsi="Calibri"/>
          <w:b/>
        </w:rPr>
        <w:t xml:space="preserve">personal income and salary tax </w:t>
      </w:r>
      <w:r>
        <w:rPr>
          <w:rFonts w:ascii="Calibri" w:hAnsi="Calibri"/>
        </w:rPr>
        <w:t>(6.9 %).</w:t>
      </w:r>
    </w:p>
    <w:p w:rsidR="00BD58B2" w:rsidRDefault="00BD58B2" w:rsidP="003221FD">
      <w:pPr>
        <w:tabs>
          <w:tab w:val="left" w:pos="993"/>
        </w:tabs>
        <w:suppressAutoHyphens/>
        <w:overflowPunct w:val="0"/>
        <w:autoSpaceDE w:val="0"/>
        <w:jc w:val="both"/>
        <w:textAlignment w:val="baseline"/>
        <w:rPr>
          <w:rFonts w:ascii="Calibri" w:hAnsi="Calibri" w:cs="Arial"/>
          <w:b/>
          <w:bCs/>
          <w:lang w:val="ro-RO"/>
        </w:rPr>
      </w:pPr>
    </w:p>
    <w:p w:rsidR="003C5DCD" w:rsidRPr="00C86702" w:rsidRDefault="003C5DCD" w:rsidP="0002401E">
      <w:pPr>
        <w:suppressAutoHyphens/>
        <w:jc w:val="both"/>
        <w:rPr>
          <w:rFonts w:ascii="Calibri" w:hAnsi="Calibri" w:cs="Arial"/>
          <w:lang w:val="ro-RO"/>
        </w:rPr>
      </w:pPr>
    </w:p>
    <w:p w:rsidR="0032532F" w:rsidRPr="0002401E" w:rsidRDefault="004631BC" w:rsidP="0002401E">
      <w:pPr>
        <w:keepLines/>
        <w:widowControl w:val="0"/>
        <w:shd w:val="clear" w:color="auto" w:fill="9CC2E5" w:themeFill="accent1" w:themeFillTint="99"/>
        <w:spacing w:line="320" w:lineRule="exact"/>
        <w:jc w:val="both"/>
        <w:rPr>
          <w:rFonts w:ascii="Calibri" w:hAnsi="Calibri"/>
          <w:b/>
          <w:color w:val="002060"/>
        </w:rPr>
      </w:pPr>
      <w:r>
        <w:rPr>
          <w:rFonts w:ascii="Calibri" w:hAnsi="Calibri"/>
          <w:b/>
          <w:color w:val="002060"/>
        </w:rPr>
        <w:t>4.3 Expenditure policy</w:t>
      </w:r>
    </w:p>
    <w:p w:rsidR="009F64CE" w:rsidRPr="009F64CE" w:rsidRDefault="009F64CE" w:rsidP="009F64CE">
      <w:pPr>
        <w:widowControl w:val="0"/>
        <w:spacing w:before="120"/>
        <w:jc w:val="both"/>
        <w:rPr>
          <w:rFonts w:ascii="Calibri" w:hAnsi="Calibri"/>
          <w:color w:val="002060"/>
        </w:rPr>
      </w:pPr>
      <w:r>
        <w:rPr>
          <w:rFonts w:ascii="Calibri" w:hAnsi="Calibri"/>
          <w:color w:val="002060"/>
        </w:rPr>
        <w:t xml:space="preserve">Medium term measures </w:t>
      </w:r>
    </w:p>
    <w:p w:rsidR="009F64CE" w:rsidRPr="009F64CE" w:rsidRDefault="009F64CE" w:rsidP="00565476">
      <w:pPr>
        <w:widowControl w:val="0"/>
        <w:numPr>
          <w:ilvl w:val="3"/>
          <w:numId w:val="202"/>
        </w:numPr>
        <w:spacing w:before="120" w:after="160" w:line="259" w:lineRule="auto"/>
        <w:ind w:left="360"/>
        <w:jc w:val="both"/>
        <w:rPr>
          <w:rFonts w:ascii="Calibri" w:hAnsi="Calibri"/>
        </w:rPr>
      </w:pPr>
      <w:r>
        <w:rPr>
          <w:rFonts w:ascii="Calibri" w:hAnsi="Calibri"/>
        </w:rPr>
        <w:t>Ensuring a sustainable level for the salary and pension expenditure in the public sector;</w:t>
      </w:r>
    </w:p>
    <w:p w:rsidR="009F64CE" w:rsidRPr="009F64CE" w:rsidRDefault="009F64CE" w:rsidP="00565476">
      <w:pPr>
        <w:widowControl w:val="0"/>
        <w:numPr>
          <w:ilvl w:val="3"/>
          <w:numId w:val="202"/>
        </w:numPr>
        <w:spacing w:before="120" w:after="160" w:line="259" w:lineRule="auto"/>
        <w:ind w:left="360"/>
        <w:jc w:val="both"/>
        <w:rPr>
          <w:rFonts w:ascii="Calibri" w:hAnsi="Calibri"/>
        </w:rPr>
      </w:pPr>
      <w:r>
        <w:rPr>
          <w:rFonts w:ascii="Calibri" w:hAnsi="Calibri"/>
        </w:rPr>
        <w:t>Guiding available resources towards public investments in the fields of: infrastructure, agriculture and rural development, energy and advanced technology;</w:t>
      </w:r>
    </w:p>
    <w:p w:rsidR="009F64CE" w:rsidRPr="009F64CE" w:rsidRDefault="009F64CE" w:rsidP="00565476">
      <w:pPr>
        <w:numPr>
          <w:ilvl w:val="0"/>
          <w:numId w:val="201"/>
        </w:numPr>
        <w:autoSpaceDE w:val="0"/>
        <w:autoSpaceDN w:val="0"/>
        <w:adjustRightInd w:val="0"/>
        <w:spacing w:before="120" w:after="120" w:line="276" w:lineRule="auto"/>
        <w:jc w:val="both"/>
        <w:rPr>
          <w:rFonts w:ascii="Calibri" w:hAnsi="Calibri" w:cs="Calibri"/>
        </w:rPr>
      </w:pPr>
      <w:r>
        <w:rPr>
          <w:rFonts w:ascii="Calibri" w:hAnsi="Calibri"/>
        </w:rPr>
        <w:t>Redirecting public investment expenditures for the purpose of obtaining a gradual passing from investments financed entirely from national sources to investments co-financed from European funds;</w:t>
      </w:r>
    </w:p>
    <w:p w:rsidR="009F64CE" w:rsidRPr="009F64CE" w:rsidRDefault="009F64CE" w:rsidP="00565476">
      <w:pPr>
        <w:numPr>
          <w:ilvl w:val="0"/>
          <w:numId w:val="201"/>
        </w:numPr>
        <w:autoSpaceDE w:val="0"/>
        <w:autoSpaceDN w:val="0"/>
        <w:adjustRightInd w:val="0"/>
        <w:spacing w:before="120" w:after="120" w:line="276" w:lineRule="auto"/>
        <w:jc w:val="both"/>
        <w:rPr>
          <w:rFonts w:ascii="Calibri" w:hAnsi="Calibri" w:cs="Calibri"/>
        </w:rPr>
      </w:pPr>
      <w:r>
        <w:rPr>
          <w:rFonts w:ascii="Calibri" w:hAnsi="Calibri"/>
        </w:rPr>
        <w:t>Accelerating the rhythm of spending European funds in order to improve the absorption rate;</w:t>
      </w:r>
    </w:p>
    <w:p w:rsidR="009F64CE" w:rsidRPr="009F64CE" w:rsidRDefault="009F64CE" w:rsidP="00565476">
      <w:pPr>
        <w:numPr>
          <w:ilvl w:val="0"/>
          <w:numId w:val="201"/>
        </w:numPr>
        <w:autoSpaceDE w:val="0"/>
        <w:autoSpaceDN w:val="0"/>
        <w:adjustRightInd w:val="0"/>
        <w:spacing w:before="120" w:after="120" w:line="276" w:lineRule="auto"/>
        <w:jc w:val="both"/>
        <w:rPr>
          <w:rFonts w:ascii="Calibri" w:hAnsi="Calibri" w:cs="Calibri"/>
        </w:rPr>
      </w:pPr>
      <w:r>
        <w:rPr>
          <w:rFonts w:ascii="Calibri" w:hAnsi="Calibri"/>
        </w:rPr>
        <w:t>Continued financing of State aid schemes in 2019-2021, in order to contribute to the creation of new jobs, the performance of investments using new technologies, to obtaining products, services, innovative technologies, with effects on economic growth and on ensuring macroeconomic stability.</w:t>
      </w:r>
    </w:p>
    <w:p w:rsidR="009F64CE" w:rsidRPr="003964D3" w:rsidRDefault="009F64CE" w:rsidP="009F64CE">
      <w:pPr>
        <w:autoSpaceDE w:val="0"/>
        <w:autoSpaceDN w:val="0"/>
        <w:adjustRightInd w:val="0"/>
        <w:spacing w:before="120" w:after="120" w:line="269" w:lineRule="auto"/>
        <w:jc w:val="both"/>
        <w:rPr>
          <w:rFonts w:asciiTheme="minorHAnsi" w:eastAsia="Calibri" w:hAnsiTheme="minorHAnsi" w:cs="Courier New"/>
          <w:color w:val="000000"/>
        </w:rPr>
      </w:pPr>
      <w:r>
        <w:rPr>
          <w:rFonts w:asciiTheme="minorHAnsi" w:hAnsiTheme="minorHAnsi"/>
          <w:b/>
          <w:color w:val="002060"/>
        </w:rPr>
        <w:t xml:space="preserve">The budget expenditures estimated for 2019 </w:t>
      </w:r>
      <w:r>
        <w:rPr>
          <w:rFonts w:asciiTheme="minorHAnsi" w:hAnsiTheme="minorHAnsi"/>
          <w:color w:val="000000"/>
        </w:rPr>
        <w:t>are of 370.9 billion Lei, an increase of 48.4 billion Lei compared to 2018, and in 2021 they reach 400.5 billion Lei, respectively 33.9% of GDP, registering a tendency of decrease as share in the GDP on the reference horizon due to the need to decrease the budget deficit.</w:t>
      </w:r>
    </w:p>
    <w:p w:rsidR="009F64CE" w:rsidRPr="003964D3" w:rsidRDefault="009F64CE" w:rsidP="009F64CE">
      <w:pPr>
        <w:autoSpaceDE w:val="0"/>
        <w:autoSpaceDN w:val="0"/>
        <w:adjustRightInd w:val="0"/>
        <w:spacing w:before="120" w:after="120" w:line="269" w:lineRule="auto"/>
        <w:jc w:val="both"/>
        <w:rPr>
          <w:rFonts w:asciiTheme="minorHAnsi" w:eastAsia="Calibri" w:hAnsiTheme="minorHAnsi" w:cs="Courier New"/>
          <w:color w:val="000000"/>
        </w:rPr>
      </w:pPr>
      <w:r>
        <w:rPr>
          <w:rFonts w:asciiTheme="minorHAnsi" w:hAnsiTheme="minorHAnsi"/>
          <w:color w:val="000000"/>
        </w:rPr>
        <w:t xml:space="preserve">The biggest increase on the reference horizon as percentage in the GDP is held by </w:t>
      </w:r>
      <w:r>
        <w:rPr>
          <w:rFonts w:asciiTheme="minorHAnsi" w:hAnsiTheme="minorHAnsi"/>
          <w:b/>
          <w:color w:val="002060"/>
        </w:rPr>
        <w:t xml:space="preserve">social assistance expenditures </w:t>
      </w:r>
      <w:r>
        <w:rPr>
          <w:rFonts w:asciiTheme="minorHAnsi" w:hAnsiTheme="minorHAnsi"/>
          <w:color w:val="000000"/>
        </w:rPr>
        <w:t>due to the social measures adopted.</w:t>
      </w:r>
    </w:p>
    <w:p w:rsidR="009F64CE" w:rsidRPr="009F64CE" w:rsidRDefault="009F64CE" w:rsidP="009F64CE">
      <w:pPr>
        <w:autoSpaceDE w:val="0"/>
        <w:autoSpaceDN w:val="0"/>
        <w:adjustRightInd w:val="0"/>
        <w:spacing w:after="120" w:line="276" w:lineRule="auto"/>
        <w:contextualSpacing/>
        <w:jc w:val="both"/>
        <w:rPr>
          <w:rFonts w:asciiTheme="minorHAnsi" w:eastAsia="Calibri" w:hAnsiTheme="minorHAnsi" w:cs="Courier New"/>
          <w:color w:val="000000"/>
        </w:rPr>
      </w:pPr>
      <w:r>
        <w:rPr>
          <w:rFonts w:asciiTheme="minorHAnsi" w:hAnsiTheme="minorHAnsi"/>
          <w:b/>
          <w:color w:val="002060"/>
        </w:rPr>
        <w:t xml:space="preserve">Personnel expenditures </w:t>
      </w:r>
      <w:r>
        <w:rPr>
          <w:rFonts w:asciiTheme="minorHAnsi" w:hAnsiTheme="minorHAnsi"/>
          <w:color w:val="000000"/>
        </w:rPr>
        <w:t xml:space="preserve">are of 102.1 billion Lei in 2019, reaching 110.4 billion Lei in 2021. </w:t>
      </w:r>
    </w:p>
    <w:p w:rsidR="009F64CE" w:rsidRPr="003964D3" w:rsidRDefault="009F64CE" w:rsidP="009F64CE">
      <w:pPr>
        <w:autoSpaceDE w:val="0"/>
        <w:autoSpaceDN w:val="0"/>
        <w:adjustRightInd w:val="0"/>
        <w:spacing w:before="120" w:after="120" w:line="269" w:lineRule="auto"/>
        <w:jc w:val="both"/>
        <w:rPr>
          <w:rFonts w:asciiTheme="minorHAnsi" w:eastAsia="Calibri" w:hAnsiTheme="minorHAnsi" w:cs="Courier New"/>
          <w:color w:val="000000"/>
        </w:rPr>
      </w:pPr>
      <w:r>
        <w:rPr>
          <w:rFonts w:asciiTheme="minorHAnsi" w:hAnsiTheme="minorHAnsi"/>
          <w:b/>
          <w:color w:val="002060"/>
        </w:rPr>
        <w:t xml:space="preserve">Goods and services </w:t>
      </w:r>
      <w:r>
        <w:rPr>
          <w:rFonts w:asciiTheme="minorHAnsi" w:hAnsiTheme="minorHAnsi"/>
          <w:color w:val="000000"/>
        </w:rPr>
        <w:t xml:space="preserve">register a slight tendency of decrease between 2020 and 2021 compared to 2019, while public debt expenditures register a decrease between 2019 and 2021 as percentage in the GDP. </w:t>
      </w:r>
    </w:p>
    <w:p w:rsidR="009F64CE" w:rsidRPr="003964D3" w:rsidRDefault="009F64CE" w:rsidP="009F64CE">
      <w:pPr>
        <w:jc w:val="both"/>
      </w:pPr>
      <w:r>
        <w:rPr>
          <w:rFonts w:asciiTheme="minorHAnsi" w:hAnsiTheme="minorHAnsi"/>
          <w:b/>
          <w:color w:val="002060"/>
        </w:rPr>
        <w:t xml:space="preserve">Investment expenditures </w:t>
      </w:r>
      <w:r>
        <w:rPr>
          <w:rFonts w:asciiTheme="minorHAnsi" w:hAnsiTheme="minorHAnsi"/>
          <w:color w:val="002060"/>
        </w:rPr>
        <w:t>reach</w:t>
      </w:r>
      <w:r>
        <w:rPr>
          <w:rFonts w:asciiTheme="minorHAnsi" w:hAnsiTheme="minorHAnsi"/>
          <w:color w:val="000000" w:themeColor="text1"/>
        </w:rPr>
        <w:t xml:space="preserve"> 43.2 billion Lei in 2021. </w:t>
      </w:r>
    </w:p>
    <w:p w:rsidR="004631BC" w:rsidRPr="002A66A2" w:rsidRDefault="004631BC" w:rsidP="00645726">
      <w:pPr>
        <w:widowControl w:val="0"/>
        <w:spacing w:before="40" w:after="100" w:line="269" w:lineRule="auto"/>
        <w:jc w:val="both"/>
        <w:rPr>
          <w:rFonts w:asciiTheme="minorHAnsi" w:hAnsiTheme="minorHAnsi" w:cs="Courier New"/>
          <w:color w:val="000000" w:themeColor="text1"/>
          <w:lang w:val="ro-RO"/>
        </w:rPr>
      </w:pPr>
    </w:p>
    <w:tbl>
      <w:tblPr>
        <w:tblW w:w="10017" w:type="dxa"/>
        <w:tblInd w:w="51" w:type="dxa"/>
        <w:shd w:val="clear" w:color="auto" w:fill="99CCFF"/>
        <w:tblLook w:val="01E0" w:firstRow="1" w:lastRow="1" w:firstColumn="1" w:lastColumn="1" w:noHBand="0" w:noVBand="0"/>
      </w:tblPr>
      <w:tblGrid>
        <w:gridCol w:w="10017"/>
      </w:tblGrid>
      <w:tr w:rsidR="00641BA7" w:rsidRPr="00C86702" w:rsidTr="001C7118">
        <w:trPr>
          <w:trHeight w:val="290"/>
        </w:trPr>
        <w:tc>
          <w:tcPr>
            <w:tcW w:w="10017" w:type="dxa"/>
            <w:shd w:val="clear" w:color="auto" w:fill="9CC2E5" w:themeFill="accent1" w:themeFillTint="99"/>
          </w:tcPr>
          <w:p w:rsidR="00641BA7" w:rsidRPr="00C86702" w:rsidRDefault="00641BA7" w:rsidP="00E91B4E">
            <w:pPr>
              <w:keepLines/>
              <w:widowControl w:val="0"/>
              <w:shd w:val="clear" w:color="auto" w:fill="9CC2E5" w:themeFill="accent1" w:themeFillTint="99"/>
              <w:spacing w:line="320" w:lineRule="exact"/>
              <w:jc w:val="both"/>
              <w:rPr>
                <w:rFonts w:ascii="Calibri" w:hAnsi="Calibri"/>
                <w:b/>
                <w:color w:val="000080"/>
              </w:rPr>
            </w:pPr>
            <w:r>
              <w:rPr>
                <w:rFonts w:ascii="Calibri" w:hAnsi="Calibri"/>
                <w:b/>
                <w:color w:val="002060"/>
              </w:rPr>
              <w:t>4.4 Fiscal administration policy</w:t>
            </w:r>
          </w:p>
        </w:tc>
      </w:tr>
      <w:tr w:rsidR="001C19AF" w:rsidRPr="001C19AF" w:rsidTr="00D31E57">
        <w:trPr>
          <w:trHeight w:val="290"/>
        </w:trPr>
        <w:tc>
          <w:tcPr>
            <w:tcW w:w="10017" w:type="dxa"/>
            <w:shd w:val="clear" w:color="auto" w:fill="FFFFFF" w:themeFill="background1"/>
          </w:tcPr>
          <w:p w:rsidR="001C19AF" w:rsidRPr="001C19AF" w:rsidRDefault="001C19AF" w:rsidP="001C19AF">
            <w:pPr>
              <w:rPr>
                <w:rFonts w:ascii="Arial Narrow" w:hAnsi="Arial Narrow"/>
                <w:b/>
                <w:color w:val="000000"/>
                <w:lang w:val="ro-RO"/>
              </w:rPr>
            </w:pPr>
          </w:p>
        </w:tc>
      </w:tr>
    </w:tbl>
    <w:p w:rsidR="0079170F" w:rsidRPr="0079170F" w:rsidRDefault="0079170F" w:rsidP="0079170F">
      <w:pPr>
        <w:suppressAutoHyphens/>
        <w:ind w:firstLine="720"/>
        <w:jc w:val="both"/>
        <w:rPr>
          <w:rFonts w:ascii="Calibri" w:hAnsi="Calibri" w:cs="Calibri"/>
          <w:color w:val="000000"/>
        </w:rPr>
      </w:pPr>
      <w:r>
        <w:rPr>
          <w:rFonts w:ascii="Calibri" w:hAnsi="Calibri"/>
          <w:color w:val="000000"/>
        </w:rPr>
        <w:t>The results obtained by the National Agency for Fiscal Administration in 2018 reveal a significant increase in the efficiency and dynamics of fiscal administration. Thus, the total budget revenues collected, which amount to 244,690.7 million Lei, exceeded by 15.1% the collections of 2017.</w:t>
      </w:r>
    </w:p>
    <w:p w:rsidR="0079170F" w:rsidRPr="0079170F" w:rsidRDefault="0079170F" w:rsidP="0079170F">
      <w:pPr>
        <w:suppressAutoHyphens/>
        <w:rPr>
          <w:rFonts w:ascii="Calibri" w:hAnsi="Calibri" w:cs="Calibri"/>
          <w:b/>
          <w:color w:val="000000"/>
          <w:lang w:val="ro-RO" w:eastAsia="zh-CN"/>
        </w:rPr>
      </w:pPr>
    </w:p>
    <w:p w:rsidR="0079170F" w:rsidRPr="0079170F" w:rsidRDefault="0079170F" w:rsidP="0079170F">
      <w:pPr>
        <w:suppressAutoHyphens/>
        <w:jc w:val="both"/>
        <w:rPr>
          <w:rFonts w:ascii="Calibri" w:hAnsi="Calibri" w:cs="Calibri"/>
          <w:b/>
          <w:color w:val="000000"/>
        </w:rPr>
      </w:pPr>
      <w:r>
        <w:rPr>
          <w:rFonts w:ascii="Calibri" w:hAnsi="Calibri"/>
          <w:bCs/>
          <w:iCs/>
          <w:color w:val="000000"/>
        </w:rPr>
        <w:tab/>
      </w:r>
    </w:p>
    <w:p w:rsidR="0079170F" w:rsidRPr="0079170F" w:rsidRDefault="0079170F" w:rsidP="0079170F">
      <w:pPr>
        <w:shd w:val="clear" w:color="auto" w:fill="E5F2FF"/>
        <w:suppressAutoHyphens/>
        <w:rPr>
          <w:rFonts w:ascii="Calibri" w:hAnsi="Calibri" w:cs="Calibri"/>
          <w:b/>
          <w:color w:val="000000"/>
        </w:rPr>
      </w:pPr>
      <w:r>
        <w:rPr>
          <w:rFonts w:ascii="Calibri" w:hAnsi="Calibri"/>
          <w:b/>
          <w:color w:val="000000"/>
        </w:rPr>
        <w:t>I. Achievements of ANAF in 2018</w:t>
      </w:r>
    </w:p>
    <w:p w:rsidR="0079170F" w:rsidRPr="0079170F" w:rsidRDefault="0079170F" w:rsidP="0079170F">
      <w:pPr>
        <w:suppressAutoHyphens/>
        <w:rPr>
          <w:rFonts w:ascii="Calibri" w:hAnsi="Calibri" w:cs="Calibri"/>
          <w:b/>
          <w:color w:val="000000"/>
          <w:lang w:val="ro-RO" w:eastAsia="zh-CN"/>
        </w:rPr>
      </w:pPr>
    </w:p>
    <w:p w:rsidR="0079170F" w:rsidRPr="0079170F" w:rsidRDefault="0079170F" w:rsidP="0079170F">
      <w:pPr>
        <w:shd w:val="clear" w:color="auto" w:fill="E5F2FF"/>
        <w:suppressAutoHyphens/>
        <w:rPr>
          <w:rFonts w:ascii="Calibri" w:hAnsi="Calibri" w:cs="Arial Narrow"/>
          <w:b/>
          <w:color w:val="000000"/>
        </w:rPr>
      </w:pPr>
      <w:r>
        <w:rPr>
          <w:rFonts w:ascii="Calibri" w:hAnsi="Calibri"/>
          <w:b/>
          <w:color w:val="000000"/>
        </w:rPr>
        <w:t>1. The most important legislative and organizational actions</w:t>
      </w:r>
    </w:p>
    <w:p w:rsidR="0079170F" w:rsidRPr="0079170F" w:rsidRDefault="0079170F" w:rsidP="0079170F">
      <w:pPr>
        <w:suppressAutoHyphens/>
        <w:rPr>
          <w:rFonts w:ascii="Calibri" w:hAnsi="Calibri" w:cs="Arial Narrow"/>
          <w:b/>
          <w:color w:val="000000"/>
          <w:lang w:val="ro-RO" w:eastAsia="zh-CN"/>
        </w:rPr>
      </w:pPr>
    </w:p>
    <w:p w:rsidR="0079170F" w:rsidRPr="0079170F" w:rsidRDefault="0079170F" w:rsidP="0079170F">
      <w:pPr>
        <w:suppressAutoHyphens/>
        <w:jc w:val="both"/>
        <w:rPr>
          <w:rFonts w:ascii="Calibri" w:hAnsi="Calibri" w:cs="Calibri"/>
          <w:color w:val="000000"/>
        </w:rPr>
      </w:pPr>
      <w:r>
        <w:rPr>
          <w:rFonts w:ascii="Calibri" w:hAnsi="Calibri"/>
          <w:color w:val="000000"/>
        </w:rPr>
        <w:tab/>
      </w:r>
      <w:r>
        <w:rPr>
          <w:rFonts w:ascii="Calibri" w:hAnsi="Calibri"/>
          <w:b/>
          <w:color w:val="000000"/>
        </w:rPr>
        <w:t>1.1. Revenue collection activity</w:t>
      </w:r>
    </w:p>
    <w:p w:rsidR="0079170F" w:rsidRPr="0079170F" w:rsidRDefault="0079170F" w:rsidP="0079170F">
      <w:pPr>
        <w:suppressAutoHyphens/>
        <w:spacing w:after="120"/>
        <w:ind w:firstLine="720"/>
        <w:jc w:val="both"/>
        <w:rPr>
          <w:rFonts w:ascii="Calibri" w:hAnsi="Calibri" w:cs="Calibri"/>
          <w:color w:val="000000"/>
          <w:shd w:val="clear" w:color="auto" w:fill="FFFFFF"/>
        </w:rPr>
      </w:pPr>
      <w:r>
        <w:rPr>
          <w:rFonts w:ascii="Calibri" w:hAnsi="Calibri"/>
          <w:color w:val="000000"/>
          <w:shd w:val="clear" w:color="auto" w:fill="FFFFFF"/>
        </w:rPr>
        <w:t xml:space="preserve">The total budget revenues collected by the National Agency for Fiscal Administration in 2018 were of Lei 244,690.7 million, which represents an excess of 15.1% of the level of revenues obtained in 2017. </w:t>
      </w:r>
    </w:p>
    <w:p w:rsidR="0079170F" w:rsidRPr="0079170F" w:rsidRDefault="0079170F" w:rsidP="0079170F">
      <w:pPr>
        <w:suppressAutoHyphens/>
        <w:spacing w:after="120"/>
        <w:ind w:firstLine="720"/>
        <w:jc w:val="both"/>
        <w:rPr>
          <w:rFonts w:ascii="Calibri" w:hAnsi="Calibri" w:cs="Calibri"/>
          <w:color w:val="000000"/>
          <w:shd w:val="clear" w:color="auto" w:fill="FFFFFF"/>
        </w:rPr>
      </w:pPr>
      <w:r>
        <w:rPr>
          <w:rFonts w:ascii="Calibri" w:hAnsi="Calibri"/>
          <w:color w:val="000000"/>
          <w:shd w:val="clear" w:color="auto" w:fill="FFFFFF"/>
        </w:rPr>
        <w:t>The revenues of the State budget were of 151,086.6 million Lei. The most important contribution to the formation of State budget revenues is brought by VAT, with a share of 39.5%, followed by excise duties with 17.9% and the personal income tax of 14.9%.</w:t>
      </w:r>
    </w:p>
    <w:p w:rsidR="0079170F" w:rsidRPr="0079170F" w:rsidRDefault="0079170F" w:rsidP="0079170F">
      <w:pPr>
        <w:suppressAutoHyphens/>
        <w:spacing w:after="120"/>
        <w:ind w:firstLine="720"/>
        <w:jc w:val="both"/>
        <w:rPr>
          <w:rFonts w:ascii="Calibri" w:hAnsi="Calibri" w:cs="Calibri"/>
          <w:color w:val="000000"/>
          <w:shd w:val="clear" w:color="auto" w:fill="FFFFFF"/>
        </w:rPr>
      </w:pPr>
      <w:r>
        <w:rPr>
          <w:rFonts w:ascii="Calibri" w:hAnsi="Calibri"/>
          <w:color w:val="000000"/>
          <w:shd w:val="clear" w:color="auto" w:fill="FFFFFF"/>
        </w:rPr>
        <w:t>The total collections representing social insurance contributions was of 92,285 million Lei, i.e. 21,845.7 million Lei more (131% - nominal index), compared to the total of 2017 (70,439.3 million Lei).</w:t>
      </w:r>
    </w:p>
    <w:p w:rsidR="0079170F" w:rsidRPr="0079170F" w:rsidRDefault="0079170F" w:rsidP="0079170F">
      <w:pPr>
        <w:suppressAutoHyphens/>
        <w:spacing w:after="120"/>
        <w:ind w:firstLine="720"/>
        <w:jc w:val="both"/>
        <w:rPr>
          <w:rFonts w:ascii="Calibri" w:hAnsi="Calibri" w:cs="Calibri"/>
          <w:color w:val="000000"/>
          <w:shd w:val="clear" w:color="auto" w:fill="FFFFFF"/>
        </w:rPr>
      </w:pPr>
      <w:r>
        <w:rPr>
          <w:rFonts w:ascii="Calibri" w:hAnsi="Calibri"/>
          <w:color w:val="000000"/>
          <w:shd w:val="clear" w:color="auto" w:fill="FFFFFF"/>
        </w:rPr>
        <w:t>On November 30, 2018, collections from arrears recoverable at the budgets administered by the A.N.A.F. amounted to 31,865.0 million Lei, the biggest share being represented by collections from arrears recoverable at the State budget (58.1%). The arrears left to be recovered on November 30, 2018 amounted to 16,199.2 million Lei, representing 1.7% of the GDP.</w:t>
      </w:r>
    </w:p>
    <w:p w:rsidR="0079170F" w:rsidRPr="0079170F" w:rsidRDefault="0079170F" w:rsidP="0079170F">
      <w:pPr>
        <w:tabs>
          <w:tab w:val="left" w:pos="180"/>
          <w:tab w:val="left" w:pos="360"/>
          <w:tab w:val="left" w:pos="540"/>
          <w:tab w:val="left" w:pos="720"/>
        </w:tabs>
        <w:suppressAutoHyphens/>
        <w:spacing w:after="120"/>
        <w:rPr>
          <w:rFonts w:ascii="Calibri" w:hAnsi="Calibri" w:cs="Calibri"/>
          <w:b/>
          <w:color w:val="000000"/>
          <w:lang w:val="ro-RO" w:eastAsia="zh-CN"/>
        </w:rPr>
      </w:pPr>
    </w:p>
    <w:p w:rsidR="0079170F" w:rsidRPr="0079170F" w:rsidRDefault="0079170F" w:rsidP="0079170F">
      <w:pPr>
        <w:tabs>
          <w:tab w:val="left" w:pos="180"/>
          <w:tab w:val="left" w:pos="360"/>
          <w:tab w:val="left" w:pos="540"/>
          <w:tab w:val="left" w:pos="720"/>
        </w:tabs>
        <w:suppressAutoHyphens/>
        <w:spacing w:after="120"/>
        <w:rPr>
          <w:rFonts w:ascii="Calibri" w:hAnsi="Calibri" w:cs="Calibri"/>
          <w:b/>
          <w:color w:val="000000"/>
        </w:rPr>
      </w:pPr>
      <w:r>
        <w:rPr>
          <w:rFonts w:ascii="Calibri" w:hAnsi="Calibri"/>
          <w:b/>
          <w:color w:val="000000"/>
        </w:rPr>
        <w:tab/>
      </w:r>
      <w:r>
        <w:rPr>
          <w:rFonts w:ascii="Calibri" w:hAnsi="Calibri"/>
          <w:b/>
          <w:color w:val="000000"/>
        </w:rPr>
        <w:tab/>
      </w:r>
      <w:r>
        <w:rPr>
          <w:rFonts w:ascii="Calibri" w:hAnsi="Calibri"/>
          <w:b/>
          <w:color w:val="000000"/>
        </w:rPr>
        <w:tab/>
      </w:r>
      <w:r>
        <w:rPr>
          <w:rFonts w:ascii="Calibri" w:hAnsi="Calibri"/>
          <w:b/>
          <w:color w:val="000000"/>
        </w:rPr>
        <w:tab/>
        <w:t>1.2. Supporting voluntary compliance</w:t>
      </w:r>
    </w:p>
    <w:p w:rsidR="0079170F" w:rsidRPr="0079170F" w:rsidRDefault="0079170F" w:rsidP="0079170F">
      <w:pPr>
        <w:tabs>
          <w:tab w:val="left" w:pos="180"/>
          <w:tab w:val="left" w:pos="360"/>
          <w:tab w:val="left" w:pos="540"/>
          <w:tab w:val="left" w:pos="720"/>
        </w:tabs>
        <w:suppressAutoHyphens/>
        <w:spacing w:after="120"/>
        <w:jc w:val="both"/>
        <w:rPr>
          <w:rFonts w:ascii="Calibri" w:hAnsi="Calibri" w:cs="Calibri"/>
          <w:color w:val="000000"/>
        </w:rPr>
      </w:pPr>
      <w:r>
        <w:rPr>
          <w:rFonts w:ascii="Calibri" w:hAnsi="Calibri"/>
          <w:b/>
          <w:color w:val="000000"/>
        </w:rPr>
        <w:tab/>
      </w:r>
      <w:r>
        <w:rPr>
          <w:rFonts w:ascii="Calibri" w:hAnsi="Calibri"/>
          <w:b/>
          <w:color w:val="000000"/>
        </w:rPr>
        <w:tab/>
      </w:r>
      <w:r>
        <w:rPr>
          <w:rFonts w:ascii="Calibri" w:hAnsi="Calibri"/>
          <w:b/>
          <w:color w:val="000000"/>
        </w:rPr>
        <w:tab/>
      </w:r>
      <w:r>
        <w:rPr>
          <w:rFonts w:ascii="Calibri" w:hAnsi="Calibri"/>
          <w:b/>
          <w:color w:val="000000"/>
        </w:rPr>
        <w:tab/>
      </w:r>
      <w:r>
        <w:rPr>
          <w:rFonts w:ascii="Calibri" w:hAnsi="Calibri"/>
          <w:color w:val="000000"/>
        </w:rPr>
        <w:t>In January - November 2018, compared to the same period of 2017, the degree of voluntary compliance for payment increased by 0.9 p.p. (From 85.5% to 86.4%), and the degree of voluntary compliance for declaration in January - November 2018 was of 94.3% compared to 95.5% during the same period of 2017.</w:t>
      </w:r>
    </w:p>
    <w:p w:rsidR="0079170F" w:rsidRPr="0079170F" w:rsidRDefault="0079170F" w:rsidP="0079170F">
      <w:pPr>
        <w:tabs>
          <w:tab w:val="left" w:pos="180"/>
          <w:tab w:val="left" w:pos="360"/>
          <w:tab w:val="left" w:pos="540"/>
          <w:tab w:val="left" w:pos="720"/>
        </w:tabs>
        <w:suppressAutoHyphens/>
        <w:spacing w:after="120"/>
        <w:jc w:val="both"/>
        <w:rPr>
          <w:rFonts w:ascii="Calibri" w:hAnsi="Calibri" w:cs="Calibri"/>
          <w:color w:val="000000"/>
        </w:rPr>
      </w:pP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t>In order to increase the degree of voluntary compliance, 14 anticipated individual fiscal solutions were issued in the field of tax inspection in January - November 2018, as well as 13 decisions of rejection for the requests for issuance of anticipated individual fiscal solutions. At the same time, 3 unilateral advance price agreements were issued.</w:t>
      </w:r>
    </w:p>
    <w:p w:rsidR="0079170F" w:rsidRPr="0079170F" w:rsidRDefault="0079170F" w:rsidP="0079170F">
      <w:pPr>
        <w:tabs>
          <w:tab w:val="left" w:pos="180"/>
          <w:tab w:val="left" w:pos="360"/>
          <w:tab w:val="left" w:pos="540"/>
          <w:tab w:val="left" w:pos="720"/>
        </w:tabs>
        <w:suppressAutoHyphens/>
        <w:spacing w:after="120"/>
        <w:jc w:val="both"/>
        <w:rPr>
          <w:rFonts w:ascii="Calibri" w:eastAsia="Calibri" w:hAnsi="Calibri" w:cs="Calibri"/>
          <w:color w:val="000000"/>
        </w:rPr>
      </w:pP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t xml:space="preserve">In order to increase voluntary compliance among taxpayers was updated and published on the website the “Leaflet regarding the procedure of enforcement and the civil offences which are governed by the Law on prevention no. 270/2017”. </w:t>
      </w:r>
    </w:p>
    <w:p w:rsidR="0079170F" w:rsidRPr="0079170F" w:rsidRDefault="0079170F" w:rsidP="0079170F">
      <w:pPr>
        <w:tabs>
          <w:tab w:val="left" w:pos="180"/>
          <w:tab w:val="left" w:pos="360"/>
          <w:tab w:val="left" w:pos="540"/>
          <w:tab w:val="left" w:pos="720"/>
        </w:tabs>
        <w:suppressAutoHyphens/>
        <w:spacing w:after="120"/>
        <w:ind w:firstLine="709"/>
        <w:jc w:val="both"/>
        <w:rPr>
          <w:rFonts w:ascii="Calibri" w:hAnsi="Calibri" w:cs="Calibri"/>
          <w:color w:val="000000"/>
        </w:rPr>
      </w:pPr>
      <w:r>
        <w:rPr>
          <w:rFonts w:ascii="Calibri" w:hAnsi="Calibri"/>
          <w:color w:val="000000"/>
        </w:rPr>
        <w:t>At the same time, was elaborated a document through which the users of the Virtual Private Space were informed about the possibility of benefiting of payments in installments for their tax liabilities. The document was sent to 103,681 taxpayers through the Virtual Private Space in December 2018, the taxpayers who were registered in the fiscal records with payment liabilities bigger than the amounts provided by art. 184, para. 7 in Law no. 207/2015 on the Tax Procedure Code, respectively Lei 500 in the case of private individuals and Lei 5000 in the case of legal entities. Through the document that was sent the taxpayers were informed on the possibility and conditions necessary to benefit of the payment in installments of their fiscal liabilities.</w:t>
      </w:r>
    </w:p>
    <w:p w:rsidR="0079170F" w:rsidRPr="0079170F" w:rsidRDefault="0079170F" w:rsidP="0079170F">
      <w:pPr>
        <w:tabs>
          <w:tab w:val="left" w:pos="180"/>
          <w:tab w:val="left" w:pos="360"/>
          <w:tab w:val="left" w:pos="540"/>
          <w:tab w:val="left" w:pos="720"/>
        </w:tabs>
        <w:suppressAutoHyphens/>
        <w:spacing w:after="120"/>
        <w:ind w:firstLine="709"/>
        <w:jc w:val="both"/>
        <w:rPr>
          <w:rFonts w:ascii="Calibri" w:hAnsi="Calibri" w:cs="Calibri"/>
          <w:color w:val="000000"/>
        </w:rPr>
      </w:pPr>
      <w:r>
        <w:rPr>
          <w:rFonts w:ascii="Calibri" w:hAnsi="Calibri"/>
          <w:color w:val="000000"/>
        </w:rPr>
        <w:tab/>
        <w:t xml:space="preserve">Also, in 2018 were organized 1,273 meetings which were attended by approximately 24,000 taxpayers. At the same time, on the Facebook page were published 84 posts containing announcements regarding the organization of assistance sessions, sessions that were actually organized regarding the manner of fulfillment of the fiscal liabilities of declaration and payment, as well as relevant announcements for the taxpayers, the impact thereof being of 1,458,354 people. </w:t>
      </w:r>
    </w:p>
    <w:p w:rsidR="0079170F" w:rsidRPr="0079170F" w:rsidRDefault="0079170F" w:rsidP="0079170F">
      <w:pPr>
        <w:suppressAutoHyphens/>
        <w:spacing w:after="120"/>
        <w:ind w:firstLine="720"/>
        <w:jc w:val="both"/>
        <w:rPr>
          <w:rFonts w:ascii="Calibri" w:hAnsi="Calibri" w:cs="Calibri"/>
          <w:b/>
          <w:i/>
          <w:color w:val="000000"/>
          <w:lang w:val="ro-RO" w:eastAsia="zh-CN"/>
        </w:rPr>
      </w:pPr>
    </w:p>
    <w:p w:rsidR="0079170F" w:rsidRPr="0079170F" w:rsidRDefault="0079170F" w:rsidP="0079170F">
      <w:pPr>
        <w:suppressAutoHyphens/>
        <w:spacing w:after="120"/>
        <w:ind w:firstLine="720"/>
        <w:jc w:val="both"/>
        <w:rPr>
          <w:rFonts w:ascii="Calibri" w:hAnsi="Calibri" w:cs="Calibri"/>
          <w:i/>
          <w:color w:val="000000"/>
        </w:rPr>
      </w:pPr>
      <w:r>
        <w:rPr>
          <w:rFonts w:ascii="Calibri" w:hAnsi="Calibri"/>
          <w:b/>
          <w:i/>
          <w:color w:val="000000"/>
        </w:rPr>
        <w:t xml:space="preserve">1.3. Improvement of the relationship with the taxpayers  </w:t>
      </w:r>
    </w:p>
    <w:p w:rsidR="0079170F" w:rsidRPr="0079170F" w:rsidRDefault="0079170F" w:rsidP="0079170F">
      <w:pPr>
        <w:suppressAutoHyphens/>
        <w:spacing w:after="120"/>
        <w:jc w:val="both"/>
        <w:rPr>
          <w:rFonts w:ascii="Calibri" w:hAnsi="Calibri" w:cs="Calibri"/>
          <w:color w:val="000000"/>
        </w:rPr>
      </w:pPr>
      <w:r>
        <w:rPr>
          <w:rFonts w:ascii="Calibri" w:hAnsi="Calibri"/>
          <w:color w:val="000000"/>
        </w:rPr>
        <w:tab/>
        <w:t>In order to increase the quality of the services dedicated to taxpayers, as of August 1, 2018 was introduced a comprehensive portfolio of (quantitative) standards of service provision at the seats of the fiscal units from the fiscal units subordinated to GRDPF Brasov, these standards being present in the subordinated fiscal units GRDPF Galati and GRDPF Cluj Napoca as of November 1, 2016, respectively September 1, 2017. Also, in 54 fiscal units the interaction with taxpayers is carried out exclusively through the “</w:t>
      </w:r>
      <w:r>
        <w:rPr>
          <w:rFonts w:ascii="Calibri" w:hAnsi="Calibri"/>
          <w:i/>
          <w:color w:val="000000"/>
        </w:rPr>
        <w:t>single counter</w:t>
      </w:r>
      <w:r>
        <w:rPr>
          <w:rFonts w:ascii="Calibri" w:hAnsi="Calibri"/>
          <w:color w:val="000000"/>
        </w:rPr>
        <w:t>”.</w:t>
      </w:r>
    </w:p>
    <w:p w:rsidR="0079170F" w:rsidRPr="0079170F" w:rsidRDefault="0079170F" w:rsidP="0079170F">
      <w:pPr>
        <w:tabs>
          <w:tab w:val="left" w:pos="360"/>
          <w:tab w:val="left" w:pos="547"/>
        </w:tabs>
        <w:suppressAutoHyphens/>
        <w:spacing w:after="120"/>
        <w:jc w:val="both"/>
        <w:rPr>
          <w:rFonts w:ascii="Calibri" w:hAnsi="Calibri" w:cs="Calibri"/>
          <w:color w:val="000000"/>
        </w:rPr>
      </w:pPr>
      <w:r>
        <w:rPr>
          <w:rFonts w:ascii="Calibri" w:hAnsi="Calibri"/>
          <w:color w:val="000000"/>
        </w:rPr>
        <w:tab/>
      </w:r>
      <w:r>
        <w:rPr>
          <w:rFonts w:ascii="Calibri" w:hAnsi="Calibri"/>
          <w:color w:val="000000"/>
        </w:rPr>
        <w:tab/>
      </w:r>
      <w:r>
        <w:rPr>
          <w:rFonts w:ascii="Calibri" w:hAnsi="Calibri"/>
          <w:color w:val="000000"/>
        </w:rPr>
        <w:tab/>
        <w:t>In all territorial fiscal units was implemented the concept of “</w:t>
      </w:r>
      <w:r w:rsidR="00F00F75">
        <w:rPr>
          <w:rFonts w:ascii="Calibri" w:hAnsi="Calibri"/>
          <w:color w:val="000000"/>
        </w:rPr>
        <w:t>self-service</w:t>
      </w:r>
      <w:r>
        <w:rPr>
          <w:rFonts w:ascii="Calibri" w:hAnsi="Calibri"/>
          <w:color w:val="000000"/>
        </w:rPr>
        <w:t>”, which presupposes the installation of a computer in dedicated spaces to be used by the taxpayers, with assistance from the ANAF personnel, in order to educate them in using remote services. 41,602 uses were registered at national level between April and November 2018.</w:t>
      </w:r>
    </w:p>
    <w:p w:rsidR="0079170F" w:rsidRPr="0079170F" w:rsidRDefault="0079170F" w:rsidP="0079170F">
      <w:pPr>
        <w:tabs>
          <w:tab w:val="left" w:pos="180"/>
          <w:tab w:val="left" w:pos="360"/>
          <w:tab w:val="left" w:pos="540"/>
          <w:tab w:val="left" w:pos="720"/>
        </w:tabs>
        <w:suppressAutoHyphens/>
        <w:spacing w:after="120"/>
        <w:rPr>
          <w:rFonts w:ascii="Calibri" w:hAnsi="Calibri" w:cs="Calibri"/>
          <w:b/>
          <w:color w:val="000000"/>
        </w:rPr>
      </w:pPr>
      <w:r>
        <w:rPr>
          <w:rFonts w:ascii="Calibri" w:hAnsi="Calibri"/>
          <w:b/>
          <w:color w:val="000000"/>
        </w:rPr>
        <w:tab/>
      </w:r>
      <w:r>
        <w:rPr>
          <w:rFonts w:ascii="Calibri" w:hAnsi="Calibri"/>
          <w:b/>
          <w:color w:val="000000"/>
        </w:rPr>
        <w:tab/>
      </w:r>
      <w:r>
        <w:rPr>
          <w:rFonts w:ascii="Calibri" w:hAnsi="Calibri"/>
          <w:b/>
          <w:color w:val="000000"/>
        </w:rPr>
        <w:tab/>
      </w:r>
      <w:r>
        <w:rPr>
          <w:rFonts w:ascii="Calibri" w:hAnsi="Calibri"/>
          <w:b/>
          <w:color w:val="000000"/>
        </w:rPr>
        <w:tab/>
        <w:t>1.4. Fighting tax evasion and fiscal fraud</w:t>
      </w:r>
    </w:p>
    <w:p w:rsidR="0079170F" w:rsidRPr="0079170F" w:rsidRDefault="0079170F" w:rsidP="0079170F">
      <w:pPr>
        <w:suppressAutoHyphens/>
        <w:spacing w:after="120"/>
        <w:ind w:firstLine="720"/>
        <w:jc w:val="both"/>
        <w:rPr>
          <w:rFonts w:ascii="Calibri" w:hAnsi="Calibri" w:cs="Calibri"/>
          <w:color w:val="000000"/>
        </w:rPr>
      </w:pPr>
      <w:r>
        <w:rPr>
          <w:rFonts w:ascii="Calibri" w:hAnsi="Calibri"/>
          <w:color w:val="000000"/>
        </w:rPr>
        <w:t>On the line of preventing and fighting tax evasion, the National Agency for Fiscal Administration obtained the following results in January - November 2018:</w:t>
      </w:r>
    </w:p>
    <w:p w:rsidR="0079170F" w:rsidRPr="0079170F" w:rsidRDefault="0079170F" w:rsidP="00565476">
      <w:pPr>
        <w:numPr>
          <w:ilvl w:val="0"/>
          <w:numId w:val="213"/>
        </w:numPr>
        <w:suppressAutoHyphens/>
        <w:spacing w:after="120" w:line="259" w:lineRule="auto"/>
        <w:jc w:val="both"/>
        <w:rPr>
          <w:rFonts w:ascii="Calibri" w:hAnsi="Calibri" w:cs="Calibri"/>
          <w:color w:val="000000"/>
        </w:rPr>
      </w:pPr>
      <w:r>
        <w:rPr>
          <w:rFonts w:ascii="Calibri" w:hAnsi="Calibri"/>
          <w:color w:val="000000"/>
        </w:rPr>
        <w:t>133,551 verifications were made at taxpayers private individuals and legal entities (33.6% less than in January - November 2017), following which were attracted to the general consolidated budget total additional amounts of Lei 5,585.4 million (29.2% less than in January - November 2017) and the fiscal loss was reduced by Lei 2,815.2 million (5.4% more than in January - November 2017).</w:t>
      </w:r>
    </w:p>
    <w:p w:rsidR="0079170F" w:rsidRPr="0079170F" w:rsidRDefault="0079170F" w:rsidP="00565476">
      <w:pPr>
        <w:numPr>
          <w:ilvl w:val="0"/>
          <w:numId w:val="213"/>
        </w:numPr>
        <w:suppressAutoHyphens/>
        <w:spacing w:after="120" w:line="259" w:lineRule="auto"/>
        <w:jc w:val="both"/>
        <w:rPr>
          <w:rFonts w:ascii="Calibri" w:hAnsi="Calibri" w:cs="Calibri"/>
          <w:color w:val="000000"/>
        </w:rPr>
      </w:pPr>
      <w:r>
        <w:rPr>
          <w:rFonts w:ascii="Calibri" w:hAnsi="Calibri"/>
          <w:color w:val="000000"/>
        </w:rPr>
        <w:t>36,307 fines were enforced for civil offences, amounting to a total of Lei 168.6 million (1.1% more than in January - November 2017) and 49,146 fines were collected, amounting to a total of Lei 251.8 million (79.3% more than in January - November 2017);</w:t>
      </w:r>
    </w:p>
    <w:p w:rsidR="0079170F" w:rsidRPr="0079170F" w:rsidRDefault="0079170F" w:rsidP="00565476">
      <w:pPr>
        <w:numPr>
          <w:ilvl w:val="0"/>
          <w:numId w:val="213"/>
        </w:numPr>
        <w:tabs>
          <w:tab w:val="num" w:pos="547"/>
        </w:tabs>
        <w:suppressAutoHyphens/>
        <w:spacing w:after="120" w:line="259" w:lineRule="auto"/>
        <w:jc w:val="both"/>
        <w:rPr>
          <w:rFonts w:ascii="Calibri" w:hAnsi="Calibri" w:cs="Calibri"/>
          <w:color w:val="000000"/>
        </w:rPr>
      </w:pPr>
      <w:r>
        <w:rPr>
          <w:rFonts w:ascii="Calibri" w:hAnsi="Calibri"/>
          <w:color w:val="000000"/>
        </w:rPr>
        <w:t>2,043 notifications were forwarded to the authorized bodies to continue investigations for a prejudice of Lei 2,223.6 million (51.3% less than in January - November 2017);</w:t>
      </w:r>
    </w:p>
    <w:p w:rsidR="0079170F" w:rsidRPr="0079170F" w:rsidRDefault="0079170F" w:rsidP="00565476">
      <w:pPr>
        <w:numPr>
          <w:ilvl w:val="0"/>
          <w:numId w:val="213"/>
        </w:numPr>
        <w:tabs>
          <w:tab w:val="num" w:pos="547"/>
        </w:tabs>
        <w:suppressAutoHyphens/>
        <w:spacing w:after="120" w:line="259" w:lineRule="auto"/>
        <w:jc w:val="both"/>
        <w:rPr>
          <w:rFonts w:ascii="Calibri" w:hAnsi="Calibri" w:cs="Calibri"/>
          <w:color w:val="000000"/>
        </w:rPr>
      </w:pPr>
      <w:r>
        <w:rPr>
          <w:rFonts w:ascii="Calibri" w:hAnsi="Calibri"/>
          <w:color w:val="000000"/>
        </w:rPr>
        <w:t>1,781 precautionary measures were established, amounting to a total of Lei 1,455.0 million (53.0% less than in January - November 2017);</w:t>
      </w:r>
    </w:p>
    <w:p w:rsidR="0079170F" w:rsidRPr="0079170F" w:rsidRDefault="0079170F" w:rsidP="00565476">
      <w:pPr>
        <w:numPr>
          <w:ilvl w:val="0"/>
          <w:numId w:val="213"/>
        </w:numPr>
        <w:tabs>
          <w:tab w:val="num" w:pos="547"/>
        </w:tabs>
        <w:suppressAutoHyphens/>
        <w:spacing w:after="120" w:line="259" w:lineRule="auto"/>
        <w:jc w:val="both"/>
        <w:rPr>
          <w:rFonts w:ascii="Calibri" w:hAnsi="Calibri" w:cs="Calibri"/>
          <w:color w:val="000000"/>
        </w:rPr>
      </w:pPr>
      <w:r>
        <w:rPr>
          <w:rFonts w:ascii="Calibri" w:hAnsi="Calibri"/>
          <w:color w:val="000000"/>
        </w:rPr>
        <w:t>the value of seizures of goods and cash was of Lei 134.5 million (18.4% less than in January - November 2017), including a number of approximately 45.2 million pieces of cigarettes sized.</w:t>
      </w:r>
    </w:p>
    <w:p w:rsidR="0079170F" w:rsidRPr="0079170F" w:rsidRDefault="0079170F" w:rsidP="0079170F">
      <w:pPr>
        <w:tabs>
          <w:tab w:val="left" w:pos="180"/>
          <w:tab w:val="left" w:pos="360"/>
          <w:tab w:val="left" w:pos="540"/>
          <w:tab w:val="left" w:pos="720"/>
        </w:tabs>
        <w:suppressAutoHyphens/>
        <w:spacing w:after="120"/>
        <w:rPr>
          <w:rFonts w:ascii="Calibri" w:hAnsi="Calibri" w:cs="Calibri"/>
          <w:b/>
          <w:i/>
          <w:iCs/>
          <w:color w:val="000000"/>
        </w:rPr>
      </w:pPr>
      <w:r>
        <w:rPr>
          <w:rFonts w:ascii="Calibri" w:hAnsi="Calibri"/>
          <w:b/>
          <w:i/>
          <w:iCs/>
          <w:color w:val="000000"/>
        </w:rPr>
        <w:tab/>
      </w:r>
      <w:r>
        <w:rPr>
          <w:rFonts w:ascii="Calibri" w:hAnsi="Calibri"/>
          <w:b/>
          <w:i/>
          <w:iCs/>
          <w:color w:val="000000"/>
        </w:rPr>
        <w:tab/>
      </w:r>
      <w:r>
        <w:rPr>
          <w:rFonts w:ascii="Calibri" w:hAnsi="Calibri"/>
          <w:b/>
          <w:i/>
          <w:iCs/>
          <w:color w:val="000000"/>
        </w:rPr>
        <w:tab/>
      </w:r>
      <w:r>
        <w:rPr>
          <w:rFonts w:ascii="Calibri" w:hAnsi="Calibri"/>
          <w:b/>
          <w:i/>
          <w:iCs/>
          <w:color w:val="000000"/>
        </w:rPr>
        <w:tab/>
        <w:t>The tax inspection activity</w:t>
      </w:r>
    </w:p>
    <w:p w:rsidR="0079170F" w:rsidRPr="003964D3" w:rsidRDefault="0079170F" w:rsidP="0079170F">
      <w:pPr>
        <w:spacing w:before="100" w:beforeAutospacing="1" w:after="119"/>
        <w:ind w:firstLine="720"/>
        <w:jc w:val="both"/>
        <w:rPr>
          <w:color w:val="00000A"/>
        </w:rPr>
      </w:pPr>
      <w:r>
        <w:rPr>
          <w:rFonts w:ascii="Calibri" w:hAnsi="Calibri"/>
        </w:rPr>
        <w:t>In January - November 2018, the tax inspection bodies of ANAF carried out 37,880 verifications (tax inspections, unexpected controls, cross-controls, verifications on the spot) at the taxpayers private individuals and legal entities, of which 23,741 tax inspections, following which:</w:t>
      </w:r>
    </w:p>
    <w:p w:rsidR="0079170F" w:rsidRPr="0079170F" w:rsidRDefault="0079170F" w:rsidP="00565476">
      <w:pPr>
        <w:numPr>
          <w:ilvl w:val="0"/>
          <w:numId w:val="213"/>
        </w:numPr>
        <w:tabs>
          <w:tab w:val="num" w:pos="547"/>
        </w:tabs>
        <w:suppressAutoHyphens/>
        <w:spacing w:after="120" w:line="259" w:lineRule="auto"/>
        <w:jc w:val="both"/>
        <w:rPr>
          <w:rFonts w:ascii="Calibri" w:hAnsi="Calibri" w:cs="Calibri"/>
          <w:color w:val="000000"/>
        </w:rPr>
      </w:pPr>
      <w:r>
        <w:rPr>
          <w:rFonts w:ascii="Calibri" w:hAnsi="Calibri"/>
          <w:color w:val="000000"/>
        </w:rPr>
        <w:t>were established additional fiscal liabilities (principal and accessories) of a total of Lei 5,581.8 million, of which Lei 5,452.8 are principal fiscal liabilities;</w:t>
      </w:r>
    </w:p>
    <w:p w:rsidR="0079170F" w:rsidRPr="0079170F" w:rsidRDefault="0079170F" w:rsidP="00565476">
      <w:pPr>
        <w:numPr>
          <w:ilvl w:val="0"/>
          <w:numId w:val="213"/>
        </w:numPr>
        <w:tabs>
          <w:tab w:val="num" w:pos="547"/>
        </w:tabs>
        <w:suppressAutoHyphens/>
        <w:spacing w:after="120" w:line="259" w:lineRule="auto"/>
        <w:jc w:val="both"/>
        <w:rPr>
          <w:rFonts w:ascii="Calibri" w:hAnsi="Calibri" w:cs="Calibri"/>
          <w:color w:val="000000"/>
        </w:rPr>
      </w:pPr>
      <w:r>
        <w:rPr>
          <w:rFonts w:ascii="Calibri" w:hAnsi="Calibri"/>
          <w:color w:val="000000"/>
        </w:rPr>
        <w:t>4,118 fines with a total value of Lei 9.1 million were enforced;</w:t>
      </w:r>
    </w:p>
    <w:p w:rsidR="0079170F" w:rsidRPr="0079170F" w:rsidRDefault="0079170F" w:rsidP="00565476">
      <w:pPr>
        <w:numPr>
          <w:ilvl w:val="0"/>
          <w:numId w:val="213"/>
        </w:numPr>
        <w:tabs>
          <w:tab w:val="num" w:pos="547"/>
        </w:tabs>
        <w:suppressAutoHyphens/>
        <w:spacing w:after="120" w:line="259" w:lineRule="auto"/>
        <w:jc w:val="both"/>
        <w:rPr>
          <w:rFonts w:ascii="Calibri" w:hAnsi="Calibri" w:cs="Calibri"/>
          <w:color w:val="000000"/>
        </w:rPr>
      </w:pPr>
      <w:r>
        <w:rPr>
          <w:rFonts w:ascii="Calibri" w:hAnsi="Calibri"/>
          <w:color w:val="000000"/>
        </w:rPr>
        <w:t>1,327 notifications for a prejudice of Lei 1,242.3 million were forwarded to the criminal prosecution bodies;</w:t>
      </w:r>
    </w:p>
    <w:p w:rsidR="0079170F" w:rsidRPr="0079170F" w:rsidRDefault="0079170F" w:rsidP="00565476">
      <w:pPr>
        <w:numPr>
          <w:ilvl w:val="0"/>
          <w:numId w:val="213"/>
        </w:numPr>
        <w:tabs>
          <w:tab w:val="num" w:pos="547"/>
        </w:tabs>
        <w:suppressAutoHyphens/>
        <w:spacing w:after="120" w:line="259" w:lineRule="auto"/>
        <w:jc w:val="both"/>
        <w:rPr>
          <w:rFonts w:ascii="Calibri" w:hAnsi="Calibri" w:cs="Calibri"/>
          <w:color w:val="000000"/>
        </w:rPr>
      </w:pPr>
      <w:r>
        <w:rPr>
          <w:rFonts w:ascii="Calibri" w:hAnsi="Calibri"/>
          <w:color w:val="000000"/>
        </w:rPr>
        <w:t>1,544 precautionary measures with a value of Lei 1,250.9 million were established;</w:t>
      </w:r>
    </w:p>
    <w:p w:rsidR="0079170F" w:rsidRPr="0079170F" w:rsidRDefault="0079170F" w:rsidP="00565476">
      <w:pPr>
        <w:numPr>
          <w:ilvl w:val="0"/>
          <w:numId w:val="213"/>
        </w:numPr>
        <w:tabs>
          <w:tab w:val="num" w:pos="547"/>
        </w:tabs>
        <w:suppressAutoHyphens/>
        <w:spacing w:after="120" w:line="259" w:lineRule="auto"/>
        <w:jc w:val="both"/>
        <w:rPr>
          <w:rFonts w:ascii="Calibri" w:hAnsi="Calibri" w:cs="Calibri"/>
          <w:color w:val="000000"/>
        </w:rPr>
      </w:pPr>
      <w:r>
        <w:rPr>
          <w:rFonts w:ascii="Calibri" w:hAnsi="Calibri"/>
          <w:color w:val="000000"/>
        </w:rPr>
        <w:t>the fiscal loss was reduced by Lei 2,832.2 million;</w:t>
      </w:r>
    </w:p>
    <w:p w:rsidR="0079170F" w:rsidRPr="0079170F" w:rsidRDefault="0079170F" w:rsidP="0079170F">
      <w:pPr>
        <w:suppressAutoHyphens/>
        <w:spacing w:after="120"/>
        <w:ind w:firstLine="720"/>
        <w:jc w:val="both"/>
        <w:rPr>
          <w:rFonts w:ascii="Calibri" w:hAnsi="Calibri" w:cs="Arial"/>
          <w:color w:val="000000"/>
        </w:rPr>
      </w:pPr>
      <w:r>
        <w:rPr>
          <w:rFonts w:ascii="Calibri" w:hAnsi="Calibri"/>
          <w:color w:val="000000"/>
        </w:rPr>
        <w:t>During the tax inspections which targeted the verification of the transfer prices file were established additional fiscal liabilities (principal and accessories) of a total of Lei 136.9 million and the fiscal loss was reduced by the amount of Lei 217.9 million.</w:t>
      </w:r>
    </w:p>
    <w:p w:rsidR="0079170F" w:rsidRPr="0079170F" w:rsidRDefault="0079170F" w:rsidP="0079170F">
      <w:pPr>
        <w:tabs>
          <w:tab w:val="left" w:pos="180"/>
          <w:tab w:val="left" w:pos="360"/>
          <w:tab w:val="left" w:pos="540"/>
          <w:tab w:val="left" w:pos="720"/>
        </w:tabs>
        <w:suppressAutoHyphens/>
        <w:rPr>
          <w:rFonts w:ascii="Calibri" w:hAnsi="Calibri" w:cs="Calibri"/>
          <w:b/>
          <w:color w:val="000000"/>
          <w:lang w:val="ro-RO" w:eastAsia="zh-CN"/>
        </w:rPr>
      </w:pPr>
    </w:p>
    <w:p w:rsidR="0079170F" w:rsidRPr="0079170F" w:rsidRDefault="0079170F" w:rsidP="0079170F">
      <w:pPr>
        <w:tabs>
          <w:tab w:val="left" w:pos="180"/>
          <w:tab w:val="left" w:pos="360"/>
          <w:tab w:val="left" w:pos="540"/>
          <w:tab w:val="left" w:pos="720"/>
        </w:tabs>
        <w:suppressAutoHyphens/>
        <w:spacing w:after="120"/>
        <w:rPr>
          <w:rFonts w:ascii="Calibri" w:hAnsi="Calibri" w:cs="Calibri"/>
          <w:i/>
          <w:color w:val="000000"/>
        </w:rPr>
      </w:pPr>
      <w:r>
        <w:rPr>
          <w:rFonts w:ascii="Calibri" w:hAnsi="Calibri"/>
          <w:b/>
          <w:i/>
          <w:iCs/>
          <w:color w:val="000000"/>
        </w:rPr>
        <w:tab/>
      </w:r>
      <w:r>
        <w:rPr>
          <w:rFonts w:ascii="Calibri" w:hAnsi="Calibri"/>
          <w:b/>
          <w:i/>
          <w:iCs/>
          <w:color w:val="000000"/>
        </w:rPr>
        <w:tab/>
      </w:r>
      <w:r>
        <w:rPr>
          <w:rFonts w:ascii="Calibri" w:hAnsi="Calibri"/>
          <w:b/>
          <w:i/>
          <w:iCs/>
          <w:color w:val="000000"/>
        </w:rPr>
        <w:tab/>
      </w:r>
      <w:r>
        <w:rPr>
          <w:rFonts w:ascii="Calibri" w:hAnsi="Calibri"/>
          <w:b/>
          <w:i/>
          <w:iCs/>
          <w:color w:val="000000"/>
        </w:rPr>
        <w:tab/>
        <w:t xml:space="preserve">Activity in the field of fiscal anti-fraud </w:t>
      </w:r>
    </w:p>
    <w:p w:rsidR="0079170F" w:rsidRPr="0079170F" w:rsidRDefault="0079170F" w:rsidP="0079170F">
      <w:pPr>
        <w:suppressAutoHyphens/>
        <w:spacing w:after="120"/>
        <w:ind w:firstLine="720"/>
        <w:jc w:val="both"/>
        <w:rPr>
          <w:rFonts w:ascii="Calibri" w:hAnsi="Calibri" w:cs="Arial"/>
          <w:color w:val="000000"/>
        </w:rPr>
      </w:pPr>
      <w:r>
        <w:rPr>
          <w:rFonts w:ascii="Calibri" w:hAnsi="Calibri"/>
          <w:color w:val="000000"/>
        </w:rPr>
        <w:t xml:space="preserve">Between January and November 2018, following the verification of a number of 45,939 taxpayers, were established/quantified prejudices corresponding to the notifications submitted to the criminal prosecution bodies and sanctions for civil offences (fines and seizures) amounting to a total of Lei 1,172.7 million (the equivalent of EUR 255.0 million).  </w:t>
      </w:r>
    </w:p>
    <w:p w:rsidR="0079170F" w:rsidRPr="0079170F" w:rsidRDefault="0079170F" w:rsidP="0079170F">
      <w:pPr>
        <w:suppressAutoHyphens/>
        <w:spacing w:after="120"/>
        <w:ind w:firstLine="720"/>
        <w:jc w:val="both"/>
        <w:rPr>
          <w:rFonts w:ascii="Calibri" w:hAnsi="Calibri" w:cs="Arial"/>
          <w:color w:val="000000"/>
        </w:rPr>
      </w:pPr>
      <w:r>
        <w:rPr>
          <w:rFonts w:ascii="Calibri" w:hAnsi="Calibri"/>
          <w:color w:val="000000"/>
        </w:rPr>
        <w:t xml:space="preserve">Of the total amounts established, 82.8% represent prejudices corresponding to the notifications forwarded to the criminal prosecution bodies, while the sanctions for civil offences (fines and seizures) represent 17.2%. </w:t>
      </w:r>
    </w:p>
    <w:p w:rsidR="0079170F" w:rsidRPr="0079170F" w:rsidRDefault="0079170F" w:rsidP="0079170F">
      <w:pPr>
        <w:suppressAutoHyphens/>
        <w:spacing w:after="120"/>
        <w:ind w:firstLine="720"/>
        <w:jc w:val="both"/>
        <w:rPr>
          <w:rFonts w:ascii="Calibri" w:hAnsi="Calibri" w:cs="Arial"/>
          <w:color w:val="000000"/>
        </w:rPr>
      </w:pPr>
      <w:r>
        <w:rPr>
          <w:rFonts w:ascii="Calibri" w:hAnsi="Calibri"/>
          <w:color w:val="000000"/>
        </w:rPr>
        <w:t xml:space="preserve">In the structure of fiscal anti-fraud were also identified and tackled, based on the risk analysis and as part of inter-institutional cooperation, the fiscal fraud phenomena with significant negative fiscal implications on the State budget. </w:t>
      </w:r>
    </w:p>
    <w:p w:rsidR="0079170F" w:rsidRPr="0079170F" w:rsidRDefault="0079170F" w:rsidP="0079170F">
      <w:pPr>
        <w:suppressAutoHyphens/>
        <w:spacing w:after="120"/>
        <w:ind w:firstLine="720"/>
        <w:jc w:val="both"/>
        <w:rPr>
          <w:rFonts w:ascii="Calibri" w:hAnsi="Calibri" w:cs="Arial"/>
          <w:color w:val="000000"/>
        </w:rPr>
      </w:pPr>
      <w:r>
        <w:rPr>
          <w:rFonts w:ascii="Calibri" w:hAnsi="Calibri"/>
          <w:color w:val="000000"/>
        </w:rPr>
        <w:t xml:space="preserve">Following specific verifications, during the reference period were submitted to the criminal prosecution bodies 310 notifications for an estimated total prejudice of 971.3 million Lei (the equivalent of EUR 211.2 million). </w:t>
      </w:r>
    </w:p>
    <w:p w:rsidR="0079170F" w:rsidRPr="0079170F" w:rsidRDefault="0079170F" w:rsidP="0079170F">
      <w:pPr>
        <w:suppressAutoHyphens/>
        <w:spacing w:after="120"/>
        <w:ind w:firstLine="720"/>
        <w:jc w:val="both"/>
        <w:rPr>
          <w:rFonts w:ascii="Calibri" w:hAnsi="Calibri" w:cs="Arial"/>
          <w:color w:val="000000"/>
        </w:rPr>
      </w:pPr>
      <w:r>
        <w:rPr>
          <w:rFonts w:ascii="Calibri" w:hAnsi="Calibri"/>
          <w:color w:val="000000"/>
        </w:rPr>
        <w:t>The value of the notifications which record prejudices bigger than 1 million Lei represents 94.6% in the total value of the prejudices established through notifications submitted to the criminal prosecution bodies between January and November 2018.</w:t>
      </w:r>
    </w:p>
    <w:p w:rsidR="0079170F" w:rsidRPr="0079170F" w:rsidRDefault="0079170F" w:rsidP="0079170F">
      <w:pPr>
        <w:suppressAutoHyphens/>
        <w:spacing w:after="120"/>
        <w:ind w:firstLine="720"/>
        <w:jc w:val="both"/>
        <w:rPr>
          <w:rFonts w:ascii="Calibri" w:hAnsi="Calibri" w:cs="Arial"/>
          <w:color w:val="000000"/>
        </w:rPr>
      </w:pPr>
      <w:r>
        <w:rPr>
          <w:rFonts w:ascii="Calibri" w:hAnsi="Calibri"/>
          <w:color w:val="000000"/>
        </w:rPr>
        <w:t>In order to ensure the recovery of the prejudices corresponding to the investigated cases, were established 237 precautionary measures amounting to Lei 203.9 million (the equivalent of EUR 44.3 million).</w:t>
      </w:r>
    </w:p>
    <w:p w:rsidR="0079170F" w:rsidRPr="0079170F" w:rsidRDefault="0079170F" w:rsidP="0079170F">
      <w:pPr>
        <w:suppressAutoHyphens/>
        <w:spacing w:after="120"/>
        <w:ind w:firstLine="720"/>
        <w:jc w:val="both"/>
        <w:rPr>
          <w:rFonts w:ascii="Calibri" w:hAnsi="Calibri" w:cs="Arial"/>
          <w:color w:val="000000"/>
        </w:rPr>
      </w:pPr>
      <w:r>
        <w:rPr>
          <w:rFonts w:ascii="Calibri" w:hAnsi="Calibri"/>
          <w:color w:val="000000"/>
        </w:rPr>
        <w:t xml:space="preserve">On the line of preventing tax evasion and fiscal and customs fraud were applied sanctions for civil offences amounting to a total of 201.4 million Lei (the equivalent of EUR 43.8 million), representing fines for civil offences and seizures of goods, amounts in cash and revenues whose origin was considered illegal. </w:t>
      </w:r>
    </w:p>
    <w:p w:rsidR="0079170F" w:rsidRPr="0079170F" w:rsidRDefault="0079170F" w:rsidP="0079170F">
      <w:pPr>
        <w:suppressAutoHyphens/>
        <w:spacing w:after="120"/>
        <w:ind w:firstLine="720"/>
        <w:jc w:val="both"/>
        <w:rPr>
          <w:rFonts w:ascii="Calibri" w:hAnsi="Calibri" w:cs="Arial"/>
          <w:color w:val="000000"/>
        </w:rPr>
      </w:pPr>
      <w:r>
        <w:rPr>
          <w:rFonts w:ascii="Calibri" w:hAnsi="Calibri"/>
          <w:color w:val="000000"/>
        </w:rPr>
        <w:t>Also, it was ordered the suspension of the activity for 588 economic operators, of which 471 mainly for deviations from the provisions of GEO no. 28/1999 on the obligation of economic operators of using electronic cash registers (341 suspensions for not having electronic cash registers, 130 suspensions for not using electronic cash registers) and 117 for deviations from the provisions of Law no. 227/2015.</w:t>
      </w:r>
    </w:p>
    <w:p w:rsidR="0079170F" w:rsidRPr="0079170F" w:rsidRDefault="0079170F" w:rsidP="0079170F">
      <w:pPr>
        <w:tabs>
          <w:tab w:val="left" w:pos="180"/>
          <w:tab w:val="left" w:pos="360"/>
          <w:tab w:val="left" w:pos="540"/>
          <w:tab w:val="left" w:pos="720"/>
        </w:tabs>
        <w:suppressAutoHyphens/>
        <w:spacing w:after="120"/>
        <w:rPr>
          <w:rFonts w:ascii="Calibri" w:hAnsi="Calibri" w:cs="Calibri"/>
          <w:b/>
          <w:color w:val="000000"/>
        </w:rPr>
      </w:pPr>
      <w:r>
        <w:rPr>
          <w:rFonts w:ascii="Calibri" w:hAnsi="Calibri"/>
          <w:b/>
          <w:color w:val="000000"/>
        </w:rPr>
        <w:tab/>
      </w:r>
      <w:r>
        <w:rPr>
          <w:rFonts w:ascii="Calibri" w:hAnsi="Calibri"/>
          <w:b/>
          <w:color w:val="000000"/>
        </w:rPr>
        <w:tab/>
      </w:r>
      <w:r>
        <w:rPr>
          <w:rFonts w:ascii="Calibri" w:hAnsi="Calibri"/>
          <w:b/>
          <w:color w:val="000000"/>
        </w:rPr>
        <w:tab/>
      </w:r>
      <w:r>
        <w:rPr>
          <w:rFonts w:ascii="Calibri" w:hAnsi="Calibri"/>
          <w:b/>
          <w:color w:val="000000"/>
        </w:rPr>
        <w:tab/>
      </w:r>
    </w:p>
    <w:p w:rsidR="0079170F" w:rsidRPr="0079170F" w:rsidRDefault="0079170F" w:rsidP="0079170F">
      <w:pPr>
        <w:tabs>
          <w:tab w:val="left" w:pos="180"/>
          <w:tab w:val="left" w:pos="360"/>
          <w:tab w:val="left" w:pos="540"/>
          <w:tab w:val="left" w:pos="720"/>
        </w:tabs>
        <w:suppressAutoHyphens/>
        <w:spacing w:after="120"/>
        <w:rPr>
          <w:rFonts w:ascii="Calibri" w:hAnsi="Calibri" w:cs="Calibri"/>
          <w:color w:val="000000"/>
        </w:rPr>
      </w:pPr>
      <w:r>
        <w:rPr>
          <w:rFonts w:ascii="Calibri" w:hAnsi="Calibri"/>
          <w:b/>
          <w:color w:val="000000"/>
        </w:rPr>
        <w:tab/>
      </w:r>
      <w:r>
        <w:rPr>
          <w:rFonts w:ascii="Calibri" w:hAnsi="Calibri"/>
          <w:b/>
          <w:color w:val="000000"/>
        </w:rPr>
        <w:tab/>
      </w:r>
      <w:r>
        <w:rPr>
          <w:rFonts w:ascii="Calibri" w:hAnsi="Calibri"/>
          <w:b/>
          <w:color w:val="000000"/>
        </w:rPr>
        <w:tab/>
      </w:r>
      <w:r>
        <w:rPr>
          <w:rFonts w:ascii="Calibri" w:hAnsi="Calibri"/>
          <w:b/>
          <w:color w:val="000000"/>
        </w:rPr>
        <w:tab/>
      </w:r>
      <w:r>
        <w:rPr>
          <w:rFonts w:ascii="Calibri" w:hAnsi="Calibri"/>
          <w:b/>
          <w:i/>
          <w:iCs/>
          <w:color w:val="000000"/>
        </w:rPr>
        <w:t>Activity in the customs field</w:t>
      </w:r>
    </w:p>
    <w:p w:rsidR="0079170F" w:rsidRPr="0079170F" w:rsidRDefault="0079170F" w:rsidP="0079170F">
      <w:pPr>
        <w:suppressAutoHyphens/>
        <w:spacing w:after="120"/>
        <w:ind w:firstLine="720"/>
        <w:jc w:val="both"/>
        <w:rPr>
          <w:rFonts w:ascii="Calibri" w:hAnsi="Calibri" w:cs="Arial"/>
          <w:color w:val="000000"/>
        </w:rPr>
      </w:pPr>
      <w:r>
        <w:rPr>
          <w:rFonts w:ascii="Calibri" w:hAnsi="Calibri"/>
          <w:color w:val="000000"/>
        </w:rPr>
        <w:t>In 2018 were submitted and processed 659,157 customs declarations of placement in circulation of merchandise, compared to 599,512 declarations in 2017, being established rights of import and other charges (including postponed VAT) of Lei 18,968.6 million, compared to Lei 15,610.8 million in 2017.</w:t>
      </w:r>
    </w:p>
    <w:p w:rsidR="0079170F" w:rsidRPr="0079170F" w:rsidRDefault="0079170F" w:rsidP="0079170F">
      <w:pPr>
        <w:suppressAutoHyphens/>
        <w:spacing w:after="120"/>
        <w:ind w:firstLine="720"/>
        <w:jc w:val="both"/>
        <w:rPr>
          <w:rFonts w:ascii="Calibri" w:hAnsi="Calibri" w:cs="Arial"/>
          <w:color w:val="000000"/>
        </w:rPr>
      </w:pPr>
      <w:r>
        <w:rPr>
          <w:rFonts w:ascii="Calibri" w:hAnsi="Calibri"/>
          <w:color w:val="000000"/>
        </w:rPr>
        <w:t>In the field of movements under regime of suspension of excise duties were managed in the EMCS-RO application a total of 180,903 electronic administrative documents e-DA (86,807 e-DA initiated and 94,096 e-DA received), finding an increase from 2017, when 181,875 e-DA were registered (88,455 e-DA initiated and 93,420 e-DA received).</w:t>
      </w:r>
    </w:p>
    <w:p w:rsidR="0079170F" w:rsidRPr="0079170F" w:rsidRDefault="0079170F" w:rsidP="0079170F">
      <w:pPr>
        <w:suppressAutoHyphens/>
        <w:spacing w:after="120"/>
        <w:ind w:firstLine="720"/>
        <w:jc w:val="both"/>
        <w:rPr>
          <w:rFonts w:ascii="Calibri" w:hAnsi="Calibri" w:cs="Arial"/>
          <w:color w:val="000000"/>
        </w:rPr>
      </w:pPr>
      <w:r>
        <w:rPr>
          <w:rFonts w:ascii="Calibri" w:hAnsi="Calibri"/>
          <w:color w:val="000000"/>
        </w:rPr>
        <w:t>In the activity of supervision in the customs field of excisable products, 3,114 civil offences were found in 2018 and they were sanctioned in accordance with the legislation in force by fines amounting to Lei 12.3 million and 432 crimes for which criminal notifications were submitted to the criminal prosecution bodies. The estimated value of the seizures of goods, except for cigarettes, is of 53.6 million Lei.</w:t>
      </w:r>
    </w:p>
    <w:p w:rsidR="0079170F" w:rsidRPr="0079170F" w:rsidRDefault="0079170F" w:rsidP="0079170F">
      <w:pPr>
        <w:suppressAutoHyphens/>
        <w:spacing w:after="120"/>
        <w:ind w:firstLine="720"/>
        <w:jc w:val="both"/>
        <w:rPr>
          <w:rFonts w:ascii="Calibri" w:hAnsi="Calibri" w:cs="Arial"/>
          <w:color w:val="000000"/>
        </w:rPr>
      </w:pPr>
      <w:r>
        <w:rPr>
          <w:rFonts w:ascii="Calibri" w:hAnsi="Calibri"/>
          <w:color w:val="000000"/>
        </w:rPr>
        <w:t>In the subsequent control activity were carried out in 2018 a number of 105,177 actions of subsequent control and re-verifications of customs duties, the total amount additionally found being of Lei 76.9 million.</w:t>
      </w:r>
    </w:p>
    <w:p w:rsidR="0079170F" w:rsidRPr="0079170F" w:rsidRDefault="0079170F" w:rsidP="0079170F">
      <w:pPr>
        <w:suppressAutoHyphens/>
        <w:spacing w:after="120"/>
        <w:ind w:firstLine="720"/>
        <w:jc w:val="both"/>
        <w:rPr>
          <w:rFonts w:ascii="Calibri" w:hAnsi="Calibri" w:cs="Arial"/>
          <w:color w:val="000000"/>
        </w:rPr>
      </w:pPr>
      <w:r>
        <w:rPr>
          <w:rFonts w:ascii="Calibri" w:hAnsi="Calibri"/>
          <w:color w:val="000000"/>
        </w:rPr>
        <w:t xml:space="preserve">In the field of fighting illegal trafficking of cigarettes and tobacco products, the teams of customs supervision and control from the central, regional, and local level seized in 2018 a number of approximately 45.3 million cigarettes. </w:t>
      </w:r>
    </w:p>
    <w:p w:rsidR="0079170F" w:rsidRPr="0079170F" w:rsidRDefault="0079170F" w:rsidP="0079170F">
      <w:pPr>
        <w:suppressAutoHyphens/>
        <w:spacing w:after="120"/>
        <w:ind w:firstLine="720"/>
        <w:jc w:val="both"/>
        <w:rPr>
          <w:rFonts w:ascii="Calibri" w:hAnsi="Calibri" w:cs="Arial"/>
          <w:color w:val="000000"/>
        </w:rPr>
      </w:pPr>
      <w:r>
        <w:rPr>
          <w:rFonts w:ascii="Calibri" w:hAnsi="Calibri"/>
          <w:color w:val="000000"/>
        </w:rPr>
        <w:t>Meetings with organizations and practitioners in the customs field</w:t>
      </w:r>
    </w:p>
    <w:p w:rsidR="0079170F" w:rsidRPr="0079170F" w:rsidRDefault="0079170F" w:rsidP="0079170F">
      <w:pPr>
        <w:suppressAutoHyphens/>
        <w:spacing w:after="120"/>
        <w:ind w:firstLine="720"/>
        <w:jc w:val="both"/>
        <w:rPr>
          <w:rFonts w:ascii="Calibri" w:hAnsi="Calibri" w:cs="Arial"/>
          <w:color w:val="000000"/>
        </w:rPr>
      </w:pPr>
      <w:r>
        <w:rPr>
          <w:rFonts w:ascii="Calibri" w:hAnsi="Calibri"/>
          <w:color w:val="000000"/>
        </w:rPr>
        <w:t>Representatives of the General Customs Directorate participated in Brussels to meetings/reunions/work groups at international level on specific fields, like: the general customs legislation, special regimes, customs evaluation of merchandise, centralized customs control, customs status and transit, electronic customs, data integration and harmonization, customs debt, detection technologies, financial risk criteria, risk management, and so on. Also, they participated to meetings/reunions/work groups on the following fields: EMCS, AEO, CCWP, CIS+CUSTOMS, risk management, combating smuggling/customs fraud.</w:t>
      </w:r>
    </w:p>
    <w:p w:rsidR="0079170F" w:rsidRPr="0079170F" w:rsidRDefault="0079170F" w:rsidP="0079170F">
      <w:pPr>
        <w:suppressAutoHyphens/>
        <w:spacing w:after="120"/>
        <w:ind w:firstLine="720"/>
        <w:jc w:val="both"/>
        <w:rPr>
          <w:rFonts w:ascii="Calibri" w:hAnsi="Calibri" w:cs="Arial"/>
          <w:color w:val="000000"/>
        </w:rPr>
      </w:pPr>
      <w:r>
        <w:rPr>
          <w:rFonts w:ascii="Calibri" w:hAnsi="Calibri"/>
          <w:color w:val="000000"/>
        </w:rPr>
        <w:t xml:space="preserve">In 2018 were held meetings with the business environment in order to identify the issues faced in the enforcement of simplified customs procedures and to present the advantages of using the electronic transport document, i.e. ETD, with the value of transit declaration as a result of legislative amendments. </w:t>
      </w:r>
    </w:p>
    <w:p w:rsidR="0079170F" w:rsidRPr="0079170F" w:rsidRDefault="0079170F" w:rsidP="0079170F">
      <w:pPr>
        <w:suppressAutoHyphens/>
        <w:spacing w:after="120"/>
        <w:ind w:firstLine="720"/>
        <w:jc w:val="both"/>
        <w:rPr>
          <w:rFonts w:ascii="Calibri" w:hAnsi="Calibri" w:cs="Arial"/>
          <w:color w:val="000000"/>
        </w:rPr>
      </w:pPr>
      <w:r>
        <w:rPr>
          <w:rFonts w:ascii="Calibri" w:hAnsi="Calibri"/>
          <w:color w:val="000000"/>
        </w:rPr>
        <w:t xml:space="preserve">Other topics of general interest debated during the meetings with the large economic operators considered the reevaluation of authorizations issued prior to May 1, 2016, the global guarantees and the use of the European System of Customs Decisions. </w:t>
      </w:r>
    </w:p>
    <w:p w:rsidR="0079170F" w:rsidRPr="0079170F" w:rsidRDefault="0079170F" w:rsidP="0079170F">
      <w:pPr>
        <w:suppressAutoHyphens/>
        <w:spacing w:after="120"/>
        <w:ind w:firstLine="720"/>
        <w:jc w:val="both"/>
        <w:rPr>
          <w:rFonts w:ascii="Calibri" w:hAnsi="Calibri" w:cs="Arial"/>
          <w:color w:val="000000"/>
        </w:rPr>
      </w:pPr>
      <w:r>
        <w:rPr>
          <w:rFonts w:ascii="Calibri" w:hAnsi="Calibri"/>
          <w:color w:val="000000"/>
        </w:rPr>
        <w:t>Also, the national plan of reevaluation of authorizations was elaborated and the reevaluation process was started, in accordance with the established schedule, for all 9 types of authorizations whose validity ceases on May 1, 2019, in order to establish whether the companies fulfill the new requirements provided by the Union’s customs legislation. At national level it is continued the process of reevaluation for the authorizations granted on the basis of the Regulation (EEA) 2.913/1992 of the Council or of the Regulation (EEA) 2.454/1993 of the Commission. The result of the reevaluation process consists of the revocation of the authorizations granted on the basis of the Community Customs Code and of the provisions of enforcement thereof and, as applicable, the award of new authorizations in accordance with the criteria provided by the Union’s Customs Code.</w:t>
      </w:r>
    </w:p>
    <w:p w:rsidR="0079170F" w:rsidRPr="0079170F" w:rsidRDefault="0079170F" w:rsidP="0079170F">
      <w:pPr>
        <w:tabs>
          <w:tab w:val="left" w:pos="180"/>
          <w:tab w:val="left" w:pos="360"/>
          <w:tab w:val="left" w:pos="540"/>
          <w:tab w:val="left" w:pos="720"/>
        </w:tabs>
        <w:suppressAutoHyphens/>
        <w:spacing w:after="120"/>
        <w:jc w:val="both"/>
        <w:rPr>
          <w:rFonts w:ascii="Calibri" w:hAnsi="Calibri" w:cs="Calibri"/>
          <w:bCs/>
          <w:color w:val="000000"/>
        </w:rPr>
      </w:pPr>
      <w:r>
        <w:rPr>
          <w:rFonts w:ascii="Calibri" w:hAnsi="Calibri"/>
          <w:b/>
          <w:bCs/>
          <w:i/>
          <w:color w:val="000000"/>
        </w:rPr>
        <w:tab/>
      </w:r>
      <w:r>
        <w:rPr>
          <w:rFonts w:ascii="Calibri" w:hAnsi="Calibri"/>
          <w:b/>
          <w:bCs/>
          <w:i/>
          <w:color w:val="000000"/>
        </w:rPr>
        <w:tab/>
      </w:r>
      <w:r>
        <w:rPr>
          <w:rFonts w:ascii="Calibri" w:hAnsi="Calibri"/>
          <w:b/>
          <w:bCs/>
          <w:i/>
          <w:color w:val="000000"/>
        </w:rPr>
        <w:tab/>
      </w:r>
      <w:r>
        <w:rPr>
          <w:rFonts w:ascii="Calibri" w:hAnsi="Calibri"/>
          <w:b/>
          <w:bCs/>
          <w:i/>
          <w:color w:val="000000"/>
        </w:rPr>
        <w:tab/>
        <w:t>Private individual revenues control activity</w:t>
      </w:r>
    </w:p>
    <w:p w:rsidR="0079170F" w:rsidRPr="0079170F" w:rsidRDefault="0079170F" w:rsidP="0079170F">
      <w:pPr>
        <w:suppressAutoHyphens/>
        <w:spacing w:after="120"/>
        <w:jc w:val="both"/>
        <w:rPr>
          <w:rFonts w:ascii="Calibri" w:hAnsi="Calibri" w:cs="Arial"/>
          <w:color w:val="000000"/>
        </w:rPr>
      </w:pPr>
      <w:r>
        <w:rPr>
          <w:rFonts w:ascii="Calibri" w:hAnsi="Calibri"/>
          <w:color w:val="000000"/>
        </w:rPr>
        <w:tab/>
        <w:t>The programs of improvement of voluntary fiscal compliance for high net wealth individuals (HNWI) and of private individuals with fiscal risk (PIFR) were based in 2018 on the following objectives:</w:t>
      </w:r>
    </w:p>
    <w:p w:rsidR="0079170F" w:rsidRPr="0079170F" w:rsidRDefault="0079170F" w:rsidP="0079170F">
      <w:pPr>
        <w:suppressAutoHyphens/>
        <w:spacing w:after="120"/>
        <w:ind w:firstLine="720"/>
        <w:jc w:val="both"/>
        <w:rPr>
          <w:rFonts w:ascii="Calibri" w:hAnsi="Calibri" w:cs="Arial"/>
          <w:color w:val="000000"/>
        </w:rPr>
      </w:pPr>
      <w:r>
        <w:rPr>
          <w:rFonts w:ascii="Calibri" w:hAnsi="Calibri"/>
          <w:color w:val="000000"/>
        </w:rPr>
        <w:t>- continuance and development of the program of compliance of HNWI through the implementation of specific projects of improvement of voluntary fiscal compliance (communication with the taxpayers, programs of notification regarding the declaration of revenues and public communication) and the performance of verifications of the personal fiscal situation based on the risk analysis;</w:t>
      </w:r>
    </w:p>
    <w:p w:rsidR="0079170F" w:rsidRPr="0079170F" w:rsidRDefault="0079170F" w:rsidP="0079170F">
      <w:pPr>
        <w:suppressAutoHyphens/>
        <w:spacing w:after="120"/>
        <w:ind w:firstLine="720"/>
        <w:jc w:val="both"/>
        <w:rPr>
          <w:rFonts w:ascii="Calibri" w:hAnsi="Calibri" w:cs="Arial"/>
          <w:color w:val="000000"/>
        </w:rPr>
      </w:pPr>
      <w:r>
        <w:rPr>
          <w:rFonts w:ascii="Calibri" w:hAnsi="Calibri"/>
          <w:color w:val="000000"/>
        </w:rPr>
        <w:t xml:space="preserve">- continuance and development of the program of verification of the personal fiscal situation through the use of indirect models of establishment of revenues at national level for all categories of private individuals who pose fiscal risk (PIFR).  </w:t>
      </w:r>
    </w:p>
    <w:p w:rsidR="0079170F" w:rsidRPr="003964D3" w:rsidRDefault="0079170F" w:rsidP="0079170F">
      <w:pPr>
        <w:spacing w:before="100" w:beforeAutospacing="1" w:after="119"/>
        <w:ind w:firstLine="720"/>
        <w:rPr>
          <w:color w:val="00000A"/>
        </w:rPr>
      </w:pPr>
      <w:r>
        <w:rPr>
          <w:rFonts w:ascii="Calibri" w:hAnsi="Calibri"/>
        </w:rPr>
        <w:t>In order to reach these objectives, the following actions were taken in 2018:</w:t>
      </w:r>
    </w:p>
    <w:p w:rsidR="0079170F" w:rsidRPr="0079170F" w:rsidRDefault="0079170F" w:rsidP="0079170F">
      <w:pPr>
        <w:suppressAutoHyphens/>
        <w:spacing w:after="120"/>
        <w:ind w:firstLine="720"/>
        <w:jc w:val="both"/>
        <w:rPr>
          <w:rFonts w:ascii="Calibri" w:hAnsi="Calibri" w:cs="Arial"/>
          <w:b/>
          <w:i/>
          <w:color w:val="000000"/>
        </w:rPr>
      </w:pPr>
      <w:r>
        <w:rPr>
          <w:rFonts w:ascii="Calibri" w:hAnsi="Calibri"/>
          <w:b/>
          <w:i/>
          <w:color w:val="000000"/>
        </w:rPr>
        <w:t>Performance of the verifications on the personal fiscal situations included in the programs of activity of fiscal verification services, as well as of the prior documentary fiscal verifications in progress</w:t>
      </w:r>
    </w:p>
    <w:p w:rsidR="0079170F" w:rsidRPr="0079170F" w:rsidRDefault="0079170F" w:rsidP="0079170F">
      <w:pPr>
        <w:suppressAutoHyphens/>
        <w:spacing w:after="120"/>
        <w:ind w:firstLine="720"/>
        <w:jc w:val="both"/>
        <w:rPr>
          <w:rFonts w:ascii="Calibri" w:hAnsi="Calibri" w:cs="Arial"/>
          <w:color w:val="000000"/>
        </w:rPr>
      </w:pPr>
      <w:r>
        <w:rPr>
          <w:rFonts w:ascii="Calibri" w:hAnsi="Calibri"/>
          <w:color w:val="000000"/>
        </w:rPr>
        <w:t>In 2018 were completed 12 prior documentary fiscal verifications existing in the activity plan at January 1, 2018, of which for 6 cases was ordered the start of the verification of the personal fiscal situation, and in 6 cases the procedure ended, because the requirements for issuance of the notice of verification and start of the verification of the personal fiscal situation were not met.</w:t>
      </w:r>
    </w:p>
    <w:p w:rsidR="0079170F" w:rsidRPr="0079170F" w:rsidRDefault="0079170F" w:rsidP="0079170F">
      <w:pPr>
        <w:suppressAutoHyphens/>
        <w:spacing w:after="120"/>
        <w:ind w:firstLine="720"/>
        <w:jc w:val="both"/>
        <w:rPr>
          <w:rFonts w:ascii="Calibri" w:hAnsi="Calibri" w:cs="Arial"/>
          <w:color w:val="000000"/>
        </w:rPr>
      </w:pPr>
      <w:r>
        <w:rPr>
          <w:rFonts w:ascii="Calibri" w:hAnsi="Calibri"/>
          <w:color w:val="000000"/>
        </w:rPr>
        <w:t>Also, 184 actions of verification of the personal fiscal situation and partial fiscal inspections were completed during this period of time (for 118 of them were issued taxation decisions, and for 66 of them were concluded termination decisions). Following these control missions were found additional/non-declared revenues of a total of 336.3 million Lei (20.6 million Lei for HNWI; 315.7 million Lei for PIFR).</w:t>
      </w:r>
    </w:p>
    <w:p w:rsidR="0079170F" w:rsidRPr="0079170F" w:rsidRDefault="0079170F" w:rsidP="0079170F">
      <w:pPr>
        <w:suppressAutoHyphens/>
        <w:spacing w:after="120"/>
        <w:ind w:firstLine="720"/>
        <w:jc w:val="both"/>
        <w:rPr>
          <w:rFonts w:ascii="Calibri" w:hAnsi="Calibri" w:cs="Arial"/>
          <w:color w:val="000000"/>
        </w:rPr>
      </w:pPr>
      <w:r>
        <w:rPr>
          <w:rFonts w:ascii="Calibri" w:hAnsi="Calibri"/>
          <w:color w:val="000000"/>
        </w:rPr>
        <w:t xml:space="preserve"> Through the taxation decisions issued in 2018 were established fiscal liabilities of a total of 87.1 million Lei (tax on additional revenue - 53.6 million Lei; accessories: 33.5 million Lei).</w:t>
      </w:r>
    </w:p>
    <w:p w:rsidR="0079170F" w:rsidRPr="0079170F" w:rsidRDefault="0079170F" w:rsidP="0079170F">
      <w:pPr>
        <w:suppressAutoHyphens/>
        <w:spacing w:after="120"/>
        <w:ind w:firstLine="720"/>
        <w:jc w:val="both"/>
        <w:rPr>
          <w:rFonts w:ascii="Calibri" w:hAnsi="Calibri" w:cs="Arial"/>
          <w:color w:val="000000"/>
        </w:rPr>
      </w:pPr>
      <w:r>
        <w:rPr>
          <w:rFonts w:ascii="Calibri" w:hAnsi="Calibri"/>
          <w:color w:val="000000"/>
        </w:rPr>
        <w:t>On December 31, 2018 were in progress 284 actions of verification of the personal fiscal situation and partial fiscal inspections.</w:t>
      </w:r>
    </w:p>
    <w:p w:rsidR="0079170F" w:rsidRPr="0079170F" w:rsidRDefault="0079170F" w:rsidP="0079170F">
      <w:pPr>
        <w:suppressAutoHyphens/>
        <w:spacing w:after="120"/>
        <w:ind w:firstLine="720"/>
        <w:jc w:val="both"/>
        <w:rPr>
          <w:rFonts w:ascii="Calibri" w:hAnsi="Calibri" w:cs="Arial"/>
          <w:color w:val="000000"/>
        </w:rPr>
      </w:pPr>
      <w:r>
        <w:rPr>
          <w:rFonts w:ascii="Calibri" w:hAnsi="Calibri"/>
          <w:color w:val="000000"/>
        </w:rPr>
        <w:t xml:space="preserve">In 2018 were collected fiscal liabilities of approximately 19.4 million Lei, corresponding both to taxation decisions issued in 2018 and to taxation decisions issued before. </w:t>
      </w:r>
    </w:p>
    <w:p w:rsidR="0079170F" w:rsidRPr="0079170F" w:rsidRDefault="0079170F" w:rsidP="0079170F">
      <w:pPr>
        <w:suppressAutoHyphens/>
        <w:spacing w:after="120"/>
        <w:ind w:firstLine="720"/>
        <w:jc w:val="both"/>
        <w:rPr>
          <w:rFonts w:ascii="Calibri" w:hAnsi="Calibri" w:cs="Arial"/>
          <w:b/>
          <w:i/>
          <w:color w:val="000000"/>
        </w:rPr>
      </w:pPr>
      <w:r>
        <w:rPr>
          <w:rFonts w:ascii="Calibri" w:hAnsi="Calibri"/>
          <w:b/>
          <w:i/>
          <w:color w:val="000000"/>
        </w:rPr>
        <w:t>Resuming the Program of notification for revenues obtained from abroad</w:t>
      </w:r>
    </w:p>
    <w:p w:rsidR="0079170F" w:rsidRPr="0079170F" w:rsidRDefault="0079170F" w:rsidP="0079170F">
      <w:pPr>
        <w:suppressAutoHyphens/>
        <w:spacing w:after="120"/>
        <w:ind w:firstLine="720"/>
        <w:jc w:val="both"/>
        <w:rPr>
          <w:rFonts w:ascii="Calibri" w:hAnsi="Calibri" w:cs="Arial"/>
          <w:color w:val="000000"/>
        </w:rPr>
      </w:pPr>
      <w:r>
        <w:rPr>
          <w:rFonts w:ascii="Calibri" w:hAnsi="Calibri"/>
          <w:color w:val="000000"/>
        </w:rPr>
        <w:t xml:space="preserve"> In June was completed the list of persons proposed for inclusion into the Amicable notification program. In July 2018 were sent 329 notifications to high net worth individuals, and in November were sent 309 re-notifications, through which the individuals are informed on their fiscal liabilities if they obtain taxable revenues from abroad.</w:t>
      </w:r>
    </w:p>
    <w:p w:rsidR="0079170F" w:rsidRDefault="0079170F" w:rsidP="0079170F">
      <w:pPr>
        <w:suppressAutoHyphens/>
        <w:spacing w:after="120"/>
        <w:ind w:firstLine="720"/>
        <w:jc w:val="both"/>
        <w:rPr>
          <w:rFonts w:ascii="Calibri" w:hAnsi="Calibri" w:cs="Arial"/>
          <w:color w:val="000000"/>
          <w:lang w:val="ro-RO" w:eastAsia="zh-CN"/>
        </w:rPr>
      </w:pPr>
    </w:p>
    <w:p w:rsidR="004631BC" w:rsidRPr="0079170F" w:rsidRDefault="004631BC" w:rsidP="0079170F">
      <w:pPr>
        <w:suppressAutoHyphens/>
        <w:spacing w:after="120"/>
        <w:ind w:firstLine="720"/>
        <w:jc w:val="both"/>
        <w:rPr>
          <w:rFonts w:ascii="Calibri" w:hAnsi="Calibri" w:cs="Arial"/>
          <w:color w:val="000000"/>
          <w:lang w:val="ro-RO" w:eastAsia="zh-CN"/>
        </w:rPr>
      </w:pPr>
    </w:p>
    <w:p w:rsidR="0079170F" w:rsidRPr="0079170F" w:rsidRDefault="0079170F" w:rsidP="0079170F">
      <w:pPr>
        <w:shd w:val="clear" w:color="auto" w:fill="DDEEFF"/>
        <w:suppressAutoHyphens/>
        <w:jc w:val="both"/>
        <w:rPr>
          <w:rFonts w:ascii="Calibri" w:hAnsi="Calibri" w:cs="Calibri"/>
          <w:b/>
          <w:color w:val="000000"/>
        </w:rPr>
      </w:pPr>
      <w:r>
        <w:rPr>
          <w:rFonts w:ascii="Calibri" w:hAnsi="Calibri"/>
          <w:b/>
          <w:color w:val="000000"/>
        </w:rPr>
        <w:t>II. Strategic objectives of ANAF on short and medium term - selective presentation</w:t>
      </w:r>
    </w:p>
    <w:p w:rsidR="0079170F" w:rsidRPr="0079170F" w:rsidRDefault="0079170F" w:rsidP="0079170F">
      <w:pPr>
        <w:widowControl w:val="0"/>
        <w:suppressAutoHyphens/>
        <w:ind w:firstLine="360"/>
        <w:jc w:val="both"/>
        <w:rPr>
          <w:rFonts w:ascii="Calibri" w:hAnsi="Calibri" w:cs="Calibri"/>
          <w:b/>
          <w:color w:val="000000"/>
          <w:lang w:val="ro-RO" w:eastAsia="zh-CN"/>
        </w:rPr>
      </w:pPr>
    </w:p>
    <w:p w:rsidR="0079170F" w:rsidRPr="0079170F" w:rsidRDefault="0079170F" w:rsidP="0079170F">
      <w:pPr>
        <w:widowControl w:val="0"/>
        <w:numPr>
          <w:ilvl w:val="0"/>
          <w:numId w:val="85"/>
        </w:numPr>
        <w:shd w:val="clear" w:color="auto" w:fill="E5F2FF"/>
        <w:suppressAutoHyphens/>
        <w:spacing w:after="60" w:line="320" w:lineRule="exact"/>
        <w:jc w:val="both"/>
        <w:rPr>
          <w:rFonts w:ascii="Calibri" w:hAnsi="Calibri" w:cs="Calibri"/>
          <w:color w:val="000000"/>
        </w:rPr>
      </w:pPr>
      <w:r>
        <w:rPr>
          <w:rFonts w:ascii="Calibri" w:hAnsi="Calibri"/>
          <w:b/>
          <w:color w:val="000000"/>
        </w:rPr>
        <w:t>Fiscal administration policy in 2019</w:t>
      </w:r>
    </w:p>
    <w:p w:rsidR="0079170F" w:rsidRPr="0079170F" w:rsidRDefault="0079170F" w:rsidP="0079170F">
      <w:pPr>
        <w:spacing w:before="100" w:beforeAutospacing="1" w:after="119"/>
        <w:jc w:val="both"/>
        <w:rPr>
          <w:rFonts w:ascii="Calibri" w:hAnsi="Calibri"/>
          <w:color w:val="000000"/>
        </w:rPr>
      </w:pPr>
      <w:r>
        <w:rPr>
          <w:rFonts w:ascii="Calibri" w:hAnsi="Calibri"/>
          <w:b/>
          <w:bCs/>
          <w:color w:val="000000"/>
        </w:rPr>
        <w:t>Increasing voluntary compliance</w:t>
      </w:r>
    </w:p>
    <w:p w:rsidR="0079170F" w:rsidRPr="0079170F" w:rsidRDefault="0079170F" w:rsidP="0079170F">
      <w:pPr>
        <w:numPr>
          <w:ilvl w:val="0"/>
          <w:numId w:val="86"/>
        </w:numPr>
        <w:suppressAutoHyphens/>
        <w:spacing w:before="62" w:after="119" w:line="259" w:lineRule="auto"/>
        <w:jc w:val="both"/>
        <w:rPr>
          <w:rFonts w:ascii="Calibri" w:hAnsi="Calibri"/>
          <w:color w:val="000000"/>
        </w:rPr>
      </w:pPr>
      <w:r>
        <w:rPr>
          <w:rFonts w:ascii="Calibri" w:hAnsi="Calibri"/>
          <w:color w:val="000000"/>
        </w:rPr>
        <w:t>Stimulating voluntary compliance for declaration and payment</w:t>
      </w:r>
    </w:p>
    <w:p w:rsidR="0079170F" w:rsidRPr="0079170F" w:rsidRDefault="0079170F" w:rsidP="0079170F">
      <w:pPr>
        <w:numPr>
          <w:ilvl w:val="1"/>
          <w:numId w:val="86"/>
        </w:numPr>
        <w:suppressAutoHyphens/>
        <w:spacing w:before="62" w:after="119" w:line="259" w:lineRule="auto"/>
        <w:jc w:val="both"/>
        <w:rPr>
          <w:rFonts w:ascii="Calibri" w:hAnsi="Calibri"/>
          <w:color w:val="000000"/>
        </w:rPr>
      </w:pPr>
      <w:r>
        <w:rPr>
          <w:rFonts w:ascii="Calibri" w:hAnsi="Calibri"/>
          <w:color w:val="000000"/>
        </w:rPr>
        <w:t>elaborating a program of compliance and monitoring of the implementation of defined actions;</w:t>
      </w:r>
    </w:p>
    <w:p w:rsidR="0079170F" w:rsidRPr="0079170F" w:rsidRDefault="0079170F" w:rsidP="0079170F">
      <w:pPr>
        <w:numPr>
          <w:ilvl w:val="1"/>
          <w:numId w:val="86"/>
        </w:numPr>
        <w:suppressAutoHyphens/>
        <w:spacing w:before="62" w:after="119" w:line="259" w:lineRule="auto"/>
        <w:jc w:val="both"/>
        <w:rPr>
          <w:rFonts w:ascii="Calibri" w:hAnsi="Calibri" w:cs="Arial"/>
          <w:color w:val="000000"/>
        </w:rPr>
      </w:pPr>
      <w:r>
        <w:rPr>
          <w:rFonts w:ascii="Calibri" w:hAnsi="Calibri"/>
          <w:color w:val="000000"/>
        </w:rPr>
        <w:t>promoting the possibility of awarding payment facilities through the organization of periodical meetings with the taxpayers and through publication on the website of informative materials.</w:t>
      </w:r>
    </w:p>
    <w:p w:rsidR="0079170F" w:rsidRPr="0079170F" w:rsidRDefault="0079170F" w:rsidP="0079170F">
      <w:pPr>
        <w:numPr>
          <w:ilvl w:val="0"/>
          <w:numId w:val="86"/>
        </w:numPr>
        <w:suppressAutoHyphens/>
        <w:spacing w:before="62" w:after="119" w:line="259" w:lineRule="auto"/>
        <w:jc w:val="both"/>
        <w:rPr>
          <w:rFonts w:ascii="Calibri" w:hAnsi="Calibri"/>
          <w:color w:val="000000"/>
        </w:rPr>
      </w:pPr>
      <w:r>
        <w:rPr>
          <w:rFonts w:ascii="Calibri" w:hAnsi="Calibri"/>
          <w:color w:val="000000"/>
        </w:rPr>
        <w:t>Revising fiscal administration procedures</w:t>
      </w:r>
    </w:p>
    <w:p w:rsidR="0079170F" w:rsidRPr="0079170F" w:rsidRDefault="0079170F" w:rsidP="0079170F">
      <w:pPr>
        <w:numPr>
          <w:ilvl w:val="1"/>
          <w:numId w:val="86"/>
        </w:numPr>
        <w:suppressAutoHyphens/>
        <w:spacing w:before="62" w:after="119" w:line="259" w:lineRule="auto"/>
        <w:jc w:val="both"/>
        <w:rPr>
          <w:rFonts w:ascii="Calibri" w:hAnsi="Calibri"/>
          <w:color w:val="000000"/>
        </w:rPr>
      </w:pPr>
      <w:r>
        <w:rPr>
          <w:rFonts w:ascii="Calibri" w:hAnsi="Calibri"/>
          <w:color w:val="000000"/>
        </w:rPr>
        <w:t>creating the technical and procedural conditions for payment of the fiscal liabilities through banking instruments</w:t>
      </w:r>
    </w:p>
    <w:p w:rsidR="0079170F" w:rsidRPr="0079170F" w:rsidRDefault="0079170F" w:rsidP="0079170F">
      <w:pPr>
        <w:numPr>
          <w:ilvl w:val="0"/>
          <w:numId w:val="86"/>
        </w:numPr>
        <w:suppressAutoHyphens/>
        <w:spacing w:before="62" w:after="119" w:line="259" w:lineRule="auto"/>
        <w:jc w:val="both"/>
        <w:rPr>
          <w:rFonts w:ascii="Calibri" w:hAnsi="Calibri"/>
          <w:color w:val="000000"/>
        </w:rPr>
      </w:pPr>
      <w:r>
        <w:rPr>
          <w:rFonts w:ascii="Calibri" w:hAnsi="Calibri"/>
          <w:i/>
          <w:iCs/>
          <w:color w:val="000000"/>
        </w:rPr>
        <w:t xml:space="preserve">Increasing voluntary compliance by preventing the taxable base’s erosion </w:t>
      </w:r>
    </w:p>
    <w:p w:rsidR="0079170F" w:rsidRPr="003964D3" w:rsidRDefault="0079170F" w:rsidP="0079170F">
      <w:pPr>
        <w:numPr>
          <w:ilvl w:val="1"/>
          <w:numId w:val="86"/>
        </w:numPr>
        <w:suppressAutoHyphens/>
        <w:spacing w:before="62" w:after="119" w:line="259" w:lineRule="auto"/>
        <w:jc w:val="both"/>
        <w:rPr>
          <w:rFonts w:ascii="Calibri" w:hAnsi="Calibri"/>
          <w:color w:val="000000"/>
        </w:rPr>
      </w:pPr>
      <w:r>
        <w:rPr>
          <w:rFonts w:ascii="Calibri" w:hAnsi="Calibri"/>
          <w:color w:val="000000"/>
        </w:rPr>
        <w:t xml:space="preserve">promoting the possibilities of issuance of unilateral/bilateral/multilateral advance price agreements; </w:t>
      </w:r>
    </w:p>
    <w:p w:rsidR="0079170F" w:rsidRPr="003964D3" w:rsidRDefault="0079170F" w:rsidP="0079170F">
      <w:pPr>
        <w:numPr>
          <w:ilvl w:val="1"/>
          <w:numId w:val="86"/>
        </w:numPr>
        <w:suppressAutoHyphens/>
        <w:spacing w:before="62" w:after="119" w:line="259" w:lineRule="auto"/>
        <w:jc w:val="both"/>
        <w:rPr>
          <w:rFonts w:ascii="Calibri" w:hAnsi="Calibri"/>
          <w:color w:val="000000"/>
        </w:rPr>
      </w:pPr>
      <w:r>
        <w:rPr>
          <w:rFonts w:ascii="Calibri" w:hAnsi="Calibri"/>
          <w:color w:val="000000"/>
        </w:rPr>
        <w:t xml:space="preserve">promoting the possibility of initiating the amicable proceeding in the case of transactions adjusted as a result of the fiscal documents issued by the fiscal authorities from other jurisdictions. </w:t>
      </w:r>
    </w:p>
    <w:p w:rsidR="0079170F" w:rsidRPr="0079170F" w:rsidRDefault="0079170F" w:rsidP="0079170F">
      <w:pPr>
        <w:spacing w:before="100" w:beforeAutospacing="1" w:after="119"/>
        <w:jc w:val="both"/>
        <w:rPr>
          <w:rFonts w:ascii="Calibri" w:hAnsi="Calibri"/>
          <w:color w:val="000000"/>
        </w:rPr>
      </w:pPr>
      <w:r>
        <w:rPr>
          <w:rFonts w:ascii="Calibri" w:hAnsi="Calibri"/>
          <w:b/>
          <w:bCs/>
          <w:color w:val="000000"/>
        </w:rPr>
        <w:t>Reducing tax evasion and fiscal fraud</w:t>
      </w:r>
    </w:p>
    <w:p w:rsidR="0079170F" w:rsidRPr="003964D3" w:rsidRDefault="0079170F" w:rsidP="0079170F">
      <w:pPr>
        <w:numPr>
          <w:ilvl w:val="0"/>
          <w:numId w:val="87"/>
        </w:numPr>
        <w:suppressAutoHyphens/>
        <w:spacing w:before="62" w:after="119" w:line="259" w:lineRule="auto"/>
        <w:jc w:val="both"/>
        <w:rPr>
          <w:rFonts w:ascii="Calibri" w:hAnsi="Calibri"/>
          <w:color w:val="000000"/>
        </w:rPr>
      </w:pPr>
      <w:r>
        <w:rPr>
          <w:rFonts w:ascii="Calibri" w:hAnsi="Calibri"/>
          <w:color w:val="000000"/>
        </w:rPr>
        <w:t>Defining the governance of implementation of the European noncompliance risk management model</w:t>
      </w:r>
    </w:p>
    <w:p w:rsidR="0079170F" w:rsidRPr="0079170F" w:rsidRDefault="0079170F" w:rsidP="0079170F">
      <w:pPr>
        <w:numPr>
          <w:ilvl w:val="1"/>
          <w:numId w:val="87"/>
        </w:numPr>
        <w:suppressAutoHyphens/>
        <w:spacing w:before="62" w:after="119" w:line="259" w:lineRule="auto"/>
        <w:jc w:val="both"/>
        <w:rPr>
          <w:rFonts w:ascii="Calibri" w:hAnsi="Calibri"/>
          <w:color w:val="000000"/>
        </w:rPr>
      </w:pPr>
      <w:r>
        <w:rPr>
          <w:rFonts w:ascii="Calibri" w:hAnsi="Calibri"/>
          <w:color w:val="000000"/>
        </w:rPr>
        <w:t>introducing the random testing program for fiscal compliance (through fiscal controls);</w:t>
      </w:r>
    </w:p>
    <w:p w:rsidR="0079170F" w:rsidRPr="0079170F" w:rsidRDefault="0079170F" w:rsidP="0079170F">
      <w:pPr>
        <w:numPr>
          <w:ilvl w:val="0"/>
          <w:numId w:val="87"/>
        </w:numPr>
        <w:suppressAutoHyphens/>
        <w:spacing w:before="62" w:after="119" w:line="259" w:lineRule="auto"/>
        <w:jc w:val="both"/>
        <w:rPr>
          <w:rFonts w:ascii="Calibri" w:hAnsi="Calibri"/>
          <w:color w:val="000000"/>
        </w:rPr>
      </w:pPr>
      <w:r>
        <w:rPr>
          <w:rFonts w:ascii="Calibri" w:hAnsi="Calibri"/>
          <w:color w:val="000000"/>
        </w:rPr>
        <w:t>Organization of the anti-fraud control, in accordance with the European noncompliance risk management model</w:t>
      </w:r>
    </w:p>
    <w:p w:rsidR="0079170F" w:rsidRPr="0079170F" w:rsidRDefault="0079170F" w:rsidP="0079170F">
      <w:pPr>
        <w:numPr>
          <w:ilvl w:val="1"/>
          <w:numId w:val="87"/>
        </w:numPr>
        <w:suppressAutoHyphens/>
        <w:spacing w:before="62" w:after="119" w:line="259" w:lineRule="auto"/>
        <w:jc w:val="both"/>
        <w:rPr>
          <w:rFonts w:ascii="Calibri" w:hAnsi="Calibri"/>
          <w:color w:val="000000"/>
        </w:rPr>
      </w:pPr>
      <w:r>
        <w:rPr>
          <w:rFonts w:ascii="Calibri" w:hAnsi="Calibri"/>
          <w:color w:val="000000"/>
        </w:rPr>
        <w:t>integrating and improving the risk analysis in the field of fiscal fraud;</w:t>
      </w:r>
    </w:p>
    <w:p w:rsidR="0079170F" w:rsidRPr="0079170F" w:rsidRDefault="0079170F" w:rsidP="0079170F">
      <w:pPr>
        <w:numPr>
          <w:ilvl w:val="1"/>
          <w:numId w:val="87"/>
        </w:numPr>
        <w:suppressAutoHyphens/>
        <w:spacing w:before="62" w:after="119" w:line="259" w:lineRule="auto"/>
        <w:jc w:val="both"/>
        <w:rPr>
          <w:rFonts w:ascii="Calibri" w:hAnsi="Calibri"/>
          <w:color w:val="000000"/>
        </w:rPr>
      </w:pPr>
      <w:r>
        <w:rPr>
          <w:rFonts w:ascii="Calibri" w:hAnsi="Calibri"/>
          <w:color w:val="000000"/>
        </w:rPr>
        <w:t>reducing the level and frequency of sanctions applied for actions with low social risk;</w:t>
      </w:r>
    </w:p>
    <w:p w:rsidR="0079170F" w:rsidRPr="0079170F" w:rsidRDefault="0079170F" w:rsidP="0079170F">
      <w:pPr>
        <w:numPr>
          <w:ilvl w:val="1"/>
          <w:numId w:val="87"/>
        </w:numPr>
        <w:suppressAutoHyphens/>
        <w:spacing w:before="62" w:after="119" w:line="259" w:lineRule="auto"/>
        <w:jc w:val="both"/>
        <w:rPr>
          <w:rFonts w:ascii="Calibri" w:hAnsi="Calibri"/>
          <w:color w:val="000000"/>
        </w:rPr>
      </w:pPr>
      <w:r>
        <w:rPr>
          <w:rFonts w:ascii="Calibri" w:hAnsi="Calibri"/>
          <w:color w:val="000000"/>
        </w:rPr>
        <w:t>improving the collaboration with the Public Prosecutor in order to develop the capacity of investigation and prosecution, the intention being for ANAF to significantly contribute in the areas related to tax evasion and fiscal/customs fraud.</w:t>
      </w:r>
    </w:p>
    <w:p w:rsidR="0079170F" w:rsidRPr="0079170F" w:rsidRDefault="0079170F" w:rsidP="0079170F">
      <w:pPr>
        <w:spacing w:before="62" w:after="119"/>
        <w:ind w:left="1080"/>
        <w:jc w:val="both"/>
        <w:rPr>
          <w:rFonts w:ascii="Calibri" w:hAnsi="Calibri"/>
          <w:color w:val="000000"/>
        </w:rPr>
      </w:pPr>
    </w:p>
    <w:p w:rsidR="0079170F" w:rsidRPr="0079170F" w:rsidRDefault="0079170F" w:rsidP="0079170F">
      <w:pPr>
        <w:numPr>
          <w:ilvl w:val="0"/>
          <w:numId w:val="87"/>
        </w:numPr>
        <w:suppressAutoHyphens/>
        <w:spacing w:before="62" w:after="119" w:line="259" w:lineRule="auto"/>
        <w:jc w:val="both"/>
        <w:rPr>
          <w:rFonts w:ascii="Calibri" w:hAnsi="Calibri"/>
          <w:color w:val="000000"/>
        </w:rPr>
      </w:pPr>
      <w:r>
        <w:rPr>
          <w:rFonts w:ascii="Calibri" w:hAnsi="Calibri"/>
          <w:color w:val="000000"/>
        </w:rPr>
        <w:t>Fighting customs fraud</w:t>
      </w:r>
    </w:p>
    <w:p w:rsidR="0079170F" w:rsidRPr="0079170F" w:rsidRDefault="0079170F" w:rsidP="0079170F">
      <w:pPr>
        <w:numPr>
          <w:ilvl w:val="1"/>
          <w:numId w:val="87"/>
        </w:numPr>
        <w:suppressAutoHyphens/>
        <w:spacing w:before="62" w:after="119" w:line="259" w:lineRule="auto"/>
        <w:jc w:val="both"/>
        <w:rPr>
          <w:rFonts w:ascii="Calibri" w:hAnsi="Calibri" w:cs="Arial"/>
          <w:color w:val="000000"/>
        </w:rPr>
      </w:pPr>
      <w:r>
        <w:rPr>
          <w:rFonts w:ascii="Calibri" w:hAnsi="Calibri"/>
          <w:color w:val="000000"/>
        </w:rPr>
        <w:t>protecting the national and Community customs territory through activities of customs supervision and control in the field of fighting illegal trafficking;</w:t>
      </w:r>
    </w:p>
    <w:p w:rsidR="0079170F" w:rsidRPr="0079170F" w:rsidRDefault="0079170F" w:rsidP="0079170F">
      <w:pPr>
        <w:numPr>
          <w:ilvl w:val="1"/>
          <w:numId w:val="87"/>
        </w:numPr>
        <w:suppressAutoHyphens/>
        <w:spacing w:before="62" w:after="119" w:line="259" w:lineRule="auto"/>
        <w:jc w:val="both"/>
        <w:rPr>
          <w:rFonts w:ascii="Calibri" w:hAnsi="Calibri" w:cs="Arial"/>
          <w:color w:val="000000"/>
        </w:rPr>
      </w:pPr>
      <w:r>
        <w:rPr>
          <w:rFonts w:ascii="Calibri" w:hAnsi="Calibri"/>
          <w:color w:val="000000"/>
        </w:rPr>
        <w:t>developing the structures of mobile teams and dog teams and implementing a more efficient operational management;</w:t>
      </w:r>
    </w:p>
    <w:p w:rsidR="0079170F" w:rsidRPr="0079170F" w:rsidRDefault="0079170F" w:rsidP="0079170F">
      <w:pPr>
        <w:numPr>
          <w:ilvl w:val="1"/>
          <w:numId w:val="87"/>
        </w:numPr>
        <w:suppressAutoHyphens/>
        <w:spacing w:before="62" w:after="119" w:line="259" w:lineRule="auto"/>
        <w:jc w:val="both"/>
        <w:rPr>
          <w:rFonts w:ascii="Calibri" w:hAnsi="Calibri" w:cs="Arial"/>
          <w:color w:val="000000"/>
        </w:rPr>
      </w:pPr>
      <w:r>
        <w:rPr>
          <w:rFonts w:ascii="Calibri" w:hAnsi="Calibri"/>
          <w:color w:val="000000"/>
        </w:rPr>
        <w:t>re-operationalization and using at full capacity the non-destructive control equipment;</w:t>
      </w:r>
    </w:p>
    <w:p w:rsidR="0079170F" w:rsidRPr="003964D3" w:rsidRDefault="0079170F" w:rsidP="0079170F">
      <w:pPr>
        <w:numPr>
          <w:ilvl w:val="1"/>
          <w:numId w:val="87"/>
        </w:numPr>
        <w:spacing w:before="62" w:after="119" w:line="259" w:lineRule="auto"/>
      </w:pPr>
      <w:r>
        <w:rPr>
          <w:rFonts w:ascii="Calibri" w:hAnsi="Calibri"/>
        </w:rPr>
        <w:t>supplementing the personnel scheme in the border customs offices through fast organization of recruitment contests for vacant positions;</w:t>
      </w:r>
    </w:p>
    <w:p w:rsidR="0079170F" w:rsidRPr="0079170F" w:rsidRDefault="0079170F" w:rsidP="0079170F">
      <w:pPr>
        <w:numPr>
          <w:ilvl w:val="1"/>
          <w:numId w:val="87"/>
        </w:numPr>
        <w:suppressAutoHyphens/>
        <w:spacing w:before="62" w:after="119" w:line="259" w:lineRule="auto"/>
        <w:jc w:val="both"/>
        <w:rPr>
          <w:rFonts w:ascii="Calibri" w:hAnsi="Calibri" w:cs="Arial"/>
          <w:color w:val="000000"/>
        </w:rPr>
      </w:pPr>
      <w:r>
        <w:rPr>
          <w:rFonts w:ascii="Calibri" w:hAnsi="Calibri"/>
          <w:color w:val="000000"/>
        </w:rPr>
        <w:t>making more efficient the cooperation with other authorities through the enforcement of the law from Romania (IGPR, PGPF, DIICOT, DGAF), including the performance of common control actions on the EU external border or in traffic;</w:t>
      </w:r>
    </w:p>
    <w:p w:rsidR="0079170F" w:rsidRPr="0079170F" w:rsidRDefault="0079170F" w:rsidP="0079170F">
      <w:pPr>
        <w:numPr>
          <w:ilvl w:val="1"/>
          <w:numId w:val="87"/>
        </w:numPr>
        <w:suppressAutoHyphens/>
        <w:spacing w:before="62" w:after="119" w:line="259" w:lineRule="auto"/>
        <w:jc w:val="both"/>
        <w:rPr>
          <w:rFonts w:ascii="Calibri" w:hAnsi="Calibri" w:cs="Arial"/>
          <w:color w:val="000000"/>
        </w:rPr>
      </w:pPr>
      <w:r>
        <w:rPr>
          <w:rFonts w:ascii="Calibri" w:hAnsi="Calibri"/>
          <w:color w:val="000000"/>
        </w:rPr>
        <w:t>making operational the central coordination unit - Naples II Convention;</w:t>
      </w:r>
    </w:p>
    <w:p w:rsidR="0079170F" w:rsidRPr="0079170F" w:rsidRDefault="0079170F" w:rsidP="0079170F">
      <w:pPr>
        <w:numPr>
          <w:ilvl w:val="1"/>
          <w:numId w:val="87"/>
        </w:numPr>
        <w:suppressAutoHyphens/>
        <w:spacing w:before="62" w:after="119" w:line="259" w:lineRule="auto"/>
        <w:jc w:val="both"/>
        <w:rPr>
          <w:rFonts w:ascii="Calibri" w:hAnsi="Calibri" w:cs="Arial"/>
          <w:color w:val="000000"/>
        </w:rPr>
      </w:pPr>
      <w:r>
        <w:rPr>
          <w:rFonts w:ascii="Calibri" w:hAnsi="Calibri"/>
          <w:color w:val="000000"/>
        </w:rPr>
        <w:t>implementing the Track &amp; Trace system - traceability of tobacco products (May 20, 2019).</w:t>
      </w:r>
    </w:p>
    <w:p w:rsidR="0079170F" w:rsidRPr="0079170F" w:rsidRDefault="0079170F" w:rsidP="0079170F">
      <w:pPr>
        <w:numPr>
          <w:ilvl w:val="0"/>
          <w:numId w:val="87"/>
        </w:numPr>
        <w:suppressAutoHyphens/>
        <w:spacing w:before="62" w:after="119" w:line="259" w:lineRule="auto"/>
        <w:jc w:val="both"/>
        <w:rPr>
          <w:rFonts w:ascii="Calibri" w:hAnsi="Calibri"/>
          <w:color w:val="000000"/>
        </w:rPr>
      </w:pPr>
      <w:r>
        <w:rPr>
          <w:rFonts w:ascii="Calibri" w:hAnsi="Calibri"/>
          <w:color w:val="000000"/>
        </w:rPr>
        <w:t>Improving the methodological and procedural framework necessary to reduce the under-declaration of taxes, charges, and contributions</w:t>
      </w:r>
    </w:p>
    <w:p w:rsidR="0079170F" w:rsidRPr="0079170F" w:rsidRDefault="0079170F" w:rsidP="0079170F">
      <w:pPr>
        <w:numPr>
          <w:ilvl w:val="1"/>
          <w:numId w:val="87"/>
        </w:numPr>
        <w:suppressAutoHyphens/>
        <w:spacing w:before="62" w:after="119" w:line="259" w:lineRule="auto"/>
        <w:jc w:val="both"/>
        <w:rPr>
          <w:rFonts w:ascii="Calibri" w:hAnsi="Calibri"/>
          <w:color w:val="000000"/>
        </w:rPr>
      </w:pPr>
      <w:r>
        <w:rPr>
          <w:rFonts w:ascii="Calibri" w:hAnsi="Calibri"/>
          <w:color w:val="000000"/>
        </w:rPr>
        <w:t>developing a modular training program for tax inspection;</w:t>
      </w:r>
    </w:p>
    <w:p w:rsidR="0079170F" w:rsidRPr="003964D3" w:rsidRDefault="0079170F" w:rsidP="0079170F">
      <w:pPr>
        <w:numPr>
          <w:ilvl w:val="1"/>
          <w:numId w:val="87"/>
        </w:numPr>
        <w:suppressAutoHyphens/>
        <w:spacing w:before="62" w:after="119" w:line="259" w:lineRule="auto"/>
        <w:jc w:val="both"/>
        <w:rPr>
          <w:rFonts w:ascii="Calibri" w:hAnsi="Calibri"/>
          <w:color w:val="000000"/>
        </w:rPr>
      </w:pPr>
      <w:r>
        <w:rPr>
          <w:rFonts w:ascii="Calibri" w:hAnsi="Calibri"/>
          <w:color w:val="000000"/>
        </w:rPr>
        <w:t>developing, together with the MPF, a system of individual anticipated solutions for complex fiscal fields.</w:t>
      </w:r>
    </w:p>
    <w:p w:rsidR="0079170F" w:rsidRPr="0079170F" w:rsidRDefault="0079170F" w:rsidP="0079170F">
      <w:pPr>
        <w:spacing w:before="100" w:beforeAutospacing="1" w:after="119"/>
        <w:jc w:val="both"/>
        <w:rPr>
          <w:rFonts w:ascii="Calibri" w:hAnsi="Calibri"/>
          <w:color w:val="000000"/>
        </w:rPr>
      </w:pPr>
      <w:r>
        <w:rPr>
          <w:rFonts w:ascii="Calibri" w:hAnsi="Calibri"/>
          <w:b/>
          <w:bCs/>
          <w:color w:val="000000"/>
        </w:rPr>
        <w:t xml:space="preserve">Improvement of the relationship with the taxpayers </w:t>
      </w:r>
    </w:p>
    <w:p w:rsidR="0079170F" w:rsidRPr="0079170F" w:rsidRDefault="0079170F" w:rsidP="0079170F">
      <w:pPr>
        <w:numPr>
          <w:ilvl w:val="0"/>
          <w:numId w:val="88"/>
        </w:numPr>
        <w:suppressAutoHyphens/>
        <w:spacing w:before="62" w:after="119" w:line="259" w:lineRule="auto"/>
        <w:jc w:val="both"/>
        <w:rPr>
          <w:rFonts w:ascii="Calibri" w:hAnsi="Calibri"/>
          <w:color w:val="000000"/>
        </w:rPr>
      </w:pPr>
      <w:r>
        <w:rPr>
          <w:rFonts w:ascii="Calibri" w:hAnsi="Calibri"/>
          <w:color w:val="000000"/>
        </w:rPr>
        <w:t>Increasing the quality of taxpayer services</w:t>
      </w:r>
    </w:p>
    <w:p w:rsidR="0079170F" w:rsidRPr="003964D3" w:rsidRDefault="0079170F" w:rsidP="0079170F">
      <w:pPr>
        <w:numPr>
          <w:ilvl w:val="1"/>
          <w:numId w:val="88"/>
        </w:numPr>
        <w:suppressAutoHyphens/>
        <w:spacing w:before="62" w:after="119" w:line="259" w:lineRule="auto"/>
        <w:jc w:val="both"/>
        <w:rPr>
          <w:rFonts w:ascii="Calibri" w:hAnsi="Calibri"/>
          <w:color w:val="000000"/>
        </w:rPr>
      </w:pPr>
      <w:r>
        <w:rPr>
          <w:rFonts w:ascii="Calibri" w:hAnsi="Calibri"/>
          <w:color w:val="000000"/>
        </w:rPr>
        <w:t>implementing a new concept of taxpayer services;</w:t>
      </w:r>
    </w:p>
    <w:p w:rsidR="0079170F" w:rsidRPr="003964D3" w:rsidRDefault="0079170F" w:rsidP="0079170F">
      <w:pPr>
        <w:numPr>
          <w:ilvl w:val="1"/>
          <w:numId w:val="88"/>
        </w:numPr>
        <w:suppressAutoHyphens/>
        <w:spacing w:before="62" w:after="119" w:line="259" w:lineRule="auto"/>
        <w:jc w:val="both"/>
        <w:rPr>
          <w:rFonts w:ascii="Calibri" w:hAnsi="Calibri"/>
          <w:color w:val="000000"/>
        </w:rPr>
      </w:pPr>
      <w:r>
        <w:rPr>
          <w:rFonts w:ascii="Calibri" w:hAnsi="Calibri"/>
          <w:color w:val="000000"/>
        </w:rPr>
        <w:t>implementing the system of line management and of single counter;</w:t>
      </w:r>
    </w:p>
    <w:p w:rsidR="0079170F" w:rsidRPr="0079170F" w:rsidRDefault="0079170F" w:rsidP="0079170F">
      <w:pPr>
        <w:numPr>
          <w:ilvl w:val="1"/>
          <w:numId w:val="88"/>
        </w:numPr>
        <w:suppressAutoHyphens/>
        <w:spacing w:before="100" w:beforeAutospacing="1" w:after="119" w:line="259" w:lineRule="auto"/>
        <w:jc w:val="both"/>
        <w:rPr>
          <w:rFonts w:ascii="Calibri" w:hAnsi="Calibri"/>
          <w:color w:val="000000"/>
        </w:rPr>
      </w:pPr>
      <w:r>
        <w:rPr>
          <w:rFonts w:ascii="Calibri" w:hAnsi="Calibri"/>
          <w:color w:val="000000"/>
        </w:rPr>
        <w:t>introducing new taxpayer services (Web Seminars Service; On-line appointments);</w:t>
      </w:r>
    </w:p>
    <w:p w:rsidR="0079170F" w:rsidRPr="0079170F" w:rsidRDefault="0079170F" w:rsidP="0079170F">
      <w:pPr>
        <w:numPr>
          <w:ilvl w:val="0"/>
          <w:numId w:val="96"/>
        </w:numPr>
        <w:suppressAutoHyphens/>
        <w:spacing w:before="100" w:beforeAutospacing="1" w:after="119" w:line="259" w:lineRule="auto"/>
        <w:jc w:val="both"/>
        <w:rPr>
          <w:rFonts w:ascii="Calibri" w:hAnsi="Calibri" w:cs="Arial"/>
          <w:color w:val="000000"/>
        </w:rPr>
      </w:pPr>
      <w:r>
        <w:rPr>
          <w:rFonts w:ascii="Calibri" w:hAnsi="Calibri"/>
          <w:color w:val="000000"/>
        </w:rPr>
        <w:t xml:space="preserve">development in stages of the call center; </w:t>
      </w:r>
    </w:p>
    <w:p w:rsidR="0079170F" w:rsidRPr="0079170F" w:rsidRDefault="0079170F" w:rsidP="0079170F">
      <w:pPr>
        <w:numPr>
          <w:ilvl w:val="0"/>
          <w:numId w:val="96"/>
        </w:numPr>
        <w:suppressAutoHyphens/>
        <w:spacing w:before="100" w:beforeAutospacing="1" w:after="119" w:line="259" w:lineRule="auto"/>
        <w:jc w:val="both"/>
        <w:rPr>
          <w:rFonts w:ascii="Calibri" w:hAnsi="Calibri" w:cs="Arial"/>
          <w:color w:val="000000"/>
        </w:rPr>
      </w:pPr>
      <w:r>
        <w:rPr>
          <w:rFonts w:ascii="Calibri" w:hAnsi="Calibri"/>
          <w:color w:val="000000"/>
        </w:rPr>
        <w:t xml:space="preserve">introduction of the standard of offering of services at the seats of the fiscal units in all fiscal units; </w:t>
      </w:r>
    </w:p>
    <w:p w:rsidR="0079170F" w:rsidRPr="0079170F" w:rsidRDefault="0079170F" w:rsidP="0079170F">
      <w:pPr>
        <w:numPr>
          <w:ilvl w:val="1"/>
          <w:numId w:val="88"/>
        </w:numPr>
        <w:suppressAutoHyphens/>
        <w:spacing w:before="62" w:after="119" w:line="259" w:lineRule="auto"/>
        <w:jc w:val="both"/>
        <w:rPr>
          <w:rFonts w:ascii="Calibri" w:hAnsi="Calibri"/>
          <w:color w:val="000000"/>
        </w:rPr>
      </w:pPr>
      <w:r>
        <w:rPr>
          <w:rFonts w:ascii="Calibri" w:hAnsi="Calibri"/>
          <w:color w:val="000000"/>
        </w:rPr>
        <w:t>Improving the activity of settlement within the legal term of negative VAT returns with reimbursement options;</w:t>
      </w:r>
    </w:p>
    <w:p w:rsidR="0079170F" w:rsidRPr="0079170F" w:rsidRDefault="0079170F" w:rsidP="0079170F">
      <w:pPr>
        <w:numPr>
          <w:ilvl w:val="1"/>
          <w:numId w:val="88"/>
        </w:numPr>
        <w:suppressAutoHyphens/>
        <w:spacing w:before="62" w:after="119" w:line="259" w:lineRule="auto"/>
        <w:jc w:val="both"/>
        <w:rPr>
          <w:rFonts w:ascii="Calibri" w:hAnsi="Calibri"/>
          <w:color w:val="000000"/>
        </w:rPr>
      </w:pPr>
      <w:r>
        <w:rPr>
          <w:rFonts w:ascii="Calibri" w:hAnsi="Calibri"/>
          <w:color w:val="000000"/>
        </w:rPr>
        <w:t>elaborating a new procedure for the settlement of negative VAT returns with reimbursement option (DNOR), which would ensure the significant reduction of DNOR which are settled through anticipated control.</w:t>
      </w:r>
    </w:p>
    <w:p w:rsidR="0079170F" w:rsidRPr="0079170F" w:rsidRDefault="0079170F" w:rsidP="0079170F">
      <w:pPr>
        <w:numPr>
          <w:ilvl w:val="0"/>
          <w:numId w:val="88"/>
        </w:numPr>
        <w:suppressAutoHyphens/>
        <w:spacing w:before="62" w:after="119" w:line="259" w:lineRule="auto"/>
        <w:jc w:val="both"/>
        <w:rPr>
          <w:rFonts w:ascii="Calibri" w:hAnsi="Calibri"/>
          <w:color w:val="000000"/>
        </w:rPr>
      </w:pPr>
      <w:r>
        <w:rPr>
          <w:rFonts w:ascii="Calibri" w:hAnsi="Calibri"/>
          <w:color w:val="000000"/>
        </w:rPr>
        <w:t>Increasing the institution’s transparency and its prevention role</w:t>
      </w:r>
    </w:p>
    <w:p w:rsidR="0079170F" w:rsidRPr="0079170F" w:rsidRDefault="0079170F" w:rsidP="0079170F">
      <w:pPr>
        <w:numPr>
          <w:ilvl w:val="1"/>
          <w:numId w:val="88"/>
        </w:numPr>
        <w:suppressAutoHyphens/>
        <w:spacing w:before="62" w:after="119" w:line="259" w:lineRule="auto"/>
        <w:jc w:val="both"/>
        <w:rPr>
          <w:rFonts w:ascii="Calibri" w:hAnsi="Calibri"/>
          <w:color w:val="000000"/>
        </w:rPr>
      </w:pPr>
      <w:r>
        <w:rPr>
          <w:rFonts w:ascii="Calibri" w:hAnsi="Calibri"/>
          <w:color w:val="000000"/>
        </w:rPr>
        <w:t>making campaigns of dialogue, guidance, and notification of taxpayers with regard to the obligation of declaration and payment of fiscal liabilities;</w:t>
      </w:r>
    </w:p>
    <w:p w:rsidR="0079170F" w:rsidRPr="0079170F" w:rsidRDefault="0079170F" w:rsidP="0079170F">
      <w:pPr>
        <w:numPr>
          <w:ilvl w:val="1"/>
          <w:numId w:val="88"/>
        </w:numPr>
        <w:suppressAutoHyphens/>
        <w:spacing w:before="62" w:after="119" w:line="259" w:lineRule="auto"/>
        <w:jc w:val="both"/>
        <w:rPr>
          <w:rFonts w:ascii="Calibri" w:hAnsi="Calibri"/>
          <w:color w:val="000000"/>
        </w:rPr>
      </w:pPr>
      <w:r>
        <w:rPr>
          <w:rFonts w:ascii="Calibri" w:hAnsi="Calibri"/>
          <w:color w:val="000000"/>
        </w:rPr>
        <w:t>publishing communications about the legislative novelties in the fiscal field.</w:t>
      </w:r>
    </w:p>
    <w:p w:rsidR="0079170F" w:rsidRPr="0079170F" w:rsidRDefault="0079170F" w:rsidP="0079170F">
      <w:pPr>
        <w:numPr>
          <w:ilvl w:val="0"/>
          <w:numId w:val="88"/>
        </w:numPr>
        <w:suppressAutoHyphens/>
        <w:spacing w:before="62" w:after="119" w:line="259" w:lineRule="auto"/>
        <w:jc w:val="both"/>
        <w:rPr>
          <w:rFonts w:ascii="Calibri" w:hAnsi="Calibri"/>
          <w:color w:val="000000"/>
        </w:rPr>
      </w:pPr>
      <w:r>
        <w:rPr>
          <w:rFonts w:ascii="Calibri" w:hAnsi="Calibri"/>
          <w:color w:val="000000"/>
        </w:rPr>
        <w:t>Reducing taxpayer compliance costs</w:t>
      </w:r>
    </w:p>
    <w:p w:rsidR="0079170F" w:rsidRPr="0079170F" w:rsidRDefault="0079170F" w:rsidP="0079170F">
      <w:pPr>
        <w:numPr>
          <w:ilvl w:val="1"/>
          <w:numId w:val="88"/>
        </w:numPr>
        <w:suppressAutoHyphens/>
        <w:spacing w:before="62" w:after="119" w:line="259" w:lineRule="auto"/>
        <w:jc w:val="both"/>
        <w:rPr>
          <w:rFonts w:ascii="Calibri" w:hAnsi="Calibri"/>
          <w:color w:val="000000"/>
        </w:rPr>
      </w:pPr>
      <w:r>
        <w:rPr>
          <w:rFonts w:ascii="Calibri" w:hAnsi="Calibri"/>
          <w:color w:val="000000"/>
        </w:rPr>
        <w:t>reducing compliance costs by reducing the complexity of the administrative framework and encouraging electronic declaration;</w:t>
      </w:r>
    </w:p>
    <w:p w:rsidR="0079170F" w:rsidRPr="0079170F" w:rsidRDefault="0079170F" w:rsidP="0079170F">
      <w:pPr>
        <w:numPr>
          <w:ilvl w:val="1"/>
          <w:numId w:val="88"/>
        </w:numPr>
        <w:suppressAutoHyphens/>
        <w:spacing w:before="62" w:after="119" w:line="259" w:lineRule="auto"/>
        <w:jc w:val="both"/>
        <w:rPr>
          <w:rFonts w:ascii="Calibri" w:hAnsi="Calibri"/>
          <w:color w:val="000000"/>
        </w:rPr>
      </w:pPr>
      <w:r>
        <w:rPr>
          <w:rFonts w:ascii="Calibri" w:hAnsi="Calibri"/>
          <w:color w:val="000000"/>
        </w:rPr>
        <w:t>developing the functionalities of the Virtual Private Space and promoting the service;</w:t>
      </w:r>
    </w:p>
    <w:p w:rsidR="0079170F" w:rsidRPr="0079170F" w:rsidRDefault="0079170F" w:rsidP="0079170F">
      <w:pPr>
        <w:numPr>
          <w:ilvl w:val="1"/>
          <w:numId w:val="88"/>
        </w:numPr>
        <w:suppressAutoHyphens/>
        <w:spacing w:before="62" w:after="119" w:line="259" w:lineRule="auto"/>
        <w:jc w:val="both"/>
        <w:rPr>
          <w:rFonts w:ascii="Calibri" w:hAnsi="Calibri"/>
          <w:color w:val="000000"/>
        </w:rPr>
      </w:pPr>
      <w:r>
        <w:rPr>
          <w:rFonts w:ascii="Calibri" w:hAnsi="Calibri"/>
          <w:color w:val="000000"/>
        </w:rPr>
        <w:t>developing the Patrimven service.</w:t>
      </w:r>
    </w:p>
    <w:p w:rsidR="0079170F" w:rsidRPr="0079170F" w:rsidRDefault="0079170F" w:rsidP="0079170F">
      <w:pPr>
        <w:spacing w:before="100" w:beforeAutospacing="1" w:after="119"/>
        <w:jc w:val="both"/>
        <w:rPr>
          <w:rFonts w:ascii="Calibri" w:hAnsi="Calibri"/>
          <w:color w:val="000000"/>
        </w:rPr>
      </w:pPr>
      <w:r>
        <w:rPr>
          <w:rFonts w:ascii="Calibri" w:hAnsi="Calibri"/>
          <w:b/>
          <w:bCs/>
          <w:color w:val="000000"/>
        </w:rPr>
        <w:t>Increasing collection efficiency</w:t>
      </w:r>
    </w:p>
    <w:p w:rsidR="0079170F" w:rsidRPr="0079170F" w:rsidRDefault="0079170F" w:rsidP="0079170F">
      <w:pPr>
        <w:numPr>
          <w:ilvl w:val="0"/>
          <w:numId w:val="89"/>
        </w:numPr>
        <w:suppressAutoHyphens/>
        <w:spacing w:before="62" w:after="119" w:line="259" w:lineRule="auto"/>
        <w:jc w:val="both"/>
        <w:rPr>
          <w:rFonts w:ascii="Calibri" w:hAnsi="Calibri"/>
          <w:color w:val="000000"/>
        </w:rPr>
      </w:pPr>
      <w:r>
        <w:rPr>
          <w:rFonts w:ascii="Calibri" w:hAnsi="Calibri"/>
          <w:color w:val="000000"/>
        </w:rPr>
        <w:t>Reducing fiscal arrears</w:t>
      </w:r>
    </w:p>
    <w:p w:rsidR="0079170F" w:rsidRPr="0079170F" w:rsidRDefault="0079170F" w:rsidP="0079170F">
      <w:pPr>
        <w:numPr>
          <w:ilvl w:val="1"/>
          <w:numId w:val="89"/>
        </w:numPr>
        <w:suppressAutoHyphens/>
        <w:spacing w:before="62" w:after="119" w:line="259" w:lineRule="auto"/>
        <w:jc w:val="both"/>
        <w:rPr>
          <w:rFonts w:ascii="Calibri" w:hAnsi="Calibri"/>
          <w:color w:val="000000"/>
        </w:rPr>
      </w:pPr>
      <w:r>
        <w:rPr>
          <w:rFonts w:ascii="Calibri" w:hAnsi="Calibri"/>
          <w:color w:val="000000"/>
        </w:rPr>
        <w:t>elaborating the arrear recovery strategy.</w:t>
      </w:r>
    </w:p>
    <w:p w:rsidR="0079170F" w:rsidRPr="003964D3" w:rsidRDefault="0079170F" w:rsidP="0079170F">
      <w:pPr>
        <w:numPr>
          <w:ilvl w:val="0"/>
          <w:numId w:val="89"/>
        </w:numPr>
        <w:suppressAutoHyphens/>
        <w:spacing w:before="62" w:after="119" w:line="259" w:lineRule="auto"/>
        <w:jc w:val="both"/>
        <w:rPr>
          <w:rFonts w:ascii="Calibri" w:hAnsi="Calibri"/>
          <w:color w:val="000000"/>
        </w:rPr>
      </w:pPr>
      <w:r>
        <w:rPr>
          <w:rFonts w:ascii="Calibri" w:hAnsi="Calibri"/>
          <w:color w:val="000000"/>
        </w:rPr>
        <w:t>Maximizing the involvement of ANAF in the establishment of the legal framework for making the administration activity more efficient</w:t>
      </w:r>
    </w:p>
    <w:p w:rsidR="0079170F" w:rsidRPr="003964D3" w:rsidRDefault="0079170F" w:rsidP="0079170F">
      <w:pPr>
        <w:numPr>
          <w:ilvl w:val="1"/>
          <w:numId w:val="89"/>
        </w:numPr>
        <w:suppressAutoHyphens/>
        <w:spacing w:before="62" w:after="119" w:line="259" w:lineRule="auto"/>
        <w:jc w:val="both"/>
        <w:rPr>
          <w:rFonts w:ascii="Calibri" w:hAnsi="Calibri"/>
          <w:color w:val="000000"/>
        </w:rPr>
      </w:pPr>
      <w:r>
        <w:rPr>
          <w:rFonts w:ascii="Calibri" w:hAnsi="Calibri"/>
          <w:color w:val="000000"/>
        </w:rPr>
        <w:t>elaboration of an external communication plan.</w:t>
      </w:r>
    </w:p>
    <w:p w:rsidR="0079170F" w:rsidRPr="0079170F" w:rsidRDefault="0079170F" w:rsidP="0079170F">
      <w:pPr>
        <w:numPr>
          <w:ilvl w:val="0"/>
          <w:numId w:val="89"/>
        </w:numPr>
        <w:suppressAutoHyphens/>
        <w:spacing w:before="62" w:after="119" w:line="259" w:lineRule="auto"/>
        <w:jc w:val="both"/>
        <w:rPr>
          <w:rFonts w:ascii="Calibri" w:hAnsi="Calibri"/>
          <w:color w:val="000000"/>
        </w:rPr>
      </w:pPr>
      <w:r>
        <w:rPr>
          <w:rFonts w:ascii="Calibri" w:hAnsi="Calibri"/>
          <w:color w:val="000000"/>
        </w:rPr>
        <w:t>Improving the modality of forecasting and reporting of fiscal revenues.</w:t>
      </w:r>
    </w:p>
    <w:p w:rsidR="0079170F" w:rsidRPr="003964D3" w:rsidRDefault="0079170F" w:rsidP="0079170F">
      <w:pPr>
        <w:numPr>
          <w:ilvl w:val="1"/>
          <w:numId w:val="89"/>
        </w:numPr>
        <w:suppressAutoHyphens/>
        <w:spacing w:before="62" w:after="119" w:line="259" w:lineRule="auto"/>
        <w:jc w:val="both"/>
        <w:rPr>
          <w:rFonts w:ascii="Calibri" w:hAnsi="Calibri"/>
          <w:color w:val="000000"/>
        </w:rPr>
      </w:pPr>
      <w:r>
        <w:rPr>
          <w:rFonts w:ascii="Calibri" w:hAnsi="Calibri"/>
          <w:color w:val="000000"/>
        </w:rPr>
        <w:t>developing the system of monitoring and reporting of monthly progress.</w:t>
      </w:r>
    </w:p>
    <w:p w:rsidR="0079170F" w:rsidRPr="0079170F" w:rsidRDefault="0079170F" w:rsidP="0079170F">
      <w:pPr>
        <w:spacing w:before="100" w:beforeAutospacing="1" w:after="119"/>
        <w:jc w:val="both"/>
        <w:rPr>
          <w:rFonts w:ascii="Calibri" w:hAnsi="Calibri"/>
          <w:color w:val="000000"/>
        </w:rPr>
      </w:pPr>
      <w:r>
        <w:rPr>
          <w:rFonts w:ascii="Calibri" w:hAnsi="Calibri"/>
          <w:b/>
          <w:bCs/>
          <w:color w:val="000000"/>
        </w:rPr>
        <w:t xml:space="preserve">Agency modernization </w:t>
      </w:r>
    </w:p>
    <w:p w:rsidR="0079170F" w:rsidRPr="0079170F" w:rsidRDefault="0079170F" w:rsidP="0079170F">
      <w:pPr>
        <w:numPr>
          <w:ilvl w:val="0"/>
          <w:numId w:val="90"/>
        </w:numPr>
        <w:suppressAutoHyphens/>
        <w:spacing w:before="62" w:after="119" w:line="259" w:lineRule="auto"/>
        <w:jc w:val="both"/>
        <w:rPr>
          <w:rFonts w:ascii="Calibri" w:hAnsi="Calibri"/>
          <w:color w:val="000000"/>
        </w:rPr>
      </w:pPr>
      <w:r>
        <w:rPr>
          <w:rFonts w:ascii="Calibri" w:hAnsi="Calibri"/>
          <w:color w:val="000000"/>
        </w:rPr>
        <w:t>Improving the agency’s governance and strengthening international cooperation</w:t>
      </w:r>
    </w:p>
    <w:p w:rsidR="0079170F" w:rsidRPr="0079170F" w:rsidRDefault="0079170F" w:rsidP="0079170F">
      <w:pPr>
        <w:numPr>
          <w:ilvl w:val="1"/>
          <w:numId w:val="90"/>
        </w:numPr>
        <w:suppressAutoHyphens/>
        <w:spacing w:before="62" w:after="119" w:line="259" w:lineRule="auto"/>
        <w:jc w:val="both"/>
        <w:rPr>
          <w:rFonts w:ascii="Calibri" w:hAnsi="Calibri"/>
          <w:color w:val="000000"/>
        </w:rPr>
      </w:pPr>
      <w:r>
        <w:rPr>
          <w:rFonts w:ascii="Calibri" w:hAnsi="Calibri"/>
          <w:color w:val="000000"/>
        </w:rPr>
        <w:t>promoting actions for starting projects and actions which will lead to the fulfillment of strategic objectives;</w:t>
      </w:r>
    </w:p>
    <w:p w:rsidR="0079170F" w:rsidRPr="0079170F" w:rsidRDefault="0079170F" w:rsidP="0079170F">
      <w:pPr>
        <w:numPr>
          <w:ilvl w:val="1"/>
          <w:numId w:val="90"/>
        </w:numPr>
        <w:suppressAutoHyphens/>
        <w:spacing w:before="62" w:after="119" w:line="259" w:lineRule="auto"/>
        <w:jc w:val="both"/>
        <w:rPr>
          <w:rFonts w:ascii="Calibri" w:hAnsi="Calibri"/>
          <w:color w:val="000000"/>
        </w:rPr>
      </w:pPr>
      <w:r>
        <w:rPr>
          <w:rFonts w:ascii="Calibri" w:hAnsi="Calibri"/>
          <w:color w:val="000000"/>
        </w:rPr>
        <w:t xml:space="preserve">reducing collection costs; </w:t>
      </w:r>
    </w:p>
    <w:p w:rsidR="0079170F" w:rsidRPr="0079170F" w:rsidRDefault="0079170F" w:rsidP="0079170F">
      <w:pPr>
        <w:numPr>
          <w:ilvl w:val="1"/>
          <w:numId w:val="90"/>
        </w:numPr>
        <w:suppressAutoHyphens/>
        <w:spacing w:before="62" w:after="119" w:line="259" w:lineRule="auto"/>
        <w:jc w:val="both"/>
        <w:rPr>
          <w:rFonts w:ascii="Calibri" w:hAnsi="Calibri"/>
          <w:color w:val="000000"/>
        </w:rPr>
      </w:pPr>
      <w:r>
        <w:rPr>
          <w:rFonts w:ascii="Calibri" w:hAnsi="Calibri"/>
          <w:color w:val="000000"/>
        </w:rPr>
        <w:t>promoting the actions necessary to strengthen international cooperation and exchange of information with other countries/structures;</w:t>
      </w:r>
    </w:p>
    <w:p w:rsidR="0079170F" w:rsidRPr="0079170F" w:rsidRDefault="0079170F" w:rsidP="0079170F">
      <w:pPr>
        <w:numPr>
          <w:ilvl w:val="1"/>
          <w:numId w:val="90"/>
        </w:numPr>
        <w:suppressAutoHyphens/>
        <w:spacing w:before="62" w:after="119" w:line="259" w:lineRule="auto"/>
        <w:jc w:val="both"/>
        <w:rPr>
          <w:rFonts w:ascii="Calibri" w:hAnsi="Calibri"/>
          <w:color w:val="000000"/>
        </w:rPr>
      </w:pPr>
      <w:r>
        <w:rPr>
          <w:rFonts w:ascii="Calibri" w:hAnsi="Calibri"/>
          <w:color w:val="000000"/>
        </w:rPr>
        <w:t>strengthening the actions necessary to increase the integrity of the ANAF’s personnel;</w:t>
      </w:r>
    </w:p>
    <w:p w:rsidR="0079170F" w:rsidRPr="0079170F" w:rsidRDefault="0079170F" w:rsidP="0079170F">
      <w:pPr>
        <w:numPr>
          <w:ilvl w:val="1"/>
          <w:numId w:val="90"/>
        </w:numPr>
        <w:suppressAutoHyphens/>
        <w:spacing w:before="62" w:after="119" w:line="259" w:lineRule="auto"/>
        <w:jc w:val="both"/>
        <w:rPr>
          <w:rFonts w:ascii="Calibri" w:hAnsi="Calibri"/>
          <w:color w:val="000000"/>
        </w:rPr>
      </w:pPr>
      <w:r>
        <w:rPr>
          <w:rFonts w:ascii="Calibri" w:hAnsi="Calibri"/>
          <w:color w:val="000000"/>
        </w:rPr>
        <w:t>adequate performance of the activities necessary for the Agency’s operational support.</w:t>
      </w:r>
    </w:p>
    <w:p w:rsidR="0079170F" w:rsidRPr="003964D3" w:rsidRDefault="0079170F" w:rsidP="0079170F">
      <w:pPr>
        <w:numPr>
          <w:ilvl w:val="0"/>
          <w:numId w:val="90"/>
        </w:numPr>
        <w:suppressAutoHyphens/>
        <w:spacing w:before="62" w:after="119" w:line="259" w:lineRule="auto"/>
        <w:jc w:val="both"/>
        <w:rPr>
          <w:rFonts w:ascii="Calibri" w:hAnsi="Calibri"/>
          <w:color w:val="000000"/>
        </w:rPr>
      </w:pPr>
      <w:r>
        <w:rPr>
          <w:rFonts w:ascii="Calibri" w:hAnsi="Calibri"/>
          <w:color w:val="000000"/>
        </w:rPr>
        <w:t>Improving human resources management in the agency</w:t>
      </w:r>
    </w:p>
    <w:p w:rsidR="0079170F" w:rsidRPr="0079170F" w:rsidRDefault="0079170F" w:rsidP="0079170F">
      <w:pPr>
        <w:numPr>
          <w:ilvl w:val="1"/>
          <w:numId w:val="90"/>
        </w:numPr>
        <w:suppressAutoHyphens/>
        <w:spacing w:before="62" w:after="119" w:line="259" w:lineRule="auto"/>
        <w:jc w:val="both"/>
        <w:rPr>
          <w:rFonts w:ascii="Calibri" w:hAnsi="Calibri"/>
          <w:color w:val="000000"/>
        </w:rPr>
      </w:pPr>
      <w:r>
        <w:rPr>
          <w:rFonts w:ascii="Calibri" w:hAnsi="Calibri"/>
          <w:color w:val="000000"/>
        </w:rPr>
        <w:t>introduction and maintenance of an efficient system of planning for the labor force necessary to ensure optimal allocation of employees;</w:t>
      </w:r>
    </w:p>
    <w:p w:rsidR="0079170F" w:rsidRPr="0079170F" w:rsidRDefault="0079170F" w:rsidP="0079170F">
      <w:pPr>
        <w:numPr>
          <w:ilvl w:val="1"/>
          <w:numId w:val="90"/>
        </w:numPr>
        <w:suppressAutoHyphens/>
        <w:spacing w:before="62" w:after="119" w:line="259" w:lineRule="auto"/>
        <w:jc w:val="both"/>
        <w:rPr>
          <w:rFonts w:ascii="Calibri" w:hAnsi="Calibri"/>
          <w:color w:val="000000"/>
        </w:rPr>
      </w:pPr>
      <w:r>
        <w:rPr>
          <w:rFonts w:ascii="Calibri" w:hAnsi="Calibri"/>
          <w:color w:val="000000"/>
        </w:rPr>
        <w:t>consolidating training and development policies and practices to help the employees develop their knowledge, skills and competences;</w:t>
      </w:r>
    </w:p>
    <w:p w:rsidR="0079170F" w:rsidRPr="0079170F" w:rsidRDefault="0079170F" w:rsidP="0079170F">
      <w:pPr>
        <w:numPr>
          <w:ilvl w:val="1"/>
          <w:numId w:val="90"/>
        </w:numPr>
        <w:suppressAutoHyphens/>
        <w:spacing w:before="62" w:after="119" w:line="259" w:lineRule="auto"/>
        <w:jc w:val="both"/>
        <w:rPr>
          <w:rFonts w:ascii="Calibri" w:hAnsi="Calibri"/>
          <w:color w:val="000000"/>
        </w:rPr>
      </w:pPr>
      <w:r>
        <w:rPr>
          <w:rFonts w:ascii="Calibri" w:hAnsi="Calibri"/>
          <w:color w:val="000000"/>
        </w:rPr>
        <w:t xml:space="preserve">elaboration and implementation of leadership training programs. </w:t>
      </w:r>
    </w:p>
    <w:p w:rsidR="0079170F" w:rsidRPr="0079170F" w:rsidRDefault="0079170F" w:rsidP="0079170F">
      <w:pPr>
        <w:numPr>
          <w:ilvl w:val="0"/>
          <w:numId w:val="90"/>
        </w:numPr>
        <w:suppressAutoHyphens/>
        <w:spacing w:before="62" w:after="119" w:line="259" w:lineRule="auto"/>
        <w:jc w:val="both"/>
        <w:rPr>
          <w:rFonts w:ascii="Calibri" w:hAnsi="Calibri" w:cs="Arial"/>
          <w:color w:val="000000"/>
        </w:rPr>
      </w:pPr>
      <w:r>
        <w:rPr>
          <w:rFonts w:ascii="Calibri" w:hAnsi="Calibri"/>
          <w:color w:val="000000"/>
        </w:rPr>
        <w:t>Modernization of customs offices</w:t>
      </w:r>
    </w:p>
    <w:p w:rsidR="0079170F" w:rsidRPr="0079170F" w:rsidRDefault="0079170F" w:rsidP="0079170F">
      <w:pPr>
        <w:numPr>
          <w:ilvl w:val="1"/>
          <w:numId w:val="90"/>
        </w:numPr>
        <w:suppressAutoHyphens/>
        <w:spacing w:before="62" w:after="119" w:line="259" w:lineRule="auto"/>
        <w:jc w:val="both"/>
        <w:rPr>
          <w:rFonts w:ascii="Calibri" w:hAnsi="Calibri" w:cs="Arial"/>
          <w:color w:val="000000"/>
        </w:rPr>
      </w:pPr>
      <w:r>
        <w:rPr>
          <w:rFonts w:ascii="Calibri" w:hAnsi="Calibri"/>
          <w:color w:val="000000"/>
        </w:rPr>
        <w:t>Modernization of the infrastructure of border customs offices with road specificity;</w:t>
      </w:r>
    </w:p>
    <w:p w:rsidR="0079170F" w:rsidRPr="0079170F" w:rsidRDefault="0079170F" w:rsidP="0079170F">
      <w:pPr>
        <w:numPr>
          <w:ilvl w:val="1"/>
          <w:numId w:val="90"/>
        </w:numPr>
        <w:suppressAutoHyphens/>
        <w:spacing w:before="62" w:after="119" w:line="259" w:lineRule="auto"/>
        <w:jc w:val="both"/>
        <w:rPr>
          <w:rFonts w:ascii="Calibri" w:hAnsi="Calibri" w:cs="Arial"/>
          <w:color w:val="000000"/>
        </w:rPr>
      </w:pPr>
      <w:r>
        <w:rPr>
          <w:rFonts w:ascii="Calibri" w:hAnsi="Calibri"/>
          <w:color w:val="000000"/>
        </w:rPr>
        <w:t>equipping with modern customs control equipment through allocation of budgetary funds necessary and the procurement of: X-ray scanners and portable scanners for the mobile teams, traffic supervision video cameras, tablets for customs controls at traveler flows;</w:t>
      </w:r>
    </w:p>
    <w:p w:rsidR="0079170F" w:rsidRPr="0079170F" w:rsidRDefault="0079170F" w:rsidP="0079170F">
      <w:pPr>
        <w:numPr>
          <w:ilvl w:val="1"/>
          <w:numId w:val="90"/>
        </w:numPr>
        <w:suppressAutoHyphens/>
        <w:spacing w:before="62" w:after="119" w:line="259" w:lineRule="auto"/>
        <w:jc w:val="both"/>
        <w:rPr>
          <w:rFonts w:ascii="Calibri" w:hAnsi="Calibri" w:cs="Arial"/>
          <w:color w:val="000000"/>
        </w:rPr>
      </w:pPr>
      <w:r>
        <w:rPr>
          <w:rFonts w:ascii="Calibri" w:hAnsi="Calibri"/>
          <w:color w:val="000000"/>
        </w:rPr>
        <w:t>equipping with uniforms and replacement of IT equipment;</w:t>
      </w:r>
    </w:p>
    <w:p w:rsidR="0079170F" w:rsidRPr="0079170F" w:rsidRDefault="0079170F" w:rsidP="0079170F">
      <w:pPr>
        <w:numPr>
          <w:ilvl w:val="1"/>
          <w:numId w:val="90"/>
        </w:numPr>
        <w:suppressAutoHyphens/>
        <w:spacing w:before="62" w:after="119" w:line="259" w:lineRule="auto"/>
        <w:jc w:val="both"/>
        <w:rPr>
          <w:rFonts w:ascii="Calibri" w:hAnsi="Calibri" w:cs="Arial"/>
          <w:color w:val="000000"/>
        </w:rPr>
      </w:pPr>
      <w:r>
        <w:rPr>
          <w:rFonts w:ascii="Calibri" w:hAnsi="Calibri"/>
          <w:color w:val="000000"/>
        </w:rPr>
        <w:t>development of the IT systems in accordance with the Strategy of the European Union of implementation of the Union’s Customs Code.</w:t>
      </w:r>
    </w:p>
    <w:p w:rsidR="0079170F" w:rsidRPr="0079170F" w:rsidRDefault="0079170F" w:rsidP="0079170F">
      <w:pPr>
        <w:tabs>
          <w:tab w:val="left" w:pos="567"/>
          <w:tab w:val="left" w:pos="905"/>
        </w:tabs>
        <w:suppressAutoHyphens/>
        <w:spacing w:before="60" w:after="120"/>
        <w:ind w:left="993"/>
        <w:jc w:val="both"/>
        <w:rPr>
          <w:rFonts w:ascii="Calibri" w:hAnsi="Calibri" w:cs="Calibri"/>
          <w:color w:val="000000"/>
          <w:lang w:val="ro-RO" w:eastAsia="zh-CN"/>
        </w:rPr>
      </w:pPr>
    </w:p>
    <w:p w:rsidR="0079170F" w:rsidRPr="0079170F" w:rsidRDefault="0079170F" w:rsidP="0079170F">
      <w:pPr>
        <w:widowControl w:val="0"/>
        <w:numPr>
          <w:ilvl w:val="0"/>
          <w:numId w:val="85"/>
        </w:numPr>
        <w:shd w:val="clear" w:color="auto" w:fill="E5F2FF"/>
        <w:suppressAutoHyphens/>
        <w:spacing w:after="120" w:line="320" w:lineRule="exact"/>
        <w:jc w:val="both"/>
        <w:rPr>
          <w:rFonts w:ascii="Calibri" w:hAnsi="Calibri" w:cs="Calibri"/>
          <w:color w:val="000000"/>
        </w:rPr>
      </w:pPr>
      <w:r>
        <w:rPr>
          <w:rFonts w:ascii="Calibri" w:hAnsi="Calibri"/>
          <w:b/>
          <w:color w:val="000000"/>
        </w:rPr>
        <w:t>Objectives for 2020-2021</w:t>
      </w:r>
    </w:p>
    <w:p w:rsidR="0079170F" w:rsidRPr="0079170F" w:rsidRDefault="0079170F" w:rsidP="0079170F">
      <w:pPr>
        <w:spacing w:before="100" w:beforeAutospacing="1" w:after="119"/>
        <w:jc w:val="both"/>
        <w:rPr>
          <w:rFonts w:ascii="Calibri" w:hAnsi="Calibri"/>
          <w:color w:val="000000"/>
        </w:rPr>
      </w:pPr>
      <w:r>
        <w:rPr>
          <w:rFonts w:ascii="Calibri" w:hAnsi="Calibri"/>
          <w:b/>
          <w:bCs/>
          <w:color w:val="000000"/>
        </w:rPr>
        <w:t>Increasing voluntary compliance</w:t>
      </w:r>
    </w:p>
    <w:p w:rsidR="0079170F" w:rsidRPr="0079170F" w:rsidRDefault="0079170F" w:rsidP="0079170F">
      <w:pPr>
        <w:numPr>
          <w:ilvl w:val="0"/>
          <w:numId w:val="91"/>
        </w:numPr>
        <w:suppressAutoHyphens/>
        <w:spacing w:before="62" w:after="119" w:line="259" w:lineRule="auto"/>
        <w:jc w:val="both"/>
        <w:rPr>
          <w:rFonts w:ascii="Calibri" w:hAnsi="Calibri"/>
          <w:color w:val="000000"/>
        </w:rPr>
      </w:pPr>
      <w:r>
        <w:rPr>
          <w:rFonts w:ascii="Calibri" w:hAnsi="Calibri"/>
          <w:color w:val="000000"/>
        </w:rPr>
        <w:t>Stimulating voluntary compliance for declaration and payment</w:t>
      </w:r>
    </w:p>
    <w:p w:rsidR="0079170F" w:rsidRPr="0079170F" w:rsidRDefault="0079170F" w:rsidP="0079170F">
      <w:pPr>
        <w:numPr>
          <w:ilvl w:val="1"/>
          <w:numId w:val="91"/>
        </w:numPr>
        <w:suppressAutoHyphens/>
        <w:spacing w:before="62" w:after="119" w:line="259" w:lineRule="auto"/>
        <w:jc w:val="both"/>
        <w:rPr>
          <w:rFonts w:ascii="Calibri" w:hAnsi="Calibri"/>
          <w:color w:val="000000"/>
        </w:rPr>
      </w:pPr>
      <w:r>
        <w:rPr>
          <w:rFonts w:ascii="Calibri" w:hAnsi="Calibri"/>
          <w:color w:val="000000"/>
        </w:rPr>
        <w:t>elaborating a program of compliance and monitoring of the implementation of defined actions;</w:t>
      </w:r>
    </w:p>
    <w:p w:rsidR="0079170F" w:rsidRPr="0079170F" w:rsidRDefault="0079170F" w:rsidP="0079170F">
      <w:pPr>
        <w:numPr>
          <w:ilvl w:val="1"/>
          <w:numId w:val="91"/>
        </w:numPr>
        <w:suppressAutoHyphens/>
        <w:spacing w:before="62" w:after="119" w:line="259" w:lineRule="auto"/>
        <w:jc w:val="both"/>
        <w:rPr>
          <w:rFonts w:ascii="Calibri" w:hAnsi="Calibri"/>
          <w:color w:val="000000"/>
        </w:rPr>
      </w:pPr>
      <w:r>
        <w:rPr>
          <w:rFonts w:ascii="Calibri" w:hAnsi="Calibri"/>
          <w:color w:val="000000"/>
        </w:rPr>
        <w:t xml:space="preserve">promoting the possibility of awarding payment facilities through the organization of periodical meetings with the taxpayers and through publication on the website of informative materials. </w:t>
      </w:r>
    </w:p>
    <w:p w:rsidR="0079170F" w:rsidRPr="0079170F" w:rsidRDefault="0079170F" w:rsidP="0079170F">
      <w:pPr>
        <w:numPr>
          <w:ilvl w:val="0"/>
          <w:numId w:val="91"/>
        </w:numPr>
        <w:suppressAutoHyphens/>
        <w:spacing w:before="62" w:after="119" w:line="259" w:lineRule="auto"/>
        <w:jc w:val="both"/>
        <w:rPr>
          <w:rFonts w:ascii="Calibri" w:hAnsi="Calibri"/>
          <w:color w:val="000000"/>
        </w:rPr>
      </w:pPr>
      <w:r>
        <w:rPr>
          <w:rFonts w:ascii="Calibri" w:hAnsi="Calibri"/>
          <w:color w:val="000000"/>
        </w:rPr>
        <w:t>Revising fiscal administration procedures</w:t>
      </w:r>
    </w:p>
    <w:p w:rsidR="0079170F" w:rsidRPr="0079170F" w:rsidRDefault="0079170F" w:rsidP="0079170F">
      <w:pPr>
        <w:numPr>
          <w:ilvl w:val="1"/>
          <w:numId w:val="91"/>
        </w:numPr>
        <w:suppressAutoHyphens/>
        <w:spacing w:before="62" w:after="119" w:line="259" w:lineRule="auto"/>
        <w:jc w:val="both"/>
        <w:rPr>
          <w:rFonts w:ascii="Calibri" w:hAnsi="Calibri"/>
          <w:color w:val="000000"/>
        </w:rPr>
      </w:pPr>
      <w:r>
        <w:rPr>
          <w:rFonts w:ascii="Calibri" w:hAnsi="Calibri"/>
          <w:color w:val="000000"/>
        </w:rPr>
        <w:t>creating the technical and procedural conditions for payment of the fiscal liabilities through banking instruments</w:t>
      </w:r>
    </w:p>
    <w:p w:rsidR="0079170F" w:rsidRPr="0079170F" w:rsidRDefault="0079170F" w:rsidP="0079170F">
      <w:pPr>
        <w:numPr>
          <w:ilvl w:val="1"/>
          <w:numId w:val="91"/>
        </w:numPr>
        <w:suppressAutoHyphens/>
        <w:spacing w:before="62" w:after="119" w:line="259" w:lineRule="auto"/>
        <w:jc w:val="both"/>
        <w:rPr>
          <w:rFonts w:ascii="Calibri" w:hAnsi="Calibri" w:cs="Arial"/>
          <w:color w:val="000000"/>
        </w:rPr>
      </w:pPr>
      <w:r>
        <w:rPr>
          <w:rFonts w:ascii="Calibri" w:hAnsi="Calibri"/>
          <w:color w:val="000000"/>
        </w:rPr>
        <w:t xml:space="preserve">improvement of the procedures of establishment and lifting of garnishments, in order to reduce the time necessary to process enforcement documents. </w:t>
      </w:r>
    </w:p>
    <w:p w:rsidR="0079170F" w:rsidRPr="0079170F" w:rsidRDefault="0079170F" w:rsidP="0079170F">
      <w:pPr>
        <w:numPr>
          <w:ilvl w:val="0"/>
          <w:numId w:val="91"/>
        </w:numPr>
        <w:suppressAutoHyphens/>
        <w:spacing w:before="62" w:after="119" w:line="259" w:lineRule="auto"/>
        <w:jc w:val="both"/>
        <w:rPr>
          <w:rFonts w:ascii="Calibri" w:hAnsi="Calibri"/>
          <w:color w:val="000000"/>
        </w:rPr>
      </w:pPr>
      <w:r>
        <w:rPr>
          <w:rFonts w:ascii="Calibri" w:hAnsi="Calibri"/>
          <w:i/>
          <w:iCs/>
          <w:color w:val="000000"/>
        </w:rPr>
        <w:t xml:space="preserve">Increasing voluntary compliance by preventing the taxable base’s erosion </w:t>
      </w:r>
    </w:p>
    <w:p w:rsidR="0079170F" w:rsidRPr="003964D3" w:rsidRDefault="0079170F" w:rsidP="0079170F">
      <w:pPr>
        <w:numPr>
          <w:ilvl w:val="1"/>
          <w:numId w:val="91"/>
        </w:numPr>
        <w:suppressAutoHyphens/>
        <w:spacing w:before="62" w:after="119" w:line="259" w:lineRule="auto"/>
        <w:jc w:val="both"/>
        <w:rPr>
          <w:rFonts w:ascii="Calibri" w:hAnsi="Calibri"/>
          <w:color w:val="000000"/>
        </w:rPr>
      </w:pPr>
      <w:r>
        <w:rPr>
          <w:rFonts w:ascii="Calibri" w:hAnsi="Calibri"/>
          <w:color w:val="000000"/>
        </w:rPr>
        <w:t>promoting the possibilities of issuance of unilateral/bilateral/multilateral advance price agreements;</w:t>
      </w:r>
    </w:p>
    <w:p w:rsidR="0079170F" w:rsidRPr="003964D3" w:rsidRDefault="0079170F" w:rsidP="0079170F">
      <w:pPr>
        <w:numPr>
          <w:ilvl w:val="1"/>
          <w:numId w:val="91"/>
        </w:numPr>
        <w:suppressAutoHyphens/>
        <w:spacing w:before="62" w:after="119" w:line="259" w:lineRule="auto"/>
        <w:jc w:val="both"/>
        <w:rPr>
          <w:rFonts w:ascii="Calibri" w:hAnsi="Calibri"/>
          <w:color w:val="000000"/>
        </w:rPr>
      </w:pPr>
      <w:r>
        <w:rPr>
          <w:rFonts w:ascii="Calibri" w:hAnsi="Calibri"/>
          <w:color w:val="000000"/>
        </w:rPr>
        <w:t xml:space="preserve">promoting the possibility of initiating the amicable proceeding in the case of transactions adjusted as a result of the fiscal documents issued by the fiscal authorities from other jurisdictions. </w:t>
      </w:r>
    </w:p>
    <w:p w:rsidR="0079170F" w:rsidRPr="003964D3" w:rsidRDefault="0079170F" w:rsidP="0079170F">
      <w:pPr>
        <w:numPr>
          <w:ilvl w:val="1"/>
          <w:numId w:val="91"/>
        </w:numPr>
        <w:suppressAutoHyphens/>
        <w:spacing w:before="62" w:after="119" w:line="259" w:lineRule="auto"/>
        <w:jc w:val="both"/>
        <w:rPr>
          <w:rFonts w:ascii="Calibri" w:hAnsi="Calibri"/>
          <w:color w:val="000000"/>
        </w:rPr>
      </w:pPr>
      <w:r>
        <w:rPr>
          <w:rFonts w:ascii="Calibri" w:hAnsi="Calibri"/>
          <w:color w:val="000000"/>
        </w:rPr>
        <w:t>implementing the possibility of “audit settlement” (amicable settlement of the final taxation decision) in order to reduce the number of appeals and court cases for verification of tax inspection reports and increase the degree of collection of additional amounts established, which are blocked in the judicial procedures in progress;</w:t>
      </w:r>
    </w:p>
    <w:p w:rsidR="0079170F" w:rsidRPr="003964D3" w:rsidRDefault="0079170F" w:rsidP="0079170F">
      <w:pPr>
        <w:numPr>
          <w:ilvl w:val="1"/>
          <w:numId w:val="91"/>
        </w:numPr>
        <w:suppressAutoHyphens/>
        <w:spacing w:before="62" w:after="119" w:line="259" w:lineRule="auto"/>
        <w:jc w:val="both"/>
        <w:rPr>
          <w:rFonts w:ascii="Calibri" w:hAnsi="Calibri"/>
          <w:color w:val="000000"/>
        </w:rPr>
      </w:pPr>
      <w:r>
        <w:rPr>
          <w:rFonts w:ascii="Calibri" w:hAnsi="Calibri"/>
          <w:color w:val="000000"/>
        </w:rPr>
        <w:t>implementing the possibility of voluntary adjustment of transfer prices in the case of the taxable base’s erosion at taxpayers from Romania in transactions with affiliated entities.</w:t>
      </w:r>
    </w:p>
    <w:p w:rsidR="0079170F" w:rsidRPr="0079170F" w:rsidRDefault="0079170F" w:rsidP="0079170F">
      <w:pPr>
        <w:spacing w:before="100" w:beforeAutospacing="1" w:after="119"/>
        <w:jc w:val="both"/>
        <w:rPr>
          <w:rFonts w:ascii="Calibri" w:hAnsi="Calibri"/>
          <w:color w:val="000000"/>
        </w:rPr>
      </w:pPr>
      <w:r>
        <w:rPr>
          <w:rFonts w:ascii="Calibri" w:hAnsi="Calibri"/>
          <w:b/>
          <w:bCs/>
          <w:color w:val="000000"/>
        </w:rPr>
        <w:t>Reducing tax evasion and fiscal fraud</w:t>
      </w:r>
    </w:p>
    <w:p w:rsidR="0079170F" w:rsidRPr="003964D3" w:rsidRDefault="0079170F" w:rsidP="0079170F">
      <w:pPr>
        <w:numPr>
          <w:ilvl w:val="0"/>
          <w:numId w:val="92"/>
        </w:numPr>
        <w:suppressAutoHyphens/>
        <w:spacing w:before="62" w:after="119" w:line="259" w:lineRule="auto"/>
        <w:jc w:val="both"/>
        <w:rPr>
          <w:rFonts w:ascii="Calibri" w:hAnsi="Calibri"/>
          <w:color w:val="000000"/>
        </w:rPr>
      </w:pPr>
      <w:r>
        <w:rPr>
          <w:rFonts w:ascii="Calibri" w:hAnsi="Calibri"/>
          <w:color w:val="000000"/>
        </w:rPr>
        <w:t>Defining the governance of implementation of the European noncompliance risk management model</w:t>
      </w:r>
    </w:p>
    <w:p w:rsidR="0079170F" w:rsidRPr="0079170F" w:rsidRDefault="0079170F" w:rsidP="0079170F">
      <w:pPr>
        <w:numPr>
          <w:ilvl w:val="1"/>
          <w:numId w:val="92"/>
        </w:numPr>
        <w:suppressAutoHyphens/>
        <w:spacing w:before="62" w:after="119" w:line="259" w:lineRule="auto"/>
        <w:jc w:val="both"/>
        <w:rPr>
          <w:rFonts w:ascii="Calibri" w:hAnsi="Calibri"/>
          <w:color w:val="000000"/>
        </w:rPr>
      </w:pPr>
      <w:r>
        <w:rPr>
          <w:rFonts w:ascii="Calibri" w:hAnsi="Calibri"/>
          <w:color w:val="000000"/>
        </w:rPr>
        <w:t>introducing the random testing program for fiscal compliance (through fiscal controls);</w:t>
      </w:r>
    </w:p>
    <w:p w:rsidR="0079170F" w:rsidRPr="0079170F" w:rsidRDefault="0079170F" w:rsidP="0079170F">
      <w:pPr>
        <w:numPr>
          <w:ilvl w:val="0"/>
          <w:numId w:val="92"/>
        </w:numPr>
        <w:suppressAutoHyphens/>
        <w:spacing w:before="62" w:after="119" w:line="259" w:lineRule="auto"/>
        <w:jc w:val="both"/>
        <w:rPr>
          <w:rFonts w:ascii="Calibri" w:hAnsi="Calibri"/>
          <w:color w:val="000000"/>
        </w:rPr>
      </w:pPr>
      <w:r>
        <w:rPr>
          <w:rFonts w:ascii="Calibri" w:hAnsi="Calibri"/>
          <w:color w:val="000000"/>
        </w:rPr>
        <w:t>Developing the activity of tax gap analysis</w:t>
      </w:r>
    </w:p>
    <w:p w:rsidR="0079170F" w:rsidRPr="0079170F" w:rsidRDefault="0079170F" w:rsidP="0079170F">
      <w:pPr>
        <w:numPr>
          <w:ilvl w:val="1"/>
          <w:numId w:val="92"/>
        </w:numPr>
        <w:suppressAutoHyphens/>
        <w:spacing w:before="62" w:after="119" w:line="259" w:lineRule="auto"/>
        <w:jc w:val="both"/>
        <w:rPr>
          <w:rFonts w:ascii="Calibri" w:hAnsi="Calibri"/>
          <w:color w:val="000000"/>
        </w:rPr>
      </w:pPr>
      <w:r>
        <w:rPr>
          <w:rFonts w:ascii="Calibri" w:hAnsi="Calibri"/>
          <w:color w:val="000000"/>
        </w:rPr>
        <w:t>annual performance of studies of estimation of the tax gap on fields of activity.</w:t>
      </w:r>
    </w:p>
    <w:p w:rsidR="0079170F" w:rsidRPr="0079170F" w:rsidRDefault="0079170F" w:rsidP="0079170F">
      <w:pPr>
        <w:numPr>
          <w:ilvl w:val="0"/>
          <w:numId w:val="92"/>
        </w:numPr>
        <w:suppressAutoHyphens/>
        <w:spacing w:before="62" w:after="119" w:line="259" w:lineRule="auto"/>
        <w:jc w:val="both"/>
        <w:rPr>
          <w:rFonts w:ascii="Calibri" w:hAnsi="Calibri"/>
          <w:color w:val="000000"/>
        </w:rPr>
      </w:pPr>
      <w:r>
        <w:rPr>
          <w:rFonts w:ascii="Calibri" w:hAnsi="Calibri"/>
          <w:color w:val="000000"/>
        </w:rPr>
        <w:t>Organization of the anti-fraud control, in accordance with the European noncompliance risk management model</w:t>
      </w:r>
    </w:p>
    <w:p w:rsidR="0079170F" w:rsidRPr="0079170F" w:rsidRDefault="0079170F" w:rsidP="0079170F">
      <w:pPr>
        <w:numPr>
          <w:ilvl w:val="1"/>
          <w:numId w:val="92"/>
        </w:numPr>
        <w:suppressAutoHyphens/>
        <w:spacing w:before="62" w:after="119" w:line="259" w:lineRule="auto"/>
        <w:jc w:val="both"/>
        <w:rPr>
          <w:rFonts w:ascii="Calibri" w:hAnsi="Calibri"/>
          <w:color w:val="000000"/>
        </w:rPr>
      </w:pPr>
      <w:r>
        <w:rPr>
          <w:rFonts w:ascii="Calibri" w:hAnsi="Calibri"/>
          <w:color w:val="000000"/>
        </w:rPr>
        <w:t>integrating and improving the risk analysis in the field of fiscal fraud;</w:t>
      </w:r>
    </w:p>
    <w:p w:rsidR="0079170F" w:rsidRPr="0079170F" w:rsidRDefault="0079170F" w:rsidP="0079170F">
      <w:pPr>
        <w:numPr>
          <w:ilvl w:val="1"/>
          <w:numId w:val="92"/>
        </w:numPr>
        <w:suppressAutoHyphens/>
        <w:spacing w:before="62" w:after="119" w:line="259" w:lineRule="auto"/>
        <w:jc w:val="both"/>
        <w:rPr>
          <w:rFonts w:ascii="Calibri" w:hAnsi="Calibri"/>
          <w:color w:val="000000"/>
        </w:rPr>
      </w:pPr>
      <w:r>
        <w:rPr>
          <w:rFonts w:ascii="Calibri" w:hAnsi="Calibri"/>
          <w:color w:val="000000"/>
        </w:rPr>
        <w:t>reducing the level and frequency of sanctions applied for actions with low social risk;</w:t>
      </w:r>
    </w:p>
    <w:p w:rsidR="0079170F" w:rsidRPr="0079170F" w:rsidRDefault="0079170F" w:rsidP="0079170F">
      <w:pPr>
        <w:numPr>
          <w:ilvl w:val="1"/>
          <w:numId w:val="92"/>
        </w:numPr>
        <w:suppressAutoHyphens/>
        <w:spacing w:before="62" w:after="119" w:line="259" w:lineRule="auto"/>
        <w:jc w:val="both"/>
        <w:rPr>
          <w:rFonts w:ascii="Calibri" w:hAnsi="Calibri"/>
          <w:color w:val="000000"/>
        </w:rPr>
      </w:pPr>
      <w:r>
        <w:rPr>
          <w:rFonts w:ascii="Calibri" w:hAnsi="Calibri"/>
          <w:color w:val="000000"/>
        </w:rPr>
        <w:t>improving the collaboration with the Public Prosecutor in order to develop the capacity of investigation and prosecution, the intention being for ANAF to significantly contribute in the areas related to tax evasion and fiscal/customs fraud.</w:t>
      </w:r>
    </w:p>
    <w:p w:rsidR="0079170F" w:rsidRPr="0079170F" w:rsidRDefault="0079170F" w:rsidP="0079170F">
      <w:pPr>
        <w:numPr>
          <w:ilvl w:val="0"/>
          <w:numId w:val="92"/>
        </w:numPr>
        <w:suppressAutoHyphens/>
        <w:spacing w:before="62" w:after="119" w:line="259" w:lineRule="auto"/>
        <w:jc w:val="both"/>
        <w:rPr>
          <w:rFonts w:ascii="Calibri" w:hAnsi="Calibri"/>
          <w:color w:val="000000"/>
        </w:rPr>
      </w:pPr>
      <w:r>
        <w:rPr>
          <w:rFonts w:ascii="Calibri" w:hAnsi="Calibri"/>
          <w:color w:val="000000"/>
        </w:rPr>
        <w:t>Fighting customs fraud</w:t>
      </w:r>
    </w:p>
    <w:p w:rsidR="0079170F" w:rsidRPr="003964D3" w:rsidRDefault="0079170F" w:rsidP="0079170F">
      <w:pPr>
        <w:numPr>
          <w:ilvl w:val="1"/>
          <w:numId w:val="92"/>
        </w:numPr>
        <w:suppressAutoHyphens/>
        <w:spacing w:before="62" w:after="119" w:line="259" w:lineRule="auto"/>
        <w:jc w:val="both"/>
        <w:rPr>
          <w:rFonts w:ascii="Calibri" w:hAnsi="Calibri" w:cs="Arial"/>
          <w:color w:val="000000"/>
        </w:rPr>
      </w:pPr>
      <w:r>
        <w:rPr>
          <w:rFonts w:ascii="Calibri" w:hAnsi="Calibri"/>
          <w:color w:val="000000"/>
        </w:rPr>
        <w:t>protecting the national and Community customs territory through activities of customs supervision and control in the field of fighting illegal trafficking;</w:t>
      </w:r>
    </w:p>
    <w:p w:rsidR="0079170F" w:rsidRPr="0079170F" w:rsidRDefault="0079170F" w:rsidP="0079170F">
      <w:pPr>
        <w:numPr>
          <w:ilvl w:val="1"/>
          <w:numId w:val="92"/>
        </w:numPr>
        <w:suppressAutoHyphens/>
        <w:spacing w:before="62" w:after="119" w:line="259" w:lineRule="auto"/>
        <w:jc w:val="both"/>
        <w:rPr>
          <w:rFonts w:ascii="Calibri" w:hAnsi="Calibri" w:cs="Arial"/>
          <w:color w:val="000000"/>
        </w:rPr>
      </w:pPr>
      <w:r>
        <w:rPr>
          <w:rFonts w:ascii="Calibri" w:hAnsi="Calibri"/>
          <w:color w:val="000000"/>
        </w:rPr>
        <w:t>developing the structures of mobile teams and implementing a more efficient operational management;</w:t>
      </w:r>
    </w:p>
    <w:p w:rsidR="0079170F" w:rsidRPr="0079170F" w:rsidRDefault="0079170F" w:rsidP="0079170F">
      <w:pPr>
        <w:numPr>
          <w:ilvl w:val="1"/>
          <w:numId w:val="92"/>
        </w:numPr>
        <w:suppressAutoHyphens/>
        <w:spacing w:before="62" w:after="119" w:line="259" w:lineRule="auto"/>
        <w:jc w:val="both"/>
        <w:rPr>
          <w:rFonts w:ascii="Calibri" w:hAnsi="Calibri" w:cs="Arial"/>
          <w:color w:val="000000"/>
        </w:rPr>
      </w:pPr>
      <w:r>
        <w:rPr>
          <w:rFonts w:ascii="Calibri" w:hAnsi="Calibri"/>
          <w:color w:val="000000"/>
        </w:rPr>
        <w:t>using at full capacity the non-destructive control equipment;</w:t>
      </w:r>
    </w:p>
    <w:p w:rsidR="0079170F" w:rsidRPr="0079170F" w:rsidRDefault="0079170F" w:rsidP="0079170F">
      <w:pPr>
        <w:numPr>
          <w:ilvl w:val="1"/>
          <w:numId w:val="92"/>
        </w:numPr>
        <w:suppressAutoHyphens/>
        <w:spacing w:before="62" w:after="119" w:line="259" w:lineRule="auto"/>
        <w:jc w:val="both"/>
        <w:rPr>
          <w:rFonts w:ascii="Calibri" w:hAnsi="Calibri" w:cs="Arial"/>
          <w:color w:val="000000"/>
        </w:rPr>
      </w:pPr>
      <w:r>
        <w:rPr>
          <w:rFonts w:ascii="Calibri" w:hAnsi="Calibri"/>
          <w:color w:val="000000"/>
        </w:rPr>
        <w:t>making more efficient the cooperation with other authorities through the enforcement of the law from Romania (IGPR, PGPF, DIICOT, DGAF), including the performance of common control actions on the EU external border or in traffic;</w:t>
      </w:r>
    </w:p>
    <w:p w:rsidR="0079170F" w:rsidRPr="0079170F" w:rsidRDefault="0079170F" w:rsidP="0079170F">
      <w:pPr>
        <w:numPr>
          <w:ilvl w:val="0"/>
          <w:numId w:val="92"/>
        </w:numPr>
        <w:suppressAutoHyphens/>
        <w:spacing w:before="62" w:after="119" w:line="259" w:lineRule="auto"/>
        <w:jc w:val="both"/>
        <w:rPr>
          <w:rFonts w:ascii="Calibri" w:hAnsi="Calibri"/>
          <w:color w:val="000000"/>
        </w:rPr>
      </w:pPr>
      <w:r>
        <w:rPr>
          <w:rFonts w:ascii="Calibri" w:hAnsi="Calibri"/>
          <w:color w:val="000000"/>
        </w:rPr>
        <w:t>Improving the methodological and procedural framework necessary to reduce the under-declaration of taxes, charges, and contributions</w:t>
      </w:r>
    </w:p>
    <w:p w:rsidR="0079170F" w:rsidRPr="0079170F" w:rsidRDefault="0079170F" w:rsidP="0079170F">
      <w:pPr>
        <w:numPr>
          <w:ilvl w:val="1"/>
          <w:numId w:val="92"/>
        </w:numPr>
        <w:suppressAutoHyphens/>
        <w:spacing w:before="62" w:after="119" w:line="259" w:lineRule="auto"/>
        <w:jc w:val="both"/>
        <w:rPr>
          <w:rFonts w:ascii="Calibri" w:hAnsi="Calibri"/>
          <w:color w:val="000000"/>
        </w:rPr>
      </w:pPr>
      <w:r>
        <w:rPr>
          <w:rFonts w:ascii="Calibri" w:hAnsi="Calibri"/>
          <w:color w:val="000000"/>
        </w:rPr>
        <w:t>developing a modular training program for tax inspection;</w:t>
      </w:r>
    </w:p>
    <w:p w:rsidR="0079170F" w:rsidRPr="003964D3" w:rsidRDefault="0079170F" w:rsidP="0079170F">
      <w:pPr>
        <w:numPr>
          <w:ilvl w:val="1"/>
          <w:numId w:val="92"/>
        </w:numPr>
        <w:suppressAutoHyphens/>
        <w:spacing w:before="62" w:after="119" w:line="259" w:lineRule="auto"/>
        <w:jc w:val="both"/>
        <w:rPr>
          <w:rFonts w:ascii="Calibri" w:hAnsi="Calibri"/>
          <w:color w:val="000000"/>
        </w:rPr>
      </w:pPr>
      <w:r>
        <w:rPr>
          <w:rFonts w:ascii="Calibri" w:hAnsi="Calibri"/>
          <w:color w:val="000000"/>
        </w:rPr>
        <w:t>developing, together with the MPF, a system of individual anticipated solutions for complex fiscal fields.</w:t>
      </w:r>
    </w:p>
    <w:p w:rsidR="0079170F" w:rsidRPr="0079170F" w:rsidRDefault="0079170F" w:rsidP="0079170F">
      <w:pPr>
        <w:spacing w:before="100" w:beforeAutospacing="1" w:after="119"/>
        <w:jc w:val="both"/>
        <w:rPr>
          <w:rFonts w:ascii="Calibri" w:hAnsi="Calibri"/>
          <w:color w:val="000000"/>
        </w:rPr>
      </w:pPr>
      <w:r>
        <w:rPr>
          <w:rFonts w:ascii="Calibri" w:hAnsi="Calibri"/>
          <w:b/>
          <w:bCs/>
          <w:color w:val="000000"/>
        </w:rPr>
        <w:t xml:space="preserve">Improvement of the relationship with the taxpayers </w:t>
      </w:r>
    </w:p>
    <w:p w:rsidR="0079170F" w:rsidRPr="0079170F" w:rsidRDefault="0079170F" w:rsidP="0079170F">
      <w:pPr>
        <w:numPr>
          <w:ilvl w:val="0"/>
          <w:numId w:val="93"/>
        </w:numPr>
        <w:suppressAutoHyphens/>
        <w:spacing w:before="62" w:after="119" w:line="259" w:lineRule="auto"/>
        <w:jc w:val="both"/>
        <w:rPr>
          <w:rFonts w:ascii="Calibri" w:hAnsi="Calibri"/>
          <w:color w:val="000000"/>
        </w:rPr>
      </w:pPr>
      <w:r>
        <w:rPr>
          <w:rFonts w:ascii="Calibri" w:hAnsi="Calibri"/>
          <w:color w:val="000000"/>
        </w:rPr>
        <w:t>Increasing the quality of taxpayer services</w:t>
      </w:r>
    </w:p>
    <w:p w:rsidR="0079170F" w:rsidRPr="003964D3" w:rsidRDefault="0079170F" w:rsidP="0079170F">
      <w:pPr>
        <w:numPr>
          <w:ilvl w:val="1"/>
          <w:numId w:val="93"/>
        </w:numPr>
        <w:suppressAutoHyphens/>
        <w:spacing w:before="62" w:after="119" w:line="259" w:lineRule="auto"/>
        <w:jc w:val="both"/>
        <w:rPr>
          <w:rFonts w:ascii="Calibri" w:hAnsi="Calibri"/>
          <w:color w:val="000000"/>
        </w:rPr>
      </w:pPr>
      <w:r>
        <w:rPr>
          <w:rFonts w:ascii="Calibri" w:hAnsi="Calibri"/>
          <w:color w:val="000000"/>
        </w:rPr>
        <w:t>implementing a new concept of taxpayer services;</w:t>
      </w:r>
    </w:p>
    <w:p w:rsidR="0079170F" w:rsidRPr="0079170F" w:rsidRDefault="0079170F" w:rsidP="0079170F">
      <w:pPr>
        <w:numPr>
          <w:ilvl w:val="1"/>
          <w:numId w:val="93"/>
        </w:numPr>
        <w:suppressAutoHyphens/>
        <w:spacing w:before="62" w:after="119" w:line="259" w:lineRule="auto"/>
        <w:jc w:val="both"/>
        <w:rPr>
          <w:rFonts w:ascii="Calibri" w:hAnsi="Calibri"/>
          <w:color w:val="000000"/>
        </w:rPr>
      </w:pPr>
      <w:r>
        <w:rPr>
          <w:rFonts w:ascii="Calibri" w:hAnsi="Calibri"/>
          <w:color w:val="000000"/>
        </w:rPr>
        <w:t>development in stages of the call center;</w:t>
      </w:r>
    </w:p>
    <w:p w:rsidR="0079170F" w:rsidRPr="003964D3" w:rsidRDefault="0079170F" w:rsidP="0079170F">
      <w:pPr>
        <w:numPr>
          <w:ilvl w:val="1"/>
          <w:numId w:val="93"/>
        </w:numPr>
        <w:suppressAutoHyphens/>
        <w:spacing w:before="62" w:after="119" w:line="259" w:lineRule="auto"/>
        <w:jc w:val="both"/>
        <w:rPr>
          <w:rFonts w:ascii="Calibri" w:hAnsi="Calibri"/>
          <w:color w:val="000000"/>
        </w:rPr>
      </w:pPr>
      <w:r>
        <w:rPr>
          <w:rFonts w:ascii="Calibri" w:hAnsi="Calibri"/>
          <w:color w:val="000000"/>
        </w:rPr>
        <w:t>implementing the system of line management and of single counter;</w:t>
      </w:r>
    </w:p>
    <w:p w:rsidR="0079170F" w:rsidRPr="0079170F" w:rsidRDefault="0079170F" w:rsidP="0079170F">
      <w:pPr>
        <w:numPr>
          <w:ilvl w:val="1"/>
          <w:numId w:val="93"/>
        </w:numPr>
        <w:suppressAutoHyphens/>
        <w:spacing w:before="62" w:after="119" w:line="259" w:lineRule="auto"/>
        <w:jc w:val="both"/>
        <w:rPr>
          <w:rFonts w:ascii="Calibri" w:hAnsi="Calibri"/>
          <w:color w:val="000000"/>
        </w:rPr>
      </w:pPr>
      <w:r>
        <w:rPr>
          <w:rFonts w:ascii="Calibri" w:hAnsi="Calibri"/>
          <w:color w:val="000000"/>
        </w:rPr>
        <w:t>development of common initiatives with the government and social partners for the introduction of quality standards in public administration;</w:t>
      </w:r>
    </w:p>
    <w:p w:rsidR="0079170F" w:rsidRPr="0079170F" w:rsidRDefault="0079170F" w:rsidP="0079170F">
      <w:pPr>
        <w:numPr>
          <w:ilvl w:val="1"/>
          <w:numId w:val="93"/>
        </w:numPr>
        <w:suppressAutoHyphens/>
        <w:spacing w:before="62" w:after="119" w:line="259" w:lineRule="auto"/>
        <w:jc w:val="both"/>
        <w:rPr>
          <w:rFonts w:ascii="Calibri" w:hAnsi="Calibri"/>
          <w:color w:val="000000"/>
        </w:rPr>
      </w:pPr>
      <w:r>
        <w:rPr>
          <w:rFonts w:ascii="Calibri" w:hAnsi="Calibri"/>
          <w:color w:val="000000"/>
        </w:rPr>
        <w:t>improving the activity of settlement within the legal term of negative VAT returns with reimbursement options;</w:t>
      </w:r>
    </w:p>
    <w:p w:rsidR="0079170F" w:rsidRPr="0079170F" w:rsidRDefault="0079170F" w:rsidP="0079170F">
      <w:pPr>
        <w:numPr>
          <w:ilvl w:val="1"/>
          <w:numId w:val="93"/>
        </w:numPr>
        <w:suppressAutoHyphens/>
        <w:spacing w:before="62" w:after="119" w:line="259" w:lineRule="auto"/>
        <w:jc w:val="both"/>
        <w:rPr>
          <w:rFonts w:ascii="Calibri" w:hAnsi="Calibri"/>
          <w:color w:val="000000"/>
        </w:rPr>
      </w:pPr>
      <w:r>
        <w:rPr>
          <w:rFonts w:ascii="Calibri" w:hAnsi="Calibri"/>
          <w:color w:val="000000"/>
        </w:rPr>
        <w:t>elaborating a new procedure for the settlement of negative VAT returns with reimbursement option (DNOR), which would ensure the significant reduction of DNOR which are settled through anticipated control.</w:t>
      </w:r>
    </w:p>
    <w:p w:rsidR="0079170F" w:rsidRPr="0079170F" w:rsidRDefault="0079170F" w:rsidP="0079170F">
      <w:pPr>
        <w:numPr>
          <w:ilvl w:val="0"/>
          <w:numId w:val="93"/>
        </w:numPr>
        <w:suppressAutoHyphens/>
        <w:spacing w:before="62" w:after="119" w:line="259" w:lineRule="auto"/>
        <w:jc w:val="both"/>
        <w:rPr>
          <w:rFonts w:ascii="Calibri" w:hAnsi="Calibri"/>
          <w:color w:val="000000"/>
        </w:rPr>
      </w:pPr>
      <w:r>
        <w:rPr>
          <w:rFonts w:ascii="Calibri" w:hAnsi="Calibri"/>
          <w:color w:val="000000"/>
        </w:rPr>
        <w:t>Increasing the institution’s transparency and its prevention role</w:t>
      </w:r>
    </w:p>
    <w:p w:rsidR="0079170F" w:rsidRPr="0079170F" w:rsidRDefault="0079170F" w:rsidP="0079170F">
      <w:pPr>
        <w:numPr>
          <w:ilvl w:val="1"/>
          <w:numId w:val="93"/>
        </w:numPr>
        <w:suppressAutoHyphens/>
        <w:spacing w:before="62" w:after="119" w:line="259" w:lineRule="auto"/>
        <w:jc w:val="both"/>
        <w:rPr>
          <w:rFonts w:ascii="Calibri" w:hAnsi="Calibri"/>
          <w:color w:val="000000"/>
        </w:rPr>
      </w:pPr>
      <w:r>
        <w:rPr>
          <w:rFonts w:ascii="Calibri" w:hAnsi="Calibri"/>
          <w:color w:val="000000"/>
        </w:rPr>
        <w:t>making campaigns of dialogue, guidance, and notification of taxpayers with regard to the obligation of declaration and payment of fiscal liabilities;</w:t>
      </w:r>
    </w:p>
    <w:p w:rsidR="0079170F" w:rsidRPr="0079170F" w:rsidRDefault="0079170F" w:rsidP="0079170F">
      <w:pPr>
        <w:numPr>
          <w:ilvl w:val="1"/>
          <w:numId w:val="93"/>
        </w:numPr>
        <w:suppressAutoHyphens/>
        <w:spacing w:before="62" w:after="119" w:line="259" w:lineRule="auto"/>
        <w:jc w:val="both"/>
        <w:rPr>
          <w:rFonts w:ascii="Calibri" w:hAnsi="Calibri"/>
          <w:color w:val="000000"/>
        </w:rPr>
      </w:pPr>
      <w:r>
        <w:rPr>
          <w:rFonts w:ascii="Calibri" w:hAnsi="Calibri"/>
          <w:color w:val="000000"/>
        </w:rPr>
        <w:t>publishing communications about the legislative novelties in the fiscal field.</w:t>
      </w:r>
    </w:p>
    <w:p w:rsidR="0079170F" w:rsidRPr="0079170F" w:rsidRDefault="0079170F" w:rsidP="0079170F">
      <w:pPr>
        <w:numPr>
          <w:ilvl w:val="0"/>
          <w:numId w:val="93"/>
        </w:numPr>
        <w:suppressAutoHyphens/>
        <w:spacing w:before="62" w:after="119" w:line="259" w:lineRule="auto"/>
        <w:jc w:val="both"/>
        <w:rPr>
          <w:rFonts w:ascii="Calibri" w:hAnsi="Calibri"/>
          <w:color w:val="000000"/>
        </w:rPr>
      </w:pPr>
      <w:r>
        <w:rPr>
          <w:rFonts w:ascii="Calibri" w:hAnsi="Calibri"/>
          <w:color w:val="000000"/>
        </w:rPr>
        <w:t>Reducing taxpayer compliance costs</w:t>
      </w:r>
    </w:p>
    <w:p w:rsidR="0079170F" w:rsidRPr="0079170F" w:rsidRDefault="0079170F" w:rsidP="0079170F">
      <w:pPr>
        <w:numPr>
          <w:ilvl w:val="1"/>
          <w:numId w:val="93"/>
        </w:numPr>
        <w:suppressAutoHyphens/>
        <w:spacing w:before="62" w:after="119" w:line="259" w:lineRule="auto"/>
        <w:jc w:val="both"/>
        <w:rPr>
          <w:rFonts w:ascii="Calibri" w:hAnsi="Calibri"/>
          <w:color w:val="000000"/>
        </w:rPr>
      </w:pPr>
      <w:r>
        <w:rPr>
          <w:rFonts w:ascii="Calibri" w:hAnsi="Calibri"/>
          <w:color w:val="000000"/>
        </w:rPr>
        <w:t>reducing compliance costs by reducing the complexity of the administrative framework and encouraging electronic declaration;</w:t>
      </w:r>
    </w:p>
    <w:p w:rsidR="0079170F" w:rsidRPr="0079170F" w:rsidRDefault="0079170F" w:rsidP="0079170F">
      <w:pPr>
        <w:numPr>
          <w:ilvl w:val="1"/>
          <w:numId w:val="93"/>
        </w:numPr>
        <w:suppressAutoHyphens/>
        <w:spacing w:before="62" w:after="119" w:line="259" w:lineRule="auto"/>
        <w:jc w:val="both"/>
        <w:rPr>
          <w:rFonts w:ascii="Calibri" w:hAnsi="Calibri"/>
          <w:color w:val="000000"/>
        </w:rPr>
      </w:pPr>
      <w:r>
        <w:rPr>
          <w:rFonts w:ascii="Calibri" w:hAnsi="Calibri"/>
          <w:color w:val="000000"/>
        </w:rPr>
        <w:t>developing the functionalities of the Virtual Private Space and promoting the service.</w:t>
      </w:r>
    </w:p>
    <w:p w:rsidR="0079170F" w:rsidRPr="0079170F" w:rsidRDefault="0079170F" w:rsidP="0079170F">
      <w:pPr>
        <w:spacing w:before="100" w:beforeAutospacing="1" w:after="119"/>
        <w:jc w:val="both"/>
        <w:rPr>
          <w:rFonts w:ascii="Calibri" w:hAnsi="Calibri"/>
          <w:color w:val="000000"/>
        </w:rPr>
      </w:pPr>
      <w:r>
        <w:rPr>
          <w:rFonts w:ascii="Calibri" w:hAnsi="Calibri"/>
          <w:b/>
          <w:bCs/>
          <w:color w:val="000000"/>
        </w:rPr>
        <w:t>Increasing collection efficiency</w:t>
      </w:r>
    </w:p>
    <w:p w:rsidR="0079170F" w:rsidRPr="0079170F" w:rsidRDefault="0079170F" w:rsidP="0079170F">
      <w:pPr>
        <w:numPr>
          <w:ilvl w:val="0"/>
          <w:numId w:val="94"/>
        </w:numPr>
        <w:suppressAutoHyphens/>
        <w:spacing w:before="62" w:after="119" w:line="259" w:lineRule="auto"/>
        <w:jc w:val="both"/>
        <w:rPr>
          <w:rFonts w:ascii="Calibri" w:hAnsi="Calibri"/>
          <w:color w:val="000000"/>
        </w:rPr>
      </w:pPr>
      <w:r>
        <w:rPr>
          <w:rFonts w:ascii="Calibri" w:hAnsi="Calibri"/>
          <w:color w:val="000000"/>
        </w:rPr>
        <w:t>Maximizing the involvement of ANAF in the establishment of the legal framework for making the administration activity more efficient</w:t>
      </w:r>
    </w:p>
    <w:p w:rsidR="0079170F" w:rsidRPr="003964D3" w:rsidRDefault="0079170F" w:rsidP="0079170F">
      <w:pPr>
        <w:numPr>
          <w:ilvl w:val="1"/>
          <w:numId w:val="94"/>
        </w:numPr>
        <w:suppressAutoHyphens/>
        <w:spacing w:before="62" w:after="119" w:line="259" w:lineRule="auto"/>
        <w:jc w:val="both"/>
        <w:rPr>
          <w:rFonts w:ascii="Calibri" w:hAnsi="Calibri"/>
          <w:color w:val="000000"/>
        </w:rPr>
      </w:pPr>
      <w:r>
        <w:rPr>
          <w:rFonts w:ascii="Calibri" w:hAnsi="Calibri"/>
          <w:color w:val="000000"/>
        </w:rPr>
        <w:t>implementing an external communication plan.</w:t>
      </w:r>
    </w:p>
    <w:p w:rsidR="0079170F" w:rsidRPr="0079170F" w:rsidRDefault="0079170F" w:rsidP="0079170F">
      <w:pPr>
        <w:numPr>
          <w:ilvl w:val="0"/>
          <w:numId w:val="94"/>
        </w:numPr>
        <w:suppressAutoHyphens/>
        <w:spacing w:before="62" w:after="119" w:line="259" w:lineRule="auto"/>
        <w:jc w:val="both"/>
        <w:rPr>
          <w:rFonts w:ascii="Calibri" w:hAnsi="Calibri"/>
          <w:color w:val="000000"/>
        </w:rPr>
      </w:pPr>
      <w:r>
        <w:rPr>
          <w:rFonts w:ascii="Calibri" w:hAnsi="Calibri"/>
          <w:color w:val="000000"/>
        </w:rPr>
        <w:t>Improving the modality of forecasting and reporting of fiscal revenues.</w:t>
      </w:r>
    </w:p>
    <w:p w:rsidR="0079170F" w:rsidRPr="0079170F" w:rsidRDefault="0079170F" w:rsidP="0079170F">
      <w:pPr>
        <w:numPr>
          <w:ilvl w:val="1"/>
          <w:numId w:val="94"/>
        </w:numPr>
        <w:suppressAutoHyphens/>
        <w:spacing w:before="62" w:after="119" w:line="259" w:lineRule="auto"/>
        <w:jc w:val="both"/>
        <w:rPr>
          <w:rFonts w:ascii="Calibri" w:hAnsi="Calibri"/>
          <w:color w:val="000000"/>
        </w:rPr>
      </w:pPr>
      <w:r>
        <w:rPr>
          <w:rFonts w:ascii="Calibri" w:hAnsi="Calibri"/>
          <w:color w:val="000000"/>
        </w:rPr>
        <w:t>developing the forecast methodologies for estimation of fiscal revenues;</w:t>
      </w:r>
    </w:p>
    <w:p w:rsidR="0079170F" w:rsidRPr="003964D3" w:rsidRDefault="0079170F" w:rsidP="0079170F">
      <w:pPr>
        <w:numPr>
          <w:ilvl w:val="1"/>
          <w:numId w:val="94"/>
        </w:numPr>
        <w:suppressAutoHyphens/>
        <w:spacing w:before="62" w:after="119" w:line="259" w:lineRule="auto"/>
        <w:jc w:val="both"/>
        <w:rPr>
          <w:rFonts w:ascii="Calibri" w:hAnsi="Calibri"/>
          <w:color w:val="000000"/>
        </w:rPr>
      </w:pPr>
      <w:r>
        <w:rPr>
          <w:rFonts w:ascii="Calibri" w:hAnsi="Calibri"/>
          <w:color w:val="000000"/>
        </w:rPr>
        <w:t>developing the system of monitoring and reporting of monthly progress.</w:t>
      </w:r>
    </w:p>
    <w:p w:rsidR="0079170F" w:rsidRPr="0079170F" w:rsidRDefault="0079170F" w:rsidP="0079170F">
      <w:pPr>
        <w:spacing w:before="100" w:beforeAutospacing="1" w:after="119"/>
        <w:jc w:val="both"/>
        <w:rPr>
          <w:rFonts w:ascii="Calibri" w:hAnsi="Calibri"/>
          <w:color w:val="000000"/>
        </w:rPr>
      </w:pPr>
      <w:r>
        <w:rPr>
          <w:rFonts w:ascii="Calibri" w:hAnsi="Calibri"/>
          <w:b/>
          <w:bCs/>
          <w:color w:val="000000"/>
        </w:rPr>
        <w:t xml:space="preserve">Agency modernization </w:t>
      </w:r>
    </w:p>
    <w:p w:rsidR="0079170F" w:rsidRPr="0079170F" w:rsidRDefault="0079170F" w:rsidP="0079170F">
      <w:pPr>
        <w:numPr>
          <w:ilvl w:val="0"/>
          <w:numId w:val="95"/>
        </w:numPr>
        <w:suppressAutoHyphens/>
        <w:spacing w:before="62" w:after="119" w:line="259" w:lineRule="auto"/>
        <w:jc w:val="both"/>
        <w:rPr>
          <w:rFonts w:ascii="Calibri" w:hAnsi="Calibri"/>
          <w:color w:val="000000"/>
        </w:rPr>
      </w:pPr>
      <w:r>
        <w:rPr>
          <w:rFonts w:ascii="Calibri" w:hAnsi="Calibri"/>
          <w:color w:val="000000"/>
        </w:rPr>
        <w:t>Improving the agency’s governance and strengthening international cooperation</w:t>
      </w:r>
    </w:p>
    <w:p w:rsidR="0079170F" w:rsidRPr="0079170F" w:rsidRDefault="0079170F" w:rsidP="0079170F">
      <w:pPr>
        <w:numPr>
          <w:ilvl w:val="1"/>
          <w:numId w:val="95"/>
        </w:numPr>
        <w:suppressAutoHyphens/>
        <w:spacing w:before="62" w:after="119" w:line="259" w:lineRule="auto"/>
        <w:jc w:val="both"/>
        <w:rPr>
          <w:rFonts w:ascii="Calibri" w:hAnsi="Calibri"/>
          <w:color w:val="000000"/>
        </w:rPr>
      </w:pPr>
      <w:r>
        <w:rPr>
          <w:rFonts w:ascii="Calibri" w:hAnsi="Calibri"/>
          <w:color w:val="000000"/>
        </w:rPr>
        <w:t>promoting actions for starting projects and actions which will lead to the fulfillment of strategic objectives;</w:t>
      </w:r>
    </w:p>
    <w:p w:rsidR="0079170F" w:rsidRPr="0079170F" w:rsidRDefault="0079170F" w:rsidP="0079170F">
      <w:pPr>
        <w:numPr>
          <w:ilvl w:val="1"/>
          <w:numId w:val="95"/>
        </w:numPr>
        <w:suppressAutoHyphens/>
        <w:spacing w:before="62" w:after="119" w:line="259" w:lineRule="auto"/>
        <w:jc w:val="both"/>
        <w:rPr>
          <w:rFonts w:ascii="Calibri" w:hAnsi="Calibri"/>
          <w:color w:val="000000"/>
        </w:rPr>
      </w:pPr>
      <w:r>
        <w:rPr>
          <w:rFonts w:ascii="Calibri" w:hAnsi="Calibri"/>
          <w:color w:val="000000"/>
        </w:rPr>
        <w:t xml:space="preserve">reducing collection costs; </w:t>
      </w:r>
    </w:p>
    <w:p w:rsidR="0079170F" w:rsidRPr="0079170F" w:rsidRDefault="0079170F" w:rsidP="0079170F">
      <w:pPr>
        <w:numPr>
          <w:ilvl w:val="1"/>
          <w:numId w:val="95"/>
        </w:numPr>
        <w:suppressAutoHyphens/>
        <w:spacing w:before="62" w:after="119" w:line="259" w:lineRule="auto"/>
        <w:jc w:val="both"/>
        <w:rPr>
          <w:rFonts w:ascii="Calibri" w:hAnsi="Calibri"/>
          <w:color w:val="000000"/>
        </w:rPr>
      </w:pPr>
      <w:r>
        <w:rPr>
          <w:rFonts w:ascii="Calibri" w:hAnsi="Calibri"/>
          <w:color w:val="000000"/>
        </w:rPr>
        <w:t>promoting the actions necessary to strengthen international cooperation and exchange of information with other countries/structures;</w:t>
      </w:r>
    </w:p>
    <w:p w:rsidR="0079170F" w:rsidRPr="0079170F" w:rsidRDefault="0079170F" w:rsidP="0079170F">
      <w:pPr>
        <w:numPr>
          <w:ilvl w:val="1"/>
          <w:numId w:val="95"/>
        </w:numPr>
        <w:suppressAutoHyphens/>
        <w:spacing w:before="62" w:after="119" w:line="259" w:lineRule="auto"/>
        <w:jc w:val="both"/>
        <w:rPr>
          <w:rFonts w:ascii="Calibri" w:hAnsi="Calibri"/>
          <w:color w:val="000000"/>
        </w:rPr>
      </w:pPr>
      <w:r>
        <w:rPr>
          <w:rFonts w:ascii="Calibri" w:hAnsi="Calibri"/>
          <w:color w:val="000000"/>
        </w:rPr>
        <w:t>strengthening the actions necessary to increase the integrity of the ANAF’s personnel.</w:t>
      </w:r>
    </w:p>
    <w:p w:rsidR="0079170F" w:rsidRPr="003964D3" w:rsidRDefault="0079170F" w:rsidP="0079170F">
      <w:pPr>
        <w:numPr>
          <w:ilvl w:val="0"/>
          <w:numId w:val="95"/>
        </w:numPr>
        <w:suppressAutoHyphens/>
        <w:spacing w:before="62" w:after="119" w:line="259" w:lineRule="auto"/>
        <w:jc w:val="both"/>
        <w:rPr>
          <w:rFonts w:ascii="Calibri" w:hAnsi="Calibri"/>
          <w:color w:val="000000"/>
        </w:rPr>
      </w:pPr>
      <w:r>
        <w:rPr>
          <w:rFonts w:ascii="Calibri" w:hAnsi="Calibri"/>
          <w:color w:val="000000"/>
        </w:rPr>
        <w:t>Improving human resources management in the agency</w:t>
      </w:r>
    </w:p>
    <w:p w:rsidR="0079170F" w:rsidRPr="0079170F" w:rsidRDefault="0079170F" w:rsidP="0079170F">
      <w:pPr>
        <w:numPr>
          <w:ilvl w:val="1"/>
          <w:numId w:val="95"/>
        </w:numPr>
        <w:suppressAutoHyphens/>
        <w:spacing w:before="62" w:after="119" w:line="259" w:lineRule="auto"/>
        <w:jc w:val="both"/>
        <w:rPr>
          <w:rFonts w:ascii="Calibri" w:hAnsi="Calibri"/>
          <w:color w:val="000000"/>
        </w:rPr>
      </w:pPr>
      <w:r>
        <w:rPr>
          <w:rFonts w:ascii="Calibri" w:hAnsi="Calibri"/>
          <w:color w:val="000000"/>
        </w:rPr>
        <w:t>maintenance of an efficient system of planning for the labor force necessary to ensure optimal allocation of employees;</w:t>
      </w:r>
    </w:p>
    <w:p w:rsidR="0079170F" w:rsidRPr="0079170F" w:rsidRDefault="0079170F" w:rsidP="0079170F">
      <w:pPr>
        <w:numPr>
          <w:ilvl w:val="1"/>
          <w:numId w:val="95"/>
        </w:numPr>
        <w:suppressAutoHyphens/>
        <w:spacing w:before="62" w:after="119" w:line="259" w:lineRule="auto"/>
        <w:jc w:val="both"/>
        <w:rPr>
          <w:rFonts w:ascii="Calibri" w:hAnsi="Calibri"/>
          <w:color w:val="000000"/>
        </w:rPr>
      </w:pPr>
      <w:r>
        <w:rPr>
          <w:rFonts w:ascii="Calibri" w:hAnsi="Calibri"/>
          <w:color w:val="000000"/>
        </w:rPr>
        <w:t>consolidating training and development policies and practices to help the employees develop their knowledge, skills and competences;</w:t>
      </w:r>
    </w:p>
    <w:p w:rsidR="0079170F" w:rsidRPr="0079170F" w:rsidRDefault="0079170F" w:rsidP="0079170F">
      <w:pPr>
        <w:numPr>
          <w:ilvl w:val="1"/>
          <w:numId w:val="95"/>
        </w:numPr>
        <w:suppressAutoHyphens/>
        <w:spacing w:before="62" w:after="119" w:line="259" w:lineRule="auto"/>
        <w:jc w:val="both"/>
        <w:rPr>
          <w:rFonts w:ascii="Calibri" w:hAnsi="Calibri"/>
          <w:color w:val="000000"/>
        </w:rPr>
      </w:pPr>
      <w:r>
        <w:rPr>
          <w:rFonts w:ascii="Calibri" w:hAnsi="Calibri"/>
          <w:color w:val="000000"/>
        </w:rPr>
        <w:t>elaboration and implementation of leadership training programs</w:t>
      </w:r>
    </w:p>
    <w:p w:rsidR="0079170F" w:rsidRPr="0079170F" w:rsidRDefault="0079170F" w:rsidP="0079170F">
      <w:pPr>
        <w:numPr>
          <w:ilvl w:val="1"/>
          <w:numId w:val="95"/>
        </w:numPr>
        <w:suppressAutoHyphens/>
        <w:spacing w:before="62" w:after="119" w:line="259" w:lineRule="auto"/>
        <w:jc w:val="both"/>
        <w:rPr>
          <w:rFonts w:ascii="Calibri" w:hAnsi="Calibri" w:cs="Arial"/>
          <w:color w:val="000000"/>
        </w:rPr>
      </w:pPr>
      <w:r>
        <w:rPr>
          <w:rFonts w:ascii="Calibri" w:hAnsi="Calibri"/>
          <w:color w:val="000000"/>
        </w:rPr>
        <w:t>collaboration with the MPF and giving specialty support for the development/implementation of the Integrated Customs Information System from Romania of all IT systems provided in the Union’s New Customs Code, on the terms established through Commission Decision no. 578/2016 establishing the work programme regarding the development and installation of electronic systems provided in the Union’s Customs Code, in accordance with the obligations undertaken as Member State;</w:t>
      </w:r>
    </w:p>
    <w:p w:rsidR="0079170F" w:rsidRPr="0079170F" w:rsidRDefault="0079170F" w:rsidP="0079170F">
      <w:pPr>
        <w:numPr>
          <w:ilvl w:val="1"/>
          <w:numId w:val="95"/>
        </w:numPr>
        <w:suppressAutoHyphens/>
        <w:spacing w:before="62" w:after="119" w:line="259" w:lineRule="auto"/>
        <w:jc w:val="both"/>
        <w:rPr>
          <w:rFonts w:ascii="Calibri" w:hAnsi="Calibri"/>
          <w:color w:val="000000"/>
        </w:rPr>
      </w:pPr>
      <w:r>
        <w:rPr>
          <w:rFonts w:ascii="Calibri" w:hAnsi="Calibri"/>
          <w:color w:val="000000"/>
        </w:rPr>
        <w:t>ensuring maintenance activities (repair, start-up and obtaining the usage authorization) for the Nuclear Unit of ANAF-DGV;</w:t>
      </w:r>
    </w:p>
    <w:p w:rsidR="0079170F" w:rsidRPr="0079170F" w:rsidRDefault="0079170F" w:rsidP="0079170F">
      <w:pPr>
        <w:numPr>
          <w:ilvl w:val="1"/>
          <w:numId w:val="95"/>
        </w:numPr>
        <w:suppressAutoHyphens/>
        <w:spacing w:before="62" w:after="119" w:line="259" w:lineRule="auto"/>
        <w:jc w:val="both"/>
        <w:rPr>
          <w:rFonts w:ascii="Calibri" w:hAnsi="Calibri"/>
          <w:color w:val="000000"/>
        </w:rPr>
      </w:pPr>
      <w:r>
        <w:rPr>
          <w:rFonts w:ascii="Calibri" w:hAnsi="Calibri"/>
          <w:color w:val="000000"/>
        </w:rPr>
        <w:t>ensuring the maintenance activity for the IT component of SIVSF (soft</w:t>
      </w:r>
      <w:r w:rsidR="00F00F75">
        <w:rPr>
          <w:rFonts w:ascii="Calibri" w:hAnsi="Calibri"/>
          <w:color w:val="000000"/>
        </w:rPr>
        <w:t xml:space="preserve">ware </w:t>
      </w:r>
      <w:r>
        <w:rPr>
          <w:rFonts w:ascii="Calibri" w:hAnsi="Calibri"/>
          <w:color w:val="000000"/>
        </w:rPr>
        <w:t>&amp;</w:t>
      </w:r>
      <w:r w:rsidR="00F00F75">
        <w:rPr>
          <w:rFonts w:ascii="Calibri" w:hAnsi="Calibri"/>
          <w:color w:val="000000"/>
        </w:rPr>
        <w:t xml:space="preserve"> </w:t>
      </w:r>
      <w:r>
        <w:rPr>
          <w:rFonts w:ascii="Calibri" w:hAnsi="Calibri"/>
          <w:color w:val="000000"/>
        </w:rPr>
        <w:t>hard</w:t>
      </w:r>
      <w:r w:rsidR="00F00F75">
        <w:rPr>
          <w:rFonts w:ascii="Calibri" w:hAnsi="Calibri"/>
          <w:color w:val="000000"/>
        </w:rPr>
        <w:t>ware</w:t>
      </w:r>
      <w:r>
        <w:rPr>
          <w:rFonts w:ascii="Calibri" w:hAnsi="Calibri"/>
          <w:color w:val="000000"/>
        </w:rPr>
        <w:t xml:space="preserve"> for monitoring systems, surveillance, dedicated applications, databases, etc.);</w:t>
      </w:r>
    </w:p>
    <w:p w:rsidR="0079170F" w:rsidRPr="003964D3" w:rsidRDefault="0079170F" w:rsidP="0079170F">
      <w:pPr>
        <w:numPr>
          <w:ilvl w:val="1"/>
          <w:numId w:val="95"/>
        </w:numPr>
        <w:suppressAutoHyphens/>
        <w:spacing w:before="62" w:after="119" w:line="259" w:lineRule="auto"/>
        <w:jc w:val="both"/>
        <w:rPr>
          <w:rFonts w:ascii="Calibri" w:hAnsi="Calibri"/>
          <w:color w:val="000000"/>
        </w:rPr>
      </w:pPr>
      <w:r>
        <w:rPr>
          <w:rFonts w:ascii="Calibri" w:hAnsi="Calibri"/>
          <w:color w:val="000000"/>
        </w:rPr>
        <w:t>protecting the national and Community customs territory through activities of customs supervision and control in the field of fighting illegal trafficking;</w:t>
      </w:r>
    </w:p>
    <w:p w:rsidR="0079170F" w:rsidRPr="0079170F" w:rsidRDefault="0079170F" w:rsidP="0079170F">
      <w:pPr>
        <w:numPr>
          <w:ilvl w:val="0"/>
          <w:numId w:val="95"/>
        </w:numPr>
        <w:suppressAutoHyphens/>
        <w:spacing w:before="62" w:after="119" w:line="259" w:lineRule="auto"/>
        <w:jc w:val="both"/>
        <w:rPr>
          <w:rFonts w:ascii="Calibri" w:hAnsi="Calibri" w:cs="Arial"/>
          <w:color w:val="000000"/>
        </w:rPr>
      </w:pPr>
      <w:r>
        <w:rPr>
          <w:rFonts w:ascii="Calibri" w:hAnsi="Calibri"/>
          <w:color w:val="000000"/>
        </w:rPr>
        <w:t>Modernization of customs offices</w:t>
      </w:r>
    </w:p>
    <w:p w:rsidR="0079170F" w:rsidRPr="0079170F" w:rsidRDefault="0079170F" w:rsidP="0079170F">
      <w:pPr>
        <w:numPr>
          <w:ilvl w:val="1"/>
          <w:numId w:val="95"/>
        </w:numPr>
        <w:suppressAutoHyphens/>
        <w:spacing w:before="62" w:after="119" w:line="259" w:lineRule="auto"/>
        <w:jc w:val="both"/>
        <w:rPr>
          <w:rFonts w:ascii="Calibri" w:hAnsi="Calibri" w:cs="Arial"/>
          <w:color w:val="000000"/>
        </w:rPr>
      </w:pPr>
      <w:r>
        <w:rPr>
          <w:rFonts w:ascii="Calibri" w:hAnsi="Calibri"/>
          <w:color w:val="000000"/>
        </w:rPr>
        <w:t>Modernization of the infrastructure of border customs offices with road specificity;</w:t>
      </w:r>
    </w:p>
    <w:p w:rsidR="0079170F" w:rsidRPr="0079170F" w:rsidRDefault="0079170F" w:rsidP="0079170F">
      <w:pPr>
        <w:numPr>
          <w:ilvl w:val="1"/>
          <w:numId w:val="95"/>
        </w:numPr>
        <w:suppressAutoHyphens/>
        <w:spacing w:before="62" w:after="119" w:line="259" w:lineRule="auto"/>
        <w:jc w:val="both"/>
        <w:rPr>
          <w:rFonts w:ascii="Calibri" w:hAnsi="Calibri" w:cs="Arial"/>
          <w:color w:val="000000"/>
        </w:rPr>
      </w:pPr>
      <w:r>
        <w:rPr>
          <w:rFonts w:ascii="Calibri" w:hAnsi="Calibri"/>
          <w:color w:val="000000"/>
        </w:rPr>
        <w:t>equipping with modern customs control equipment through allocation of budgetary funds necessary and the procurement of: X-ray scanners and portable scanners for the mobile teams, traffic supervision video cameras, tablets for customs controls at traveler flows;</w:t>
      </w:r>
    </w:p>
    <w:p w:rsidR="0079170F" w:rsidRPr="0079170F" w:rsidRDefault="0079170F" w:rsidP="0079170F">
      <w:pPr>
        <w:numPr>
          <w:ilvl w:val="1"/>
          <w:numId w:val="95"/>
        </w:numPr>
        <w:suppressAutoHyphens/>
        <w:spacing w:before="62" w:after="119" w:line="259" w:lineRule="auto"/>
        <w:jc w:val="both"/>
        <w:rPr>
          <w:rFonts w:ascii="Calibri" w:hAnsi="Calibri" w:cs="Arial"/>
          <w:color w:val="000000"/>
        </w:rPr>
      </w:pPr>
      <w:r>
        <w:rPr>
          <w:rFonts w:ascii="Calibri" w:hAnsi="Calibri"/>
          <w:color w:val="000000"/>
        </w:rPr>
        <w:t>equipping with uniforms and replacement of IT equipment;</w:t>
      </w:r>
    </w:p>
    <w:p w:rsidR="0079170F" w:rsidRPr="0079170F" w:rsidRDefault="0079170F" w:rsidP="0079170F">
      <w:pPr>
        <w:numPr>
          <w:ilvl w:val="1"/>
          <w:numId w:val="95"/>
        </w:numPr>
        <w:suppressAutoHyphens/>
        <w:spacing w:before="62" w:after="119" w:line="259" w:lineRule="auto"/>
        <w:jc w:val="both"/>
        <w:rPr>
          <w:rFonts w:ascii="Calibri" w:hAnsi="Calibri" w:cs="Arial"/>
          <w:color w:val="000000"/>
        </w:rPr>
      </w:pPr>
      <w:r>
        <w:rPr>
          <w:rFonts w:ascii="Calibri" w:hAnsi="Calibri"/>
          <w:color w:val="000000"/>
        </w:rPr>
        <w:t>development of the IT systems in collaboration with the MPF, in accordance with the Strategy of the European Union of implementation of the Union’s Customs Code.</w:t>
      </w:r>
    </w:p>
    <w:p w:rsidR="00CB19C5" w:rsidRDefault="00CB19C5" w:rsidP="007F5C19">
      <w:pPr>
        <w:suppressAutoHyphens/>
        <w:spacing w:before="62" w:after="119" w:line="259" w:lineRule="auto"/>
        <w:jc w:val="both"/>
        <w:rPr>
          <w:rFonts w:ascii="Calibri" w:hAnsi="Calibri" w:cs="Arial"/>
          <w:color w:val="000000"/>
        </w:rPr>
      </w:pPr>
    </w:p>
    <w:p w:rsidR="003A2538" w:rsidRPr="00C86702" w:rsidRDefault="00CB19C5" w:rsidP="00533D05">
      <w:pPr>
        <w:widowControl w:val="0"/>
        <w:shd w:val="clear" w:color="auto" w:fill="9CC2E5" w:themeFill="accent1" w:themeFillTint="99"/>
        <w:spacing w:line="320" w:lineRule="exact"/>
        <w:rPr>
          <w:rFonts w:ascii="Calibri" w:hAnsi="Calibri"/>
          <w:b/>
          <w:color w:val="000080"/>
        </w:rPr>
      </w:pPr>
      <w:r>
        <w:rPr>
          <w:rFonts w:ascii="Calibri" w:hAnsi="Calibri"/>
          <w:b/>
          <w:color w:val="000080"/>
        </w:rPr>
        <w:t xml:space="preserve">4.5 General consolidated budget </w:t>
      </w:r>
    </w:p>
    <w:p w:rsidR="005063CB" w:rsidRDefault="005063CB" w:rsidP="007641E4">
      <w:pPr>
        <w:widowControl w:val="0"/>
        <w:spacing w:before="51"/>
        <w:ind w:right="139"/>
        <w:jc w:val="both"/>
        <w:rPr>
          <w:rFonts w:ascii="Calibri" w:hAnsi="Calibri"/>
        </w:rPr>
      </w:pPr>
    </w:p>
    <w:p w:rsidR="00D810B0" w:rsidRPr="00715536" w:rsidRDefault="00D810B0" w:rsidP="007641E4">
      <w:pPr>
        <w:widowControl w:val="0"/>
        <w:spacing w:before="51"/>
        <w:ind w:right="139"/>
        <w:jc w:val="both"/>
        <w:rPr>
          <w:rFonts w:ascii="Calibri" w:eastAsia="Calibri" w:hAnsi="Calibri"/>
        </w:rPr>
      </w:pPr>
      <w:r>
        <w:rPr>
          <w:rFonts w:ascii="Calibri" w:hAnsi="Calibri"/>
        </w:rPr>
        <w:t>After which in 2016-2018 the ESA budget deficit has sustained economic growth, within the maximum margin admitted by the Treaty on the Functioning of the European Union (TFEU), respectively a marginal ESA deficit below 3% of GDP, 2019 marks the entrance on a trajectory of gradual adjustment thereof.</w:t>
      </w:r>
    </w:p>
    <w:p w:rsidR="00D810B0" w:rsidRPr="00715536" w:rsidRDefault="00D810B0" w:rsidP="007641E4">
      <w:pPr>
        <w:widowControl w:val="0"/>
        <w:spacing w:before="120"/>
        <w:ind w:right="138"/>
        <w:jc w:val="both"/>
        <w:rPr>
          <w:rFonts w:ascii="Calibri" w:eastAsia="Calibri" w:hAnsi="Calibri"/>
        </w:rPr>
      </w:pPr>
      <w:r>
        <w:rPr>
          <w:rFonts w:ascii="Calibri" w:hAnsi="Calibri"/>
        </w:rPr>
        <w:t>In structural terms it is manifested a deviation from the Medium Term Budgetary Objective (in English, in short: MTO) established for Romania, and the adjustment towards it is scheduled to start towards the end of the forecast horizon.</w:t>
      </w:r>
    </w:p>
    <w:p w:rsidR="00D810B0" w:rsidRDefault="00D810B0" w:rsidP="007641E4">
      <w:pPr>
        <w:widowControl w:val="0"/>
        <w:spacing w:before="120"/>
        <w:ind w:right="139"/>
        <w:jc w:val="both"/>
        <w:outlineLvl w:val="1"/>
        <w:rPr>
          <w:rFonts w:ascii="Calibri" w:hAnsi="Calibri"/>
          <w:b/>
          <w:bCs/>
        </w:rPr>
      </w:pPr>
      <w:r>
        <w:rPr>
          <w:rFonts w:ascii="Calibri" w:hAnsi="Calibri"/>
          <w:bCs/>
        </w:rPr>
        <w:t xml:space="preserve">But the deviation from the MTO occurs </w:t>
      </w:r>
      <w:r>
        <w:rPr>
          <w:rFonts w:ascii="Calibri" w:hAnsi="Calibri"/>
          <w:b/>
          <w:bCs/>
        </w:rPr>
        <w:t>with the maintenance on the entire planning horizon of a sustainable level of public debt below 40% of GDP, the final objective of the European rules in the field of budget deficit being thus ensured.</w:t>
      </w:r>
    </w:p>
    <w:p w:rsidR="005063CB" w:rsidRDefault="005063CB" w:rsidP="007641E4">
      <w:pPr>
        <w:widowControl w:val="0"/>
        <w:spacing w:before="120"/>
        <w:ind w:right="139"/>
        <w:jc w:val="both"/>
        <w:outlineLvl w:val="1"/>
        <w:rPr>
          <w:rFonts w:ascii="Calibri" w:hAnsi="Calibri"/>
          <w:b/>
          <w:bCs/>
        </w:rPr>
      </w:pPr>
    </w:p>
    <w:p w:rsidR="005063CB" w:rsidRDefault="005063CB" w:rsidP="007641E4">
      <w:pPr>
        <w:widowControl w:val="0"/>
        <w:spacing w:before="120"/>
        <w:ind w:right="139"/>
        <w:jc w:val="both"/>
        <w:outlineLvl w:val="1"/>
        <w:rPr>
          <w:rFonts w:ascii="Calibri" w:hAnsi="Calibri"/>
          <w:b/>
          <w:bCs/>
        </w:rPr>
      </w:pPr>
    </w:p>
    <w:p w:rsidR="005063CB" w:rsidRDefault="005063CB" w:rsidP="007641E4">
      <w:pPr>
        <w:widowControl w:val="0"/>
        <w:spacing w:before="120"/>
        <w:ind w:right="139"/>
        <w:jc w:val="both"/>
        <w:outlineLvl w:val="1"/>
        <w:rPr>
          <w:rFonts w:ascii="Calibri" w:hAnsi="Calibri"/>
          <w:b/>
          <w:bCs/>
        </w:rPr>
      </w:pPr>
    </w:p>
    <w:p w:rsidR="005063CB" w:rsidRDefault="005063CB" w:rsidP="007641E4">
      <w:pPr>
        <w:widowControl w:val="0"/>
        <w:spacing w:before="120"/>
        <w:ind w:right="139"/>
        <w:jc w:val="both"/>
        <w:outlineLvl w:val="1"/>
        <w:rPr>
          <w:rFonts w:ascii="Calibri" w:hAnsi="Calibri"/>
          <w:b/>
          <w:bCs/>
        </w:rPr>
      </w:pPr>
    </w:p>
    <w:p w:rsidR="005063CB" w:rsidRDefault="005063CB" w:rsidP="007641E4">
      <w:pPr>
        <w:widowControl w:val="0"/>
        <w:spacing w:before="120"/>
        <w:ind w:right="139"/>
        <w:jc w:val="both"/>
        <w:outlineLvl w:val="1"/>
        <w:rPr>
          <w:rFonts w:ascii="Calibri" w:hAnsi="Calibri"/>
          <w:b/>
          <w:bCs/>
        </w:rPr>
      </w:pPr>
    </w:p>
    <w:p w:rsidR="005063CB" w:rsidRDefault="005063CB" w:rsidP="007641E4">
      <w:pPr>
        <w:widowControl w:val="0"/>
        <w:spacing w:before="120"/>
        <w:ind w:right="139"/>
        <w:jc w:val="both"/>
        <w:outlineLvl w:val="1"/>
        <w:rPr>
          <w:rFonts w:ascii="Calibri" w:hAnsi="Calibri"/>
          <w:b/>
          <w:bCs/>
        </w:rPr>
      </w:pPr>
    </w:p>
    <w:p w:rsidR="005063CB" w:rsidRPr="00715536" w:rsidRDefault="005063CB" w:rsidP="007641E4">
      <w:pPr>
        <w:widowControl w:val="0"/>
        <w:spacing w:before="120"/>
        <w:ind w:right="139"/>
        <w:jc w:val="both"/>
        <w:outlineLvl w:val="1"/>
        <w:rPr>
          <w:rFonts w:ascii="Calibri" w:eastAsia="Calibri" w:hAnsi="Calibri"/>
          <w:b/>
          <w:bCs/>
          <w:spacing w:val="-1"/>
        </w:rPr>
      </w:pPr>
    </w:p>
    <w:p w:rsidR="005D253B" w:rsidRPr="00AC4302" w:rsidRDefault="00DF768F" w:rsidP="005D253B">
      <w:pPr>
        <w:widowControl w:val="0"/>
        <w:spacing w:before="120"/>
        <w:ind w:left="132" w:right="139"/>
        <w:jc w:val="center"/>
        <w:outlineLvl w:val="1"/>
        <w:rPr>
          <w:rFonts w:ascii="Calibri" w:eastAsia="Calibri" w:hAnsi="Calibri"/>
          <w:lang w:val="ro-RO"/>
        </w:rPr>
      </w:pPr>
      <w:r>
        <w:rPr>
          <w:rFonts w:ascii="Calibri" w:eastAsia="Calibri" w:hAnsi="Calibri"/>
          <w:noProof/>
          <w:lang w:val="ro-RO" w:eastAsia="ro-RO"/>
        </w:rPr>
        <mc:AlternateContent>
          <mc:Choice Requires="wps">
            <w:drawing>
              <wp:anchor distT="0" distB="0" distL="114300" distR="114300" simplePos="0" relativeHeight="251715072" behindDoc="0" locked="0" layoutInCell="1" allowOverlap="1">
                <wp:simplePos x="0" y="0"/>
                <wp:positionH relativeFrom="column">
                  <wp:posOffset>2063750</wp:posOffset>
                </wp:positionH>
                <wp:positionV relativeFrom="paragraph">
                  <wp:posOffset>-255270</wp:posOffset>
                </wp:positionV>
                <wp:extent cx="1960880" cy="379095"/>
                <wp:effectExtent l="6350" t="11430" r="13970" b="9525"/>
                <wp:wrapNone/>
                <wp:docPr id="678"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0880" cy="379095"/>
                        </a:xfrm>
                        <a:prstGeom prst="rect">
                          <a:avLst/>
                        </a:prstGeom>
                        <a:solidFill>
                          <a:srgbClr val="FFFFFF"/>
                        </a:solidFill>
                        <a:ln w="9525">
                          <a:solidFill>
                            <a:srgbClr val="000000"/>
                          </a:solidFill>
                          <a:miter lim="800000"/>
                          <a:headEnd/>
                          <a:tailEnd/>
                        </a:ln>
                      </wps:spPr>
                      <wps:txbx>
                        <w:txbxContent>
                          <w:p w:rsidR="005063CB" w:rsidRPr="00E34492" w:rsidRDefault="005063CB">
                            <w:pPr>
                              <w:rPr>
                                <w:sz w:val="20"/>
                              </w:rPr>
                            </w:pPr>
                            <w:r w:rsidRPr="00E34492">
                              <w:rPr>
                                <w:sz w:val="20"/>
                              </w:rPr>
                              <w:t>General consolidated</w:t>
                            </w:r>
                            <w:r>
                              <w:rPr>
                                <w:sz w:val="20"/>
                              </w:rPr>
                              <w:t xml:space="preserve"> budget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2" o:spid="_x0000_s1075" style="position:absolute;left:0;text-align:left;margin-left:162.5pt;margin-top:-20.1pt;width:154.4pt;height:29.8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">
                <v:textbox>
                  <w:txbxContent>
                    <w:p w:rsidR="005063CB" w:rsidRPr="00E34492" w:rsidRDefault="005063CB">
                      <w:pPr>
                        <w:rPr>
                          <w:sz w:val="20"/>
                        </w:rPr>
                      </w:pPr>
                      <w:r w:rsidRPr="00E34492">
                        <w:rPr>
                          <w:sz w:val="20"/>
                        </w:rPr>
                        <w:t>General consolidated</w:t>
                      </w:r>
                      <w:r>
                        <w:rPr>
                          <w:sz w:val="20"/>
                        </w:rPr>
                        <w:t xml:space="preserve"> budget</w:t>
                      </w:r>
                    </w:p>
                  </w:txbxContent>
                </v:textbox>
              </v:rect>
            </w:pict>
          </mc:Fallback>
        </mc:AlternateContent>
      </w:r>
    </w:p>
    <w:p w:rsidR="008B4C78" w:rsidRDefault="00DF768F" w:rsidP="007641E4">
      <w:pPr>
        <w:spacing w:after="120"/>
        <w:jc w:val="center"/>
        <w:rPr>
          <w:rFonts w:ascii="Calibri" w:eastAsia="SimSun" w:hAnsi="Calibri"/>
        </w:rPr>
      </w:pPr>
      <w:r>
        <w:rPr>
          <w:noProof/>
          <w:lang w:val="ro-RO" w:eastAsia="ro-RO"/>
        </w:rPr>
        <mc:AlternateContent>
          <mc:Choice Requires="wps">
            <w:drawing>
              <wp:anchor distT="0" distB="0" distL="114300" distR="114300" simplePos="0" relativeHeight="251721216" behindDoc="0" locked="0" layoutInCell="1" allowOverlap="1">
                <wp:simplePos x="0" y="0"/>
                <wp:positionH relativeFrom="column">
                  <wp:posOffset>337820</wp:posOffset>
                </wp:positionH>
                <wp:positionV relativeFrom="paragraph">
                  <wp:posOffset>2656840</wp:posOffset>
                </wp:positionV>
                <wp:extent cx="5598160" cy="626110"/>
                <wp:effectExtent l="13970" t="8890" r="7620" b="12700"/>
                <wp:wrapNone/>
                <wp:docPr id="677"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8160" cy="626110"/>
                        </a:xfrm>
                        <a:prstGeom prst="rect">
                          <a:avLst/>
                        </a:prstGeom>
                        <a:solidFill>
                          <a:srgbClr val="FFFFFF"/>
                        </a:solidFill>
                        <a:ln w="9525">
                          <a:solidFill>
                            <a:srgbClr val="000000"/>
                          </a:solidFill>
                          <a:miter lim="800000"/>
                          <a:headEnd/>
                          <a:tailEnd/>
                        </a:ln>
                      </wps:spPr>
                      <wps:txbx>
                        <w:txbxContent>
                          <w:p w:rsidR="005063CB" w:rsidRDefault="005063CB" w:rsidP="00E34492">
                            <w:pPr>
                              <w:rPr>
                                <w:sz w:val="18"/>
                              </w:rPr>
                            </w:pPr>
                            <w:r>
                              <w:rPr>
                                <w:sz w:val="18"/>
                              </w:rPr>
                              <w:t>Note: Due to rounding offs, it is possible that certain accounting identities are not verified</w:t>
                            </w:r>
                          </w:p>
                          <w:p w:rsidR="005063CB" w:rsidRPr="00E34492" w:rsidRDefault="005063CB" w:rsidP="00E34492">
                            <w:pPr>
                              <w:rPr>
                                <w:sz w:val="18"/>
                              </w:rPr>
                            </w:pPr>
                            <w:r>
                              <w:rPr>
                                <w:sz w:val="18"/>
                              </w:rPr>
                              <w:t>The structural deficit for 2015-2017 is according to the EC. For 2018-2022 it is an estimate of the NCSP.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8" o:spid="_x0000_s1076" style="position:absolute;left:0;text-align:left;margin-left:26.6pt;margin-top:209.2pt;width:440.8pt;height:49.3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">
                <v:textbox>
                  <w:txbxContent>
                    <w:p w:rsidR="005063CB" w:rsidRDefault="005063CB" w:rsidP="00E34492">
                      <w:pPr>
                        <w:rPr>
                          <w:sz w:val="18"/>
                        </w:rPr>
                      </w:pPr>
                      <w:r>
                        <w:rPr>
                          <w:sz w:val="18"/>
                        </w:rPr>
                        <w:t>Note: Due to rounding offs, it is possible that certain accounting identities are not verified</w:t>
                      </w:r>
                    </w:p>
                    <w:p w:rsidR="005063CB" w:rsidRPr="00E34492" w:rsidRDefault="005063CB" w:rsidP="00E34492">
                      <w:pPr>
                        <w:rPr>
                          <w:sz w:val="18"/>
                        </w:rPr>
                      </w:pPr>
                      <w:r>
                        <w:rPr>
                          <w:sz w:val="18"/>
                        </w:rPr>
                        <w:t>The structural deficit for 2015-2017 is according to the EC. For 2018-2022 it is an estimate of the NCSP.</w:t>
                      </w:r>
                    </w:p>
                  </w:txbxContent>
                </v:textbox>
              </v:rect>
            </w:pict>
          </mc:Fallback>
        </mc:AlternateContent>
      </w:r>
      <w:r>
        <w:rPr>
          <w:noProof/>
          <w:lang w:val="ro-RO" w:eastAsia="ro-RO"/>
        </w:rPr>
        <mc:AlternateContent>
          <mc:Choice Requires="wps">
            <w:drawing>
              <wp:anchor distT="0" distB="0" distL="114300" distR="114300" simplePos="0" relativeHeight="251720192" behindDoc="0" locked="0" layoutInCell="1" allowOverlap="1">
                <wp:simplePos x="0" y="0"/>
                <wp:positionH relativeFrom="column">
                  <wp:posOffset>337820</wp:posOffset>
                </wp:positionH>
                <wp:positionV relativeFrom="paragraph">
                  <wp:posOffset>2372995</wp:posOffset>
                </wp:positionV>
                <wp:extent cx="1577975" cy="283845"/>
                <wp:effectExtent l="13970" t="10795" r="8255" b="10160"/>
                <wp:wrapNone/>
                <wp:docPr id="676"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7975" cy="283845"/>
                        </a:xfrm>
                        <a:prstGeom prst="rect">
                          <a:avLst/>
                        </a:prstGeom>
                        <a:solidFill>
                          <a:srgbClr val="FFFFFF"/>
                        </a:solidFill>
                        <a:ln w="9525">
                          <a:solidFill>
                            <a:srgbClr val="000000"/>
                          </a:solidFill>
                          <a:miter lim="800000"/>
                          <a:headEnd/>
                          <a:tailEnd/>
                        </a:ln>
                      </wps:spPr>
                      <wps:txbx>
                        <w:txbxContent>
                          <w:p w:rsidR="005063CB" w:rsidRPr="00E34492" w:rsidRDefault="005063CB" w:rsidP="00E34492">
                            <w:pPr>
                              <w:rPr>
                                <w:sz w:val="18"/>
                              </w:rPr>
                            </w:pPr>
                            <w:r>
                              <w:rPr>
                                <w:sz w:val="18"/>
                              </w:rPr>
                              <w:t>Structural BALANCE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7" o:spid="_x0000_s1077" style="position:absolute;left:0;text-align:left;margin-left:26.6pt;margin-top:186.85pt;width:124.25pt;height:22.3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">
                <v:textbox>
                  <w:txbxContent>
                    <w:p w:rsidR="005063CB" w:rsidRPr="00E34492" w:rsidRDefault="005063CB" w:rsidP="00E34492">
                      <w:pPr>
                        <w:rPr>
                          <w:sz w:val="18"/>
                        </w:rPr>
                      </w:pPr>
                      <w:r>
                        <w:rPr>
                          <w:sz w:val="18"/>
                        </w:rPr>
                        <w:t>Structural BALANCE</w:t>
                      </w:r>
                    </w:p>
                  </w:txbxContent>
                </v:textbox>
              </v:rect>
            </w:pict>
          </mc:Fallback>
        </mc:AlternateContent>
      </w:r>
      <w:r>
        <w:rPr>
          <w:noProof/>
          <w:lang w:val="ro-RO" w:eastAsia="ro-RO"/>
        </w:rPr>
        <mc:AlternateContent>
          <mc:Choice Requires="wps">
            <w:drawing>
              <wp:anchor distT="0" distB="0" distL="114300" distR="114300" simplePos="0" relativeHeight="251719168" behindDoc="0" locked="0" layoutInCell="1" allowOverlap="1">
                <wp:simplePos x="0" y="0"/>
                <wp:positionH relativeFrom="column">
                  <wp:posOffset>337820</wp:posOffset>
                </wp:positionH>
                <wp:positionV relativeFrom="paragraph">
                  <wp:posOffset>1993900</wp:posOffset>
                </wp:positionV>
                <wp:extent cx="1577975" cy="379095"/>
                <wp:effectExtent l="13970" t="12700" r="8255" b="8255"/>
                <wp:wrapNone/>
                <wp:docPr id="675"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7975" cy="379095"/>
                        </a:xfrm>
                        <a:prstGeom prst="rect">
                          <a:avLst/>
                        </a:prstGeom>
                        <a:solidFill>
                          <a:srgbClr val="FFFFFF"/>
                        </a:solidFill>
                        <a:ln w="9525">
                          <a:solidFill>
                            <a:srgbClr val="000000"/>
                          </a:solidFill>
                          <a:miter lim="800000"/>
                          <a:headEnd/>
                          <a:tailEnd/>
                        </a:ln>
                      </wps:spPr>
                      <wps:txbx>
                        <w:txbxContent>
                          <w:p w:rsidR="005063CB" w:rsidRPr="00E34492" w:rsidRDefault="005063CB" w:rsidP="00E34492">
                            <w:pPr>
                              <w:rPr>
                                <w:sz w:val="18"/>
                              </w:rPr>
                            </w:pPr>
                            <w:r>
                              <w:rPr>
                                <w:sz w:val="18"/>
                              </w:rPr>
                              <w:t>BALANCE</w:t>
                            </w:r>
                            <w:r w:rsidRPr="00E34492">
                              <w:rPr>
                                <w:sz w:val="18"/>
                              </w:rPr>
                              <w:t xml:space="preserve"> of the general consolidated budget (</w:t>
                            </w:r>
                            <w:r>
                              <w:rPr>
                                <w:sz w:val="18"/>
                              </w:rPr>
                              <w:t>ESA</w:t>
                            </w:r>
                            <w:r w:rsidRPr="00E34492">
                              <w:rPr>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6" o:spid="_x0000_s1078" style="position:absolute;left:0;text-align:left;margin-left:26.6pt;margin-top:157pt;width:124.25pt;height:29.8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">
                <v:textbox>
                  <w:txbxContent>
                    <w:p w:rsidR="005063CB" w:rsidRPr="00E34492" w:rsidRDefault="005063CB" w:rsidP="00E34492">
                      <w:pPr>
                        <w:rPr>
                          <w:sz w:val="18"/>
                        </w:rPr>
                      </w:pPr>
                      <w:r>
                        <w:rPr>
                          <w:sz w:val="18"/>
                        </w:rPr>
                        <w:t>BALANCE</w:t>
                      </w:r>
                      <w:r w:rsidRPr="00E34492">
                        <w:rPr>
                          <w:sz w:val="18"/>
                        </w:rPr>
                        <w:t xml:space="preserve"> of the general consolidated budget (</w:t>
                      </w:r>
                      <w:r>
                        <w:rPr>
                          <w:sz w:val="18"/>
                        </w:rPr>
                        <w:t>ESA</w:t>
                      </w:r>
                      <w:r w:rsidRPr="00E34492">
                        <w:rPr>
                          <w:sz w:val="18"/>
                        </w:rPr>
                        <w:t>)</w:t>
                      </w:r>
                    </w:p>
                  </w:txbxContent>
                </v:textbox>
              </v:rect>
            </w:pict>
          </mc:Fallback>
        </mc:AlternateContent>
      </w:r>
      <w:r>
        <w:rPr>
          <w:noProof/>
          <w:lang w:val="ro-RO" w:eastAsia="ro-RO"/>
        </w:rPr>
        <mc:AlternateContent>
          <mc:Choice Requires="wps">
            <w:drawing>
              <wp:anchor distT="0" distB="0" distL="114300" distR="114300" simplePos="0" relativeHeight="251718144" behindDoc="0" locked="0" layoutInCell="1" allowOverlap="1">
                <wp:simplePos x="0" y="0"/>
                <wp:positionH relativeFrom="column">
                  <wp:posOffset>337820</wp:posOffset>
                </wp:positionH>
                <wp:positionV relativeFrom="paragraph">
                  <wp:posOffset>1614805</wp:posOffset>
                </wp:positionV>
                <wp:extent cx="1577975" cy="379095"/>
                <wp:effectExtent l="13970" t="5080" r="8255" b="6350"/>
                <wp:wrapNone/>
                <wp:docPr id="674"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7975" cy="379095"/>
                        </a:xfrm>
                        <a:prstGeom prst="rect">
                          <a:avLst/>
                        </a:prstGeom>
                        <a:solidFill>
                          <a:srgbClr val="FFFFFF"/>
                        </a:solidFill>
                        <a:ln w="9525">
                          <a:solidFill>
                            <a:srgbClr val="000000"/>
                          </a:solidFill>
                          <a:miter lim="800000"/>
                          <a:headEnd/>
                          <a:tailEnd/>
                        </a:ln>
                      </wps:spPr>
                      <wps:txbx>
                        <w:txbxContent>
                          <w:p w:rsidR="005063CB" w:rsidRPr="00E34492" w:rsidRDefault="005063CB" w:rsidP="00E34492">
                            <w:pPr>
                              <w:rPr>
                                <w:sz w:val="18"/>
                              </w:rPr>
                            </w:pPr>
                            <w:r>
                              <w:rPr>
                                <w:sz w:val="18"/>
                              </w:rPr>
                              <w:t>BALANCE</w:t>
                            </w:r>
                            <w:r w:rsidRPr="00E34492">
                              <w:rPr>
                                <w:sz w:val="18"/>
                              </w:rPr>
                              <w:t xml:space="preserve"> of the general consolidated budget (cash)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5" o:spid="_x0000_s1079" style="position:absolute;left:0;text-align:left;margin-left:26.6pt;margin-top:127.15pt;width:124.25pt;height:29.8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">
                <v:textbox>
                  <w:txbxContent>
                    <w:p w:rsidR="005063CB" w:rsidRPr="00E34492" w:rsidRDefault="005063CB" w:rsidP="00E34492">
                      <w:pPr>
                        <w:rPr>
                          <w:sz w:val="18"/>
                        </w:rPr>
                      </w:pPr>
                      <w:r>
                        <w:rPr>
                          <w:sz w:val="18"/>
                        </w:rPr>
                        <w:t>BALANCE</w:t>
                      </w:r>
                      <w:r w:rsidRPr="00E34492">
                        <w:rPr>
                          <w:sz w:val="18"/>
                        </w:rPr>
                        <w:t xml:space="preserve"> of the general consolidated budget (cash)</w:t>
                      </w:r>
                    </w:p>
                  </w:txbxContent>
                </v:textbox>
              </v:rect>
            </w:pict>
          </mc:Fallback>
        </mc:AlternateContent>
      </w:r>
      <w:r>
        <w:rPr>
          <w:noProof/>
          <w:lang w:val="ro-RO" w:eastAsia="ro-RO"/>
        </w:rPr>
        <mc:AlternateContent>
          <mc:Choice Requires="wps">
            <w:drawing>
              <wp:anchor distT="0" distB="0" distL="114300" distR="114300" simplePos="0" relativeHeight="251717120" behindDoc="0" locked="0" layoutInCell="1" allowOverlap="1">
                <wp:simplePos x="0" y="0"/>
                <wp:positionH relativeFrom="column">
                  <wp:posOffset>337820</wp:posOffset>
                </wp:positionH>
                <wp:positionV relativeFrom="paragraph">
                  <wp:posOffset>1153795</wp:posOffset>
                </wp:positionV>
                <wp:extent cx="1577975" cy="461010"/>
                <wp:effectExtent l="13970" t="10795" r="8255" b="13970"/>
                <wp:wrapNone/>
                <wp:docPr id="673"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7975" cy="461010"/>
                        </a:xfrm>
                        <a:prstGeom prst="rect">
                          <a:avLst/>
                        </a:prstGeom>
                        <a:solidFill>
                          <a:srgbClr val="FFFFFF"/>
                        </a:solidFill>
                        <a:ln w="9525">
                          <a:solidFill>
                            <a:srgbClr val="000000"/>
                          </a:solidFill>
                          <a:miter lim="800000"/>
                          <a:headEnd/>
                          <a:tailEnd/>
                        </a:ln>
                      </wps:spPr>
                      <wps:txbx>
                        <w:txbxContent>
                          <w:p w:rsidR="005063CB" w:rsidRPr="00E34492" w:rsidRDefault="005063CB" w:rsidP="00E34492">
                            <w:pPr>
                              <w:rPr>
                                <w:sz w:val="18"/>
                              </w:rPr>
                            </w:pPr>
                            <w:r>
                              <w:rPr>
                                <w:sz w:val="18"/>
                              </w:rPr>
                              <w:t>EXPENDITURES</w:t>
                            </w:r>
                            <w:r w:rsidRPr="00E34492">
                              <w:rPr>
                                <w:sz w:val="18"/>
                              </w:rPr>
                              <w:t xml:space="preserve"> of the general consolidated budget (cash)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4" o:spid="_x0000_s1080" style="position:absolute;left:0;text-align:left;margin-left:26.6pt;margin-top:90.85pt;width:124.25pt;height:36.3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">
                <v:textbox>
                  <w:txbxContent>
                    <w:p w:rsidR="005063CB" w:rsidRPr="00E34492" w:rsidRDefault="005063CB" w:rsidP="00E34492">
                      <w:pPr>
                        <w:rPr>
                          <w:sz w:val="18"/>
                        </w:rPr>
                      </w:pPr>
                      <w:r>
                        <w:rPr>
                          <w:sz w:val="18"/>
                        </w:rPr>
                        <w:t>EXPENDITURES</w:t>
                      </w:r>
                      <w:r w:rsidRPr="00E34492">
                        <w:rPr>
                          <w:sz w:val="18"/>
                        </w:rPr>
                        <w:t xml:space="preserve"> of the general consolidated budget (cash)</w:t>
                      </w:r>
                    </w:p>
                  </w:txbxContent>
                </v:textbox>
              </v:rect>
            </w:pict>
          </mc:Fallback>
        </mc:AlternateContent>
      </w:r>
      <w:r>
        <w:rPr>
          <w:noProof/>
          <w:lang w:val="ro-RO" w:eastAsia="ro-RO"/>
        </w:rPr>
        <mc:AlternateContent>
          <mc:Choice Requires="wps">
            <w:drawing>
              <wp:anchor distT="0" distB="0" distL="114300" distR="114300" simplePos="0" relativeHeight="251716096" behindDoc="0" locked="0" layoutInCell="1" allowOverlap="1">
                <wp:simplePos x="0" y="0"/>
                <wp:positionH relativeFrom="column">
                  <wp:posOffset>337820</wp:posOffset>
                </wp:positionH>
                <wp:positionV relativeFrom="paragraph">
                  <wp:posOffset>774700</wp:posOffset>
                </wp:positionV>
                <wp:extent cx="1577975" cy="379095"/>
                <wp:effectExtent l="13970" t="12700" r="8255" b="8255"/>
                <wp:wrapNone/>
                <wp:docPr id="672"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7975" cy="379095"/>
                        </a:xfrm>
                        <a:prstGeom prst="rect">
                          <a:avLst/>
                        </a:prstGeom>
                        <a:solidFill>
                          <a:srgbClr val="FFFFFF"/>
                        </a:solidFill>
                        <a:ln w="9525">
                          <a:solidFill>
                            <a:srgbClr val="000000"/>
                          </a:solidFill>
                          <a:miter lim="800000"/>
                          <a:headEnd/>
                          <a:tailEnd/>
                        </a:ln>
                      </wps:spPr>
                      <wps:txbx>
                        <w:txbxContent>
                          <w:p w:rsidR="005063CB" w:rsidRPr="00E34492" w:rsidRDefault="005063CB" w:rsidP="00E34492">
                            <w:pPr>
                              <w:rPr>
                                <w:sz w:val="18"/>
                              </w:rPr>
                            </w:pPr>
                            <w:r w:rsidRPr="00E34492">
                              <w:rPr>
                                <w:sz w:val="18"/>
                              </w:rPr>
                              <w:t>REVENUES of the general consolidated budget (cash)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3" o:spid="_x0000_s1081" style="position:absolute;left:0;text-align:left;margin-left:26.6pt;margin-top:61pt;width:124.25pt;height:29.8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">
                <v:textbox>
                  <w:txbxContent>
                    <w:p w:rsidR="005063CB" w:rsidRPr="00E34492" w:rsidRDefault="005063CB" w:rsidP="00E34492">
                      <w:pPr>
                        <w:rPr>
                          <w:sz w:val="18"/>
                        </w:rPr>
                      </w:pPr>
                      <w:r w:rsidRPr="00E34492">
                        <w:rPr>
                          <w:sz w:val="18"/>
                        </w:rPr>
                        <w:t>REVENUES of the general consolidated budget (cash)</w:t>
                      </w:r>
                    </w:p>
                  </w:txbxContent>
                </v:textbox>
              </v:rect>
            </w:pict>
          </mc:Fallback>
        </mc:AlternateContent>
      </w:r>
      <w:r w:rsidR="007641E4">
        <w:rPr>
          <w:noProof/>
          <w:lang w:val="ro-RO" w:eastAsia="ro-RO"/>
        </w:rPr>
        <w:drawing>
          <wp:inline distT="0" distB="0" distL="0" distR="0">
            <wp:extent cx="5509260" cy="307919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6061" cy="3088584"/>
                    </a:xfrm>
                    <a:prstGeom prst="rect">
                      <a:avLst/>
                    </a:prstGeom>
                    <a:noFill/>
                    <a:ln>
                      <a:noFill/>
                    </a:ln>
                  </pic:spPr>
                </pic:pic>
              </a:graphicData>
            </a:graphic>
          </wp:inline>
        </w:drawing>
      </w:r>
    </w:p>
    <w:p w:rsidR="007641E4" w:rsidRPr="00A36697" w:rsidRDefault="007641E4" w:rsidP="007641E4">
      <w:pPr>
        <w:spacing w:after="120"/>
        <w:jc w:val="center"/>
        <w:rPr>
          <w:rFonts w:ascii="Calibri" w:eastAsia="SimSun" w:hAnsi="Calibri"/>
          <w:lang w:val="ro-RO"/>
        </w:rPr>
      </w:pPr>
    </w:p>
    <w:p w:rsidR="001F7825" w:rsidRPr="00C86702" w:rsidRDefault="00CB19C5" w:rsidP="001F7825">
      <w:pPr>
        <w:widowControl w:val="0"/>
        <w:shd w:val="clear" w:color="auto" w:fill="99CCFF"/>
        <w:spacing w:line="320" w:lineRule="exact"/>
        <w:rPr>
          <w:rFonts w:ascii="Calibri" w:hAnsi="Calibri"/>
          <w:b/>
          <w:color w:val="000080"/>
        </w:rPr>
      </w:pPr>
      <w:r>
        <w:rPr>
          <w:rFonts w:ascii="Calibri" w:hAnsi="Calibri"/>
          <w:b/>
          <w:color w:val="000080"/>
        </w:rPr>
        <w:t>4.5.1 Recent evolutions and tendencies of the budgetary revenues</w:t>
      </w:r>
      <w:r w:rsidR="00CF2F72" w:rsidRPr="00C86702">
        <w:rPr>
          <w:rStyle w:val="FootnoteReference"/>
          <w:rFonts w:ascii="Calibri" w:hAnsi="Calibri"/>
          <w:b/>
          <w:color w:val="000080"/>
          <w:lang w:val="ro-RO"/>
        </w:rPr>
        <w:footnoteReference w:id="18"/>
      </w:r>
    </w:p>
    <w:p w:rsidR="00FD5488" w:rsidRPr="00FD5488" w:rsidRDefault="00FD5488" w:rsidP="00FD5488">
      <w:pPr>
        <w:widowControl w:val="0"/>
        <w:spacing w:before="120" w:after="120"/>
        <w:jc w:val="both"/>
        <w:rPr>
          <w:rFonts w:ascii="Calibri" w:hAnsi="Calibri" w:cs="Arial"/>
        </w:rPr>
      </w:pPr>
      <w:r>
        <w:rPr>
          <w:rFonts w:ascii="Calibri" w:hAnsi="Calibri"/>
        </w:rPr>
        <w:t>The estimation of the main categories of taxes and charges for 2019-2021 is based on the most recent projection of the macroeconomic indicators, correlated with the evolution of collections, the legislative provisions in force, as well as the ANAF’s commitment of collecting additional revenues through intensification of the actions of improving collection and reducing tax evasion (7.5 billion Lei).</w:t>
      </w:r>
    </w:p>
    <w:p w:rsidR="00FD5488" w:rsidRPr="00FD5488" w:rsidRDefault="00FD5488" w:rsidP="00FD5488">
      <w:pPr>
        <w:widowControl w:val="0"/>
        <w:spacing w:before="120" w:after="120"/>
        <w:jc w:val="both"/>
        <w:rPr>
          <w:rFonts w:ascii="Calibri" w:hAnsi="Calibri" w:cs="Arial"/>
        </w:rPr>
      </w:pPr>
      <w:r>
        <w:rPr>
          <w:rFonts w:ascii="Calibri" w:hAnsi="Calibri"/>
        </w:rPr>
        <w:t>Total budget revenues are projected to slightly increase from the level of 31.4% of GDP in 2018 to a level of 32% of GDP in 2021, especially on the basis of the increase of the share in the GDP of social contributions.</w:t>
      </w:r>
    </w:p>
    <w:p w:rsidR="00FD5488" w:rsidRPr="00FD5488" w:rsidRDefault="00FD5488" w:rsidP="00FD5488">
      <w:pPr>
        <w:widowControl w:val="0"/>
        <w:spacing w:after="120"/>
        <w:jc w:val="both"/>
        <w:rPr>
          <w:rFonts w:ascii="Calibri" w:hAnsi="Calibri" w:cs="Arial"/>
        </w:rPr>
      </w:pPr>
      <w:r>
        <w:rPr>
          <w:rFonts w:ascii="Calibri" w:hAnsi="Calibri"/>
        </w:rPr>
        <w:t xml:space="preserve">In the structure of fiscal revenues, the revenues from corporate income tax are forecasted at a level of 1.7% of GDP in 2019, and shall be maintained at a level of 1.6% of GDP in 2020-2021. The evolution of 2019 is mainly influenced by the ANAF’s commitment to collect additional revenues of 0.5 billion Lei, as well as by the negative impact generated by the possibility of legal entities with revenues of up to 1 million EUR to opt between the payment of corporate income tax </w:t>
      </w:r>
      <w:r w:rsidR="00D324A1">
        <w:rPr>
          <w:rFonts w:ascii="Calibri" w:hAnsi="Calibri"/>
        </w:rPr>
        <w:t>and</w:t>
      </w:r>
      <w:r>
        <w:rPr>
          <w:rFonts w:ascii="Calibri" w:hAnsi="Calibri"/>
        </w:rPr>
        <w:t xml:space="preserve"> the classification into the category of microenterprises. </w:t>
      </w:r>
    </w:p>
    <w:p w:rsidR="00FD5488" w:rsidRPr="00FD5488" w:rsidRDefault="00FD5488" w:rsidP="00FD5488">
      <w:pPr>
        <w:widowControl w:val="0"/>
        <w:spacing w:after="120"/>
        <w:jc w:val="both"/>
        <w:rPr>
          <w:rFonts w:ascii="Calibri" w:hAnsi="Calibri"/>
        </w:rPr>
      </w:pPr>
      <w:r>
        <w:rPr>
          <w:rFonts w:ascii="Calibri" w:hAnsi="Calibri"/>
        </w:rPr>
        <w:t>Collections from personal income tax are forecasted to decrease to 2.3% of GDP in 2019, being influenced by the negative impact generated by the exemption awarded to employees from the constructions sector, in accordance with GEO no. 114/2018. On medium term, the dynamics foreseen for the salaries fund of the economy (average gross salary and average number of employees in the economy) will lead to a slight increase of the revenues from this source up to 2.4% in 2021.</w:t>
      </w:r>
    </w:p>
    <w:p w:rsidR="00FD5488" w:rsidRPr="00FD5488" w:rsidRDefault="00FD5488" w:rsidP="00FD5488">
      <w:pPr>
        <w:widowControl w:val="0"/>
        <w:spacing w:after="120"/>
        <w:jc w:val="both"/>
        <w:rPr>
          <w:rFonts w:ascii="Calibri" w:hAnsi="Calibri"/>
        </w:rPr>
      </w:pPr>
      <w:r>
        <w:rPr>
          <w:rFonts w:ascii="Calibri" w:hAnsi="Calibri"/>
        </w:rPr>
        <w:t>It is estimated that the revenues from taxes and charges on goods and services will register an increase of 0.8 percentage points compared to the previous year, to 10.8% of GDP in 2019. This is mainly due to the ANAF’s commitment of collecting additional revenues of 6 billion Lei in VAT and of 1 billion Lei in excise duties, as a result of the measures related to improving collection and fighting evasion.</w:t>
      </w:r>
    </w:p>
    <w:p w:rsidR="00FD5488" w:rsidRPr="00FD5488" w:rsidRDefault="00FD5488" w:rsidP="00FD5488">
      <w:pPr>
        <w:widowControl w:val="0"/>
        <w:spacing w:after="120"/>
        <w:jc w:val="both"/>
        <w:rPr>
          <w:rFonts w:ascii="Calibri" w:hAnsi="Calibri" w:cs="Arial"/>
        </w:rPr>
      </w:pPr>
      <w:r>
        <w:rPr>
          <w:rFonts w:ascii="Calibri" w:hAnsi="Calibri"/>
        </w:rPr>
        <w:t>Collections from value-added tax in 2019 register an increase of 0.5 percentage points compared to the achievements of 2018, reaching 6.8% of GDP in 2019. The estimates for 2019 and on medium term have considered both the revenues undertaken by ANAF to be additionally collected from the improvement of collection, and the legislative amendments approved in 2018 (extending the application of the reduced VAT rate of 9% for water and sewerage supply services and extending the application of the reduced VAT rate of 5% for sports and recreational activities, accommodation, restaurant, and catering services). Revenues from VAT are forecasted to reach a level of 6.5% of GDP in 2020 and a level of 6.2% of GDP in 2021.</w:t>
      </w:r>
    </w:p>
    <w:p w:rsidR="00FD5488" w:rsidRPr="00FD5488" w:rsidRDefault="00FD5488" w:rsidP="00FD5488">
      <w:pPr>
        <w:suppressAutoHyphens/>
        <w:spacing w:after="120"/>
        <w:jc w:val="both"/>
        <w:rPr>
          <w:rFonts w:ascii="Calibri" w:hAnsi="Calibri"/>
        </w:rPr>
      </w:pPr>
      <w:r>
        <w:rPr>
          <w:rFonts w:ascii="Calibri" w:hAnsi="Calibri"/>
        </w:rPr>
        <w:t>Revenues from excise duties will be in 2019 at a level of 3% of GDP, similar to the share in the GDP of the previous year. Excise duties are influenced by the revenues undertaken by the ANAF to be additionally collected from collection improvement, as well as by the increase of the level of excise duties for tobacco products through observance of the requirements regarding the minimum level of the total excise duty applicable for cigarettes, which all Member States must observe; these requirements are found at art. 10 para. (2) in Directive 2011/64/EU of the Council on the structure and rates of excise duties applied to processed tobacco. In 2020-2021 the dynamics of revenues from excise duties are forecasted to reflect into the rhythm of real growth of private consumption and the share thereof in the GDP should be maintained at 2.9%.</w:t>
      </w:r>
    </w:p>
    <w:p w:rsidR="00FD5488" w:rsidRPr="00FD5488" w:rsidRDefault="00FD5488" w:rsidP="00FD5488">
      <w:pPr>
        <w:widowControl w:val="0"/>
        <w:spacing w:after="120"/>
        <w:jc w:val="both"/>
        <w:rPr>
          <w:rFonts w:ascii="Arial" w:hAnsi="Arial" w:cs="Arial"/>
          <w:sz w:val="28"/>
          <w:szCs w:val="28"/>
        </w:rPr>
      </w:pPr>
      <w:r>
        <w:rPr>
          <w:rFonts w:asciiTheme="minorHAnsi" w:hAnsiTheme="minorHAnsi"/>
        </w:rPr>
        <w:t>Collections from social insurance contributions in 2019 are estimated to reach 11.5% of GDP, an increase of 1.1 pp of GDP compared to 2018, being mainly influenced by the significant increase of the salaries fund in the economy (18.6%), by the application on the entire year of the new legislative conditions compared to 11 months of application in 2018</w:t>
      </w:r>
      <w:r w:rsidRPr="00FD5488">
        <w:rPr>
          <w:rFonts w:asciiTheme="minorHAnsi" w:hAnsiTheme="minorHAnsi"/>
          <w:vertAlign w:val="superscript"/>
          <w:lang w:eastAsia="zh-CN"/>
        </w:rPr>
        <w:footnoteReference w:id="19"/>
      </w:r>
      <w:r>
        <w:rPr>
          <w:rFonts w:asciiTheme="minorHAnsi" w:hAnsiTheme="minorHAnsi"/>
        </w:rPr>
        <w:t xml:space="preserve"> and by the provisions of GEO no. 114/2018 which create the assumptions for salary increases differentiated on the fields of activity in the case of employees from the constructions sector, at the same time as the exemption from payment of the contribution owed to privately managed pension funds (Pillar II) within the limit of 3.75% between 2019 and 2028, inclusive.</w:t>
      </w:r>
    </w:p>
    <w:p w:rsidR="00FD5488" w:rsidRPr="00FD5488" w:rsidRDefault="00FD5488" w:rsidP="00FD5488">
      <w:pPr>
        <w:widowControl w:val="0"/>
        <w:spacing w:after="120"/>
        <w:jc w:val="both"/>
        <w:rPr>
          <w:rFonts w:ascii="Calibri" w:hAnsi="Calibri" w:cs="Arial"/>
        </w:rPr>
      </w:pPr>
      <w:r>
        <w:rPr>
          <w:rFonts w:ascii="Calibri" w:hAnsi="Calibri"/>
        </w:rPr>
        <w:t>In addition, revenues from contributions are influenced in 2019 by the performance of payments representing amounts provided through court judgments whose object is to award salary rights established in favor of the personnel from public institutions and authorities, which became enforceable (0.9 billion Lei) and the award of the meal allowance for public employees, in accordance with Framework law no. 153/2017 on the salaries of the personnel paid from public funds, as subsequently amended and supplemented.</w:t>
      </w:r>
    </w:p>
    <w:p w:rsidR="00FD5488" w:rsidRPr="00FD5488" w:rsidRDefault="00FD5488" w:rsidP="00FD5488">
      <w:pPr>
        <w:widowControl w:val="0"/>
        <w:spacing w:after="120"/>
        <w:jc w:val="both"/>
        <w:rPr>
          <w:rFonts w:ascii="Calibri" w:hAnsi="Calibri" w:cs="Arial"/>
        </w:rPr>
      </w:pPr>
      <w:r>
        <w:rPr>
          <w:rFonts w:ascii="Calibri" w:hAnsi="Calibri"/>
        </w:rPr>
        <w:t xml:space="preserve">The estimates regarding the transfers to pension Pillar II reveal a slight increase of 0.1 pp of GDP between 2019 and 2021, respectively from 0.8% of GDP in 2019 and 0.9% of GDP on medium term. </w:t>
      </w:r>
    </w:p>
    <w:p w:rsidR="00FD5488" w:rsidRPr="00FD5488" w:rsidRDefault="00FD5488" w:rsidP="00FD5488">
      <w:pPr>
        <w:widowControl w:val="0"/>
        <w:spacing w:after="120"/>
        <w:jc w:val="both"/>
        <w:rPr>
          <w:rFonts w:ascii="Calibri" w:hAnsi="Calibri" w:cs="Arial"/>
        </w:rPr>
      </w:pPr>
      <w:r>
        <w:rPr>
          <w:rFonts w:ascii="Calibri" w:hAnsi="Calibri"/>
        </w:rPr>
        <w:t>On medium term, the evolution of collections from social insurance contributions is determined by the forecasted increase of the average salary and of the number of employees, the share of revenues from social insurance contributions being forecasted to reach 12.2% of GDP in 2021.</w:t>
      </w:r>
    </w:p>
    <w:p w:rsidR="00FD5488" w:rsidRDefault="00FD5488" w:rsidP="00FD5488">
      <w:pPr>
        <w:widowControl w:val="0"/>
        <w:spacing w:after="120"/>
        <w:jc w:val="both"/>
        <w:rPr>
          <w:rFonts w:ascii="Calibri" w:hAnsi="Calibri"/>
        </w:rPr>
      </w:pPr>
      <w:r>
        <w:rPr>
          <w:rFonts w:ascii="Calibri" w:hAnsi="Calibri"/>
        </w:rPr>
        <w:t xml:space="preserve">The forecast of budget revenues includes the revenues estimated to be collected following the sales of 5G telecommunications licenses by ANCOM )(2.1 billion Lei), as well as by the impact generated by GEO 114/2018 through (i) the increase of the charge on gambling (0.5 billion Lei); (ii) the transfer to the State budget of 35% from the amounts distributed to other reserves in accordance with art. 43 </w:t>
      </w:r>
      <w:r w:rsidR="005063CB">
        <w:rPr>
          <w:noProof/>
          <w:lang w:val="ro-RO" w:eastAsia="ro-RO"/>
        </w:rPr>
        <mc:AlternateContent>
          <mc:Choice Requires="wps">
            <w:drawing>
              <wp:anchor distT="0" distB="0" distL="114300" distR="114300" simplePos="0" relativeHeight="251629568" behindDoc="0" locked="0" layoutInCell="1" allowOverlap="1" wp14:anchorId="524FCCEE" wp14:editId="5A75A146">
                <wp:simplePos x="0" y="0"/>
                <wp:positionH relativeFrom="column">
                  <wp:posOffset>1529715</wp:posOffset>
                </wp:positionH>
                <wp:positionV relativeFrom="paragraph">
                  <wp:posOffset>290195</wp:posOffset>
                </wp:positionV>
                <wp:extent cx="3451225" cy="477520"/>
                <wp:effectExtent l="5715" t="12065" r="10160" b="5715"/>
                <wp:wrapNone/>
                <wp:docPr id="671"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1225" cy="477520"/>
                        </a:xfrm>
                        <a:prstGeom prst="rect">
                          <a:avLst/>
                        </a:prstGeom>
                        <a:solidFill>
                          <a:srgbClr val="FFFFFF"/>
                        </a:solidFill>
                        <a:ln w="9525">
                          <a:solidFill>
                            <a:srgbClr val="000000"/>
                          </a:solidFill>
                          <a:miter lim="800000"/>
                          <a:headEnd/>
                          <a:tailEnd/>
                        </a:ln>
                      </wps:spPr>
                      <wps:txbx>
                        <w:txbxContent>
                          <w:p w:rsidR="005063CB" w:rsidRPr="00D324A1" w:rsidRDefault="005063CB">
                            <w:pPr>
                              <w:rPr>
                                <w:b/>
                              </w:rPr>
                            </w:pPr>
                            <w:r w:rsidRPr="00D324A1">
                              <w:rPr>
                                <w:b/>
                              </w:rPr>
                              <w:t>Revenues of the general consolidated budget</w:t>
                            </w:r>
                          </w:p>
                          <w:p w:rsidR="005063CB" w:rsidRDefault="005063CB" w:rsidP="00D324A1">
                            <w:pPr>
                              <w:pStyle w:val="ListParagraph"/>
                              <w:numPr>
                                <w:ilvl w:val="0"/>
                                <w:numId w:val="237"/>
                              </w:numPr>
                            </w:pPr>
                            <w:r w:rsidRPr="00D324A1">
                              <w:rPr>
                                <w:b/>
                              </w:rPr>
                              <w:t>per types of revenues</w:t>
                            </w:r>
                            <w:r>
                              <w:t xml:space="preserve"> -        - % of GDP-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FCCEE" id="Rectangle 370" o:spid="_x0000_s1082" style="position:absolute;left:0;text-align:left;margin-left:120.45pt;margin-top:22.85pt;width:271.75pt;height:37.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">
                <v:textbox>
                  <w:txbxContent>
                    <w:p w:rsidR="005063CB" w:rsidRPr="00D324A1" w:rsidRDefault="005063CB">
                      <w:pPr>
                        <w:rPr>
                          <w:b/>
                        </w:rPr>
                      </w:pPr>
                      <w:r w:rsidRPr="00D324A1">
                        <w:rPr>
                          <w:b/>
                        </w:rPr>
                        <w:t>Revenues of the general consolidated budget</w:t>
                      </w:r>
                    </w:p>
                    <w:p w:rsidR="005063CB" w:rsidRDefault="005063CB" w:rsidP="00D324A1">
                      <w:pPr>
                        <w:pStyle w:val="ListParagraph"/>
                        <w:numPr>
                          <w:ilvl w:val="0"/>
                          <w:numId w:val="237"/>
                        </w:numPr>
                      </w:pPr>
                      <w:r w:rsidRPr="00D324A1">
                        <w:rPr>
                          <w:b/>
                        </w:rPr>
                        <w:t>per types of revenues</w:t>
                      </w:r>
                      <w:r>
                        <w:t xml:space="preserve"> -        - % of GDP-</w:t>
                      </w:r>
                    </w:p>
                  </w:txbxContent>
                </v:textbox>
              </v:rect>
            </w:pict>
          </mc:Fallback>
        </mc:AlternateContent>
      </w:r>
      <w:r>
        <w:rPr>
          <w:rFonts w:ascii="Calibri" w:hAnsi="Calibri"/>
        </w:rPr>
        <w:t xml:space="preserve">(1.5 billion Lei). </w:t>
      </w:r>
    </w:p>
    <w:p w:rsidR="005063CB" w:rsidRDefault="005063CB" w:rsidP="00FD5488">
      <w:pPr>
        <w:widowControl w:val="0"/>
        <w:spacing w:after="120"/>
        <w:jc w:val="both"/>
        <w:rPr>
          <w:rFonts w:ascii="Calibri" w:hAnsi="Calibri"/>
        </w:rPr>
      </w:pPr>
    </w:p>
    <w:p w:rsidR="005063CB" w:rsidRDefault="005063CB" w:rsidP="00FD5488">
      <w:pPr>
        <w:widowControl w:val="0"/>
        <w:spacing w:after="120"/>
        <w:jc w:val="both"/>
        <w:rPr>
          <w:rFonts w:ascii="Calibri" w:hAnsi="Calibri" w:cs="Arial"/>
        </w:rPr>
      </w:pPr>
    </w:p>
    <w:p w:rsidR="00A51352" w:rsidRDefault="00DF768F" w:rsidP="00612641">
      <w:pPr>
        <w:widowControl w:val="0"/>
        <w:spacing w:after="120"/>
        <w:jc w:val="center"/>
        <w:rPr>
          <w:rFonts w:ascii="Calibri" w:hAnsi="Calibri" w:cs="Arial"/>
        </w:rPr>
      </w:pPr>
      <w:r>
        <w:rPr>
          <w:noProof/>
          <w:lang w:val="ro-RO" w:eastAsia="ro-RO"/>
        </w:rPr>
        <mc:AlternateContent>
          <mc:Choice Requires="wps">
            <w:drawing>
              <wp:anchor distT="0" distB="0" distL="114300" distR="114300" simplePos="0" relativeHeight="251724288" behindDoc="0" locked="0" layoutInCell="1" allowOverlap="1">
                <wp:simplePos x="0" y="0"/>
                <wp:positionH relativeFrom="column">
                  <wp:posOffset>177800</wp:posOffset>
                </wp:positionH>
                <wp:positionV relativeFrom="paragraph">
                  <wp:posOffset>3263900</wp:posOffset>
                </wp:positionV>
                <wp:extent cx="5090795" cy="288290"/>
                <wp:effectExtent l="6350" t="6350" r="8255" b="10160"/>
                <wp:wrapNone/>
                <wp:docPr id="670"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0795" cy="288290"/>
                        </a:xfrm>
                        <a:prstGeom prst="rect">
                          <a:avLst/>
                        </a:prstGeom>
                        <a:solidFill>
                          <a:srgbClr val="FFFFFF"/>
                        </a:solidFill>
                        <a:ln w="9525">
                          <a:solidFill>
                            <a:srgbClr val="000000"/>
                          </a:solidFill>
                          <a:miter lim="800000"/>
                          <a:headEnd/>
                          <a:tailEnd/>
                        </a:ln>
                      </wps:spPr>
                      <wps:txbx>
                        <w:txbxContent>
                          <w:p w:rsidR="005063CB" w:rsidRPr="00D324A1" w:rsidRDefault="005063CB">
                            <w:pPr>
                              <w:rPr>
                                <w:sz w:val="20"/>
                              </w:rPr>
                            </w:pPr>
                            <w:r w:rsidRPr="00D324A1">
                              <w:rPr>
                                <w:sz w:val="20"/>
                              </w:rPr>
                              <w:t>Note:</w:t>
                            </w:r>
                            <w:r>
                              <w:rPr>
                                <w:sz w:val="20"/>
                              </w:rPr>
                              <w:t xml:space="preserve"> due to rounding offs, it is possible that the total is not equal to the sum of its components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083" style="position:absolute;left:0;text-align:left;margin-left:14pt;margin-top:257pt;width:400.85pt;height:22.7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">
                <v:textbox>
                  <w:txbxContent>
                    <w:p w:rsidR="005063CB" w:rsidRPr="00D324A1" w:rsidRDefault="005063CB">
                      <w:pPr>
                        <w:rPr>
                          <w:sz w:val="20"/>
                        </w:rPr>
                      </w:pPr>
                      <w:r w:rsidRPr="00D324A1">
                        <w:rPr>
                          <w:sz w:val="20"/>
                        </w:rPr>
                        <w:t>Note:</w:t>
                      </w:r>
                      <w:r>
                        <w:rPr>
                          <w:sz w:val="20"/>
                        </w:rPr>
                        <w:t xml:space="preserve"> due to rounding offs, it is possible that the total is not equal to the sum of its components </w:t>
                      </w:r>
                    </w:p>
                  </w:txbxContent>
                </v:textbox>
              </v:rect>
            </w:pict>
          </mc:Fallback>
        </mc:AlternateContent>
      </w:r>
      <w:r>
        <w:rPr>
          <w:noProof/>
          <w:lang w:val="ro-RO" w:eastAsia="ro-RO"/>
        </w:rPr>
        <mc:AlternateContent>
          <mc:Choice Requires="wps">
            <w:drawing>
              <wp:anchor distT="0" distB="0" distL="114300" distR="114300" simplePos="0" relativeHeight="251723264" behindDoc="0" locked="0" layoutInCell="1" allowOverlap="1">
                <wp:simplePos x="0" y="0"/>
                <wp:positionH relativeFrom="column">
                  <wp:posOffset>243840</wp:posOffset>
                </wp:positionH>
                <wp:positionV relativeFrom="paragraph">
                  <wp:posOffset>660400</wp:posOffset>
                </wp:positionV>
                <wp:extent cx="2133600" cy="2603500"/>
                <wp:effectExtent l="5715" t="12700" r="13335" b="12700"/>
                <wp:wrapNone/>
                <wp:docPr id="669"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2603500"/>
                        </a:xfrm>
                        <a:prstGeom prst="rect">
                          <a:avLst/>
                        </a:prstGeom>
                        <a:solidFill>
                          <a:srgbClr val="FFFFFF"/>
                        </a:solidFill>
                        <a:ln w="9525">
                          <a:solidFill>
                            <a:srgbClr val="000000"/>
                          </a:solidFill>
                          <a:miter lim="800000"/>
                          <a:headEnd/>
                          <a:tailEnd/>
                        </a:ln>
                      </wps:spPr>
                      <wps:txbx>
                        <w:txbxContent>
                          <w:p w:rsidR="005063CB" w:rsidRPr="00D324A1" w:rsidRDefault="005063CB">
                            <w:pPr>
                              <w:rPr>
                                <w:sz w:val="18"/>
                              </w:rPr>
                            </w:pPr>
                            <w:r w:rsidRPr="00D324A1">
                              <w:rPr>
                                <w:sz w:val="18"/>
                              </w:rPr>
                              <w:t>Total, of which:</w:t>
                            </w:r>
                          </w:p>
                          <w:p w:rsidR="005063CB" w:rsidRPr="00D324A1" w:rsidRDefault="005063CB">
                            <w:pPr>
                              <w:rPr>
                                <w:sz w:val="18"/>
                              </w:rPr>
                            </w:pPr>
                            <w:r w:rsidRPr="00D324A1">
                              <w:rPr>
                                <w:sz w:val="18"/>
                              </w:rPr>
                              <w:t>Corporate income tax</w:t>
                            </w:r>
                          </w:p>
                          <w:p w:rsidR="005063CB" w:rsidRPr="00D324A1" w:rsidRDefault="005063CB">
                            <w:pPr>
                              <w:rPr>
                                <w:sz w:val="18"/>
                              </w:rPr>
                            </w:pPr>
                            <w:r w:rsidRPr="00D324A1">
                              <w:rPr>
                                <w:sz w:val="18"/>
                              </w:rPr>
                              <w:t>Personal income tax</w:t>
                            </w:r>
                          </w:p>
                          <w:p w:rsidR="005063CB" w:rsidRPr="00D324A1" w:rsidRDefault="005063CB">
                            <w:pPr>
                              <w:rPr>
                                <w:sz w:val="18"/>
                              </w:rPr>
                            </w:pPr>
                          </w:p>
                          <w:p w:rsidR="005063CB" w:rsidRPr="00D324A1" w:rsidRDefault="005063CB">
                            <w:pPr>
                              <w:rPr>
                                <w:sz w:val="18"/>
                              </w:rPr>
                            </w:pPr>
                            <w:r w:rsidRPr="00D324A1">
                              <w:rPr>
                                <w:sz w:val="18"/>
                              </w:rPr>
                              <w:t>Taxes and charges on property</w:t>
                            </w:r>
                          </w:p>
                          <w:p w:rsidR="005063CB" w:rsidRPr="00D324A1" w:rsidRDefault="005063CB">
                            <w:pPr>
                              <w:rPr>
                                <w:sz w:val="18"/>
                              </w:rPr>
                            </w:pPr>
                            <w:r w:rsidRPr="00D324A1">
                              <w:rPr>
                                <w:sz w:val="18"/>
                              </w:rPr>
                              <w:t>Value-added tax</w:t>
                            </w:r>
                          </w:p>
                          <w:p w:rsidR="005063CB" w:rsidRPr="00D324A1" w:rsidRDefault="005063CB">
                            <w:pPr>
                              <w:rPr>
                                <w:sz w:val="18"/>
                              </w:rPr>
                            </w:pPr>
                            <w:r w:rsidRPr="00D324A1">
                              <w:rPr>
                                <w:sz w:val="18"/>
                              </w:rPr>
                              <w:t>Excise duties</w:t>
                            </w:r>
                          </w:p>
                          <w:p w:rsidR="005063CB" w:rsidRPr="00D324A1" w:rsidRDefault="005063CB">
                            <w:pPr>
                              <w:rPr>
                                <w:sz w:val="18"/>
                              </w:rPr>
                            </w:pPr>
                            <w:r w:rsidRPr="00D324A1">
                              <w:rPr>
                                <w:sz w:val="18"/>
                              </w:rPr>
                              <w:t>Tax on foreign trade</w:t>
                            </w:r>
                          </w:p>
                          <w:p w:rsidR="005063CB" w:rsidRPr="00D324A1" w:rsidRDefault="005063CB">
                            <w:pPr>
                              <w:rPr>
                                <w:sz w:val="18"/>
                              </w:rPr>
                            </w:pPr>
                            <w:r w:rsidRPr="00D324A1">
                              <w:rPr>
                                <w:sz w:val="18"/>
                              </w:rPr>
                              <w:t>Other fiscal revenues</w:t>
                            </w:r>
                          </w:p>
                          <w:p w:rsidR="005063CB" w:rsidRPr="00D324A1" w:rsidRDefault="005063CB">
                            <w:pPr>
                              <w:rPr>
                                <w:sz w:val="18"/>
                              </w:rPr>
                            </w:pPr>
                          </w:p>
                          <w:p w:rsidR="005063CB" w:rsidRPr="00D324A1" w:rsidRDefault="005063CB">
                            <w:pPr>
                              <w:rPr>
                                <w:sz w:val="18"/>
                              </w:rPr>
                            </w:pPr>
                            <w:r w:rsidRPr="00D324A1">
                              <w:rPr>
                                <w:sz w:val="18"/>
                              </w:rPr>
                              <w:t>Social insurance contributions</w:t>
                            </w:r>
                          </w:p>
                          <w:p w:rsidR="005063CB" w:rsidRPr="00D324A1" w:rsidRDefault="005063CB">
                            <w:pPr>
                              <w:rPr>
                                <w:sz w:val="18"/>
                              </w:rPr>
                            </w:pPr>
                            <w:r w:rsidRPr="00D324A1">
                              <w:rPr>
                                <w:sz w:val="18"/>
                              </w:rPr>
                              <w:t>Non-fiscal revenues</w:t>
                            </w:r>
                          </w:p>
                          <w:p w:rsidR="005063CB" w:rsidRPr="00D324A1" w:rsidRDefault="005063CB">
                            <w:pPr>
                              <w:rPr>
                                <w:sz w:val="18"/>
                              </w:rPr>
                            </w:pPr>
                            <w:r w:rsidRPr="00D324A1">
                              <w:rPr>
                                <w:sz w:val="18"/>
                              </w:rPr>
                              <w:t>Capital revenues</w:t>
                            </w:r>
                          </w:p>
                          <w:p w:rsidR="005063CB" w:rsidRPr="00D324A1" w:rsidRDefault="005063CB">
                            <w:pPr>
                              <w:rPr>
                                <w:sz w:val="18"/>
                              </w:rPr>
                            </w:pPr>
                            <w:r w:rsidRPr="00D324A1">
                              <w:rPr>
                                <w:sz w:val="18"/>
                              </w:rPr>
                              <w:t xml:space="preserve">Donations </w:t>
                            </w:r>
                          </w:p>
                          <w:p w:rsidR="005063CB" w:rsidRPr="00D324A1" w:rsidRDefault="005063CB">
                            <w:pPr>
                              <w:rPr>
                                <w:sz w:val="18"/>
                              </w:rPr>
                            </w:pPr>
                            <w:r w:rsidRPr="00D324A1">
                              <w:rPr>
                                <w:sz w:val="18"/>
                              </w:rPr>
                              <w:t>Amounts from the EU</w:t>
                            </w:r>
                          </w:p>
                          <w:p w:rsidR="005063CB" w:rsidRPr="00D324A1" w:rsidRDefault="005063CB">
                            <w:pPr>
                              <w:rPr>
                                <w:sz w:val="18"/>
                              </w:rPr>
                            </w:pPr>
                          </w:p>
                          <w:p w:rsidR="005063CB" w:rsidRPr="00D324A1" w:rsidRDefault="005063CB">
                            <w:pPr>
                              <w:rPr>
                                <w:sz w:val="18"/>
                              </w:rPr>
                            </w:pPr>
                            <w:r w:rsidRPr="00D324A1">
                              <w:rPr>
                                <w:sz w:val="18"/>
                              </w:rPr>
                              <w:t>Amounts collected in the single account of the State budget</w:t>
                            </w:r>
                            <w:r>
                              <w:rPr>
                                <w:sz w:val="18"/>
                              </w:rPr>
                              <w:t xml:space="preserve"> or in process of redistribution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84" style="position:absolute;left:0;text-align:left;margin-left:19.2pt;margin-top:52pt;width:168pt;height:20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">
                <v:textbox>
                  <w:txbxContent>
                    <w:p w:rsidR="005063CB" w:rsidRPr="00D324A1" w:rsidRDefault="005063CB">
                      <w:pPr>
                        <w:rPr>
                          <w:sz w:val="18"/>
                        </w:rPr>
                      </w:pPr>
                      <w:r w:rsidRPr="00D324A1">
                        <w:rPr>
                          <w:sz w:val="18"/>
                        </w:rPr>
                        <w:t>Total, of which:</w:t>
                      </w:r>
                    </w:p>
                    <w:p w:rsidR="005063CB" w:rsidRPr="00D324A1" w:rsidRDefault="005063CB">
                      <w:pPr>
                        <w:rPr>
                          <w:sz w:val="18"/>
                        </w:rPr>
                      </w:pPr>
                      <w:r w:rsidRPr="00D324A1">
                        <w:rPr>
                          <w:sz w:val="18"/>
                        </w:rPr>
                        <w:t>Corporate income tax</w:t>
                      </w:r>
                    </w:p>
                    <w:p w:rsidR="005063CB" w:rsidRPr="00D324A1" w:rsidRDefault="005063CB">
                      <w:pPr>
                        <w:rPr>
                          <w:sz w:val="18"/>
                        </w:rPr>
                      </w:pPr>
                      <w:r w:rsidRPr="00D324A1">
                        <w:rPr>
                          <w:sz w:val="18"/>
                        </w:rPr>
                        <w:t>Personal income tax</w:t>
                      </w:r>
                    </w:p>
                    <w:p w:rsidR="005063CB" w:rsidRPr="00D324A1" w:rsidRDefault="005063CB">
                      <w:pPr>
                        <w:rPr>
                          <w:sz w:val="18"/>
                        </w:rPr>
                      </w:pPr>
                    </w:p>
                    <w:p w:rsidR="005063CB" w:rsidRPr="00D324A1" w:rsidRDefault="005063CB">
                      <w:pPr>
                        <w:rPr>
                          <w:sz w:val="18"/>
                        </w:rPr>
                      </w:pPr>
                      <w:r w:rsidRPr="00D324A1">
                        <w:rPr>
                          <w:sz w:val="18"/>
                        </w:rPr>
                        <w:t>Taxes and charges on property</w:t>
                      </w:r>
                    </w:p>
                    <w:p w:rsidR="005063CB" w:rsidRPr="00D324A1" w:rsidRDefault="005063CB">
                      <w:pPr>
                        <w:rPr>
                          <w:sz w:val="18"/>
                        </w:rPr>
                      </w:pPr>
                      <w:r w:rsidRPr="00D324A1">
                        <w:rPr>
                          <w:sz w:val="18"/>
                        </w:rPr>
                        <w:t>Value-added tax</w:t>
                      </w:r>
                    </w:p>
                    <w:p w:rsidR="005063CB" w:rsidRPr="00D324A1" w:rsidRDefault="005063CB">
                      <w:pPr>
                        <w:rPr>
                          <w:sz w:val="18"/>
                        </w:rPr>
                      </w:pPr>
                      <w:r w:rsidRPr="00D324A1">
                        <w:rPr>
                          <w:sz w:val="18"/>
                        </w:rPr>
                        <w:t>Excise duties</w:t>
                      </w:r>
                    </w:p>
                    <w:p w:rsidR="005063CB" w:rsidRPr="00D324A1" w:rsidRDefault="005063CB">
                      <w:pPr>
                        <w:rPr>
                          <w:sz w:val="18"/>
                        </w:rPr>
                      </w:pPr>
                      <w:r w:rsidRPr="00D324A1">
                        <w:rPr>
                          <w:sz w:val="18"/>
                        </w:rPr>
                        <w:t>Tax on foreign trade</w:t>
                      </w:r>
                    </w:p>
                    <w:p w:rsidR="005063CB" w:rsidRPr="00D324A1" w:rsidRDefault="005063CB">
                      <w:pPr>
                        <w:rPr>
                          <w:sz w:val="18"/>
                        </w:rPr>
                      </w:pPr>
                      <w:r w:rsidRPr="00D324A1">
                        <w:rPr>
                          <w:sz w:val="18"/>
                        </w:rPr>
                        <w:t>Other fiscal revenues</w:t>
                      </w:r>
                    </w:p>
                    <w:p w:rsidR="005063CB" w:rsidRPr="00D324A1" w:rsidRDefault="005063CB">
                      <w:pPr>
                        <w:rPr>
                          <w:sz w:val="18"/>
                        </w:rPr>
                      </w:pPr>
                    </w:p>
                    <w:p w:rsidR="005063CB" w:rsidRPr="00D324A1" w:rsidRDefault="005063CB">
                      <w:pPr>
                        <w:rPr>
                          <w:sz w:val="18"/>
                        </w:rPr>
                      </w:pPr>
                      <w:r w:rsidRPr="00D324A1">
                        <w:rPr>
                          <w:sz w:val="18"/>
                        </w:rPr>
                        <w:t>Social insurance contributions</w:t>
                      </w:r>
                    </w:p>
                    <w:p w:rsidR="005063CB" w:rsidRPr="00D324A1" w:rsidRDefault="005063CB">
                      <w:pPr>
                        <w:rPr>
                          <w:sz w:val="18"/>
                        </w:rPr>
                      </w:pPr>
                      <w:r w:rsidRPr="00D324A1">
                        <w:rPr>
                          <w:sz w:val="18"/>
                        </w:rPr>
                        <w:t>Non-fiscal revenues</w:t>
                      </w:r>
                    </w:p>
                    <w:p w:rsidR="005063CB" w:rsidRPr="00D324A1" w:rsidRDefault="005063CB">
                      <w:pPr>
                        <w:rPr>
                          <w:sz w:val="18"/>
                        </w:rPr>
                      </w:pPr>
                      <w:r w:rsidRPr="00D324A1">
                        <w:rPr>
                          <w:sz w:val="18"/>
                        </w:rPr>
                        <w:t>Capital revenues</w:t>
                      </w:r>
                    </w:p>
                    <w:p w:rsidR="005063CB" w:rsidRPr="00D324A1" w:rsidRDefault="005063CB">
                      <w:pPr>
                        <w:rPr>
                          <w:sz w:val="18"/>
                        </w:rPr>
                      </w:pPr>
                      <w:r w:rsidRPr="00D324A1">
                        <w:rPr>
                          <w:sz w:val="18"/>
                        </w:rPr>
                        <w:t xml:space="preserve">Donations </w:t>
                      </w:r>
                    </w:p>
                    <w:p w:rsidR="005063CB" w:rsidRPr="00D324A1" w:rsidRDefault="005063CB">
                      <w:pPr>
                        <w:rPr>
                          <w:sz w:val="18"/>
                        </w:rPr>
                      </w:pPr>
                      <w:r w:rsidRPr="00D324A1">
                        <w:rPr>
                          <w:sz w:val="18"/>
                        </w:rPr>
                        <w:t>Amounts from the EU</w:t>
                      </w:r>
                    </w:p>
                    <w:p w:rsidR="005063CB" w:rsidRPr="00D324A1" w:rsidRDefault="005063CB">
                      <w:pPr>
                        <w:rPr>
                          <w:sz w:val="18"/>
                        </w:rPr>
                      </w:pPr>
                    </w:p>
                    <w:p w:rsidR="005063CB" w:rsidRPr="00D324A1" w:rsidRDefault="005063CB">
                      <w:pPr>
                        <w:rPr>
                          <w:sz w:val="18"/>
                        </w:rPr>
                      </w:pPr>
                      <w:r w:rsidRPr="00D324A1">
                        <w:rPr>
                          <w:sz w:val="18"/>
                        </w:rPr>
                        <w:t>Amounts collected in the single account of the State budget</w:t>
                      </w:r>
                      <w:r>
                        <w:rPr>
                          <w:sz w:val="18"/>
                        </w:rPr>
                        <w:t xml:space="preserve"> or in process of redistribution</w:t>
                      </w:r>
                    </w:p>
                  </w:txbxContent>
                </v:textbox>
              </v:rect>
            </w:pict>
          </mc:Fallback>
        </mc:AlternateContent>
      </w:r>
      <w:r w:rsidR="00612641">
        <w:rPr>
          <w:noProof/>
          <w:lang w:val="ro-RO" w:eastAsia="ro-RO"/>
        </w:rPr>
        <w:drawing>
          <wp:inline distT="0" distB="0" distL="0" distR="0" wp14:anchorId="311633E2" wp14:editId="3BD130A1">
            <wp:extent cx="4351570" cy="34061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72057" cy="3422176"/>
                    </a:xfrm>
                    <a:prstGeom prst="rect">
                      <a:avLst/>
                    </a:prstGeom>
                    <a:noFill/>
                    <a:ln>
                      <a:noFill/>
                    </a:ln>
                  </pic:spPr>
                </pic:pic>
              </a:graphicData>
            </a:graphic>
          </wp:inline>
        </w:drawing>
      </w:r>
    </w:p>
    <w:p w:rsidR="005063CB" w:rsidRDefault="005063CB" w:rsidP="00612641">
      <w:pPr>
        <w:widowControl w:val="0"/>
        <w:spacing w:after="120"/>
        <w:jc w:val="center"/>
        <w:rPr>
          <w:rFonts w:ascii="Calibri" w:hAnsi="Calibri" w:cs="Arial"/>
        </w:rPr>
      </w:pPr>
      <w:r>
        <w:rPr>
          <w:noProof/>
          <w:lang w:val="ro-RO" w:eastAsia="ro-RO"/>
        </w:rPr>
        <mc:AlternateContent>
          <mc:Choice Requires="wps">
            <w:drawing>
              <wp:anchor distT="0" distB="0" distL="114300" distR="114300" simplePos="0" relativeHeight="251632640" behindDoc="0" locked="0" layoutInCell="1" allowOverlap="1" wp14:anchorId="7EE1E30A" wp14:editId="3AD005F9">
                <wp:simplePos x="0" y="0"/>
                <wp:positionH relativeFrom="column">
                  <wp:posOffset>1367790</wp:posOffset>
                </wp:positionH>
                <wp:positionV relativeFrom="paragraph">
                  <wp:posOffset>222885</wp:posOffset>
                </wp:positionV>
                <wp:extent cx="3451225" cy="477520"/>
                <wp:effectExtent l="5715" t="7620" r="10160" b="10160"/>
                <wp:wrapNone/>
                <wp:docPr id="666"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1225" cy="477520"/>
                        </a:xfrm>
                        <a:prstGeom prst="rect">
                          <a:avLst/>
                        </a:prstGeom>
                        <a:solidFill>
                          <a:srgbClr val="FFFFFF"/>
                        </a:solidFill>
                        <a:ln w="9525">
                          <a:solidFill>
                            <a:srgbClr val="000000"/>
                          </a:solidFill>
                          <a:miter lim="800000"/>
                          <a:headEnd/>
                          <a:tailEnd/>
                        </a:ln>
                      </wps:spPr>
                      <wps:txbx>
                        <w:txbxContent>
                          <w:p w:rsidR="005063CB" w:rsidRPr="00D324A1" w:rsidRDefault="005063CB" w:rsidP="00D324A1">
                            <w:pPr>
                              <w:rPr>
                                <w:b/>
                              </w:rPr>
                            </w:pPr>
                            <w:r w:rsidRPr="00D324A1">
                              <w:rPr>
                                <w:b/>
                              </w:rPr>
                              <w:t>Revenues of the general consolidated budget</w:t>
                            </w:r>
                          </w:p>
                          <w:p w:rsidR="005063CB" w:rsidRDefault="005063CB" w:rsidP="00D324A1">
                            <w:pPr>
                              <w:pStyle w:val="ListParagraph"/>
                              <w:numPr>
                                <w:ilvl w:val="0"/>
                                <w:numId w:val="237"/>
                              </w:numPr>
                            </w:pPr>
                            <w:r w:rsidRPr="00D324A1">
                              <w:rPr>
                                <w:b/>
                              </w:rPr>
                              <w:t>per types of revenues</w:t>
                            </w:r>
                            <w:r>
                              <w:t xml:space="preserve"> -        - million  Lei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1E30A" id="Rectangle 373" o:spid="_x0000_s1085" style="position:absolute;left:0;text-align:left;margin-left:107.7pt;margin-top:17.55pt;width:271.75pt;height:37.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">
                <v:textbox>
                  <w:txbxContent>
                    <w:p w:rsidR="005063CB" w:rsidRPr="00D324A1" w:rsidRDefault="005063CB" w:rsidP="00D324A1">
                      <w:pPr>
                        <w:rPr>
                          <w:b/>
                        </w:rPr>
                      </w:pPr>
                      <w:r w:rsidRPr="00D324A1">
                        <w:rPr>
                          <w:b/>
                        </w:rPr>
                        <w:t>Revenues of the general consolidated budget</w:t>
                      </w:r>
                    </w:p>
                    <w:p w:rsidR="005063CB" w:rsidRDefault="005063CB" w:rsidP="00D324A1">
                      <w:pPr>
                        <w:pStyle w:val="ListParagraph"/>
                        <w:numPr>
                          <w:ilvl w:val="0"/>
                          <w:numId w:val="237"/>
                        </w:numPr>
                      </w:pPr>
                      <w:r w:rsidRPr="00D324A1">
                        <w:rPr>
                          <w:b/>
                        </w:rPr>
                        <w:t>per types of revenues</w:t>
                      </w:r>
                      <w:r>
                        <w:t xml:space="preserve"> -        - million  Lei -</w:t>
                      </w:r>
                    </w:p>
                  </w:txbxContent>
                </v:textbox>
              </v:rect>
            </w:pict>
          </mc:Fallback>
        </mc:AlternateContent>
      </w:r>
    </w:p>
    <w:p w:rsidR="005063CB" w:rsidRDefault="005063CB" w:rsidP="00612641">
      <w:pPr>
        <w:widowControl w:val="0"/>
        <w:spacing w:after="120"/>
        <w:jc w:val="center"/>
        <w:rPr>
          <w:rFonts w:ascii="Calibri" w:hAnsi="Calibri" w:cs="Arial"/>
        </w:rPr>
      </w:pPr>
    </w:p>
    <w:p w:rsidR="005063CB" w:rsidRDefault="005063CB" w:rsidP="00612641">
      <w:pPr>
        <w:widowControl w:val="0"/>
        <w:spacing w:after="120"/>
        <w:jc w:val="center"/>
        <w:rPr>
          <w:rFonts w:ascii="Calibri" w:hAnsi="Calibri" w:cs="Arial"/>
        </w:rPr>
      </w:pPr>
    </w:p>
    <w:p w:rsidR="001406A8" w:rsidRDefault="00DF768F" w:rsidP="001406A8">
      <w:pPr>
        <w:widowControl w:val="0"/>
        <w:spacing w:after="120"/>
        <w:jc w:val="center"/>
        <w:rPr>
          <w:rFonts w:ascii="Calibri" w:hAnsi="Calibri" w:cs="Arial"/>
        </w:rPr>
      </w:pPr>
      <w:r>
        <w:rPr>
          <w:noProof/>
          <w:lang w:val="ro-RO" w:eastAsia="ro-RO"/>
        </w:rPr>
        <mc:AlternateContent>
          <mc:Choice Requires="wps">
            <w:drawing>
              <wp:anchor distT="0" distB="0" distL="114300" distR="114300" simplePos="0" relativeHeight="251634688" behindDoc="0" locked="0" layoutInCell="1" allowOverlap="1" wp14:anchorId="595E55A6" wp14:editId="1308A15E">
                <wp:simplePos x="0" y="0"/>
                <wp:positionH relativeFrom="column">
                  <wp:posOffset>779145</wp:posOffset>
                </wp:positionH>
                <wp:positionV relativeFrom="paragraph">
                  <wp:posOffset>3302000</wp:posOffset>
                </wp:positionV>
                <wp:extent cx="5090795" cy="288290"/>
                <wp:effectExtent l="7620" t="6350" r="6985" b="10160"/>
                <wp:wrapNone/>
                <wp:docPr id="668"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0795" cy="288290"/>
                        </a:xfrm>
                        <a:prstGeom prst="rect">
                          <a:avLst/>
                        </a:prstGeom>
                        <a:solidFill>
                          <a:srgbClr val="FFFFFF"/>
                        </a:solidFill>
                        <a:ln w="9525">
                          <a:solidFill>
                            <a:srgbClr val="000000"/>
                          </a:solidFill>
                          <a:miter lim="800000"/>
                          <a:headEnd/>
                          <a:tailEnd/>
                        </a:ln>
                      </wps:spPr>
                      <wps:txbx>
                        <w:txbxContent>
                          <w:p w:rsidR="005063CB" w:rsidRPr="00D324A1" w:rsidRDefault="005063CB" w:rsidP="00D324A1">
                            <w:pPr>
                              <w:rPr>
                                <w:sz w:val="20"/>
                              </w:rPr>
                            </w:pPr>
                            <w:r w:rsidRPr="00D324A1">
                              <w:rPr>
                                <w:sz w:val="20"/>
                              </w:rPr>
                              <w:t>Note:</w:t>
                            </w:r>
                            <w:r>
                              <w:rPr>
                                <w:sz w:val="20"/>
                              </w:rPr>
                              <w:t xml:space="preserve"> due to rounding offs, it is possible that the total is not equal to the sum of its components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E55A6" id="Rectangle 375" o:spid="_x0000_s1086" style="position:absolute;left:0;text-align:left;margin-left:61.35pt;margin-top:260pt;width:400.85pt;height:22.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">
                <v:textbox>
                  <w:txbxContent>
                    <w:p w:rsidR="005063CB" w:rsidRPr="00D324A1" w:rsidRDefault="005063CB" w:rsidP="00D324A1">
                      <w:pPr>
                        <w:rPr>
                          <w:sz w:val="20"/>
                        </w:rPr>
                      </w:pPr>
                      <w:r w:rsidRPr="00D324A1">
                        <w:rPr>
                          <w:sz w:val="20"/>
                        </w:rPr>
                        <w:t>Note:</w:t>
                      </w:r>
                      <w:r>
                        <w:rPr>
                          <w:sz w:val="20"/>
                        </w:rPr>
                        <w:t xml:space="preserve"> due to rounding offs, it is possible that the total is not equal to the sum of its components </w:t>
                      </w:r>
                    </w:p>
                  </w:txbxContent>
                </v:textbox>
              </v:rect>
            </w:pict>
          </mc:Fallback>
        </mc:AlternateContent>
      </w:r>
      <w:r>
        <w:rPr>
          <w:noProof/>
          <w:lang w:val="ro-RO" w:eastAsia="ro-RO"/>
        </w:rPr>
        <mc:AlternateContent>
          <mc:Choice Requires="wps">
            <w:drawing>
              <wp:anchor distT="0" distB="0" distL="114300" distR="114300" simplePos="0" relativeHeight="251633664" behindDoc="0" locked="0" layoutInCell="1" allowOverlap="1" wp14:anchorId="4D234161" wp14:editId="5C9002D9">
                <wp:simplePos x="0" y="0"/>
                <wp:positionH relativeFrom="column">
                  <wp:posOffset>53975</wp:posOffset>
                </wp:positionH>
                <wp:positionV relativeFrom="paragraph">
                  <wp:posOffset>755650</wp:posOffset>
                </wp:positionV>
                <wp:extent cx="2133600" cy="2603500"/>
                <wp:effectExtent l="6350" t="12700" r="12700" b="12700"/>
                <wp:wrapNone/>
                <wp:docPr id="667"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2603500"/>
                        </a:xfrm>
                        <a:prstGeom prst="rect">
                          <a:avLst/>
                        </a:prstGeom>
                        <a:solidFill>
                          <a:srgbClr val="FFFFFF"/>
                        </a:solidFill>
                        <a:ln w="9525">
                          <a:solidFill>
                            <a:srgbClr val="000000"/>
                          </a:solidFill>
                          <a:miter lim="800000"/>
                          <a:headEnd/>
                          <a:tailEnd/>
                        </a:ln>
                      </wps:spPr>
                      <wps:txbx>
                        <w:txbxContent>
                          <w:p w:rsidR="005063CB" w:rsidRPr="00D324A1" w:rsidRDefault="005063CB" w:rsidP="00D324A1">
                            <w:pPr>
                              <w:rPr>
                                <w:sz w:val="18"/>
                              </w:rPr>
                            </w:pPr>
                            <w:r w:rsidRPr="00D324A1">
                              <w:rPr>
                                <w:sz w:val="18"/>
                              </w:rPr>
                              <w:t>Total, of which:</w:t>
                            </w:r>
                          </w:p>
                          <w:p w:rsidR="005063CB" w:rsidRPr="00D324A1" w:rsidRDefault="005063CB" w:rsidP="00D324A1">
                            <w:pPr>
                              <w:rPr>
                                <w:sz w:val="18"/>
                              </w:rPr>
                            </w:pPr>
                            <w:r w:rsidRPr="00D324A1">
                              <w:rPr>
                                <w:sz w:val="18"/>
                              </w:rPr>
                              <w:t>Corporate income tax</w:t>
                            </w:r>
                          </w:p>
                          <w:p w:rsidR="005063CB" w:rsidRPr="00D324A1" w:rsidRDefault="005063CB" w:rsidP="00D324A1">
                            <w:pPr>
                              <w:rPr>
                                <w:sz w:val="18"/>
                              </w:rPr>
                            </w:pPr>
                            <w:r w:rsidRPr="00D324A1">
                              <w:rPr>
                                <w:sz w:val="18"/>
                              </w:rPr>
                              <w:t>Personal income tax</w:t>
                            </w:r>
                          </w:p>
                          <w:p w:rsidR="005063CB" w:rsidRPr="00D324A1" w:rsidRDefault="005063CB" w:rsidP="00D324A1">
                            <w:pPr>
                              <w:rPr>
                                <w:sz w:val="18"/>
                              </w:rPr>
                            </w:pPr>
                          </w:p>
                          <w:p w:rsidR="005063CB" w:rsidRPr="00D324A1" w:rsidRDefault="005063CB" w:rsidP="00D324A1">
                            <w:pPr>
                              <w:rPr>
                                <w:sz w:val="18"/>
                              </w:rPr>
                            </w:pPr>
                            <w:r w:rsidRPr="00D324A1">
                              <w:rPr>
                                <w:sz w:val="18"/>
                              </w:rPr>
                              <w:t>Taxes and charges on property</w:t>
                            </w:r>
                          </w:p>
                          <w:p w:rsidR="005063CB" w:rsidRPr="00D324A1" w:rsidRDefault="005063CB" w:rsidP="00D324A1">
                            <w:pPr>
                              <w:rPr>
                                <w:sz w:val="18"/>
                              </w:rPr>
                            </w:pPr>
                            <w:r w:rsidRPr="00D324A1">
                              <w:rPr>
                                <w:sz w:val="18"/>
                              </w:rPr>
                              <w:t>Value-added tax</w:t>
                            </w:r>
                          </w:p>
                          <w:p w:rsidR="005063CB" w:rsidRPr="00D324A1" w:rsidRDefault="005063CB" w:rsidP="00D324A1">
                            <w:pPr>
                              <w:rPr>
                                <w:sz w:val="18"/>
                              </w:rPr>
                            </w:pPr>
                            <w:r w:rsidRPr="00D324A1">
                              <w:rPr>
                                <w:sz w:val="18"/>
                              </w:rPr>
                              <w:t>Excise duties</w:t>
                            </w:r>
                          </w:p>
                          <w:p w:rsidR="005063CB" w:rsidRPr="00D324A1" w:rsidRDefault="005063CB" w:rsidP="00D324A1">
                            <w:pPr>
                              <w:rPr>
                                <w:sz w:val="18"/>
                              </w:rPr>
                            </w:pPr>
                            <w:r w:rsidRPr="00D324A1">
                              <w:rPr>
                                <w:sz w:val="18"/>
                              </w:rPr>
                              <w:t>Tax on foreign trade</w:t>
                            </w:r>
                          </w:p>
                          <w:p w:rsidR="005063CB" w:rsidRPr="00D324A1" w:rsidRDefault="005063CB" w:rsidP="00D324A1">
                            <w:pPr>
                              <w:rPr>
                                <w:sz w:val="18"/>
                              </w:rPr>
                            </w:pPr>
                            <w:r w:rsidRPr="00D324A1">
                              <w:rPr>
                                <w:sz w:val="18"/>
                              </w:rPr>
                              <w:t>Other fiscal revenues</w:t>
                            </w:r>
                          </w:p>
                          <w:p w:rsidR="005063CB" w:rsidRPr="00D324A1" w:rsidRDefault="005063CB" w:rsidP="00D324A1">
                            <w:pPr>
                              <w:rPr>
                                <w:sz w:val="18"/>
                              </w:rPr>
                            </w:pPr>
                          </w:p>
                          <w:p w:rsidR="005063CB" w:rsidRPr="00D324A1" w:rsidRDefault="005063CB" w:rsidP="00D324A1">
                            <w:pPr>
                              <w:rPr>
                                <w:sz w:val="18"/>
                              </w:rPr>
                            </w:pPr>
                            <w:r w:rsidRPr="00D324A1">
                              <w:rPr>
                                <w:sz w:val="18"/>
                              </w:rPr>
                              <w:t>Social insurance contributions</w:t>
                            </w:r>
                          </w:p>
                          <w:p w:rsidR="005063CB" w:rsidRPr="00D324A1" w:rsidRDefault="005063CB" w:rsidP="00D324A1">
                            <w:pPr>
                              <w:rPr>
                                <w:sz w:val="18"/>
                              </w:rPr>
                            </w:pPr>
                            <w:r w:rsidRPr="00D324A1">
                              <w:rPr>
                                <w:sz w:val="18"/>
                              </w:rPr>
                              <w:t>Non-fiscal revenues</w:t>
                            </w:r>
                          </w:p>
                          <w:p w:rsidR="005063CB" w:rsidRPr="00D324A1" w:rsidRDefault="005063CB" w:rsidP="00D324A1">
                            <w:pPr>
                              <w:rPr>
                                <w:sz w:val="18"/>
                              </w:rPr>
                            </w:pPr>
                            <w:r w:rsidRPr="00D324A1">
                              <w:rPr>
                                <w:sz w:val="18"/>
                              </w:rPr>
                              <w:t>Capital revenues</w:t>
                            </w:r>
                          </w:p>
                          <w:p w:rsidR="005063CB" w:rsidRPr="00D324A1" w:rsidRDefault="005063CB" w:rsidP="00D324A1">
                            <w:pPr>
                              <w:rPr>
                                <w:sz w:val="18"/>
                              </w:rPr>
                            </w:pPr>
                            <w:r w:rsidRPr="00D324A1">
                              <w:rPr>
                                <w:sz w:val="18"/>
                              </w:rPr>
                              <w:t xml:space="preserve">Donations </w:t>
                            </w:r>
                          </w:p>
                          <w:p w:rsidR="005063CB" w:rsidRPr="00D324A1" w:rsidRDefault="005063CB" w:rsidP="00D324A1">
                            <w:pPr>
                              <w:rPr>
                                <w:sz w:val="18"/>
                              </w:rPr>
                            </w:pPr>
                            <w:r w:rsidRPr="00D324A1">
                              <w:rPr>
                                <w:sz w:val="18"/>
                              </w:rPr>
                              <w:t>Amounts from the EU</w:t>
                            </w:r>
                          </w:p>
                          <w:p w:rsidR="005063CB" w:rsidRPr="00D324A1" w:rsidRDefault="005063CB" w:rsidP="00D324A1">
                            <w:pPr>
                              <w:rPr>
                                <w:sz w:val="18"/>
                              </w:rPr>
                            </w:pPr>
                          </w:p>
                          <w:p w:rsidR="005063CB" w:rsidRPr="00D324A1" w:rsidRDefault="005063CB" w:rsidP="00D324A1">
                            <w:pPr>
                              <w:rPr>
                                <w:sz w:val="18"/>
                              </w:rPr>
                            </w:pPr>
                            <w:r w:rsidRPr="00D324A1">
                              <w:rPr>
                                <w:sz w:val="18"/>
                              </w:rPr>
                              <w:t>Amounts collected in the single account of the State budget</w:t>
                            </w:r>
                            <w:r>
                              <w:rPr>
                                <w:sz w:val="18"/>
                              </w:rPr>
                              <w:t xml:space="preserve"> or in process of redistribution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34161" id="Rectangle 374" o:spid="_x0000_s1087" style="position:absolute;left:0;text-align:left;margin-left:4.25pt;margin-top:59.5pt;width:168pt;height:2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">
                <v:textbox>
                  <w:txbxContent>
                    <w:p w:rsidR="005063CB" w:rsidRPr="00D324A1" w:rsidRDefault="005063CB" w:rsidP="00D324A1">
                      <w:pPr>
                        <w:rPr>
                          <w:sz w:val="18"/>
                        </w:rPr>
                      </w:pPr>
                      <w:r w:rsidRPr="00D324A1">
                        <w:rPr>
                          <w:sz w:val="18"/>
                        </w:rPr>
                        <w:t>Total, of which:</w:t>
                      </w:r>
                    </w:p>
                    <w:p w:rsidR="005063CB" w:rsidRPr="00D324A1" w:rsidRDefault="005063CB" w:rsidP="00D324A1">
                      <w:pPr>
                        <w:rPr>
                          <w:sz w:val="18"/>
                        </w:rPr>
                      </w:pPr>
                      <w:r w:rsidRPr="00D324A1">
                        <w:rPr>
                          <w:sz w:val="18"/>
                        </w:rPr>
                        <w:t>Corporate income tax</w:t>
                      </w:r>
                    </w:p>
                    <w:p w:rsidR="005063CB" w:rsidRPr="00D324A1" w:rsidRDefault="005063CB" w:rsidP="00D324A1">
                      <w:pPr>
                        <w:rPr>
                          <w:sz w:val="18"/>
                        </w:rPr>
                      </w:pPr>
                      <w:r w:rsidRPr="00D324A1">
                        <w:rPr>
                          <w:sz w:val="18"/>
                        </w:rPr>
                        <w:t>Personal income tax</w:t>
                      </w:r>
                    </w:p>
                    <w:p w:rsidR="005063CB" w:rsidRPr="00D324A1" w:rsidRDefault="005063CB" w:rsidP="00D324A1">
                      <w:pPr>
                        <w:rPr>
                          <w:sz w:val="18"/>
                        </w:rPr>
                      </w:pPr>
                    </w:p>
                    <w:p w:rsidR="005063CB" w:rsidRPr="00D324A1" w:rsidRDefault="005063CB" w:rsidP="00D324A1">
                      <w:pPr>
                        <w:rPr>
                          <w:sz w:val="18"/>
                        </w:rPr>
                      </w:pPr>
                      <w:r w:rsidRPr="00D324A1">
                        <w:rPr>
                          <w:sz w:val="18"/>
                        </w:rPr>
                        <w:t>Taxes and charges on property</w:t>
                      </w:r>
                    </w:p>
                    <w:p w:rsidR="005063CB" w:rsidRPr="00D324A1" w:rsidRDefault="005063CB" w:rsidP="00D324A1">
                      <w:pPr>
                        <w:rPr>
                          <w:sz w:val="18"/>
                        </w:rPr>
                      </w:pPr>
                      <w:r w:rsidRPr="00D324A1">
                        <w:rPr>
                          <w:sz w:val="18"/>
                        </w:rPr>
                        <w:t>Value-added tax</w:t>
                      </w:r>
                    </w:p>
                    <w:p w:rsidR="005063CB" w:rsidRPr="00D324A1" w:rsidRDefault="005063CB" w:rsidP="00D324A1">
                      <w:pPr>
                        <w:rPr>
                          <w:sz w:val="18"/>
                        </w:rPr>
                      </w:pPr>
                      <w:r w:rsidRPr="00D324A1">
                        <w:rPr>
                          <w:sz w:val="18"/>
                        </w:rPr>
                        <w:t>Excise duties</w:t>
                      </w:r>
                    </w:p>
                    <w:p w:rsidR="005063CB" w:rsidRPr="00D324A1" w:rsidRDefault="005063CB" w:rsidP="00D324A1">
                      <w:pPr>
                        <w:rPr>
                          <w:sz w:val="18"/>
                        </w:rPr>
                      </w:pPr>
                      <w:r w:rsidRPr="00D324A1">
                        <w:rPr>
                          <w:sz w:val="18"/>
                        </w:rPr>
                        <w:t>Tax on foreign trade</w:t>
                      </w:r>
                    </w:p>
                    <w:p w:rsidR="005063CB" w:rsidRPr="00D324A1" w:rsidRDefault="005063CB" w:rsidP="00D324A1">
                      <w:pPr>
                        <w:rPr>
                          <w:sz w:val="18"/>
                        </w:rPr>
                      </w:pPr>
                      <w:r w:rsidRPr="00D324A1">
                        <w:rPr>
                          <w:sz w:val="18"/>
                        </w:rPr>
                        <w:t>Other fiscal revenues</w:t>
                      </w:r>
                    </w:p>
                    <w:p w:rsidR="005063CB" w:rsidRPr="00D324A1" w:rsidRDefault="005063CB" w:rsidP="00D324A1">
                      <w:pPr>
                        <w:rPr>
                          <w:sz w:val="18"/>
                        </w:rPr>
                      </w:pPr>
                    </w:p>
                    <w:p w:rsidR="005063CB" w:rsidRPr="00D324A1" w:rsidRDefault="005063CB" w:rsidP="00D324A1">
                      <w:pPr>
                        <w:rPr>
                          <w:sz w:val="18"/>
                        </w:rPr>
                      </w:pPr>
                      <w:r w:rsidRPr="00D324A1">
                        <w:rPr>
                          <w:sz w:val="18"/>
                        </w:rPr>
                        <w:t>Social insurance contributions</w:t>
                      </w:r>
                    </w:p>
                    <w:p w:rsidR="005063CB" w:rsidRPr="00D324A1" w:rsidRDefault="005063CB" w:rsidP="00D324A1">
                      <w:pPr>
                        <w:rPr>
                          <w:sz w:val="18"/>
                        </w:rPr>
                      </w:pPr>
                      <w:r w:rsidRPr="00D324A1">
                        <w:rPr>
                          <w:sz w:val="18"/>
                        </w:rPr>
                        <w:t>Non-fiscal revenues</w:t>
                      </w:r>
                    </w:p>
                    <w:p w:rsidR="005063CB" w:rsidRPr="00D324A1" w:rsidRDefault="005063CB" w:rsidP="00D324A1">
                      <w:pPr>
                        <w:rPr>
                          <w:sz w:val="18"/>
                        </w:rPr>
                      </w:pPr>
                      <w:r w:rsidRPr="00D324A1">
                        <w:rPr>
                          <w:sz w:val="18"/>
                        </w:rPr>
                        <w:t>Capital revenues</w:t>
                      </w:r>
                    </w:p>
                    <w:p w:rsidR="005063CB" w:rsidRPr="00D324A1" w:rsidRDefault="005063CB" w:rsidP="00D324A1">
                      <w:pPr>
                        <w:rPr>
                          <w:sz w:val="18"/>
                        </w:rPr>
                      </w:pPr>
                      <w:r w:rsidRPr="00D324A1">
                        <w:rPr>
                          <w:sz w:val="18"/>
                        </w:rPr>
                        <w:t xml:space="preserve">Donations </w:t>
                      </w:r>
                    </w:p>
                    <w:p w:rsidR="005063CB" w:rsidRPr="00D324A1" w:rsidRDefault="005063CB" w:rsidP="00D324A1">
                      <w:pPr>
                        <w:rPr>
                          <w:sz w:val="18"/>
                        </w:rPr>
                      </w:pPr>
                      <w:r w:rsidRPr="00D324A1">
                        <w:rPr>
                          <w:sz w:val="18"/>
                        </w:rPr>
                        <w:t>Amounts from the EU</w:t>
                      </w:r>
                    </w:p>
                    <w:p w:rsidR="005063CB" w:rsidRPr="00D324A1" w:rsidRDefault="005063CB" w:rsidP="00D324A1">
                      <w:pPr>
                        <w:rPr>
                          <w:sz w:val="18"/>
                        </w:rPr>
                      </w:pPr>
                    </w:p>
                    <w:p w:rsidR="005063CB" w:rsidRPr="00D324A1" w:rsidRDefault="005063CB" w:rsidP="00D324A1">
                      <w:pPr>
                        <w:rPr>
                          <w:sz w:val="18"/>
                        </w:rPr>
                      </w:pPr>
                      <w:r w:rsidRPr="00D324A1">
                        <w:rPr>
                          <w:sz w:val="18"/>
                        </w:rPr>
                        <w:t>Amounts collected in the single account of the State budget</w:t>
                      </w:r>
                      <w:r>
                        <w:rPr>
                          <w:sz w:val="18"/>
                        </w:rPr>
                        <w:t xml:space="preserve"> or in process of redistribution</w:t>
                      </w:r>
                    </w:p>
                  </w:txbxContent>
                </v:textbox>
              </v:rect>
            </w:pict>
          </mc:Fallback>
        </mc:AlternateContent>
      </w:r>
      <w:r w:rsidR="00612641">
        <w:rPr>
          <w:noProof/>
          <w:lang w:val="ro-RO" w:eastAsia="ro-RO"/>
        </w:rPr>
        <w:drawing>
          <wp:inline distT="0" distB="0" distL="0" distR="0">
            <wp:extent cx="4389120" cy="35682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00393" cy="3577445"/>
                    </a:xfrm>
                    <a:prstGeom prst="rect">
                      <a:avLst/>
                    </a:prstGeom>
                    <a:noFill/>
                    <a:ln>
                      <a:noFill/>
                    </a:ln>
                  </pic:spPr>
                </pic:pic>
              </a:graphicData>
            </a:graphic>
          </wp:inline>
        </w:drawing>
      </w:r>
    </w:p>
    <w:p w:rsidR="001406A8" w:rsidRPr="00FD5488" w:rsidRDefault="00DF768F" w:rsidP="001406A8">
      <w:pPr>
        <w:widowControl w:val="0"/>
        <w:spacing w:after="120"/>
        <w:jc w:val="center"/>
        <w:rPr>
          <w:rFonts w:ascii="Calibri" w:hAnsi="Calibri" w:cs="Arial"/>
        </w:rPr>
      </w:pPr>
      <w:r>
        <w:rPr>
          <w:rFonts w:ascii="Calibri" w:hAnsi="Calibri"/>
          <w:noProof/>
          <w:lang w:val="ro-RO" w:eastAsia="ro-RO"/>
        </w:rPr>
        <mc:AlternateContent>
          <mc:Choice Requires="wps">
            <w:drawing>
              <wp:anchor distT="0" distB="0" distL="114300" distR="114300" simplePos="0" relativeHeight="251728384" behindDoc="0" locked="0" layoutInCell="1" allowOverlap="1">
                <wp:simplePos x="0" y="0"/>
                <wp:positionH relativeFrom="column">
                  <wp:posOffset>1627505</wp:posOffset>
                </wp:positionH>
                <wp:positionV relativeFrom="paragraph">
                  <wp:posOffset>110490</wp:posOffset>
                </wp:positionV>
                <wp:extent cx="3072765" cy="337820"/>
                <wp:effectExtent l="8255" t="5715" r="5080" b="8890"/>
                <wp:wrapNone/>
                <wp:docPr id="665"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2765" cy="337820"/>
                        </a:xfrm>
                        <a:prstGeom prst="rect">
                          <a:avLst/>
                        </a:prstGeom>
                        <a:solidFill>
                          <a:srgbClr val="FFFFFF"/>
                        </a:solidFill>
                        <a:ln w="9525">
                          <a:solidFill>
                            <a:srgbClr val="000000"/>
                          </a:solidFill>
                          <a:miter lim="800000"/>
                          <a:headEnd/>
                          <a:tailEnd/>
                        </a:ln>
                      </wps:spPr>
                      <wps:txbx>
                        <w:txbxContent>
                          <w:p w:rsidR="005063CB" w:rsidRDefault="005063CB">
                            <w:r>
                              <w:t>Evolution of budget revenues in 2016-2021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6" o:spid="_x0000_s1088" style="position:absolute;left:0;text-align:left;margin-left:128.15pt;margin-top:8.7pt;width:241.95pt;height:26.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">
                <v:textbox>
                  <w:txbxContent>
                    <w:p w:rsidR="005063CB" w:rsidRDefault="005063CB">
                      <w:r>
                        <w:t>Evolution of budget revenues in 2016-2021</w:t>
                      </w:r>
                    </w:p>
                  </w:txbxContent>
                </v:textbox>
              </v:rect>
            </w:pict>
          </mc:Fallback>
        </mc:AlternateContent>
      </w:r>
      <w:r w:rsidR="00612641">
        <w:rPr>
          <w:noProof/>
          <w:lang w:val="ro-RO" w:eastAsia="ro-RO"/>
        </w:rPr>
        <w:drawing>
          <wp:inline distT="0" distB="0" distL="0" distR="0" wp14:anchorId="41682665" wp14:editId="5395B540">
            <wp:extent cx="6264275" cy="294566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64275" cy="2945663"/>
                    </a:xfrm>
                    <a:prstGeom prst="rect">
                      <a:avLst/>
                    </a:prstGeom>
                    <a:noFill/>
                    <a:ln>
                      <a:noFill/>
                    </a:ln>
                  </pic:spPr>
                </pic:pic>
              </a:graphicData>
            </a:graphic>
          </wp:inline>
        </w:drawing>
      </w:r>
    </w:p>
    <w:p w:rsidR="00F7182D" w:rsidRPr="00C86702" w:rsidRDefault="00F7182D" w:rsidP="00F7182D">
      <w:pPr>
        <w:widowControl w:val="0"/>
        <w:tabs>
          <w:tab w:val="left" w:pos="2112"/>
        </w:tabs>
        <w:spacing w:line="320" w:lineRule="exact"/>
        <w:jc w:val="both"/>
        <w:rPr>
          <w:rFonts w:ascii="Calibri" w:hAnsi="Calibri"/>
          <w:b/>
        </w:rPr>
      </w:pPr>
      <w:r>
        <w:rPr>
          <w:rFonts w:ascii="Calibri" w:hAnsi="Calibri"/>
        </w:rPr>
        <w:t>The biggest share in the revenues of the general consolidated budget is held by the State budget, followed by the Local budgets and the Social insurance budget, the latter two changing places in 2020 in the classification made according to the level of amounts.</w:t>
      </w:r>
    </w:p>
    <w:p w:rsidR="00816145" w:rsidRDefault="00F7182D" w:rsidP="00F7182D">
      <w:pPr>
        <w:widowControl w:val="0"/>
        <w:spacing w:after="120" w:line="320" w:lineRule="exact"/>
        <w:rPr>
          <w:rFonts w:ascii="Calibri" w:hAnsi="Calibri"/>
        </w:rPr>
      </w:pPr>
      <w:r>
        <w:rPr>
          <w:rFonts w:ascii="Calibri" w:hAnsi="Calibri"/>
        </w:rPr>
        <w:t>The biggest subsidies from the State budget are received by the Local budgets and the Social insurance budget.</w:t>
      </w:r>
    </w:p>
    <w:p w:rsidR="005063CB" w:rsidRDefault="005063CB" w:rsidP="00F7182D">
      <w:pPr>
        <w:widowControl w:val="0"/>
        <w:spacing w:after="120" w:line="320" w:lineRule="exact"/>
        <w:rPr>
          <w:rFonts w:ascii="Calibri" w:hAnsi="Calibri"/>
        </w:rPr>
      </w:pPr>
      <w:r>
        <w:rPr>
          <w:noProof/>
          <w:lang w:val="ro-RO" w:eastAsia="ro-RO"/>
        </w:rPr>
        <mc:AlternateContent>
          <mc:Choice Requires="wps">
            <w:drawing>
              <wp:anchor distT="0" distB="0" distL="114300" distR="114300" simplePos="0" relativeHeight="251636736" behindDoc="0" locked="0" layoutInCell="1" allowOverlap="1" wp14:anchorId="04F30549" wp14:editId="7A1E7E48">
                <wp:simplePos x="0" y="0"/>
                <wp:positionH relativeFrom="column">
                  <wp:posOffset>1418590</wp:posOffset>
                </wp:positionH>
                <wp:positionV relativeFrom="paragraph">
                  <wp:posOffset>4445</wp:posOffset>
                </wp:positionV>
                <wp:extent cx="3286760" cy="519430"/>
                <wp:effectExtent l="13335" t="12700" r="5080" b="10795"/>
                <wp:wrapNone/>
                <wp:docPr id="664"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760" cy="519430"/>
                        </a:xfrm>
                        <a:prstGeom prst="rect">
                          <a:avLst/>
                        </a:prstGeom>
                        <a:solidFill>
                          <a:srgbClr val="FFFFFF"/>
                        </a:solidFill>
                        <a:ln w="9525">
                          <a:solidFill>
                            <a:srgbClr val="000000"/>
                          </a:solidFill>
                          <a:miter lim="800000"/>
                          <a:headEnd/>
                          <a:tailEnd/>
                        </a:ln>
                      </wps:spPr>
                      <wps:txbx>
                        <w:txbxContent>
                          <w:p w:rsidR="005063CB" w:rsidRDefault="005063CB">
                            <w:r>
                              <w:t xml:space="preserve">Revenues of the general consolidated budget </w:t>
                            </w:r>
                          </w:p>
                          <w:p w:rsidR="005063CB" w:rsidRDefault="005063CB" w:rsidP="00411858">
                            <w:pPr>
                              <w:pStyle w:val="ListParagraph"/>
                              <w:numPr>
                                <w:ilvl w:val="0"/>
                                <w:numId w:val="238"/>
                              </w:numPr>
                            </w:pPr>
                            <w:r>
                              <w:t xml:space="preserve">on component budgets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30549" id="Rectangle 377" o:spid="_x0000_s1089" style="position:absolute;margin-left:111.7pt;margin-top:.35pt;width:258.8pt;height:40.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">
                <v:textbox>
                  <w:txbxContent>
                    <w:p w:rsidR="005063CB" w:rsidRDefault="005063CB">
                      <w:r>
                        <w:t xml:space="preserve">Revenues of the general consolidated budget </w:t>
                      </w:r>
                    </w:p>
                    <w:p w:rsidR="005063CB" w:rsidRDefault="005063CB" w:rsidP="00411858">
                      <w:pPr>
                        <w:pStyle w:val="ListParagraph"/>
                        <w:numPr>
                          <w:ilvl w:val="0"/>
                          <w:numId w:val="238"/>
                        </w:numPr>
                      </w:pPr>
                      <w:r>
                        <w:t xml:space="preserve">on component budgets - </w:t>
                      </w:r>
                    </w:p>
                  </w:txbxContent>
                </v:textbox>
              </v:rect>
            </w:pict>
          </mc:Fallback>
        </mc:AlternateContent>
      </w:r>
    </w:p>
    <w:p w:rsidR="005063CB" w:rsidRPr="00816145" w:rsidRDefault="005063CB" w:rsidP="00F7182D">
      <w:pPr>
        <w:widowControl w:val="0"/>
        <w:spacing w:after="120" w:line="320" w:lineRule="exact"/>
        <w:rPr>
          <w:rFonts w:ascii="Calibri" w:hAnsi="Calibri"/>
        </w:rPr>
      </w:pPr>
    </w:p>
    <w:p w:rsidR="00847FE5" w:rsidRDefault="0071213A" w:rsidP="00F7182D">
      <w:pPr>
        <w:widowControl w:val="0"/>
        <w:spacing w:after="120" w:line="320" w:lineRule="exact"/>
        <w:rPr>
          <w:rFonts w:ascii="Calibri" w:hAnsi="Calibri"/>
          <w:b/>
          <w:color w:val="000080"/>
        </w:rPr>
      </w:pPr>
      <w:r>
        <w:rPr>
          <w:noProof/>
          <w:lang w:val="ro-RO" w:eastAsia="ro-RO"/>
        </w:rPr>
        <w:drawing>
          <wp:anchor distT="0" distB="0" distL="114300" distR="114300" simplePos="0" relativeHeight="251650560" behindDoc="0" locked="0" layoutInCell="1" allowOverlap="1" wp14:anchorId="7B4F3EEE" wp14:editId="2A2E3696">
            <wp:simplePos x="0" y="0"/>
            <wp:positionH relativeFrom="page">
              <wp:posOffset>1332865</wp:posOffset>
            </wp:positionH>
            <wp:positionV relativeFrom="paragraph">
              <wp:posOffset>102235</wp:posOffset>
            </wp:positionV>
            <wp:extent cx="5172710" cy="437388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72710" cy="43738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1213A" w:rsidRDefault="0071213A" w:rsidP="0071213A">
      <w:pPr>
        <w:widowControl w:val="0"/>
        <w:shd w:val="clear" w:color="auto" w:fill="FFFFFF" w:themeFill="background1"/>
        <w:spacing w:after="120" w:line="320" w:lineRule="exact"/>
        <w:rPr>
          <w:rFonts w:ascii="Calibri" w:hAnsi="Calibri"/>
          <w:b/>
          <w:color w:val="000080"/>
          <w:lang w:val="ro-RO"/>
        </w:rPr>
      </w:pPr>
    </w:p>
    <w:p w:rsidR="0071213A" w:rsidRDefault="0071213A" w:rsidP="0071213A">
      <w:pPr>
        <w:widowControl w:val="0"/>
        <w:shd w:val="clear" w:color="auto" w:fill="FFFFFF" w:themeFill="background1"/>
        <w:spacing w:after="120" w:line="320" w:lineRule="exact"/>
        <w:rPr>
          <w:rFonts w:ascii="Calibri" w:hAnsi="Calibri"/>
          <w:b/>
          <w:color w:val="000080"/>
          <w:lang w:val="ro-RO"/>
        </w:rPr>
      </w:pPr>
    </w:p>
    <w:p w:rsidR="0071213A" w:rsidRDefault="00DF768F" w:rsidP="0071213A">
      <w:pPr>
        <w:widowControl w:val="0"/>
        <w:shd w:val="clear" w:color="auto" w:fill="FFFFFF" w:themeFill="background1"/>
        <w:spacing w:after="120" w:line="320" w:lineRule="exact"/>
        <w:rPr>
          <w:rFonts w:ascii="Calibri" w:hAnsi="Calibri"/>
          <w:b/>
          <w:color w:val="000080"/>
          <w:lang w:val="ro-RO"/>
        </w:rPr>
      </w:pPr>
      <w:r>
        <w:rPr>
          <w:rFonts w:ascii="Calibri" w:hAnsi="Calibri"/>
          <w:b/>
          <w:noProof/>
          <w:color w:val="000080"/>
          <w:lang w:val="ro-RO" w:eastAsia="ro-RO"/>
        </w:rPr>
        <mc:AlternateContent>
          <mc:Choice Requires="wps">
            <w:drawing>
              <wp:anchor distT="0" distB="0" distL="114300" distR="114300" simplePos="0" relativeHeight="251730432" behindDoc="0" locked="0" layoutInCell="1" allowOverlap="1">
                <wp:simplePos x="0" y="0"/>
                <wp:positionH relativeFrom="column">
                  <wp:posOffset>-184785</wp:posOffset>
                </wp:positionH>
                <wp:positionV relativeFrom="paragraph">
                  <wp:posOffset>123825</wp:posOffset>
                </wp:positionV>
                <wp:extent cx="2125345" cy="3493135"/>
                <wp:effectExtent l="5715" t="9525" r="12065" b="12065"/>
                <wp:wrapNone/>
                <wp:docPr id="663"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345" cy="3493135"/>
                        </a:xfrm>
                        <a:prstGeom prst="rect">
                          <a:avLst/>
                        </a:prstGeom>
                        <a:solidFill>
                          <a:srgbClr val="FFFFFF"/>
                        </a:solidFill>
                        <a:ln w="9525">
                          <a:solidFill>
                            <a:srgbClr val="000000"/>
                          </a:solidFill>
                          <a:miter lim="800000"/>
                          <a:headEnd/>
                          <a:tailEnd/>
                        </a:ln>
                      </wps:spPr>
                      <wps:txbx>
                        <w:txbxContent>
                          <w:p w:rsidR="005063CB" w:rsidRDefault="005063CB" w:rsidP="006733B7">
                            <w:pPr>
                              <w:rPr>
                                <w:sz w:val="20"/>
                              </w:rPr>
                            </w:pPr>
                            <w:r w:rsidRPr="006733B7">
                              <w:rPr>
                                <w:sz w:val="20"/>
                              </w:rPr>
                              <w:t>Total, of which:</w:t>
                            </w:r>
                          </w:p>
                          <w:p w:rsidR="005063CB" w:rsidRDefault="005063CB" w:rsidP="006733B7">
                            <w:pPr>
                              <w:rPr>
                                <w:sz w:val="20"/>
                              </w:rPr>
                            </w:pPr>
                          </w:p>
                          <w:p w:rsidR="005063CB" w:rsidRDefault="005063CB" w:rsidP="006733B7">
                            <w:pPr>
                              <w:rPr>
                                <w:sz w:val="20"/>
                              </w:rPr>
                            </w:pPr>
                            <w:r>
                              <w:rPr>
                                <w:sz w:val="20"/>
                              </w:rPr>
                              <w:t>State budget</w:t>
                            </w:r>
                          </w:p>
                          <w:p w:rsidR="005063CB" w:rsidRDefault="005063CB" w:rsidP="006733B7">
                            <w:pPr>
                              <w:rPr>
                                <w:sz w:val="20"/>
                              </w:rPr>
                            </w:pPr>
                          </w:p>
                          <w:p w:rsidR="005063CB" w:rsidRDefault="005063CB" w:rsidP="006733B7">
                            <w:pPr>
                              <w:rPr>
                                <w:sz w:val="20"/>
                              </w:rPr>
                            </w:pPr>
                            <w:r>
                              <w:rPr>
                                <w:sz w:val="20"/>
                              </w:rPr>
                              <w:t>Centralized general budget</w:t>
                            </w:r>
                          </w:p>
                          <w:p w:rsidR="005063CB" w:rsidRDefault="005063CB" w:rsidP="006733B7">
                            <w:pPr>
                              <w:rPr>
                                <w:sz w:val="20"/>
                              </w:rPr>
                            </w:pPr>
                            <w:r>
                              <w:rPr>
                                <w:sz w:val="20"/>
                              </w:rPr>
                              <w:t>of administrative-territorial</w:t>
                            </w:r>
                          </w:p>
                          <w:p w:rsidR="005063CB" w:rsidRDefault="005063CB" w:rsidP="006733B7">
                            <w:pPr>
                              <w:rPr>
                                <w:sz w:val="20"/>
                              </w:rPr>
                            </w:pPr>
                            <w:r>
                              <w:rPr>
                                <w:sz w:val="20"/>
                              </w:rPr>
                              <w:t>units</w:t>
                            </w:r>
                          </w:p>
                          <w:p w:rsidR="005063CB" w:rsidRDefault="005063CB" w:rsidP="006733B7">
                            <w:pPr>
                              <w:rPr>
                                <w:sz w:val="20"/>
                              </w:rPr>
                            </w:pPr>
                            <w:r>
                              <w:rPr>
                                <w:sz w:val="20"/>
                              </w:rPr>
                              <w:t>Social insurance budget</w:t>
                            </w:r>
                          </w:p>
                          <w:p w:rsidR="005063CB" w:rsidRDefault="005063CB" w:rsidP="006733B7">
                            <w:pPr>
                              <w:rPr>
                                <w:sz w:val="20"/>
                              </w:rPr>
                            </w:pPr>
                          </w:p>
                          <w:p w:rsidR="005063CB" w:rsidRDefault="005063CB" w:rsidP="006733B7">
                            <w:pPr>
                              <w:rPr>
                                <w:sz w:val="20"/>
                              </w:rPr>
                            </w:pPr>
                            <w:r>
                              <w:rPr>
                                <w:sz w:val="20"/>
                              </w:rPr>
                              <w:t>Unemployment insurance</w:t>
                            </w:r>
                          </w:p>
                          <w:p w:rsidR="005063CB" w:rsidRDefault="005063CB" w:rsidP="006733B7">
                            <w:pPr>
                              <w:rPr>
                                <w:sz w:val="20"/>
                              </w:rPr>
                            </w:pPr>
                            <w:r>
                              <w:rPr>
                                <w:sz w:val="20"/>
                              </w:rPr>
                              <w:t>Budget</w:t>
                            </w:r>
                          </w:p>
                          <w:p w:rsidR="005063CB" w:rsidRDefault="005063CB" w:rsidP="006733B7">
                            <w:pPr>
                              <w:rPr>
                                <w:sz w:val="20"/>
                              </w:rPr>
                            </w:pPr>
                            <w:r>
                              <w:rPr>
                                <w:sz w:val="20"/>
                              </w:rPr>
                              <w:t xml:space="preserve">Budget of the Health Insurance </w:t>
                            </w:r>
                          </w:p>
                          <w:p w:rsidR="005063CB" w:rsidRDefault="005063CB" w:rsidP="006733B7">
                            <w:pPr>
                              <w:rPr>
                                <w:sz w:val="20"/>
                              </w:rPr>
                            </w:pPr>
                            <w:r>
                              <w:rPr>
                                <w:sz w:val="20"/>
                              </w:rPr>
                              <w:t>Fund</w:t>
                            </w:r>
                          </w:p>
                          <w:p w:rsidR="005063CB" w:rsidRDefault="005063CB" w:rsidP="006733B7">
                            <w:pPr>
                              <w:rPr>
                                <w:sz w:val="20"/>
                              </w:rPr>
                            </w:pPr>
                          </w:p>
                          <w:p w:rsidR="005063CB" w:rsidRDefault="005063CB" w:rsidP="006733B7">
                            <w:pPr>
                              <w:rPr>
                                <w:sz w:val="20"/>
                              </w:rPr>
                            </w:pPr>
                            <w:r>
                              <w:rPr>
                                <w:sz w:val="20"/>
                              </w:rPr>
                              <w:t>Budget of the institutions/activities</w:t>
                            </w:r>
                          </w:p>
                          <w:p w:rsidR="005063CB" w:rsidRDefault="005063CB" w:rsidP="006733B7">
                            <w:pPr>
                              <w:rPr>
                                <w:sz w:val="20"/>
                              </w:rPr>
                            </w:pPr>
                            <w:r>
                              <w:rPr>
                                <w:sz w:val="20"/>
                              </w:rPr>
                              <w:t>financed from own revenues</w:t>
                            </w:r>
                          </w:p>
                          <w:p w:rsidR="005063CB" w:rsidRDefault="005063CB" w:rsidP="006733B7">
                            <w:pPr>
                              <w:rPr>
                                <w:sz w:val="20"/>
                              </w:rPr>
                            </w:pPr>
                          </w:p>
                          <w:p w:rsidR="005063CB" w:rsidRDefault="005063CB" w:rsidP="006733B7">
                            <w:pPr>
                              <w:rPr>
                                <w:sz w:val="20"/>
                              </w:rPr>
                            </w:pPr>
                            <w:r>
                              <w:rPr>
                                <w:sz w:val="20"/>
                              </w:rPr>
                              <w:t>Other components of</w:t>
                            </w:r>
                          </w:p>
                          <w:p w:rsidR="005063CB" w:rsidRDefault="005063CB" w:rsidP="006733B7">
                            <w:pPr>
                              <w:rPr>
                                <w:sz w:val="20"/>
                              </w:rPr>
                            </w:pPr>
                            <w:r>
                              <w:rPr>
                                <w:sz w:val="20"/>
                              </w:rPr>
                              <w:t>the general consolidated budget</w:t>
                            </w:r>
                          </w:p>
                          <w:p w:rsidR="005063CB" w:rsidRDefault="005063CB" w:rsidP="006733B7">
                            <w:pPr>
                              <w:rPr>
                                <w:sz w:val="20"/>
                              </w:rPr>
                            </w:pPr>
                          </w:p>
                          <w:p w:rsidR="005063CB" w:rsidRDefault="005063CB" w:rsidP="006733B7">
                            <w:pPr>
                              <w:rPr>
                                <w:sz w:val="20"/>
                              </w:rPr>
                            </w:pPr>
                            <w:r>
                              <w:rPr>
                                <w:sz w:val="20"/>
                              </w:rPr>
                              <w:t xml:space="preserve">Transfers between the budgets and </w:t>
                            </w:r>
                          </w:p>
                          <w:p w:rsidR="005063CB" w:rsidRPr="006733B7" w:rsidRDefault="005063CB" w:rsidP="006733B7">
                            <w:pPr>
                              <w:rPr>
                                <w:sz w:val="20"/>
                              </w:rPr>
                            </w:pPr>
                            <w:r>
                              <w:rPr>
                                <w:sz w:val="20"/>
                              </w:rPr>
                              <w:t>financial operations (shall be deducted)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8" o:spid="_x0000_s1090" style="position:absolute;margin-left:-14.55pt;margin-top:9.75pt;width:167.35pt;height:275.0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">
                <v:textbox>
                  <w:txbxContent>
                    <w:p w:rsidR="005063CB" w:rsidRDefault="005063CB" w:rsidP="006733B7">
                      <w:pPr>
                        <w:rPr>
                          <w:sz w:val="20"/>
                        </w:rPr>
                      </w:pPr>
                      <w:r w:rsidRPr="006733B7">
                        <w:rPr>
                          <w:sz w:val="20"/>
                        </w:rPr>
                        <w:t>Total, of which:</w:t>
                      </w:r>
                    </w:p>
                    <w:p w:rsidR="005063CB" w:rsidRDefault="005063CB" w:rsidP="006733B7">
                      <w:pPr>
                        <w:rPr>
                          <w:sz w:val="20"/>
                        </w:rPr>
                      </w:pPr>
                    </w:p>
                    <w:p w:rsidR="005063CB" w:rsidRDefault="005063CB" w:rsidP="006733B7">
                      <w:pPr>
                        <w:rPr>
                          <w:sz w:val="20"/>
                        </w:rPr>
                      </w:pPr>
                      <w:r>
                        <w:rPr>
                          <w:sz w:val="20"/>
                        </w:rPr>
                        <w:t>State budget</w:t>
                      </w:r>
                    </w:p>
                    <w:p w:rsidR="005063CB" w:rsidRDefault="005063CB" w:rsidP="006733B7">
                      <w:pPr>
                        <w:rPr>
                          <w:sz w:val="20"/>
                        </w:rPr>
                      </w:pPr>
                    </w:p>
                    <w:p w:rsidR="005063CB" w:rsidRDefault="005063CB" w:rsidP="006733B7">
                      <w:pPr>
                        <w:rPr>
                          <w:sz w:val="20"/>
                        </w:rPr>
                      </w:pPr>
                      <w:r>
                        <w:rPr>
                          <w:sz w:val="20"/>
                        </w:rPr>
                        <w:t>Centralized general budget</w:t>
                      </w:r>
                    </w:p>
                    <w:p w:rsidR="005063CB" w:rsidRDefault="005063CB" w:rsidP="006733B7">
                      <w:pPr>
                        <w:rPr>
                          <w:sz w:val="20"/>
                        </w:rPr>
                      </w:pPr>
                      <w:r>
                        <w:rPr>
                          <w:sz w:val="20"/>
                        </w:rPr>
                        <w:t>of administrative-territorial</w:t>
                      </w:r>
                    </w:p>
                    <w:p w:rsidR="005063CB" w:rsidRDefault="005063CB" w:rsidP="006733B7">
                      <w:pPr>
                        <w:rPr>
                          <w:sz w:val="20"/>
                        </w:rPr>
                      </w:pPr>
                      <w:r>
                        <w:rPr>
                          <w:sz w:val="20"/>
                        </w:rPr>
                        <w:t>units</w:t>
                      </w:r>
                    </w:p>
                    <w:p w:rsidR="005063CB" w:rsidRDefault="005063CB" w:rsidP="006733B7">
                      <w:pPr>
                        <w:rPr>
                          <w:sz w:val="20"/>
                        </w:rPr>
                      </w:pPr>
                      <w:r>
                        <w:rPr>
                          <w:sz w:val="20"/>
                        </w:rPr>
                        <w:t>Social insurance budget</w:t>
                      </w:r>
                    </w:p>
                    <w:p w:rsidR="005063CB" w:rsidRDefault="005063CB" w:rsidP="006733B7">
                      <w:pPr>
                        <w:rPr>
                          <w:sz w:val="20"/>
                        </w:rPr>
                      </w:pPr>
                    </w:p>
                    <w:p w:rsidR="005063CB" w:rsidRDefault="005063CB" w:rsidP="006733B7">
                      <w:pPr>
                        <w:rPr>
                          <w:sz w:val="20"/>
                        </w:rPr>
                      </w:pPr>
                      <w:r>
                        <w:rPr>
                          <w:sz w:val="20"/>
                        </w:rPr>
                        <w:t>Unemployment insurance</w:t>
                      </w:r>
                    </w:p>
                    <w:p w:rsidR="005063CB" w:rsidRDefault="005063CB" w:rsidP="006733B7">
                      <w:pPr>
                        <w:rPr>
                          <w:sz w:val="20"/>
                        </w:rPr>
                      </w:pPr>
                      <w:r>
                        <w:rPr>
                          <w:sz w:val="20"/>
                        </w:rPr>
                        <w:t>Budget</w:t>
                      </w:r>
                    </w:p>
                    <w:p w:rsidR="005063CB" w:rsidRDefault="005063CB" w:rsidP="006733B7">
                      <w:pPr>
                        <w:rPr>
                          <w:sz w:val="20"/>
                        </w:rPr>
                      </w:pPr>
                      <w:r>
                        <w:rPr>
                          <w:sz w:val="20"/>
                        </w:rPr>
                        <w:t xml:space="preserve">Budget of the Health Insurance </w:t>
                      </w:r>
                    </w:p>
                    <w:p w:rsidR="005063CB" w:rsidRDefault="005063CB" w:rsidP="006733B7">
                      <w:pPr>
                        <w:rPr>
                          <w:sz w:val="20"/>
                        </w:rPr>
                      </w:pPr>
                      <w:r>
                        <w:rPr>
                          <w:sz w:val="20"/>
                        </w:rPr>
                        <w:t>Fund</w:t>
                      </w:r>
                    </w:p>
                    <w:p w:rsidR="005063CB" w:rsidRDefault="005063CB" w:rsidP="006733B7">
                      <w:pPr>
                        <w:rPr>
                          <w:sz w:val="20"/>
                        </w:rPr>
                      </w:pPr>
                    </w:p>
                    <w:p w:rsidR="005063CB" w:rsidRDefault="005063CB" w:rsidP="006733B7">
                      <w:pPr>
                        <w:rPr>
                          <w:sz w:val="20"/>
                        </w:rPr>
                      </w:pPr>
                      <w:r>
                        <w:rPr>
                          <w:sz w:val="20"/>
                        </w:rPr>
                        <w:t>Budget of the institutions/activities</w:t>
                      </w:r>
                    </w:p>
                    <w:p w:rsidR="005063CB" w:rsidRDefault="005063CB" w:rsidP="006733B7">
                      <w:pPr>
                        <w:rPr>
                          <w:sz w:val="20"/>
                        </w:rPr>
                      </w:pPr>
                      <w:r>
                        <w:rPr>
                          <w:sz w:val="20"/>
                        </w:rPr>
                        <w:t>financed from own revenues</w:t>
                      </w:r>
                    </w:p>
                    <w:p w:rsidR="005063CB" w:rsidRDefault="005063CB" w:rsidP="006733B7">
                      <w:pPr>
                        <w:rPr>
                          <w:sz w:val="20"/>
                        </w:rPr>
                      </w:pPr>
                    </w:p>
                    <w:p w:rsidR="005063CB" w:rsidRDefault="005063CB" w:rsidP="006733B7">
                      <w:pPr>
                        <w:rPr>
                          <w:sz w:val="20"/>
                        </w:rPr>
                      </w:pPr>
                      <w:r>
                        <w:rPr>
                          <w:sz w:val="20"/>
                        </w:rPr>
                        <w:t>Other components of</w:t>
                      </w:r>
                    </w:p>
                    <w:p w:rsidR="005063CB" w:rsidRDefault="005063CB" w:rsidP="006733B7">
                      <w:pPr>
                        <w:rPr>
                          <w:sz w:val="20"/>
                        </w:rPr>
                      </w:pPr>
                      <w:r>
                        <w:rPr>
                          <w:sz w:val="20"/>
                        </w:rPr>
                        <w:t>the general consolidated budget</w:t>
                      </w:r>
                    </w:p>
                    <w:p w:rsidR="005063CB" w:rsidRDefault="005063CB" w:rsidP="006733B7">
                      <w:pPr>
                        <w:rPr>
                          <w:sz w:val="20"/>
                        </w:rPr>
                      </w:pPr>
                    </w:p>
                    <w:p w:rsidR="005063CB" w:rsidRDefault="005063CB" w:rsidP="006733B7">
                      <w:pPr>
                        <w:rPr>
                          <w:sz w:val="20"/>
                        </w:rPr>
                      </w:pPr>
                      <w:r>
                        <w:rPr>
                          <w:sz w:val="20"/>
                        </w:rPr>
                        <w:t xml:space="preserve">Transfers between the budgets and </w:t>
                      </w:r>
                    </w:p>
                    <w:p w:rsidR="005063CB" w:rsidRPr="006733B7" w:rsidRDefault="005063CB" w:rsidP="006733B7">
                      <w:pPr>
                        <w:rPr>
                          <w:sz w:val="20"/>
                        </w:rPr>
                      </w:pPr>
                      <w:r>
                        <w:rPr>
                          <w:sz w:val="20"/>
                        </w:rPr>
                        <w:t>financial operations (shall be deducted)</w:t>
                      </w:r>
                    </w:p>
                  </w:txbxContent>
                </v:textbox>
              </v:rect>
            </w:pict>
          </mc:Fallback>
        </mc:AlternateContent>
      </w:r>
    </w:p>
    <w:p w:rsidR="0071213A" w:rsidRDefault="0071213A" w:rsidP="0071213A">
      <w:pPr>
        <w:widowControl w:val="0"/>
        <w:shd w:val="clear" w:color="auto" w:fill="FFFFFF" w:themeFill="background1"/>
        <w:spacing w:after="120" w:line="320" w:lineRule="exact"/>
        <w:rPr>
          <w:rFonts w:ascii="Calibri" w:hAnsi="Calibri"/>
          <w:b/>
          <w:color w:val="000080"/>
          <w:lang w:val="ro-RO"/>
        </w:rPr>
      </w:pPr>
    </w:p>
    <w:p w:rsidR="0071213A" w:rsidRDefault="0071213A" w:rsidP="0071213A">
      <w:pPr>
        <w:widowControl w:val="0"/>
        <w:shd w:val="clear" w:color="auto" w:fill="FFFFFF" w:themeFill="background1"/>
        <w:spacing w:after="120" w:line="320" w:lineRule="exact"/>
        <w:rPr>
          <w:rFonts w:ascii="Calibri" w:hAnsi="Calibri"/>
          <w:b/>
          <w:color w:val="000080"/>
          <w:lang w:val="ro-RO"/>
        </w:rPr>
      </w:pPr>
    </w:p>
    <w:p w:rsidR="0071213A" w:rsidRDefault="0071213A" w:rsidP="0071213A">
      <w:pPr>
        <w:widowControl w:val="0"/>
        <w:shd w:val="clear" w:color="auto" w:fill="FFFFFF" w:themeFill="background1"/>
        <w:spacing w:after="120" w:line="320" w:lineRule="exact"/>
        <w:rPr>
          <w:rFonts w:ascii="Calibri" w:hAnsi="Calibri"/>
          <w:b/>
          <w:color w:val="000080"/>
          <w:lang w:val="ro-RO"/>
        </w:rPr>
      </w:pPr>
    </w:p>
    <w:p w:rsidR="0071213A" w:rsidRDefault="0071213A" w:rsidP="0071213A">
      <w:pPr>
        <w:widowControl w:val="0"/>
        <w:shd w:val="clear" w:color="auto" w:fill="FFFFFF" w:themeFill="background1"/>
        <w:spacing w:after="120" w:line="320" w:lineRule="exact"/>
        <w:rPr>
          <w:rFonts w:ascii="Calibri" w:hAnsi="Calibri"/>
          <w:b/>
          <w:color w:val="000080"/>
          <w:lang w:val="ro-RO"/>
        </w:rPr>
      </w:pPr>
    </w:p>
    <w:p w:rsidR="0071213A" w:rsidRDefault="0071213A" w:rsidP="0071213A">
      <w:pPr>
        <w:widowControl w:val="0"/>
        <w:shd w:val="clear" w:color="auto" w:fill="FFFFFF" w:themeFill="background1"/>
        <w:spacing w:after="120" w:line="320" w:lineRule="exact"/>
        <w:rPr>
          <w:rFonts w:ascii="Calibri" w:hAnsi="Calibri"/>
          <w:b/>
          <w:color w:val="000080"/>
          <w:lang w:val="ro-RO"/>
        </w:rPr>
      </w:pPr>
    </w:p>
    <w:p w:rsidR="0071213A" w:rsidRDefault="0071213A" w:rsidP="0071213A">
      <w:pPr>
        <w:widowControl w:val="0"/>
        <w:shd w:val="clear" w:color="auto" w:fill="FFFFFF" w:themeFill="background1"/>
        <w:spacing w:after="120" w:line="320" w:lineRule="exact"/>
        <w:rPr>
          <w:rFonts w:ascii="Calibri" w:hAnsi="Calibri"/>
          <w:b/>
          <w:color w:val="000080"/>
          <w:lang w:val="ro-RO"/>
        </w:rPr>
      </w:pPr>
    </w:p>
    <w:p w:rsidR="0071213A" w:rsidRDefault="0071213A" w:rsidP="0071213A">
      <w:pPr>
        <w:widowControl w:val="0"/>
        <w:shd w:val="clear" w:color="auto" w:fill="FFFFFF" w:themeFill="background1"/>
        <w:spacing w:after="120" w:line="320" w:lineRule="exact"/>
        <w:rPr>
          <w:rFonts w:ascii="Calibri" w:hAnsi="Calibri"/>
          <w:b/>
          <w:color w:val="000080"/>
          <w:lang w:val="ro-RO"/>
        </w:rPr>
      </w:pPr>
    </w:p>
    <w:p w:rsidR="0071213A" w:rsidRDefault="0071213A" w:rsidP="0071213A">
      <w:pPr>
        <w:widowControl w:val="0"/>
        <w:shd w:val="clear" w:color="auto" w:fill="FFFFFF" w:themeFill="background1"/>
        <w:spacing w:after="120" w:line="320" w:lineRule="exact"/>
        <w:rPr>
          <w:rFonts w:ascii="Calibri" w:hAnsi="Calibri"/>
          <w:b/>
          <w:color w:val="000080"/>
          <w:lang w:val="ro-RO"/>
        </w:rPr>
      </w:pPr>
    </w:p>
    <w:p w:rsidR="0071213A" w:rsidRDefault="0071213A" w:rsidP="0071213A">
      <w:pPr>
        <w:widowControl w:val="0"/>
        <w:shd w:val="clear" w:color="auto" w:fill="FFFFFF" w:themeFill="background1"/>
        <w:spacing w:after="120" w:line="320" w:lineRule="exact"/>
        <w:rPr>
          <w:rFonts w:ascii="Calibri" w:hAnsi="Calibri"/>
          <w:b/>
          <w:color w:val="000080"/>
          <w:lang w:val="ro-RO"/>
        </w:rPr>
      </w:pPr>
    </w:p>
    <w:p w:rsidR="0071213A" w:rsidRDefault="0071213A" w:rsidP="0071213A">
      <w:pPr>
        <w:widowControl w:val="0"/>
        <w:shd w:val="clear" w:color="auto" w:fill="FFFFFF" w:themeFill="background1"/>
        <w:spacing w:after="120" w:line="320" w:lineRule="exact"/>
        <w:rPr>
          <w:rFonts w:ascii="Calibri" w:hAnsi="Calibri"/>
          <w:b/>
          <w:color w:val="000080"/>
          <w:lang w:val="ro-RO"/>
        </w:rPr>
      </w:pPr>
    </w:p>
    <w:p w:rsidR="0071213A" w:rsidRDefault="0071213A" w:rsidP="0071213A">
      <w:pPr>
        <w:widowControl w:val="0"/>
        <w:shd w:val="clear" w:color="auto" w:fill="FFFFFF" w:themeFill="background1"/>
        <w:spacing w:after="120" w:line="320" w:lineRule="exact"/>
        <w:rPr>
          <w:rFonts w:ascii="Calibri" w:hAnsi="Calibri"/>
          <w:b/>
          <w:color w:val="000080"/>
          <w:lang w:val="ro-RO"/>
        </w:rPr>
      </w:pPr>
    </w:p>
    <w:p w:rsidR="0071213A" w:rsidRDefault="00DF768F" w:rsidP="0071213A">
      <w:pPr>
        <w:widowControl w:val="0"/>
        <w:shd w:val="clear" w:color="auto" w:fill="FFFFFF" w:themeFill="background1"/>
        <w:spacing w:after="120" w:line="320" w:lineRule="exact"/>
        <w:rPr>
          <w:rFonts w:ascii="Calibri" w:hAnsi="Calibri"/>
          <w:b/>
          <w:color w:val="000080"/>
          <w:lang w:val="ro-RO"/>
        </w:rPr>
      </w:pPr>
      <w:r>
        <w:rPr>
          <w:rFonts w:ascii="Calibri" w:hAnsi="Calibri"/>
          <w:noProof/>
          <w:lang w:val="ro-RO" w:eastAsia="ro-RO"/>
        </w:rPr>
        <mc:AlternateContent>
          <mc:Choice Requires="wps">
            <w:drawing>
              <wp:anchor distT="0" distB="0" distL="114300" distR="114300" simplePos="0" relativeHeight="251731456" behindDoc="0" locked="0" layoutInCell="1" allowOverlap="1">
                <wp:simplePos x="0" y="0"/>
                <wp:positionH relativeFrom="column">
                  <wp:posOffset>782320</wp:posOffset>
                </wp:positionH>
                <wp:positionV relativeFrom="paragraph">
                  <wp:posOffset>82550</wp:posOffset>
                </wp:positionV>
                <wp:extent cx="5090795" cy="288290"/>
                <wp:effectExtent l="10795" t="6350" r="13335" b="10160"/>
                <wp:wrapNone/>
                <wp:docPr id="662"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0795" cy="288290"/>
                        </a:xfrm>
                        <a:prstGeom prst="rect">
                          <a:avLst/>
                        </a:prstGeom>
                        <a:solidFill>
                          <a:srgbClr val="FFFFFF"/>
                        </a:solidFill>
                        <a:ln w="9525">
                          <a:solidFill>
                            <a:srgbClr val="000000"/>
                          </a:solidFill>
                          <a:miter lim="800000"/>
                          <a:headEnd/>
                          <a:tailEnd/>
                        </a:ln>
                      </wps:spPr>
                      <wps:txbx>
                        <w:txbxContent>
                          <w:p w:rsidR="005063CB" w:rsidRPr="00D324A1" w:rsidRDefault="005063CB" w:rsidP="006733B7">
                            <w:pPr>
                              <w:rPr>
                                <w:sz w:val="20"/>
                              </w:rPr>
                            </w:pPr>
                            <w:r w:rsidRPr="00D324A1">
                              <w:rPr>
                                <w:sz w:val="20"/>
                              </w:rPr>
                              <w:t>Note:</w:t>
                            </w:r>
                            <w:r>
                              <w:rPr>
                                <w:sz w:val="20"/>
                              </w:rPr>
                              <w:t xml:space="preserve"> due to rounding offs, it is possible that the total is not equal to the sum of its components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9" o:spid="_x0000_s1091" style="position:absolute;margin-left:61.6pt;margin-top:6.5pt;width:400.85pt;height:22.7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">
                <v:textbox>
                  <w:txbxContent>
                    <w:p w:rsidR="005063CB" w:rsidRPr="00D324A1" w:rsidRDefault="005063CB" w:rsidP="006733B7">
                      <w:pPr>
                        <w:rPr>
                          <w:sz w:val="20"/>
                        </w:rPr>
                      </w:pPr>
                      <w:r w:rsidRPr="00D324A1">
                        <w:rPr>
                          <w:sz w:val="20"/>
                        </w:rPr>
                        <w:t>Note:</w:t>
                      </w:r>
                      <w:r>
                        <w:rPr>
                          <w:sz w:val="20"/>
                        </w:rPr>
                        <w:t xml:space="preserve"> due to rounding offs, it is possible that the total is not equal to the sum of its components </w:t>
                      </w:r>
                    </w:p>
                  </w:txbxContent>
                </v:textbox>
              </v:rect>
            </w:pict>
          </mc:Fallback>
        </mc:AlternateContent>
      </w:r>
    </w:p>
    <w:p w:rsidR="004A46C1" w:rsidRDefault="004A46C1" w:rsidP="0071213A">
      <w:pPr>
        <w:widowControl w:val="0"/>
        <w:shd w:val="clear" w:color="auto" w:fill="FFFFFF" w:themeFill="background1"/>
        <w:spacing w:after="120" w:line="320" w:lineRule="exact"/>
        <w:rPr>
          <w:rFonts w:ascii="Calibri" w:hAnsi="Calibri"/>
          <w:b/>
          <w:color w:val="000080"/>
          <w:lang w:val="ro-RO"/>
        </w:rPr>
      </w:pPr>
    </w:p>
    <w:p w:rsidR="0038187A" w:rsidRDefault="00CB19C5" w:rsidP="0038187A">
      <w:pPr>
        <w:widowControl w:val="0"/>
        <w:shd w:val="clear" w:color="auto" w:fill="99CCFF"/>
        <w:spacing w:after="120" w:line="320" w:lineRule="exact"/>
        <w:rPr>
          <w:rFonts w:ascii="Calibri" w:hAnsi="Calibri"/>
          <w:b/>
          <w:color w:val="000080"/>
        </w:rPr>
      </w:pPr>
      <w:r>
        <w:rPr>
          <w:rFonts w:ascii="Calibri" w:hAnsi="Calibri"/>
          <w:b/>
          <w:color w:val="000080"/>
        </w:rPr>
        <w:t>4.5.2 Recent evolutions and tendencies of the budgetary expenditures</w:t>
      </w:r>
      <w:r w:rsidR="00CF2F72" w:rsidRPr="00C86702">
        <w:rPr>
          <w:rStyle w:val="FootnoteReference"/>
          <w:rFonts w:ascii="Calibri" w:hAnsi="Calibri"/>
          <w:b/>
          <w:color w:val="000080"/>
          <w:lang w:val="ro-RO"/>
        </w:rPr>
        <w:footnoteReference w:id="20"/>
      </w:r>
    </w:p>
    <w:p w:rsidR="007A2259" w:rsidRDefault="00AD5D67" w:rsidP="00E47D5A">
      <w:pPr>
        <w:widowControl w:val="0"/>
        <w:spacing w:after="120" w:line="320" w:lineRule="exact"/>
        <w:jc w:val="both"/>
        <w:rPr>
          <w:rFonts w:asciiTheme="minorHAnsi" w:hAnsiTheme="minorHAnsi"/>
        </w:rPr>
      </w:pPr>
      <w:r>
        <w:rPr>
          <w:rFonts w:asciiTheme="minorHAnsi" w:hAnsiTheme="minorHAnsi"/>
        </w:rPr>
        <w:t>For 2019 it is found a significant increase of total expenditures, which is mainly owed to the increase of allocations for personnel expenditures, but especially to the increase by approximately 1.3 percentage points relative to GDP of allocations for investments.</w:t>
      </w:r>
    </w:p>
    <w:p w:rsidR="00224D08" w:rsidRDefault="007A2259" w:rsidP="00E47D5A">
      <w:pPr>
        <w:widowControl w:val="0"/>
        <w:spacing w:after="120" w:line="320" w:lineRule="exact"/>
        <w:jc w:val="both"/>
        <w:rPr>
          <w:rFonts w:asciiTheme="minorHAnsi" w:hAnsiTheme="minorHAnsi"/>
        </w:rPr>
      </w:pPr>
      <w:r>
        <w:t>After the increase in 2019, the share in the GDP of total budget expenditures follows a descending trend on medium term in order to allow the adjustment of the budget deficit.</w:t>
      </w:r>
    </w:p>
    <w:p w:rsidR="00DB168D" w:rsidRDefault="00DB168D" w:rsidP="00E47D5A">
      <w:pPr>
        <w:widowControl w:val="0"/>
        <w:spacing w:after="120" w:line="320" w:lineRule="exact"/>
        <w:jc w:val="both"/>
        <w:rPr>
          <w:rFonts w:asciiTheme="minorHAnsi" w:hAnsiTheme="minorHAnsi"/>
        </w:rPr>
      </w:pPr>
      <w:r>
        <w:rPr>
          <w:rFonts w:asciiTheme="minorHAnsi" w:hAnsiTheme="minorHAnsi"/>
        </w:rPr>
        <w:t>In spite of this adjustment, in nominal terms the increase of expenditures is scheduled with a positive nominal dynamic compared to 2018, the biggest increases being registered in the case of personnel expenditures, investment expenditures, and social assistance expenditures, all of them having a higher nominal dynamic to that of the GDP on the forecast interval.</w:t>
      </w:r>
    </w:p>
    <w:p w:rsidR="006733B7" w:rsidRDefault="005063CB" w:rsidP="00E47D5A">
      <w:pPr>
        <w:widowControl w:val="0"/>
        <w:spacing w:after="120" w:line="320" w:lineRule="exact"/>
        <w:jc w:val="both"/>
        <w:rPr>
          <w:rFonts w:asciiTheme="minorHAnsi" w:hAnsiTheme="minorHAnsi"/>
        </w:rPr>
      </w:pPr>
      <w:r>
        <w:rPr>
          <w:noProof/>
          <w:lang w:val="ro-RO" w:eastAsia="ro-RO"/>
        </w:rPr>
        <mc:AlternateContent>
          <mc:Choice Requires="wps">
            <w:drawing>
              <wp:anchor distT="0" distB="0" distL="114300" distR="114300" simplePos="0" relativeHeight="251641856" behindDoc="0" locked="0" layoutInCell="1" allowOverlap="1" wp14:anchorId="5220BB2E" wp14:editId="4CB9B7F7">
                <wp:simplePos x="0" y="0"/>
                <wp:positionH relativeFrom="column">
                  <wp:posOffset>1473835</wp:posOffset>
                </wp:positionH>
                <wp:positionV relativeFrom="paragraph">
                  <wp:posOffset>124460</wp:posOffset>
                </wp:positionV>
                <wp:extent cx="2907665" cy="412115"/>
                <wp:effectExtent l="6985" t="13335" r="9525" b="12700"/>
                <wp:wrapNone/>
                <wp:docPr id="661"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7665" cy="412115"/>
                        </a:xfrm>
                        <a:prstGeom prst="rect">
                          <a:avLst/>
                        </a:prstGeom>
                        <a:solidFill>
                          <a:srgbClr val="FFFFFF"/>
                        </a:solidFill>
                        <a:ln w="9525">
                          <a:solidFill>
                            <a:srgbClr val="000000"/>
                          </a:solidFill>
                          <a:miter lim="800000"/>
                          <a:headEnd/>
                          <a:tailEnd/>
                        </a:ln>
                      </wps:spPr>
                      <wps:txbx>
                        <w:txbxContent>
                          <w:p w:rsidR="005063CB" w:rsidRPr="006733B7" w:rsidRDefault="005063CB">
                            <w:pPr>
                              <w:rPr>
                                <w:b/>
                                <w:sz w:val="20"/>
                              </w:rPr>
                            </w:pPr>
                            <w:r w:rsidRPr="006733B7">
                              <w:rPr>
                                <w:b/>
                                <w:sz w:val="20"/>
                              </w:rPr>
                              <w:t>Expenditures of the general consolidated budget</w:t>
                            </w:r>
                          </w:p>
                          <w:p w:rsidR="005063CB" w:rsidRPr="006733B7" w:rsidRDefault="005063CB" w:rsidP="006733B7">
                            <w:pPr>
                              <w:pStyle w:val="ListParagraph"/>
                              <w:numPr>
                                <w:ilvl w:val="0"/>
                                <w:numId w:val="239"/>
                              </w:numPr>
                              <w:rPr>
                                <w:b/>
                                <w:sz w:val="20"/>
                              </w:rPr>
                            </w:pPr>
                            <w:r w:rsidRPr="006733B7">
                              <w:rPr>
                                <w:b/>
                                <w:sz w:val="20"/>
                              </w:rPr>
                              <w:t xml:space="preserve">on economic classification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0BB2E" id="Rectangle 380" o:spid="_x0000_s1092" style="position:absolute;left:0;text-align:left;margin-left:116.05pt;margin-top:9.8pt;width:228.95pt;height:32.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">
                <v:textbox>
                  <w:txbxContent>
                    <w:p w:rsidR="005063CB" w:rsidRPr="006733B7" w:rsidRDefault="005063CB">
                      <w:pPr>
                        <w:rPr>
                          <w:b/>
                          <w:sz w:val="20"/>
                        </w:rPr>
                      </w:pPr>
                      <w:r w:rsidRPr="006733B7">
                        <w:rPr>
                          <w:b/>
                          <w:sz w:val="20"/>
                        </w:rPr>
                        <w:t>Expenditures of the general consolidated budget</w:t>
                      </w:r>
                    </w:p>
                    <w:p w:rsidR="005063CB" w:rsidRPr="006733B7" w:rsidRDefault="005063CB" w:rsidP="006733B7">
                      <w:pPr>
                        <w:pStyle w:val="ListParagraph"/>
                        <w:numPr>
                          <w:ilvl w:val="0"/>
                          <w:numId w:val="239"/>
                        </w:numPr>
                        <w:rPr>
                          <w:b/>
                          <w:sz w:val="20"/>
                        </w:rPr>
                      </w:pPr>
                      <w:r w:rsidRPr="006733B7">
                        <w:rPr>
                          <w:b/>
                          <w:sz w:val="20"/>
                        </w:rPr>
                        <w:t xml:space="preserve">on economic classification - </w:t>
                      </w:r>
                    </w:p>
                  </w:txbxContent>
                </v:textbox>
              </v:rect>
            </w:pict>
          </mc:Fallback>
        </mc:AlternateContent>
      </w:r>
    </w:p>
    <w:p w:rsidR="006733B7" w:rsidRDefault="006733B7" w:rsidP="00E47D5A">
      <w:pPr>
        <w:widowControl w:val="0"/>
        <w:spacing w:after="120" w:line="320" w:lineRule="exact"/>
        <w:jc w:val="both"/>
        <w:rPr>
          <w:rFonts w:asciiTheme="minorHAnsi" w:hAnsiTheme="minorHAnsi"/>
        </w:rPr>
      </w:pPr>
    </w:p>
    <w:p w:rsidR="006733B7" w:rsidRDefault="005063CB" w:rsidP="00E47D5A">
      <w:pPr>
        <w:widowControl w:val="0"/>
        <w:spacing w:after="120" w:line="320" w:lineRule="exact"/>
        <w:jc w:val="both"/>
        <w:rPr>
          <w:rFonts w:asciiTheme="minorHAnsi" w:hAnsiTheme="minorHAnsi"/>
        </w:rPr>
      </w:pPr>
      <w:r>
        <w:rPr>
          <w:noProof/>
          <w:lang w:val="ro-RO" w:eastAsia="ro-RO"/>
        </w:rPr>
        <mc:AlternateContent>
          <mc:Choice Requires="wps">
            <w:drawing>
              <wp:anchor distT="0" distB="0" distL="114300" distR="114300" simplePos="0" relativeHeight="251644928" behindDoc="0" locked="0" layoutInCell="1" allowOverlap="1" wp14:anchorId="19666B74" wp14:editId="0935033B">
                <wp:simplePos x="0" y="0"/>
                <wp:positionH relativeFrom="column">
                  <wp:posOffset>84455</wp:posOffset>
                </wp:positionH>
                <wp:positionV relativeFrom="paragraph">
                  <wp:posOffset>282575</wp:posOffset>
                </wp:positionV>
                <wp:extent cx="1362710" cy="1425575"/>
                <wp:effectExtent l="8255" t="13970" r="10160" b="8255"/>
                <wp:wrapNone/>
                <wp:docPr id="660"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710" cy="1425575"/>
                        </a:xfrm>
                        <a:prstGeom prst="rect">
                          <a:avLst/>
                        </a:prstGeom>
                        <a:solidFill>
                          <a:srgbClr val="FFFFFF"/>
                        </a:solidFill>
                        <a:ln w="9525">
                          <a:solidFill>
                            <a:srgbClr val="000000"/>
                          </a:solidFill>
                          <a:miter lim="800000"/>
                          <a:headEnd/>
                          <a:tailEnd/>
                        </a:ln>
                      </wps:spPr>
                      <wps:txbx>
                        <w:txbxContent>
                          <w:p w:rsidR="005063CB" w:rsidRPr="006733B7" w:rsidRDefault="005063CB" w:rsidP="006733B7">
                            <w:pPr>
                              <w:rPr>
                                <w:sz w:val="18"/>
                              </w:rPr>
                            </w:pPr>
                            <w:r w:rsidRPr="006733B7">
                              <w:rPr>
                                <w:sz w:val="18"/>
                              </w:rPr>
                              <w:t>Total, out of which:</w:t>
                            </w:r>
                          </w:p>
                          <w:p w:rsidR="005063CB" w:rsidRDefault="005063CB" w:rsidP="006733B7">
                            <w:pPr>
                              <w:rPr>
                                <w:sz w:val="18"/>
                              </w:rPr>
                            </w:pPr>
                            <w:r w:rsidRPr="006733B7">
                              <w:rPr>
                                <w:sz w:val="18"/>
                              </w:rPr>
                              <w:t>Personnel expenditures</w:t>
                            </w:r>
                          </w:p>
                          <w:p w:rsidR="005063CB" w:rsidRPr="006733B7" w:rsidRDefault="005063CB" w:rsidP="006733B7">
                            <w:pPr>
                              <w:rPr>
                                <w:sz w:val="18"/>
                              </w:rPr>
                            </w:pPr>
                          </w:p>
                          <w:p w:rsidR="005063CB" w:rsidRPr="006733B7" w:rsidRDefault="005063CB" w:rsidP="006733B7">
                            <w:pPr>
                              <w:rPr>
                                <w:sz w:val="18"/>
                              </w:rPr>
                            </w:pPr>
                            <w:r w:rsidRPr="006733B7">
                              <w:rPr>
                                <w:sz w:val="18"/>
                              </w:rPr>
                              <w:t>Goods and services</w:t>
                            </w:r>
                          </w:p>
                          <w:p w:rsidR="005063CB" w:rsidRPr="006733B7" w:rsidRDefault="005063CB" w:rsidP="006733B7">
                            <w:pPr>
                              <w:rPr>
                                <w:sz w:val="18"/>
                              </w:rPr>
                            </w:pPr>
                            <w:r w:rsidRPr="006733B7">
                              <w:rPr>
                                <w:sz w:val="18"/>
                              </w:rPr>
                              <w:t xml:space="preserve">Interests </w:t>
                            </w:r>
                          </w:p>
                          <w:p w:rsidR="005063CB" w:rsidRPr="006733B7" w:rsidRDefault="005063CB" w:rsidP="006733B7">
                            <w:pPr>
                              <w:rPr>
                                <w:sz w:val="18"/>
                              </w:rPr>
                            </w:pPr>
                            <w:r w:rsidRPr="006733B7">
                              <w:rPr>
                                <w:sz w:val="18"/>
                              </w:rPr>
                              <w:t>Subsidies</w:t>
                            </w:r>
                          </w:p>
                          <w:p w:rsidR="005063CB" w:rsidRPr="006733B7" w:rsidRDefault="005063CB" w:rsidP="006733B7">
                            <w:pPr>
                              <w:rPr>
                                <w:sz w:val="18"/>
                              </w:rPr>
                            </w:pPr>
                            <w:r w:rsidRPr="006733B7">
                              <w:rPr>
                                <w:sz w:val="18"/>
                              </w:rPr>
                              <w:t>Social assistance</w:t>
                            </w:r>
                          </w:p>
                          <w:p w:rsidR="005063CB" w:rsidRPr="006733B7" w:rsidRDefault="005063CB" w:rsidP="006733B7">
                            <w:pPr>
                              <w:rPr>
                                <w:sz w:val="18"/>
                              </w:rPr>
                            </w:pPr>
                            <w:r w:rsidRPr="006733B7">
                              <w:rPr>
                                <w:sz w:val="18"/>
                              </w:rPr>
                              <w:t>Other transfers</w:t>
                            </w:r>
                          </w:p>
                          <w:p w:rsidR="005063CB" w:rsidRPr="006733B7" w:rsidRDefault="005063CB" w:rsidP="006733B7">
                            <w:pPr>
                              <w:rPr>
                                <w:sz w:val="18"/>
                              </w:rPr>
                            </w:pPr>
                            <w:r w:rsidRPr="006733B7">
                              <w:rPr>
                                <w:sz w:val="18"/>
                              </w:rPr>
                              <w:t>Investment expenditures</w:t>
                            </w:r>
                          </w:p>
                          <w:p w:rsidR="005063CB" w:rsidRPr="006733B7" w:rsidRDefault="005063CB" w:rsidP="006733B7">
                            <w:pPr>
                              <w:rPr>
                                <w:b/>
                                <w:sz w:val="18"/>
                              </w:rPr>
                            </w:pPr>
                            <w:r w:rsidRPr="006733B7">
                              <w:rPr>
                                <w:b/>
                                <w:sz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66B74" id="Rectangle 381" o:spid="_x0000_s1093" style="position:absolute;left:0;text-align:left;margin-left:6.65pt;margin-top:22.25pt;width:107.3pt;height:112.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">
                <v:textbox>
                  <w:txbxContent>
                    <w:p w:rsidR="005063CB" w:rsidRPr="006733B7" w:rsidRDefault="005063CB" w:rsidP="006733B7">
                      <w:pPr>
                        <w:rPr>
                          <w:sz w:val="18"/>
                        </w:rPr>
                      </w:pPr>
                      <w:r w:rsidRPr="006733B7">
                        <w:rPr>
                          <w:sz w:val="18"/>
                        </w:rPr>
                        <w:t>Total, out of which:</w:t>
                      </w:r>
                    </w:p>
                    <w:p w:rsidR="005063CB" w:rsidRDefault="005063CB" w:rsidP="006733B7">
                      <w:pPr>
                        <w:rPr>
                          <w:sz w:val="18"/>
                        </w:rPr>
                      </w:pPr>
                      <w:r w:rsidRPr="006733B7">
                        <w:rPr>
                          <w:sz w:val="18"/>
                        </w:rPr>
                        <w:t>Personnel expenditures</w:t>
                      </w:r>
                    </w:p>
                    <w:p w:rsidR="005063CB" w:rsidRPr="006733B7" w:rsidRDefault="005063CB" w:rsidP="006733B7">
                      <w:pPr>
                        <w:rPr>
                          <w:sz w:val="18"/>
                        </w:rPr>
                      </w:pPr>
                    </w:p>
                    <w:p w:rsidR="005063CB" w:rsidRPr="006733B7" w:rsidRDefault="005063CB" w:rsidP="006733B7">
                      <w:pPr>
                        <w:rPr>
                          <w:sz w:val="18"/>
                        </w:rPr>
                      </w:pPr>
                      <w:r w:rsidRPr="006733B7">
                        <w:rPr>
                          <w:sz w:val="18"/>
                        </w:rPr>
                        <w:t>Goods and services</w:t>
                      </w:r>
                    </w:p>
                    <w:p w:rsidR="005063CB" w:rsidRPr="006733B7" w:rsidRDefault="005063CB" w:rsidP="006733B7">
                      <w:pPr>
                        <w:rPr>
                          <w:sz w:val="18"/>
                        </w:rPr>
                      </w:pPr>
                      <w:r w:rsidRPr="006733B7">
                        <w:rPr>
                          <w:sz w:val="18"/>
                        </w:rPr>
                        <w:t xml:space="preserve">Interests </w:t>
                      </w:r>
                    </w:p>
                    <w:p w:rsidR="005063CB" w:rsidRPr="006733B7" w:rsidRDefault="005063CB" w:rsidP="006733B7">
                      <w:pPr>
                        <w:rPr>
                          <w:sz w:val="18"/>
                        </w:rPr>
                      </w:pPr>
                      <w:r w:rsidRPr="006733B7">
                        <w:rPr>
                          <w:sz w:val="18"/>
                        </w:rPr>
                        <w:t>Subsidies</w:t>
                      </w:r>
                    </w:p>
                    <w:p w:rsidR="005063CB" w:rsidRPr="006733B7" w:rsidRDefault="005063CB" w:rsidP="006733B7">
                      <w:pPr>
                        <w:rPr>
                          <w:sz w:val="18"/>
                        </w:rPr>
                      </w:pPr>
                      <w:r w:rsidRPr="006733B7">
                        <w:rPr>
                          <w:sz w:val="18"/>
                        </w:rPr>
                        <w:t>Social assistance</w:t>
                      </w:r>
                    </w:p>
                    <w:p w:rsidR="005063CB" w:rsidRPr="006733B7" w:rsidRDefault="005063CB" w:rsidP="006733B7">
                      <w:pPr>
                        <w:rPr>
                          <w:sz w:val="18"/>
                        </w:rPr>
                      </w:pPr>
                      <w:r w:rsidRPr="006733B7">
                        <w:rPr>
                          <w:sz w:val="18"/>
                        </w:rPr>
                        <w:t>Other transfers</w:t>
                      </w:r>
                    </w:p>
                    <w:p w:rsidR="005063CB" w:rsidRPr="006733B7" w:rsidRDefault="005063CB" w:rsidP="006733B7">
                      <w:pPr>
                        <w:rPr>
                          <w:sz w:val="18"/>
                        </w:rPr>
                      </w:pPr>
                      <w:r w:rsidRPr="006733B7">
                        <w:rPr>
                          <w:sz w:val="18"/>
                        </w:rPr>
                        <w:t>Investment expenditures</w:t>
                      </w:r>
                    </w:p>
                    <w:p w:rsidR="005063CB" w:rsidRPr="006733B7" w:rsidRDefault="005063CB" w:rsidP="006733B7">
                      <w:pPr>
                        <w:rPr>
                          <w:b/>
                          <w:sz w:val="18"/>
                        </w:rPr>
                      </w:pPr>
                      <w:r w:rsidRPr="006733B7">
                        <w:rPr>
                          <w:b/>
                          <w:sz w:val="18"/>
                        </w:rPr>
                        <w:t xml:space="preserve"> </w:t>
                      </w:r>
                    </w:p>
                  </w:txbxContent>
                </v:textbox>
              </v:rect>
            </w:pict>
          </mc:Fallback>
        </mc:AlternateContent>
      </w:r>
      <w:r>
        <w:rPr>
          <w:noProof/>
          <w:lang w:val="ro-RO" w:eastAsia="ro-RO"/>
        </w:rPr>
        <w:drawing>
          <wp:anchor distT="0" distB="0" distL="114300" distR="114300" simplePos="0" relativeHeight="251627520" behindDoc="0" locked="0" layoutInCell="1" allowOverlap="1" wp14:anchorId="1A1FD150" wp14:editId="51ADB37E">
            <wp:simplePos x="0" y="0"/>
            <wp:positionH relativeFrom="page">
              <wp:posOffset>749300</wp:posOffset>
            </wp:positionH>
            <wp:positionV relativeFrom="paragraph">
              <wp:posOffset>195580</wp:posOffset>
            </wp:positionV>
            <wp:extent cx="4899600" cy="2448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99600" cy="244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C3CBB" w:rsidRDefault="003C3CBB" w:rsidP="00E47D5A">
      <w:pPr>
        <w:widowControl w:val="0"/>
        <w:spacing w:after="120" w:line="320" w:lineRule="exact"/>
        <w:jc w:val="both"/>
        <w:rPr>
          <w:rFonts w:asciiTheme="minorHAnsi" w:hAnsiTheme="minorHAnsi"/>
          <w:lang w:val="ro-RO"/>
        </w:rPr>
      </w:pPr>
    </w:p>
    <w:p w:rsidR="003C3CBB" w:rsidRPr="003C3CBB" w:rsidRDefault="003C3CBB" w:rsidP="003C3CBB">
      <w:pPr>
        <w:rPr>
          <w:rFonts w:asciiTheme="minorHAnsi" w:hAnsiTheme="minorHAnsi"/>
          <w:lang w:val="ro-RO"/>
        </w:rPr>
      </w:pPr>
    </w:p>
    <w:p w:rsidR="003C3CBB" w:rsidRPr="003C3CBB" w:rsidRDefault="003C3CBB" w:rsidP="003C3CBB">
      <w:pPr>
        <w:rPr>
          <w:rFonts w:asciiTheme="minorHAnsi" w:hAnsiTheme="minorHAnsi"/>
          <w:lang w:val="ro-RO"/>
        </w:rPr>
      </w:pPr>
    </w:p>
    <w:p w:rsidR="003C3CBB" w:rsidRPr="003C3CBB" w:rsidRDefault="003C3CBB" w:rsidP="003C3CBB">
      <w:pPr>
        <w:rPr>
          <w:rFonts w:asciiTheme="minorHAnsi" w:hAnsiTheme="minorHAnsi"/>
          <w:lang w:val="ro-RO"/>
        </w:rPr>
      </w:pPr>
    </w:p>
    <w:p w:rsidR="003C3CBB" w:rsidRPr="003C3CBB" w:rsidRDefault="003C3CBB" w:rsidP="003C3CBB">
      <w:pPr>
        <w:rPr>
          <w:rFonts w:asciiTheme="minorHAnsi" w:hAnsiTheme="minorHAnsi"/>
          <w:lang w:val="ro-RO"/>
        </w:rPr>
      </w:pPr>
    </w:p>
    <w:p w:rsidR="003C3CBB" w:rsidRPr="003C3CBB" w:rsidRDefault="003C3CBB" w:rsidP="003C3CBB">
      <w:pPr>
        <w:rPr>
          <w:rFonts w:asciiTheme="minorHAnsi" w:hAnsiTheme="minorHAnsi"/>
          <w:lang w:val="ro-RO"/>
        </w:rPr>
      </w:pPr>
    </w:p>
    <w:p w:rsidR="003C3CBB" w:rsidRPr="003C3CBB" w:rsidRDefault="003C3CBB" w:rsidP="003C3CBB">
      <w:pPr>
        <w:rPr>
          <w:rFonts w:asciiTheme="minorHAnsi" w:hAnsiTheme="minorHAnsi"/>
          <w:lang w:val="ro-RO"/>
        </w:rPr>
      </w:pPr>
    </w:p>
    <w:p w:rsidR="003C3CBB" w:rsidRPr="003C3CBB" w:rsidRDefault="003C3CBB" w:rsidP="003C3CBB">
      <w:pPr>
        <w:rPr>
          <w:rFonts w:asciiTheme="minorHAnsi" w:hAnsiTheme="minorHAnsi"/>
          <w:lang w:val="ro-RO"/>
        </w:rPr>
      </w:pPr>
    </w:p>
    <w:p w:rsidR="003C3CBB" w:rsidRPr="003C3CBB" w:rsidRDefault="003C3CBB" w:rsidP="003C3CBB">
      <w:pPr>
        <w:rPr>
          <w:rFonts w:asciiTheme="minorHAnsi" w:hAnsiTheme="minorHAnsi"/>
          <w:lang w:val="ro-RO"/>
        </w:rPr>
      </w:pPr>
    </w:p>
    <w:p w:rsidR="003C3CBB" w:rsidRDefault="003C3CBB" w:rsidP="003C3CBB">
      <w:pPr>
        <w:rPr>
          <w:rFonts w:asciiTheme="minorHAnsi" w:hAnsiTheme="minorHAnsi"/>
          <w:lang w:val="ro-RO"/>
        </w:rPr>
      </w:pPr>
    </w:p>
    <w:p w:rsidR="005063CB" w:rsidRPr="003C3CBB" w:rsidRDefault="005063CB" w:rsidP="003C3CBB">
      <w:pPr>
        <w:rPr>
          <w:rFonts w:asciiTheme="minorHAnsi" w:hAnsiTheme="minorHAnsi"/>
          <w:lang w:val="ro-RO"/>
        </w:rPr>
      </w:pPr>
    </w:p>
    <w:p w:rsidR="003C3CBB" w:rsidRPr="003C3CBB" w:rsidRDefault="003C3CBB" w:rsidP="003C3CBB">
      <w:pPr>
        <w:rPr>
          <w:rFonts w:asciiTheme="minorHAnsi" w:hAnsiTheme="minorHAnsi"/>
          <w:lang w:val="ro-RO"/>
        </w:rPr>
      </w:pPr>
    </w:p>
    <w:p w:rsidR="00D31E85" w:rsidRDefault="005063CB" w:rsidP="003C3CBB">
      <w:pPr>
        <w:rPr>
          <w:rFonts w:asciiTheme="minorHAnsi" w:hAnsiTheme="minorHAnsi"/>
          <w:lang w:val="ro-RO"/>
        </w:rPr>
      </w:pPr>
      <w:r>
        <w:rPr>
          <w:rFonts w:ascii="Calibri" w:hAnsi="Calibri"/>
          <w:b/>
          <w:noProof/>
          <w:color w:val="000080"/>
          <w:lang w:val="ro-RO" w:eastAsia="ro-RO"/>
        </w:rPr>
        <mc:AlternateContent>
          <mc:Choice Requires="wps">
            <w:drawing>
              <wp:anchor distT="0" distB="0" distL="114300" distR="114300" simplePos="0" relativeHeight="251649024" behindDoc="0" locked="0" layoutInCell="1" allowOverlap="1" wp14:anchorId="56FB8C82" wp14:editId="0B4A2B3A">
                <wp:simplePos x="0" y="0"/>
                <wp:positionH relativeFrom="column">
                  <wp:posOffset>-5010150</wp:posOffset>
                </wp:positionH>
                <wp:positionV relativeFrom="paragraph">
                  <wp:posOffset>48260</wp:posOffset>
                </wp:positionV>
                <wp:extent cx="5090795" cy="288290"/>
                <wp:effectExtent l="8255" t="8255" r="6350" b="8255"/>
                <wp:wrapNone/>
                <wp:docPr id="659"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0795" cy="288290"/>
                        </a:xfrm>
                        <a:prstGeom prst="rect">
                          <a:avLst/>
                        </a:prstGeom>
                        <a:solidFill>
                          <a:srgbClr val="FFFFFF"/>
                        </a:solidFill>
                        <a:ln w="9525">
                          <a:solidFill>
                            <a:srgbClr val="000000"/>
                          </a:solidFill>
                          <a:miter lim="800000"/>
                          <a:headEnd/>
                          <a:tailEnd/>
                        </a:ln>
                      </wps:spPr>
                      <wps:txbx>
                        <w:txbxContent>
                          <w:p w:rsidR="005063CB" w:rsidRPr="00D324A1" w:rsidRDefault="005063CB" w:rsidP="006733B7">
                            <w:pPr>
                              <w:rPr>
                                <w:sz w:val="20"/>
                              </w:rPr>
                            </w:pPr>
                            <w:r w:rsidRPr="00D324A1">
                              <w:rPr>
                                <w:sz w:val="20"/>
                              </w:rPr>
                              <w:t>Note:</w:t>
                            </w:r>
                            <w:r>
                              <w:rPr>
                                <w:sz w:val="20"/>
                              </w:rPr>
                              <w:t xml:space="preserve"> due to rounding offs, it is possible that the total is not equal to the sum of its components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B8C82" id="Rectangle 382" o:spid="_x0000_s1094" style="position:absolute;margin-left:-394.5pt;margin-top:3.8pt;width:400.85pt;height:2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">
                <v:textbox>
                  <w:txbxContent>
                    <w:p w:rsidR="005063CB" w:rsidRPr="00D324A1" w:rsidRDefault="005063CB" w:rsidP="006733B7">
                      <w:pPr>
                        <w:rPr>
                          <w:sz w:val="20"/>
                        </w:rPr>
                      </w:pPr>
                      <w:r w:rsidRPr="00D324A1">
                        <w:rPr>
                          <w:sz w:val="20"/>
                        </w:rPr>
                        <w:t>Note:</w:t>
                      </w:r>
                      <w:r>
                        <w:rPr>
                          <w:sz w:val="20"/>
                        </w:rPr>
                        <w:t xml:space="preserve"> due to rounding offs, it is possible that the total is not equal to the sum of its components </w:t>
                      </w:r>
                    </w:p>
                  </w:txbxContent>
                </v:textbox>
              </v:rect>
            </w:pict>
          </mc:Fallback>
        </mc:AlternateContent>
      </w:r>
    </w:p>
    <w:p w:rsidR="003C3CBB" w:rsidRDefault="003C3CBB" w:rsidP="003C3CBB">
      <w:pPr>
        <w:rPr>
          <w:rFonts w:asciiTheme="minorHAnsi" w:hAnsiTheme="minorHAnsi"/>
          <w:lang w:val="ro-RO"/>
        </w:rPr>
      </w:pPr>
    </w:p>
    <w:p w:rsidR="005063CB" w:rsidRDefault="005063CB" w:rsidP="003C3CBB">
      <w:pPr>
        <w:rPr>
          <w:rFonts w:asciiTheme="minorHAnsi" w:hAnsiTheme="minorHAnsi"/>
          <w:lang w:val="ro-RO"/>
        </w:rPr>
      </w:pPr>
    </w:p>
    <w:p w:rsidR="005063CB" w:rsidRDefault="005063CB" w:rsidP="003C3CBB">
      <w:pPr>
        <w:rPr>
          <w:rFonts w:asciiTheme="minorHAnsi" w:hAnsiTheme="minorHAnsi"/>
          <w:lang w:val="ro-RO"/>
        </w:rPr>
      </w:pPr>
    </w:p>
    <w:p w:rsidR="005063CB" w:rsidRDefault="005063CB" w:rsidP="003C3CBB">
      <w:pPr>
        <w:rPr>
          <w:rFonts w:asciiTheme="minorHAnsi" w:hAnsiTheme="minorHAnsi"/>
          <w:lang w:val="ro-RO"/>
        </w:rPr>
      </w:pPr>
    </w:p>
    <w:p w:rsidR="005063CB" w:rsidRDefault="005063CB" w:rsidP="003C3CBB">
      <w:pPr>
        <w:rPr>
          <w:rFonts w:asciiTheme="minorHAnsi" w:hAnsiTheme="minorHAnsi"/>
          <w:lang w:val="ro-RO"/>
        </w:rPr>
      </w:pPr>
    </w:p>
    <w:p w:rsidR="005063CB" w:rsidRDefault="005063CB" w:rsidP="003C3CBB">
      <w:pPr>
        <w:rPr>
          <w:rFonts w:asciiTheme="minorHAnsi" w:hAnsiTheme="minorHAnsi"/>
          <w:lang w:val="ro-RO"/>
        </w:rPr>
      </w:pPr>
    </w:p>
    <w:p w:rsidR="005063CB" w:rsidRDefault="005063CB" w:rsidP="003C3CBB">
      <w:pPr>
        <w:rPr>
          <w:rFonts w:asciiTheme="minorHAnsi" w:hAnsiTheme="minorHAnsi"/>
          <w:lang w:val="ro-RO"/>
        </w:rPr>
      </w:pPr>
    </w:p>
    <w:p w:rsidR="005063CB" w:rsidRDefault="005063CB" w:rsidP="003C3CBB">
      <w:pPr>
        <w:rPr>
          <w:rFonts w:asciiTheme="minorHAnsi" w:hAnsiTheme="minorHAnsi"/>
          <w:lang w:val="ro-RO"/>
        </w:rPr>
      </w:pPr>
    </w:p>
    <w:p w:rsidR="005063CB" w:rsidRDefault="005063CB" w:rsidP="003C3CBB">
      <w:pPr>
        <w:rPr>
          <w:rFonts w:asciiTheme="minorHAnsi" w:hAnsiTheme="minorHAnsi"/>
          <w:lang w:val="ro-RO"/>
        </w:rPr>
      </w:pPr>
    </w:p>
    <w:p w:rsidR="005063CB" w:rsidRDefault="005063CB" w:rsidP="003C3CBB">
      <w:pPr>
        <w:rPr>
          <w:rFonts w:asciiTheme="minorHAnsi" w:hAnsiTheme="minorHAnsi"/>
          <w:lang w:val="ro-RO"/>
        </w:rPr>
      </w:pPr>
    </w:p>
    <w:p w:rsidR="005063CB" w:rsidRDefault="005063CB" w:rsidP="003C3CBB">
      <w:pPr>
        <w:rPr>
          <w:rFonts w:asciiTheme="minorHAnsi" w:hAnsiTheme="minorHAnsi"/>
          <w:lang w:val="ro-RO"/>
        </w:rPr>
      </w:pPr>
    </w:p>
    <w:p w:rsidR="005063CB" w:rsidRDefault="005063CB" w:rsidP="003C3CBB">
      <w:pPr>
        <w:rPr>
          <w:rFonts w:asciiTheme="minorHAnsi" w:hAnsiTheme="minorHAnsi"/>
          <w:lang w:val="ro-RO"/>
        </w:rPr>
      </w:pPr>
    </w:p>
    <w:p w:rsidR="005063CB" w:rsidRDefault="005063CB" w:rsidP="003C3CBB">
      <w:pPr>
        <w:rPr>
          <w:rFonts w:asciiTheme="minorHAnsi" w:hAnsiTheme="minorHAnsi"/>
          <w:lang w:val="ro-RO"/>
        </w:rPr>
      </w:pPr>
      <w:r>
        <w:rPr>
          <w:noProof/>
          <w:lang w:val="ro-RO" w:eastAsia="ro-RO"/>
        </w:rPr>
        <mc:AlternateContent>
          <mc:Choice Requires="wps">
            <w:drawing>
              <wp:anchor distT="0" distB="0" distL="114300" distR="114300" simplePos="0" relativeHeight="251650048" behindDoc="0" locked="0" layoutInCell="1" allowOverlap="1" wp14:anchorId="2C252626" wp14:editId="2835541A">
                <wp:simplePos x="0" y="0"/>
                <wp:positionH relativeFrom="column">
                  <wp:posOffset>1687830</wp:posOffset>
                </wp:positionH>
                <wp:positionV relativeFrom="paragraph">
                  <wp:posOffset>-226695</wp:posOffset>
                </wp:positionV>
                <wp:extent cx="2907665" cy="412115"/>
                <wp:effectExtent l="11430" t="6350" r="5080" b="10160"/>
                <wp:wrapNone/>
                <wp:docPr id="658"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7665" cy="412115"/>
                        </a:xfrm>
                        <a:prstGeom prst="rect">
                          <a:avLst/>
                        </a:prstGeom>
                        <a:solidFill>
                          <a:srgbClr val="FFFFFF"/>
                        </a:solidFill>
                        <a:ln w="9525">
                          <a:solidFill>
                            <a:srgbClr val="000000"/>
                          </a:solidFill>
                          <a:miter lim="800000"/>
                          <a:headEnd/>
                          <a:tailEnd/>
                        </a:ln>
                      </wps:spPr>
                      <wps:txbx>
                        <w:txbxContent>
                          <w:p w:rsidR="005063CB" w:rsidRPr="006733B7" w:rsidRDefault="005063CB" w:rsidP="006733B7">
                            <w:pPr>
                              <w:rPr>
                                <w:b/>
                                <w:sz w:val="20"/>
                              </w:rPr>
                            </w:pPr>
                            <w:r w:rsidRPr="006733B7">
                              <w:rPr>
                                <w:b/>
                                <w:sz w:val="20"/>
                              </w:rPr>
                              <w:t>Expenditures of the general consolidated budget</w:t>
                            </w:r>
                          </w:p>
                          <w:p w:rsidR="005063CB" w:rsidRPr="006733B7" w:rsidRDefault="005063CB" w:rsidP="006733B7">
                            <w:pPr>
                              <w:pStyle w:val="ListParagraph"/>
                              <w:numPr>
                                <w:ilvl w:val="0"/>
                                <w:numId w:val="239"/>
                              </w:numPr>
                              <w:rPr>
                                <w:b/>
                                <w:sz w:val="20"/>
                              </w:rPr>
                            </w:pPr>
                            <w:r w:rsidRPr="006733B7">
                              <w:rPr>
                                <w:b/>
                                <w:sz w:val="20"/>
                              </w:rPr>
                              <w:t xml:space="preserve">on economic classification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52626" id="Rectangle 383" o:spid="_x0000_s1095" style="position:absolute;margin-left:132.9pt;margin-top:-17.85pt;width:228.95pt;height:32.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">
                <v:textbox>
                  <w:txbxContent>
                    <w:p w:rsidR="005063CB" w:rsidRPr="006733B7" w:rsidRDefault="005063CB" w:rsidP="006733B7">
                      <w:pPr>
                        <w:rPr>
                          <w:b/>
                          <w:sz w:val="20"/>
                        </w:rPr>
                      </w:pPr>
                      <w:r w:rsidRPr="006733B7">
                        <w:rPr>
                          <w:b/>
                          <w:sz w:val="20"/>
                        </w:rPr>
                        <w:t>Expenditures of the general consolidated budget</w:t>
                      </w:r>
                    </w:p>
                    <w:p w:rsidR="005063CB" w:rsidRPr="006733B7" w:rsidRDefault="005063CB" w:rsidP="006733B7">
                      <w:pPr>
                        <w:pStyle w:val="ListParagraph"/>
                        <w:numPr>
                          <w:ilvl w:val="0"/>
                          <w:numId w:val="239"/>
                        </w:numPr>
                        <w:rPr>
                          <w:b/>
                          <w:sz w:val="20"/>
                        </w:rPr>
                      </w:pPr>
                      <w:r w:rsidRPr="006733B7">
                        <w:rPr>
                          <w:b/>
                          <w:sz w:val="20"/>
                        </w:rPr>
                        <w:t xml:space="preserve">on economic classification - </w:t>
                      </w:r>
                    </w:p>
                  </w:txbxContent>
                </v:textbox>
              </v:rect>
            </w:pict>
          </mc:Fallback>
        </mc:AlternateContent>
      </w:r>
    </w:p>
    <w:p w:rsidR="003C3CBB" w:rsidRPr="003C3CBB" w:rsidRDefault="003C3CBB" w:rsidP="003C3CBB">
      <w:pPr>
        <w:rPr>
          <w:rFonts w:asciiTheme="minorHAnsi" w:hAnsiTheme="minorHAnsi"/>
          <w:lang w:val="ro-RO"/>
        </w:rPr>
      </w:pPr>
    </w:p>
    <w:p w:rsidR="00D43F4D" w:rsidRDefault="00DF768F" w:rsidP="006E365C">
      <w:pPr>
        <w:pStyle w:val="Style35001908"/>
        <w:jc w:val="center"/>
        <w:rPr>
          <w:rFonts w:ascii="Calibri" w:hAnsi="Calibri"/>
        </w:rPr>
      </w:pPr>
      <w:r>
        <w:rPr>
          <w:noProof/>
          <w:lang w:val="ro-RO" w:eastAsia="ro-RO"/>
        </w:rPr>
        <mc:AlternateContent>
          <mc:Choice Requires="wps">
            <w:drawing>
              <wp:anchor distT="0" distB="0" distL="114300" distR="114300" simplePos="0" relativeHeight="251738624" behindDoc="0" locked="0" layoutInCell="1" allowOverlap="1">
                <wp:simplePos x="0" y="0"/>
                <wp:positionH relativeFrom="column">
                  <wp:posOffset>446405</wp:posOffset>
                </wp:positionH>
                <wp:positionV relativeFrom="paragraph">
                  <wp:posOffset>2326640</wp:posOffset>
                </wp:positionV>
                <wp:extent cx="5090795" cy="288290"/>
                <wp:effectExtent l="8255" t="12065" r="6350" b="13970"/>
                <wp:wrapNone/>
                <wp:docPr id="657"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0795" cy="288290"/>
                        </a:xfrm>
                        <a:prstGeom prst="rect">
                          <a:avLst/>
                        </a:prstGeom>
                        <a:solidFill>
                          <a:srgbClr val="FFFFFF"/>
                        </a:solidFill>
                        <a:ln w="9525">
                          <a:solidFill>
                            <a:srgbClr val="000000"/>
                          </a:solidFill>
                          <a:miter lim="800000"/>
                          <a:headEnd/>
                          <a:tailEnd/>
                        </a:ln>
                      </wps:spPr>
                      <wps:txbx>
                        <w:txbxContent>
                          <w:p w:rsidR="005063CB" w:rsidRPr="00D324A1" w:rsidRDefault="005063CB" w:rsidP="006733B7">
                            <w:pPr>
                              <w:rPr>
                                <w:sz w:val="20"/>
                              </w:rPr>
                            </w:pPr>
                            <w:r w:rsidRPr="00D324A1">
                              <w:rPr>
                                <w:sz w:val="20"/>
                              </w:rPr>
                              <w:t>Note:</w:t>
                            </w:r>
                            <w:r>
                              <w:rPr>
                                <w:sz w:val="20"/>
                              </w:rPr>
                              <w:t xml:space="preserve"> due to rounding offs, it is possible that the total is not equal to the sum of its components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6" o:spid="_x0000_s1096" style="position:absolute;left:0;text-align:left;margin-left:35.15pt;margin-top:183.2pt;width:400.85pt;height:22.7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">
                <v:textbox>
                  <w:txbxContent>
                    <w:p w:rsidR="005063CB" w:rsidRPr="00D324A1" w:rsidRDefault="005063CB" w:rsidP="006733B7">
                      <w:pPr>
                        <w:rPr>
                          <w:sz w:val="20"/>
                        </w:rPr>
                      </w:pPr>
                      <w:r w:rsidRPr="00D324A1">
                        <w:rPr>
                          <w:sz w:val="20"/>
                        </w:rPr>
                        <w:t>Note:</w:t>
                      </w:r>
                      <w:r>
                        <w:rPr>
                          <w:sz w:val="20"/>
                        </w:rPr>
                        <w:t xml:space="preserve"> due to rounding offs, it is possible that the total is not equal to the sum of its components </w:t>
                      </w:r>
                    </w:p>
                  </w:txbxContent>
                </v:textbox>
              </v:rect>
            </w:pict>
          </mc:Fallback>
        </mc:AlternateContent>
      </w:r>
      <w:r>
        <w:rPr>
          <w:noProof/>
          <w:lang w:val="ro-RO" w:eastAsia="ro-RO"/>
        </w:rPr>
        <mc:AlternateContent>
          <mc:Choice Requires="wps">
            <w:drawing>
              <wp:anchor distT="0" distB="0" distL="114300" distR="114300" simplePos="0" relativeHeight="251737600" behindDoc="0" locked="0" layoutInCell="1" allowOverlap="1">
                <wp:simplePos x="0" y="0"/>
                <wp:positionH relativeFrom="column">
                  <wp:posOffset>446405</wp:posOffset>
                </wp:positionH>
                <wp:positionV relativeFrom="paragraph">
                  <wp:posOffset>901065</wp:posOffset>
                </wp:positionV>
                <wp:extent cx="1362710" cy="1425575"/>
                <wp:effectExtent l="8255" t="5715" r="10160" b="6985"/>
                <wp:wrapNone/>
                <wp:docPr id="656"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710" cy="1425575"/>
                        </a:xfrm>
                        <a:prstGeom prst="rect">
                          <a:avLst/>
                        </a:prstGeom>
                        <a:solidFill>
                          <a:srgbClr val="FFFFFF"/>
                        </a:solidFill>
                        <a:ln w="9525">
                          <a:solidFill>
                            <a:srgbClr val="000000"/>
                          </a:solidFill>
                          <a:miter lim="800000"/>
                          <a:headEnd/>
                          <a:tailEnd/>
                        </a:ln>
                      </wps:spPr>
                      <wps:txbx>
                        <w:txbxContent>
                          <w:p w:rsidR="005063CB" w:rsidRPr="006733B7" w:rsidRDefault="005063CB" w:rsidP="006733B7">
                            <w:pPr>
                              <w:rPr>
                                <w:sz w:val="18"/>
                              </w:rPr>
                            </w:pPr>
                            <w:r w:rsidRPr="006733B7">
                              <w:rPr>
                                <w:sz w:val="18"/>
                              </w:rPr>
                              <w:t>Total, out of which:</w:t>
                            </w:r>
                          </w:p>
                          <w:p w:rsidR="005063CB" w:rsidRDefault="005063CB" w:rsidP="006733B7">
                            <w:pPr>
                              <w:rPr>
                                <w:sz w:val="18"/>
                              </w:rPr>
                            </w:pPr>
                            <w:r w:rsidRPr="006733B7">
                              <w:rPr>
                                <w:sz w:val="18"/>
                              </w:rPr>
                              <w:t>Personnel expenditures</w:t>
                            </w:r>
                          </w:p>
                          <w:p w:rsidR="005063CB" w:rsidRPr="006733B7" w:rsidRDefault="005063CB" w:rsidP="006733B7">
                            <w:pPr>
                              <w:rPr>
                                <w:sz w:val="18"/>
                              </w:rPr>
                            </w:pPr>
                          </w:p>
                          <w:p w:rsidR="005063CB" w:rsidRPr="006733B7" w:rsidRDefault="005063CB" w:rsidP="006733B7">
                            <w:pPr>
                              <w:rPr>
                                <w:sz w:val="18"/>
                              </w:rPr>
                            </w:pPr>
                            <w:r w:rsidRPr="006733B7">
                              <w:rPr>
                                <w:sz w:val="18"/>
                              </w:rPr>
                              <w:t>Goods and services</w:t>
                            </w:r>
                          </w:p>
                          <w:p w:rsidR="005063CB" w:rsidRPr="006733B7" w:rsidRDefault="005063CB" w:rsidP="006733B7">
                            <w:pPr>
                              <w:rPr>
                                <w:sz w:val="18"/>
                              </w:rPr>
                            </w:pPr>
                            <w:r w:rsidRPr="006733B7">
                              <w:rPr>
                                <w:sz w:val="18"/>
                              </w:rPr>
                              <w:t xml:space="preserve">Interests </w:t>
                            </w:r>
                          </w:p>
                          <w:p w:rsidR="005063CB" w:rsidRPr="006733B7" w:rsidRDefault="005063CB" w:rsidP="006733B7">
                            <w:pPr>
                              <w:rPr>
                                <w:sz w:val="18"/>
                              </w:rPr>
                            </w:pPr>
                            <w:r w:rsidRPr="006733B7">
                              <w:rPr>
                                <w:sz w:val="18"/>
                              </w:rPr>
                              <w:t>Subsidies</w:t>
                            </w:r>
                          </w:p>
                          <w:p w:rsidR="005063CB" w:rsidRPr="006733B7" w:rsidRDefault="005063CB" w:rsidP="006733B7">
                            <w:pPr>
                              <w:rPr>
                                <w:sz w:val="18"/>
                              </w:rPr>
                            </w:pPr>
                            <w:r w:rsidRPr="006733B7">
                              <w:rPr>
                                <w:sz w:val="18"/>
                              </w:rPr>
                              <w:t>Social assistance</w:t>
                            </w:r>
                          </w:p>
                          <w:p w:rsidR="005063CB" w:rsidRPr="006733B7" w:rsidRDefault="005063CB" w:rsidP="006733B7">
                            <w:pPr>
                              <w:rPr>
                                <w:sz w:val="18"/>
                              </w:rPr>
                            </w:pPr>
                            <w:r w:rsidRPr="006733B7">
                              <w:rPr>
                                <w:sz w:val="18"/>
                              </w:rPr>
                              <w:t>Other transfers</w:t>
                            </w:r>
                          </w:p>
                          <w:p w:rsidR="005063CB" w:rsidRPr="006733B7" w:rsidRDefault="005063CB" w:rsidP="006733B7">
                            <w:pPr>
                              <w:rPr>
                                <w:sz w:val="18"/>
                              </w:rPr>
                            </w:pPr>
                            <w:r w:rsidRPr="006733B7">
                              <w:rPr>
                                <w:sz w:val="18"/>
                              </w:rPr>
                              <w:t>Investment expenditures</w:t>
                            </w:r>
                          </w:p>
                          <w:p w:rsidR="005063CB" w:rsidRPr="006733B7" w:rsidRDefault="005063CB" w:rsidP="006733B7">
                            <w:pPr>
                              <w:rPr>
                                <w:b/>
                                <w:sz w:val="18"/>
                              </w:rPr>
                            </w:pPr>
                            <w:r w:rsidRPr="006733B7">
                              <w:rPr>
                                <w:b/>
                                <w:sz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5" o:spid="_x0000_s1097" style="position:absolute;left:0;text-align:left;margin-left:35.15pt;margin-top:70.95pt;width:107.3pt;height:112.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">
                <v:textbox>
                  <w:txbxContent>
                    <w:p w:rsidR="005063CB" w:rsidRPr="006733B7" w:rsidRDefault="005063CB" w:rsidP="006733B7">
                      <w:pPr>
                        <w:rPr>
                          <w:sz w:val="18"/>
                        </w:rPr>
                      </w:pPr>
                      <w:r w:rsidRPr="006733B7">
                        <w:rPr>
                          <w:sz w:val="18"/>
                        </w:rPr>
                        <w:t>Total, out of which:</w:t>
                      </w:r>
                    </w:p>
                    <w:p w:rsidR="005063CB" w:rsidRDefault="005063CB" w:rsidP="006733B7">
                      <w:pPr>
                        <w:rPr>
                          <w:sz w:val="18"/>
                        </w:rPr>
                      </w:pPr>
                      <w:r w:rsidRPr="006733B7">
                        <w:rPr>
                          <w:sz w:val="18"/>
                        </w:rPr>
                        <w:t>Personnel expenditures</w:t>
                      </w:r>
                    </w:p>
                    <w:p w:rsidR="005063CB" w:rsidRPr="006733B7" w:rsidRDefault="005063CB" w:rsidP="006733B7">
                      <w:pPr>
                        <w:rPr>
                          <w:sz w:val="18"/>
                        </w:rPr>
                      </w:pPr>
                    </w:p>
                    <w:p w:rsidR="005063CB" w:rsidRPr="006733B7" w:rsidRDefault="005063CB" w:rsidP="006733B7">
                      <w:pPr>
                        <w:rPr>
                          <w:sz w:val="18"/>
                        </w:rPr>
                      </w:pPr>
                      <w:r w:rsidRPr="006733B7">
                        <w:rPr>
                          <w:sz w:val="18"/>
                        </w:rPr>
                        <w:t>Goods and services</w:t>
                      </w:r>
                    </w:p>
                    <w:p w:rsidR="005063CB" w:rsidRPr="006733B7" w:rsidRDefault="005063CB" w:rsidP="006733B7">
                      <w:pPr>
                        <w:rPr>
                          <w:sz w:val="18"/>
                        </w:rPr>
                      </w:pPr>
                      <w:r w:rsidRPr="006733B7">
                        <w:rPr>
                          <w:sz w:val="18"/>
                        </w:rPr>
                        <w:t xml:space="preserve">Interests </w:t>
                      </w:r>
                    </w:p>
                    <w:p w:rsidR="005063CB" w:rsidRPr="006733B7" w:rsidRDefault="005063CB" w:rsidP="006733B7">
                      <w:pPr>
                        <w:rPr>
                          <w:sz w:val="18"/>
                        </w:rPr>
                      </w:pPr>
                      <w:r w:rsidRPr="006733B7">
                        <w:rPr>
                          <w:sz w:val="18"/>
                        </w:rPr>
                        <w:t>Subsidies</w:t>
                      </w:r>
                    </w:p>
                    <w:p w:rsidR="005063CB" w:rsidRPr="006733B7" w:rsidRDefault="005063CB" w:rsidP="006733B7">
                      <w:pPr>
                        <w:rPr>
                          <w:sz w:val="18"/>
                        </w:rPr>
                      </w:pPr>
                      <w:r w:rsidRPr="006733B7">
                        <w:rPr>
                          <w:sz w:val="18"/>
                        </w:rPr>
                        <w:t>Social assistance</w:t>
                      </w:r>
                    </w:p>
                    <w:p w:rsidR="005063CB" w:rsidRPr="006733B7" w:rsidRDefault="005063CB" w:rsidP="006733B7">
                      <w:pPr>
                        <w:rPr>
                          <w:sz w:val="18"/>
                        </w:rPr>
                      </w:pPr>
                      <w:r w:rsidRPr="006733B7">
                        <w:rPr>
                          <w:sz w:val="18"/>
                        </w:rPr>
                        <w:t>Other transfers</w:t>
                      </w:r>
                    </w:p>
                    <w:p w:rsidR="005063CB" w:rsidRPr="006733B7" w:rsidRDefault="005063CB" w:rsidP="006733B7">
                      <w:pPr>
                        <w:rPr>
                          <w:sz w:val="18"/>
                        </w:rPr>
                      </w:pPr>
                      <w:r w:rsidRPr="006733B7">
                        <w:rPr>
                          <w:sz w:val="18"/>
                        </w:rPr>
                        <w:t>Investment expenditures</w:t>
                      </w:r>
                    </w:p>
                    <w:p w:rsidR="005063CB" w:rsidRPr="006733B7" w:rsidRDefault="005063CB" w:rsidP="006733B7">
                      <w:pPr>
                        <w:rPr>
                          <w:b/>
                          <w:sz w:val="18"/>
                        </w:rPr>
                      </w:pPr>
                      <w:r w:rsidRPr="006733B7">
                        <w:rPr>
                          <w:b/>
                          <w:sz w:val="18"/>
                        </w:rPr>
                        <w:t xml:space="preserve"> </w:t>
                      </w:r>
                    </w:p>
                  </w:txbxContent>
                </v:textbox>
              </v:rect>
            </w:pict>
          </mc:Fallback>
        </mc:AlternateContent>
      </w:r>
      <w:r>
        <w:rPr>
          <w:noProof/>
          <w:lang w:val="ro-RO" w:eastAsia="ro-RO"/>
        </w:rPr>
        <mc:AlternateContent>
          <mc:Choice Requires="wps">
            <w:drawing>
              <wp:anchor distT="0" distB="0" distL="114300" distR="114300" simplePos="0" relativeHeight="251736576" behindDoc="0" locked="0" layoutInCell="1" allowOverlap="1">
                <wp:simplePos x="0" y="0"/>
                <wp:positionH relativeFrom="column">
                  <wp:posOffset>4700270</wp:posOffset>
                </wp:positionH>
                <wp:positionV relativeFrom="paragraph">
                  <wp:posOffset>151130</wp:posOffset>
                </wp:positionV>
                <wp:extent cx="881380" cy="214630"/>
                <wp:effectExtent l="13970" t="8255" r="9525" b="5715"/>
                <wp:wrapNone/>
                <wp:docPr id="655"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1380" cy="214630"/>
                        </a:xfrm>
                        <a:prstGeom prst="rect">
                          <a:avLst/>
                        </a:prstGeom>
                        <a:solidFill>
                          <a:srgbClr val="FFFFFF"/>
                        </a:solidFill>
                        <a:ln w="9525">
                          <a:solidFill>
                            <a:srgbClr val="000000"/>
                          </a:solidFill>
                          <a:miter lim="800000"/>
                          <a:headEnd/>
                          <a:tailEnd/>
                        </a:ln>
                      </wps:spPr>
                      <wps:txbx>
                        <w:txbxContent>
                          <w:p w:rsidR="005063CB" w:rsidRPr="006733B7" w:rsidRDefault="005063CB">
                            <w:pPr>
                              <w:rPr>
                                <w:sz w:val="18"/>
                              </w:rPr>
                            </w:pPr>
                            <w:r>
                              <w:rPr>
                                <w:sz w:val="18"/>
                              </w:rPr>
                              <w:t>% of GDP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4" o:spid="_x0000_s1098" style="position:absolute;left:0;text-align:left;margin-left:370.1pt;margin-top:11.9pt;width:69.4pt;height:16.9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">
                <v:textbox>
                  <w:txbxContent>
                    <w:p w:rsidR="005063CB" w:rsidRPr="006733B7" w:rsidRDefault="005063CB">
                      <w:pPr>
                        <w:rPr>
                          <w:sz w:val="18"/>
                        </w:rPr>
                      </w:pPr>
                      <w:r>
                        <w:rPr>
                          <w:sz w:val="18"/>
                        </w:rPr>
                        <w:t>% of GDP</w:t>
                      </w:r>
                    </w:p>
                  </w:txbxContent>
                </v:textbox>
              </v:rect>
            </w:pict>
          </mc:Fallback>
        </mc:AlternateContent>
      </w:r>
      <w:r w:rsidR="003C624E">
        <w:rPr>
          <w:noProof/>
          <w:lang w:val="ro-RO" w:eastAsia="ro-RO"/>
        </w:rPr>
        <w:drawing>
          <wp:inline distT="0" distB="0" distL="0" distR="0" wp14:anchorId="16F62853" wp14:editId="7C75C566">
            <wp:extent cx="4926579" cy="25222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29940" cy="2523941"/>
                    </a:xfrm>
                    <a:prstGeom prst="rect">
                      <a:avLst/>
                    </a:prstGeom>
                    <a:noFill/>
                    <a:ln>
                      <a:noFill/>
                    </a:ln>
                  </pic:spPr>
                </pic:pic>
              </a:graphicData>
            </a:graphic>
          </wp:inline>
        </w:drawing>
      </w:r>
    </w:p>
    <w:p w:rsidR="00AC2FB0" w:rsidRDefault="00AC2FB0" w:rsidP="006E365C">
      <w:pPr>
        <w:pStyle w:val="Style35001908"/>
        <w:jc w:val="center"/>
        <w:rPr>
          <w:rFonts w:ascii="Calibri" w:hAnsi="Calibri"/>
          <w:lang w:val="ro-RO" w:eastAsia="ro-RO"/>
        </w:rPr>
      </w:pPr>
    </w:p>
    <w:p w:rsidR="00AC2FB0" w:rsidRDefault="00AC2FB0" w:rsidP="00723F54">
      <w:pPr>
        <w:pStyle w:val="Style35001908"/>
        <w:jc w:val="both"/>
        <w:rPr>
          <w:rFonts w:ascii="Calibri" w:hAnsi="Calibri"/>
          <w:lang w:val="ro-RO" w:eastAsia="ro-RO"/>
        </w:rPr>
      </w:pPr>
    </w:p>
    <w:p w:rsidR="00A51352" w:rsidRDefault="0040622C" w:rsidP="00BC79C0">
      <w:pPr>
        <w:pStyle w:val="Style35001908"/>
        <w:spacing w:after="120"/>
        <w:jc w:val="both"/>
        <w:rPr>
          <w:rFonts w:ascii="Calibri" w:hAnsi="Calibri"/>
        </w:rPr>
      </w:pPr>
      <w:r>
        <w:rPr>
          <w:noProof/>
          <w:lang w:val="ro-RO" w:eastAsia="ro-RO"/>
        </w:rPr>
        <w:drawing>
          <wp:inline distT="0" distB="0" distL="0" distR="0" wp14:anchorId="741D070E" wp14:editId="18A4A424">
            <wp:extent cx="6264275" cy="234343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64275" cy="2343437"/>
                    </a:xfrm>
                    <a:prstGeom prst="rect">
                      <a:avLst/>
                    </a:prstGeom>
                    <a:noFill/>
                    <a:ln>
                      <a:noFill/>
                    </a:ln>
                  </pic:spPr>
                </pic:pic>
              </a:graphicData>
            </a:graphic>
          </wp:inline>
        </w:drawing>
      </w:r>
    </w:p>
    <w:p w:rsidR="00A51352" w:rsidRDefault="00A51352" w:rsidP="00BC79C0">
      <w:pPr>
        <w:pStyle w:val="Style35001908"/>
        <w:spacing w:after="120"/>
        <w:jc w:val="both"/>
        <w:rPr>
          <w:rFonts w:ascii="Calibri" w:hAnsi="Calibri"/>
          <w:lang w:val="ro-RO"/>
        </w:rPr>
      </w:pPr>
    </w:p>
    <w:p w:rsidR="00723F54" w:rsidRPr="00C86702" w:rsidRDefault="00723F54" w:rsidP="00BC79C0">
      <w:pPr>
        <w:pStyle w:val="Style35001908"/>
        <w:spacing w:after="120"/>
        <w:jc w:val="both"/>
        <w:rPr>
          <w:rFonts w:ascii="Calibri" w:hAnsi="Calibri"/>
        </w:rPr>
      </w:pPr>
      <w:r>
        <w:rPr>
          <w:rFonts w:ascii="Calibri" w:hAnsi="Calibri"/>
        </w:rPr>
        <w:t>The most important component of the general consolidated budget is the State budget, which has the biggest share in the total budget expenditures. The following component in terms of weight is the centralized budget of the administrative-territorial units, closely followed until 2019 as well, by the social insurance budget. But, starting with 2020, the social insurance budget goes on the second place in the classification of budgets which make up the general consolidated budget, switching places with the centralized budget of the administrative-territorial units.</w:t>
      </w:r>
    </w:p>
    <w:p w:rsidR="00723F54" w:rsidRPr="00C86702" w:rsidRDefault="00723F54" w:rsidP="00723F54">
      <w:pPr>
        <w:jc w:val="both"/>
        <w:rPr>
          <w:rFonts w:ascii="Calibri" w:hAnsi="Calibri"/>
        </w:rPr>
      </w:pPr>
      <w:r>
        <w:rPr>
          <w:rFonts w:ascii="Calibri" w:hAnsi="Calibri"/>
        </w:rPr>
        <w:t>The size of the State budget’s expenditures is also increased by the amounts which are transferred from it to other components of the general consolidated budget, either for balancing thereof (social insurance budgets) or for financing of decentralized activities in the local communities.</w:t>
      </w:r>
    </w:p>
    <w:p w:rsidR="00723F54" w:rsidRDefault="00723F54" w:rsidP="003C4D8A">
      <w:pPr>
        <w:pStyle w:val="Style35001908"/>
        <w:spacing w:after="120"/>
        <w:rPr>
          <w:rFonts w:ascii="Calibri" w:hAnsi="Calibri"/>
        </w:rPr>
      </w:pPr>
      <w:r>
        <w:rPr>
          <w:rFonts w:ascii="Calibri" w:hAnsi="Calibri"/>
        </w:rPr>
        <w:t>All transfers awarded from the State budget to other budgets are eliminated when aggregating the general consolidated budget, in order to avoid double registration thereof.</w:t>
      </w:r>
    </w:p>
    <w:p w:rsidR="005063CB" w:rsidRDefault="005063CB" w:rsidP="003C4D8A">
      <w:pPr>
        <w:pStyle w:val="Style35001908"/>
        <w:spacing w:after="120"/>
        <w:rPr>
          <w:rFonts w:ascii="Calibri" w:hAnsi="Calibri"/>
        </w:rPr>
      </w:pPr>
    </w:p>
    <w:p w:rsidR="005063CB" w:rsidRDefault="005063CB" w:rsidP="003C4D8A">
      <w:pPr>
        <w:pStyle w:val="Style35001908"/>
        <w:spacing w:after="120"/>
        <w:rPr>
          <w:rFonts w:ascii="Calibri" w:hAnsi="Calibri"/>
        </w:rPr>
      </w:pPr>
    </w:p>
    <w:p w:rsidR="005063CB" w:rsidRDefault="005063CB" w:rsidP="003C4D8A">
      <w:pPr>
        <w:pStyle w:val="Style35001908"/>
        <w:spacing w:after="120"/>
        <w:rPr>
          <w:rFonts w:ascii="Calibri" w:hAnsi="Calibri"/>
        </w:rPr>
      </w:pPr>
    </w:p>
    <w:p w:rsidR="005063CB" w:rsidRDefault="005063CB" w:rsidP="003C4D8A">
      <w:pPr>
        <w:pStyle w:val="Style35001908"/>
        <w:spacing w:after="120"/>
        <w:rPr>
          <w:rFonts w:ascii="Calibri" w:hAnsi="Calibri"/>
        </w:rPr>
      </w:pPr>
      <w:r>
        <w:rPr>
          <w:rFonts w:ascii="Calibri" w:hAnsi="Calibri"/>
          <w:b/>
          <w:noProof/>
          <w:color w:val="000080"/>
          <w:lang w:val="ro-RO" w:eastAsia="ro-RO"/>
        </w:rPr>
        <mc:AlternateContent>
          <mc:Choice Requires="wps">
            <w:drawing>
              <wp:anchor distT="0" distB="0" distL="114300" distR="114300" simplePos="0" relativeHeight="251652096" behindDoc="0" locked="0" layoutInCell="1" allowOverlap="1" wp14:anchorId="74A06A06" wp14:editId="491050C8">
                <wp:simplePos x="0" y="0"/>
                <wp:positionH relativeFrom="column">
                  <wp:posOffset>1327150</wp:posOffset>
                </wp:positionH>
                <wp:positionV relativeFrom="paragraph">
                  <wp:posOffset>-374650</wp:posOffset>
                </wp:positionV>
                <wp:extent cx="3286760" cy="519430"/>
                <wp:effectExtent l="12700" t="5715" r="5715" b="8255"/>
                <wp:wrapNone/>
                <wp:docPr id="654"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760" cy="519430"/>
                        </a:xfrm>
                        <a:prstGeom prst="rect">
                          <a:avLst/>
                        </a:prstGeom>
                        <a:solidFill>
                          <a:srgbClr val="FFFFFF"/>
                        </a:solidFill>
                        <a:ln w="9525">
                          <a:solidFill>
                            <a:srgbClr val="000000"/>
                          </a:solidFill>
                          <a:miter lim="800000"/>
                          <a:headEnd/>
                          <a:tailEnd/>
                        </a:ln>
                      </wps:spPr>
                      <wps:txbx>
                        <w:txbxContent>
                          <w:p w:rsidR="005063CB" w:rsidRDefault="005063CB" w:rsidP="006733B7">
                            <w:r>
                              <w:t xml:space="preserve">Expenditures of the general consolidated budget </w:t>
                            </w:r>
                          </w:p>
                          <w:p w:rsidR="005063CB" w:rsidRDefault="005063CB" w:rsidP="006733B7">
                            <w:pPr>
                              <w:pStyle w:val="ListParagraph"/>
                              <w:numPr>
                                <w:ilvl w:val="0"/>
                                <w:numId w:val="238"/>
                              </w:numPr>
                            </w:pPr>
                            <w:r>
                              <w:t xml:space="preserve">on component budgets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06A06" id="Rectangle 387" o:spid="_x0000_s1099" style="position:absolute;margin-left:104.5pt;margin-top:-29.5pt;width:258.8pt;height:40.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">
                <v:textbox>
                  <w:txbxContent>
                    <w:p w:rsidR="005063CB" w:rsidRDefault="005063CB" w:rsidP="006733B7">
                      <w:r>
                        <w:t xml:space="preserve">Expenditures of the general consolidated budget </w:t>
                      </w:r>
                    </w:p>
                    <w:p w:rsidR="005063CB" w:rsidRDefault="005063CB" w:rsidP="006733B7">
                      <w:pPr>
                        <w:pStyle w:val="ListParagraph"/>
                        <w:numPr>
                          <w:ilvl w:val="0"/>
                          <w:numId w:val="238"/>
                        </w:numPr>
                      </w:pPr>
                      <w:r>
                        <w:t xml:space="preserve">on component budgets - </w:t>
                      </w:r>
                    </w:p>
                  </w:txbxContent>
                </v:textbox>
              </v:rect>
            </w:pict>
          </mc:Fallback>
        </mc:AlternateContent>
      </w:r>
    </w:p>
    <w:p w:rsidR="003C4D8A" w:rsidRDefault="00DF768F" w:rsidP="003B21B1">
      <w:pPr>
        <w:pStyle w:val="Style35001908"/>
        <w:jc w:val="center"/>
        <w:rPr>
          <w:rFonts w:ascii="Calibri" w:hAnsi="Calibri"/>
        </w:rPr>
      </w:pPr>
      <w:r>
        <w:rPr>
          <w:rFonts w:asciiTheme="minorHAnsi" w:hAnsiTheme="minorHAnsi"/>
          <w:noProof/>
          <w:lang w:val="ro-RO" w:eastAsia="ro-RO"/>
        </w:rPr>
        <mc:AlternateContent>
          <mc:Choice Requires="wps">
            <w:drawing>
              <wp:anchor distT="0" distB="0" distL="114300" distR="114300" simplePos="0" relativeHeight="251653120" behindDoc="0" locked="0" layoutInCell="1" allowOverlap="1" wp14:anchorId="31EB8573" wp14:editId="336B516A">
                <wp:simplePos x="0" y="0"/>
                <wp:positionH relativeFrom="column">
                  <wp:posOffset>21590</wp:posOffset>
                </wp:positionH>
                <wp:positionV relativeFrom="paragraph">
                  <wp:posOffset>530860</wp:posOffset>
                </wp:positionV>
                <wp:extent cx="2125345" cy="3113405"/>
                <wp:effectExtent l="12065" t="6985" r="5715" b="13335"/>
                <wp:wrapNone/>
                <wp:docPr id="652"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345" cy="3113405"/>
                        </a:xfrm>
                        <a:prstGeom prst="rect">
                          <a:avLst/>
                        </a:prstGeom>
                        <a:solidFill>
                          <a:srgbClr val="FFFFFF"/>
                        </a:solidFill>
                        <a:ln w="9525">
                          <a:solidFill>
                            <a:srgbClr val="000000"/>
                          </a:solidFill>
                          <a:miter lim="800000"/>
                          <a:headEnd/>
                          <a:tailEnd/>
                        </a:ln>
                      </wps:spPr>
                      <wps:txbx>
                        <w:txbxContent>
                          <w:p w:rsidR="005063CB" w:rsidRPr="000C6035" w:rsidRDefault="005063CB" w:rsidP="006733B7">
                            <w:pPr>
                              <w:rPr>
                                <w:sz w:val="16"/>
                              </w:rPr>
                            </w:pPr>
                            <w:r w:rsidRPr="000C6035">
                              <w:rPr>
                                <w:sz w:val="16"/>
                              </w:rPr>
                              <w:t>Total, of which:</w:t>
                            </w:r>
                          </w:p>
                          <w:p w:rsidR="005063CB" w:rsidRPr="000C6035" w:rsidRDefault="005063CB" w:rsidP="006733B7">
                            <w:pPr>
                              <w:rPr>
                                <w:sz w:val="16"/>
                              </w:rPr>
                            </w:pPr>
                          </w:p>
                          <w:p w:rsidR="005063CB" w:rsidRPr="000C6035" w:rsidRDefault="005063CB" w:rsidP="006733B7">
                            <w:pPr>
                              <w:rPr>
                                <w:sz w:val="16"/>
                              </w:rPr>
                            </w:pPr>
                            <w:r w:rsidRPr="000C6035">
                              <w:rPr>
                                <w:sz w:val="16"/>
                              </w:rPr>
                              <w:t>State budget</w:t>
                            </w:r>
                          </w:p>
                          <w:p w:rsidR="005063CB" w:rsidRPr="000C6035" w:rsidRDefault="005063CB" w:rsidP="006733B7">
                            <w:pPr>
                              <w:rPr>
                                <w:sz w:val="16"/>
                              </w:rPr>
                            </w:pPr>
                          </w:p>
                          <w:p w:rsidR="005063CB" w:rsidRPr="000C6035" w:rsidRDefault="005063CB" w:rsidP="006733B7">
                            <w:pPr>
                              <w:rPr>
                                <w:sz w:val="16"/>
                              </w:rPr>
                            </w:pPr>
                            <w:r w:rsidRPr="000C6035">
                              <w:rPr>
                                <w:sz w:val="16"/>
                              </w:rPr>
                              <w:t>Centralized general budget</w:t>
                            </w:r>
                          </w:p>
                          <w:p w:rsidR="005063CB" w:rsidRPr="000C6035" w:rsidRDefault="005063CB" w:rsidP="006733B7">
                            <w:pPr>
                              <w:rPr>
                                <w:sz w:val="16"/>
                              </w:rPr>
                            </w:pPr>
                            <w:r w:rsidRPr="000C6035">
                              <w:rPr>
                                <w:sz w:val="16"/>
                              </w:rPr>
                              <w:t>of administrative-territorial</w:t>
                            </w:r>
                          </w:p>
                          <w:p w:rsidR="005063CB" w:rsidRPr="000C6035" w:rsidRDefault="005063CB" w:rsidP="006733B7">
                            <w:pPr>
                              <w:rPr>
                                <w:sz w:val="16"/>
                              </w:rPr>
                            </w:pPr>
                            <w:r w:rsidRPr="000C6035">
                              <w:rPr>
                                <w:sz w:val="16"/>
                              </w:rPr>
                              <w:t>units</w:t>
                            </w:r>
                          </w:p>
                          <w:p w:rsidR="005063CB" w:rsidRPr="000C6035" w:rsidRDefault="005063CB" w:rsidP="006733B7">
                            <w:pPr>
                              <w:rPr>
                                <w:sz w:val="16"/>
                              </w:rPr>
                            </w:pPr>
                            <w:r w:rsidRPr="000C6035">
                              <w:rPr>
                                <w:sz w:val="16"/>
                              </w:rPr>
                              <w:t>Social insurance budget</w:t>
                            </w:r>
                          </w:p>
                          <w:p w:rsidR="005063CB" w:rsidRPr="000C6035" w:rsidRDefault="005063CB" w:rsidP="006733B7">
                            <w:pPr>
                              <w:rPr>
                                <w:sz w:val="16"/>
                              </w:rPr>
                            </w:pPr>
                          </w:p>
                          <w:p w:rsidR="005063CB" w:rsidRPr="000C6035" w:rsidRDefault="005063CB" w:rsidP="006733B7">
                            <w:pPr>
                              <w:rPr>
                                <w:sz w:val="16"/>
                              </w:rPr>
                            </w:pPr>
                            <w:r w:rsidRPr="000C6035">
                              <w:rPr>
                                <w:sz w:val="16"/>
                              </w:rPr>
                              <w:t>Unemployment insurance</w:t>
                            </w:r>
                          </w:p>
                          <w:p w:rsidR="005063CB" w:rsidRPr="000C6035" w:rsidRDefault="005063CB" w:rsidP="006733B7">
                            <w:pPr>
                              <w:rPr>
                                <w:sz w:val="16"/>
                              </w:rPr>
                            </w:pPr>
                            <w:r w:rsidRPr="000C6035">
                              <w:rPr>
                                <w:sz w:val="16"/>
                              </w:rPr>
                              <w:t>Budget</w:t>
                            </w:r>
                          </w:p>
                          <w:p w:rsidR="005063CB" w:rsidRPr="000C6035" w:rsidRDefault="005063CB" w:rsidP="006733B7">
                            <w:pPr>
                              <w:rPr>
                                <w:sz w:val="16"/>
                              </w:rPr>
                            </w:pPr>
                            <w:r w:rsidRPr="000C6035">
                              <w:rPr>
                                <w:sz w:val="16"/>
                              </w:rPr>
                              <w:t xml:space="preserve">Budget of the Health Insurance </w:t>
                            </w:r>
                          </w:p>
                          <w:p w:rsidR="005063CB" w:rsidRPr="000C6035" w:rsidRDefault="005063CB" w:rsidP="006733B7">
                            <w:pPr>
                              <w:rPr>
                                <w:sz w:val="16"/>
                              </w:rPr>
                            </w:pPr>
                            <w:r w:rsidRPr="000C6035">
                              <w:rPr>
                                <w:sz w:val="16"/>
                              </w:rPr>
                              <w:t>Fund</w:t>
                            </w:r>
                          </w:p>
                          <w:p w:rsidR="005063CB" w:rsidRPr="000C6035" w:rsidRDefault="005063CB" w:rsidP="006733B7">
                            <w:pPr>
                              <w:rPr>
                                <w:sz w:val="16"/>
                              </w:rPr>
                            </w:pPr>
                          </w:p>
                          <w:p w:rsidR="005063CB" w:rsidRPr="000C6035" w:rsidRDefault="005063CB" w:rsidP="006733B7">
                            <w:pPr>
                              <w:rPr>
                                <w:sz w:val="16"/>
                              </w:rPr>
                            </w:pPr>
                            <w:r w:rsidRPr="000C6035">
                              <w:rPr>
                                <w:sz w:val="16"/>
                              </w:rPr>
                              <w:t>Budget of the institutions/activities</w:t>
                            </w:r>
                          </w:p>
                          <w:p w:rsidR="005063CB" w:rsidRPr="000C6035" w:rsidRDefault="005063CB" w:rsidP="006733B7">
                            <w:pPr>
                              <w:rPr>
                                <w:sz w:val="16"/>
                              </w:rPr>
                            </w:pPr>
                            <w:r w:rsidRPr="000C6035">
                              <w:rPr>
                                <w:sz w:val="16"/>
                              </w:rPr>
                              <w:t>financed from own revenues</w:t>
                            </w:r>
                          </w:p>
                          <w:p w:rsidR="005063CB" w:rsidRPr="000C6035" w:rsidRDefault="005063CB" w:rsidP="006733B7">
                            <w:pPr>
                              <w:rPr>
                                <w:sz w:val="16"/>
                              </w:rPr>
                            </w:pPr>
                          </w:p>
                          <w:p w:rsidR="005063CB" w:rsidRPr="000C6035" w:rsidRDefault="005063CB" w:rsidP="006733B7">
                            <w:pPr>
                              <w:rPr>
                                <w:sz w:val="16"/>
                              </w:rPr>
                            </w:pPr>
                            <w:r w:rsidRPr="000C6035">
                              <w:rPr>
                                <w:sz w:val="16"/>
                              </w:rPr>
                              <w:t>Other components of</w:t>
                            </w:r>
                          </w:p>
                          <w:p w:rsidR="005063CB" w:rsidRPr="000C6035" w:rsidRDefault="005063CB" w:rsidP="006733B7">
                            <w:pPr>
                              <w:rPr>
                                <w:sz w:val="16"/>
                              </w:rPr>
                            </w:pPr>
                            <w:r w:rsidRPr="000C6035">
                              <w:rPr>
                                <w:sz w:val="16"/>
                              </w:rPr>
                              <w:t>the general consolidated budget</w:t>
                            </w:r>
                          </w:p>
                          <w:p w:rsidR="005063CB" w:rsidRPr="000C6035" w:rsidRDefault="005063CB" w:rsidP="006733B7">
                            <w:pPr>
                              <w:rPr>
                                <w:sz w:val="16"/>
                              </w:rPr>
                            </w:pPr>
                          </w:p>
                          <w:p w:rsidR="005063CB" w:rsidRPr="000C6035" w:rsidRDefault="005063CB" w:rsidP="006733B7">
                            <w:pPr>
                              <w:rPr>
                                <w:sz w:val="16"/>
                              </w:rPr>
                            </w:pPr>
                            <w:r w:rsidRPr="000C6035">
                              <w:rPr>
                                <w:sz w:val="16"/>
                              </w:rPr>
                              <w:t xml:space="preserve">Transfers between the budgets </w:t>
                            </w:r>
                          </w:p>
                          <w:p w:rsidR="005063CB" w:rsidRPr="000C6035" w:rsidRDefault="005063CB" w:rsidP="006733B7">
                            <w:pPr>
                              <w:rPr>
                                <w:sz w:val="16"/>
                              </w:rPr>
                            </w:pPr>
                            <w:r w:rsidRPr="000C6035">
                              <w:rPr>
                                <w:sz w:val="16"/>
                              </w:rPr>
                              <w:t>(shall be deducted)</w:t>
                            </w:r>
                          </w:p>
                          <w:p w:rsidR="005063CB" w:rsidRPr="000C6035" w:rsidRDefault="005063CB" w:rsidP="006733B7">
                            <w:pPr>
                              <w:rPr>
                                <w:sz w:val="16"/>
                              </w:rPr>
                            </w:pPr>
                            <w:r w:rsidRPr="000C6035">
                              <w:rPr>
                                <w:sz w:val="16"/>
                              </w:rPr>
                              <w:t>Financial operations (shall be deducted)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B8573" id="Rectangle 388" o:spid="_x0000_s1100" style="position:absolute;left:0;text-align:left;margin-left:1.7pt;margin-top:41.8pt;width:167.35pt;height:245.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">
                <v:textbox>
                  <w:txbxContent>
                    <w:p w:rsidR="005063CB" w:rsidRPr="000C6035" w:rsidRDefault="005063CB" w:rsidP="006733B7">
                      <w:pPr>
                        <w:rPr>
                          <w:sz w:val="16"/>
                        </w:rPr>
                      </w:pPr>
                      <w:r w:rsidRPr="000C6035">
                        <w:rPr>
                          <w:sz w:val="16"/>
                        </w:rPr>
                        <w:t>Total, of which:</w:t>
                      </w:r>
                    </w:p>
                    <w:p w:rsidR="005063CB" w:rsidRPr="000C6035" w:rsidRDefault="005063CB" w:rsidP="006733B7">
                      <w:pPr>
                        <w:rPr>
                          <w:sz w:val="16"/>
                        </w:rPr>
                      </w:pPr>
                    </w:p>
                    <w:p w:rsidR="005063CB" w:rsidRPr="000C6035" w:rsidRDefault="005063CB" w:rsidP="006733B7">
                      <w:pPr>
                        <w:rPr>
                          <w:sz w:val="16"/>
                        </w:rPr>
                      </w:pPr>
                      <w:r w:rsidRPr="000C6035">
                        <w:rPr>
                          <w:sz w:val="16"/>
                        </w:rPr>
                        <w:t>State budget</w:t>
                      </w:r>
                    </w:p>
                    <w:p w:rsidR="005063CB" w:rsidRPr="000C6035" w:rsidRDefault="005063CB" w:rsidP="006733B7">
                      <w:pPr>
                        <w:rPr>
                          <w:sz w:val="16"/>
                        </w:rPr>
                      </w:pPr>
                    </w:p>
                    <w:p w:rsidR="005063CB" w:rsidRPr="000C6035" w:rsidRDefault="005063CB" w:rsidP="006733B7">
                      <w:pPr>
                        <w:rPr>
                          <w:sz w:val="16"/>
                        </w:rPr>
                      </w:pPr>
                      <w:r w:rsidRPr="000C6035">
                        <w:rPr>
                          <w:sz w:val="16"/>
                        </w:rPr>
                        <w:t>Centralized general budget</w:t>
                      </w:r>
                    </w:p>
                    <w:p w:rsidR="005063CB" w:rsidRPr="000C6035" w:rsidRDefault="005063CB" w:rsidP="006733B7">
                      <w:pPr>
                        <w:rPr>
                          <w:sz w:val="16"/>
                        </w:rPr>
                      </w:pPr>
                      <w:r w:rsidRPr="000C6035">
                        <w:rPr>
                          <w:sz w:val="16"/>
                        </w:rPr>
                        <w:t>of administrative-territorial</w:t>
                      </w:r>
                    </w:p>
                    <w:p w:rsidR="005063CB" w:rsidRPr="000C6035" w:rsidRDefault="005063CB" w:rsidP="006733B7">
                      <w:pPr>
                        <w:rPr>
                          <w:sz w:val="16"/>
                        </w:rPr>
                      </w:pPr>
                      <w:r w:rsidRPr="000C6035">
                        <w:rPr>
                          <w:sz w:val="16"/>
                        </w:rPr>
                        <w:t>units</w:t>
                      </w:r>
                    </w:p>
                    <w:p w:rsidR="005063CB" w:rsidRPr="000C6035" w:rsidRDefault="005063CB" w:rsidP="006733B7">
                      <w:pPr>
                        <w:rPr>
                          <w:sz w:val="16"/>
                        </w:rPr>
                      </w:pPr>
                      <w:r w:rsidRPr="000C6035">
                        <w:rPr>
                          <w:sz w:val="16"/>
                        </w:rPr>
                        <w:t>Social insurance budget</w:t>
                      </w:r>
                    </w:p>
                    <w:p w:rsidR="005063CB" w:rsidRPr="000C6035" w:rsidRDefault="005063CB" w:rsidP="006733B7">
                      <w:pPr>
                        <w:rPr>
                          <w:sz w:val="16"/>
                        </w:rPr>
                      </w:pPr>
                    </w:p>
                    <w:p w:rsidR="005063CB" w:rsidRPr="000C6035" w:rsidRDefault="005063CB" w:rsidP="006733B7">
                      <w:pPr>
                        <w:rPr>
                          <w:sz w:val="16"/>
                        </w:rPr>
                      </w:pPr>
                      <w:r w:rsidRPr="000C6035">
                        <w:rPr>
                          <w:sz w:val="16"/>
                        </w:rPr>
                        <w:t>Unemployment insurance</w:t>
                      </w:r>
                    </w:p>
                    <w:p w:rsidR="005063CB" w:rsidRPr="000C6035" w:rsidRDefault="005063CB" w:rsidP="006733B7">
                      <w:pPr>
                        <w:rPr>
                          <w:sz w:val="16"/>
                        </w:rPr>
                      </w:pPr>
                      <w:r w:rsidRPr="000C6035">
                        <w:rPr>
                          <w:sz w:val="16"/>
                        </w:rPr>
                        <w:t>Budget</w:t>
                      </w:r>
                    </w:p>
                    <w:p w:rsidR="005063CB" w:rsidRPr="000C6035" w:rsidRDefault="005063CB" w:rsidP="006733B7">
                      <w:pPr>
                        <w:rPr>
                          <w:sz w:val="16"/>
                        </w:rPr>
                      </w:pPr>
                      <w:r w:rsidRPr="000C6035">
                        <w:rPr>
                          <w:sz w:val="16"/>
                        </w:rPr>
                        <w:t xml:space="preserve">Budget of the Health Insurance </w:t>
                      </w:r>
                    </w:p>
                    <w:p w:rsidR="005063CB" w:rsidRPr="000C6035" w:rsidRDefault="005063CB" w:rsidP="006733B7">
                      <w:pPr>
                        <w:rPr>
                          <w:sz w:val="16"/>
                        </w:rPr>
                      </w:pPr>
                      <w:r w:rsidRPr="000C6035">
                        <w:rPr>
                          <w:sz w:val="16"/>
                        </w:rPr>
                        <w:t>Fund</w:t>
                      </w:r>
                    </w:p>
                    <w:p w:rsidR="005063CB" w:rsidRPr="000C6035" w:rsidRDefault="005063CB" w:rsidP="006733B7">
                      <w:pPr>
                        <w:rPr>
                          <w:sz w:val="16"/>
                        </w:rPr>
                      </w:pPr>
                    </w:p>
                    <w:p w:rsidR="005063CB" w:rsidRPr="000C6035" w:rsidRDefault="005063CB" w:rsidP="006733B7">
                      <w:pPr>
                        <w:rPr>
                          <w:sz w:val="16"/>
                        </w:rPr>
                      </w:pPr>
                      <w:r w:rsidRPr="000C6035">
                        <w:rPr>
                          <w:sz w:val="16"/>
                        </w:rPr>
                        <w:t>Budget of the institutions/activities</w:t>
                      </w:r>
                    </w:p>
                    <w:p w:rsidR="005063CB" w:rsidRPr="000C6035" w:rsidRDefault="005063CB" w:rsidP="006733B7">
                      <w:pPr>
                        <w:rPr>
                          <w:sz w:val="16"/>
                        </w:rPr>
                      </w:pPr>
                      <w:r w:rsidRPr="000C6035">
                        <w:rPr>
                          <w:sz w:val="16"/>
                        </w:rPr>
                        <w:t>financed from own revenues</w:t>
                      </w:r>
                    </w:p>
                    <w:p w:rsidR="005063CB" w:rsidRPr="000C6035" w:rsidRDefault="005063CB" w:rsidP="006733B7">
                      <w:pPr>
                        <w:rPr>
                          <w:sz w:val="16"/>
                        </w:rPr>
                      </w:pPr>
                    </w:p>
                    <w:p w:rsidR="005063CB" w:rsidRPr="000C6035" w:rsidRDefault="005063CB" w:rsidP="006733B7">
                      <w:pPr>
                        <w:rPr>
                          <w:sz w:val="16"/>
                        </w:rPr>
                      </w:pPr>
                      <w:r w:rsidRPr="000C6035">
                        <w:rPr>
                          <w:sz w:val="16"/>
                        </w:rPr>
                        <w:t>Other components of</w:t>
                      </w:r>
                    </w:p>
                    <w:p w:rsidR="005063CB" w:rsidRPr="000C6035" w:rsidRDefault="005063CB" w:rsidP="006733B7">
                      <w:pPr>
                        <w:rPr>
                          <w:sz w:val="16"/>
                        </w:rPr>
                      </w:pPr>
                      <w:r w:rsidRPr="000C6035">
                        <w:rPr>
                          <w:sz w:val="16"/>
                        </w:rPr>
                        <w:t>the general consolidated budget</w:t>
                      </w:r>
                    </w:p>
                    <w:p w:rsidR="005063CB" w:rsidRPr="000C6035" w:rsidRDefault="005063CB" w:rsidP="006733B7">
                      <w:pPr>
                        <w:rPr>
                          <w:sz w:val="16"/>
                        </w:rPr>
                      </w:pPr>
                    </w:p>
                    <w:p w:rsidR="005063CB" w:rsidRPr="000C6035" w:rsidRDefault="005063CB" w:rsidP="006733B7">
                      <w:pPr>
                        <w:rPr>
                          <w:sz w:val="16"/>
                        </w:rPr>
                      </w:pPr>
                      <w:r w:rsidRPr="000C6035">
                        <w:rPr>
                          <w:sz w:val="16"/>
                        </w:rPr>
                        <w:t xml:space="preserve">Transfers between the budgets </w:t>
                      </w:r>
                    </w:p>
                    <w:p w:rsidR="005063CB" w:rsidRPr="000C6035" w:rsidRDefault="005063CB" w:rsidP="006733B7">
                      <w:pPr>
                        <w:rPr>
                          <w:sz w:val="16"/>
                        </w:rPr>
                      </w:pPr>
                      <w:r w:rsidRPr="000C6035">
                        <w:rPr>
                          <w:sz w:val="16"/>
                        </w:rPr>
                        <w:t>(shall be deducted)</w:t>
                      </w:r>
                    </w:p>
                    <w:p w:rsidR="005063CB" w:rsidRPr="000C6035" w:rsidRDefault="005063CB" w:rsidP="006733B7">
                      <w:pPr>
                        <w:rPr>
                          <w:sz w:val="16"/>
                        </w:rPr>
                      </w:pPr>
                      <w:r w:rsidRPr="000C6035">
                        <w:rPr>
                          <w:sz w:val="16"/>
                        </w:rPr>
                        <w:t>Financial operations (shall be deducted)</w:t>
                      </w:r>
                    </w:p>
                  </w:txbxContent>
                </v:textbox>
              </v:rect>
            </w:pict>
          </mc:Fallback>
        </mc:AlternateContent>
      </w:r>
      <w:r w:rsidR="0040622C">
        <w:rPr>
          <w:noProof/>
          <w:lang w:val="ro-RO" w:eastAsia="ro-RO"/>
        </w:rPr>
        <w:drawing>
          <wp:inline distT="0" distB="0" distL="0" distR="0" wp14:anchorId="371F11AC" wp14:editId="3DF5B5DF">
            <wp:extent cx="4361815" cy="36803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84443" cy="3699418"/>
                    </a:xfrm>
                    <a:prstGeom prst="rect">
                      <a:avLst/>
                    </a:prstGeom>
                    <a:noFill/>
                    <a:ln>
                      <a:noFill/>
                    </a:ln>
                  </pic:spPr>
                </pic:pic>
              </a:graphicData>
            </a:graphic>
          </wp:inline>
        </w:drawing>
      </w:r>
    </w:p>
    <w:p w:rsidR="005063CB" w:rsidRDefault="005063CB" w:rsidP="003B21B1">
      <w:pPr>
        <w:pStyle w:val="Style35001908"/>
        <w:jc w:val="center"/>
        <w:rPr>
          <w:rFonts w:ascii="Calibri" w:hAnsi="Calibri"/>
        </w:rPr>
      </w:pPr>
      <w:r>
        <w:rPr>
          <w:rFonts w:ascii="Calibri" w:hAnsi="Calibri"/>
          <w:noProof/>
          <w:lang w:val="ro-RO" w:eastAsia="ro-RO"/>
        </w:rPr>
        <mc:AlternateContent>
          <mc:Choice Requires="wps">
            <w:drawing>
              <wp:anchor distT="0" distB="0" distL="114300" distR="114300" simplePos="0" relativeHeight="251654144" behindDoc="0" locked="0" layoutInCell="1" allowOverlap="1" wp14:anchorId="591910FF" wp14:editId="31ADFEE6">
                <wp:simplePos x="0" y="0"/>
                <wp:positionH relativeFrom="column">
                  <wp:posOffset>213360</wp:posOffset>
                </wp:positionH>
                <wp:positionV relativeFrom="paragraph">
                  <wp:posOffset>57784</wp:posOffset>
                </wp:positionV>
                <wp:extent cx="5511165" cy="276225"/>
                <wp:effectExtent l="0" t="0" r="13335" b="28575"/>
                <wp:wrapNone/>
                <wp:docPr id="653"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165" cy="276225"/>
                        </a:xfrm>
                        <a:prstGeom prst="rect">
                          <a:avLst/>
                        </a:prstGeom>
                        <a:solidFill>
                          <a:srgbClr val="FFFFFF"/>
                        </a:solidFill>
                        <a:ln w="9525">
                          <a:solidFill>
                            <a:srgbClr val="000000"/>
                          </a:solidFill>
                          <a:miter lim="800000"/>
                          <a:headEnd/>
                          <a:tailEnd/>
                        </a:ln>
                      </wps:spPr>
                      <wps:txbx>
                        <w:txbxContent>
                          <w:p w:rsidR="005063CB" w:rsidRPr="00D324A1" w:rsidRDefault="005063CB" w:rsidP="000C6035">
                            <w:pPr>
                              <w:rPr>
                                <w:sz w:val="20"/>
                              </w:rPr>
                            </w:pPr>
                            <w:r w:rsidRPr="00D324A1">
                              <w:rPr>
                                <w:sz w:val="20"/>
                              </w:rPr>
                              <w:t>Note:</w:t>
                            </w:r>
                            <w:r>
                              <w:rPr>
                                <w:sz w:val="20"/>
                              </w:rPr>
                              <w:t xml:space="preserve"> due to rounding offs, it is possible that the total is not equal to the sum of its components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910FF" id="Rectangle 389" o:spid="_x0000_s1101" style="position:absolute;left:0;text-align:left;margin-left:16.8pt;margin-top:4.55pt;width:433.95pt;height:2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">
                <v:textbox>
                  <w:txbxContent>
                    <w:p w:rsidR="005063CB" w:rsidRPr="00D324A1" w:rsidRDefault="005063CB" w:rsidP="000C6035">
                      <w:pPr>
                        <w:rPr>
                          <w:sz w:val="20"/>
                        </w:rPr>
                      </w:pPr>
                      <w:r w:rsidRPr="00D324A1">
                        <w:rPr>
                          <w:sz w:val="20"/>
                        </w:rPr>
                        <w:t>Note:</w:t>
                      </w:r>
                      <w:r>
                        <w:rPr>
                          <w:sz w:val="20"/>
                        </w:rPr>
                        <w:t xml:space="preserve"> due to rounding offs, it is possible that the total is not equal to the sum of its components </w:t>
                      </w:r>
                    </w:p>
                  </w:txbxContent>
                </v:textbox>
              </v:rect>
            </w:pict>
          </mc:Fallback>
        </mc:AlternateContent>
      </w:r>
    </w:p>
    <w:p w:rsidR="005063CB" w:rsidRDefault="005063CB" w:rsidP="003B21B1">
      <w:pPr>
        <w:pStyle w:val="Style35001908"/>
        <w:jc w:val="center"/>
        <w:rPr>
          <w:rFonts w:ascii="Calibri" w:hAnsi="Calibri"/>
        </w:rPr>
      </w:pPr>
    </w:p>
    <w:p w:rsidR="005063CB" w:rsidRDefault="005063CB" w:rsidP="003B21B1">
      <w:pPr>
        <w:pStyle w:val="Style35001908"/>
        <w:jc w:val="center"/>
        <w:rPr>
          <w:rFonts w:ascii="Calibri" w:hAnsi="Calibri"/>
        </w:rPr>
      </w:pPr>
    </w:p>
    <w:p w:rsidR="002A124A" w:rsidRPr="00C86702" w:rsidRDefault="00CB19C5" w:rsidP="001C7118">
      <w:pPr>
        <w:widowControl w:val="0"/>
        <w:shd w:val="clear" w:color="auto" w:fill="9CC2E5" w:themeFill="accent1" w:themeFillTint="99"/>
        <w:spacing w:line="320" w:lineRule="exact"/>
        <w:rPr>
          <w:rFonts w:ascii="Calibri" w:hAnsi="Calibri"/>
          <w:b/>
          <w:color w:val="000080"/>
        </w:rPr>
      </w:pPr>
      <w:r>
        <w:rPr>
          <w:rFonts w:ascii="Calibri" w:hAnsi="Calibri"/>
          <w:b/>
          <w:color w:val="000080"/>
        </w:rPr>
        <w:t>4.5.3 Differences from the previous Strategy</w:t>
      </w:r>
    </w:p>
    <w:p w:rsidR="00871CCF" w:rsidRPr="003964D3" w:rsidRDefault="00871CCF" w:rsidP="00552882">
      <w:pPr>
        <w:tabs>
          <w:tab w:val="left" w:pos="2977"/>
        </w:tabs>
        <w:jc w:val="both"/>
        <w:rPr>
          <w:rFonts w:ascii="Calibri" w:hAnsi="Calibri"/>
          <w:sz w:val="22"/>
        </w:rPr>
      </w:pPr>
      <w:r>
        <w:rPr>
          <w:rFonts w:ascii="Calibri" w:hAnsi="Calibri"/>
          <w:sz w:val="22"/>
        </w:rPr>
        <w:t>The forecast scenario from the Fiscal and Budgetary Strategy of 2019-2021 generally differs from the previous version on short term (years 2017 and 2018), considering the available statistical data.</w:t>
      </w:r>
    </w:p>
    <w:p w:rsidR="00871CCF" w:rsidRPr="003964D3" w:rsidRDefault="00871CCF" w:rsidP="00871CCF">
      <w:pPr>
        <w:jc w:val="both"/>
        <w:rPr>
          <w:rFonts w:ascii="Calibri" w:hAnsi="Calibri"/>
          <w:sz w:val="4"/>
          <w:szCs w:val="4"/>
          <w:lang w:val="ro-RO"/>
        </w:rPr>
      </w:pPr>
    </w:p>
    <w:p w:rsidR="00871CCF" w:rsidRPr="003964D3" w:rsidRDefault="00871CCF" w:rsidP="00871CCF">
      <w:pPr>
        <w:jc w:val="both"/>
        <w:rPr>
          <w:rFonts w:ascii="Calibri" w:hAnsi="Calibri"/>
          <w:sz w:val="22"/>
        </w:rPr>
      </w:pPr>
      <w:r>
        <w:rPr>
          <w:rFonts w:ascii="Calibri" w:hAnsi="Calibri"/>
          <w:b/>
          <w:i/>
          <w:color w:val="365F91"/>
          <w:sz w:val="22"/>
        </w:rPr>
        <w:t>With regard to the economic growth in 2018 published by the NIS, it differs from the scenario of the previous version of the strategy</w:t>
      </w:r>
      <w:r>
        <w:rPr>
          <w:rFonts w:ascii="Calibri" w:hAnsi="Calibri"/>
          <w:sz w:val="22"/>
        </w:rPr>
        <w:t xml:space="preserve">, within the meaning of a slowing down of 1.4 percentage points, as a result of the action of certain circumstantial factors (the increase of oil prices, of energy prices, a more restrictive monetary policy) for years 2019 and 2020, the differences in economic growth being insignificant or even zero. </w:t>
      </w:r>
    </w:p>
    <w:p w:rsidR="00871CCF" w:rsidRPr="003964D3" w:rsidRDefault="00871CCF" w:rsidP="00871CCF">
      <w:pPr>
        <w:jc w:val="both"/>
        <w:rPr>
          <w:rFonts w:ascii="Calibri" w:hAnsi="Calibri"/>
          <w:sz w:val="4"/>
          <w:szCs w:val="4"/>
          <w:lang w:val="ro-RO"/>
        </w:rPr>
      </w:pPr>
    </w:p>
    <w:p w:rsidR="00871CCF" w:rsidRPr="00201684" w:rsidRDefault="00681D40" w:rsidP="00871CCF">
      <w:pPr>
        <w:jc w:val="both"/>
        <w:rPr>
          <w:rFonts w:ascii="Calibri" w:hAnsi="Calibri"/>
          <w:sz w:val="22"/>
        </w:rPr>
      </w:pPr>
      <w:r>
        <w:rPr>
          <w:rFonts w:ascii="Calibri" w:hAnsi="Calibri"/>
          <w:b/>
          <w:i/>
          <w:color w:val="365F91"/>
          <w:sz w:val="22"/>
        </w:rPr>
        <w:t>The dynamics of the export of goods</w:t>
      </w:r>
      <w:r>
        <w:rPr>
          <w:rFonts w:ascii="Calibri" w:hAnsi="Calibri"/>
          <w:color w:val="FF0000"/>
          <w:sz w:val="22"/>
        </w:rPr>
        <w:t xml:space="preserve"> </w:t>
      </w:r>
      <w:r>
        <w:rPr>
          <w:rFonts w:ascii="Calibri" w:hAnsi="Calibri"/>
          <w:sz w:val="22"/>
        </w:rPr>
        <w:t>in 2018 was superior to the one from the previous version of the strategy, which caused</w:t>
      </w:r>
      <w:r>
        <w:rPr>
          <w:rFonts w:ascii="Calibri" w:hAnsi="Calibri"/>
          <w:b/>
          <w:i/>
          <w:color w:val="FF0000"/>
          <w:sz w:val="22"/>
        </w:rPr>
        <w:t xml:space="preserve"> </w:t>
      </w:r>
      <w:r>
        <w:rPr>
          <w:rFonts w:ascii="Calibri" w:hAnsi="Calibri"/>
          <w:b/>
          <w:i/>
          <w:color w:val="365F91"/>
          <w:sz w:val="22"/>
        </w:rPr>
        <w:t>a revision of the dynamics of exports for the following years.</w:t>
      </w:r>
      <w:r>
        <w:rPr>
          <w:rFonts w:ascii="Calibri" w:hAnsi="Calibri"/>
          <w:color w:val="FF0000"/>
          <w:sz w:val="22"/>
        </w:rPr>
        <w:t xml:space="preserve"> </w:t>
      </w:r>
      <w:r>
        <w:rPr>
          <w:rFonts w:ascii="Calibri" w:hAnsi="Calibri"/>
          <w:sz w:val="22"/>
        </w:rPr>
        <w:t>These evolutions confirm the sustainability of economic growth, as well as the competitiveness of Romanian products on the external markets.</w:t>
      </w:r>
    </w:p>
    <w:p w:rsidR="00871CCF" w:rsidRPr="00201684" w:rsidRDefault="00FA6905" w:rsidP="00871CCF">
      <w:pPr>
        <w:jc w:val="both"/>
        <w:rPr>
          <w:rFonts w:ascii="Calibri" w:hAnsi="Calibri"/>
          <w:sz w:val="22"/>
        </w:rPr>
      </w:pPr>
      <w:r>
        <w:rPr>
          <w:rFonts w:ascii="Calibri" w:hAnsi="Calibri"/>
          <w:sz w:val="22"/>
        </w:rPr>
        <w:t>The publication by the National Institute of Statistics of the definitive data of 2017, as well as the evolutions of the monthly data in 2018 caused a</w:t>
      </w:r>
      <w:r>
        <w:rPr>
          <w:rFonts w:ascii="Calibri" w:hAnsi="Calibri"/>
          <w:color w:val="FF0000"/>
          <w:sz w:val="22"/>
        </w:rPr>
        <w:t xml:space="preserve"> </w:t>
      </w:r>
      <w:r>
        <w:rPr>
          <w:rFonts w:ascii="Calibri" w:hAnsi="Calibri"/>
          <w:b/>
          <w:i/>
          <w:color w:val="365F91"/>
          <w:sz w:val="22"/>
        </w:rPr>
        <w:t xml:space="preserve">downward revision of the dynamic of the number of employees for the following years. </w:t>
      </w:r>
      <w:r>
        <w:rPr>
          <w:rFonts w:ascii="Calibri" w:hAnsi="Calibri"/>
          <w:color w:val="365F91"/>
          <w:sz w:val="22"/>
        </w:rPr>
        <w:t xml:space="preserve"> </w:t>
      </w:r>
      <w:r>
        <w:rPr>
          <w:rFonts w:ascii="Calibri" w:hAnsi="Calibri"/>
          <w:sz w:val="22"/>
        </w:rPr>
        <w:t>The achievements of 2018 determined a downward revision of the unemployment rate registered for the following years.</w:t>
      </w:r>
    </w:p>
    <w:p w:rsidR="00871CCF" w:rsidRPr="00201684" w:rsidRDefault="00871CCF" w:rsidP="00871CCF">
      <w:pPr>
        <w:jc w:val="both"/>
        <w:rPr>
          <w:rFonts w:ascii="Calibri" w:hAnsi="Calibri"/>
          <w:color w:val="365F91"/>
          <w:sz w:val="22"/>
        </w:rPr>
      </w:pPr>
      <w:r>
        <w:rPr>
          <w:rFonts w:ascii="Calibri" w:hAnsi="Calibri"/>
          <w:sz w:val="22"/>
        </w:rPr>
        <w:t>Based on the data published by the NIS for 2018 regarding</w:t>
      </w:r>
      <w:r>
        <w:rPr>
          <w:rFonts w:ascii="Calibri" w:hAnsi="Calibri"/>
          <w:color w:val="FF0000"/>
          <w:sz w:val="22"/>
        </w:rPr>
        <w:t xml:space="preserve"> </w:t>
      </w:r>
      <w:r>
        <w:rPr>
          <w:rFonts w:ascii="Calibri" w:hAnsi="Calibri"/>
          <w:b/>
          <w:i/>
          <w:color w:val="365F91"/>
          <w:sz w:val="22"/>
        </w:rPr>
        <w:t xml:space="preserve">commercial deficit and current account deficit, which showed an improvement thereof, for 2019-2020 it was revised the current account deficit by increasing the share thereof in the GDP. </w:t>
      </w:r>
    </w:p>
    <w:p w:rsidR="00871CCF" w:rsidRPr="003964D3" w:rsidRDefault="006412FA" w:rsidP="00871CCF">
      <w:pPr>
        <w:jc w:val="both"/>
        <w:rPr>
          <w:rFonts w:ascii="Calibri" w:hAnsi="Calibri"/>
          <w:sz w:val="22"/>
        </w:rPr>
      </w:pPr>
      <w:r>
        <w:rPr>
          <w:rFonts w:ascii="Calibri" w:hAnsi="Calibri"/>
          <w:b/>
          <w:i/>
          <w:color w:val="365F91"/>
          <w:sz w:val="22"/>
        </w:rPr>
        <w:t>The difference in the case of average annual inflation for 2018 between the two strategies</w:t>
      </w:r>
      <w:r>
        <w:rPr>
          <w:rFonts w:ascii="Calibri" w:hAnsi="Calibri"/>
          <w:sz w:val="22"/>
        </w:rPr>
        <w:t xml:space="preserve"> was mainly due to the more accentuated price increases from the last part of 2017 (the increase of electricity and gas tariffs, the increase of prices for butter and eggs, the accentuated depreciation of the national currency and the increase of excise duties for fuels in two stages), but also the price increases over the estimates from the beginning of 2018. The price increases in the beginning of 2018 also influenced the change of inflation at the end of the year by 0.7 percentage points compared to the previous version of the strategy. Among these, we mention: the increase of gas tariffs (+16.6% in December compared to December 2017), as well as a bigger increase in certain products with volatile prices, like vegetables (21.50%).</w:t>
      </w:r>
    </w:p>
    <w:p w:rsidR="00871CCF" w:rsidRPr="003964D3" w:rsidRDefault="00871CCF" w:rsidP="00871CCF">
      <w:pPr>
        <w:jc w:val="both"/>
        <w:rPr>
          <w:rFonts w:ascii="Calibri" w:hAnsi="Calibri"/>
          <w:sz w:val="4"/>
          <w:szCs w:val="4"/>
          <w:lang w:val="fr-FR"/>
        </w:rPr>
      </w:pPr>
    </w:p>
    <w:p w:rsidR="00871CCF" w:rsidRPr="003964D3" w:rsidRDefault="00871CCF" w:rsidP="00871CCF">
      <w:pPr>
        <w:jc w:val="both"/>
        <w:rPr>
          <w:rFonts w:ascii="Calibri" w:hAnsi="Calibri"/>
          <w:sz w:val="8"/>
          <w:lang w:val="fr-FR"/>
        </w:rPr>
      </w:pPr>
    </w:p>
    <w:tbl>
      <w:tblPr>
        <w:tblW w:w="5000" w:type="pct"/>
        <w:jc w:val="center"/>
        <w:tblBorders>
          <w:top w:val="single" w:sz="4" w:space="0" w:color="1F497D"/>
          <w:left w:val="single" w:sz="4" w:space="0" w:color="1F497D"/>
          <w:bottom w:val="single" w:sz="4" w:space="0" w:color="1F497D"/>
          <w:right w:val="single" w:sz="4" w:space="0" w:color="1F497D"/>
        </w:tblBorders>
        <w:tblLook w:val="01E0" w:firstRow="1" w:lastRow="1" w:firstColumn="1" w:lastColumn="1" w:noHBand="0" w:noVBand="0"/>
      </w:tblPr>
      <w:tblGrid>
        <w:gridCol w:w="4320"/>
        <w:gridCol w:w="713"/>
        <w:gridCol w:w="736"/>
        <w:gridCol w:w="722"/>
        <w:gridCol w:w="724"/>
        <w:gridCol w:w="722"/>
        <w:gridCol w:w="722"/>
        <w:gridCol w:w="722"/>
        <w:gridCol w:w="700"/>
      </w:tblGrid>
      <w:tr w:rsidR="00871CCF" w:rsidRPr="00EE1C68" w:rsidTr="00871CCF">
        <w:trPr>
          <w:trHeight w:val="191"/>
          <w:jc w:val="center"/>
        </w:trPr>
        <w:tc>
          <w:tcPr>
            <w:tcW w:w="2143" w:type="pct"/>
            <w:tcBorders>
              <w:bottom w:val="single" w:sz="2" w:space="0" w:color="1F497D"/>
              <w:right w:val="single" w:sz="2" w:space="0" w:color="1F497D"/>
            </w:tcBorders>
            <w:shd w:val="clear" w:color="auto" w:fill="auto"/>
            <w:vAlign w:val="center"/>
          </w:tcPr>
          <w:p w:rsidR="00871CCF" w:rsidRPr="00EE1C68" w:rsidRDefault="00871CCF" w:rsidP="00871CCF">
            <w:pPr>
              <w:keepNext/>
              <w:tabs>
                <w:tab w:val="left" w:pos="1301"/>
              </w:tabs>
              <w:spacing w:before="120"/>
              <w:jc w:val="center"/>
              <w:rPr>
                <w:rFonts w:ascii="Calibri" w:hAnsi="Calibri"/>
                <w:b/>
                <w:sz w:val="18"/>
                <w:szCs w:val="18"/>
                <w:lang w:val="ro-RO"/>
              </w:rPr>
            </w:pPr>
          </w:p>
        </w:tc>
        <w:tc>
          <w:tcPr>
            <w:tcW w:w="719" w:type="pct"/>
            <w:gridSpan w:val="2"/>
            <w:tcBorders>
              <w:top w:val="single" w:sz="4" w:space="0" w:color="1F497D"/>
              <w:left w:val="single" w:sz="2" w:space="0" w:color="1F497D"/>
              <w:bottom w:val="single" w:sz="2" w:space="0" w:color="1F497D"/>
              <w:right w:val="single" w:sz="2" w:space="0" w:color="1F497D"/>
            </w:tcBorders>
            <w:shd w:val="clear" w:color="auto" w:fill="auto"/>
            <w:vAlign w:val="center"/>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2017</w:t>
            </w:r>
          </w:p>
        </w:tc>
        <w:tc>
          <w:tcPr>
            <w:tcW w:w="716" w:type="pct"/>
            <w:gridSpan w:val="2"/>
            <w:tcBorders>
              <w:left w:val="single" w:sz="2" w:space="0" w:color="1F497D"/>
              <w:bottom w:val="single" w:sz="2" w:space="0" w:color="1F497D"/>
              <w:right w:val="single" w:sz="2" w:space="0" w:color="1F497D"/>
            </w:tcBorders>
            <w:shd w:val="clear" w:color="auto" w:fill="auto"/>
            <w:vAlign w:val="center"/>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2018</w:t>
            </w:r>
          </w:p>
        </w:tc>
        <w:tc>
          <w:tcPr>
            <w:tcW w:w="715" w:type="pct"/>
            <w:gridSpan w:val="2"/>
            <w:tcBorders>
              <w:top w:val="single" w:sz="4" w:space="0" w:color="1F497D"/>
              <w:left w:val="single" w:sz="2" w:space="0" w:color="1F497D"/>
              <w:bottom w:val="single" w:sz="2" w:space="0" w:color="1F497D"/>
              <w:right w:val="single" w:sz="2" w:space="0" w:color="1F497D"/>
            </w:tcBorders>
            <w:shd w:val="clear" w:color="auto" w:fill="auto"/>
            <w:vAlign w:val="center"/>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2019</w:t>
            </w:r>
          </w:p>
        </w:tc>
        <w:tc>
          <w:tcPr>
            <w:tcW w:w="707" w:type="pct"/>
            <w:gridSpan w:val="2"/>
            <w:tcBorders>
              <w:left w:val="single" w:sz="2" w:space="0" w:color="1F497D"/>
              <w:bottom w:val="single" w:sz="2" w:space="0" w:color="1F497D"/>
            </w:tcBorders>
            <w:shd w:val="clear" w:color="auto" w:fill="auto"/>
            <w:vAlign w:val="center"/>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2020</w:t>
            </w:r>
          </w:p>
        </w:tc>
      </w:tr>
      <w:tr w:rsidR="00871CCF" w:rsidRPr="00EE1C68" w:rsidTr="00871CCF">
        <w:trPr>
          <w:jc w:val="center"/>
        </w:trPr>
        <w:tc>
          <w:tcPr>
            <w:tcW w:w="2143" w:type="pct"/>
            <w:tcBorders>
              <w:top w:val="single" w:sz="2" w:space="0" w:color="1F497D"/>
              <w:bottom w:val="single" w:sz="2" w:space="0" w:color="1F497D"/>
              <w:right w:val="single" w:sz="2" w:space="0" w:color="1F497D"/>
            </w:tcBorders>
            <w:shd w:val="clear" w:color="auto" w:fill="auto"/>
          </w:tcPr>
          <w:p w:rsidR="00871CCF" w:rsidRPr="00EE1C68" w:rsidRDefault="00871CCF" w:rsidP="00871CCF">
            <w:pPr>
              <w:keepNext/>
              <w:spacing w:before="120"/>
              <w:jc w:val="both"/>
              <w:rPr>
                <w:rFonts w:ascii="Calibri" w:hAnsi="Calibri"/>
                <w:b/>
                <w:sz w:val="18"/>
                <w:szCs w:val="18"/>
              </w:rPr>
            </w:pPr>
          </w:p>
        </w:tc>
        <w:tc>
          <w:tcPr>
            <w:tcW w:w="354" w:type="pct"/>
            <w:tcBorders>
              <w:top w:val="single" w:sz="2" w:space="0" w:color="1F497D"/>
              <w:left w:val="single" w:sz="2" w:space="0" w:color="1F497D"/>
              <w:bottom w:val="single" w:sz="2" w:space="0" w:color="1F497D"/>
            </w:tcBorders>
            <w:shd w:val="clear" w:color="auto" w:fill="auto"/>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FBS for 2018-2020</w:t>
            </w:r>
          </w:p>
        </w:tc>
        <w:tc>
          <w:tcPr>
            <w:tcW w:w="365" w:type="pct"/>
            <w:tcBorders>
              <w:top w:val="single" w:sz="2" w:space="0" w:color="1F497D"/>
              <w:bottom w:val="single" w:sz="2" w:space="0" w:color="1F497D"/>
              <w:right w:val="single" w:sz="2" w:space="0" w:color="1F497D"/>
            </w:tcBorders>
            <w:shd w:val="clear" w:color="auto" w:fill="DBE5F1"/>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FBS for 2019-2021</w:t>
            </w:r>
          </w:p>
        </w:tc>
        <w:tc>
          <w:tcPr>
            <w:tcW w:w="358" w:type="pct"/>
            <w:tcBorders>
              <w:top w:val="single" w:sz="2" w:space="0" w:color="1F497D"/>
              <w:left w:val="single" w:sz="2" w:space="0" w:color="1F497D"/>
              <w:bottom w:val="single" w:sz="2" w:space="0" w:color="1F497D"/>
            </w:tcBorders>
            <w:shd w:val="clear" w:color="auto" w:fill="auto"/>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FBS for 2018-2020</w:t>
            </w:r>
          </w:p>
        </w:tc>
        <w:tc>
          <w:tcPr>
            <w:tcW w:w="359" w:type="pct"/>
            <w:tcBorders>
              <w:top w:val="single" w:sz="2" w:space="0" w:color="1F497D"/>
              <w:bottom w:val="single" w:sz="2" w:space="0" w:color="1F497D"/>
              <w:right w:val="single" w:sz="2" w:space="0" w:color="1F497D"/>
            </w:tcBorders>
            <w:shd w:val="clear" w:color="auto" w:fill="DBE5F1"/>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FBS for 2019-2021</w:t>
            </w:r>
          </w:p>
        </w:tc>
        <w:tc>
          <w:tcPr>
            <w:tcW w:w="358" w:type="pct"/>
            <w:tcBorders>
              <w:top w:val="single" w:sz="2" w:space="0" w:color="1F497D"/>
              <w:left w:val="single" w:sz="2" w:space="0" w:color="1F497D"/>
              <w:bottom w:val="single" w:sz="2" w:space="0" w:color="1F497D"/>
            </w:tcBorders>
            <w:shd w:val="clear" w:color="auto" w:fill="auto"/>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FBS for 2018-2020</w:t>
            </w:r>
          </w:p>
        </w:tc>
        <w:tc>
          <w:tcPr>
            <w:tcW w:w="358" w:type="pct"/>
            <w:tcBorders>
              <w:top w:val="single" w:sz="2" w:space="0" w:color="1F497D"/>
              <w:bottom w:val="single" w:sz="2" w:space="0" w:color="1F497D"/>
              <w:right w:val="single" w:sz="2" w:space="0" w:color="1F497D"/>
            </w:tcBorders>
            <w:shd w:val="clear" w:color="auto" w:fill="DBE5F1"/>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FBS for 2019-2021</w:t>
            </w:r>
          </w:p>
        </w:tc>
        <w:tc>
          <w:tcPr>
            <w:tcW w:w="358" w:type="pct"/>
            <w:tcBorders>
              <w:top w:val="single" w:sz="2" w:space="0" w:color="1F497D"/>
              <w:left w:val="single" w:sz="2" w:space="0" w:color="1F497D"/>
              <w:bottom w:val="single" w:sz="2" w:space="0" w:color="1F497D"/>
            </w:tcBorders>
            <w:shd w:val="clear" w:color="auto" w:fill="auto"/>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FBS for 2018-2020</w:t>
            </w:r>
          </w:p>
        </w:tc>
        <w:tc>
          <w:tcPr>
            <w:tcW w:w="349" w:type="pct"/>
            <w:tcBorders>
              <w:top w:val="single" w:sz="2" w:space="0" w:color="1F497D"/>
              <w:bottom w:val="single" w:sz="2" w:space="0" w:color="1F497D"/>
            </w:tcBorders>
            <w:shd w:val="clear" w:color="auto" w:fill="DBE5F1"/>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FBS for 2019-2021</w:t>
            </w:r>
          </w:p>
        </w:tc>
      </w:tr>
      <w:tr w:rsidR="00871CCF" w:rsidRPr="00EE1C68" w:rsidTr="00871CCF">
        <w:trPr>
          <w:trHeight w:val="294"/>
          <w:jc w:val="center"/>
        </w:trPr>
        <w:tc>
          <w:tcPr>
            <w:tcW w:w="2143" w:type="pct"/>
            <w:tcBorders>
              <w:top w:val="single" w:sz="2" w:space="0" w:color="1F497D"/>
              <w:right w:val="single" w:sz="2" w:space="0" w:color="1F497D"/>
            </w:tcBorders>
            <w:shd w:val="clear" w:color="auto" w:fill="auto"/>
            <w:vAlign w:val="bottom"/>
          </w:tcPr>
          <w:p w:rsidR="00871CCF" w:rsidRPr="00EE1C68" w:rsidRDefault="00871CCF" w:rsidP="00871CCF">
            <w:pPr>
              <w:keepNext/>
              <w:spacing w:before="120"/>
              <w:rPr>
                <w:rFonts w:ascii="Calibri" w:hAnsi="Calibri"/>
                <w:b/>
                <w:i/>
                <w:color w:val="365F91"/>
                <w:sz w:val="18"/>
                <w:szCs w:val="18"/>
              </w:rPr>
            </w:pPr>
            <w:r>
              <w:rPr>
                <w:rFonts w:ascii="Calibri" w:hAnsi="Calibri"/>
                <w:b/>
                <w:color w:val="365F91"/>
                <w:sz w:val="18"/>
                <w:szCs w:val="18"/>
              </w:rPr>
              <w:t>GDP - real growth, %</w:t>
            </w:r>
          </w:p>
        </w:tc>
        <w:tc>
          <w:tcPr>
            <w:tcW w:w="354" w:type="pct"/>
            <w:tcBorders>
              <w:top w:val="single" w:sz="2" w:space="0" w:color="1F497D"/>
              <w:left w:val="single" w:sz="2" w:space="0" w:color="1F497D"/>
              <w:bottom w:val="nil"/>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6.1</w:t>
            </w:r>
          </w:p>
        </w:tc>
        <w:tc>
          <w:tcPr>
            <w:tcW w:w="365" w:type="pct"/>
            <w:tcBorders>
              <w:top w:val="single" w:sz="2" w:space="0" w:color="1F497D"/>
              <w:bottom w:val="nil"/>
              <w:right w:val="single" w:sz="2" w:space="0" w:color="1F497D"/>
            </w:tcBorders>
            <w:shd w:val="clear" w:color="auto" w:fill="DBE5F1"/>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7.0</w:t>
            </w:r>
          </w:p>
        </w:tc>
        <w:tc>
          <w:tcPr>
            <w:tcW w:w="358" w:type="pct"/>
            <w:tcBorders>
              <w:top w:val="single" w:sz="2" w:space="0" w:color="1F497D"/>
              <w:left w:val="single" w:sz="2" w:space="0" w:color="1F497D"/>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5.5</w:t>
            </w:r>
          </w:p>
        </w:tc>
        <w:tc>
          <w:tcPr>
            <w:tcW w:w="359" w:type="pct"/>
            <w:tcBorders>
              <w:top w:val="single" w:sz="2" w:space="0" w:color="1F497D"/>
              <w:right w:val="single" w:sz="2" w:space="0" w:color="1F497D"/>
            </w:tcBorders>
            <w:shd w:val="clear" w:color="auto" w:fill="DBE5F1"/>
            <w:vAlign w:val="bottom"/>
          </w:tcPr>
          <w:p w:rsidR="00871CCF" w:rsidRPr="00201684" w:rsidRDefault="00871CCF" w:rsidP="00552882">
            <w:pPr>
              <w:keepNext/>
              <w:spacing w:before="120"/>
              <w:jc w:val="center"/>
              <w:rPr>
                <w:rFonts w:ascii="Calibri" w:hAnsi="Calibri"/>
                <w:b/>
                <w:color w:val="365F91"/>
                <w:sz w:val="18"/>
                <w:szCs w:val="18"/>
              </w:rPr>
            </w:pPr>
            <w:r>
              <w:rPr>
                <w:rFonts w:ascii="Calibri" w:hAnsi="Calibri"/>
                <w:b/>
                <w:color w:val="365F91"/>
                <w:sz w:val="18"/>
                <w:szCs w:val="18"/>
              </w:rPr>
              <w:t>4.1*</w:t>
            </w:r>
          </w:p>
        </w:tc>
        <w:tc>
          <w:tcPr>
            <w:tcW w:w="358" w:type="pct"/>
            <w:tcBorders>
              <w:top w:val="single" w:sz="2" w:space="0" w:color="1F497D"/>
              <w:left w:val="single" w:sz="2" w:space="0" w:color="1F497D"/>
              <w:bottom w:val="nil"/>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5.7</w:t>
            </w:r>
          </w:p>
        </w:tc>
        <w:tc>
          <w:tcPr>
            <w:tcW w:w="358" w:type="pct"/>
            <w:tcBorders>
              <w:top w:val="single" w:sz="2" w:space="0" w:color="1F497D"/>
              <w:bottom w:val="nil"/>
              <w:right w:val="single" w:sz="2" w:space="0" w:color="1F497D"/>
            </w:tcBorders>
            <w:shd w:val="clear" w:color="auto" w:fill="DBE5F1"/>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5.5</w:t>
            </w:r>
          </w:p>
        </w:tc>
        <w:tc>
          <w:tcPr>
            <w:tcW w:w="358" w:type="pct"/>
            <w:tcBorders>
              <w:top w:val="single" w:sz="2" w:space="0" w:color="1F497D"/>
              <w:left w:val="single" w:sz="2" w:space="0" w:color="1F497D"/>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5.7</w:t>
            </w:r>
          </w:p>
        </w:tc>
        <w:tc>
          <w:tcPr>
            <w:tcW w:w="349" w:type="pct"/>
            <w:tcBorders>
              <w:top w:val="single" w:sz="2" w:space="0" w:color="1F497D"/>
            </w:tcBorders>
            <w:shd w:val="clear" w:color="auto" w:fill="DBE5F1"/>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5.7</w:t>
            </w:r>
          </w:p>
        </w:tc>
      </w:tr>
      <w:tr w:rsidR="00871CCF" w:rsidRPr="00EE1C68" w:rsidTr="00871CCF">
        <w:trPr>
          <w:trHeight w:val="269"/>
          <w:jc w:val="center"/>
        </w:trPr>
        <w:tc>
          <w:tcPr>
            <w:tcW w:w="2143" w:type="pct"/>
            <w:tcBorders>
              <w:right w:val="single" w:sz="2" w:space="0" w:color="1F497D"/>
            </w:tcBorders>
            <w:shd w:val="clear" w:color="auto" w:fill="auto"/>
            <w:vAlign w:val="bottom"/>
          </w:tcPr>
          <w:p w:rsidR="00871CCF" w:rsidRPr="00EE1C68" w:rsidRDefault="00CD62C4" w:rsidP="00871CCF">
            <w:pPr>
              <w:keepNext/>
              <w:spacing w:before="120"/>
              <w:rPr>
                <w:rFonts w:ascii="Calibri" w:hAnsi="Calibri"/>
                <w:b/>
                <w:color w:val="365F91"/>
                <w:sz w:val="18"/>
                <w:szCs w:val="18"/>
              </w:rPr>
            </w:pPr>
            <w:r>
              <w:rPr>
                <w:rFonts w:ascii="Calibri" w:hAnsi="Calibri"/>
                <w:b/>
                <w:color w:val="365F91"/>
                <w:sz w:val="18"/>
                <w:szCs w:val="18"/>
              </w:rPr>
              <w:t>Exports of goods, %</w:t>
            </w:r>
          </w:p>
        </w:tc>
        <w:tc>
          <w:tcPr>
            <w:tcW w:w="354" w:type="pct"/>
            <w:tcBorders>
              <w:top w:val="nil"/>
              <w:left w:val="single" w:sz="2" w:space="0" w:color="1F497D"/>
              <w:bottom w:val="nil"/>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9.0</w:t>
            </w:r>
          </w:p>
        </w:tc>
        <w:tc>
          <w:tcPr>
            <w:tcW w:w="365" w:type="pct"/>
            <w:tcBorders>
              <w:top w:val="nil"/>
              <w:bottom w:val="nil"/>
              <w:right w:val="single" w:sz="2" w:space="0" w:color="1F497D"/>
            </w:tcBorders>
            <w:shd w:val="clear" w:color="auto" w:fill="DBE5F1"/>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9.2</w:t>
            </w:r>
          </w:p>
        </w:tc>
        <w:tc>
          <w:tcPr>
            <w:tcW w:w="358" w:type="pct"/>
            <w:tcBorders>
              <w:left w:val="single" w:sz="2" w:space="0" w:color="1F497D"/>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7.6</w:t>
            </w:r>
          </w:p>
        </w:tc>
        <w:tc>
          <w:tcPr>
            <w:tcW w:w="359" w:type="pct"/>
            <w:tcBorders>
              <w:right w:val="single" w:sz="2" w:space="0" w:color="1F497D"/>
            </w:tcBorders>
            <w:shd w:val="clear" w:color="auto" w:fill="DBE5F1"/>
            <w:vAlign w:val="bottom"/>
          </w:tcPr>
          <w:p w:rsidR="00871CCF" w:rsidRPr="00201684" w:rsidRDefault="00CD62C4" w:rsidP="00552882">
            <w:pPr>
              <w:keepNext/>
              <w:spacing w:before="120"/>
              <w:jc w:val="center"/>
              <w:rPr>
                <w:rFonts w:ascii="Calibri" w:hAnsi="Calibri"/>
                <w:b/>
                <w:color w:val="365F91"/>
                <w:sz w:val="18"/>
                <w:szCs w:val="18"/>
              </w:rPr>
            </w:pPr>
            <w:r>
              <w:rPr>
                <w:rFonts w:ascii="Calibri" w:hAnsi="Calibri"/>
                <w:b/>
                <w:color w:val="365F91"/>
                <w:sz w:val="18"/>
                <w:szCs w:val="18"/>
              </w:rPr>
              <w:t>8.1*</w:t>
            </w:r>
          </w:p>
        </w:tc>
        <w:tc>
          <w:tcPr>
            <w:tcW w:w="358" w:type="pct"/>
            <w:tcBorders>
              <w:top w:val="nil"/>
              <w:left w:val="single" w:sz="2" w:space="0" w:color="1F497D"/>
              <w:bottom w:val="nil"/>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7.7</w:t>
            </w:r>
          </w:p>
        </w:tc>
        <w:tc>
          <w:tcPr>
            <w:tcW w:w="358" w:type="pct"/>
            <w:tcBorders>
              <w:top w:val="nil"/>
              <w:bottom w:val="nil"/>
              <w:right w:val="single" w:sz="2" w:space="0" w:color="1F497D"/>
            </w:tcBorders>
            <w:shd w:val="clear" w:color="auto" w:fill="DBE5F1"/>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8.6</w:t>
            </w:r>
          </w:p>
        </w:tc>
        <w:tc>
          <w:tcPr>
            <w:tcW w:w="358" w:type="pct"/>
            <w:tcBorders>
              <w:left w:val="single" w:sz="2" w:space="0" w:color="1F497D"/>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7.8</w:t>
            </w:r>
          </w:p>
        </w:tc>
        <w:tc>
          <w:tcPr>
            <w:tcW w:w="349" w:type="pct"/>
            <w:shd w:val="clear" w:color="auto" w:fill="DBE5F1"/>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8.4</w:t>
            </w:r>
          </w:p>
        </w:tc>
      </w:tr>
      <w:tr w:rsidR="00871CCF" w:rsidRPr="00EE1C68" w:rsidTr="00871CCF">
        <w:trPr>
          <w:jc w:val="center"/>
        </w:trPr>
        <w:tc>
          <w:tcPr>
            <w:tcW w:w="2143" w:type="pct"/>
            <w:tcBorders>
              <w:right w:val="single" w:sz="2" w:space="0" w:color="1F497D"/>
            </w:tcBorders>
            <w:shd w:val="clear" w:color="auto" w:fill="auto"/>
            <w:vAlign w:val="bottom"/>
          </w:tcPr>
          <w:p w:rsidR="00871CCF" w:rsidRPr="00EE1C68" w:rsidRDefault="00871CCF" w:rsidP="00871CCF">
            <w:pPr>
              <w:keepNext/>
              <w:spacing w:before="120"/>
              <w:rPr>
                <w:rFonts w:ascii="Calibri" w:hAnsi="Calibri"/>
                <w:b/>
                <w:color w:val="365F91"/>
                <w:sz w:val="18"/>
                <w:szCs w:val="18"/>
              </w:rPr>
            </w:pPr>
            <w:r>
              <w:rPr>
                <w:rFonts w:ascii="Calibri" w:hAnsi="Calibri"/>
                <w:b/>
                <w:color w:val="365F91"/>
                <w:sz w:val="18"/>
                <w:szCs w:val="18"/>
              </w:rPr>
              <w:t>IPC - end of year, %</w:t>
            </w:r>
          </w:p>
        </w:tc>
        <w:tc>
          <w:tcPr>
            <w:tcW w:w="354" w:type="pct"/>
            <w:tcBorders>
              <w:top w:val="nil"/>
              <w:left w:val="single" w:sz="2" w:space="0" w:color="1F497D"/>
              <w:bottom w:val="nil"/>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2.2</w:t>
            </w:r>
          </w:p>
        </w:tc>
        <w:tc>
          <w:tcPr>
            <w:tcW w:w="365" w:type="pct"/>
            <w:tcBorders>
              <w:top w:val="nil"/>
              <w:bottom w:val="nil"/>
              <w:right w:val="single" w:sz="2" w:space="0" w:color="1F497D"/>
            </w:tcBorders>
            <w:shd w:val="clear" w:color="auto" w:fill="DBE5F1"/>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3.32</w:t>
            </w:r>
          </w:p>
        </w:tc>
        <w:tc>
          <w:tcPr>
            <w:tcW w:w="358" w:type="pct"/>
            <w:tcBorders>
              <w:left w:val="single" w:sz="2" w:space="0" w:color="1F497D"/>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2.6</w:t>
            </w:r>
          </w:p>
        </w:tc>
        <w:tc>
          <w:tcPr>
            <w:tcW w:w="359" w:type="pct"/>
            <w:tcBorders>
              <w:right w:val="single" w:sz="2" w:space="0" w:color="1F497D"/>
            </w:tcBorders>
            <w:shd w:val="clear" w:color="auto" w:fill="DBE5F1"/>
            <w:vAlign w:val="bottom"/>
          </w:tcPr>
          <w:p w:rsidR="00871CCF" w:rsidRPr="00201684"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3.27*</w:t>
            </w:r>
          </w:p>
        </w:tc>
        <w:tc>
          <w:tcPr>
            <w:tcW w:w="358" w:type="pct"/>
            <w:tcBorders>
              <w:top w:val="nil"/>
              <w:left w:val="single" w:sz="2" w:space="0" w:color="1F497D"/>
              <w:bottom w:val="nil"/>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2.2</w:t>
            </w:r>
          </w:p>
        </w:tc>
        <w:tc>
          <w:tcPr>
            <w:tcW w:w="358" w:type="pct"/>
            <w:tcBorders>
              <w:top w:val="nil"/>
              <w:bottom w:val="nil"/>
              <w:right w:val="single" w:sz="2" w:space="0" w:color="1F497D"/>
            </w:tcBorders>
            <w:shd w:val="clear" w:color="auto" w:fill="DBE5F1"/>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2.8</w:t>
            </w:r>
          </w:p>
        </w:tc>
        <w:tc>
          <w:tcPr>
            <w:tcW w:w="358" w:type="pct"/>
            <w:tcBorders>
              <w:left w:val="single" w:sz="2" w:space="0" w:color="1F497D"/>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2.0</w:t>
            </w:r>
          </w:p>
        </w:tc>
        <w:tc>
          <w:tcPr>
            <w:tcW w:w="349" w:type="pct"/>
            <w:shd w:val="clear" w:color="auto" w:fill="DBE5F1"/>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2.5</w:t>
            </w:r>
          </w:p>
        </w:tc>
      </w:tr>
      <w:tr w:rsidR="00871CCF" w:rsidRPr="00EE1C68" w:rsidTr="00871CCF">
        <w:trPr>
          <w:trHeight w:val="252"/>
          <w:jc w:val="center"/>
        </w:trPr>
        <w:tc>
          <w:tcPr>
            <w:tcW w:w="2143" w:type="pct"/>
            <w:tcBorders>
              <w:right w:val="single" w:sz="2" w:space="0" w:color="1F497D"/>
            </w:tcBorders>
            <w:shd w:val="clear" w:color="auto" w:fill="auto"/>
            <w:vAlign w:val="bottom"/>
          </w:tcPr>
          <w:p w:rsidR="00871CCF" w:rsidRPr="00EE1C68" w:rsidRDefault="00871CCF" w:rsidP="00871CCF">
            <w:pPr>
              <w:keepNext/>
              <w:spacing w:before="120"/>
              <w:rPr>
                <w:rFonts w:ascii="Calibri" w:hAnsi="Calibri"/>
                <w:b/>
                <w:color w:val="365F91"/>
                <w:sz w:val="18"/>
                <w:szCs w:val="18"/>
              </w:rPr>
            </w:pPr>
            <w:r>
              <w:rPr>
                <w:rFonts w:ascii="Calibri" w:hAnsi="Calibri"/>
                <w:b/>
                <w:color w:val="365F91"/>
                <w:sz w:val="18"/>
                <w:szCs w:val="18"/>
              </w:rPr>
              <w:t xml:space="preserve">       - annual average, %</w:t>
            </w:r>
          </w:p>
        </w:tc>
        <w:tc>
          <w:tcPr>
            <w:tcW w:w="354" w:type="pct"/>
            <w:tcBorders>
              <w:top w:val="nil"/>
              <w:left w:val="single" w:sz="2" w:space="0" w:color="1F497D"/>
              <w:bottom w:val="nil"/>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1.1</w:t>
            </w:r>
          </w:p>
        </w:tc>
        <w:tc>
          <w:tcPr>
            <w:tcW w:w="365" w:type="pct"/>
            <w:tcBorders>
              <w:top w:val="nil"/>
              <w:bottom w:val="nil"/>
              <w:right w:val="single" w:sz="2" w:space="0" w:color="1F497D"/>
            </w:tcBorders>
            <w:shd w:val="clear" w:color="auto" w:fill="DBE5F1"/>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1.34</w:t>
            </w:r>
          </w:p>
        </w:tc>
        <w:tc>
          <w:tcPr>
            <w:tcW w:w="358" w:type="pct"/>
            <w:tcBorders>
              <w:left w:val="single" w:sz="2" w:space="0" w:color="1F497D"/>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3.1</w:t>
            </w:r>
          </w:p>
        </w:tc>
        <w:tc>
          <w:tcPr>
            <w:tcW w:w="359" w:type="pct"/>
            <w:tcBorders>
              <w:right w:val="single" w:sz="2" w:space="0" w:color="1F497D"/>
            </w:tcBorders>
            <w:shd w:val="clear" w:color="auto" w:fill="DBE5F1"/>
            <w:vAlign w:val="bottom"/>
          </w:tcPr>
          <w:p w:rsidR="00871CCF" w:rsidRPr="00201684"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4.63*</w:t>
            </w:r>
          </w:p>
        </w:tc>
        <w:tc>
          <w:tcPr>
            <w:tcW w:w="358" w:type="pct"/>
            <w:tcBorders>
              <w:top w:val="nil"/>
              <w:left w:val="single" w:sz="2" w:space="0" w:color="1F497D"/>
              <w:bottom w:val="nil"/>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2.3</w:t>
            </w:r>
          </w:p>
        </w:tc>
        <w:tc>
          <w:tcPr>
            <w:tcW w:w="358" w:type="pct"/>
            <w:tcBorders>
              <w:top w:val="nil"/>
              <w:bottom w:val="nil"/>
              <w:right w:val="single" w:sz="2" w:space="0" w:color="1F497D"/>
            </w:tcBorders>
            <w:shd w:val="clear" w:color="auto" w:fill="DBE5F1"/>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2.8</w:t>
            </w:r>
          </w:p>
        </w:tc>
        <w:tc>
          <w:tcPr>
            <w:tcW w:w="358" w:type="pct"/>
            <w:tcBorders>
              <w:left w:val="single" w:sz="2" w:space="0" w:color="1F497D"/>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2.2</w:t>
            </w:r>
          </w:p>
        </w:tc>
        <w:tc>
          <w:tcPr>
            <w:tcW w:w="349" w:type="pct"/>
            <w:shd w:val="clear" w:color="auto" w:fill="DBE5F1"/>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2.6</w:t>
            </w:r>
          </w:p>
        </w:tc>
      </w:tr>
      <w:tr w:rsidR="00871CCF" w:rsidRPr="00EE1C68" w:rsidTr="00871CCF">
        <w:trPr>
          <w:jc w:val="center"/>
        </w:trPr>
        <w:tc>
          <w:tcPr>
            <w:tcW w:w="2143" w:type="pct"/>
            <w:tcBorders>
              <w:right w:val="single" w:sz="2" w:space="0" w:color="1F497D"/>
            </w:tcBorders>
            <w:shd w:val="clear" w:color="auto" w:fill="auto"/>
            <w:vAlign w:val="bottom"/>
          </w:tcPr>
          <w:p w:rsidR="00871CCF" w:rsidRPr="00444708" w:rsidRDefault="00871CCF" w:rsidP="00871CCF">
            <w:pPr>
              <w:keepNext/>
              <w:spacing w:before="120"/>
              <w:rPr>
                <w:rFonts w:ascii="Calibri" w:hAnsi="Calibri"/>
                <w:b/>
                <w:color w:val="365F91"/>
                <w:sz w:val="18"/>
                <w:szCs w:val="18"/>
              </w:rPr>
            </w:pPr>
            <w:r>
              <w:rPr>
                <w:rFonts w:ascii="Calibri" w:hAnsi="Calibri"/>
                <w:b/>
                <w:color w:val="365F91"/>
                <w:sz w:val="18"/>
                <w:szCs w:val="18"/>
              </w:rPr>
              <w:t>Average number of employees, %</w:t>
            </w:r>
          </w:p>
        </w:tc>
        <w:tc>
          <w:tcPr>
            <w:tcW w:w="354" w:type="pct"/>
            <w:tcBorders>
              <w:top w:val="nil"/>
              <w:left w:val="single" w:sz="2" w:space="0" w:color="1F497D"/>
              <w:bottom w:val="nil"/>
            </w:tcBorders>
            <w:shd w:val="clear" w:color="auto" w:fill="auto"/>
            <w:vAlign w:val="bottom"/>
          </w:tcPr>
          <w:p w:rsidR="00871CCF" w:rsidRPr="0044470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3.6</w:t>
            </w:r>
          </w:p>
        </w:tc>
        <w:tc>
          <w:tcPr>
            <w:tcW w:w="365" w:type="pct"/>
            <w:tcBorders>
              <w:top w:val="nil"/>
              <w:bottom w:val="nil"/>
              <w:right w:val="single" w:sz="2" w:space="0" w:color="1F497D"/>
            </w:tcBorders>
            <w:shd w:val="clear" w:color="auto" w:fill="DBE5F1"/>
            <w:vAlign w:val="bottom"/>
          </w:tcPr>
          <w:p w:rsidR="00871CCF" w:rsidRPr="00444708" w:rsidRDefault="00871CCF" w:rsidP="00871CCF">
            <w:pPr>
              <w:keepNext/>
              <w:spacing w:before="120"/>
              <w:jc w:val="center"/>
              <w:rPr>
                <w:rFonts w:ascii="Calibri" w:hAnsi="Calibri"/>
                <w:b/>
                <w:bCs/>
                <w:color w:val="365F91"/>
                <w:sz w:val="18"/>
                <w:szCs w:val="18"/>
              </w:rPr>
            </w:pPr>
            <w:r>
              <w:rPr>
                <w:rFonts w:ascii="Calibri" w:hAnsi="Calibri"/>
                <w:b/>
                <w:bCs/>
                <w:color w:val="365F91"/>
                <w:sz w:val="18"/>
                <w:szCs w:val="18"/>
              </w:rPr>
              <w:t>3.9</w:t>
            </w:r>
          </w:p>
        </w:tc>
        <w:tc>
          <w:tcPr>
            <w:tcW w:w="358" w:type="pct"/>
            <w:tcBorders>
              <w:left w:val="single" w:sz="2" w:space="0" w:color="1F497D"/>
            </w:tcBorders>
            <w:shd w:val="clear" w:color="auto" w:fill="auto"/>
            <w:vAlign w:val="bottom"/>
          </w:tcPr>
          <w:p w:rsidR="00871CCF" w:rsidRPr="0044470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4.2</w:t>
            </w:r>
          </w:p>
        </w:tc>
        <w:tc>
          <w:tcPr>
            <w:tcW w:w="359" w:type="pct"/>
            <w:tcBorders>
              <w:right w:val="single" w:sz="2" w:space="0" w:color="1F497D"/>
            </w:tcBorders>
            <w:shd w:val="clear" w:color="auto" w:fill="DBE5F1"/>
            <w:vAlign w:val="bottom"/>
          </w:tcPr>
          <w:p w:rsidR="00871CCF" w:rsidRPr="00201684" w:rsidRDefault="00EF42CD" w:rsidP="00552882">
            <w:pPr>
              <w:keepNext/>
              <w:spacing w:before="120"/>
              <w:jc w:val="center"/>
              <w:rPr>
                <w:rFonts w:ascii="Calibri" w:hAnsi="Calibri"/>
                <w:b/>
                <w:color w:val="365F91"/>
                <w:sz w:val="18"/>
                <w:szCs w:val="18"/>
              </w:rPr>
            </w:pPr>
            <w:r>
              <w:rPr>
                <w:rFonts w:ascii="Calibri" w:hAnsi="Calibri"/>
                <w:b/>
                <w:bCs/>
                <w:color w:val="365F91"/>
                <w:sz w:val="18"/>
                <w:szCs w:val="18"/>
              </w:rPr>
              <w:t>3.3</w:t>
            </w:r>
          </w:p>
        </w:tc>
        <w:tc>
          <w:tcPr>
            <w:tcW w:w="358" w:type="pct"/>
            <w:tcBorders>
              <w:top w:val="nil"/>
              <w:left w:val="single" w:sz="2" w:space="0" w:color="1F497D"/>
              <w:bottom w:val="nil"/>
            </w:tcBorders>
            <w:shd w:val="clear" w:color="auto" w:fill="auto"/>
            <w:vAlign w:val="bottom"/>
          </w:tcPr>
          <w:p w:rsidR="00871CCF" w:rsidRPr="0044470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3.8</w:t>
            </w:r>
          </w:p>
        </w:tc>
        <w:tc>
          <w:tcPr>
            <w:tcW w:w="358" w:type="pct"/>
            <w:tcBorders>
              <w:top w:val="nil"/>
              <w:bottom w:val="nil"/>
              <w:right w:val="single" w:sz="2" w:space="0" w:color="1F497D"/>
            </w:tcBorders>
            <w:shd w:val="clear" w:color="auto" w:fill="DBE5F1"/>
            <w:vAlign w:val="bottom"/>
          </w:tcPr>
          <w:p w:rsidR="00871CCF" w:rsidRPr="0044470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3.4</w:t>
            </w:r>
          </w:p>
        </w:tc>
        <w:tc>
          <w:tcPr>
            <w:tcW w:w="358" w:type="pct"/>
            <w:tcBorders>
              <w:left w:val="single" w:sz="2" w:space="0" w:color="1F497D"/>
            </w:tcBorders>
            <w:shd w:val="clear" w:color="auto" w:fill="auto"/>
            <w:vAlign w:val="bottom"/>
          </w:tcPr>
          <w:p w:rsidR="00871CCF" w:rsidRPr="0044470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3.7</w:t>
            </w:r>
          </w:p>
        </w:tc>
        <w:tc>
          <w:tcPr>
            <w:tcW w:w="349" w:type="pct"/>
            <w:shd w:val="clear" w:color="auto" w:fill="DBE5F1"/>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3.3</w:t>
            </w:r>
          </w:p>
        </w:tc>
      </w:tr>
      <w:tr w:rsidR="00871CCF" w:rsidRPr="00EE1C68" w:rsidTr="00871CCF">
        <w:trPr>
          <w:jc w:val="center"/>
        </w:trPr>
        <w:tc>
          <w:tcPr>
            <w:tcW w:w="2143" w:type="pct"/>
            <w:tcBorders>
              <w:bottom w:val="nil"/>
              <w:right w:val="single" w:sz="2" w:space="0" w:color="1F497D"/>
            </w:tcBorders>
            <w:shd w:val="clear" w:color="auto" w:fill="auto"/>
            <w:vAlign w:val="bottom"/>
          </w:tcPr>
          <w:p w:rsidR="00871CCF" w:rsidRPr="00EE1C68" w:rsidRDefault="00871CCF" w:rsidP="00871CCF">
            <w:pPr>
              <w:keepNext/>
              <w:spacing w:before="120"/>
              <w:rPr>
                <w:rFonts w:ascii="Calibri" w:hAnsi="Calibri"/>
                <w:b/>
                <w:color w:val="365F91"/>
                <w:sz w:val="18"/>
                <w:szCs w:val="18"/>
              </w:rPr>
            </w:pPr>
            <w:r>
              <w:rPr>
                <w:rFonts w:ascii="Calibri" w:hAnsi="Calibri"/>
                <w:b/>
                <w:color w:val="365F91"/>
                <w:sz w:val="18"/>
                <w:szCs w:val="18"/>
              </w:rPr>
              <w:t>Unemployment rate registered at year end, %</w:t>
            </w:r>
          </w:p>
        </w:tc>
        <w:tc>
          <w:tcPr>
            <w:tcW w:w="354" w:type="pct"/>
            <w:tcBorders>
              <w:top w:val="nil"/>
              <w:left w:val="single" w:sz="2" w:space="0" w:color="1F497D"/>
              <w:bottom w:val="nil"/>
            </w:tcBorders>
            <w:shd w:val="clear" w:color="auto" w:fill="auto"/>
            <w:vAlign w:val="bottom"/>
          </w:tcPr>
          <w:p w:rsidR="00871CCF" w:rsidRPr="00EE1C68" w:rsidRDefault="00871CCF" w:rsidP="00871CCF">
            <w:pPr>
              <w:keepNext/>
              <w:spacing w:before="120"/>
              <w:jc w:val="center"/>
              <w:rPr>
                <w:rFonts w:ascii="Calibri" w:hAnsi="Calibri"/>
                <w:b/>
                <w:bCs/>
                <w:color w:val="365F91"/>
                <w:sz w:val="18"/>
                <w:szCs w:val="18"/>
              </w:rPr>
            </w:pPr>
            <w:r>
              <w:rPr>
                <w:rFonts w:ascii="Calibri" w:hAnsi="Calibri"/>
                <w:b/>
                <w:bCs/>
                <w:color w:val="365F91"/>
                <w:sz w:val="18"/>
                <w:szCs w:val="18"/>
              </w:rPr>
              <w:t>4.2</w:t>
            </w:r>
          </w:p>
        </w:tc>
        <w:tc>
          <w:tcPr>
            <w:tcW w:w="365" w:type="pct"/>
            <w:tcBorders>
              <w:top w:val="nil"/>
              <w:bottom w:val="nil"/>
              <w:right w:val="single" w:sz="2" w:space="0" w:color="1F497D"/>
            </w:tcBorders>
            <w:shd w:val="clear" w:color="auto" w:fill="DBE5F1"/>
            <w:vAlign w:val="bottom"/>
          </w:tcPr>
          <w:p w:rsidR="00871CCF" w:rsidRPr="00EE1C68" w:rsidRDefault="00871CCF" w:rsidP="00871CCF">
            <w:pPr>
              <w:keepNext/>
              <w:spacing w:before="120"/>
              <w:jc w:val="center"/>
              <w:rPr>
                <w:rFonts w:ascii="Calibri" w:hAnsi="Calibri"/>
                <w:b/>
                <w:bCs/>
                <w:color w:val="365F91"/>
                <w:sz w:val="18"/>
                <w:szCs w:val="18"/>
              </w:rPr>
            </w:pPr>
            <w:r>
              <w:rPr>
                <w:rFonts w:ascii="Calibri" w:hAnsi="Calibri"/>
                <w:b/>
                <w:bCs/>
                <w:color w:val="365F91"/>
                <w:sz w:val="18"/>
                <w:szCs w:val="18"/>
              </w:rPr>
              <w:t>4.0</w:t>
            </w:r>
          </w:p>
        </w:tc>
        <w:tc>
          <w:tcPr>
            <w:tcW w:w="358" w:type="pct"/>
            <w:tcBorders>
              <w:left w:val="single" w:sz="2" w:space="0" w:color="1F497D"/>
              <w:bottom w:val="nil"/>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3.9</w:t>
            </w:r>
          </w:p>
        </w:tc>
        <w:tc>
          <w:tcPr>
            <w:tcW w:w="359" w:type="pct"/>
            <w:tcBorders>
              <w:bottom w:val="nil"/>
              <w:right w:val="single" w:sz="2" w:space="0" w:color="1F497D"/>
            </w:tcBorders>
            <w:shd w:val="clear" w:color="auto" w:fill="DBE5F1"/>
            <w:vAlign w:val="bottom"/>
          </w:tcPr>
          <w:p w:rsidR="00871CCF" w:rsidRPr="00201684" w:rsidRDefault="00871CCF" w:rsidP="00871CCF">
            <w:pPr>
              <w:keepNext/>
              <w:spacing w:before="120"/>
              <w:jc w:val="center"/>
              <w:rPr>
                <w:rFonts w:ascii="Calibri" w:hAnsi="Calibri"/>
                <w:b/>
                <w:bCs/>
                <w:color w:val="365F91"/>
                <w:sz w:val="18"/>
                <w:szCs w:val="18"/>
              </w:rPr>
            </w:pPr>
            <w:r>
              <w:rPr>
                <w:rFonts w:ascii="Calibri" w:hAnsi="Calibri"/>
                <w:b/>
                <w:bCs/>
                <w:color w:val="365F91"/>
                <w:sz w:val="18"/>
                <w:szCs w:val="18"/>
              </w:rPr>
              <w:t>3.3*</w:t>
            </w:r>
          </w:p>
        </w:tc>
        <w:tc>
          <w:tcPr>
            <w:tcW w:w="358" w:type="pct"/>
            <w:tcBorders>
              <w:top w:val="nil"/>
              <w:left w:val="single" w:sz="2" w:space="0" w:color="1F497D"/>
              <w:bottom w:val="nil"/>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3.7</w:t>
            </w:r>
          </w:p>
        </w:tc>
        <w:tc>
          <w:tcPr>
            <w:tcW w:w="358" w:type="pct"/>
            <w:tcBorders>
              <w:top w:val="nil"/>
              <w:bottom w:val="nil"/>
              <w:right w:val="single" w:sz="2" w:space="0" w:color="1F497D"/>
            </w:tcBorders>
            <w:shd w:val="clear" w:color="auto" w:fill="DBE5F1"/>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3.2</w:t>
            </w:r>
          </w:p>
        </w:tc>
        <w:tc>
          <w:tcPr>
            <w:tcW w:w="358" w:type="pct"/>
            <w:tcBorders>
              <w:left w:val="single" w:sz="2" w:space="0" w:color="1F497D"/>
              <w:bottom w:val="nil"/>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3.4</w:t>
            </w:r>
          </w:p>
        </w:tc>
        <w:tc>
          <w:tcPr>
            <w:tcW w:w="349" w:type="pct"/>
            <w:tcBorders>
              <w:bottom w:val="nil"/>
            </w:tcBorders>
            <w:shd w:val="clear" w:color="auto" w:fill="DBE5F1"/>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3.0</w:t>
            </w:r>
          </w:p>
        </w:tc>
      </w:tr>
      <w:tr w:rsidR="00871CCF" w:rsidRPr="00EE1C68" w:rsidTr="00871CCF">
        <w:trPr>
          <w:trHeight w:val="327"/>
          <w:jc w:val="center"/>
        </w:trPr>
        <w:tc>
          <w:tcPr>
            <w:tcW w:w="2143" w:type="pct"/>
            <w:tcBorders>
              <w:top w:val="nil"/>
              <w:bottom w:val="single" w:sz="4" w:space="0" w:color="1F497D"/>
              <w:right w:val="single" w:sz="2" w:space="0" w:color="1F497D"/>
            </w:tcBorders>
            <w:shd w:val="clear" w:color="auto" w:fill="auto"/>
            <w:vAlign w:val="bottom"/>
          </w:tcPr>
          <w:p w:rsidR="00871CCF" w:rsidRPr="00EE1C68" w:rsidRDefault="00871CCF" w:rsidP="00871CCF">
            <w:pPr>
              <w:keepNext/>
              <w:spacing w:before="120"/>
              <w:rPr>
                <w:rFonts w:ascii="Calibri" w:hAnsi="Calibri"/>
                <w:b/>
                <w:color w:val="365F91"/>
                <w:sz w:val="18"/>
                <w:szCs w:val="18"/>
              </w:rPr>
            </w:pPr>
            <w:r>
              <w:rPr>
                <w:rFonts w:ascii="Calibri" w:hAnsi="Calibri"/>
                <w:b/>
                <w:color w:val="365F91"/>
                <w:sz w:val="18"/>
                <w:szCs w:val="18"/>
              </w:rPr>
              <w:t>Current account balance, % of the GDP</w:t>
            </w:r>
          </w:p>
        </w:tc>
        <w:tc>
          <w:tcPr>
            <w:tcW w:w="354" w:type="pct"/>
            <w:tcBorders>
              <w:top w:val="nil"/>
              <w:left w:val="single" w:sz="2" w:space="0" w:color="1F497D"/>
              <w:bottom w:val="single" w:sz="4" w:space="0" w:color="1F497D"/>
            </w:tcBorders>
            <w:shd w:val="clear" w:color="auto" w:fill="auto"/>
            <w:vAlign w:val="bottom"/>
          </w:tcPr>
          <w:p w:rsidR="00871CCF" w:rsidRPr="00EE1C68" w:rsidRDefault="00871CCF" w:rsidP="00871CCF">
            <w:pPr>
              <w:keepNext/>
              <w:spacing w:before="120"/>
              <w:jc w:val="center"/>
              <w:rPr>
                <w:rFonts w:ascii="Calibri" w:hAnsi="Calibri"/>
                <w:b/>
                <w:bCs/>
                <w:color w:val="365F91"/>
                <w:sz w:val="18"/>
                <w:szCs w:val="18"/>
              </w:rPr>
            </w:pPr>
            <w:r>
              <w:rPr>
                <w:rFonts w:ascii="Calibri" w:hAnsi="Calibri"/>
                <w:b/>
                <w:bCs/>
                <w:color w:val="365F91"/>
                <w:sz w:val="18"/>
                <w:szCs w:val="18"/>
              </w:rPr>
              <w:t>-2.8</w:t>
            </w:r>
          </w:p>
        </w:tc>
        <w:tc>
          <w:tcPr>
            <w:tcW w:w="365" w:type="pct"/>
            <w:tcBorders>
              <w:top w:val="nil"/>
              <w:bottom w:val="single" w:sz="4" w:space="0" w:color="1F497D"/>
              <w:right w:val="single" w:sz="2" w:space="0" w:color="1F497D"/>
            </w:tcBorders>
            <w:shd w:val="clear" w:color="auto" w:fill="DBE5F1"/>
            <w:vAlign w:val="bottom"/>
          </w:tcPr>
          <w:p w:rsidR="00871CCF" w:rsidRPr="00EE1C68" w:rsidRDefault="00871CCF" w:rsidP="00871CCF">
            <w:pPr>
              <w:keepNext/>
              <w:spacing w:before="120"/>
              <w:jc w:val="center"/>
              <w:rPr>
                <w:rFonts w:ascii="Calibri" w:hAnsi="Calibri"/>
                <w:b/>
                <w:bCs/>
                <w:color w:val="365F91"/>
                <w:sz w:val="18"/>
                <w:szCs w:val="18"/>
              </w:rPr>
            </w:pPr>
            <w:r>
              <w:rPr>
                <w:rFonts w:ascii="Calibri" w:hAnsi="Calibri"/>
                <w:b/>
                <w:bCs/>
                <w:color w:val="365F91"/>
                <w:sz w:val="18"/>
                <w:szCs w:val="18"/>
              </w:rPr>
              <w:t>-3.2</w:t>
            </w:r>
          </w:p>
        </w:tc>
        <w:tc>
          <w:tcPr>
            <w:tcW w:w="358" w:type="pct"/>
            <w:tcBorders>
              <w:top w:val="nil"/>
              <w:left w:val="single" w:sz="2" w:space="0" w:color="1F497D"/>
              <w:bottom w:val="single" w:sz="4" w:space="0" w:color="1F497D"/>
            </w:tcBorders>
            <w:shd w:val="clear" w:color="auto" w:fill="auto"/>
            <w:vAlign w:val="bottom"/>
          </w:tcPr>
          <w:p w:rsidR="00871CCF" w:rsidRPr="00EE1C68" w:rsidRDefault="00871CCF" w:rsidP="00871CCF">
            <w:pPr>
              <w:keepNext/>
              <w:spacing w:before="120"/>
              <w:jc w:val="center"/>
              <w:rPr>
                <w:rFonts w:ascii="Calibri" w:hAnsi="Calibri"/>
                <w:b/>
                <w:bCs/>
                <w:color w:val="365F91"/>
                <w:sz w:val="18"/>
                <w:szCs w:val="18"/>
              </w:rPr>
            </w:pPr>
            <w:r>
              <w:rPr>
                <w:rFonts w:ascii="Calibri" w:hAnsi="Calibri"/>
                <w:b/>
                <w:bCs/>
                <w:color w:val="365F91"/>
                <w:sz w:val="18"/>
                <w:szCs w:val="18"/>
              </w:rPr>
              <w:t>-2.6</w:t>
            </w:r>
          </w:p>
        </w:tc>
        <w:tc>
          <w:tcPr>
            <w:tcW w:w="359" w:type="pct"/>
            <w:tcBorders>
              <w:top w:val="nil"/>
              <w:bottom w:val="single" w:sz="4" w:space="0" w:color="1F497D"/>
              <w:right w:val="single" w:sz="2" w:space="0" w:color="1F497D"/>
            </w:tcBorders>
            <w:shd w:val="clear" w:color="auto" w:fill="DBE5F1"/>
            <w:vAlign w:val="bottom"/>
          </w:tcPr>
          <w:p w:rsidR="00871CCF" w:rsidRPr="00201684" w:rsidRDefault="00FC0E0A" w:rsidP="00871CCF">
            <w:pPr>
              <w:keepNext/>
              <w:spacing w:before="120"/>
              <w:jc w:val="center"/>
              <w:rPr>
                <w:rFonts w:ascii="Calibri" w:hAnsi="Calibri"/>
                <w:b/>
                <w:bCs/>
                <w:color w:val="365F91"/>
                <w:sz w:val="18"/>
                <w:szCs w:val="18"/>
              </w:rPr>
            </w:pPr>
            <w:r>
              <w:rPr>
                <w:rFonts w:ascii="Calibri" w:hAnsi="Calibri"/>
                <w:b/>
                <w:bCs/>
                <w:color w:val="365F91"/>
                <w:sz w:val="18"/>
                <w:szCs w:val="18"/>
              </w:rPr>
              <w:t>-4.7*</w:t>
            </w:r>
          </w:p>
        </w:tc>
        <w:tc>
          <w:tcPr>
            <w:tcW w:w="358" w:type="pct"/>
            <w:tcBorders>
              <w:top w:val="nil"/>
              <w:left w:val="single" w:sz="2" w:space="0" w:color="1F497D"/>
              <w:bottom w:val="single" w:sz="4" w:space="0" w:color="1F497D"/>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-2.3</w:t>
            </w:r>
          </w:p>
        </w:tc>
        <w:tc>
          <w:tcPr>
            <w:tcW w:w="358" w:type="pct"/>
            <w:tcBorders>
              <w:top w:val="nil"/>
              <w:bottom w:val="single" w:sz="4" w:space="0" w:color="1F497D"/>
              <w:right w:val="single" w:sz="2" w:space="0" w:color="1F497D"/>
            </w:tcBorders>
            <w:shd w:val="clear" w:color="auto" w:fill="DBE5F1"/>
            <w:vAlign w:val="bottom"/>
          </w:tcPr>
          <w:p w:rsidR="00871CCF" w:rsidRPr="00EE1C68" w:rsidRDefault="00871CCF" w:rsidP="00871CCF">
            <w:pPr>
              <w:keepNext/>
              <w:spacing w:before="120"/>
              <w:jc w:val="center"/>
              <w:rPr>
                <w:rFonts w:ascii="Calibri" w:hAnsi="Calibri"/>
                <w:b/>
                <w:bCs/>
                <w:color w:val="365F91"/>
                <w:sz w:val="18"/>
                <w:szCs w:val="18"/>
              </w:rPr>
            </w:pPr>
            <w:r>
              <w:rPr>
                <w:rFonts w:ascii="Calibri" w:hAnsi="Calibri"/>
                <w:b/>
                <w:bCs/>
                <w:color w:val="365F91"/>
                <w:sz w:val="18"/>
                <w:szCs w:val="18"/>
              </w:rPr>
              <w:t>-3.3</w:t>
            </w:r>
          </w:p>
        </w:tc>
        <w:tc>
          <w:tcPr>
            <w:tcW w:w="358" w:type="pct"/>
            <w:tcBorders>
              <w:top w:val="nil"/>
              <w:left w:val="single" w:sz="2" w:space="0" w:color="1F497D"/>
              <w:bottom w:val="single" w:sz="4" w:space="0" w:color="1F497D"/>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-2.1</w:t>
            </w:r>
          </w:p>
        </w:tc>
        <w:tc>
          <w:tcPr>
            <w:tcW w:w="349" w:type="pct"/>
            <w:tcBorders>
              <w:top w:val="nil"/>
              <w:bottom w:val="single" w:sz="4" w:space="0" w:color="1F497D"/>
            </w:tcBorders>
            <w:shd w:val="clear" w:color="auto" w:fill="DBE5F1"/>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-2.9</w:t>
            </w:r>
          </w:p>
        </w:tc>
      </w:tr>
      <w:tr w:rsidR="00871CCF" w:rsidRPr="00EE1C68" w:rsidTr="00871CCF">
        <w:trPr>
          <w:trHeight w:val="252"/>
          <w:jc w:val="center"/>
        </w:trPr>
        <w:tc>
          <w:tcPr>
            <w:tcW w:w="2143" w:type="pct"/>
            <w:tcBorders>
              <w:top w:val="single" w:sz="4" w:space="0" w:color="1F497D"/>
              <w:right w:val="single" w:sz="4" w:space="0" w:color="1F497D"/>
            </w:tcBorders>
            <w:shd w:val="clear" w:color="auto" w:fill="auto"/>
            <w:vAlign w:val="bottom"/>
          </w:tcPr>
          <w:p w:rsidR="00871CCF" w:rsidRPr="00EE1C68" w:rsidRDefault="00871CCF" w:rsidP="00871CCF">
            <w:pPr>
              <w:keepNext/>
              <w:rPr>
                <w:rFonts w:ascii="Calibri" w:hAnsi="Calibri"/>
                <w:b/>
                <w:color w:val="365F91"/>
                <w:sz w:val="18"/>
                <w:szCs w:val="18"/>
                <w:lang w:val="it-IT"/>
              </w:rPr>
            </w:pPr>
          </w:p>
        </w:tc>
        <w:tc>
          <w:tcPr>
            <w:tcW w:w="2857" w:type="pct"/>
            <w:gridSpan w:val="8"/>
            <w:tcBorders>
              <w:top w:val="single" w:sz="4" w:space="0" w:color="1F497D"/>
              <w:left w:val="single" w:sz="4" w:space="0" w:color="1F497D"/>
              <w:bottom w:val="nil"/>
            </w:tcBorders>
            <w:shd w:val="clear" w:color="auto" w:fill="auto"/>
            <w:vAlign w:val="bottom"/>
          </w:tcPr>
          <w:p w:rsidR="00871CCF" w:rsidRPr="00201684" w:rsidRDefault="00871CCF" w:rsidP="00871CCF">
            <w:pPr>
              <w:keepNext/>
              <w:jc w:val="center"/>
              <w:rPr>
                <w:rFonts w:ascii="Calibri" w:hAnsi="Calibri"/>
                <w:b/>
                <w:color w:val="365F91"/>
                <w:sz w:val="18"/>
                <w:szCs w:val="18"/>
              </w:rPr>
            </w:pPr>
            <w:r>
              <w:rPr>
                <w:rFonts w:ascii="Calibri" w:hAnsi="Calibri"/>
                <w:b/>
                <w:color w:val="365F91"/>
                <w:sz w:val="18"/>
                <w:szCs w:val="18"/>
              </w:rPr>
              <w:t>(% of GDP)</w:t>
            </w:r>
          </w:p>
        </w:tc>
      </w:tr>
      <w:tr w:rsidR="00871CCF" w:rsidRPr="00EE1C68" w:rsidTr="00871CCF">
        <w:trPr>
          <w:trHeight w:val="269"/>
          <w:jc w:val="center"/>
        </w:trPr>
        <w:tc>
          <w:tcPr>
            <w:tcW w:w="2143" w:type="pct"/>
            <w:tcBorders>
              <w:top w:val="single" w:sz="4" w:space="0" w:color="1F497D"/>
              <w:right w:val="single" w:sz="2" w:space="0" w:color="1F497D"/>
            </w:tcBorders>
            <w:shd w:val="clear" w:color="auto" w:fill="auto"/>
            <w:vAlign w:val="center"/>
          </w:tcPr>
          <w:p w:rsidR="00871CCF" w:rsidRPr="00EE1C68" w:rsidRDefault="00871CCF" w:rsidP="00871CCF">
            <w:pPr>
              <w:keepNext/>
              <w:spacing w:before="120"/>
              <w:rPr>
                <w:rFonts w:ascii="Calibri" w:hAnsi="Calibri"/>
                <w:b/>
                <w:color w:val="365F91"/>
                <w:sz w:val="18"/>
                <w:szCs w:val="18"/>
              </w:rPr>
            </w:pPr>
            <w:r>
              <w:rPr>
                <w:rFonts w:ascii="Calibri" w:hAnsi="Calibri"/>
                <w:b/>
                <w:color w:val="365F91"/>
                <w:sz w:val="18"/>
                <w:szCs w:val="18"/>
              </w:rPr>
              <w:t>Revenues (cash methodology)</w:t>
            </w:r>
          </w:p>
        </w:tc>
        <w:tc>
          <w:tcPr>
            <w:tcW w:w="354" w:type="pct"/>
            <w:tcBorders>
              <w:top w:val="single" w:sz="4" w:space="0" w:color="1F497D"/>
              <w:left w:val="single" w:sz="2" w:space="0" w:color="1F497D"/>
              <w:bottom w:val="nil"/>
            </w:tcBorders>
            <w:shd w:val="clear" w:color="auto" w:fill="auto"/>
            <w:vAlign w:val="center"/>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29.4</w:t>
            </w:r>
          </w:p>
        </w:tc>
        <w:tc>
          <w:tcPr>
            <w:tcW w:w="365" w:type="pct"/>
            <w:tcBorders>
              <w:top w:val="single" w:sz="4" w:space="0" w:color="1F497D"/>
              <w:bottom w:val="nil"/>
              <w:right w:val="single" w:sz="2" w:space="0" w:color="1F497D"/>
            </w:tcBorders>
            <w:shd w:val="clear" w:color="auto" w:fill="DBE5F1"/>
            <w:vAlign w:val="center"/>
          </w:tcPr>
          <w:p w:rsidR="00871CCF" w:rsidRPr="00EE1C68" w:rsidRDefault="00054C65" w:rsidP="00871CCF">
            <w:pPr>
              <w:keepNext/>
              <w:spacing w:before="120"/>
              <w:jc w:val="center"/>
              <w:rPr>
                <w:rFonts w:ascii="Calibri" w:hAnsi="Calibri"/>
                <w:b/>
                <w:color w:val="365F91"/>
                <w:sz w:val="18"/>
                <w:szCs w:val="18"/>
              </w:rPr>
            </w:pPr>
            <w:r>
              <w:rPr>
                <w:rFonts w:ascii="Calibri" w:hAnsi="Calibri"/>
                <w:b/>
                <w:color w:val="365F91"/>
                <w:sz w:val="18"/>
                <w:szCs w:val="18"/>
              </w:rPr>
              <w:t>29.40</w:t>
            </w:r>
          </w:p>
        </w:tc>
        <w:tc>
          <w:tcPr>
            <w:tcW w:w="358" w:type="pct"/>
            <w:tcBorders>
              <w:top w:val="single" w:sz="4" w:space="0" w:color="1F497D"/>
              <w:left w:val="single" w:sz="2" w:space="0" w:color="1F497D"/>
            </w:tcBorders>
            <w:shd w:val="clear" w:color="auto" w:fill="auto"/>
            <w:vAlign w:val="center"/>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30.48</w:t>
            </w:r>
          </w:p>
        </w:tc>
        <w:tc>
          <w:tcPr>
            <w:tcW w:w="359" w:type="pct"/>
            <w:tcBorders>
              <w:top w:val="single" w:sz="4" w:space="0" w:color="1F497D"/>
              <w:right w:val="single" w:sz="2" w:space="0" w:color="1F497D"/>
            </w:tcBorders>
            <w:shd w:val="clear" w:color="auto" w:fill="DBE5F1"/>
            <w:vAlign w:val="center"/>
          </w:tcPr>
          <w:p w:rsidR="00871CCF" w:rsidRPr="00201684" w:rsidRDefault="00871CCF" w:rsidP="00717ADB">
            <w:pPr>
              <w:keepNext/>
              <w:spacing w:before="120"/>
              <w:jc w:val="center"/>
              <w:rPr>
                <w:rFonts w:ascii="Calibri" w:hAnsi="Calibri"/>
                <w:b/>
                <w:color w:val="365F91"/>
                <w:sz w:val="18"/>
                <w:szCs w:val="18"/>
              </w:rPr>
            </w:pPr>
            <w:r>
              <w:rPr>
                <w:rFonts w:ascii="Calibri" w:hAnsi="Calibri"/>
                <w:b/>
                <w:color w:val="365F91"/>
                <w:sz w:val="18"/>
                <w:szCs w:val="18"/>
              </w:rPr>
              <w:t>31.38</w:t>
            </w:r>
          </w:p>
        </w:tc>
        <w:tc>
          <w:tcPr>
            <w:tcW w:w="358" w:type="pct"/>
            <w:tcBorders>
              <w:top w:val="single" w:sz="4" w:space="0" w:color="1F497D"/>
              <w:left w:val="single" w:sz="2" w:space="0" w:color="1F497D"/>
              <w:bottom w:val="nil"/>
            </w:tcBorders>
            <w:shd w:val="clear" w:color="auto" w:fill="auto"/>
            <w:vAlign w:val="center"/>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31.67</w:t>
            </w:r>
          </w:p>
        </w:tc>
        <w:tc>
          <w:tcPr>
            <w:tcW w:w="358" w:type="pct"/>
            <w:tcBorders>
              <w:top w:val="single" w:sz="4" w:space="0" w:color="1F497D"/>
              <w:bottom w:val="nil"/>
              <w:right w:val="single" w:sz="2" w:space="0" w:color="1F497D"/>
            </w:tcBorders>
            <w:shd w:val="clear" w:color="auto" w:fill="DBE5F1"/>
            <w:vAlign w:val="center"/>
          </w:tcPr>
          <w:p w:rsidR="00871CCF" w:rsidRPr="00EE1C68" w:rsidRDefault="00FB4D0D" w:rsidP="00871CCF">
            <w:pPr>
              <w:keepNext/>
              <w:spacing w:before="120"/>
              <w:jc w:val="center"/>
              <w:rPr>
                <w:rFonts w:ascii="Calibri" w:hAnsi="Calibri"/>
                <w:b/>
                <w:color w:val="365F91"/>
                <w:sz w:val="18"/>
                <w:szCs w:val="18"/>
              </w:rPr>
            </w:pPr>
            <w:r>
              <w:rPr>
                <w:rFonts w:ascii="Calibri" w:hAnsi="Calibri"/>
                <w:b/>
                <w:color w:val="365F91"/>
                <w:sz w:val="18"/>
                <w:szCs w:val="18"/>
              </w:rPr>
              <w:t>33.51</w:t>
            </w:r>
          </w:p>
        </w:tc>
        <w:tc>
          <w:tcPr>
            <w:tcW w:w="358" w:type="pct"/>
            <w:tcBorders>
              <w:top w:val="single" w:sz="4" w:space="0" w:color="1F497D"/>
              <w:left w:val="single" w:sz="2" w:space="0" w:color="1F497D"/>
            </w:tcBorders>
            <w:shd w:val="clear" w:color="auto" w:fill="auto"/>
            <w:vAlign w:val="center"/>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31.86</w:t>
            </w:r>
          </w:p>
        </w:tc>
        <w:tc>
          <w:tcPr>
            <w:tcW w:w="349" w:type="pct"/>
            <w:tcBorders>
              <w:top w:val="single" w:sz="4" w:space="0" w:color="1F497D"/>
            </w:tcBorders>
            <w:shd w:val="clear" w:color="auto" w:fill="DBE5F1"/>
            <w:vAlign w:val="center"/>
          </w:tcPr>
          <w:p w:rsidR="00871CCF" w:rsidRPr="00EE1C68" w:rsidRDefault="00054C65" w:rsidP="00871CCF">
            <w:pPr>
              <w:keepNext/>
              <w:spacing w:before="120"/>
              <w:jc w:val="center"/>
              <w:rPr>
                <w:rFonts w:ascii="Calibri" w:hAnsi="Calibri"/>
                <w:b/>
                <w:color w:val="365F91"/>
                <w:sz w:val="18"/>
                <w:szCs w:val="18"/>
              </w:rPr>
            </w:pPr>
            <w:r>
              <w:rPr>
                <w:rFonts w:ascii="Calibri" w:hAnsi="Calibri"/>
                <w:b/>
                <w:color w:val="365F91"/>
                <w:sz w:val="18"/>
                <w:szCs w:val="18"/>
              </w:rPr>
              <w:t>32.23</w:t>
            </w:r>
          </w:p>
        </w:tc>
      </w:tr>
      <w:tr w:rsidR="00871CCF" w:rsidRPr="00EE1C68" w:rsidTr="00871CCF">
        <w:trPr>
          <w:jc w:val="center"/>
        </w:trPr>
        <w:tc>
          <w:tcPr>
            <w:tcW w:w="2143" w:type="pct"/>
            <w:tcBorders>
              <w:right w:val="single" w:sz="2" w:space="0" w:color="1F497D"/>
            </w:tcBorders>
            <w:shd w:val="clear" w:color="auto" w:fill="auto"/>
            <w:vAlign w:val="bottom"/>
          </w:tcPr>
          <w:p w:rsidR="00871CCF" w:rsidRPr="00EE1C68" w:rsidRDefault="00871CCF" w:rsidP="00871CCF">
            <w:pPr>
              <w:keepNext/>
              <w:spacing w:before="120"/>
              <w:rPr>
                <w:rFonts w:ascii="Calibri" w:hAnsi="Calibri"/>
                <w:b/>
                <w:color w:val="365F91"/>
                <w:sz w:val="18"/>
                <w:szCs w:val="18"/>
              </w:rPr>
            </w:pPr>
            <w:r>
              <w:rPr>
                <w:rFonts w:ascii="Calibri" w:hAnsi="Calibri"/>
                <w:b/>
                <w:color w:val="365F91"/>
                <w:sz w:val="18"/>
                <w:szCs w:val="18"/>
              </w:rPr>
              <w:t>Expenditures (cash methodology)</w:t>
            </w:r>
          </w:p>
        </w:tc>
        <w:tc>
          <w:tcPr>
            <w:tcW w:w="354" w:type="pct"/>
            <w:tcBorders>
              <w:top w:val="nil"/>
              <w:left w:val="single" w:sz="2" w:space="0" w:color="1F497D"/>
              <w:bottom w:val="nil"/>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31.8</w:t>
            </w:r>
          </w:p>
        </w:tc>
        <w:tc>
          <w:tcPr>
            <w:tcW w:w="365" w:type="pct"/>
            <w:tcBorders>
              <w:top w:val="nil"/>
              <w:bottom w:val="nil"/>
              <w:right w:val="single" w:sz="2" w:space="0" w:color="1F497D"/>
            </w:tcBorders>
            <w:shd w:val="clear" w:color="auto" w:fill="DBE5F1"/>
            <w:vAlign w:val="bottom"/>
          </w:tcPr>
          <w:p w:rsidR="00871CCF" w:rsidRPr="00EE1C68" w:rsidRDefault="00E46A5A" w:rsidP="00871CCF">
            <w:pPr>
              <w:keepNext/>
              <w:spacing w:before="120"/>
              <w:jc w:val="center"/>
              <w:rPr>
                <w:rFonts w:ascii="Calibri" w:hAnsi="Calibri"/>
                <w:b/>
                <w:color w:val="365F91"/>
                <w:sz w:val="18"/>
                <w:szCs w:val="18"/>
              </w:rPr>
            </w:pPr>
            <w:r>
              <w:rPr>
                <w:rFonts w:ascii="Calibri" w:hAnsi="Calibri"/>
                <w:b/>
                <w:color w:val="365F91"/>
                <w:sz w:val="18"/>
                <w:szCs w:val="18"/>
              </w:rPr>
              <w:t>32.24</w:t>
            </w:r>
          </w:p>
        </w:tc>
        <w:tc>
          <w:tcPr>
            <w:tcW w:w="358" w:type="pct"/>
            <w:tcBorders>
              <w:left w:val="single" w:sz="2" w:space="0" w:color="1F497D"/>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33.44</w:t>
            </w:r>
          </w:p>
        </w:tc>
        <w:tc>
          <w:tcPr>
            <w:tcW w:w="359" w:type="pct"/>
            <w:tcBorders>
              <w:right w:val="single" w:sz="2" w:space="0" w:color="1F497D"/>
            </w:tcBorders>
            <w:shd w:val="clear" w:color="auto" w:fill="DBE5F1"/>
            <w:vAlign w:val="bottom"/>
          </w:tcPr>
          <w:p w:rsidR="00871CCF" w:rsidRPr="00201684" w:rsidRDefault="00871CCF" w:rsidP="00717ADB">
            <w:pPr>
              <w:keepNext/>
              <w:spacing w:before="120"/>
              <w:jc w:val="center"/>
              <w:rPr>
                <w:rFonts w:ascii="Calibri" w:hAnsi="Calibri"/>
                <w:b/>
                <w:color w:val="365F91"/>
                <w:sz w:val="18"/>
                <w:szCs w:val="18"/>
              </w:rPr>
            </w:pPr>
            <w:r>
              <w:rPr>
                <w:rFonts w:ascii="Calibri" w:hAnsi="Calibri"/>
                <w:b/>
                <w:color w:val="365F91"/>
                <w:sz w:val="18"/>
                <w:szCs w:val="18"/>
              </w:rPr>
              <w:t>34.29</w:t>
            </w:r>
          </w:p>
        </w:tc>
        <w:tc>
          <w:tcPr>
            <w:tcW w:w="358" w:type="pct"/>
            <w:tcBorders>
              <w:top w:val="nil"/>
              <w:left w:val="single" w:sz="2" w:space="0" w:color="1F497D"/>
              <w:bottom w:val="nil"/>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34.64</w:t>
            </w:r>
          </w:p>
        </w:tc>
        <w:tc>
          <w:tcPr>
            <w:tcW w:w="358" w:type="pct"/>
            <w:tcBorders>
              <w:top w:val="nil"/>
              <w:bottom w:val="nil"/>
              <w:right w:val="single" w:sz="2" w:space="0" w:color="1F497D"/>
            </w:tcBorders>
            <w:shd w:val="clear" w:color="auto" w:fill="DBE5F1"/>
            <w:vAlign w:val="bottom"/>
          </w:tcPr>
          <w:p w:rsidR="00871CCF" w:rsidRPr="00EE1C68" w:rsidRDefault="00F71664" w:rsidP="00871CCF">
            <w:pPr>
              <w:keepNext/>
              <w:spacing w:before="120"/>
              <w:jc w:val="center"/>
              <w:rPr>
                <w:rFonts w:ascii="Calibri" w:hAnsi="Calibri"/>
                <w:b/>
                <w:color w:val="365F91"/>
                <w:sz w:val="18"/>
                <w:szCs w:val="18"/>
              </w:rPr>
            </w:pPr>
            <w:r>
              <w:rPr>
                <w:rFonts w:ascii="Calibri" w:hAnsi="Calibri"/>
                <w:b/>
                <w:color w:val="365F91"/>
                <w:sz w:val="18"/>
                <w:szCs w:val="18"/>
              </w:rPr>
              <w:t>36.28</w:t>
            </w:r>
          </w:p>
        </w:tc>
        <w:tc>
          <w:tcPr>
            <w:tcW w:w="358" w:type="pct"/>
            <w:tcBorders>
              <w:left w:val="single" w:sz="2" w:space="0" w:color="1F497D"/>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34.44</w:t>
            </w:r>
          </w:p>
        </w:tc>
        <w:tc>
          <w:tcPr>
            <w:tcW w:w="349" w:type="pct"/>
            <w:shd w:val="clear" w:color="auto" w:fill="DBE5F1"/>
            <w:vAlign w:val="bottom"/>
          </w:tcPr>
          <w:p w:rsidR="00871CCF" w:rsidRPr="00EE1C68" w:rsidRDefault="00F71664" w:rsidP="00871CCF">
            <w:pPr>
              <w:keepNext/>
              <w:spacing w:before="120"/>
              <w:jc w:val="center"/>
              <w:rPr>
                <w:rFonts w:ascii="Calibri" w:hAnsi="Calibri"/>
                <w:b/>
                <w:color w:val="365F91"/>
                <w:sz w:val="18"/>
                <w:szCs w:val="18"/>
              </w:rPr>
            </w:pPr>
            <w:r>
              <w:rPr>
                <w:rFonts w:ascii="Calibri" w:hAnsi="Calibri"/>
                <w:b/>
                <w:color w:val="365F91"/>
                <w:sz w:val="18"/>
                <w:szCs w:val="18"/>
              </w:rPr>
              <w:t>34.55</w:t>
            </w:r>
          </w:p>
        </w:tc>
      </w:tr>
      <w:tr w:rsidR="00871CCF" w:rsidRPr="00EE1C68" w:rsidTr="00871CCF">
        <w:trPr>
          <w:trHeight w:val="247"/>
          <w:jc w:val="center"/>
        </w:trPr>
        <w:tc>
          <w:tcPr>
            <w:tcW w:w="2143" w:type="pct"/>
            <w:tcBorders>
              <w:right w:val="single" w:sz="2" w:space="0" w:color="1F497D"/>
            </w:tcBorders>
            <w:shd w:val="clear" w:color="auto" w:fill="auto"/>
            <w:vAlign w:val="bottom"/>
          </w:tcPr>
          <w:p w:rsidR="00871CCF" w:rsidRPr="00EE1C68" w:rsidRDefault="00871CCF" w:rsidP="00871CCF">
            <w:pPr>
              <w:keepNext/>
              <w:spacing w:before="120"/>
              <w:rPr>
                <w:rFonts w:ascii="Calibri" w:hAnsi="Calibri"/>
                <w:b/>
                <w:color w:val="365F91"/>
                <w:sz w:val="18"/>
                <w:szCs w:val="18"/>
              </w:rPr>
            </w:pPr>
            <w:r>
              <w:rPr>
                <w:rFonts w:ascii="Calibri" w:hAnsi="Calibri"/>
                <w:b/>
                <w:color w:val="365F91"/>
                <w:sz w:val="18"/>
                <w:szCs w:val="18"/>
              </w:rPr>
              <w:t>Balance (cash methodology)</w:t>
            </w:r>
          </w:p>
        </w:tc>
        <w:tc>
          <w:tcPr>
            <w:tcW w:w="354" w:type="pct"/>
            <w:tcBorders>
              <w:top w:val="nil"/>
              <w:left w:val="single" w:sz="2" w:space="0" w:color="1F497D"/>
              <w:bottom w:val="nil"/>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-2.40</w:t>
            </w:r>
          </w:p>
        </w:tc>
        <w:tc>
          <w:tcPr>
            <w:tcW w:w="365" w:type="pct"/>
            <w:tcBorders>
              <w:top w:val="nil"/>
              <w:bottom w:val="nil"/>
              <w:right w:val="single" w:sz="2" w:space="0" w:color="1F497D"/>
            </w:tcBorders>
            <w:shd w:val="clear" w:color="auto" w:fill="DBE5F1"/>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-2.84</w:t>
            </w:r>
          </w:p>
        </w:tc>
        <w:tc>
          <w:tcPr>
            <w:tcW w:w="358" w:type="pct"/>
            <w:tcBorders>
              <w:left w:val="single" w:sz="2" w:space="0" w:color="1F497D"/>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-2.96</w:t>
            </w:r>
          </w:p>
        </w:tc>
        <w:tc>
          <w:tcPr>
            <w:tcW w:w="359" w:type="pct"/>
            <w:tcBorders>
              <w:right w:val="single" w:sz="2" w:space="0" w:color="1F497D"/>
            </w:tcBorders>
            <w:shd w:val="clear" w:color="auto" w:fill="DBE5F1"/>
            <w:vAlign w:val="bottom"/>
          </w:tcPr>
          <w:p w:rsidR="00871CCF" w:rsidRPr="00201684" w:rsidRDefault="00871CCF" w:rsidP="00717ADB">
            <w:pPr>
              <w:keepNext/>
              <w:spacing w:before="120"/>
              <w:jc w:val="center"/>
              <w:rPr>
                <w:rFonts w:ascii="Calibri" w:hAnsi="Calibri"/>
                <w:b/>
                <w:color w:val="365F91"/>
                <w:sz w:val="18"/>
                <w:szCs w:val="18"/>
              </w:rPr>
            </w:pPr>
            <w:r>
              <w:rPr>
                <w:rFonts w:ascii="Calibri" w:hAnsi="Calibri"/>
                <w:b/>
                <w:color w:val="365F91"/>
                <w:sz w:val="18"/>
                <w:szCs w:val="18"/>
              </w:rPr>
              <w:t>-2.91</w:t>
            </w:r>
          </w:p>
        </w:tc>
        <w:tc>
          <w:tcPr>
            <w:tcW w:w="358" w:type="pct"/>
            <w:tcBorders>
              <w:top w:val="nil"/>
              <w:left w:val="single" w:sz="2" w:space="0" w:color="1F497D"/>
              <w:bottom w:val="nil"/>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-2.97</w:t>
            </w:r>
          </w:p>
        </w:tc>
        <w:tc>
          <w:tcPr>
            <w:tcW w:w="358" w:type="pct"/>
            <w:tcBorders>
              <w:top w:val="nil"/>
              <w:bottom w:val="nil"/>
              <w:right w:val="single" w:sz="2" w:space="0" w:color="1F497D"/>
            </w:tcBorders>
            <w:shd w:val="clear" w:color="auto" w:fill="DBE5F1"/>
            <w:vAlign w:val="bottom"/>
          </w:tcPr>
          <w:p w:rsidR="00871CCF" w:rsidRPr="00EE1C68" w:rsidRDefault="00F71664" w:rsidP="00871CCF">
            <w:pPr>
              <w:keepNext/>
              <w:spacing w:before="120"/>
              <w:jc w:val="center"/>
              <w:rPr>
                <w:rFonts w:ascii="Calibri" w:hAnsi="Calibri"/>
                <w:b/>
                <w:color w:val="365F91"/>
                <w:sz w:val="18"/>
                <w:szCs w:val="18"/>
              </w:rPr>
            </w:pPr>
            <w:r>
              <w:rPr>
                <w:rFonts w:ascii="Calibri" w:hAnsi="Calibri"/>
                <w:b/>
                <w:color w:val="365F91"/>
                <w:sz w:val="18"/>
                <w:szCs w:val="18"/>
              </w:rPr>
              <w:t>-2.76</w:t>
            </w:r>
          </w:p>
        </w:tc>
        <w:tc>
          <w:tcPr>
            <w:tcW w:w="358" w:type="pct"/>
            <w:tcBorders>
              <w:left w:val="single" w:sz="2" w:space="0" w:color="1F497D"/>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-2.58</w:t>
            </w:r>
          </w:p>
        </w:tc>
        <w:tc>
          <w:tcPr>
            <w:tcW w:w="349" w:type="pct"/>
            <w:shd w:val="clear" w:color="auto" w:fill="DBE5F1"/>
            <w:vAlign w:val="bottom"/>
          </w:tcPr>
          <w:p w:rsidR="00871CCF" w:rsidRPr="00EE1C68" w:rsidRDefault="00F71664" w:rsidP="00871CCF">
            <w:pPr>
              <w:keepNext/>
              <w:spacing w:before="120"/>
              <w:jc w:val="center"/>
              <w:rPr>
                <w:rFonts w:ascii="Calibri" w:hAnsi="Calibri"/>
                <w:b/>
                <w:color w:val="365F91"/>
                <w:sz w:val="18"/>
                <w:szCs w:val="18"/>
              </w:rPr>
            </w:pPr>
            <w:r>
              <w:rPr>
                <w:rFonts w:ascii="Calibri" w:hAnsi="Calibri"/>
                <w:b/>
                <w:color w:val="365F91"/>
                <w:sz w:val="18"/>
                <w:szCs w:val="18"/>
              </w:rPr>
              <w:t>-2.33</w:t>
            </w:r>
          </w:p>
        </w:tc>
      </w:tr>
      <w:tr w:rsidR="00871CCF" w:rsidRPr="00EE1C68" w:rsidTr="00871CCF">
        <w:trPr>
          <w:trHeight w:val="309"/>
          <w:jc w:val="center"/>
        </w:trPr>
        <w:tc>
          <w:tcPr>
            <w:tcW w:w="2143" w:type="pct"/>
            <w:tcBorders>
              <w:right w:val="single" w:sz="2" w:space="0" w:color="1F497D"/>
            </w:tcBorders>
            <w:shd w:val="clear" w:color="auto" w:fill="auto"/>
            <w:vAlign w:val="bottom"/>
          </w:tcPr>
          <w:p w:rsidR="00871CCF" w:rsidRPr="00EE1C68" w:rsidRDefault="00871CCF" w:rsidP="00871CCF">
            <w:pPr>
              <w:keepNext/>
              <w:spacing w:before="120"/>
              <w:rPr>
                <w:rFonts w:ascii="Calibri" w:hAnsi="Calibri"/>
                <w:b/>
                <w:color w:val="365F91"/>
                <w:sz w:val="18"/>
                <w:szCs w:val="18"/>
              </w:rPr>
            </w:pPr>
            <w:r>
              <w:rPr>
                <w:rFonts w:ascii="Calibri" w:hAnsi="Calibri"/>
                <w:b/>
                <w:color w:val="365F91"/>
                <w:sz w:val="18"/>
                <w:szCs w:val="18"/>
              </w:rPr>
              <w:t>ESA balance</w:t>
            </w:r>
          </w:p>
        </w:tc>
        <w:tc>
          <w:tcPr>
            <w:tcW w:w="354" w:type="pct"/>
            <w:tcBorders>
              <w:top w:val="nil"/>
              <w:left w:val="single" w:sz="2" w:space="0" w:color="1F497D"/>
              <w:bottom w:val="nil"/>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-3.00</w:t>
            </w:r>
          </w:p>
        </w:tc>
        <w:tc>
          <w:tcPr>
            <w:tcW w:w="365" w:type="pct"/>
            <w:tcBorders>
              <w:top w:val="nil"/>
              <w:bottom w:val="nil"/>
              <w:right w:val="single" w:sz="2" w:space="0" w:color="1F497D"/>
            </w:tcBorders>
            <w:shd w:val="clear" w:color="auto" w:fill="DBE5F1"/>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-2.92</w:t>
            </w:r>
          </w:p>
        </w:tc>
        <w:tc>
          <w:tcPr>
            <w:tcW w:w="358" w:type="pct"/>
            <w:tcBorders>
              <w:left w:val="single" w:sz="2" w:space="0" w:color="1F497D"/>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-2.96</w:t>
            </w:r>
          </w:p>
        </w:tc>
        <w:tc>
          <w:tcPr>
            <w:tcW w:w="359" w:type="pct"/>
            <w:tcBorders>
              <w:right w:val="single" w:sz="2" w:space="0" w:color="1F497D"/>
            </w:tcBorders>
            <w:shd w:val="clear" w:color="auto" w:fill="DBE5F1"/>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-2.96</w:t>
            </w:r>
          </w:p>
        </w:tc>
        <w:tc>
          <w:tcPr>
            <w:tcW w:w="358" w:type="pct"/>
            <w:tcBorders>
              <w:top w:val="nil"/>
              <w:left w:val="single" w:sz="2" w:space="0" w:color="1F497D"/>
              <w:bottom w:val="nil"/>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-2.96</w:t>
            </w:r>
          </w:p>
        </w:tc>
        <w:tc>
          <w:tcPr>
            <w:tcW w:w="358" w:type="pct"/>
            <w:tcBorders>
              <w:top w:val="nil"/>
              <w:bottom w:val="nil"/>
              <w:right w:val="single" w:sz="2" w:space="0" w:color="1F497D"/>
            </w:tcBorders>
            <w:shd w:val="clear" w:color="auto" w:fill="DBE5F1"/>
            <w:vAlign w:val="bottom"/>
          </w:tcPr>
          <w:p w:rsidR="00871CCF" w:rsidRPr="00EE1C68" w:rsidRDefault="00F71664" w:rsidP="00871CCF">
            <w:pPr>
              <w:keepNext/>
              <w:spacing w:before="120"/>
              <w:jc w:val="center"/>
              <w:rPr>
                <w:rFonts w:ascii="Calibri" w:hAnsi="Calibri"/>
                <w:b/>
                <w:color w:val="365F91"/>
                <w:sz w:val="18"/>
                <w:szCs w:val="18"/>
              </w:rPr>
            </w:pPr>
            <w:r>
              <w:rPr>
                <w:rFonts w:ascii="Calibri" w:hAnsi="Calibri"/>
                <w:b/>
                <w:color w:val="365F91"/>
                <w:sz w:val="18"/>
                <w:szCs w:val="18"/>
              </w:rPr>
              <w:t>-2.78</w:t>
            </w:r>
          </w:p>
        </w:tc>
        <w:tc>
          <w:tcPr>
            <w:tcW w:w="358" w:type="pct"/>
            <w:tcBorders>
              <w:left w:val="single" w:sz="2" w:space="0" w:color="1F497D"/>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-2.38</w:t>
            </w:r>
          </w:p>
        </w:tc>
        <w:tc>
          <w:tcPr>
            <w:tcW w:w="349" w:type="pct"/>
            <w:shd w:val="clear" w:color="auto" w:fill="DBE5F1"/>
            <w:vAlign w:val="bottom"/>
          </w:tcPr>
          <w:p w:rsidR="00871CCF" w:rsidRPr="00EE1C68" w:rsidRDefault="00F71664" w:rsidP="00871CCF">
            <w:pPr>
              <w:keepNext/>
              <w:spacing w:before="120"/>
              <w:jc w:val="center"/>
              <w:rPr>
                <w:rFonts w:ascii="Calibri" w:hAnsi="Calibri"/>
                <w:b/>
                <w:color w:val="365F91"/>
                <w:sz w:val="18"/>
                <w:szCs w:val="18"/>
              </w:rPr>
            </w:pPr>
            <w:r>
              <w:rPr>
                <w:rFonts w:ascii="Calibri" w:hAnsi="Calibri"/>
                <w:b/>
                <w:color w:val="365F91"/>
                <w:sz w:val="18"/>
                <w:szCs w:val="18"/>
              </w:rPr>
              <w:t>-2.68</w:t>
            </w:r>
          </w:p>
        </w:tc>
      </w:tr>
      <w:tr w:rsidR="00871CCF" w:rsidRPr="00EE1C68" w:rsidTr="00871CCF">
        <w:trPr>
          <w:trHeight w:val="230"/>
          <w:jc w:val="center"/>
        </w:trPr>
        <w:tc>
          <w:tcPr>
            <w:tcW w:w="2143" w:type="pct"/>
            <w:tcBorders>
              <w:right w:val="single" w:sz="2" w:space="0" w:color="1F497D"/>
            </w:tcBorders>
            <w:shd w:val="clear" w:color="auto" w:fill="auto"/>
            <w:vAlign w:val="bottom"/>
          </w:tcPr>
          <w:p w:rsidR="00871CCF" w:rsidRPr="00EE1C68" w:rsidRDefault="00871CCF" w:rsidP="00871CCF">
            <w:pPr>
              <w:keepNext/>
              <w:spacing w:before="120"/>
              <w:rPr>
                <w:rFonts w:ascii="Calibri" w:hAnsi="Calibri"/>
                <w:b/>
                <w:color w:val="365F91"/>
                <w:sz w:val="18"/>
                <w:szCs w:val="18"/>
              </w:rPr>
            </w:pPr>
            <w:r>
              <w:rPr>
                <w:rFonts w:ascii="Calibri" w:hAnsi="Calibri"/>
                <w:b/>
                <w:color w:val="365F91"/>
                <w:sz w:val="18"/>
                <w:szCs w:val="18"/>
              </w:rPr>
              <w:t>Structural balance</w:t>
            </w:r>
          </w:p>
        </w:tc>
        <w:tc>
          <w:tcPr>
            <w:tcW w:w="354" w:type="pct"/>
            <w:tcBorders>
              <w:top w:val="nil"/>
              <w:left w:val="single" w:sz="2" w:space="0" w:color="1F497D"/>
              <w:bottom w:val="single" w:sz="4" w:space="0" w:color="1F497D"/>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-2.2</w:t>
            </w:r>
          </w:p>
        </w:tc>
        <w:tc>
          <w:tcPr>
            <w:tcW w:w="365" w:type="pct"/>
            <w:tcBorders>
              <w:top w:val="nil"/>
              <w:bottom w:val="single" w:sz="4" w:space="0" w:color="1F497D"/>
              <w:right w:val="single" w:sz="2" w:space="0" w:color="1F497D"/>
            </w:tcBorders>
            <w:shd w:val="clear" w:color="auto" w:fill="DBE5F1"/>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-3.4</w:t>
            </w:r>
          </w:p>
        </w:tc>
        <w:tc>
          <w:tcPr>
            <w:tcW w:w="358" w:type="pct"/>
            <w:tcBorders>
              <w:left w:val="single" w:sz="2" w:space="0" w:color="1F497D"/>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-3.06</w:t>
            </w:r>
          </w:p>
        </w:tc>
        <w:tc>
          <w:tcPr>
            <w:tcW w:w="359" w:type="pct"/>
            <w:tcBorders>
              <w:right w:val="single" w:sz="2" w:space="0" w:color="1F497D"/>
            </w:tcBorders>
            <w:shd w:val="clear" w:color="auto" w:fill="DBE5F1"/>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-3.03</w:t>
            </w:r>
          </w:p>
        </w:tc>
        <w:tc>
          <w:tcPr>
            <w:tcW w:w="358" w:type="pct"/>
            <w:tcBorders>
              <w:top w:val="nil"/>
              <w:left w:val="single" w:sz="2" w:space="0" w:color="1F497D"/>
              <w:bottom w:val="single" w:sz="4" w:space="0" w:color="1F497D"/>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-3.17</w:t>
            </w:r>
          </w:p>
        </w:tc>
        <w:tc>
          <w:tcPr>
            <w:tcW w:w="358" w:type="pct"/>
            <w:tcBorders>
              <w:top w:val="nil"/>
              <w:bottom w:val="single" w:sz="4" w:space="0" w:color="1F497D"/>
              <w:right w:val="single" w:sz="2" w:space="0" w:color="1F497D"/>
            </w:tcBorders>
            <w:shd w:val="clear" w:color="auto" w:fill="DBE5F1"/>
            <w:vAlign w:val="bottom"/>
          </w:tcPr>
          <w:p w:rsidR="00871CCF" w:rsidRPr="00EE1C68" w:rsidRDefault="00F71664" w:rsidP="00871CCF">
            <w:pPr>
              <w:keepNext/>
              <w:spacing w:before="120"/>
              <w:jc w:val="center"/>
              <w:rPr>
                <w:rFonts w:ascii="Calibri" w:hAnsi="Calibri"/>
                <w:b/>
                <w:color w:val="365F91"/>
                <w:sz w:val="18"/>
                <w:szCs w:val="18"/>
              </w:rPr>
            </w:pPr>
            <w:r>
              <w:rPr>
                <w:rFonts w:ascii="Calibri" w:hAnsi="Calibri"/>
                <w:b/>
                <w:color w:val="365F91"/>
                <w:sz w:val="18"/>
                <w:szCs w:val="18"/>
              </w:rPr>
              <w:t>-2.97</w:t>
            </w:r>
          </w:p>
        </w:tc>
        <w:tc>
          <w:tcPr>
            <w:tcW w:w="358" w:type="pct"/>
            <w:tcBorders>
              <w:left w:val="single" w:sz="2" w:space="0" w:color="1F497D"/>
            </w:tcBorders>
            <w:shd w:val="clear" w:color="auto" w:fill="auto"/>
            <w:vAlign w:val="bottom"/>
          </w:tcPr>
          <w:p w:rsidR="00871CCF" w:rsidRPr="00EE1C68" w:rsidRDefault="00871CCF" w:rsidP="00871CCF">
            <w:pPr>
              <w:keepNext/>
              <w:spacing w:before="120"/>
              <w:jc w:val="center"/>
              <w:rPr>
                <w:rFonts w:ascii="Calibri" w:hAnsi="Calibri"/>
                <w:b/>
                <w:color w:val="365F91"/>
                <w:sz w:val="18"/>
                <w:szCs w:val="18"/>
              </w:rPr>
            </w:pPr>
            <w:r>
              <w:rPr>
                <w:rFonts w:ascii="Calibri" w:hAnsi="Calibri"/>
                <w:b/>
                <w:color w:val="365F91"/>
                <w:sz w:val="18"/>
                <w:szCs w:val="18"/>
              </w:rPr>
              <w:t>-2.71</w:t>
            </w:r>
          </w:p>
        </w:tc>
        <w:tc>
          <w:tcPr>
            <w:tcW w:w="349" w:type="pct"/>
            <w:shd w:val="clear" w:color="auto" w:fill="DBE5F1"/>
            <w:vAlign w:val="bottom"/>
          </w:tcPr>
          <w:p w:rsidR="00871CCF" w:rsidRPr="00EE1C68" w:rsidRDefault="00F71664" w:rsidP="00871CCF">
            <w:pPr>
              <w:keepNext/>
              <w:spacing w:before="120"/>
              <w:jc w:val="center"/>
              <w:rPr>
                <w:rFonts w:ascii="Calibri" w:hAnsi="Calibri"/>
                <w:b/>
                <w:color w:val="365F91"/>
                <w:sz w:val="18"/>
                <w:szCs w:val="18"/>
              </w:rPr>
            </w:pPr>
            <w:r>
              <w:rPr>
                <w:rFonts w:ascii="Calibri" w:hAnsi="Calibri"/>
                <w:b/>
                <w:color w:val="365F91"/>
                <w:sz w:val="18"/>
                <w:szCs w:val="18"/>
              </w:rPr>
              <w:t>-3.03</w:t>
            </w:r>
          </w:p>
        </w:tc>
      </w:tr>
    </w:tbl>
    <w:p w:rsidR="00916735" w:rsidRDefault="00916735" w:rsidP="00871CCF">
      <w:pPr>
        <w:jc w:val="both"/>
        <w:rPr>
          <w:rFonts w:ascii="Arial Narrow" w:hAnsi="Arial Narrow"/>
          <w:i/>
          <w:color w:val="365F91"/>
          <w:sz w:val="16"/>
          <w:szCs w:val="16"/>
        </w:rPr>
      </w:pPr>
      <w:r>
        <w:rPr>
          <w:rFonts w:ascii="Arial Narrow" w:hAnsi="Arial Narrow"/>
          <w:i/>
          <w:color w:val="365F91"/>
          <w:sz w:val="16"/>
          <w:szCs w:val="16"/>
        </w:rPr>
        <w:t>*Realizations</w:t>
      </w:r>
    </w:p>
    <w:p w:rsidR="00871CCF" w:rsidRPr="00386F4B" w:rsidRDefault="00871CCF" w:rsidP="00871CCF">
      <w:pPr>
        <w:jc w:val="both"/>
        <w:rPr>
          <w:rFonts w:ascii="Arial Narrow" w:hAnsi="Arial Narrow"/>
          <w:i/>
          <w:color w:val="365F91"/>
          <w:sz w:val="16"/>
          <w:szCs w:val="16"/>
        </w:rPr>
      </w:pPr>
      <w:r>
        <w:rPr>
          <w:rFonts w:ascii="Arial Narrow" w:hAnsi="Arial Narrow"/>
          <w:i/>
          <w:color w:val="365F91"/>
          <w:sz w:val="16"/>
          <w:szCs w:val="16"/>
        </w:rPr>
        <w:t>Source: NCSP, MPF</w:t>
      </w:r>
    </w:p>
    <w:p w:rsidR="00871CCF" w:rsidRPr="00BC7810" w:rsidRDefault="00871CCF" w:rsidP="00871CCF">
      <w:pPr>
        <w:pStyle w:val="Style35001908"/>
        <w:keepNext/>
        <w:widowControl/>
        <w:rPr>
          <w:rFonts w:ascii="Calibri" w:hAnsi="Calibri"/>
          <w:sz w:val="12"/>
          <w:lang w:val="ro-RO"/>
        </w:rPr>
      </w:pPr>
    </w:p>
    <w:p w:rsidR="00871CCF" w:rsidRDefault="00871CCF" w:rsidP="00871CCF">
      <w:pPr>
        <w:pStyle w:val="Style35001908"/>
        <w:keepNext/>
        <w:widowControl/>
        <w:rPr>
          <w:rFonts w:ascii="Calibri" w:hAnsi="Calibri"/>
          <w:sz w:val="22"/>
        </w:rPr>
      </w:pPr>
      <w:r>
        <w:rPr>
          <w:rFonts w:ascii="Calibri" w:hAnsi="Calibri"/>
          <w:sz w:val="22"/>
        </w:rPr>
        <w:t xml:space="preserve">At the same time, it is presented </w:t>
      </w:r>
      <w:r>
        <w:rPr>
          <w:rFonts w:ascii="Calibri" w:hAnsi="Calibri"/>
          <w:b/>
          <w:i/>
          <w:color w:val="365F91"/>
          <w:sz w:val="22"/>
        </w:rPr>
        <w:t xml:space="preserve">the comparative consolidated situation of revenues, expenditures and the deficit of the general consolidated budget, </w:t>
      </w:r>
      <w:r>
        <w:rPr>
          <w:rFonts w:ascii="Calibri" w:hAnsi="Calibri"/>
          <w:color w:val="000000"/>
          <w:sz w:val="22"/>
        </w:rPr>
        <w:t xml:space="preserve">corresponding to the </w:t>
      </w:r>
      <w:r>
        <w:rPr>
          <w:rFonts w:ascii="Calibri" w:hAnsi="Calibri"/>
          <w:b/>
          <w:i/>
          <w:color w:val="365F91"/>
          <w:sz w:val="22"/>
        </w:rPr>
        <w:t xml:space="preserve">Fiscal and budgetary strategy for 2018-2020 </w:t>
      </w:r>
      <w:r>
        <w:rPr>
          <w:rFonts w:ascii="Calibri" w:hAnsi="Calibri"/>
          <w:sz w:val="22"/>
        </w:rPr>
        <w:t>and</w:t>
      </w:r>
      <w:r>
        <w:rPr>
          <w:rFonts w:ascii="Calibri" w:hAnsi="Calibri"/>
          <w:b/>
          <w:i/>
          <w:color w:val="365F91"/>
          <w:sz w:val="22"/>
        </w:rPr>
        <w:t xml:space="preserve"> the Fiscal and budgetary strategy for 2019-2021</w:t>
      </w:r>
      <w:r>
        <w:rPr>
          <w:rFonts w:ascii="Calibri" w:hAnsi="Calibri"/>
          <w:sz w:val="22"/>
        </w:rPr>
        <w:t>.</w:t>
      </w:r>
    </w:p>
    <w:p w:rsidR="00CE6447" w:rsidRDefault="00CE6447" w:rsidP="004040C6">
      <w:pPr>
        <w:pStyle w:val="Style35001908"/>
        <w:rPr>
          <w:rFonts w:ascii="Calibri" w:hAnsi="Calibri" w:cs="Arial"/>
          <w:b/>
          <w:color w:val="000080"/>
          <w:shd w:val="clear" w:color="auto" w:fill="99CCFF"/>
          <w:lang w:val="ro-RO"/>
        </w:rPr>
      </w:pPr>
    </w:p>
    <w:p w:rsidR="000058BD" w:rsidRPr="00C86702" w:rsidRDefault="00CB19C5" w:rsidP="004040C6">
      <w:pPr>
        <w:pStyle w:val="Style35001908"/>
        <w:rPr>
          <w:rFonts w:ascii="Calibri" w:hAnsi="Calibri" w:cs="Arial"/>
          <w:b/>
          <w:color w:val="000080"/>
          <w:shd w:val="clear" w:color="auto" w:fill="99CCFF"/>
        </w:rPr>
      </w:pPr>
      <w:r>
        <w:rPr>
          <w:rFonts w:ascii="Calibri" w:hAnsi="Calibri"/>
          <w:b/>
          <w:color w:val="000080"/>
          <w:shd w:val="clear" w:color="auto" w:fill="99CCFF"/>
        </w:rPr>
        <w:t>4.6 Public policies</w:t>
      </w:r>
    </w:p>
    <w:p w:rsidR="000058BD" w:rsidRPr="00C86702" w:rsidRDefault="000058BD" w:rsidP="000058BD">
      <w:pPr>
        <w:ind w:left="1080"/>
        <w:jc w:val="both"/>
        <w:rPr>
          <w:rFonts w:ascii="Calibri" w:hAnsi="Calibri" w:cs="Arial"/>
          <w:color w:val="003366"/>
          <w:lang w:val="ro-RO"/>
        </w:rPr>
      </w:pPr>
    </w:p>
    <w:p w:rsidR="000058BD" w:rsidRPr="00C86702" w:rsidRDefault="000058BD" w:rsidP="000058BD">
      <w:pPr>
        <w:shd w:val="clear" w:color="auto" w:fill="99CCFF"/>
        <w:ind w:right="-2"/>
        <w:rPr>
          <w:rFonts w:ascii="Calibri" w:hAnsi="Calibri" w:cs="Arial Narrow"/>
          <w:b/>
          <w:color w:val="000080"/>
        </w:rPr>
      </w:pPr>
      <w:r>
        <w:rPr>
          <w:rFonts w:ascii="Calibri" w:hAnsi="Calibri"/>
          <w:b/>
          <w:color w:val="000080"/>
        </w:rPr>
        <w:t>Salary policy</w:t>
      </w:r>
    </w:p>
    <w:p w:rsidR="008374DD" w:rsidRPr="008374DD" w:rsidRDefault="008374DD" w:rsidP="008374DD">
      <w:pPr>
        <w:ind w:firstLine="708"/>
        <w:jc w:val="both"/>
        <w:rPr>
          <w:rFonts w:ascii="Calibri" w:eastAsia="Calibri" w:hAnsi="Calibri" w:cs="Arial"/>
        </w:rPr>
      </w:pPr>
      <w:r>
        <w:rPr>
          <w:rFonts w:ascii="Calibri" w:hAnsi="Calibri"/>
          <w:b/>
        </w:rPr>
        <w:t>For 2019</w:t>
      </w:r>
      <w:r>
        <w:rPr>
          <w:rFonts w:ascii="Calibri" w:hAnsi="Calibri"/>
        </w:rPr>
        <w:t xml:space="preserve"> it is considered a continuance of the application in stages of Framework law no. 153/2017 on the salaries of personnel paid from public funds, namely the increase as of January 1, 2019 of the basic salaries by 1/4 of the difference between the basic salary provided by the law for 2022 and that of December 2018.</w:t>
      </w:r>
    </w:p>
    <w:p w:rsidR="008374DD" w:rsidRPr="008374DD" w:rsidRDefault="008374DD" w:rsidP="008374DD">
      <w:pPr>
        <w:ind w:firstLine="708"/>
        <w:jc w:val="both"/>
        <w:rPr>
          <w:rFonts w:ascii="Calibri" w:eastAsia="Calibri" w:hAnsi="Calibri" w:cs="Arial"/>
        </w:rPr>
      </w:pPr>
      <w:r>
        <w:rPr>
          <w:rFonts w:ascii="Calibri" w:hAnsi="Calibri"/>
        </w:rPr>
        <w:t xml:space="preserve">Also, as of January 1, 2019, </w:t>
      </w:r>
      <w:r>
        <w:rPr>
          <w:rFonts w:ascii="Calibri" w:hAnsi="Calibri"/>
          <w:b/>
        </w:rPr>
        <w:t>the minimum gross basic salary guaranteed at country level</w:t>
      </w:r>
      <w:r>
        <w:rPr>
          <w:rFonts w:ascii="Calibri" w:hAnsi="Calibri"/>
        </w:rPr>
        <w:t xml:space="preserve"> is of Lei 2,080 per month, for normal working hours of 167.333 hours per month, on average, representing Lei 12.43/hour.  For the personnel employed on positions for which higher education is provided, with a work seniority of at least one year in the field of higher education, the minimum gross basic salary guaranteed is of Lei 2,350 per month.</w:t>
      </w:r>
    </w:p>
    <w:p w:rsidR="008374DD" w:rsidRPr="008374DD" w:rsidRDefault="008374DD" w:rsidP="008374DD">
      <w:pPr>
        <w:ind w:firstLine="708"/>
        <w:jc w:val="both"/>
        <w:rPr>
          <w:rFonts w:ascii="Calibri" w:eastAsia="Calibri" w:hAnsi="Calibri" w:cs="Arial"/>
        </w:rPr>
      </w:pPr>
      <w:r>
        <w:rPr>
          <w:rFonts w:ascii="Calibri" w:hAnsi="Calibri"/>
        </w:rPr>
        <w:t>As of January 2019, the personnel from the budgetary sector benefitting of meal allowance, as regulated by art. 18 in Framework law no. 153/2017 on the salaries of personnel paid from public funds, as subsequently amended and supplemented.</w:t>
      </w:r>
    </w:p>
    <w:p w:rsidR="008374DD" w:rsidRPr="008374DD" w:rsidRDefault="008374DD" w:rsidP="008374DD">
      <w:pPr>
        <w:ind w:firstLine="708"/>
        <w:jc w:val="both"/>
        <w:rPr>
          <w:rFonts w:ascii="Calibri" w:eastAsia="Calibri" w:hAnsi="Calibri" w:cs="Arial"/>
        </w:rPr>
      </w:pPr>
      <w:r>
        <w:rPr>
          <w:rFonts w:ascii="Calibri" w:hAnsi="Calibri"/>
        </w:rPr>
        <w:t>With regard to bonuses, allowances, compensations, as well as the other elements of the salary system which are included, under the law, in the gross monthly salary, the amount thereof will be maintained at least at the level of the one awarded for December 2018, to the extent the personnel occupies the same position and operates under the same conditions.</w:t>
      </w:r>
    </w:p>
    <w:p w:rsidR="008374DD" w:rsidRPr="008374DD" w:rsidRDefault="008374DD" w:rsidP="008374DD">
      <w:pPr>
        <w:ind w:firstLine="708"/>
        <w:jc w:val="both"/>
        <w:rPr>
          <w:rFonts w:ascii="Calibri" w:eastAsia="Calibri" w:hAnsi="Calibri" w:cs="Arial"/>
        </w:rPr>
      </w:pPr>
      <w:r>
        <w:rPr>
          <w:rFonts w:ascii="Calibri" w:hAnsi="Calibri"/>
        </w:rPr>
        <w:t>When establishing the personnel expenditures for 2019 it was considered the continued application of some of the measures approved in previous years, as follows:</w:t>
      </w:r>
    </w:p>
    <w:p w:rsidR="008374DD" w:rsidRPr="008374DD" w:rsidRDefault="008374DD" w:rsidP="00021698">
      <w:pPr>
        <w:numPr>
          <w:ilvl w:val="0"/>
          <w:numId w:val="101"/>
        </w:numPr>
        <w:jc w:val="both"/>
        <w:rPr>
          <w:rFonts w:ascii="Calibri" w:eastAsia="Calibri" w:hAnsi="Calibri" w:cs="Arial"/>
        </w:rPr>
      </w:pPr>
      <w:r>
        <w:rPr>
          <w:rFonts w:ascii="Calibri" w:hAnsi="Calibri"/>
        </w:rPr>
        <w:t>the award of holiday vouchers within the limit of Lei 1450/employee;</w:t>
      </w:r>
    </w:p>
    <w:p w:rsidR="008374DD" w:rsidRPr="008374DD" w:rsidRDefault="008374DD" w:rsidP="00021698">
      <w:pPr>
        <w:numPr>
          <w:ilvl w:val="0"/>
          <w:numId w:val="101"/>
        </w:numPr>
        <w:jc w:val="both"/>
        <w:rPr>
          <w:rFonts w:ascii="Calibri" w:eastAsia="Calibri" w:hAnsi="Calibri" w:cs="Arial"/>
        </w:rPr>
      </w:pPr>
      <w:r>
        <w:rPr>
          <w:rFonts w:ascii="Calibri" w:hAnsi="Calibri"/>
        </w:rPr>
        <w:t>additional work carried out over the normal working hours by the personnel from the public sector, as well as the work carried out on days of weekly rest, on legal holidays and the other days which, in accordance with the regulations in force, are free days, within the normal shift, will be compensated only by corresponding free time;</w:t>
      </w:r>
    </w:p>
    <w:p w:rsidR="008374DD" w:rsidRPr="008374DD" w:rsidRDefault="008374DD" w:rsidP="00021698">
      <w:pPr>
        <w:numPr>
          <w:ilvl w:val="0"/>
          <w:numId w:val="101"/>
        </w:numPr>
        <w:jc w:val="both"/>
        <w:rPr>
          <w:rFonts w:ascii="Calibri" w:eastAsia="Calibri" w:hAnsi="Calibri" w:cs="Arial"/>
        </w:rPr>
      </w:pPr>
      <w:r>
        <w:rPr>
          <w:rFonts w:ascii="Calibri" w:hAnsi="Calibri"/>
        </w:rPr>
        <w:t>no award of value tickets (except for nursery tickets) and prizes.</w:t>
      </w:r>
    </w:p>
    <w:p w:rsidR="008374DD" w:rsidRPr="008374DD" w:rsidRDefault="008374DD" w:rsidP="008374DD">
      <w:pPr>
        <w:ind w:left="1068"/>
        <w:jc w:val="both"/>
        <w:rPr>
          <w:rFonts w:ascii="Calibri" w:eastAsia="Calibri" w:hAnsi="Calibri" w:cs="Arial"/>
          <w:lang w:val="ro-RO"/>
        </w:rPr>
      </w:pPr>
    </w:p>
    <w:p w:rsidR="008374DD" w:rsidRPr="008374DD" w:rsidRDefault="008374DD" w:rsidP="008374DD">
      <w:pPr>
        <w:jc w:val="both"/>
        <w:rPr>
          <w:rFonts w:ascii="Calibri" w:eastAsia="Calibri" w:hAnsi="Calibri" w:cs="Arial"/>
        </w:rPr>
      </w:pPr>
      <w:r>
        <w:rPr>
          <w:rFonts w:ascii="Calibri" w:hAnsi="Calibri"/>
        </w:rPr>
        <w:t>Under these circumstances, the personnel expenditures of the general consolidated budget for 2019 are of Lei 102.1 billion (10% of GDP), i.e. 16.0 billion Lei more than the personnel expenditures of 2018.</w:t>
      </w:r>
    </w:p>
    <w:p w:rsidR="007C15A6" w:rsidRPr="00516DB8" w:rsidRDefault="007C15A6" w:rsidP="00516DB8">
      <w:pPr>
        <w:rPr>
          <w:rFonts w:ascii="Calibri" w:hAnsi="Calibri" w:cs="Arial"/>
          <w:lang w:val="ro-RO"/>
        </w:rPr>
      </w:pPr>
    </w:p>
    <w:p w:rsidR="00516DB8" w:rsidRPr="003964D3" w:rsidRDefault="00516DB8" w:rsidP="00516DB8">
      <w:pPr>
        <w:shd w:val="clear" w:color="auto" w:fill="99CCFF"/>
        <w:rPr>
          <w:rFonts w:ascii="Calibri" w:eastAsia="Arial Narrow" w:hAnsi="Calibri" w:cs="Arial Narrow"/>
          <w:color w:val="333399"/>
        </w:rPr>
      </w:pPr>
      <w:r>
        <w:rPr>
          <w:rFonts w:ascii="Calibri" w:hAnsi="Calibri"/>
          <w:b/>
          <w:color w:val="000080"/>
        </w:rPr>
        <w:t>Policy in the field of labor and social justice</w:t>
      </w:r>
    </w:p>
    <w:p w:rsidR="003904E0" w:rsidRPr="003964D3" w:rsidRDefault="003904E0" w:rsidP="003904E0">
      <w:pPr>
        <w:rPr>
          <w:rFonts w:ascii="Calibri" w:eastAsia="Arial Narrow" w:hAnsi="Calibri" w:cs="Arial Narrow"/>
          <w:lang w:val="ro-RO"/>
        </w:rPr>
      </w:pPr>
    </w:p>
    <w:p w:rsidR="00D254D3" w:rsidRPr="003964D3" w:rsidRDefault="00D254D3" w:rsidP="00D254D3">
      <w:pPr>
        <w:ind w:firstLine="708"/>
        <w:rPr>
          <w:rFonts w:ascii="Calibri" w:hAnsi="Calibri" w:cs="Arial"/>
        </w:rPr>
      </w:pPr>
      <w:r>
        <w:rPr>
          <w:rFonts w:ascii="Calibri" w:hAnsi="Calibri"/>
        </w:rPr>
        <w:t>The vision of the Romanian Government for the labor and social justice sector, which is mentioned in the Government Program for 2017-2020, is:</w:t>
      </w:r>
    </w:p>
    <w:p w:rsidR="00D254D3" w:rsidRPr="003964D3" w:rsidRDefault="00D254D3" w:rsidP="00D254D3">
      <w:pPr>
        <w:ind w:firstLine="708"/>
        <w:rPr>
          <w:rFonts w:ascii="Calibri" w:hAnsi="Calibri" w:cs="Arial"/>
        </w:rPr>
      </w:pPr>
      <w:r>
        <w:rPr>
          <w:rFonts w:ascii="Calibri" w:hAnsi="Calibri"/>
          <w:i/>
        </w:rPr>
        <w:t>“Imposing a standard of living as high as possible for all citizens must be Romania’s fundamental objective. We will continue our actions to create a more inclusive labor market and reduce inequalities through promotion of a coherent and realistic public policy, which would lead to a more performing, dynamic and flexible labor market, which will ensure access to the majority of citizens to quality jobs, according to their skills and abilities, to decent revenues and without discrimination”.</w:t>
      </w:r>
    </w:p>
    <w:p w:rsidR="00D254D3" w:rsidRPr="0037032F" w:rsidRDefault="00D254D3" w:rsidP="00D254D3">
      <w:pPr>
        <w:ind w:firstLine="708"/>
        <w:rPr>
          <w:rFonts w:ascii="Calibri" w:hAnsi="Calibri" w:cs="Arial"/>
          <w:b/>
          <w:i/>
          <w:u w:val="single"/>
        </w:rPr>
      </w:pPr>
      <w:r>
        <w:rPr>
          <w:rFonts w:ascii="Calibri" w:hAnsi="Calibri"/>
          <w:b/>
          <w:u w:val="single"/>
        </w:rPr>
        <w:t xml:space="preserve">The main strategic objectives targeted in the field of labor and social justice are: </w:t>
      </w:r>
    </w:p>
    <w:p w:rsidR="003904E0" w:rsidRDefault="003904E0" w:rsidP="003904E0">
      <w:pPr>
        <w:rPr>
          <w:rFonts w:ascii="Calibri" w:hAnsi="Calibri" w:cs="Arial Narrow"/>
          <w:color w:val="333399"/>
        </w:rPr>
      </w:pPr>
    </w:p>
    <w:p w:rsidR="00D254D3" w:rsidRDefault="00D254D3" w:rsidP="003904E0">
      <w:pPr>
        <w:rPr>
          <w:rFonts w:ascii="Calibri" w:hAnsi="Calibri" w:cs="Arial Narrow"/>
          <w:color w:val="333399"/>
        </w:rPr>
      </w:pPr>
    </w:p>
    <w:p w:rsidR="003904E0" w:rsidRPr="001E103D" w:rsidRDefault="003904E0" w:rsidP="003904E0">
      <w:pPr>
        <w:keepLines/>
        <w:widowControl w:val="0"/>
        <w:shd w:val="clear" w:color="auto" w:fill="99CCFF"/>
        <w:spacing w:line="320" w:lineRule="exact"/>
        <w:jc w:val="both"/>
        <w:rPr>
          <w:rFonts w:ascii="Calibri" w:hAnsi="Calibri" w:cs="Arial Narrow"/>
          <w:b/>
          <w:color w:val="000080"/>
        </w:rPr>
      </w:pPr>
      <w:r>
        <w:rPr>
          <w:rFonts w:ascii="Calibri" w:hAnsi="Calibri"/>
          <w:b/>
          <w:color w:val="000080"/>
        </w:rPr>
        <w:t>Employment policy</w:t>
      </w:r>
    </w:p>
    <w:p w:rsidR="00D254D3" w:rsidRDefault="00D254D3" w:rsidP="00D254D3">
      <w:pPr>
        <w:rPr>
          <w:rFonts w:ascii="Calibri" w:hAnsi="Calibri" w:cs="Arial Narrow"/>
          <w:color w:val="333399"/>
        </w:rPr>
      </w:pPr>
    </w:p>
    <w:tbl>
      <w:tblPr>
        <w:tblW w:w="9918" w:type="dxa"/>
        <w:tblInd w:w="222" w:type="dxa"/>
        <w:tblLayout w:type="fixed"/>
        <w:tblLook w:val="0000" w:firstRow="0" w:lastRow="0" w:firstColumn="0" w:lastColumn="0" w:noHBand="0" w:noVBand="0"/>
      </w:tblPr>
      <w:tblGrid>
        <w:gridCol w:w="9918"/>
      </w:tblGrid>
      <w:tr w:rsidR="00D254D3" w:rsidRPr="003A1E71" w:rsidTr="00DB7106">
        <w:tc>
          <w:tcPr>
            <w:tcW w:w="9918" w:type="dxa"/>
            <w:shd w:val="clear" w:color="auto" w:fill="auto"/>
            <w:vAlign w:val="center"/>
          </w:tcPr>
          <w:p w:rsidR="00D254D3" w:rsidRDefault="00D254D3" w:rsidP="00DB7106">
            <w:pPr>
              <w:ind w:firstLine="708"/>
              <w:jc w:val="both"/>
              <w:rPr>
                <w:rFonts w:ascii="Calibri" w:hAnsi="Calibri" w:cs="Arial"/>
                <w:b/>
              </w:rPr>
            </w:pPr>
            <w:r>
              <w:rPr>
                <w:rFonts w:ascii="Calibri" w:hAnsi="Calibri"/>
                <w:b/>
              </w:rPr>
              <w:t>I Increasing the employment rate for people aged 20 to 64 years, on an inclusive labor market, which supports the growth of a competitive economy and which leads to the reduction of labor poverty and informal employment.</w:t>
            </w:r>
          </w:p>
          <w:p w:rsidR="00D254D3" w:rsidRPr="003964D3" w:rsidRDefault="00D254D3" w:rsidP="00DB7106">
            <w:pPr>
              <w:ind w:firstLine="708"/>
              <w:jc w:val="both"/>
              <w:rPr>
                <w:rFonts w:ascii="Calibri" w:hAnsi="Calibri" w:cs="Arial"/>
                <w:b/>
              </w:rPr>
            </w:pPr>
            <w:r>
              <w:rPr>
                <w:rFonts w:ascii="Calibri" w:hAnsi="Calibri"/>
                <w:b/>
              </w:rPr>
              <w:t>1.1:</w:t>
            </w:r>
            <w:r>
              <w:rPr>
                <w:rFonts w:ascii="Calibri" w:hAnsi="Calibri"/>
              </w:rPr>
              <w:t xml:space="preserve"> Employment for all </w:t>
            </w:r>
          </w:p>
          <w:p w:rsidR="00D254D3" w:rsidRPr="003964D3" w:rsidRDefault="00D254D3" w:rsidP="00DB7106">
            <w:pPr>
              <w:ind w:firstLine="708"/>
              <w:jc w:val="both"/>
              <w:rPr>
                <w:rFonts w:ascii="Calibri" w:hAnsi="Calibri" w:cs="Arial"/>
                <w:b/>
              </w:rPr>
            </w:pPr>
            <w:r>
              <w:rPr>
                <w:rFonts w:ascii="Calibri" w:hAnsi="Calibri"/>
                <w:b/>
              </w:rPr>
              <w:t>1.2:</w:t>
            </w:r>
            <w:r>
              <w:rPr>
                <w:rFonts w:ascii="Calibri" w:hAnsi="Calibri"/>
              </w:rPr>
              <w:t xml:space="preserve"> Passive measures for the people looking for a job</w:t>
            </w:r>
          </w:p>
          <w:p w:rsidR="00D254D3" w:rsidRPr="003964D3" w:rsidRDefault="00D254D3" w:rsidP="00DB7106">
            <w:pPr>
              <w:ind w:firstLine="708"/>
              <w:jc w:val="both"/>
              <w:rPr>
                <w:rFonts w:ascii="Calibri" w:hAnsi="Calibri" w:cs="Arial"/>
                <w:b/>
              </w:rPr>
            </w:pPr>
            <w:r>
              <w:rPr>
                <w:rFonts w:ascii="Calibri" w:hAnsi="Calibri"/>
                <w:b/>
              </w:rPr>
              <w:t>1.3</w:t>
            </w:r>
            <w:r>
              <w:rPr>
                <w:rFonts w:ascii="Calibri" w:hAnsi="Calibri"/>
              </w:rPr>
              <w:t>: Labor conditions</w:t>
            </w:r>
          </w:p>
          <w:p w:rsidR="00D254D3" w:rsidRPr="003964D3" w:rsidRDefault="00D254D3" w:rsidP="00DB7106">
            <w:pPr>
              <w:ind w:firstLine="708"/>
              <w:jc w:val="both"/>
              <w:rPr>
                <w:rFonts w:ascii="Calibri" w:hAnsi="Calibri" w:cs="Arial"/>
                <w:b/>
              </w:rPr>
            </w:pPr>
            <w:r>
              <w:rPr>
                <w:rFonts w:ascii="Calibri" w:hAnsi="Calibri"/>
                <w:b/>
              </w:rPr>
              <w:t>1.4:</w:t>
            </w:r>
            <w:r>
              <w:rPr>
                <w:rFonts w:ascii="Calibri" w:hAnsi="Calibri"/>
              </w:rPr>
              <w:t xml:space="preserve"> Insurance of labor accidents and professional diseases</w:t>
            </w:r>
          </w:p>
          <w:p w:rsidR="00D254D3" w:rsidRPr="003964D3" w:rsidRDefault="00D254D3" w:rsidP="00DB7106">
            <w:pPr>
              <w:ind w:firstLine="708"/>
              <w:jc w:val="both"/>
              <w:rPr>
                <w:rFonts w:ascii="Calibri" w:hAnsi="Calibri" w:cs="Arial"/>
              </w:rPr>
            </w:pPr>
            <w:r>
              <w:rPr>
                <w:rFonts w:ascii="Calibri" w:hAnsi="Calibri"/>
                <w:b/>
              </w:rPr>
              <w:t>1.5.</w:t>
            </w:r>
            <w:r>
              <w:rPr>
                <w:rFonts w:ascii="Calibri" w:hAnsi="Calibri"/>
              </w:rPr>
              <w:t xml:space="preserve"> Policy in the field of salaries</w:t>
            </w:r>
          </w:p>
          <w:p w:rsidR="00D254D3" w:rsidRPr="003964D3" w:rsidRDefault="00D254D3" w:rsidP="00DB7106">
            <w:pPr>
              <w:ind w:firstLine="708"/>
              <w:jc w:val="both"/>
              <w:rPr>
                <w:rFonts w:ascii="Calibri" w:hAnsi="Calibri" w:cs="Arial"/>
                <w:b/>
                <w:lang w:val="fr-FR"/>
              </w:rPr>
            </w:pPr>
          </w:p>
          <w:p w:rsidR="00D254D3" w:rsidRPr="00F04A2A" w:rsidRDefault="00D254D3" w:rsidP="00DB7106">
            <w:pPr>
              <w:ind w:firstLine="708"/>
              <w:jc w:val="both"/>
              <w:rPr>
                <w:rFonts w:ascii="Calibri" w:hAnsi="Calibri" w:cs="Arial"/>
                <w:b/>
              </w:rPr>
            </w:pPr>
            <w:r>
              <w:rPr>
                <w:rFonts w:ascii="Calibri" w:hAnsi="Calibri"/>
                <w:b/>
              </w:rPr>
              <w:t>Impact:</w:t>
            </w:r>
            <w:r>
              <w:rPr>
                <w:rFonts w:ascii="Calibri" w:hAnsi="Calibri"/>
              </w:rPr>
              <w:t xml:space="preserve"> Employment rate of people aged 20 to 64 years. Target for 2020: 70%; labor poverty rate. </w:t>
            </w:r>
          </w:p>
          <w:p w:rsidR="00D254D3" w:rsidRPr="00750FD8" w:rsidRDefault="00D254D3" w:rsidP="00DB7106">
            <w:pPr>
              <w:tabs>
                <w:tab w:val="left" w:pos="1515"/>
              </w:tabs>
              <w:jc w:val="both"/>
              <w:rPr>
                <w:rFonts w:ascii="Calibri" w:hAnsi="Calibri" w:cs="Arial"/>
              </w:rPr>
            </w:pPr>
          </w:p>
        </w:tc>
      </w:tr>
      <w:tr w:rsidR="00D254D3" w:rsidRPr="003A1E71" w:rsidTr="00DB7106">
        <w:tc>
          <w:tcPr>
            <w:tcW w:w="9918" w:type="dxa"/>
            <w:shd w:val="clear" w:color="auto" w:fill="auto"/>
            <w:vAlign w:val="center"/>
          </w:tcPr>
          <w:p w:rsidR="00D254D3" w:rsidRPr="003964D3" w:rsidRDefault="00D254D3" w:rsidP="00DB7106">
            <w:pPr>
              <w:ind w:firstLine="663"/>
              <w:rPr>
                <w:rFonts w:ascii="Calibri" w:hAnsi="Calibri"/>
                <w:b/>
                <w:bCs/>
              </w:rPr>
            </w:pPr>
            <w:r>
              <w:rPr>
                <w:rFonts w:ascii="Calibri" w:hAnsi="Calibri"/>
                <w:b/>
                <w:bCs/>
              </w:rPr>
              <w:t xml:space="preserve">Results sought: </w:t>
            </w:r>
          </w:p>
          <w:p w:rsidR="00D254D3" w:rsidRPr="003964D3" w:rsidRDefault="00D254D3" w:rsidP="00DB7106">
            <w:pPr>
              <w:ind w:firstLine="663"/>
              <w:jc w:val="both"/>
              <w:rPr>
                <w:rFonts w:ascii="Calibri" w:hAnsi="Calibri"/>
                <w:b/>
                <w:bCs/>
              </w:rPr>
            </w:pPr>
            <w:r>
              <w:rPr>
                <w:rFonts w:ascii="Calibri" w:hAnsi="Calibri"/>
                <w:b/>
                <w:bCs/>
              </w:rPr>
              <w:t>(1.1.1)</w:t>
            </w:r>
            <w:r>
              <w:rPr>
                <w:rFonts w:ascii="Calibri" w:hAnsi="Calibri"/>
                <w:bCs/>
              </w:rPr>
              <w:t xml:space="preserve"> Facilitating the integration of NEETs youth through specific measures and programs: </w:t>
            </w:r>
            <w:r>
              <w:rPr>
                <w:rFonts w:ascii="Calibri" w:hAnsi="Calibri"/>
                <w:bCs/>
                <w:i/>
                <w:iCs/>
              </w:rPr>
              <w:t xml:space="preserve">Rate of youth younger than 25 who are employed, participate to a professional training class, conclude an agreement of apprenticeship at work or an internship agreement. </w:t>
            </w:r>
          </w:p>
          <w:p w:rsidR="00D254D3" w:rsidRPr="003964D3" w:rsidRDefault="00D254D3" w:rsidP="00DB7106">
            <w:pPr>
              <w:ind w:firstLine="663"/>
              <w:jc w:val="both"/>
              <w:rPr>
                <w:rFonts w:ascii="Calibri" w:hAnsi="Calibri"/>
                <w:b/>
                <w:bCs/>
              </w:rPr>
            </w:pPr>
            <w:r>
              <w:rPr>
                <w:rFonts w:ascii="Calibri" w:hAnsi="Calibri"/>
                <w:b/>
                <w:bCs/>
              </w:rPr>
              <w:t>(1.1.2)</w:t>
            </w:r>
            <w:r>
              <w:rPr>
                <w:rFonts w:ascii="Calibri" w:hAnsi="Calibri"/>
                <w:bCs/>
              </w:rPr>
              <w:t xml:space="preserve"> Increasing employment for people registered with ANOFM and preventing unemployment: </w:t>
            </w:r>
            <w:r>
              <w:rPr>
                <w:rFonts w:ascii="Calibri" w:hAnsi="Calibri"/>
                <w:bCs/>
                <w:i/>
                <w:iCs/>
              </w:rPr>
              <w:t xml:space="preserve">The degree of occupation of vacant jobs declared by the employers and registered with ANOFM. Target for 2020: 75%. The degree of employment of all people looking for a job who are in the records of ANOFM. </w:t>
            </w:r>
          </w:p>
          <w:p w:rsidR="00D254D3" w:rsidRPr="003964D3" w:rsidRDefault="00D254D3" w:rsidP="00DB7106">
            <w:pPr>
              <w:ind w:firstLine="663"/>
              <w:jc w:val="both"/>
              <w:rPr>
                <w:rFonts w:ascii="Calibri" w:hAnsi="Calibri"/>
                <w:b/>
                <w:bCs/>
              </w:rPr>
            </w:pPr>
            <w:r>
              <w:rPr>
                <w:rFonts w:ascii="Calibri" w:hAnsi="Calibri"/>
                <w:b/>
                <w:bCs/>
              </w:rPr>
              <w:t>(1.1.3)</w:t>
            </w:r>
            <w:r>
              <w:rPr>
                <w:rFonts w:ascii="Calibri" w:hAnsi="Calibri"/>
                <w:bCs/>
              </w:rPr>
              <w:t xml:space="preserve"> Facilitating the transition from the educational system to the labor market:</w:t>
            </w:r>
            <w:r>
              <w:rPr>
                <w:rFonts w:ascii="Calibri" w:hAnsi="Calibri"/>
                <w:bCs/>
                <w:i/>
                <w:iCs/>
              </w:rPr>
              <w:t xml:space="preserve"> The share of people who conclude an apprenticeship agreement in the total people looking for a job from the records of ANOFM; the share of graduates of higher education who conclude an internship agreement in the total number of graduates of higher education from the records of ANOFM in the reference year.</w:t>
            </w:r>
          </w:p>
          <w:p w:rsidR="00D254D3" w:rsidRPr="003964D3" w:rsidRDefault="00D254D3" w:rsidP="00DB7106">
            <w:pPr>
              <w:ind w:firstLine="663"/>
              <w:jc w:val="both"/>
              <w:rPr>
                <w:rFonts w:ascii="Calibri" w:hAnsi="Calibri"/>
                <w:b/>
                <w:bCs/>
              </w:rPr>
            </w:pPr>
            <w:r>
              <w:rPr>
                <w:rFonts w:ascii="Calibri" w:hAnsi="Calibri"/>
                <w:b/>
                <w:bCs/>
              </w:rPr>
              <w:t>(1.1.4)</w:t>
            </w:r>
            <w:r>
              <w:rPr>
                <w:rFonts w:ascii="Calibri" w:hAnsi="Calibri"/>
                <w:bCs/>
              </w:rPr>
              <w:t xml:space="preserve"> Improving the skills level of the people registered with ANOFM through professional training programs:  </w:t>
            </w:r>
            <w:r>
              <w:rPr>
                <w:rFonts w:ascii="Calibri" w:hAnsi="Calibri"/>
                <w:bCs/>
                <w:i/>
                <w:iCs/>
              </w:rPr>
              <w:t xml:space="preserve">Share of people employed 6 months after passing the graduation exams in the total number of graduates of professional training programs organized by ANOFM; Target for 2020: 35%. Share of people employed 12 months after passing the graduation exams in the total number of graduates of professional training programs organized by ANOFM. </w:t>
            </w:r>
          </w:p>
          <w:p w:rsidR="00D254D3" w:rsidRPr="003964D3" w:rsidRDefault="00D254D3" w:rsidP="00DB7106">
            <w:pPr>
              <w:ind w:firstLine="663"/>
              <w:jc w:val="both"/>
              <w:rPr>
                <w:rFonts w:ascii="Calibri" w:hAnsi="Calibri"/>
                <w:b/>
                <w:bCs/>
              </w:rPr>
            </w:pPr>
            <w:r>
              <w:rPr>
                <w:rFonts w:ascii="Calibri" w:hAnsi="Calibri"/>
                <w:b/>
                <w:bCs/>
              </w:rPr>
              <w:t>(1.1.5)</w:t>
            </w:r>
            <w:r>
              <w:rPr>
                <w:rFonts w:ascii="Calibri" w:hAnsi="Calibri"/>
                <w:bCs/>
              </w:rPr>
              <w:t xml:space="preserve"> Unemployment prevention and job consolidation: </w:t>
            </w:r>
            <w:r>
              <w:rPr>
                <w:rFonts w:ascii="Calibri" w:hAnsi="Calibri"/>
                <w:bCs/>
                <w:i/>
                <w:iCs/>
              </w:rPr>
              <w:t xml:space="preserve">The share of beneficiaries of pre-dismissal services of the total number of collectively dismissed people; Target for 2020: 20% Share of subsidies given to employers for professional training programs of their own employees in the total number of requests. </w:t>
            </w:r>
          </w:p>
          <w:p w:rsidR="00D254D3" w:rsidRPr="003964D3" w:rsidRDefault="00D254D3" w:rsidP="00DB7106">
            <w:pPr>
              <w:ind w:firstLine="663"/>
              <w:jc w:val="both"/>
              <w:rPr>
                <w:rFonts w:ascii="Calibri" w:hAnsi="Calibri"/>
                <w:b/>
                <w:bCs/>
              </w:rPr>
            </w:pPr>
            <w:r>
              <w:rPr>
                <w:rFonts w:ascii="Calibri" w:hAnsi="Calibri"/>
                <w:b/>
                <w:bCs/>
              </w:rPr>
              <w:t>(1.1.6)</w:t>
            </w:r>
            <w:r>
              <w:rPr>
                <w:rFonts w:ascii="Calibri" w:hAnsi="Calibri"/>
                <w:bCs/>
              </w:rPr>
              <w:t xml:space="preserve"> Stimulating employers in order to occupy vacancies:  </w:t>
            </w:r>
            <w:r>
              <w:rPr>
                <w:rFonts w:ascii="Calibri" w:hAnsi="Calibri"/>
                <w:bCs/>
                <w:i/>
                <w:iCs/>
              </w:rPr>
              <w:t xml:space="preserve">The share of people employed as a result of the measures of stimulation given to employees in the total number of people employed through the measures offered by ANOFM. </w:t>
            </w:r>
          </w:p>
          <w:p w:rsidR="00D254D3" w:rsidRPr="003964D3" w:rsidRDefault="00D254D3" w:rsidP="00DB7106">
            <w:pPr>
              <w:ind w:firstLine="663"/>
              <w:jc w:val="both"/>
              <w:rPr>
                <w:rFonts w:ascii="Calibri" w:hAnsi="Calibri"/>
                <w:b/>
                <w:bCs/>
                <w:lang w:val="fr-FR"/>
              </w:rPr>
            </w:pPr>
          </w:p>
          <w:p w:rsidR="00D254D3" w:rsidRPr="003964D3" w:rsidRDefault="00D254D3" w:rsidP="00DB7106">
            <w:pPr>
              <w:ind w:firstLine="663"/>
              <w:jc w:val="both"/>
              <w:rPr>
                <w:rFonts w:ascii="Calibri" w:hAnsi="Calibri"/>
                <w:bCs/>
                <w:i/>
                <w:iCs/>
              </w:rPr>
            </w:pPr>
            <w:r>
              <w:rPr>
                <w:rFonts w:ascii="Calibri" w:hAnsi="Calibri"/>
                <w:b/>
                <w:bCs/>
              </w:rPr>
              <w:t>(1.2.1)</w:t>
            </w:r>
            <w:r>
              <w:rPr>
                <w:rFonts w:ascii="Calibri" w:hAnsi="Calibri"/>
                <w:bCs/>
              </w:rPr>
              <w:t xml:space="preserve"> Ensuring protection of the people from the unemployment insurance system: </w:t>
            </w:r>
            <w:r>
              <w:rPr>
                <w:rFonts w:ascii="Calibri" w:hAnsi="Calibri"/>
                <w:bCs/>
                <w:i/>
                <w:iCs/>
              </w:rPr>
              <w:t>Rate of unemployed getting allowances in the total number of registered unemployed. Target for 2020: 20%</w:t>
            </w:r>
          </w:p>
          <w:p w:rsidR="00D254D3" w:rsidRPr="003964D3" w:rsidRDefault="00D254D3" w:rsidP="00DB7106">
            <w:pPr>
              <w:ind w:firstLine="663"/>
              <w:jc w:val="both"/>
              <w:rPr>
                <w:rFonts w:ascii="Calibri" w:hAnsi="Calibri"/>
                <w:b/>
                <w:bCs/>
                <w:lang w:val="fr-FR"/>
              </w:rPr>
            </w:pPr>
          </w:p>
          <w:p w:rsidR="00D254D3" w:rsidRPr="003964D3" w:rsidRDefault="00D254D3" w:rsidP="00DB7106">
            <w:pPr>
              <w:ind w:firstLine="663"/>
              <w:jc w:val="both"/>
              <w:rPr>
                <w:rFonts w:ascii="Calibri" w:hAnsi="Calibri"/>
                <w:b/>
                <w:bCs/>
              </w:rPr>
            </w:pPr>
            <w:r>
              <w:rPr>
                <w:rFonts w:ascii="Calibri" w:hAnsi="Calibri"/>
                <w:b/>
                <w:bCs/>
              </w:rPr>
              <w:t>(1.3.1)</w:t>
            </w:r>
            <w:r>
              <w:rPr>
                <w:rFonts w:ascii="Calibri" w:hAnsi="Calibri"/>
                <w:bCs/>
              </w:rPr>
              <w:t xml:space="preserve"> Reducing labor poverty and the asymmetry of the salary curve:  </w:t>
            </w:r>
            <w:r>
              <w:rPr>
                <w:rFonts w:ascii="Calibri" w:hAnsi="Calibri"/>
                <w:bCs/>
                <w:i/>
                <w:iCs/>
              </w:rPr>
              <w:t xml:space="preserve">Ratio between the minimum gross salary and the medium gross salary. </w:t>
            </w:r>
          </w:p>
          <w:p w:rsidR="00D254D3" w:rsidRPr="003964D3" w:rsidRDefault="00D254D3" w:rsidP="00DB7106">
            <w:pPr>
              <w:ind w:firstLine="663"/>
              <w:jc w:val="both"/>
              <w:rPr>
                <w:rFonts w:ascii="Calibri" w:hAnsi="Calibri"/>
                <w:b/>
                <w:bCs/>
              </w:rPr>
            </w:pPr>
            <w:r>
              <w:rPr>
                <w:rFonts w:ascii="Calibri" w:hAnsi="Calibri"/>
                <w:b/>
                <w:bCs/>
              </w:rPr>
              <w:t>(1.3.2)</w:t>
            </w:r>
            <w:r>
              <w:rPr>
                <w:rFonts w:ascii="Calibri" w:hAnsi="Calibri"/>
                <w:bCs/>
              </w:rPr>
              <w:t xml:space="preserve"> Improving the security and health of workers on the job and ensuring the legal and organizational framework for making available the products from the field of competence of the MLSP, in accordance with essential security requirements: </w:t>
            </w:r>
            <w:r>
              <w:rPr>
                <w:rFonts w:ascii="Calibri" w:hAnsi="Calibri"/>
                <w:bCs/>
                <w:i/>
                <w:iCs/>
              </w:rPr>
              <w:t xml:space="preserve">Number of awareness sessions addressed to the economic agents, workers and representatives. </w:t>
            </w:r>
          </w:p>
          <w:p w:rsidR="00D254D3" w:rsidRPr="003964D3" w:rsidRDefault="00D254D3" w:rsidP="00DB7106">
            <w:pPr>
              <w:ind w:firstLine="663"/>
              <w:jc w:val="both"/>
              <w:rPr>
                <w:rFonts w:ascii="Calibri" w:hAnsi="Calibri"/>
                <w:b/>
                <w:bCs/>
              </w:rPr>
            </w:pPr>
            <w:r>
              <w:rPr>
                <w:rFonts w:ascii="Calibri" w:hAnsi="Calibri"/>
                <w:b/>
                <w:bCs/>
              </w:rPr>
              <w:t>(1.3.3)</w:t>
            </w:r>
            <w:r>
              <w:rPr>
                <w:rFonts w:ascii="Calibri" w:hAnsi="Calibri"/>
                <w:bCs/>
              </w:rPr>
              <w:t xml:space="preserve"> Ensuring the application by the employers of the legal provisions in force in the field of labor relations, health, labor security, supervision of the products market and equal opportunities on the labor market:  </w:t>
            </w:r>
            <w:r>
              <w:rPr>
                <w:rFonts w:ascii="Calibri" w:hAnsi="Calibri"/>
                <w:bCs/>
                <w:i/>
                <w:iCs/>
              </w:rPr>
              <w:t xml:space="preserve">Number of petitions/1000 employees. </w:t>
            </w:r>
          </w:p>
          <w:p w:rsidR="00D254D3" w:rsidRPr="003964D3" w:rsidRDefault="00D254D3" w:rsidP="00DB7106">
            <w:pPr>
              <w:ind w:firstLine="663"/>
              <w:jc w:val="both"/>
              <w:rPr>
                <w:rFonts w:ascii="Calibri" w:hAnsi="Calibri"/>
                <w:b/>
                <w:bCs/>
              </w:rPr>
            </w:pPr>
            <w:r>
              <w:rPr>
                <w:rFonts w:ascii="Calibri" w:hAnsi="Calibri"/>
                <w:b/>
                <w:bCs/>
              </w:rPr>
              <w:t>(1.3.4)</w:t>
            </w:r>
            <w:r>
              <w:rPr>
                <w:rFonts w:ascii="Calibri" w:hAnsi="Calibri"/>
                <w:bCs/>
              </w:rPr>
              <w:t xml:space="preserve"> Directing the insurance for labor accidents and professional diseases to support benefit recipients: </w:t>
            </w:r>
            <w:r>
              <w:rPr>
                <w:rFonts w:ascii="Calibri" w:hAnsi="Calibri"/>
                <w:bCs/>
                <w:i/>
                <w:iCs/>
              </w:rPr>
              <w:t xml:space="preserve">Diversification of awarded benefits - Share of benefits awarded to the beneficiaries at 100 employees. </w:t>
            </w:r>
          </w:p>
          <w:p w:rsidR="00D254D3" w:rsidRPr="003964D3" w:rsidRDefault="00D254D3" w:rsidP="00DB7106">
            <w:pPr>
              <w:ind w:firstLine="663"/>
              <w:jc w:val="both"/>
              <w:rPr>
                <w:rFonts w:ascii="Calibri" w:hAnsi="Calibri"/>
                <w:b/>
                <w:bCs/>
                <w:lang w:val="fr-FR"/>
              </w:rPr>
            </w:pPr>
          </w:p>
          <w:p w:rsidR="00D254D3" w:rsidRPr="003964D3" w:rsidRDefault="00D254D3" w:rsidP="00DB7106">
            <w:pPr>
              <w:ind w:firstLine="663"/>
              <w:jc w:val="both"/>
              <w:rPr>
                <w:rFonts w:ascii="Calibri" w:hAnsi="Calibri"/>
                <w:b/>
                <w:bCs/>
              </w:rPr>
            </w:pPr>
            <w:r>
              <w:rPr>
                <w:rFonts w:ascii="Calibri" w:hAnsi="Calibri"/>
                <w:b/>
                <w:bCs/>
              </w:rPr>
              <w:t>(1.4.1)</w:t>
            </w:r>
            <w:r>
              <w:rPr>
                <w:rFonts w:ascii="Calibri" w:hAnsi="Calibri"/>
                <w:bCs/>
              </w:rPr>
              <w:t xml:space="preserve"> Harmonizing the requirements of European regulations through the amendments imposed by the EESSI system with the national legislation and practice: </w:t>
            </w:r>
            <w:r>
              <w:rPr>
                <w:rFonts w:ascii="Calibri" w:hAnsi="Calibri"/>
                <w:bCs/>
                <w:i/>
                <w:iCs/>
              </w:rPr>
              <w:t xml:space="preserve">Increasing the degree of compliance of employers to the requirements of the European regulations - Share of non-compliant cases relative to total requests. </w:t>
            </w:r>
          </w:p>
          <w:p w:rsidR="00D254D3" w:rsidRPr="003964D3" w:rsidRDefault="00D254D3" w:rsidP="00DB7106">
            <w:pPr>
              <w:ind w:firstLine="663"/>
              <w:jc w:val="both"/>
              <w:rPr>
                <w:rFonts w:ascii="Calibri" w:hAnsi="Calibri"/>
                <w:bCs/>
                <w:i/>
                <w:iCs/>
              </w:rPr>
            </w:pPr>
            <w:r>
              <w:rPr>
                <w:rFonts w:ascii="Calibri" w:hAnsi="Calibri"/>
                <w:b/>
                <w:bCs/>
              </w:rPr>
              <w:t>(1.4.2)</w:t>
            </w:r>
            <w:r>
              <w:rPr>
                <w:rFonts w:ascii="Calibri" w:hAnsi="Calibri"/>
                <w:bCs/>
              </w:rPr>
              <w:t xml:space="preserve"> Supporting employers in performing the prevention activity: </w:t>
            </w:r>
            <w:r>
              <w:rPr>
                <w:rFonts w:ascii="Calibri" w:hAnsi="Calibri"/>
                <w:bCs/>
                <w:i/>
                <w:iCs/>
              </w:rPr>
              <w:t xml:space="preserve">Improving the level of labor safety and health of enterprises - Share of implemented measures relative to recommended measures. </w:t>
            </w:r>
          </w:p>
          <w:p w:rsidR="00D254D3" w:rsidRPr="008749FD" w:rsidRDefault="00D254D3" w:rsidP="00DB7106">
            <w:pPr>
              <w:ind w:firstLine="663"/>
              <w:jc w:val="both"/>
              <w:rPr>
                <w:rFonts w:ascii="Calibri" w:hAnsi="Calibri"/>
                <w:bCs/>
                <w:i/>
                <w:iCs/>
              </w:rPr>
            </w:pPr>
            <w:r>
              <w:rPr>
                <w:rFonts w:ascii="Calibri" w:hAnsi="Calibri"/>
                <w:b/>
              </w:rPr>
              <w:t>(1.</w:t>
            </w:r>
            <w:r>
              <w:rPr>
                <w:rFonts w:ascii="Calibri" w:hAnsi="Calibri"/>
                <w:b/>
                <w:bCs/>
              </w:rPr>
              <w:t>5.1)</w:t>
            </w:r>
            <w:r>
              <w:rPr>
                <w:rFonts w:ascii="Calibri" w:hAnsi="Calibri"/>
                <w:bCs/>
              </w:rPr>
              <w:t>Annual increase of the minimum gross salary at country level; elaboration of the policy in the field of the minimum gross salary at country level.</w:t>
            </w:r>
          </w:p>
        </w:tc>
      </w:tr>
    </w:tbl>
    <w:p w:rsidR="003904E0" w:rsidRDefault="003904E0" w:rsidP="003904E0">
      <w:pPr>
        <w:keepLines/>
        <w:widowControl w:val="0"/>
        <w:spacing w:line="320" w:lineRule="exact"/>
        <w:jc w:val="both"/>
        <w:rPr>
          <w:rFonts w:ascii="Calibri" w:hAnsi="Calibri" w:cs="Arial Narrow"/>
          <w:b/>
          <w:color w:val="000080"/>
        </w:rPr>
      </w:pPr>
    </w:p>
    <w:p w:rsidR="000E0129" w:rsidRPr="003A1E71" w:rsidRDefault="000E0129" w:rsidP="003904E0">
      <w:pPr>
        <w:keepLines/>
        <w:widowControl w:val="0"/>
        <w:spacing w:line="320" w:lineRule="exact"/>
        <w:jc w:val="both"/>
        <w:rPr>
          <w:rFonts w:ascii="Calibri" w:hAnsi="Calibri" w:cs="Arial Narrow"/>
          <w:b/>
          <w:color w:val="000080"/>
        </w:rPr>
      </w:pPr>
    </w:p>
    <w:p w:rsidR="003904E0" w:rsidRPr="001E103D" w:rsidRDefault="003904E0" w:rsidP="003904E0">
      <w:pPr>
        <w:keepLines/>
        <w:widowControl w:val="0"/>
        <w:shd w:val="clear" w:color="auto" w:fill="99CCFF"/>
        <w:spacing w:line="320" w:lineRule="exact"/>
        <w:jc w:val="both"/>
        <w:rPr>
          <w:rFonts w:ascii="Calibri" w:hAnsi="Calibri" w:cs="Arial Narrow"/>
          <w:b/>
          <w:color w:val="000080"/>
        </w:rPr>
      </w:pPr>
      <w:r>
        <w:rPr>
          <w:rFonts w:ascii="Calibri" w:hAnsi="Calibri"/>
          <w:b/>
          <w:color w:val="000080"/>
        </w:rPr>
        <w:t>Pension policy</w:t>
      </w:r>
    </w:p>
    <w:tbl>
      <w:tblPr>
        <w:tblW w:w="9918" w:type="dxa"/>
        <w:tblInd w:w="222" w:type="dxa"/>
        <w:tblLayout w:type="fixed"/>
        <w:tblLook w:val="0000" w:firstRow="0" w:lastRow="0" w:firstColumn="0" w:lastColumn="0" w:noHBand="0" w:noVBand="0"/>
      </w:tblPr>
      <w:tblGrid>
        <w:gridCol w:w="9918"/>
      </w:tblGrid>
      <w:tr w:rsidR="00357EB4" w:rsidRPr="00886D50" w:rsidTr="00DB7106">
        <w:tc>
          <w:tcPr>
            <w:tcW w:w="9918" w:type="dxa"/>
            <w:shd w:val="clear" w:color="auto" w:fill="auto"/>
            <w:vAlign w:val="center"/>
          </w:tcPr>
          <w:p w:rsidR="00357EB4" w:rsidRPr="003964D3" w:rsidRDefault="00357EB4" w:rsidP="00DB7106">
            <w:pPr>
              <w:tabs>
                <w:tab w:val="left" w:pos="1515"/>
              </w:tabs>
              <w:jc w:val="both"/>
              <w:rPr>
                <w:rFonts w:ascii="Calibri" w:eastAsia="Calibri" w:hAnsi="Calibri" w:cs="Arial"/>
                <w:bCs/>
                <w:lang w:val="fr-FR"/>
              </w:rPr>
            </w:pPr>
          </w:p>
          <w:p w:rsidR="00357EB4" w:rsidRPr="003964D3" w:rsidRDefault="00357EB4" w:rsidP="00DB7106">
            <w:pPr>
              <w:ind w:firstLine="708"/>
              <w:jc w:val="both"/>
              <w:rPr>
                <w:rFonts w:ascii="Calibri" w:eastAsia="Calibri" w:hAnsi="Calibri" w:cs="Arial"/>
                <w:b/>
                <w:bCs/>
              </w:rPr>
            </w:pPr>
            <w:r>
              <w:rPr>
                <w:rFonts w:ascii="Calibri" w:hAnsi="Calibri"/>
                <w:b/>
                <w:bCs/>
              </w:rPr>
              <w:t>II An adequate and sustainable pension system</w:t>
            </w:r>
          </w:p>
          <w:p w:rsidR="00357EB4" w:rsidRPr="003964D3" w:rsidRDefault="00357EB4" w:rsidP="00DB7106">
            <w:pPr>
              <w:ind w:firstLine="708"/>
              <w:jc w:val="both"/>
              <w:rPr>
                <w:rFonts w:ascii="Calibri" w:eastAsia="Calibri" w:hAnsi="Calibri" w:cs="Arial"/>
                <w:b/>
                <w:bCs/>
                <w:lang w:val="fr-FR"/>
              </w:rPr>
            </w:pPr>
          </w:p>
          <w:p w:rsidR="00357EB4" w:rsidRPr="003964D3" w:rsidRDefault="00357EB4" w:rsidP="00DB7106">
            <w:pPr>
              <w:ind w:left="993"/>
              <w:rPr>
                <w:rFonts w:ascii="Calibri" w:hAnsi="Calibri"/>
                <w:bCs/>
              </w:rPr>
            </w:pPr>
            <w:r>
              <w:rPr>
                <w:rFonts w:ascii="Calibri" w:hAnsi="Calibri"/>
                <w:b/>
                <w:bCs/>
              </w:rPr>
              <w:t>2.1</w:t>
            </w:r>
            <w:r>
              <w:rPr>
                <w:rFonts w:ascii="Calibri" w:hAnsi="Calibri"/>
                <w:bCs/>
              </w:rPr>
              <w:t xml:space="preserve"> Adequacy and equity in the pension system</w:t>
            </w:r>
          </w:p>
          <w:p w:rsidR="00357EB4" w:rsidRPr="003964D3" w:rsidRDefault="00357EB4" w:rsidP="00DB7106">
            <w:pPr>
              <w:ind w:left="993"/>
              <w:rPr>
                <w:rFonts w:ascii="Calibri" w:hAnsi="Calibri"/>
                <w:bCs/>
              </w:rPr>
            </w:pPr>
            <w:r>
              <w:rPr>
                <w:rFonts w:ascii="Calibri" w:hAnsi="Calibri"/>
                <w:b/>
                <w:bCs/>
              </w:rPr>
              <w:t>2.2</w:t>
            </w:r>
            <w:r>
              <w:rPr>
                <w:rFonts w:ascii="Calibri" w:hAnsi="Calibri"/>
                <w:bCs/>
              </w:rPr>
              <w:t xml:space="preserve"> Public pension system management</w:t>
            </w:r>
          </w:p>
          <w:p w:rsidR="00357EB4" w:rsidRPr="003964D3" w:rsidRDefault="00357EB4" w:rsidP="00DB7106">
            <w:pPr>
              <w:ind w:left="993"/>
              <w:rPr>
                <w:rFonts w:ascii="Calibri" w:hAnsi="Calibri"/>
                <w:bCs/>
                <w:lang w:val="fr-FR"/>
              </w:rPr>
            </w:pPr>
          </w:p>
          <w:p w:rsidR="00357EB4" w:rsidRPr="00886D50" w:rsidRDefault="00357EB4" w:rsidP="00DB7106">
            <w:pPr>
              <w:ind w:left="993"/>
              <w:rPr>
                <w:rFonts w:ascii="Calibri" w:hAnsi="Calibri"/>
                <w:bCs/>
              </w:rPr>
            </w:pPr>
            <w:r>
              <w:rPr>
                <w:rFonts w:ascii="Calibri" w:hAnsi="Calibri"/>
                <w:b/>
                <w:bCs/>
              </w:rPr>
              <w:t>Impact:</w:t>
            </w:r>
            <w:r>
              <w:rPr>
                <w:rFonts w:ascii="Calibri" w:hAnsi="Calibri"/>
                <w:bCs/>
              </w:rPr>
              <w:t xml:space="preserve"> total average replacement rate/public scheme. Target for 2021: 36.6/36.7%</w:t>
            </w:r>
          </w:p>
        </w:tc>
      </w:tr>
      <w:tr w:rsidR="00357EB4" w:rsidRPr="008368B9" w:rsidTr="00DB7106">
        <w:tc>
          <w:tcPr>
            <w:tcW w:w="9918" w:type="dxa"/>
            <w:shd w:val="clear" w:color="auto" w:fill="auto"/>
            <w:vAlign w:val="center"/>
          </w:tcPr>
          <w:p w:rsidR="00357EB4" w:rsidRPr="00886D50" w:rsidRDefault="00357EB4" w:rsidP="00DB7106">
            <w:pPr>
              <w:ind w:left="993"/>
              <w:rPr>
                <w:rFonts w:ascii="Calibri" w:hAnsi="Calibri"/>
                <w:bCs/>
              </w:rPr>
            </w:pPr>
            <w:r>
              <w:rPr>
                <w:rFonts w:ascii="Calibri" w:hAnsi="Calibri"/>
                <w:b/>
                <w:bCs/>
              </w:rPr>
              <w:t>Results sought:</w:t>
            </w:r>
          </w:p>
          <w:p w:rsidR="00357EB4" w:rsidRPr="0037032F" w:rsidRDefault="00357EB4" w:rsidP="00021698">
            <w:pPr>
              <w:numPr>
                <w:ilvl w:val="0"/>
                <w:numId w:val="97"/>
              </w:numPr>
              <w:tabs>
                <w:tab w:val="num" w:pos="720"/>
              </w:tabs>
              <w:spacing w:line="276" w:lineRule="auto"/>
              <w:jc w:val="both"/>
              <w:rPr>
                <w:rFonts w:ascii="Calibri" w:hAnsi="Calibri"/>
                <w:bCs/>
              </w:rPr>
            </w:pPr>
            <w:r>
              <w:rPr>
                <w:rFonts w:ascii="Calibri" w:hAnsi="Calibri"/>
                <w:b/>
                <w:bCs/>
              </w:rPr>
              <w:t>(2.1.1)</w:t>
            </w:r>
            <w:r>
              <w:rPr>
                <w:rFonts w:ascii="Calibri" w:hAnsi="Calibri"/>
                <w:bCs/>
                <w:i/>
              </w:rPr>
              <w:t>Ensuring a decent living for the retired:</w:t>
            </w:r>
            <w:r>
              <w:rPr>
                <w:rFonts w:ascii="Calibri" w:hAnsi="Calibri"/>
                <w:bCs/>
              </w:rPr>
              <w:t xml:space="preserve"> Rate of material deprivation among the retired. </w:t>
            </w:r>
          </w:p>
          <w:p w:rsidR="00357EB4" w:rsidRPr="0037032F" w:rsidRDefault="00357EB4" w:rsidP="00021698">
            <w:pPr>
              <w:numPr>
                <w:ilvl w:val="0"/>
                <w:numId w:val="97"/>
              </w:numPr>
              <w:tabs>
                <w:tab w:val="num" w:pos="720"/>
              </w:tabs>
              <w:spacing w:line="276" w:lineRule="auto"/>
              <w:jc w:val="both"/>
              <w:rPr>
                <w:rFonts w:ascii="Calibri" w:hAnsi="Calibri"/>
                <w:bCs/>
              </w:rPr>
            </w:pPr>
            <w:r>
              <w:rPr>
                <w:rFonts w:ascii="Calibri" w:hAnsi="Calibri"/>
                <w:b/>
                <w:bCs/>
              </w:rPr>
              <w:t>(2.1.2)</w:t>
            </w:r>
            <w:r>
              <w:rPr>
                <w:rFonts w:ascii="Calibri" w:hAnsi="Calibri"/>
                <w:bCs/>
                <w:i/>
              </w:rPr>
              <w:t>Respecting equity principles:</w:t>
            </w:r>
            <w:r>
              <w:rPr>
                <w:rFonts w:ascii="Calibri" w:hAnsi="Calibri"/>
                <w:bCs/>
              </w:rPr>
              <w:t xml:space="preserve"> Difference between the average replacement rate between men and women. </w:t>
            </w:r>
          </w:p>
          <w:p w:rsidR="00357EB4" w:rsidRPr="003964D3" w:rsidRDefault="00357EB4" w:rsidP="00021698">
            <w:pPr>
              <w:numPr>
                <w:ilvl w:val="0"/>
                <w:numId w:val="97"/>
              </w:numPr>
              <w:tabs>
                <w:tab w:val="num" w:pos="720"/>
              </w:tabs>
              <w:spacing w:line="276" w:lineRule="auto"/>
              <w:jc w:val="both"/>
              <w:rPr>
                <w:rFonts w:ascii="Calibri" w:hAnsi="Calibri"/>
                <w:bCs/>
              </w:rPr>
            </w:pPr>
            <w:r>
              <w:rPr>
                <w:rFonts w:ascii="Calibri" w:hAnsi="Calibri"/>
                <w:b/>
                <w:bCs/>
              </w:rPr>
              <w:t>(2.2.1)</w:t>
            </w:r>
            <w:r>
              <w:rPr>
                <w:rFonts w:ascii="Calibri" w:hAnsi="Calibri"/>
                <w:bCs/>
                <w:i/>
              </w:rPr>
              <w:t>Maintaining the pension system’s sustainability:</w:t>
            </w:r>
            <w:r>
              <w:rPr>
                <w:rFonts w:ascii="Calibri" w:hAnsi="Calibri"/>
                <w:bCs/>
              </w:rPr>
              <w:t xml:space="preserve"> Rate of coverage of net expenditures from contributions. </w:t>
            </w:r>
          </w:p>
          <w:p w:rsidR="00357EB4" w:rsidRPr="003964D3" w:rsidRDefault="00357EB4" w:rsidP="00DB7106">
            <w:pPr>
              <w:tabs>
                <w:tab w:val="left" w:pos="1515"/>
              </w:tabs>
              <w:jc w:val="both"/>
              <w:rPr>
                <w:rFonts w:ascii="Calibri" w:eastAsia="Calibri" w:hAnsi="Calibri" w:cs="Arial"/>
                <w:bCs/>
                <w:lang w:val="fr-FR"/>
              </w:rPr>
            </w:pPr>
          </w:p>
        </w:tc>
      </w:tr>
    </w:tbl>
    <w:p w:rsidR="0042679A" w:rsidRPr="003964D3" w:rsidRDefault="0042679A" w:rsidP="003904E0">
      <w:pPr>
        <w:rPr>
          <w:rFonts w:ascii="Calibri" w:hAnsi="Calibri" w:cs="Arial Narrow"/>
          <w:lang w:val="fr-FR"/>
        </w:rPr>
      </w:pPr>
    </w:p>
    <w:p w:rsidR="003904E0" w:rsidRPr="003A1E71" w:rsidRDefault="003904E0" w:rsidP="003904E0">
      <w:pPr>
        <w:widowControl w:val="0"/>
        <w:shd w:val="clear" w:color="auto" w:fill="99CCFF"/>
        <w:spacing w:line="320" w:lineRule="exact"/>
        <w:rPr>
          <w:rFonts w:ascii="Calibri" w:hAnsi="Calibri" w:cs="Arial Narrow"/>
        </w:rPr>
      </w:pPr>
      <w:r>
        <w:rPr>
          <w:rFonts w:ascii="Calibri" w:hAnsi="Calibri"/>
          <w:b/>
          <w:color w:val="000080"/>
        </w:rPr>
        <w:t xml:space="preserve">The policy in the field of social assistance, social inclusion and reducing poverty </w:t>
      </w:r>
    </w:p>
    <w:p w:rsidR="00CC6B6C" w:rsidRPr="003A1E71" w:rsidRDefault="00CC6B6C" w:rsidP="00CC6B6C">
      <w:pPr>
        <w:rPr>
          <w:rFonts w:ascii="Calibri" w:hAnsi="Calibri" w:cs="Arial Narrow"/>
        </w:rPr>
      </w:pPr>
    </w:p>
    <w:tbl>
      <w:tblPr>
        <w:tblW w:w="9918" w:type="dxa"/>
        <w:tblInd w:w="222" w:type="dxa"/>
        <w:tblLayout w:type="fixed"/>
        <w:tblLook w:val="0000" w:firstRow="0" w:lastRow="0" w:firstColumn="0" w:lastColumn="0" w:noHBand="0" w:noVBand="0"/>
      </w:tblPr>
      <w:tblGrid>
        <w:gridCol w:w="9918"/>
      </w:tblGrid>
      <w:tr w:rsidR="00CC6B6C" w:rsidRPr="008368B9" w:rsidTr="00DB7106">
        <w:tc>
          <w:tcPr>
            <w:tcW w:w="9918" w:type="dxa"/>
            <w:shd w:val="clear" w:color="auto" w:fill="auto"/>
          </w:tcPr>
          <w:p w:rsidR="00CC6B6C" w:rsidRDefault="00CC6B6C" w:rsidP="00DB7106">
            <w:pPr>
              <w:ind w:firstLine="708"/>
              <w:jc w:val="both"/>
              <w:rPr>
                <w:rFonts w:ascii="Calibri" w:hAnsi="Calibri" w:cs="Arial"/>
                <w:b/>
              </w:rPr>
            </w:pPr>
            <w:r>
              <w:rPr>
                <w:rFonts w:ascii="Calibri" w:hAnsi="Calibri"/>
                <w:b/>
              </w:rPr>
              <w:t>III Decrease of the number of people at risk of poverty and social exclusion, in the context of creating an integrated, extensive, and well-coordinated social services network</w:t>
            </w:r>
          </w:p>
          <w:p w:rsidR="00CC6B6C" w:rsidRDefault="00CC6B6C" w:rsidP="00DB7106">
            <w:pPr>
              <w:ind w:firstLine="708"/>
              <w:jc w:val="both"/>
              <w:rPr>
                <w:rFonts w:ascii="Calibri" w:hAnsi="Calibri" w:cs="Arial"/>
                <w:b/>
              </w:rPr>
            </w:pPr>
            <w:r>
              <w:rPr>
                <w:rFonts w:ascii="Calibri" w:hAnsi="Calibri"/>
                <w:b/>
                <w:bCs/>
              </w:rPr>
              <w:t>3.1</w:t>
            </w:r>
            <w:r>
              <w:rPr>
                <w:rFonts w:ascii="Calibri" w:hAnsi="Calibri"/>
                <w:bCs/>
              </w:rPr>
              <w:t xml:space="preserve"> Child protection</w:t>
            </w:r>
          </w:p>
          <w:p w:rsidR="00CC6B6C" w:rsidRDefault="00CC6B6C" w:rsidP="00DB7106">
            <w:pPr>
              <w:ind w:firstLine="708"/>
              <w:jc w:val="both"/>
              <w:rPr>
                <w:rFonts w:ascii="Calibri" w:hAnsi="Calibri" w:cs="Arial"/>
                <w:b/>
              </w:rPr>
            </w:pPr>
            <w:r>
              <w:rPr>
                <w:rFonts w:ascii="Calibri" w:hAnsi="Calibri"/>
                <w:b/>
                <w:bCs/>
              </w:rPr>
              <w:t>3.2</w:t>
            </w:r>
            <w:r>
              <w:rPr>
                <w:rFonts w:ascii="Calibri" w:hAnsi="Calibri"/>
                <w:bCs/>
              </w:rPr>
              <w:t xml:space="preserve"> Social benefits and inspection </w:t>
            </w:r>
          </w:p>
          <w:p w:rsidR="00CC6B6C" w:rsidRDefault="00CC6B6C" w:rsidP="00DB7106">
            <w:pPr>
              <w:ind w:firstLine="708"/>
              <w:jc w:val="both"/>
              <w:rPr>
                <w:rFonts w:ascii="Calibri" w:hAnsi="Calibri" w:cs="Arial"/>
                <w:b/>
              </w:rPr>
            </w:pPr>
            <w:r>
              <w:rPr>
                <w:rFonts w:ascii="Calibri" w:hAnsi="Calibri"/>
                <w:b/>
                <w:bCs/>
              </w:rPr>
              <w:t>3.3.</w:t>
            </w:r>
            <w:r>
              <w:rPr>
                <w:rFonts w:ascii="Calibri" w:hAnsi="Calibri"/>
                <w:bCs/>
              </w:rPr>
              <w:t xml:space="preserve"> Social services</w:t>
            </w:r>
          </w:p>
          <w:p w:rsidR="00CC6B6C" w:rsidRDefault="00CC6B6C" w:rsidP="00DB7106">
            <w:pPr>
              <w:ind w:firstLine="708"/>
              <w:jc w:val="both"/>
              <w:rPr>
                <w:rFonts w:ascii="Calibri" w:hAnsi="Calibri" w:cs="Arial"/>
                <w:b/>
              </w:rPr>
            </w:pPr>
            <w:r>
              <w:rPr>
                <w:rFonts w:ascii="Calibri" w:hAnsi="Calibri"/>
                <w:b/>
                <w:bCs/>
              </w:rPr>
              <w:t>3.4</w:t>
            </w:r>
            <w:r>
              <w:rPr>
                <w:rFonts w:ascii="Calibri" w:hAnsi="Calibri"/>
                <w:bCs/>
              </w:rPr>
              <w:t xml:space="preserve"> Rights of people with disabilities</w:t>
            </w:r>
          </w:p>
          <w:p w:rsidR="00CC6B6C" w:rsidRPr="003964D3" w:rsidRDefault="00CC6B6C" w:rsidP="00DB7106">
            <w:pPr>
              <w:ind w:firstLine="708"/>
              <w:jc w:val="both"/>
              <w:rPr>
                <w:rFonts w:ascii="Calibri" w:hAnsi="Calibri" w:cs="Arial"/>
                <w:b/>
              </w:rPr>
            </w:pPr>
            <w:r>
              <w:rPr>
                <w:rFonts w:ascii="Calibri" w:hAnsi="Calibri"/>
                <w:b/>
                <w:bCs/>
              </w:rPr>
              <w:t>3.5.</w:t>
            </w:r>
            <w:r>
              <w:rPr>
                <w:rFonts w:ascii="Calibri" w:hAnsi="Calibri"/>
                <w:bCs/>
              </w:rPr>
              <w:t xml:space="preserve"> Equal opportunities and fighting family violence</w:t>
            </w:r>
          </w:p>
          <w:p w:rsidR="00CC6B6C" w:rsidRPr="003964D3" w:rsidRDefault="00CC6B6C" w:rsidP="00DB7106">
            <w:pPr>
              <w:ind w:firstLine="708"/>
              <w:jc w:val="both"/>
              <w:rPr>
                <w:rFonts w:ascii="Calibri" w:hAnsi="Calibri" w:cs="Arial"/>
                <w:b/>
              </w:rPr>
            </w:pPr>
            <w:r>
              <w:rPr>
                <w:rFonts w:ascii="Calibri" w:hAnsi="Calibri"/>
                <w:b/>
                <w:bCs/>
              </w:rPr>
              <w:t>Impact:</w:t>
            </w:r>
            <w:r>
              <w:rPr>
                <w:rFonts w:ascii="Calibri" w:hAnsi="Calibri"/>
                <w:bCs/>
              </w:rPr>
              <w:t xml:space="preserve"> Rate of relative poverty risk, target for 2021: 34%, rate of poverty risk among children, target for 2021: 29%</w:t>
            </w:r>
          </w:p>
          <w:p w:rsidR="00CC6B6C" w:rsidRPr="003964D3" w:rsidRDefault="00CC6B6C" w:rsidP="00DB7106">
            <w:pPr>
              <w:ind w:firstLine="708"/>
              <w:jc w:val="both"/>
              <w:rPr>
                <w:rFonts w:ascii="Calibri" w:eastAsia="Calibri" w:hAnsi="Calibri" w:cs="Arial"/>
                <w:bCs/>
                <w:lang w:val="fr-FR"/>
              </w:rPr>
            </w:pPr>
          </w:p>
        </w:tc>
      </w:tr>
      <w:tr w:rsidR="00CC6B6C" w:rsidRPr="003A1E71" w:rsidTr="00DB7106">
        <w:tc>
          <w:tcPr>
            <w:tcW w:w="9918" w:type="dxa"/>
            <w:shd w:val="clear" w:color="auto" w:fill="auto"/>
            <w:vAlign w:val="center"/>
          </w:tcPr>
          <w:p w:rsidR="00CC6B6C" w:rsidRDefault="00CC6B6C" w:rsidP="00DB7106">
            <w:pPr>
              <w:ind w:firstLine="708"/>
              <w:jc w:val="both"/>
              <w:rPr>
                <w:rFonts w:ascii="Calibri" w:hAnsi="Calibri"/>
                <w:b/>
                <w:bCs/>
              </w:rPr>
            </w:pPr>
            <w:r>
              <w:rPr>
                <w:rFonts w:ascii="Calibri" w:hAnsi="Calibri"/>
                <w:b/>
                <w:bCs/>
              </w:rPr>
              <w:t>Results sought:</w:t>
            </w:r>
          </w:p>
          <w:p w:rsidR="00CC6B6C" w:rsidRDefault="00CC6B6C" w:rsidP="00DB7106">
            <w:pPr>
              <w:ind w:firstLine="708"/>
              <w:jc w:val="both"/>
              <w:rPr>
                <w:rFonts w:ascii="Calibri" w:hAnsi="Calibri"/>
                <w:b/>
                <w:bCs/>
              </w:rPr>
            </w:pPr>
          </w:p>
          <w:p w:rsidR="00CC6B6C" w:rsidRPr="00AA2349" w:rsidRDefault="00CC6B6C" w:rsidP="00021698">
            <w:pPr>
              <w:numPr>
                <w:ilvl w:val="0"/>
                <w:numId w:val="98"/>
              </w:numPr>
              <w:tabs>
                <w:tab w:val="clear" w:pos="720"/>
                <w:tab w:val="num" w:pos="1080"/>
              </w:tabs>
              <w:spacing w:line="276" w:lineRule="auto"/>
              <w:ind w:left="1080"/>
              <w:jc w:val="both"/>
              <w:rPr>
                <w:rFonts w:ascii="Calibri" w:hAnsi="Calibri" w:cs="Arial"/>
              </w:rPr>
            </w:pPr>
            <w:r>
              <w:rPr>
                <w:rFonts w:ascii="Calibri" w:hAnsi="Calibri"/>
                <w:b/>
                <w:bCs/>
              </w:rPr>
              <w:t>(3.1.1)</w:t>
            </w:r>
            <w:r>
              <w:rPr>
                <w:rFonts w:ascii="Calibri" w:hAnsi="Calibri"/>
                <w:bCs/>
              </w:rPr>
              <w:t xml:space="preserve"> Improving children’s access to quality services: </w:t>
            </w:r>
            <w:r>
              <w:rPr>
                <w:rFonts w:ascii="Calibri" w:hAnsi="Calibri"/>
                <w:i/>
                <w:iCs/>
              </w:rPr>
              <w:t>Degree of coverage with social services for children (0-17 years old). Target for 2020: 1.5%</w:t>
            </w:r>
            <w:r>
              <w:rPr>
                <w:rFonts w:ascii="Calibri" w:hAnsi="Calibri"/>
                <w:i/>
                <w:iCs/>
              </w:rPr>
              <w:tab/>
            </w:r>
          </w:p>
          <w:p w:rsidR="00CC6B6C" w:rsidRPr="00AA2349" w:rsidRDefault="00CC6B6C" w:rsidP="00021698">
            <w:pPr>
              <w:numPr>
                <w:ilvl w:val="0"/>
                <w:numId w:val="98"/>
              </w:numPr>
              <w:tabs>
                <w:tab w:val="clear" w:pos="720"/>
                <w:tab w:val="num" w:pos="1080"/>
              </w:tabs>
              <w:spacing w:line="276" w:lineRule="auto"/>
              <w:ind w:left="1080"/>
              <w:jc w:val="both"/>
              <w:rPr>
                <w:rFonts w:ascii="Calibri" w:hAnsi="Calibri" w:cs="Arial"/>
              </w:rPr>
            </w:pPr>
            <w:r>
              <w:rPr>
                <w:rFonts w:ascii="Calibri" w:hAnsi="Calibri"/>
                <w:b/>
                <w:bCs/>
              </w:rPr>
              <w:t>(3.1.2)</w:t>
            </w:r>
            <w:r>
              <w:rPr>
                <w:rFonts w:ascii="Calibri" w:hAnsi="Calibri"/>
                <w:bCs/>
              </w:rPr>
              <w:t xml:space="preserve"> Respecting rights and promoting social inclusion of children in vulnerable situations: </w:t>
            </w:r>
            <w:r>
              <w:rPr>
                <w:rFonts w:ascii="Calibri" w:hAnsi="Calibri"/>
                <w:i/>
                <w:iCs/>
              </w:rPr>
              <w:t>Share of beneficiaries of residential social services - old type institutions - children. Target for 2020: 0.047%</w:t>
            </w:r>
            <w:r>
              <w:rPr>
                <w:rFonts w:ascii="Calibri" w:hAnsi="Calibri"/>
                <w:i/>
                <w:iCs/>
              </w:rPr>
              <w:tab/>
            </w:r>
          </w:p>
          <w:p w:rsidR="00CC6B6C" w:rsidRPr="003964D3" w:rsidRDefault="00CC6B6C" w:rsidP="00021698">
            <w:pPr>
              <w:numPr>
                <w:ilvl w:val="0"/>
                <w:numId w:val="98"/>
              </w:numPr>
              <w:tabs>
                <w:tab w:val="clear" w:pos="720"/>
                <w:tab w:val="num" w:pos="1080"/>
              </w:tabs>
              <w:spacing w:line="276" w:lineRule="auto"/>
              <w:ind w:left="1080"/>
              <w:jc w:val="both"/>
              <w:rPr>
                <w:rFonts w:ascii="Calibri" w:hAnsi="Calibri" w:cs="Arial"/>
              </w:rPr>
            </w:pPr>
            <w:r>
              <w:rPr>
                <w:rFonts w:ascii="Calibri" w:hAnsi="Calibri"/>
                <w:b/>
                <w:bCs/>
              </w:rPr>
              <w:t>(3.2.1)</w:t>
            </w:r>
            <w:r>
              <w:rPr>
                <w:rFonts w:ascii="Calibri" w:hAnsi="Calibri"/>
                <w:bCs/>
              </w:rPr>
              <w:t xml:space="preserve"> Administration in a unitary payment system of social assistance beneficiaries and managing programs regarding social services supported from the State budget:  </w:t>
            </w:r>
            <w:r>
              <w:rPr>
                <w:rFonts w:ascii="Calibri" w:hAnsi="Calibri"/>
                <w:i/>
                <w:iCs/>
              </w:rPr>
              <w:t>Ratio between the number of verified payments and the total number of payments. Target for 2021: 90%</w:t>
            </w:r>
            <w:r>
              <w:rPr>
                <w:rFonts w:ascii="Calibri" w:hAnsi="Calibri"/>
                <w:i/>
                <w:iCs/>
              </w:rPr>
              <w:tab/>
            </w:r>
          </w:p>
          <w:p w:rsidR="00CC6B6C" w:rsidRPr="003964D3" w:rsidRDefault="00CC6B6C" w:rsidP="00021698">
            <w:pPr>
              <w:numPr>
                <w:ilvl w:val="0"/>
                <w:numId w:val="98"/>
              </w:numPr>
              <w:tabs>
                <w:tab w:val="clear" w:pos="720"/>
                <w:tab w:val="num" w:pos="1080"/>
              </w:tabs>
              <w:spacing w:line="276" w:lineRule="auto"/>
              <w:ind w:left="1080"/>
              <w:jc w:val="both"/>
              <w:rPr>
                <w:rFonts w:ascii="Calibri" w:hAnsi="Calibri" w:cs="Arial"/>
              </w:rPr>
            </w:pPr>
            <w:r>
              <w:rPr>
                <w:rFonts w:ascii="Calibri" w:hAnsi="Calibri"/>
                <w:b/>
                <w:bCs/>
              </w:rPr>
              <w:t>(3.2.2)</w:t>
            </w:r>
            <w:r>
              <w:rPr>
                <w:rFonts w:ascii="Calibri" w:hAnsi="Calibri"/>
                <w:bCs/>
              </w:rPr>
              <w:t xml:space="preserve"> Reducing error and fraud in the social assistance system by ensuring a rigorous activity of control and inspection of the application of legal measures regarding the activities of establishment and award of social assistance benefits and of provision of social services:  </w:t>
            </w:r>
            <w:r>
              <w:rPr>
                <w:rFonts w:ascii="Calibri" w:hAnsi="Calibri"/>
                <w:i/>
                <w:iCs/>
              </w:rPr>
              <w:t>Ratio between the number of payments with errors/fraud and the total number of payments. Target for 2021: 4%</w:t>
            </w:r>
          </w:p>
          <w:p w:rsidR="00CC6B6C" w:rsidRPr="00AA2349" w:rsidRDefault="00CC6B6C" w:rsidP="00021698">
            <w:pPr>
              <w:numPr>
                <w:ilvl w:val="0"/>
                <w:numId w:val="98"/>
              </w:numPr>
              <w:tabs>
                <w:tab w:val="clear" w:pos="720"/>
                <w:tab w:val="num" w:pos="1080"/>
              </w:tabs>
              <w:spacing w:line="276" w:lineRule="auto"/>
              <w:ind w:left="1080"/>
              <w:jc w:val="both"/>
              <w:rPr>
                <w:rFonts w:ascii="Calibri" w:hAnsi="Calibri" w:cs="Arial"/>
              </w:rPr>
            </w:pPr>
            <w:r>
              <w:rPr>
                <w:rFonts w:ascii="Calibri" w:hAnsi="Calibri"/>
                <w:b/>
                <w:bCs/>
              </w:rPr>
              <w:t>(3.3.1)</w:t>
            </w:r>
            <w:r>
              <w:rPr>
                <w:rFonts w:ascii="Calibri" w:hAnsi="Calibri"/>
                <w:bCs/>
              </w:rPr>
              <w:t xml:space="preserve"> Consolidating the national social assistance system in order to ensure access to all categories of vulnerable persons to quality social services, especially through consolidation of the SPAS’ capacity of ensuring the minimum package of integrated services in every ATU:   </w:t>
            </w:r>
            <w:r>
              <w:rPr>
                <w:rFonts w:ascii="Calibri" w:hAnsi="Calibri"/>
                <w:i/>
                <w:iCs/>
              </w:rPr>
              <w:t>Share of certified public suppliers of social services in the total number of public suppliers of social services subordinated to the local public authorities. Target for 2021: 80%</w:t>
            </w:r>
          </w:p>
          <w:p w:rsidR="00CC6B6C" w:rsidRPr="00AA2349" w:rsidRDefault="00CC6B6C" w:rsidP="00021698">
            <w:pPr>
              <w:numPr>
                <w:ilvl w:val="0"/>
                <w:numId w:val="98"/>
              </w:numPr>
              <w:tabs>
                <w:tab w:val="clear" w:pos="720"/>
                <w:tab w:val="num" w:pos="1080"/>
              </w:tabs>
              <w:spacing w:line="276" w:lineRule="auto"/>
              <w:ind w:left="1080"/>
              <w:jc w:val="both"/>
              <w:rPr>
                <w:rFonts w:ascii="Calibri" w:hAnsi="Calibri" w:cs="Arial"/>
              </w:rPr>
            </w:pPr>
            <w:r>
              <w:rPr>
                <w:rFonts w:ascii="Calibri" w:hAnsi="Calibri"/>
                <w:b/>
                <w:bCs/>
              </w:rPr>
              <w:t>(3.3.2)</w:t>
            </w:r>
            <w:r>
              <w:rPr>
                <w:rFonts w:ascii="Calibri" w:hAnsi="Calibri"/>
                <w:bCs/>
              </w:rPr>
              <w:t xml:space="preserve"> Increasing access to social services for the elderly: </w:t>
            </w:r>
            <w:r>
              <w:rPr>
                <w:rFonts w:ascii="Calibri" w:hAnsi="Calibri"/>
                <w:i/>
                <w:iCs/>
              </w:rPr>
              <w:t>Degree of coverage with social services for the elderly. Target for 2021: 3</w:t>
            </w:r>
          </w:p>
          <w:p w:rsidR="00CC6B6C" w:rsidRPr="00AA2349" w:rsidRDefault="00CC6B6C" w:rsidP="00021698">
            <w:pPr>
              <w:numPr>
                <w:ilvl w:val="0"/>
                <w:numId w:val="98"/>
              </w:numPr>
              <w:tabs>
                <w:tab w:val="clear" w:pos="720"/>
                <w:tab w:val="num" w:pos="1080"/>
              </w:tabs>
              <w:spacing w:line="276" w:lineRule="auto"/>
              <w:ind w:left="1080"/>
              <w:jc w:val="both"/>
              <w:rPr>
                <w:rFonts w:ascii="Calibri" w:hAnsi="Calibri" w:cs="Arial"/>
              </w:rPr>
            </w:pPr>
            <w:r>
              <w:rPr>
                <w:rFonts w:ascii="Calibri" w:hAnsi="Calibri"/>
                <w:b/>
                <w:bCs/>
              </w:rPr>
              <w:t>(3.4.1)</w:t>
            </w:r>
            <w:r>
              <w:rPr>
                <w:rFonts w:ascii="Calibri" w:hAnsi="Calibri"/>
                <w:bCs/>
              </w:rPr>
              <w:t xml:space="preserve"> Promoting accessibility in all life areas to ensure the exercise by the people with disabilities of fundamental human rights and freedoms; eliminating discrimination:  </w:t>
            </w:r>
            <w:r>
              <w:rPr>
                <w:rFonts w:ascii="Calibri" w:hAnsi="Calibri"/>
                <w:i/>
                <w:iCs/>
              </w:rPr>
              <w:t>The personnel employed in public institutions will be informed/trained on the need to make more accessible the physical, informational, and communication environment. Target for 2020: 30%</w:t>
            </w:r>
          </w:p>
          <w:p w:rsidR="00CC6B6C" w:rsidRPr="00AA2349" w:rsidRDefault="00CC6B6C" w:rsidP="00021698">
            <w:pPr>
              <w:numPr>
                <w:ilvl w:val="0"/>
                <w:numId w:val="98"/>
              </w:numPr>
              <w:tabs>
                <w:tab w:val="clear" w:pos="720"/>
                <w:tab w:val="num" w:pos="1080"/>
              </w:tabs>
              <w:spacing w:line="276" w:lineRule="auto"/>
              <w:ind w:left="1080"/>
              <w:jc w:val="both"/>
              <w:rPr>
                <w:rFonts w:ascii="Calibri" w:hAnsi="Calibri" w:cs="Arial"/>
              </w:rPr>
            </w:pPr>
            <w:r>
              <w:rPr>
                <w:rFonts w:ascii="Calibri" w:hAnsi="Calibri"/>
                <w:b/>
                <w:bCs/>
              </w:rPr>
              <w:t>(3.4.2)</w:t>
            </w:r>
            <w:r>
              <w:rPr>
                <w:rFonts w:ascii="Calibri" w:hAnsi="Calibri"/>
                <w:bCs/>
              </w:rPr>
              <w:t xml:space="preserve"> Removing from institutions the people with disabilities that are in old style residential centers, in stages, at the same time as the development of services in the community: </w:t>
            </w:r>
            <w:r>
              <w:rPr>
                <w:rFonts w:ascii="Calibri" w:hAnsi="Calibri"/>
                <w:i/>
                <w:iCs/>
              </w:rPr>
              <w:t xml:space="preserve">Removing from institutions the adult handicapped people who shall be transferred to protected living through POR financing. Target for 2020: 35% </w:t>
            </w:r>
          </w:p>
          <w:p w:rsidR="00CC6B6C" w:rsidRPr="00AA2349" w:rsidRDefault="00CC6B6C" w:rsidP="00021698">
            <w:pPr>
              <w:numPr>
                <w:ilvl w:val="0"/>
                <w:numId w:val="98"/>
              </w:numPr>
              <w:tabs>
                <w:tab w:val="clear" w:pos="720"/>
                <w:tab w:val="num" w:pos="1080"/>
              </w:tabs>
              <w:spacing w:line="276" w:lineRule="auto"/>
              <w:ind w:left="1080"/>
              <w:jc w:val="both"/>
              <w:rPr>
                <w:rFonts w:ascii="Calibri" w:hAnsi="Calibri" w:cs="Arial"/>
              </w:rPr>
            </w:pPr>
            <w:r>
              <w:rPr>
                <w:rFonts w:ascii="Calibri" w:hAnsi="Calibri"/>
                <w:b/>
                <w:bCs/>
              </w:rPr>
              <w:t>(3.5.1)</w:t>
            </w:r>
            <w:r>
              <w:rPr>
                <w:rFonts w:ascii="Calibri" w:hAnsi="Calibri"/>
                <w:bCs/>
              </w:rPr>
              <w:t xml:space="preserve"> Reduction and prevention of cases of discrimination, harassment and violence: </w:t>
            </w:r>
            <w:r>
              <w:rPr>
                <w:rFonts w:ascii="Calibri" w:hAnsi="Calibri"/>
                <w:i/>
                <w:iCs/>
              </w:rPr>
              <w:t>Percentage of population aware of the existence of the legal framework and of the applicable measures in situations of discrimination, harassment, violence among the population. Target for 2021: 85%</w:t>
            </w:r>
          </w:p>
          <w:p w:rsidR="00CC6B6C" w:rsidRPr="00AA2349" w:rsidRDefault="00CC6B6C" w:rsidP="00DB7106">
            <w:pPr>
              <w:jc w:val="both"/>
              <w:rPr>
                <w:rFonts w:ascii="Calibri" w:hAnsi="Calibri" w:cs="Arial"/>
                <w:b/>
              </w:rPr>
            </w:pPr>
          </w:p>
        </w:tc>
      </w:tr>
    </w:tbl>
    <w:p w:rsidR="003904E0" w:rsidRPr="003A1E71" w:rsidRDefault="003904E0" w:rsidP="003904E0">
      <w:pPr>
        <w:rPr>
          <w:rFonts w:ascii="Calibri" w:hAnsi="Calibri" w:cs="Arial Narrow"/>
        </w:rPr>
      </w:pPr>
    </w:p>
    <w:p w:rsidR="003904E0" w:rsidRPr="004A7EF0" w:rsidRDefault="003904E0" w:rsidP="00CC6B6C">
      <w:pPr>
        <w:widowControl w:val="0"/>
        <w:shd w:val="clear" w:color="auto" w:fill="99CCFF"/>
        <w:spacing w:after="120" w:line="320" w:lineRule="exact"/>
        <w:rPr>
          <w:rFonts w:ascii="Calibri" w:hAnsi="Calibri" w:cs="Arial Narrow"/>
          <w:b/>
          <w:color w:val="000080"/>
        </w:rPr>
      </w:pPr>
      <w:r>
        <w:rPr>
          <w:rFonts w:ascii="Calibri" w:hAnsi="Calibri"/>
          <w:b/>
          <w:color w:val="000080"/>
        </w:rPr>
        <w:t xml:space="preserve"> Social dialogue policy</w:t>
      </w:r>
    </w:p>
    <w:p w:rsidR="00CC6B6C" w:rsidRDefault="00CC6B6C" w:rsidP="00CC6B6C">
      <w:pPr>
        <w:tabs>
          <w:tab w:val="num" w:pos="720"/>
        </w:tabs>
        <w:ind w:firstLine="720"/>
        <w:rPr>
          <w:rFonts w:ascii="Calibri" w:hAnsi="Calibri"/>
          <w:b/>
        </w:rPr>
      </w:pPr>
      <w:r>
        <w:rPr>
          <w:rFonts w:ascii="Calibri" w:hAnsi="Calibri"/>
          <w:b/>
        </w:rPr>
        <w:t>IV. Consolidating social dialogue</w:t>
      </w:r>
    </w:p>
    <w:p w:rsidR="00CC6B6C" w:rsidRDefault="00CC6B6C" w:rsidP="00CC6B6C">
      <w:pPr>
        <w:tabs>
          <w:tab w:val="num" w:pos="720"/>
        </w:tabs>
        <w:ind w:firstLine="720"/>
        <w:rPr>
          <w:rFonts w:ascii="Calibri" w:hAnsi="Calibri"/>
          <w:b/>
        </w:rPr>
      </w:pPr>
      <w:r>
        <w:rPr>
          <w:rFonts w:ascii="Calibri" w:hAnsi="Calibri"/>
          <w:b/>
        </w:rPr>
        <w:t>4.1.</w:t>
      </w:r>
      <w:r>
        <w:rPr>
          <w:rFonts w:ascii="Calibri" w:hAnsi="Calibri"/>
        </w:rPr>
        <w:t xml:space="preserve"> Elaboration of the Risk anticipation map</w:t>
      </w:r>
    </w:p>
    <w:p w:rsidR="00CC6B6C" w:rsidRPr="003964D3" w:rsidRDefault="00CC6B6C" w:rsidP="00CC6B6C">
      <w:pPr>
        <w:tabs>
          <w:tab w:val="num" w:pos="720"/>
        </w:tabs>
        <w:ind w:firstLine="720"/>
        <w:rPr>
          <w:rFonts w:ascii="Calibri" w:hAnsi="Calibri"/>
          <w:b/>
        </w:rPr>
      </w:pPr>
      <w:r>
        <w:rPr>
          <w:rFonts w:ascii="Calibri" w:hAnsi="Calibri"/>
          <w:b/>
        </w:rPr>
        <w:t>4.2.</w:t>
      </w:r>
      <w:r>
        <w:rPr>
          <w:rFonts w:ascii="Calibri" w:hAnsi="Calibri"/>
        </w:rPr>
        <w:t xml:space="preserve"> Extending the framework of operation of social dialogue and consolidating the institutional capacity that corresponds to the performance of social dialogue.</w:t>
      </w:r>
    </w:p>
    <w:p w:rsidR="00CC6B6C" w:rsidRDefault="00CC6B6C" w:rsidP="00CC6B6C">
      <w:pPr>
        <w:tabs>
          <w:tab w:val="num" w:pos="720"/>
        </w:tabs>
        <w:ind w:firstLine="720"/>
        <w:rPr>
          <w:rFonts w:ascii="Calibri" w:hAnsi="Calibri"/>
          <w:b/>
        </w:rPr>
      </w:pPr>
      <w:r>
        <w:rPr>
          <w:rFonts w:ascii="Calibri" w:hAnsi="Calibri"/>
          <w:b/>
        </w:rPr>
        <w:t>Impact</w:t>
      </w:r>
      <w:r>
        <w:rPr>
          <w:rFonts w:ascii="Calibri" w:hAnsi="Calibri"/>
        </w:rPr>
        <w:t>: share of mediated labor conflicts, target for 2021: 10%</w:t>
      </w:r>
    </w:p>
    <w:p w:rsidR="00CC6B6C" w:rsidRPr="00A8724C" w:rsidRDefault="00CC6B6C" w:rsidP="00CC6B6C">
      <w:pPr>
        <w:tabs>
          <w:tab w:val="num" w:pos="720"/>
        </w:tabs>
        <w:ind w:firstLine="720"/>
        <w:rPr>
          <w:rFonts w:ascii="Calibri" w:hAnsi="Calibri"/>
          <w:b/>
        </w:rPr>
      </w:pPr>
      <w:r>
        <w:rPr>
          <w:rFonts w:ascii="Calibri" w:hAnsi="Calibri"/>
          <w:b/>
        </w:rPr>
        <w:t xml:space="preserve">Results sought: </w:t>
      </w:r>
    </w:p>
    <w:p w:rsidR="00CC6B6C" w:rsidRPr="00A8724C" w:rsidRDefault="00CC6B6C" w:rsidP="00021698">
      <w:pPr>
        <w:numPr>
          <w:ilvl w:val="0"/>
          <w:numId w:val="99"/>
        </w:numPr>
        <w:tabs>
          <w:tab w:val="num" w:pos="720"/>
        </w:tabs>
        <w:spacing w:line="276" w:lineRule="auto"/>
        <w:rPr>
          <w:rFonts w:ascii="Calibri" w:hAnsi="Calibri" w:cs="Calibri"/>
        </w:rPr>
      </w:pPr>
      <w:r>
        <w:rPr>
          <w:rFonts w:ascii="Calibri" w:hAnsi="Calibri"/>
          <w:b/>
        </w:rPr>
        <w:t>(4.1.1)</w:t>
      </w:r>
      <w:r>
        <w:rPr>
          <w:rFonts w:ascii="Calibri" w:hAnsi="Calibri"/>
          <w:bCs/>
        </w:rPr>
        <w:t xml:space="preserve">Identification of the conflict potential: </w:t>
      </w:r>
      <w:r>
        <w:rPr>
          <w:rFonts w:ascii="Calibri" w:hAnsi="Calibri"/>
          <w:i/>
          <w:iCs/>
        </w:rPr>
        <w:t>Share of potential conflicts identified for which it will be decided to take measures of intervention in the initial phase. Target for 2021: 20%</w:t>
      </w:r>
    </w:p>
    <w:p w:rsidR="00CC6B6C" w:rsidRPr="00A8724C" w:rsidRDefault="00CC6B6C" w:rsidP="00021698">
      <w:pPr>
        <w:numPr>
          <w:ilvl w:val="0"/>
          <w:numId w:val="99"/>
        </w:numPr>
        <w:tabs>
          <w:tab w:val="num" w:pos="720"/>
        </w:tabs>
        <w:spacing w:line="276" w:lineRule="auto"/>
        <w:rPr>
          <w:rFonts w:ascii="Calibri" w:hAnsi="Calibri" w:cs="Calibri"/>
        </w:rPr>
      </w:pPr>
      <w:r>
        <w:rPr>
          <w:rFonts w:ascii="Calibri" w:hAnsi="Calibri"/>
          <w:b/>
        </w:rPr>
        <w:t xml:space="preserve">(4.2.1) </w:t>
      </w:r>
      <w:r>
        <w:rPr>
          <w:rFonts w:ascii="Calibri" w:hAnsi="Calibri"/>
          <w:bCs/>
        </w:rPr>
        <w:t xml:space="preserve">Increasing the efficiency of the process of mediation and arbitrage of labor conflicts: </w:t>
      </w:r>
      <w:r>
        <w:rPr>
          <w:rFonts w:ascii="Calibri" w:hAnsi="Calibri"/>
          <w:i/>
          <w:iCs/>
        </w:rPr>
        <w:t>Share of labor conflicts extinguished in total labor conflicts. Target for 2021: 50%.</w:t>
      </w:r>
    </w:p>
    <w:p w:rsidR="00CC6B6C" w:rsidRDefault="00CC6B6C" w:rsidP="00CC6B6C">
      <w:pPr>
        <w:widowControl w:val="0"/>
        <w:spacing w:line="320" w:lineRule="exact"/>
        <w:rPr>
          <w:rFonts w:ascii="Calibri" w:hAnsi="Calibri" w:cs="Arial Narrow"/>
          <w:b/>
          <w:color w:val="000080"/>
        </w:rPr>
      </w:pPr>
    </w:p>
    <w:p w:rsidR="003904E0" w:rsidRPr="003964D3" w:rsidRDefault="003904E0" w:rsidP="003904E0">
      <w:pPr>
        <w:widowControl w:val="0"/>
        <w:shd w:val="clear" w:color="auto" w:fill="99CCFF"/>
        <w:spacing w:line="320" w:lineRule="exact"/>
        <w:rPr>
          <w:rFonts w:ascii="Calibri" w:hAnsi="Calibri" w:cs="Arial Narrow"/>
        </w:rPr>
      </w:pPr>
      <w:r>
        <w:rPr>
          <w:rFonts w:ascii="Calibri" w:hAnsi="Calibri"/>
          <w:b/>
          <w:color w:val="000080"/>
        </w:rPr>
        <w:t xml:space="preserve">Developing the institutional capacity in the field of labor and social justice </w:t>
      </w:r>
    </w:p>
    <w:p w:rsidR="003904E0" w:rsidRPr="003964D3" w:rsidRDefault="003904E0" w:rsidP="003904E0">
      <w:pPr>
        <w:suppressAutoHyphens/>
        <w:spacing w:after="120"/>
        <w:jc w:val="both"/>
        <w:rPr>
          <w:lang w:val="fr-FR"/>
        </w:rPr>
      </w:pPr>
    </w:p>
    <w:p w:rsidR="00CC6B6C" w:rsidRPr="003964D3" w:rsidRDefault="00CC6B6C" w:rsidP="00CC6B6C">
      <w:pPr>
        <w:tabs>
          <w:tab w:val="num" w:pos="720"/>
        </w:tabs>
        <w:ind w:firstLine="720"/>
        <w:rPr>
          <w:rFonts w:ascii="Calibri" w:hAnsi="Calibri"/>
          <w:b/>
        </w:rPr>
      </w:pPr>
      <w:r>
        <w:rPr>
          <w:rFonts w:ascii="Calibri" w:hAnsi="Calibri"/>
          <w:b/>
        </w:rPr>
        <w:t>V. Consolidating the capacities of the MLSJ to fulfill its functions of elaboration and implementation of public policies and of regulation in its field of activity</w:t>
      </w:r>
    </w:p>
    <w:p w:rsidR="00CC6B6C" w:rsidRPr="003964D3" w:rsidRDefault="00CC6B6C" w:rsidP="00CC6B6C">
      <w:pPr>
        <w:tabs>
          <w:tab w:val="num" w:pos="720"/>
        </w:tabs>
        <w:ind w:firstLine="720"/>
        <w:rPr>
          <w:rFonts w:ascii="Calibri" w:hAnsi="Calibri"/>
          <w:b/>
        </w:rPr>
      </w:pPr>
      <w:r>
        <w:rPr>
          <w:rFonts w:ascii="Calibri" w:hAnsi="Calibri"/>
          <w:b/>
        </w:rPr>
        <w:t>5.1.</w:t>
      </w:r>
      <w:r>
        <w:rPr>
          <w:rFonts w:ascii="Calibri" w:hAnsi="Calibri"/>
        </w:rPr>
        <w:t xml:space="preserve"> Developing the administrative capacity of the institutions from the labor and social justice sector.</w:t>
      </w:r>
    </w:p>
    <w:p w:rsidR="00CC6B6C" w:rsidRPr="003964D3" w:rsidRDefault="00CC6B6C" w:rsidP="00CC6B6C">
      <w:pPr>
        <w:tabs>
          <w:tab w:val="num" w:pos="720"/>
        </w:tabs>
        <w:ind w:firstLine="720"/>
        <w:rPr>
          <w:rFonts w:ascii="Calibri" w:hAnsi="Calibri"/>
          <w:b/>
        </w:rPr>
      </w:pPr>
      <w:r>
        <w:rPr>
          <w:rFonts w:ascii="Calibri" w:hAnsi="Calibri"/>
          <w:b/>
        </w:rPr>
        <w:t>5.2.</w:t>
      </w:r>
      <w:r>
        <w:rPr>
          <w:rFonts w:ascii="Calibri" w:hAnsi="Calibri"/>
        </w:rPr>
        <w:t xml:space="preserve"> Information and Communications Technology (ICT) in the labor and social justice sector; efficient ICT governance and cyber-security; performing human resources policies for ICT specialists; maintenance; development and modernization of ICT systems</w:t>
      </w:r>
    </w:p>
    <w:p w:rsidR="00CC6B6C" w:rsidRPr="00A8724C" w:rsidRDefault="00CC6B6C" w:rsidP="00CC6B6C">
      <w:pPr>
        <w:tabs>
          <w:tab w:val="num" w:pos="720"/>
        </w:tabs>
        <w:ind w:firstLine="720"/>
        <w:rPr>
          <w:rFonts w:ascii="Calibri" w:hAnsi="Calibri"/>
          <w:b/>
        </w:rPr>
      </w:pPr>
      <w:r>
        <w:rPr>
          <w:rFonts w:ascii="Calibri" w:hAnsi="Calibri"/>
          <w:b/>
        </w:rPr>
        <w:t>Results sought:</w:t>
      </w:r>
    </w:p>
    <w:p w:rsidR="00CC6B6C" w:rsidRPr="00A8724C" w:rsidRDefault="00CC6B6C" w:rsidP="00021698">
      <w:pPr>
        <w:numPr>
          <w:ilvl w:val="0"/>
          <w:numId w:val="100"/>
        </w:numPr>
        <w:tabs>
          <w:tab w:val="num" w:pos="720"/>
        </w:tabs>
        <w:spacing w:line="276" w:lineRule="auto"/>
        <w:rPr>
          <w:rFonts w:ascii="Calibri" w:hAnsi="Calibri" w:cs="Calibri"/>
        </w:rPr>
      </w:pPr>
      <w:r>
        <w:rPr>
          <w:rFonts w:ascii="Calibri" w:hAnsi="Calibri"/>
          <w:b/>
          <w:bCs/>
        </w:rPr>
        <w:t>(5.1.1)</w:t>
      </w:r>
      <w:r>
        <w:rPr>
          <w:rFonts w:ascii="Calibri" w:hAnsi="Calibri"/>
          <w:bCs/>
        </w:rPr>
        <w:t xml:space="preserve">Improving the functional stability of the MLSJ and of the institutions subordinated thereto, ensuring performing management of public funds through the application of internal/management control standards. </w:t>
      </w:r>
    </w:p>
    <w:p w:rsidR="00CC6B6C" w:rsidRPr="003964D3" w:rsidRDefault="00CC6B6C" w:rsidP="00021698">
      <w:pPr>
        <w:numPr>
          <w:ilvl w:val="0"/>
          <w:numId w:val="100"/>
        </w:numPr>
        <w:tabs>
          <w:tab w:val="num" w:pos="720"/>
        </w:tabs>
        <w:spacing w:line="276" w:lineRule="auto"/>
        <w:rPr>
          <w:rFonts w:ascii="Calibri" w:hAnsi="Calibri" w:cs="Calibri"/>
        </w:rPr>
      </w:pPr>
      <w:r>
        <w:rPr>
          <w:rFonts w:ascii="Calibri" w:hAnsi="Calibri"/>
          <w:b/>
          <w:bCs/>
        </w:rPr>
        <w:t>(5.1.2)</w:t>
      </w:r>
      <w:r>
        <w:rPr>
          <w:rFonts w:ascii="Calibri" w:hAnsi="Calibri"/>
          <w:bCs/>
        </w:rPr>
        <w:t xml:space="preserve"> Increasing the effectiveness and transparency of the processes of elaboration, assessment and implementation of quality public policies, substantiated by impact studies; </w:t>
      </w:r>
      <w:r>
        <w:rPr>
          <w:rFonts w:ascii="Calibri" w:hAnsi="Calibri"/>
          <w:bCs/>
          <w:i/>
        </w:rPr>
        <w:t>Share of public policies/legislative acts approved by the MLSJ for which impact studies have been elaborated in the total number of public policies/legislative acts approved by the MLSJ</w:t>
      </w:r>
      <w:r>
        <w:rPr>
          <w:rFonts w:ascii="Calibri" w:hAnsi="Calibri"/>
          <w:bCs/>
        </w:rPr>
        <w:t>.</w:t>
      </w:r>
      <w:r>
        <w:rPr>
          <w:rFonts w:ascii="Calibri" w:hAnsi="Calibri"/>
          <w:i/>
          <w:iCs/>
        </w:rPr>
        <w:t xml:space="preserve"> </w:t>
      </w:r>
    </w:p>
    <w:p w:rsidR="00CC6B6C" w:rsidRPr="003964D3" w:rsidRDefault="00CC6B6C" w:rsidP="00021698">
      <w:pPr>
        <w:numPr>
          <w:ilvl w:val="0"/>
          <w:numId w:val="100"/>
        </w:numPr>
        <w:tabs>
          <w:tab w:val="num" w:pos="720"/>
        </w:tabs>
        <w:spacing w:line="276" w:lineRule="auto"/>
        <w:rPr>
          <w:rFonts w:ascii="Calibri" w:hAnsi="Calibri" w:cs="Calibri"/>
        </w:rPr>
      </w:pPr>
      <w:r>
        <w:rPr>
          <w:rFonts w:ascii="Calibri" w:hAnsi="Calibri"/>
          <w:b/>
          <w:bCs/>
        </w:rPr>
        <w:t>(5.1.3)</w:t>
      </w:r>
      <w:r>
        <w:rPr>
          <w:rFonts w:ascii="Calibri" w:hAnsi="Calibri"/>
          <w:bCs/>
        </w:rPr>
        <w:t xml:space="preserve"> Increasing the professional quality of the human resources from the labor and social justice sector, the degree of knowledge, understanding and application of integrity standards.</w:t>
      </w:r>
      <w:r>
        <w:rPr>
          <w:rFonts w:ascii="Calibri" w:hAnsi="Calibri"/>
        </w:rPr>
        <w:t xml:space="preserve"> </w:t>
      </w:r>
    </w:p>
    <w:p w:rsidR="00CC6B6C" w:rsidRPr="003964D3" w:rsidRDefault="00CC6B6C" w:rsidP="00021698">
      <w:pPr>
        <w:numPr>
          <w:ilvl w:val="0"/>
          <w:numId w:val="100"/>
        </w:numPr>
        <w:tabs>
          <w:tab w:val="num" w:pos="720"/>
        </w:tabs>
        <w:spacing w:line="276" w:lineRule="auto"/>
        <w:rPr>
          <w:rFonts w:ascii="Calibri" w:hAnsi="Calibri" w:cs="Calibri"/>
        </w:rPr>
      </w:pPr>
      <w:r>
        <w:rPr>
          <w:rFonts w:ascii="Calibri" w:hAnsi="Calibri"/>
          <w:b/>
          <w:bCs/>
        </w:rPr>
        <w:t>(5.2.1)</w:t>
      </w:r>
      <w:r>
        <w:rPr>
          <w:rFonts w:ascii="Calibri" w:hAnsi="Calibri"/>
          <w:bCs/>
        </w:rPr>
        <w:t xml:space="preserve"> Strengthening ICT governance, adopting ICT standards and policies at cross-ministry level, as well as increasing the professional quality of ICT specialists from the labor and social justice sector. </w:t>
      </w:r>
      <w:r>
        <w:rPr>
          <w:rFonts w:ascii="Calibri" w:hAnsi="Calibri"/>
        </w:rPr>
        <w:t xml:space="preserve"> </w:t>
      </w:r>
    </w:p>
    <w:p w:rsidR="00CC6B6C" w:rsidRPr="003964D3" w:rsidRDefault="00CC6B6C" w:rsidP="00021698">
      <w:pPr>
        <w:numPr>
          <w:ilvl w:val="0"/>
          <w:numId w:val="100"/>
        </w:numPr>
        <w:tabs>
          <w:tab w:val="num" w:pos="720"/>
        </w:tabs>
        <w:spacing w:line="276" w:lineRule="auto"/>
        <w:rPr>
          <w:rFonts w:ascii="Calibri" w:hAnsi="Calibri" w:cs="Calibri"/>
        </w:rPr>
      </w:pPr>
      <w:r>
        <w:rPr>
          <w:rFonts w:ascii="Calibri" w:hAnsi="Calibri"/>
          <w:b/>
          <w:bCs/>
        </w:rPr>
        <w:t>(5.2.2)</w:t>
      </w:r>
      <w:r>
        <w:rPr>
          <w:rFonts w:ascii="Calibri" w:hAnsi="Calibri"/>
          <w:bCs/>
        </w:rPr>
        <w:t xml:space="preserve"> Improving the functional stability of ICT systems and equipment; modernization and simplification of informational flows through digitalization and increasing cross-ministry interoperability/data exchange; increasing the capacity for complex cross-ministry analyses; as well as increasing transparency and public/open data.</w:t>
      </w:r>
      <w:r>
        <w:rPr>
          <w:rFonts w:ascii="Calibri" w:hAnsi="Calibri"/>
        </w:rPr>
        <w:t xml:space="preserve"> </w:t>
      </w:r>
    </w:p>
    <w:p w:rsidR="005A1EDA" w:rsidRDefault="005A1EDA" w:rsidP="003904E0">
      <w:pPr>
        <w:rPr>
          <w:rFonts w:ascii="Calibri" w:eastAsia="Arial Narrow" w:hAnsi="Calibri" w:cs="Arial Narrow"/>
          <w:color w:val="FF0000"/>
          <w:lang w:val="ro-RO"/>
        </w:rPr>
      </w:pPr>
    </w:p>
    <w:p w:rsidR="000058BD" w:rsidRPr="00C86702" w:rsidRDefault="000058BD" w:rsidP="000058BD">
      <w:pPr>
        <w:rPr>
          <w:rFonts w:ascii="Calibri" w:hAnsi="Calibri" w:cs="Arial Narrow"/>
          <w:lang w:val="ro-RO"/>
        </w:rPr>
      </w:pPr>
    </w:p>
    <w:p w:rsidR="000058BD" w:rsidRPr="00C86702" w:rsidRDefault="000058BD" w:rsidP="000058BD">
      <w:pPr>
        <w:shd w:val="clear" w:color="auto" w:fill="99CCFF"/>
        <w:ind w:right="-2"/>
        <w:rPr>
          <w:rFonts w:ascii="Calibri" w:hAnsi="Calibri" w:cs="Arial Narrow"/>
          <w:b/>
          <w:color w:val="000080"/>
        </w:rPr>
      </w:pPr>
      <w:r>
        <w:rPr>
          <w:rFonts w:ascii="Calibri" w:hAnsi="Calibri"/>
          <w:b/>
          <w:color w:val="000080"/>
        </w:rPr>
        <w:t>Policy in the field of transport and infrastructure</w:t>
      </w:r>
    </w:p>
    <w:p w:rsidR="006720DC" w:rsidRDefault="006720DC" w:rsidP="006720DC">
      <w:pPr>
        <w:rPr>
          <w:rFonts w:ascii="Calibri" w:hAnsi="Calibri"/>
          <w:lang w:val="ro-RO"/>
        </w:rPr>
      </w:pPr>
    </w:p>
    <w:p w:rsidR="00587A02" w:rsidRPr="00587A02" w:rsidRDefault="00587A02" w:rsidP="00587A02">
      <w:pPr>
        <w:jc w:val="both"/>
        <w:rPr>
          <w:rFonts w:ascii="Calibri" w:hAnsi="Calibri"/>
        </w:rPr>
      </w:pPr>
      <w:r>
        <w:rPr>
          <w:rFonts w:ascii="Calibri" w:hAnsi="Calibri"/>
        </w:rPr>
        <w:t xml:space="preserve">The activity in the field of transport and infrastructure mainly refers to increasing Romania’s accessibility through integration of national railway, road, naval, air, </w:t>
      </w:r>
      <w:r w:rsidR="00F00F75">
        <w:rPr>
          <w:rFonts w:ascii="Calibri" w:hAnsi="Calibri"/>
        </w:rPr>
        <w:t>multi-mode</w:t>
      </w:r>
      <w:r>
        <w:rPr>
          <w:rFonts w:ascii="Calibri" w:hAnsi="Calibri"/>
        </w:rPr>
        <w:t xml:space="preserve"> transport networks and logistics networks in the European networks, respectively the international ones, at the same time as obtaining a balanced development of the national transport system, the local and regional economy, improving passenger comfort and increasing their safety, making freight transport more efficient, increasing population mobility and improving environmental quality.</w:t>
      </w:r>
    </w:p>
    <w:p w:rsidR="00587A02" w:rsidRPr="00587A02" w:rsidRDefault="00587A02" w:rsidP="00587A02">
      <w:pPr>
        <w:rPr>
          <w:rFonts w:ascii="Calibri" w:hAnsi="Calibri"/>
          <w:lang w:val="ro-RO"/>
        </w:rPr>
      </w:pPr>
    </w:p>
    <w:p w:rsidR="00587A02" w:rsidRDefault="00587A02" w:rsidP="00587A02">
      <w:pPr>
        <w:autoSpaceDE w:val="0"/>
        <w:autoSpaceDN w:val="0"/>
        <w:adjustRightInd w:val="0"/>
        <w:jc w:val="both"/>
        <w:rPr>
          <w:rFonts w:ascii="Calibri" w:hAnsi="Calibri"/>
          <w:b/>
          <w:color w:val="000080"/>
        </w:rPr>
      </w:pPr>
      <w:r>
        <w:rPr>
          <w:rFonts w:ascii="Calibri" w:hAnsi="Calibri"/>
          <w:b/>
          <w:color w:val="333399"/>
        </w:rPr>
        <w:t>The general objective</w:t>
      </w:r>
      <w:r>
        <w:rPr>
          <w:rFonts w:ascii="Calibri" w:hAnsi="Calibri"/>
        </w:rPr>
        <w:t xml:space="preserve"> for the transport field, which was undertaken through strategic documents, is represented by </w:t>
      </w:r>
      <w:r>
        <w:rPr>
          <w:rFonts w:ascii="Calibri" w:hAnsi="Calibri"/>
          <w:b/>
          <w:color w:val="000080"/>
        </w:rPr>
        <w:t>the assurance of the infrastructure and services, as support for the economic and social activity for life quality improvement.</w:t>
      </w:r>
    </w:p>
    <w:p w:rsidR="00876888" w:rsidRDefault="00876888" w:rsidP="00587A02">
      <w:pPr>
        <w:autoSpaceDE w:val="0"/>
        <w:autoSpaceDN w:val="0"/>
        <w:adjustRightInd w:val="0"/>
        <w:jc w:val="both"/>
        <w:rPr>
          <w:rFonts w:ascii="Calibri" w:hAnsi="Calibri"/>
          <w:b/>
          <w:color w:val="000080"/>
          <w:lang w:val="ro-RO"/>
        </w:rPr>
      </w:pPr>
    </w:p>
    <w:tbl>
      <w:tblPr>
        <w:tblW w:w="5000" w:type="pct"/>
        <w:tblLook w:val="01E0" w:firstRow="1" w:lastRow="1" w:firstColumn="1" w:lastColumn="1" w:noHBand="0" w:noVBand="0"/>
      </w:tblPr>
      <w:tblGrid>
        <w:gridCol w:w="2436"/>
        <w:gridCol w:w="7645"/>
      </w:tblGrid>
      <w:tr w:rsidR="00876888" w:rsidRPr="008368B9" w:rsidTr="00CE74E0">
        <w:trPr>
          <w:trHeight w:val="2335"/>
        </w:trPr>
        <w:tc>
          <w:tcPr>
            <w:tcW w:w="1208" w:type="pct"/>
          </w:tcPr>
          <w:p w:rsidR="00876888" w:rsidRPr="00587A02" w:rsidRDefault="00876888" w:rsidP="00876888">
            <w:pPr>
              <w:rPr>
                <w:rFonts w:ascii="Calibri" w:hAnsi="Calibri" w:cs="Arial"/>
                <w:b/>
                <w:color w:val="000080"/>
              </w:rPr>
            </w:pPr>
            <w:r>
              <w:rPr>
                <w:rFonts w:ascii="Calibri" w:hAnsi="Calibri"/>
                <w:b/>
                <w:color w:val="000080"/>
              </w:rPr>
              <w:t>General measures and mandatory actions to reach the general objective:</w:t>
            </w:r>
          </w:p>
        </w:tc>
        <w:tc>
          <w:tcPr>
            <w:tcW w:w="3792" w:type="pct"/>
          </w:tcPr>
          <w:p w:rsidR="00CE74E0" w:rsidRPr="00715536" w:rsidRDefault="00CE74E0" w:rsidP="00876888">
            <w:pPr>
              <w:autoSpaceDE w:val="0"/>
              <w:autoSpaceDN w:val="0"/>
              <w:adjustRightInd w:val="0"/>
              <w:jc w:val="both"/>
              <w:rPr>
                <w:rFonts w:ascii="Calibri" w:hAnsi="Calibri"/>
              </w:rPr>
            </w:pPr>
            <w:r>
              <w:rPr>
                <w:rFonts w:ascii="Calibri" w:hAnsi="Calibri"/>
              </w:rPr>
              <w:t xml:space="preserve">Increasing competitiveness between the modes of transport </w:t>
            </w:r>
          </w:p>
          <w:p w:rsidR="00CE74E0" w:rsidRPr="00715536" w:rsidRDefault="00CE74E0" w:rsidP="00876888">
            <w:pPr>
              <w:autoSpaceDE w:val="0"/>
              <w:autoSpaceDN w:val="0"/>
              <w:adjustRightInd w:val="0"/>
              <w:jc w:val="both"/>
              <w:rPr>
                <w:rFonts w:ascii="Calibri" w:hAnsi="Calibri"/>
              </w:rPr>
            </w:pPr>
            <w:r>
              <w:rPr>
                <w:rFonts w:ascii="Calibri" w:hAnsi="Calibri"/>
              </w:rPr>
              <w:t xml:space="preserve">Improving transport services through investments in the rolling stock park </w:t>
            </w:r>
          </w:p>
          <w:p w:rsidR="00CE74E0" w:rsidRPr="00CE74E0" w:rsidRDefault="00CE74E0" w:rsidP="00CE74E0">
            <w:pPr>
              <w:pStyle w:val="Default"/>
              <w:spacing w:line="360" w:lineRule="auto"/>
              <w:jc w:val="both"/>
              <w:rPr>
                <w:rFonts w:ascii="Calibri" w:hAnsi="Calibri"/>
              </w:rPr>
            </w:pPr>
            <w:r>
              <w:rPr>
                <w:rFonts w:ascii="Calibri" w:hAnsi="Calibri"/>
              </w:rPr>
              <w:t xml:space="preserve">Modernization of railway stations </w:t>
            </w:r>
          </w:p>
          <w:p w:rsidR="00CE74E0" w:rsidRPr="00CE74E0" w:rsidRDefault="00CE74E0" w:rsidP="00CE74E0">
            <w:pPr>
              <w:pStyle w:val="Default"/>
              <w:spacing w:line="360" w:lineRule="auto"/>
              <w:jc w:val="both"/>
              <w:rPr>
                <w:rFonts w:ascii="Calibri" w:hAnsi="Calibri"/>
              </w:rPr>
            </w:pPr>
            <w:r>
              <w:rPr>
                <w:rFonts w:ascii="Calibri" w:hAnsi="Calibri"/>
              </w:rPr>
              <w:t xml:space="preserve">Modernization of ports and airports </w:t>
            </w:r>
          </w:p>
          <w:p w:rsidR="00CE74E0" w:rsidRPr="00715536" w:rsidRDefault="00CE74E0" w:rsidP="00CE74E0">
            <w:pPr>
              <w:pStyle w:val="Default"/>
              <w:spacing w:line="360" w:lineRule="auto"/>
              <w:jc w:val="both"/>
              <w:rPr>
                <w:rFonts w:ascii="Calibri" w:hAnsi="Calibri"/>
              </w:rPr>
            </w:pPr>
            <w:r>
              <w:rPr>
                <w:rFonts w:ascii="Calibri" w:hAnsi="Calibri"/>
              </w:rPr>
              <w:t xml:space="preserve">High quality road infrastructure </w:t>
            </w:r>
          </w:p>
          <w:p w:rsidR="00876888" w:rsidRPr="00587A02" w:rsidRDefault="00CE74E0" w:rsidP="00CE74E0">
            <w:pPr>
              <w:autoSpaceDE w:val="0"/>
              <w:autoSpaceDN w:val="0"/>
              <w:adjustRightInd w:val="0"/>
              <w:jc w:val="both"/>
              <w:rPr>
                <w:rFonts w:ascii="Calibri" w:hAnsi="Calibri"/>
              </w:rPr>
            </w:pPr>
            <w:r>
              <w:rPr>
                <w:rFonts w:ascii="Calibri" w:hAnsi="Calibri"/>
              </w:rPr>
              <w:t>Extending multi-mode transport</w:t>
            </w:r>
          </w:p>
        </w:tc>
      </w:tr>
    </w:tbl>
    <w:p w:rsidR="00876888" w:rsidRPr="00587A02" w:rsidRDefault="00876888" w:rsidP="00587A02">
      <w:pPr>
        <w:autoSpaceDE w:val="0"/>
        <w:autoSpaceDN w:val="0"/>
        <w:adjustRightInd w:val="0"/>
        <w:jc w:val="both"/>
        <w:rPr>
          <w:rFonts w:ascii="Calibri" w:hAnsi="Calibri"/>
          <w:b/>
          <w:color w:val="000080"/>
          <w:lang w:val="ro-RO"/>
        </w:rPr>
      </w:pPr>
    </w:p>
    <w:p w:rsidR="00587A02" w:rsidRPr="00587A02" w:rsidRDefault="00587A02" w:rsidP="00587A02">
      <w:pPr>
        <w:rPr>
          <w:rFonts w:ascii="Calibri" w:hAnsi="Calibri"/>
          <w:lang w:val="ro-RO"/>
        </w:rPr>
      </w:pPr>
    </w:p>
    <w:tbl>
      <w:tblPr>
        <w:tblW w:w="5000" w:type="pct"/>
        <w:tblLook w:val="01E0" w:firstRow="1" w:lastRow="1" w:firstColumn="1" w:lastColumn="1" w:noHBand="0" w:noVBand="0"/>
      </w:tblPr>
      <w:tblGrid>
        <w:gridCol w:w="2436"/>
        <w:gridCol w:w="7645"/>
      </w:tblGrid>
      <w:tr w:rsidR="00587A02" w:rsidRPr="008368B9" w:rsidTr="004548F2">
        <w:trPr>
          <w:trHeight w:val="837"/>
        </w:trPr>
        <w:tc>
          <w:tcPr>
            <w:tcW w:w="1208" w:type="pct"/>
          </w:tcPr>
          <w:p w:rsidR="00587A02" w:rsidRPr="00587A02" w:rsidRDefault="00587A02" w:rsidP="00587A02">
            <w:pPr>
              <w:rPr>
                <w:rFonts w:ascii="Calibri" w:hAnsi="Calibri" w:cs="Arial"/>
                <w:b/>
                <w:color w:val="000080"/>
              </w:rPr>
            </w:pPr>
            <w:r>
              <w:rPr>
                <w:rFonts w:ascii="Calibri" w:hAnsi="Calibri"/>
                <w:b/>
                <w:color w:val="000080"/>
              </w:rPr>
              <w:t>Strategic priorities in the field of transport infrastructure and services for the period 2019-2021:</w:t>
            </w:r>
          </w:p>
        </w:tc>
        <w:tc>
          <w:tcPr>
            <w:tcW w:w="3792" w:type="pct"/>
          </w:tcPr>
          <w:p w:rsidR="00587A02" w:rsidRPr="00587A02" w:rsidRDefault="00587A02" w:rsidP="00587A02">
            <w:pPr>
              <w:autoSpaceDE w:val="0"/>
              <w:autoSpaceDN w:val="0"/>
              <w:adjustRightInd w:val="0"/>
              <w:jc w:val="both"/>
              <w:rPr>
                <w:rFonts w:ascii="Calibri" w:hAnsi="Calibri"/>
              </w:rPr>
            </w:pPr>
            <w:r>
              <w:rPr>
                <w:rFonts w:ascii="Calibri" w:hAnsi="Calibri"/>
                <w:b/>
              </w:rPr>
              <w:t>Territorial cohesion</w:t>
            </w:r>
            <w:r>
              <w:rPr>
                <w:rFonts w:ascii="Calibri" w:hAnsi="Calibri"/>
              </w:rPr>
              <w:t>, ensuring interconnection of the national territory to international routes, as well as regional interconnectivity, ensuring the basic infrastructure necessary for modern transport economies</w:t>
            </w:r>
          </w:p>
          <w:p w:rsidR="00587A02" w:rsidRPr="00587A02" w:rsidRDefault="00587A02" w:rsidP="00587A02">
            <w:pPr>
              <w:autoSpaceDE w:val="0"/>
              <w:autoSpaceDN w:val="0"/>
              <w:adjustRightInd w:val="0"/>
              <w:jc w:val="both"/>
              <w:rPr>
                <w:rFonts w:ascii="Calibri" w:hAnsi="Calibri"/>
              </w:rPr>
            </w:pPr>
            <w:r>
              <w:rPr>
                <w:rFonts w:ascii="Calibri" w:hAnsi="Calibri"/>
                <w:b/>
              </w:rPr>
              <w:t>Efficiency</w:t>
            </w:r>
            <w:r>
              <w:rPr>
                <w:rFonts w:ascii="Calibri" w:hAnsi="Calibri"/>
              </w:rPr>
              <w:t>, through elimination of blockages and delays with impact on the economic and social environment</w:t>
            </w:r>
          </w:p>
          <w:p w:rsidR="00587A02" w:rsidRPr="00587A02" w:rsidRDefault="00587A02" w:rsidP="00587A02">
            <w:pPr>
              <w:autoSpaceDE w:val="0"/>
              <w:autoSpaceDN w:val="0"/>
              <w:adjustRightInd w:val="0"/>
              <w:jc w:val="both"/>
              <w:rPr>
                <w:rFonts w:ascii="Calibri" w:hAnsi="Calibri"/>
              </w:rPr>
            </w:pPr>
            <w:r>
              <w:rPr>
                <w:rFonts w:ascii="Calibri" w:hAnsi="Calibri"/>
                <w:b/>
              </w:rPr>
              <w:t>Durability</w:t>
            </w:r>
            <w:r>
              <w:rPr>
                <w:rFonts w:ascii="Calibri" w:hAnsi="Calibri"/>
              </w:rPr>
              <w:t>, through promotion and introduction of smart means of transport, less polluting, thus contributing to the fulfillment of the objectives of Europe 2020 Strategy.</w:t>
            </w:r>
          </w:p>
        </w:tc>
      </w:tr>
    </w:tbl>
    <w:p w:rsidR="00587A02" w:rsidRPr="00587A02" w:rsidRDefault="00587A02" w:rsidP="00587A02">
      <w:pPr>
        <w:rPr>
          <w:rFonts w:ascii="Calibri" w:hAnsi="Calibri" w:cs="Arial Narrow"/>
          <w:lang w:val="ro-RO"/>
        </w:rPr>
      </w:pPr>
    </w:p>
    <w:tbl>
      <w:tblPr>
        <w:tblW w:w="5000" w:type="pct"/>
        <w:tblLook w:val="01E0" w:firstRow="1" w:lastRow="1" w:firstColumn="1" w:lastColumn="1" w:noHBand="0" w:noVBand="0"/>
      </w:tblPr>
      <w:tblGrid>
        <w:gridCol w:w="2436"/>
        <w:gridCol w:w="7645"/>
      </w:tblGrid>
      <w:tr w:rsidR="00587A02" w:rsidRPr="008368B9" w:rsidTr="004548F2">
        <w:trPr>
          <w:trHeight w:val="2212"/>
        </w:trPr>
        <w:tc>
          <w:tcPr>
            <w:tcW w:w="5000" w:type="pct"/>
            <w:gridSpan w:val="2"/>
          </w:tcPr>
          <w:p w:rsidR="00587A02" w:rsidRPr="00587A02" w:rsidRDefault="00587A02" w:rsidP="00587A02">
            <w:pPr>
              <w:jc w:val="both"/>
              <w:rPr>
                <w:rFonts w:ascii="Calibri" w:eastAsia="Calibri" w:hAnsi="Calibri" w:cs="Calibri"/>
                <w:szCs w:val="22"/>
                <w:lang w:val="ro-RO"/>
              </w:rPr>
            </w:pPr>
          </w:p>
          <w:p w:rsidR="00587A02" w:rsidRPr="00587A02" w:rsidRDefault="00587A02" w:rsidP="00587A02">
            <w:pPr>
              <w:jc w:val="both"/>
              <w:rPr>
                <w:rFonts w:ascii="Calibri" w:eastAsia="Calibri" w:hAnsi="Calibri" w:cs="Calibri"/>
                <w:szCs w:val="22"/>
                <w:u w:val="single"/>
              </w:rPr>
            </w:pPr>
            <w:r>
              <w:rPr>
                <w:rFonts w:ascii="Calibri" w:hAnsi="Calibri"/>
                <w:szCs w:val="22"/>
                <w:u w:val="single"/>
              </w:rPr>
              <w:t>Financing policy proposed for 2019-2021</w:t>
            </w:r>
          </w:p>
          <w:p w:rsidR="00587A02" w:rsidRPr="00587A02" w:rsidRDefault="00587A02" w:rsidP="00587A02">
            <w:pPr>
              <w:jc w:val="both"/>
              <w:rPr>
                <w:rFonts w:ascii="Calibri" w:hAnsi="Calibri"/>
                <w:i/>
              </w:rPr>
            </w:pPr>
            <w:r>
              <w:rPr>
                <w:rFonts w:ascii="Calibri" w:hAnsi="Calibri"/>
                <w:szCs w:val="22"/>
              </w:rPr>
              <w:t xml:space="preserve">Considering the specific development needs of the transport infrastructure field, the financing policy proposed for the period 2019-2021 will consider </w:t>
            </w:r>
            <w:r>
              <w:rPr>
                <w:rFonts w:ascii="Calibri" w:hAnsi="Calibri"/>
                <w:i/>
                <w:szCs w:val="22"/>
              </w:rPr>
              <w:t>the prioritization of the public investment program</w:t>
            </w:r>
            <w:r>
              <w:rPr>
                <w:rFonts w:ascii="Calibri" w:hAnsi="Calibri"/>
                <w:szCs w:val="22"/>
              </w:rPr>
              <w:t>.</w:t>
            </w:r>
          </w:p>
          <w:p w:rsidR="00587A02" w:rsidRPr="00587A02" w:rsidRDefault="00587A02" w:rsidP="00587A02">
            <w:pPr>
              <w:jc w:val="both"/>
              <w:rPr>
                <w:rFonts w:ascii="Arial" w:hAnsi="Arial" w:cs="Arial"/>
                <w:i/>
              </w:rPr>
            </w:pPr>
            <w:r>
              <w:rPr>
                <w:rFonts w:ascii="Calibri" w:hAnsi="Calibri"/>
              </w:rPr>
              <w:t xml:space="preserve">At the same time, in the process of allocation of resources on programs/projects and modes of transport, the Ministry of Transport will seek </w:t>
            </w:r>
            <w:r>
              <w:rPr>
                <w:rFonts w:ascii="Calibri" w:hAnsi="Calibri"/>
                <w:i/>
              </w:rPr>
              <w:t>to implement a coherent financing policy, of massive attraction of non-reimbursable European funds, of gradual increase of the users’ participation to infrastructure financing, of encouraging the participation of the private sector through public-private partnership arrangements.</w:t>
            </w:r>
            <w:r>
              <w:rPr>
                <w:rFonts w:ascii="Calibri" w:hAnsi="Calibri"/>
              </w:rPr>
              <w:t xml:space="preserve"> </w:t>
            </w:r>
          </w:p>
          <w:p w:rsidR="00587A02" w:rsidRPr="003964D3" w:rsidRDefault="00587A02" w:rsidP="00587A02">
            <w:pPr>
              <w:jc w:val="both"/>
              <w:rPr>
                <w:rFonts w:ascii="Calibri" w:hAnsi="Calibri" w:cs="Calibri"/>
                <w:lang w:val="fr-FR"/>
              </w:rPr>
            </w:pPr>
          </w:p>
        </w:tc>
      </w:tr>
      <w:tr w:rsidR="00587A02" w:rsidRPr="008368B9" w:rsidTr="003A7AA6">
        <w:trPr>
          <w:trHeight w:val="1164"/>
        </w:trPr>
        <w:tc>
          <w:tcPr>
            <w:tcW w:w="1208" w:type="pct"/>
          </w:tcPr>
          <w:p w:rsidR="00587A02" w:rsidRPr="00587A02" w:rsidRDefault="00587A02" w:rsidP="00587A02">
            <w:pPr>
              <w:rPr>
                <w:rFonts w:ascii="Calibri" w:hAnsi="Calibri" w:cs="Arial"/>
                <w:color w:val="000080"/>
              </w:rPr>
            </w:pPr>
            <w:r>
              <w:rPr>
                <w:rFonts w:ascii="Calibri" w:hAnsi="Calibri"/>
                <w:b/>
                <w:color w:val="000080"/>
              </w:rPr>
              <w:t xml:space="preserve">General Transport Master Plan (GTMP) </w:t>
            </w:r>
          </w:p>
        </w:tc>
        <w:tc>
          <w:tcPr>
            <w:tcW w:w="3792" w:type="pct"/>
          </w:tcPr>
          <w:p w:rsidR="00587A02" w:rsidRPr="00587A02" w:rsidRDefault="00587A02" w:rsidP="00587A02">
            <w:pPr>
              <w:autoSpaceDE w:val="0"/>
              <w:autoSpaceDN w:val="0"/>
              <w:adjustRightInd w:val="0"/>
              <w:jc w:val="both"/>
              <w:rPr>
                <w:rFonts w:ascii="Calibri" w:hAnsi="Calibri"/>
              </w:rPr>
            </w:pPr>
            <w:r>
              <w:rPr>
                <w:rFonts w:ascii="Calibri" w:hAnsi="Calibri"/>
              </w:rPr>
              <w:t>It supplies the elements necessary to prioritize investments in the field of transport, for all modes of transport (road, railway, naval, air, multi-mode), based on a multi-criteria analysis.</w:t>
            </w:r>
          </w:p>
          <w:p w:rsidR="00587A02" w:rsidRPr="00587A02" w:rsidRDefault="00587A02" w:rsidP="00587A02">
            <w:pPr>
              <w:autoSpaceDE w:val="0"/>
              <w:autoSpaceDN w:val="0"/>
              <w:adjustRightInd w:val="0"/>
              <w:jc w:val="both"/>
              <w:rPr>
                <w:rFonts w:ascii="Calibri" w:hAnsi="Calibri"/>
                <w:lang w:val="ro-RO"/>
              </w:rPr>
            </w:pPr>
          </w:p>
          <w:p w:rsidR="00587A02" w:rsidRPr="00587A02" w:rsidRDefault="00587A02" w:rsidP="00587A02">
            <w:pPr>
              <w:jc w:val="both"/>
              <w:rPr>
                <w:rFonts w:ascii="Calibri" w:hAnsi="Calibri" w:cs="Arial"/>
                <w:lang w:val="ro-RO"/>
              </w:rPr>
            </w:pPr>
          </w:p>
        </w:tc>
      </w:tr>
    </w:tbl>
    <w:p w:rsidR="00CE74E0" w:rsidRPr="00CE74E0" w:rsidRDefault="00CE74E0" w:rsidP="00CE74E0">
      <w:pPr>
        <w:jc w:val="both"/>
        <w:rPr>
          <w:rFonts w:ascii="Calibri" w:hAnsi="Calibri" w:cs="Calibri"/>
        </w:rPr>
      </w:pPr>
      <w:r>
        <w:rPr>
          <w:rFonts w:ascii="Calibri" w:hAnsi="Calibri"/>
          <w:b/>
        </w:rPr>
        <w:t>The strategic priorities of the Ministry of Transport</w:t>
      </w:r>
      <w:r>
        <w:rPr>
          <w:rFonts w:ascii="Calibri" w:hAnsi="Calibri"/>
        </w:rPr>
        <w:t xml:space="preserve"> are mainly focused on:</w:t>
      </w:r>
    </w:p>
    <w:p w:rsidR="00CE74E0" w:rsidRPr="00CE74E0" w:rsidRDefault="00CE74E0" w:rsidP="00CE74E0">
      <w:pPr>
        <w:numPr>
          <w:ilvl w:val="0"/>
          <w:numId w:val="67"/>
        </w:numPr>
        <w:ind w:left="714" w:hanging="357"/>
        <w:contextualSpacing/>
        <w:jc w:val="both"/>
        <w:rPr>
          <w:rFonts w:ascii="Calibri" w:eastAsia="Calibri" w:hAnsi="Calibri" w:cs="Calibri"/>
          <w:szCs w:val="22"/>
        </w:rPr>
      </w:pPr>
      <w:r>
        <w:rPr>
          <w:rFonts w:ascii="Calibri" w:hAnsi="Calibri"/>
          <w:szCs w:val="22"/>
        </w:rPr>
        <w:t>completion of the works to the investment objectives/projects in advanced performance stages, with ensured financing;</w:t>
      </w:r>
    </w:p>
    <w:p w:rsidR="00587A02" w:rsidRPr="00587A02" w:rsidRDefault="00CE74E0" w:rsidP="00AE69E7">
      <w:pPr>
        <w:numPr>
          <w:ilvl w:val="0"/>
          <w:numId w:val="67"/>
        </w:numPr>
        <w:ind w:left="714" w:hanging="357"/>
        <w:contextualSpacing/>
        <w:jc w:val="both"/>
        <w:rPr>
          <w:rFonts w:ascii="Calibri" w:hAnsi="Calibri" w:cs="Arial Narrow"/>
        </w:rPr>
      </w:pPr>
      <w:r>
        <w:rPr>
          <w:rFonts w:ascii="Calibri" w:hAnsi="Calibri"/>
          <w:szCs w:val="22"/>
        </w:rPr>
        <w:t>continued works to the investment objectives/projects in progress, as well as starting new works, located on the TEN-T network, with financing ensured from non-reimbursable and reimbursable funds.</w:t>
      </w:r>
    </w:p>
    <w:p w:rsidR="00DA4A79" w:rsidRDefault="00DA4A79" w:rsidP="00DA4A79">
      <w:pPr>
        <w:rPr>
          <w:rFonts w:ascii="Calibri" w:hAnsi="Calibri"/>
          <w:lang w:val="ro-RO"/>
        </w:rPr>
      </w:pPr>
    </w:p>
    <w:p w:rsidR="00AE69E7" w:rsidRDefault="00AE69E7" w:rsidP="00AE69E7">
      <w:pPr>
        <w:rPr>
          <w:rFonts w:ascii="Calibri" w:hAnsi="Calibri" w:cs="Arial"/>
        </w:rPr>
      </w:pPr>
      <w:r>
        <w:rPr>
          <w:rFonts w:ascii="Calibri" w:hAnsi="Calibri"/>
          <w:b/>
        </w:rPr>
        <w:t>The allocation of financing resources</w:t>
      </w:r>
      <w:r>
        <w:rPr>
          <w:rFonts w:ascii="Calibri" w:hAnsi="Calibri"/>
        </w:rPr>
        <w:t xml:space="preserve"> of the Ministry of Transport will be mainly focused </w:t>
      </w:r>
      <w:r>
        <w:rPr>
          <w:rFonts w:ascii="Calibri" w:hAnsi="Calibri"/>
          <w:b/>
        </w:rPr>
        <w:t>on</w:t>
      </w:r>
      <w:r>
        <w:rPr>
          <w:rFonts w:ascii="Calibri" w:hAnsi="Calibri"/>
        </w:rPr>
        <w:t>:</w:t>
      </w:r>
    </w:p>
    <w:p w:rsidR="00AE69E7" w:rsidRDefault="00AE69E7" w:rsidP="00AE69E7">
      <w:pPr>
        <w:rPr>
          <w:rFonts w:ascii="Calibri" w:hAnsi="Calibri" w:cs="Arial"/>
          <w:lang w:val="ro-RO"/>
        </w:rPr>
      </w:pPr>
    </w:p>
    <w:p w:rsidR="00AE69E7" w:rsidRPr="00715536" w:rsidRDefault="00AE69E7" w:rsidP="00565476">
      <w:pPr>
        <w:numPr>
          <w:ilvl w:val="0"/>
          <w:numId w:val="235"/>
        </w:numPr>
        <w:jc w:val="both"/>
        <w:rPr>
          <w:rFonts w:ascii="Calibri" w:hAnsi="Calibri" w:cs="Arial"/>
          <w:b/>
        </w:rPr>
      </w:pPr>
      <w:r>
        <w:rPr>
          <w:rFonts w:ascii="Calibri" w:hAnsi="Calibri"/>
          <w:b/>
        </w:rPr>
        <w:t>the construction of highways/express roads for TEN-T;</w:t>
      </w:r>
    </w:p>
    <w:p w:rsidR="00AE69E7" w:rsidRPr="00715536" w:rsidRDefault="00AE69E7" w:rsidP="00AE69E7">
      <w:pPr>
        <w:ind w:left="720"/>
        <w:jc w:val="both"/>
        <w:rPr>
          <w:rFonts w:ascii="Calibri" w:hAnsi="Calibri" w:cs="Arial"/>
          <w:i/>
        </w:rPr>
      </w:pPr>
      <w:r>
        <w:rPr>
          <w:rFonts w:ascii="Calibri" w:hAnsi="Calibri"/>
          <w:i/>
        </w:rPr>
        <w:t xml:space="preserve">The list of main highway construction projects, introduced into the Budget in 2019, comprises the following objectives: </w:t>
      </w:r>
    </w:p>
    <w:p w:rsidR="00AE69E7" w:rsidRPr="008C4116" w:rsidRDefault="00AE69E7" w:rsidP="00565476">
      <w:pPr>
        <w:numPr>
          <w:ilvl w:val="0"/>
          <w:numId w:val="236"/>
        </w:numPr>
        <w:jc w:val="both"/>
        <w:rPr>
          <w:rFonts w:ascii="Calibri" w:hAnsi="Calibri" w:cs="Arial"/>
          <w:lang w:val="es-ES"/>
        </w:rPr>
      </w:pPr>
      <w:r w:rsidRPr="008C4116">
        <w:rPr>
          <w:rFonts w:ascii="Calibri" w:hAnsi="Calibri"/>
          <w:lang w:val="es-ES"/>
        </w:rPr>
        <w:t xml:space="preserve">Lugoj - Deva Highway (Dumbrava - Deva sector), </w:t>
      </w:r>
    </w:p>
    <w:p w:rsidR="00AE69E7" w:rsidRPr="00AE69E7" w:rsidRDefault="00AE69E7" w:rsidP="00565476">
      <w:pPr>
        <w:numPr>
          <w:ilvl w:val="0"/>
          <w:numId w:val="236"/>
        </w:numPr>
        <w:jc w:val="both"/>
        <w:rPr>
          <w:rFonts w:ascii="Calibri" w:hAnsi="Calibri" w:cs="Arial"/>
        </w:rPr>
      </w:pPr>
      <w:r>
        <w:rPr>
          <w:rFonts w:ascii="Calibri" w:hAnsi="Calibri"/>
        </w:rPr>
        <w:t xml:space="preserve">Sebes - Turda Highway </w:t>
      </w:r>
    </w:p>
    <w:p w:rsidR="00AE69E7" w:rsidRPr="00715536" w:rsidRDefault="00AE69E7" w:rsidP="00565476">
      <w:pPr>
        <w:numPr>
          <w:ilvl w:val="0"/>
          <w:numId w:val="236"/>
        </w:numPr>
        <w:jc w:val="both"/>
        <w:rPr>
          <w:rFonts w:ascii="Calibri" w:hAnsi="Calibri" w:cs="Arial"/>
        </w:rPr>
      </w:pPr>
      <w:r>
        <w:rPr>
          <w:rFonts w:ascii="Calibri" w:hAnsi="Calibri"/>
        </w:rPr>
        <w:t xml:space="preserve">Suplacu de Barcau – Borș Highway, </w:t>
      </w:r>
    </w:p>
    <w:p w:rsidR="00AE69E7" w:rsidRPr="00AE69E7" w:rsidRDefault="00AE69E7" w:rsidP="00565476">
      <w:pPr>
        <w:numPr>
          <w:ilvl w:val="0"/>
          <w:numId w:val="236"/>
        </w:numPr>
        <w:jc w:val="both"/>
        <w:rPr>
          <w:rFonts w:ascii="Calibri" w:hAnsi="Calibri" w:cs="Arial"/>
        </w:rPr>
      </w:pPr>
      <w:r>
        <w:rPr>
          <w:rFonts w:ascii="Calibri" w:hAnsi="Calibri"/>
        </w:rPr>
        <w:t xml:space="preserve">Câmpia Turzii – Târgu Mureș Highway, </w:t>
      </w:r>
    </w:p>
    <w:p w:rsidR="00AE69E7" w:rsidRPr="00715536" w:rsidRDefault="00AE69E7" w:rsidP="00565476">
      <w:pPr>
        <w:numPr>
          <w:ilvl w:val="0"/>
          <w:numId w:val="236"/>
        </w:numPr>
        <w:jc w:val="both"/>
        <w:rPr>
          <w:rFonts w:ascii="Calibri" w:hAnsi="Calibri" w:cs="Arial"/>
        </w:rPr>
      </w:pPr>
      <w:r>
        <w:rPr>
          <w:rFonts w:ascii="Calibri" w:hAnsi="Calibri"/>
        </w:rPr>
        <w:t xml:space="preserve">Bacau Bypass (highway profile), </w:t>
      </w:r>
    </w:p>
    <w:p w:rsidR="00AE69E7" w:rsidRPr="00AE69E7" w:rsidRDefault="00AE69E7" w:rsidP="00565476">
      <w:pPr>
        <w:numPr>
          <w:ilvl w:val="0"/>
          <w:numId w:val="236"/>
        </w:numPr>
        <w:jc w:val="both"/>
        <w:rPr>
          <w:rFonts w:ascii="Calibri" w:hAnsi="Calibri" w:cs="Arial"/>
        </w:rPr>
      </w:pPr>
      <w:r>
        <w:rPr>
          <w:rFonts w:ascii="Calibri" w:hAnsi="Calibri"/>
        </w:rPr>
        <w:t>Craiova - Pitesti Express Road</w:t>
      </w:r>
    </w:p>
    <w:p w:rsidR="00AE69E7" w:rsidRPr="00AE69E7" w:rsidRDefault="00AE69E7" w:rsidP="00565476">
      <w:pPr>
        <w:numPr>
          <w:ilvl w:val="0"/>
          <w:numId w:val="236"/>
        </w:numPr>
        <w:jc w:val="both"/>
        <w:rPr>
          <w:rFonts w:ascii="Calibri" w:hAnsi="Calibri" w:cs="Arial"/>
        </w:rPr>
      </w:pPr>
      <w:r>
        <w:rPr>
          <w:rFonts w:ascii="Calibri" w:hAnsi="Calibri"/>
        </w:rPr>
        <w:t xml:space="preserve">South highway belt of Bucharest municipality, including the interventions on the existing belt (extension to 4 lanes of the Bucharest Belt between A1 - DN 5, DN 2 - A2, and A1 - DN 7, Berceni, Domnesti, Oltenita and Mogosoaia Passageways), </w:t>
      </w:r>
    </w:p>
    <w:p w:rsidR="00AE69E7" w:rsidRPr="00715536" w:rsidRDefault="00AE69E7" w:rsidP="00565476">
      <w:pPr>
        <w:numPr>
          <w:ilvl w:val="0"/>
          <w:numId w:val="236"/>
        </w:numPr>
        <w:jc w:val="both"/>
        <w:rPr>
          <w:rFonts w:ascii="Calibri" w:hAnsi="Calibri" w:cs="Arial"/>
        </w:rPr>
      </w:pPr>
      <w:r>
        <w:rPr>
          <w:rFonts w:ascii="Calibri" w:hAnsi="Calibri"/>
        </w:rPr>
        <w:t>North highway belt of Bucharest municipality,</w:t>
      </w:r>
    </w:p>
    <w:p w:rsidR="00AE69E7" w:rsidRPr="00AE69E7" w:rsidRDefault="00AE69E7" w:rsidP="00565476">
      <w:pPr>
        <w:numPr>
          <w:ilvl w:val="0"/>
          <w:numId w:val="236"/>
        </w:numPr>
        <w:jc w:val="both"/>
        <w:rPr>
          <w:rFonts w:ascii="Calibri" w:hAnsi="Calibri" w:cs="Arial"/>
        </w:rPr>
      </w:pPr>
      <w:r>
        <w:rPr>
          <w:rFonts w:ascii="Calibri" w:hAnsi="Calibri"/>
        </w:rPr>
        <w:t xml:space="preserve">Bucharest - Brasov Highway, section Comarnic - Brasov, section Predeal - Cristian, </w:t>
      </w:r>
    </w:p>
    <w:p w:rsidR="00AE69E7" w:rsidRPr="00715536" w:rsidRDefault="00AE69E7" w:rsidP="00565476">
      <w:pPr>
        <w:numPr>
          <w:ilvl w:val="0"/>
          <w:numId w:val="236"/>
        </w:numPr>
        <w:jc w:val="both"/>
        <w:rPr>
          <w:rFonts w:ascii="Calibri" w:hAnsi="Calibri" w:cs="Arial"/>
        </w:rPr>
      </w:pPr>
      <w:r>
        <w:rPr>
          <w:rFonts w:ascii="Calibri" w:hAnsi="Calibri"/>
        </w:rPr>
        <w:t xml:space="preserve">Suspended bridge over the Danube in the Braila area, </w:t>
      </w:r>
    </w:p>
    <w:p w:rsidR="00AE69E7" w:rsidRPr="00715536" w:rsidRDefault="00AE69E7" w:rsidP="00565476">
      <w:pPr>
        <w:numPr>
          <w:ilvl w:val="0"/>
          <w:numId w:val="236"/>
        </w:numPr>
        <w:jc w:val="both"/>
        <w:rPr>
          <w:rFonts w:ascii="Calibri" w:hAnsi="Calibri" w:cs="Arial"/>
        </w:rPr>
      </w:pPr>
      <w:r>
        <w:rPr>
          <w:rFonts w:ascii="Calibri" w:hAnsi="Calibri"/>
        </w:rPr>
        <w:t>Sibiu - Pitesti Highway, sections 1, 4, and 5.</w:t>
      </w:r>
    </w:p>
    <w:p w:rsidR="00AE69E7" w:rsidRPr="00715536" w:rsidRDefault="00AE69E7" w:rsidP="00AE69E7">
      <w:pPr>
        <w:tabs>
          <w:tab w:val="left" w:pos="720"/>
        </w:tabs>
        <w:ind w:left="1440" w:hanging="720"/>
        <w:jc w:val="both"/>
        <w:rPr>
          <w:rFonts w:ascii="Calibri" w:hAnsi="Calibri" w:cs="Arial"/>
          <w:i/>
        </w:rPr>
      </w:pPr>
      <w:r>
        <w:rPr>
          <w:rFonts w:ascii="Calibri" w:hAnsi="Calibri"/>
          <w:i/>
        </w:rPr>
        <w:t xml:space="preserve">The highway projects in preparation, for which budget allocations were already made in 2019, include: </w:t>
      </w:r>
    </w:p>
    <w:p w:rsidR="00AE69E7" w:rsidRPr="00AE69E7" w:rsidRDefault="00AE69E7" w:rsidP="00565476">
      <w:pPr>
        <w:numPr>
          <w:ilvl w:val="0"/>
          <w:numId w:val="236"/>
        </w:numPr>
        <w:jc w:val="both"/>
        <w:rPr>
          <w:rFonts w:ascii="Calibri" w:hAnsi="Calibri" w:cs="Arial"/>
        </w:rPr>
      </w:pPr>
      <w:r>
        <w:rPr>
          <w:rFonts w:ascii="Calibri" w:hAnsi="Calibri"/>
        </w:rPr>
        <w:t>Elaboration/supplementation of feasibility studies for Sibiu- Fagaras, Targu Neamt - Targu Mures highways,</w:t>
      </w:r>
    </w:p>
    <w:p w:rsidR="00AE69E7" w:rsidRPr="00AE69E7" w:rsidRDefault="00AE69E7" w:rsidP="00565476">
      <w:pPr>
        <w:numPr>
          <w:ilvl w:val="0"/>
          <w:numId w:val="236"/>
        </w:numPr>
        <w:jc w:val="both"/>
        <w:rPr>
          <w:rFonts w:ascii="Calibri" w:hAnsi="Calibri" w:cs="Arial"/>
        </w:rPr>
      </w:pPr>
      <w:r>
        <w:rPr>
          <w:rFonts w:ascii="Calibri" w:hAnsi="Calibri"/>
        </w:rPr>
        <w:t>Elaboration of feasibility studies and technical projects for the Brasov - Bacau highway, and for high speed roads Ploiesti - Buzau - Focsani - Bacau - Pascani.</w:t>
      </w:r>
    </w:p>
    <w:p w:rsidR="00AE69E7" w:rsidRPr="00AE69E7" w:rsidRDefault="00AE69E7" w:rsidP="00AE69E7">
      <w:pPr>
        <w:ind w:left="720"/>
        <w:jc w:val="both"/>
        <w:rPr>
          <w:rFonts w:ascii="Calibri" w:hAnsi="Calibri" w:cs="Arial"/>
          <w:i/>
        </w:rPr>
      </w:pPr>
      <w:r>
        <w:rPr>
          <w:rFonts w:ascii="Calibri" w:hAnsi="Calibri"/>
          <w:i/>
        </w:rPr>
        <w:t>Projects which will be budgeted in 2019, after obtaining the necessary legal approvals, currently in the stage of preparation/award in view of elaborating the technical and economic documentations or design and execution;</w:t>
      </w:r>
    </w:p>
    <w:p w:rsidR="00AE69E7" w:rsidRPr="00AE69E7" w:rsidRDefault="00AE69E7" w:rsidP="00565476">
      <w:pPr>
        <w:numPr>
          <w:ilvl w:val="0"/>
          <w:numId w:val="236"/>
        </w:numPr>
        <w:jc w:val="both"/>
        <w:rPr>
          <w:rFonts w:ascii="Calibri" w:hAnsi="Calibri" w:cs="Arial"/>
        </w:rPr>
      </w:pPr>
      <w:r>
        <w:rPr>
          <w:rFonts w:ascii="Calibri" w:hAnsi="Calibri"/>
        </w:rPr>
        <w:t xml:space="preserve">Supplementing geo-technical studies for Sections 2 and 3 in Sibiu - Pitesti Highway; </w:t>
      </w:r>
    </w:p>
    <w:p w:rsidR="00AE69E7" w:rsidRPr="00715536" w:rsidRDefault="00AE69E7" w:rsidP="00565476">
      <w:pPr>
        <w:numPr>
          <w:ilvl w:val="0"/>
          <w:numId w:val="236"/>
        </w:numPr>
        <w:jc w:val="both"/>
        <w:rPr>
          <w:rFonts w:ascii="Calibri" w:hAnsi="Calibri" w:cs="Arial"/>
        </w:rPr>
      </w:pPr>
      <w:r>
        <w:rPr>
          <w:rFonts w:ascii="Calibri" w:hAnsi="Calibri"/>
        </w:rPr>
        <w:t>Nadaselu - Suplacu de Barcau Highway (design and execution);</w:t>
      </w:r>
    </w:p>
    <w:p w:rsidR="00AE69E7" w:rsidRPr="00715536" w:rsidRDefault="00AE69E7" w:rsidP="00565476">
      <w:pPr>
        <w:numPr>
          <w:ilvl w:val="0"/>
          <w:numId w:val="236"/>
        </w:numPr>
        <w:jc w:val="both"/>
        <w:rPr>
          <w:rFonts w:ascii="Calibri" w:hAnsi="Calibri" w:cs="Arial"/>
        </w:rPr>
      </w:pPr>
      <w:r>
        <w:rPr>
          <w:rFonts w:ascii="Calibri" w:hAnsi="Calibri"/>
        </w:rPr>
        <w:t xml:space="preserve">Braila - Galati Express Road (design and execution); </w:t>
      </w:r>
    </w:p>
    <w:p w:rsidR="00AE69E7" w:rsidRPr="00715536" w:rsidRDefault="00AE69E7" w:rsidP="00565476">
      <w:pPr>
        <w:numPr>
          <w:ilvl w:val="0"/>
          <w:numId w:val="236"/>
        </w:numPr>
        <w:jc w:val="both"/>
        <w:rPr>
          <w:rFonts w:ascii="Calibri" w:hAnsi="Calibri" w:cs="Arial"/>
        </w:rPr>
      </w:pPr>
      <w:r>
        <w:rPr>
          <w:rFonts w:ascii="Calibri" w:hAnsi="Calibri"/>
        </w:rPr>
        <w:t xml:space="preserve">Galati Bypass (design and execution at highway profile), </w:t>
      </w:r>
    </w:p>
    <w:p w:rsidR="00AE69E7" w:rsidRPr="00AE69E7" w:rsidRDefault="00AE69E7" w:rsidP="00565476">
      <w:pPr>
        <w:numPr>
          <w:ilvl w:val="0"/>
          <w:numId w:val="236"/>
        </w:numPr>
        <w:jc w:val="both"/>
        <w:rPr>
          <w:rFonts w:ascii="Calibri" w:hAnsi="Calibri" w:cs="Arial"/>
        </w:rPr>
      </w:pPr>
      <w:r>
        <w:rPr>
          <w:rFonts w:ascii="Calibri" w:hAnsi="Calibri"/>
        </w:rPr>
        <w:t>Elaboration/supplementation of feasibility studies for Timisoara - Moravita Highway;</w:t>
      </w:r>
    </w:p>
    <w:p w:rsidR="00AE69E7" w:rsidRPr="00AE69E7" w:rsidRDefault="00AE69E7" w:rsidP="00565476">
      <w:pPr>
        <w:numPr>
          <w:ilvl w:val="0"/>
          <w:numId w:val="236"/>
        </w:numPr>
        <w:jc w:val="both"/>
        <w:rPr>
          <w:rFonts w:ascii="Calibri" w:hAnsi="Calibri" w:cs="Arial"/>
        </w:rPr>
      </w:pPr>
      <w:r>
        <w:rPr>
          <w:rFonts w:ascii="Calibri" w:hAnsi="Calibri"/>
        </w:rPr>
        <w:t>Elaboration/supplementation of feasibility studies for Faras - Brasov Highway;</w:t>
      </w:r>
    </w:p>
    <w:p w:rsidR="00AE69E7" w:rsidRPr="00AE69E7" w:rsidRDefault="00AE69E7" w:rsidP="00565476">
      <w:pPr>
        <w:numPr>
          <w:ilvl w:val="0"/>
          <w:numId w:val="236"/>
        </w:numPr>
        <w:jc w:val="both"/>
        <w:rPr>
          <w:rFonts w:ascii="Calibri" w:hAnsi="Calibri" w:cs="Arial"/>
        </w:rPr>
      </w:pPr>
      <w:r>
        <w:rPr>
          <w:rFonts w:ascii="Calibri" w:hAnsi="Calibri"/>
        </w:rPr>
        <w:t>Elaboration of the feasibility studies and technical projects for the Express roads Craiova - Târgu Jiu, Ovidiu – Tulcea, Brăila– Tulcea, Brăila – Buzău, Focșani – Brăila, Pașcani – Suceava – Siret; Găești – Ploiești and the connection between A3 and Henri Coandă Airport;</w:t>
      </w:r>
    </w:p>
    <w:p w:rsidR="00AE69E7" w:rsidRPr="00715536" w:rsidRDefault="00AE69E7" w:rsidP="00565476">
      <w:pPr>
        <w:numPr>
          <w:ilvl w:val="0"/>
          <w:numId w:val="236"/>
        </w:numPr>
        <w:jc w:val="both"/>
        <w:rPr>
          <w:rFonts w:ascii="Calibri" w:hAnsi="Calibri" w:cs="Arial"/>
        </w:rPr>
      </w:pPr>
      <w:r>
        <w:rPr>
          <w:rFonts w:ascii="Calibri" w:hAnsi="Calibri"/>
        </w:rPr>
        <w:t>Elaboration of pre-feasibility study for Tisita - Albita highway;</w:t>
      </w:r>
    </w:p>
    <w:p w:rsidR="00AE69E7" w:rsidRPr="00715536" w:rsidRDefault="00AE69E7" w:rsidP="00565476">
      <w:pPr>
        <w:numPr>
          <w:ilvl w:val="0"/>
          <w:numId w:val="236"/>
        </w:numPr>
        <w:jc w:val="both"/>
        <w:rPr>
          <w:rFonts w:ascii="Calibri" w:hAnsi="Calibri" w:cs="Arial"/>
        </w:rPr>
      </w:pPr>
      <w:r>
        <w:rPr>
          <w:rFonts w:ascii="Calibri" w:hAnsi="Calibri"/>
        </w:rPr>
        <w:t xml:space="preserve"> Elaboration/supplementation of feasibility studies for Nordului Express road/Highway (Express road Petea – Satu Mare - Baia Mare and Highway Baia Mare – Dej – Bistrita – Vatra Dornei – Suceava and analysis of the Cluj - Dej connection);</w:t>
      </w:r>
    </w:p>
    <w:p w:rsidR="00AE69E7" w:rsidRPr="00AE69E7" w:rsidRDefault="00AE69E7" w:rsidP="00565476">
      <w:pPr>
        <w:numPr>
          <w:ilvl w:val="0"/>
          <w:numId w:val="236"/>
        </w:numPr>
        <w:jc w:val="both"/>
        <w:rPr>
          <w:rFonts w:ascii="Calibri" w:hAnsi="Calibri" w:cs="Arial"/>
        </w:rPr>
      </w:pPr>
      <w:r>
        <w:rPr>
          <w:rFonts w:ascii="Calibri" w:hAnsi="Calibri"/>
        </w:rPr>
        <w:t>Supplementing the feasibility study for the express road Arad - Oradea,</w:t>
      </w:r>
    </w:p>
    <w:p w:rsidR="00AE69E7" w:rsidRPr="00AE69E7" w:rsidRDefault="00AE69E7" w:rsidP="00AE69E7">
      <w:pPr>
        <w:jc w:val="both"/>
        <w:rPr>
          <w:rFonts w:ascii="Calibri" w:hAnsi="Calibri" w:cs="Arial"/>
        </w:rPr>
      </w:pPr>
    </w:p>
    <w:p w:rsidR="00AE69E7" w:rsidRPr="00715536" w:rsidRDefault="00AE69E7" w:rsidP="00565476">
      <w:pPr>
        <w:numPr>
          <w:ilvl w:val="0"/>
          <w:numId w:val="235"/>
        </w:numPr>
        <w:jc w:val="both"/>
        <w:rPr>
          <w:rFonts w:ascii="Calibri" w:hAnsi="Calibri" w:cs="Arial"/>
          <w:b/>
        </w:rPr>
      </w:pPr>
      <w:r>
        <w:rPr>
          <w:rFonts w:ascii="Calibri" w:hAnsi="Calibri"/>
          <w:b/>
        </w:rPr>
        <w:t>Modernization and development of the network of national roads, including through the construction of bypasses;</w:t>
      </w:r>
    </w:p>
    <w:p w:rsidR="00AE69E7" w:rsidRPr="00715536" w:rsidRDefault="00AE69E7" w:rsidP="00AE69E7">
      <w:pPr>
        <w:ind w:left="720"/>
        <w:jc w:val="both"/>
        <w:rPr>
          <w:rFonts w:ascii="Calibri" w:hAnsi="Calibri" w:cs="Arial"/>
          <w:i/>
        </w:rPr>
      </w:pPr>
      <w:r>
        <w:rPr>
          <w:rFonts w:ascii="Calibri" w:hAnsi="Calibri"/>
          <w:i/>
        </w:rPr>
        <w:t xml:space="preserve">The list of main bypass construction projects, introduced into the Budget in 2019, comprises the following objectives: </w:t>
      </w:r>
    </w:p>
    <w:p w:rsidR="00AE69E7" w:rsidRPr="00715536" w:rsidRDefault="00AE69E7" w:rsidP="00565476">
      <w:pPr>
        <w:numPr>
          <w:ilvl w:val="0"/>
          <w:numId w:val="235"/>
        </w:numPr>
        <w:ind w:left="1276" w:hanging="142"/>
        <w:jc w:val="both"/>
        <w:rPr>
          <w:rFonts w:ascii="Calibri" w:hAnsi="Calibri" w:cs="Arial"/>
        </w:rPr>
      </w:pPr>
      <w:r>
        <w:rPr>
          <w:rFonts w:ascii="Calibri" w:hAnsi="Calibri"/>
        </w:rPr>
        <w:t xml:space="preserve">Bypasses in execution: Tecuci, Mihăilești, Suceava, Carei, Bârlad, Târgu Mureș, Satu Mare, Stei, Rădăuți, Timișoara Sud; </w:t>
      </w:r>
    </w:p>
    <w:p w:rsidR="00AE69E7" w:rsidRPr="00715536" w:rsidRDefault="00AE69E7" w:rsidP="00565476">
      <w:pPr>
        <w:numPr>
          <w:ilvl w:val="0"/>
          <w:numId w:val="235"/>
        </w:numPr>
        <w:ind w:left="1276" w:hanging="142"/>
        <w:jc w:val="both"/>
        <w:rPr>
          <w:rFonts w:ascii="Calibri" w:hAnsi="Calibri" w:cs="Arial"/>
        </w:rPr>
      </w:pPr>
      <w:r>
        <w:rPr>
          <w:rFonts w:ascii="Calibri" w:hAnsi="Calibri"/>
        </w:rPr>
        <w:t>Bypasses that shall enter execution: Mediaș, Dej, Alesd Sud, Comarnic, Bușteni, Săcueni, Craiova Sud - Vest,Târgu Frumos, Fălticeni, Iași, Connection road between DN5 – Podul prieteniei (Bypass Giurgiu Vest), Târgu Jiu.</w:t>
      </w:r>
    </w:p>
    <w:p w:rsidR="00AE69E7" w:rsidRPr="00715536" w:rsidRDefault="00AE69E7" w:rsidP="00AE69E7">
      <w:pPr>
        <w:jc w:val="both"/>
        <w:rPr>
          <w:rFonts w:ascii="Calibri" w:hAnsi="Calibri"/>
          <w:b/>
          <w:lang w:val="fr-FR"/>
        </w:rPr>
      </w:pPr>
    </w:p>
    <w:p w:rsidR="00AE69E7" w:rsidRPr="00715536" w:rsidRDefault="00AE69E7" w:rsidP="00AE69E7">
      <w:pPr>
        <w:ind w:left="720"/>
        <w:jc w:val="both"/>
        <w:rPr>
          <w:rFonts w:ascii="Calibri" w:hAnsi="Calibri" w:cs="Arial"/>
        </w:rPr>
      </w:pPr>
      <w:r>
        <w:rPr>
          <w:rFonts w:ascii="Calibri" w:hAnsi="Calibri"/>
          <w:i/>
        </w:rPr>
        <w:t>The projects in preparation, for which there already are budget allocations in 2019 include</w:t>
      </w:r>
      <w:r>
        <w:rPr>
          <w:rFonts w:ascii="Calibri" w:hAnsi="Calibri"/>
        </w:rPr>
        <w:t xml:space="preserve"> bypasses in the preparatory stage (elaboration of Feasibility Studies and/Technical Projects); Sfântu Gheorghe, Giurgiu (Est), Zalău, Râmnicu Vâlcea, Vaslui and Techirghiol; </w:t>
      </w:r>
    </w:p>
    <w:p w:rsidR="00AE69E7" w:rsidRPr="00715536" w:rsidRDefault="00AE69E7" w:rsidP="00AE69E7">
      <w:pPr>
        <w:jc w:val="both"/>
        <w:rPr>
          <w:rFonts w:ascii="Calibri" w:hAnsi="Calibri"/>
          <w:b/>
          <w:lang w:val="fr-FR"/>
        </w:rPr>
      </w:pPr>
    </w:p>
    <w:p w:rsidR="00AE69E7" w:rsidRPr="00715536" w:rsidRDefault="00AE69E7" w:rsidP="00AE69E7">
      <w:pPr>
        <w:ind w:left="720"/>
        <w:jc w:val="both"/>
        <w:rPr>
          <w:rFonts w:ascii="Calibri" w:hAnsi="Calibri" w:cs="Arial"/>
          <w:i/>
        </w:rPr>
      </w:pPr>
      <w:r>
        <w:rPr>
          <w:rFonts w:ascii="Calibri" w:hAnsi="Calibri"/>
          <w:i/>
        </w:rPr>
        <w:t>Projects which will be budgeted in 2019, after obtaining the necessary legal approvals, currently in the stage of preparation and/or execution:</w:t>
      </w:r>
    </w:p>
    <w:p w:rsidR="00AE69E7" w:rsidRPr="00AE69E7" w:rsidRDefault="00AE69E7" w:rsidP="00565476">
      <w:pPr>
        <w:numPr>
          <w:ilvl w:val="0"/>
          <w:numId w:val="235"/>
        </w:numPr>
        <w:ind w:left="1276" w:hanging="142"/>
        <w:jc w:val="both"/>
        <w:rPr>
          <w:rFonts w:ascii="Calibri" w:hAnsi="Calibri" w:cs="Arial"/>
        </w:rPr>
      </w:pPr>
      <w:r>
        <w:rPr>
          <w:rFonts w:ascii="Calibri" w:hAnsi="Calibri"/>
        </w:rPr>
        <w:t>Bistrita bypass;</w:t>
      </w:r>
    </w:p>
    <w:p w:rsidR="00AE69E7" w:rsidRPr="00715536" w:rsidRDefault="00AE69E7" w:rsidP="00565476">
      <w:pPr>
        <w:numPr>
          <w:ilvl w:val="0"/>
          <w:numId w:val="235"/>
        </w:numPr>
        <w:ind w:left="1276" w:hanging="142"/>
        <w:jc w:val="both"/>
        <w:rPr>
          <w:rFonts w:ascii="Calibri" w:hAnsi="Calibri" w:cs="Arial"/>
        </w:rPr>
      </w:pPr>
      <w:r>
        <w:rPr>
          <w:rFonts w:ascii="Calibri" w:hAnsi="Calibri"/>
        </w:rPr>
        <w:t>Baia Mare bypass;</w:t>
      </w:r>
    </w:p>
    <w:p w:rsidR="00AE69E7" w:rsidRPr="00AE69E7" w:rsidRDefault="00AE69E7" w:rsidP="00565476">
      <w:pPr>
        <w:numPr>
          <w:ilvl w:val="0"/>
          <w:numId w:val="235"/>
        </w:numPr>
        <w:ind w:left="1276" w:hanging="142"/>
        <w:jc w:val="both"/>
        <w:rPr>
          <w:rFonts w:ascii="Calibri" w:hAnsi="Calibri" w:cs="Arial"/>
        </w:rPr>
      </w:pPr>
      <w:r>
        <w:rPr>
          <w:rFonts w:ascii="Calibri" w:hAnsi="Calibri"/>
        </w:rPr>
        <w:t xml:space="preserve">Husi bypass; </w:t>
      </w:r>
    </w:p>
    <w:p w:rsidR="00AE69E7" w:rsidRPr="00715536" w:rsidRDefault="00AE69E7" w:rsidP="00565476">
      <w:pPr>
        <w:numPr>
          <w:ilvl w:val="0"/>
          <w:numId w:val="235"/>
        </w:numPr>
        <w:ind w:left="1276" w:hanging="142"/>
        <w:jc w:val="both"/>
        <w:rPr>
          <w:rFonts w:ascii="Calibri" w:hAnsi="Calibri" w:cs="Arial"/>
        </w:rPr>
      </w:pPr>
      <w:r>
        <w:rPr>
          <w:rFonts w:ascii="Calibri" w:hAnsi="Calibri"/>
        </w:rPr>
        <w:t>Salonta bypass through takeover of the technical and economic documentation elaborated by the local authorities.</w:t>
      </w:r>
    </w:p>
    <w:p w:rsidR="00AE69E7" w:rsidRPr="00715536" w:rsidRDefault="00AE69E7" w:rsidP="00AE69E7">
      <w:pPr>
        <w:ind w:left="720"/>
        <w:jc w:val="both"/>
        <w:rPr>
          <w:rFonts w:ascii="Calibri" w:hAnsi="Calibri" w:cs="Arial"/>
          <w:i/>
        </w:rPr>
      </w:pPr>
      <w:r>
        <w:rPr>
          <w:rFonts w:ascii="Calibri" w:hAnsi="Calibri"/>
          <w:i/>
        </w:rPr>
        <w:t xml:space="preserve">The list of main projects of modernization of national roads introduced into the Budget in 2019, comprises the following objectives: </w:t>
      </w:r>
    </w:p>
    <w:p w:rsidR="00AE69E7" w:rsidRPr="00715536" w:rsidRDefault="00AE69E7" w:rsidP="00565476">
      <w:pPr>
        <w:numPr>
          <w:ilvl w:val="0"/>
          <w:numId w:val="235"/>
        </w:numPr>
        <w:ind w:left="1418" w:hanging="142"/>
        <w:jc w:val="both"/>
        <w:rPr>
          <w:rFonts w:ascii="Calibri" w:hAnsi="Calibri" w:cs="Arial"/>
        </w:rPr>
      </w:pPr>
      <w:r>
        <w:rPr>
          <w:rFonts w:ascii="Calibri" w:hAnsi="Calibri"/>
        </w:rPr>
        <w:t>DN 18, Moisei – Iacobeni ; Baia Mare - Sighetul Marmației;</w:t>
      </w:r>
    </w:p>
    <w:p w:rsidR="00AE69E7" w:rsidRPr="008C4116" w:rsidRDefault="00AE69E7" w:rsidP="00565476">
      <w:pPr>
        <w:numPr>
          <w:ilvl w:val="0"/>
          <w:numId w:val="235"/>
        </w:numPr>
        <w:ind w:left="1418" w:hanging="142"/>
        <w:jc w:val="both"/>
        <w:rPr>
          <w:rFonts w:ascii="Calibri" w:hAnsi="Calibri" w:cs="Arial"/>
          <w:lang w:val="es-ES"/>
        </w:rPr>
      </w:pPr>
      <w:r w:rsidRPr="008C4116">
        <w:rPr>
          <w:rFonts w:ascii="Calibri" w:hAnsi="Calibri"/>
          <w:lang w:val="es-ES"/>
        </w:rPr>
        <w:t>DN 56, Craiova - Galicea Mare – Calafat;</w:t>
      </w:r>
    </w:p>
    <w:p w:rsidR="00AE69E7" w:rsidRPr="00AE69E7" w:rsidRDefault="00AE69E7" w:rsidP="00565476">
      <w:pPr>
        <w:numPr>
          <w:ilvl w:val="0"/>
          <w:numId w:val="235"/>
        </w:numPr>
        <w:ind w:left="1418" w:hanging="142"/>
        <w:jc w:val="both"/>
        <w:rPr>
          <w:rFonts w:ascii="Calibri" w:hAnsi="Calibri" w:cs="Arial"/>
        </w:rPr>
      </w:pPr>
      <w:r>
        <w:rPr>
          <w:rFonts w:ascii="Calibri" w:hAnsi="Calibri"/>
        </w:rPr>
        <w:t>DN 66, Bumbești Jiu-Petroșani;</w:t>
      </w:r>
    </w:p>
    <w:p w:rsidR="00AE69E7" w:rsidRPr="00AE69E7" w:rsidRDefault="00AE69E7" w:rsidP="00565476">
      <w:pPr>
        <w:numPr>
          <w:ilvl w:val="0"/>
          <w:numId w:val="235"/>
        </w:numPr>
        <w:ind w:left="1418" w:hanging="142"/>
        <w:jc w:val="both"/>
        <w:rPr>
          <w:rFonts w:ascii="Calibri" w:hAnsi="Calibri" w:cs="Arial"/>
        </w:rPr>
      </w:pPr>
      <w:r>
        <w:rPr>
          <w:rFonts w:ascii="Calibri" w:hAnsi="Calibri"/>
        </w:rPr>
        <w:t>DN76, Ionești - Vârfurile - Stei - Beius – Oradea;</w:t>
      </w:r>
    </w:p>
    <w:p w:rsidR="00AE69E7" w:rsidRPr="00AE69E7" w:rsidRDefault="00AE69E7" w:rsidP="00565476">
      <w:pPr>
        <w:numPr>
          <w:ilvl w:val="0"/>
          <w:numId w:val="235"/>
        </w:numPr>
        <w:ind w:left="1418" w:hanging="142"/>
        <w:jc w:val="both"/>
        <w:rPr>
          <w:rFonts w:ascii="Calibri" w:hAnsi="Calibri" w:cs="Arial"/>
        </w:rPr>
      </w:pPr>
      <w:r>
        <w:rPr>
          <w:rFonts w:ascii="Calibri" w:hAnsi="Calibri"/>
        </w:rPr>
        <w:t>DN 5, Bucharest – Adunății Copăceni;</w:t>
      </w:r>
    </w:p>
    <w:p w:rsidR="00AE69E7" w:rsidRPr="00AE69E7" w:rsidRDefault="00AE69E7" w:rsidP="00565476">
      <w:pPr>
        <w:numPr>
          <w:ilvl w:val="0"/>
          <w:numId w:val="235"/>
        </w:numPr>
        <w:ind w:left="1418" w:hanging="142"/>
        <w:jc w:val="both"/>
        <w:rPr>
          <w:rFonts w:ascii="Calibri" w:hAnsi="Calibri" w:cs="Arial"/>
        </w:rPr>
      </w:pPr>
      <w:r>
        <w:rPr>
          <w:rFonts w:ascii="Calibri" w:hAnsi="Calibri"/>
        </w:rPr>
        <w:t>DN 6, Alexandria – Craiova (lot 2);</w:t>
      </w:r>
    </w:p>
    <w:p w:rsidR="00AE69E7" w:rsidRPr="00AE69E7" w:rsidRDefault="00AE69E7" w:rsidP="00565476">
      <w:pPr>
        <w:numPr>
          <w:ilvl w:val="0"/>
          <w:numId w:val="235"/>
        </w:numPr>
        <w:ind w:left="1418" w:hanging="142"/>
        <w:jc w:val="both"/>
        <w:rPr>
          <w:rFonts w:ascii="Calibri" w:hAnsi="Calibri" w:cs="Arial"/>
        </w:rPr>
      </w:pPr>
      <w:r>
        <w:rPr>
          <w:rFonts w:ascii="Calibri" w:hAnsi="Calibri"/>
        </w:rPr>
        <w:t>DN 73,Pitești-Câmpulung-Brașov;</w:t>
      </w:r>
    </w:p>
    <w:p w:rsidR="00AE69E7" w:rsidRPr="00AE69E7" w:rsidRDefault="00AE69E7" w:rsidP="00565476">
      <w:pPr>
        <w:numPr>
          <w:ilvl w:val="0"/>
          <w:numId w:val="235"/>
        </w:numPr>
        <w:ind w:left="1418" w:hanging="142"/>
        <w:jc w:val="both"/>
        <w:rPr>
          <w:rFonts w:ascii="Calibri" w:hAnsi="Calibri" w:cs="Arial"/>
        </w:rPr>
      </w:pPr>
      <w:r>
        <w:rPr>
          <w:rFonts w:ascii="Calibri" w:hAnsi="Calibri"/>
        </w:rPr>
        <w:t>Modernization of the infrastructure for circulation safety on DN 1, in “Linear villages and black points”;</w:t>
      </w:r>
    </w:p>
    <w:p w:rsidR="00AE69E7" w:rsidRPr="00AE69E7" w:rsidRDefault="00AE69E7" w:rsidP="00565476">
      <w:pPr>
        <w:numPr>
          <w:ilvl w:val="0"/>
          <w:numId w:val="235"/>
        </w:numPr>
        <w:ind w:left="1418" w:hanging="142"/>
        <w:jc w:val="both"/>
        <w:rPr>
          <w:rFonts w:ascii="Calibri" w:hAnsi="Calibri" w:cs="Arial"/>
        </w:rPr>
      </w:pPr>
      <w:r>
        <w:rPr>
          <w:rFonts w:ascii="Calibri" w:hAnsi="Calibri"/>
        </w:rPr>
        <w:t xml:space="preserve">A1 - Titu - Bâldana - Târgoviște– Sinaia (design and execution for Extension to 4 lanes of DN 7 between Bâldana and Titu and design and execution for modernization of DN 71, Bâldana - Târgoviște– Sinaia); </w:t>
      </w:r>
    </w:p>
    <w:p w:rsidR="00AE69E7" w:rsidRPr="00AE69E7" w:rsidRDefault="00AE69E7" w:rsidP="00565476">
      <w:pPr>
        <w:numPr>
          <w:ilvl w:val="0"/>
          <w:numId w:val="235"/>
        </w:numPr>
        <w:ind w:left="1418" w:hanging="142"/>
        <w:jc w:val="both"/>
        <w:rPr>
          <w:rFonts w:ascii="Calibri" w:hAnsi="Calibri" w:cs="Arial"/>
        </w:rPr>
      </w:pPr>
      <w:r>
        <w:rPr>
          <w:rFonts w:ascii="Calibri" w:hAnsi="Calibri"/>
        </w:rPr>
        <w:t>DN 67B, Scoarța – Pitești;</w:t>
      </w:r>
    </w:p>
    <w:p w:rsidR="00AE69E7" w:rsidRPr="00AE69E7" w:rsidRDefault="00AE69E7" w:rsidP="00565476">
      <w:pPr>
        <w:numPr>
          <w:ilvl w:val="0"/>
          <w:numId w:val="235"/>
        </w:numPr>
        <w:ind w:left="1418" w:hanging="142"/>
        <w:jc w:val="both"/>
        <w:rPr>
          <w:rFonts w:ascii="Calibri" w:hAnsi="Calibri" w:cs="Arial"/>
        </w:rPr>
      </w:pPr>
      <w:r>
        <w:rPr>
          <w:rFonts w:ascii="Calibri" w:hAnsi="Calibri"/>
        </w:rPr>
        <w:t>DN 52, Alexandria - Turnu Măgurele;</w:t>
      </w:r>
    </w:p>
    <w:p w:rsidR="00AE69E7" w:rsidRPr="00AE69E7" w:rsidRDefault="00AE69E7" w:rsidP="00565476">
      <w:pPr>
        <w:numPr>
          <w:ilvl w:val="0"/>
          <w:numId w:val="235"/>
        </w:numPr>
        <w:ind w:left="1418" w:hanging="142"/>
        <w:jc w:val="both"/>
        <w:rPr>
          <w:rFonts w:ascii="Calibri" w:hAnsi="Calibri" w:cs="Arial"/>
        </w:rPr>
      </w:pPr>
      <w:r>
        <w:rPr>
          <w:rFonts w:ascii="Calibri" w:hAnsi="Calibri"/>
        </w:rPr>
        <w:t>DN 51, Alexandria – Zimnicea;</w:t>
      </w:r>
    </w:p>
    <w:p w:rsidR="00AE69E7" w:rsidRPr="00AE69E7" w:rsidRDefault="00AE69E7" w:rsidP="00565476">
      <w:pPr>
        <w:numPr>
          <w:ilvl w:val="0"/>
          <w:numId w:val="235"/>
        </w:numPr>
        <w:ind w:left="1418" w:hanging="142"/>
        <w:jc w:val="both"/>
        <w:rPr>
          <w:rFonts w:ascii="Calibri" w:hAnsi="Calibri" w:cs="Arial"/>
        </w:rPr>
      </w:pPr>
      <w:r>
        <w:rPr>
          <w:rFonts w:ascii="Calibri" w:hAnsi="Calibri"/>
        </w:rPr>
        <w:t>DN 28B, Târgu Frumos – Botoșani;</w:t>
      </w:r>
    </w:p>
    <w:p w:rsidR="00AE69E7" w:rsidRPr="00AE69E7" w:rsidRDefault="00AE69E7" w:rsidP="00565476">
      <w:pPr>
        <w:numPr>
          <w:ilvl w:val="0"/>
          <w:numId w:val="235"/>
        </w:numPr>
        <w:ind w:left="1418" w:hanging="142"/>
        <w:jc w:val="both"/>
        <w:rPr>
          <w:rFonts w:ascii="Calibri" w:hAnsi="Calibri" w:cs="Arial"/>
        </w:rPr>
      </w:pPr>
      <w:r>
        <w:rPr>
          <w:rFonts w:ascii="Calibri" w:hAnsi="Calibri"/>
        </w:rPr>
        <w:t>DN 7A, Brezoi – Petroșani;</w:t>
      </w:r>
    </w:p>
    <w:p w:rsidR="00AE69E7" w:rsidRPr="00AE69E7" w:rsidRDefault="00AE69E7" w:rsidP="00565476">
      <w:pPr>
        <w:numPr>
          <w:ilvl w:val="0"/>
          <w:numId w:val="235"/>
        </w:numPr>
        <w:ind w:left="1418" w:hanging="142"/>
        <w:jc w:val="both"/>
        <w:rPr>
          <w:rFonts w:ascii="Calibri" w:hAnsi="Calibri" w:cs="Arial"/>
        </w:rPr>
      </w:pPr>
      <w:r>
        <w:rPr>
          <w:rFonts w:ascii="Calibri" w:hAnsi="Calibri"/>
        </w:rPr>
        <w:t>DN 55, Craiova – Bechet;</w:t>
      </w:r>
    </w:p>
    <w:p w:rsidR="00AE69E7" w:rsidRPr="00AE69E7" w:rsidRDefault="00AE69E7" w:rsidP="00565476">
      <w:pPr>
        <w:numPr>
          <w:ilvl w:val="0"/>
          <w:numId w:val="235"/>
        </w:numPr>
        <w:ind w:left="1418" w:hanging="142"/>
        <w:jc w:val="both"/>
        <w:rPr>
          <w:rFonts w:ascii="Calibri" w:hAnsi="Calibri" w:cs="Arial"/>
        </w:rPr>
      </w:pPr>
      <w:r>
        <w:rPr>
          <w:rFonts w:ascii="Calibri" w:hAnsi="Calibri"/>
        </w:rPr>
        <w:t>DN 2L, Soveja –Lepșa;</w:t>
      </w:r>
    </w:p>
    <w:p w:rsidR="00AE69E7" w:rsidRPr="00AE69E7" w:rsidRDefault="00AE69E7" w:rsidP="00565476">
      <w:pPr>
        <w:numPr>
          <w:ilvl w:val="0"/>
          <w:numId w:val="235"/>
        </w:numPr>
        <w:ind w:left="1418" w:hanging="142"/>
        <w:jc w:val="both"/>
        <w:rPr>
          <w:rFonts w:ascii="Calibri" w:hAnsi="Calibri" w:cs="Arial"/>
        </w:rPr>
      </w:pPr>
      <w:r>
        <w:rPr>
          <w:rFonts w:ascii="Calibri" w:hAnsi="Calibri"/>
        </w:rPr>
        <w:t>DN 2N, Jitia – Bisoca;</w:t>
      </w:r>
    </w:p>
    <w:p w:rsidR="00AE69E7" w:rsidRPr="00AE69E7" w:rsidRDefault="00AE69E7" w:rsidP="00565476">
      <w:pPr>
        <w:numPr>
          <w:ilvl w:val="0"/>
          <w:numId w:val="235"/>
        </w:numPr>
        <w:ind w:left="1418" w:hanging="142"/>
        <w:jc w:val="both"/>
        <w:rPr>
          <w:rFonts w:ascii="Calibri" w:hAnsi="Calibri" w:cs="Arial"/>
        </w:rPr>
      </w:pPr>
      <w:r>
        <w:rPr>
          <w:rFonts w:ascii="Calibri" w:hAnsi="Calibri"/>
        </w:rPr>
        <w:t>Evacuation of rain water in Tartasesti;</w:t>
      </w:r>
    </w:p>
    <w:p w:rsidR="00AE69E7" w:rsidRPr="00715536" w:rsidRDefault="00AE69E7" w:rsidP="00565476">
      <w:pPr>
        <w:numPr>
          <w:ilvl w:val="0"/>
          <w:numId w:val="235"/>
        </w:numPr>
        <w:ind w:left="1418" w:hanging="142"/>
        <w:jc w:val="both"/>
        <w:rPr>
          <w:rFonts w:ascii="Calibri" w:hAnsi="Calibri" w:cs="Arial"/>
        </w:rPr>
      </w:pPr>
      <w:r>
        <w:rPr>
          <w:rFonts w:ascii="Calibri" w:hAnsi="Calibri"/>
        </w:rPr>
        <w:t>Extension of DN 7, Valea Oltului, to 3 lanes/4 lanes;</w:t>
      </w:r>
    </w:p>
    <w:p w:rsidR="00AE69E7" w:rsidRPr="00715536" w:rsidRDefault="00AE69E7" w:rsidP="00AE69E7">
      <w:pPr>
        <w:ind w:left="1418" w:hanging="142"/>
        <w:jc w:val="both"/>
        <w:rPr>
          <w:rFonts w:ascii="Calibri" w:hAnsi="Calibri"/>
          <w:b/>
          <w:lang w:val="fr-FR"/>
        </w:rPr>
      </w:pPr>
    </w:p>
    <w:p w:rsidR="00AE69E7" w:rsidRPr="00715536" w:rsidRDefault="00AE69E7" w:rsidP="00AE69E7">
      <w:pPr>
        <w:ind w:left="720"/>
        <w:jc w:val="both"/>
        <w:rPr>
          <w:rFonts w:ascii="Calibri" w:hAnsi="Calibri" w:cs="Arial"/>
          <w:i/>
        </w:rPr>
      </w:pPr>
      <w:r>
        <w:rPr>
          <w:rFonts w:ascii="Calibri" w:hAnsi="Calibri"/>
          <w:i/>
        </w:rPr>
        <w:t xml:space="preserve">The projects in preparation, for which budget allocations were already made in 2019, include: </w:t>
      </w:r>
    </w:p>
    <w:p w:rsidR="00AE69E7" w:rsidRPr="00AE69E7" w:rsidRDefault="00AE69E7" w:rsidP="00565476">
      <w:pPr>
        <w:numPr>
          <w:ilvl w:val="0"/>
          <w:numId w:val="235"/>
        </w:numPr>
        <w:ind w:left="1276" w:hanging="142"/>
        <w:jc w:val="both"/>
        <w:rPr>
          <w:rFonts w:ascii="Calibri" w:hAnsi="Calibri" w:cs="Arial"/>
        </w:rPr>
      </w:pPr>
      <w:r>
        <w:rPr>
          <w:rFonts w:ascii="Calibri" w:hAnsi="Calibri"/>
        </w:rPr>
        <w:t>DN 7C, Transfăgărășan (technical expertise and elaboration of Feasibility Study);</w:t>
      </w:r>
    </w:p>
    <w:p w:rsidR="00AE69E7" w:rsidRPr="00AE69E7" w:rsidRDefault="00AE69E7" w:rsidP="00565476">
      <w:pPr>
        <w:numPr>
          <w:ilvl w:val="0"/>
          <w:numId w:val="235"/>
        </w:numPr>
        <w:ind w:left="1276" w:hanging="142"/>
        <w:jc w:val="both"/>
        <w:rPr>
          <w:rFonts w:ascii="Calibri" w:hAnsi="Calibri" w:cs="Arial"/>
        </w:rPr>
      </w:pPr>
      <w:r>
        <w:rPr>
          <w:rFonts w:ascii="Calibri" w:hAnsi="Calibri"/>
        </w:rPr>
        <w:t>Elaboration of Feasibility Study and Technical Project for the connection road section A1 - DN 7 (Titu/DJ 711A)</w:t>
      </w:r>
    </w:p>
    <w:p w:rsidR="00AE69E7" w:rsidRPr="00AE69E7" w:rsidRDefault="00AE69E7" w:rsidP="00AE69E7">
      <w:pPr>
        <w:jc w:val="both"/>
        <w:rPr>
          <w:rFonts w:ascii="Calibri" w:hAnsi="Calibri"/>
          <w:b/>
        </w:rPr>
      </w:pPr>
    </w:p>
    <w:p w:rsidR="00AE69E7" w:rsidRPr="00AE69E7" w:rsidRDefault="00AE69E7" w:rsidP="00AE69E7">
      <w:pPr>
        <w:ind w:left="720"/>
        <w:jc w:val="both"/>
        <w:rPr>
          <w:rFonts w:ascii="Calibri" w:hAnsi="Calibri" w:cs="Arial"/>
          <w:i/>
        </w:rPr>
      </w:pPr>
      <w:r>
        <w:rPr>
          <w:rFonts w:ascii="Calibri" w:hAnsi="Calibri"/>
          <w:i/>
        </w:rPr>
        <w:t>Projects which will be budgeted in 2019, after obtaining the necessary legal approvals, currently in the stage of preparation/award in view of elaborating the technical and economic documentations or design and execution;</w:t>
      </w:r>
    </w:p>
    <w:p w:rsidR="00AE69E7" w:rsidRPr="00715536" w:rsidRDefault="00AE69E7" w:rsidP="00565476">
      <w:pPr>
        <w:numPr>
          <w:ilvl w:val="0"/>
          <w:numId w:val="235"/>
        </w:numPr>
        <w:ind w:firstLine="698"/>
        <w:jc w:val="both"/>
        <w:rPr>
          <w:rFonts w:ascii="Calibri" w:hAnsi="Calibri" w:cs="Arial"/>
        </w:rPr>
      </w:pPr>
      <w:r>
        <w:rPr>
          <w:rFonts w:ascii="Calibri" w:hAnsi="Calibri"/>
        </w:rPr>
        <w:t>DN 66A, Câmpu lui Neag – Cerna;</w:t>
      </w:r>
    </w:p>
    <w:p w:rsidR="00AE69E7" w:rsidRPr="008C4116" w:rsidRDefault="00AE69E7" w:rsidP="00565476">
      <w:pPr>
        <w:numPr>
          <w:ilvl w:val="0"/>
          <w:numId w:val="235"/>
        </w:numPr>
        <w:ind w:firstLine="698"/>
        <w:jc w:val="both"/>
        <w:rPr>
          <w:rFonts w:ascii="Calibri" w:hAnsi="Calibri" w:cs="Arial"/>
          <w:lang w:val="es-ES"/>
        </w:rPr>
      </w:pPr>
      <w:r w:rsidRPr="008C4116">
        <w:rPr>
          <w:rFonts w:ascii="Calibri" w:hAnsi="Calibri"/>
          <w:lang w:val="es-ES"/>
        </w:rPr>
        <w:t>DN 17 C, Bistrița – Salva  - Moisei;</w:t>
      </w:r>
    </w:p>
    <w:p w:rsidR="00AE69E7" w:rsidRPr="00AE69E7" w:rsidRDefault="00AE69E7" w:rsidP="00565476">
      <w:pPr>
        <w:numPr>
          <w:ilvl w:val="0"/>
          <w:numId w:val="235"/>
        </w:numPr>
        <w:ind w:firstLine="698"/>
        <w:jc w:val="both"/>
        <w:rPr>
          <w:rFonts w:ascii="Calibri" w:hAnsi="Calibri" w:cs="Arial"/>
        </w:rPr>
      </w:pPr>
      <w:r>
        <w:rPr>
          <w:rFonts w:ascii="Calibri" w:hAnsi="Calibri"/>
        </w:rPr>
        <w:t>DN 17 D, Beclean – Cârlibaba;</w:t>
      </w:r>
    </w:p>
    <w:p w:rsidR="00AE69E7" w:rsidRPr="00AE69E7" w:rsidRDefault="00AE69E7" w:rsidP="00565476">
      <w:pPr>
        <w:numPr>
          <w:ilvl w:val="0"/>
          <w:numId w:val="235"/>
        </w:numPr>
        <w:ind w:firstLine="698"/>
        <w:jc w:val="both"/>
        <w:rPr>
          <w:rFonts w:ascii="Calibri" w:hAnsi="Calibri" w:cs="Arial"/>
        </w:rPr>
      </w:pPr>
      <w:r>
        <w:rPr>
          <w:rFonts w:ascii="Calibri" w:hAnsi="Calibri"/>
        </w:rPr>
        <w:t>DN 15, Poiana  Largului – Bicaz;</w:t>
      </w:r>
    </w:p>
    <w:p w:rsidR="00AE69E7" w:rsidRPr="00AE69E7" w:rsidRDefault="00AE69E7" w:rsidP="00565476">
      <w:pPr>
        <w:numPr>
          <w:ilvl w:val="0"/>
          <w:numId w:val="235"/>
        </w:numPr>
        <w:ind w:firstLine="698"/>
        <w:jc w:val="both"/>
        <w:rPr>
          <w:rFonts w:ascii="Calibri" w:hAnsi="Calibri" w:cs="Arial"/>
        </w:rPr>
      </w:pPr>
      <w:r>
        <w:rPr>
          <w:rFonts w:ascii="Calibri" w:hAnsi="Calibri"/>
        </w:rPr>
        <w:t>Drajna Passageway;</w:t>
      </w:r>
    </w:p>
    <w:p w:rsidR="00AE69E7" w:rsidRPr="00715536" w:rsidRDefault="00AE69E7" w:rsidP="00565476">
      <w:pPr>
        <w:numPr>
          <w:ilvl w:val="0"/>
          <w:numId w:val="235"/>
        </w:numPr>
        <w:ind w:firstLine="698"/>
        <w:jc w:val="both"/>
        <w:rPr>
          <w:rFonts w:ascii="Calibri" w:hAnsi="Calibri" w:cs="Arial"/>
        </w:rPr>
      </w:pPr>
      <w:r>
        <w:rPr>
          <w:rFonts w:ascii="Calibri" w:hAnsi="Calibri"/>
        </w:rPr>
        <w:t>Cumpana Node (connection to A4 - DN 39E);</w:t>
      </w:r>
    </w:p>
    <w:p w:rsidR="00AE69E7" w:rsidRPr="00715536" w:rsidRDefault="00AE69E7" w:rsidP="00565476">
      <w:pPr>
        <w:numPr>
          <w:ilvl w:val="0"/>
          <w:numId w:val="235"/>
        </w:numPr>
        <w:ind w:firstLine="698"/>
        <w:jc w:val="both"/>
        <w:rPr>
          <w:rFonts w:ascii="Calibri" w:hAnsi="Calibri" w:cs="Arial"/>
        </w:rPr>
      </w:pPr>
      <w:r>
        <w:rPr>
          <w:rFonts w:ascii="Calibri" w:hAnsi="Calibri"/>
        </w:rPr>
        <w:t xml:space="preserve">Martinesti Node (connection to A1 - DN 1); </w:t>
      </w:r>
    </w:p>
    <w:p w:rsidR="00AE69E7" w:rsidRPr="00715536" w:rsidRDefault="00AE69E7" w:rsidP="00565476">
      <w:pPr>
        <w:numPr>
          <w:ilvl w:val="0"/>
          <w:numId w:val="235"/>
        </w:numPr>
        <w:ind w:firstLine="698"/>
        <w:jc w:val="both"/>
        <w:rPr>
          <w:rFonts w:ascii="Calibri" w:hAnsi="Calibri" w:cs="Arial"/>
        </w:rPr>
      </w:pPr>
      <w:r>
        <w:rPr>
          <w:rFonts w:ascii="Calibri" w:hAnsi="Calibri"/>
        </w:rPr>
        <w:t>Maintenance and Coordination Center on A3.</w:t>
      </w:r>
    </w:p>
    <w:p w:rsidR="00AE69E7" w:rsidRPr="00AE69E7" w:rsidRDefault="00AE69E7" w:rsidP="00565476">
      <w:pPr>
        <w:numPr>
          <w:ilvl w:val="0"/>
          <w:numId w:val="235"/>
        </w:numPr>
        <w:jc w:val="both"/>
        <w:rPr>
          <w:rFonts w:ascii="Calibri" w:hAnsi="Calibri" w:cs="Arial"/>
          <w:b/>
        </w:rPr>
      </w:pPr>
      <w:r>
        <w:rPr>
          <w:rFonts w:ascii="Calibri" w:hAnsi="Calibri"/>
          <w:b/>
        </w:rPr>
        <w:t>Road infrastructure maintenance</w:t>
      </w:r>
    </w:p>
    <w:p w:rsidR="00AE69E7" w:rsidRPr="00AE69E7" w:rsidRDefault="00AE69E7" w:rsidP="00AE69E7">
      <w:pPr>
        <w:ind w:left="720"/>
        <w:jc w:val="both"/>
        <w:rPr>
          <w:rFonts w:ascii="Calibri" w:hAnsi="Calibri"/>
        </w:rPr>
      </w:pPr>
      <w:r>
        <w:rPr>
          <w:rFonts w:ascii="Calibri" w:hAnsi="Calibri"/>
        </w:rPr>
        <w:tab/>
        <w:t>Compania Națională de Administrare a Infrastucturii Rutiere S.A. (C.N.A.I.R. S.A.) is currently ensuring the administration and maintenance of a network of 17,740 km, of which 823.24 km of highway and 16,916 km of national roads, a network which is developed on the entire territory of Romania, of which over 61% has the operating life expired (the normal operating duration of a road is the duration of use expressed in years, as of commissioning of the road as new and until its introduction in the first capital repair or between two capital repairs).</w:t>
      </w:r>
    </w:p>
    <w:p w:rsidR="00AE69E7" w:rsidRPr="00AE69E7" w:rsidRDefault="00AE69E7" w:rsidP="00AE69E7">
      <w:pPr>
        <w:ind w:left="720"/>
        <w:jc w:val="both"/>
        <w:rPr>
          <w:rFonts w:ascii="Calibri" w:hAnsi="Calibri"/>
        </w:rPr>
      </w:pPr>
      <w:r>
        <w:rPr>
          <w:rFonts w:ascii="Calibri" w:hAnsi="Calibri"/>
        </w:rPr>
        <w:tab/>
        <w:t>On this date, C.N.A.I.R. S.A. has concluded framework agreements on three years for periodical maintenance works (bituminous treatments, very thin road strata, bituminous carpets) amounting to Lei 2,271,986,000.</w:t>
      </w:r>
    </w:p>
    <w:p w:rsidR="00AE69E7" w:rsidRPr="00AE69E7" w:rsidRDefault="0091684D" w:rsidP="00AE69E7">
      <w:pPr>
        <w:ind w:left="720"/>
        <w:jc w:val="both"/>
        <w:rPr>
          <w:rFonts w:ascii="Calibri" w:hAnsi="Calibri"/>
        </w:rPr>
      </w:pPr>
      <w:r>
        <w:rPr>
          <w:rFonts w:ascii="Calibri" w:hAnsi="Calibri"/>
        </w:rPr>
        <w:tab/>
        <w:t>The budget provisions approved for 2019 may include the conclusion of subsequent agreements amounting to Lei 576,027.35 thousand for the execution of 1,571 km of bituminous carpets.</w:t>
      </w:r>
    </w:p>
    <w:p w:rsidR="00AE69E7" w:rsidRDefault="00AE69E7" w:rsidP="00AE69E7">
      <w:pPr>
        <w:rPr>
          <w:rFonts w:ascii="Calibri" w:hAnsi="Calibri"/>
          <w:lang w:val="ro-RO"/>
        </w:rPr>
      </w:pPr>
    </w:p>
    <w:p w:rsidR="001A2D4F" w:rsidRPr="00C86702" w:rsidRDefault="001A2D4F" w:rsidP="005A1EDA">
      <w:pPr>
        <w:rPr>
          <w:rFonts w:ascii="Calibri" w:hAnsi="Calibri"/>
          <w:lang w:val="ro-RO"/>
        </w:rPr>
      </w:pPr>
    </w:p>
    <w:p w:rsidR="007218F3" w:rsidRPr="00C86702" w:rsidRDefault="007218F3" w:rsidP="007B3867">
      <w:pPr>
        <w:shd w:val="clear" w:color="auto" w:fill="99CCFF"/>
        <w:ind w:right="56"/>
        <w:rPr>
          <w:rFonts w:ascii="Calibri" w:hAnsi="Calibri" w:cs="Arial Narrow"/>
          <w:b/>
          <w:color w:val="000080"/>
        </w:rPr>
      </w:pPr>
      <w:r>
        <w:rPr>
          <w:rFonts w:ascii="Calibri" w:hAnsi="Calibri"/>
          <w:b/>
          <w:color w:val="000080"/>
        </w:rPr>
        <w:t>The policy in the field of education, professional training and university scientific research</w:t>
      </w:r>
    </w:p>
    <w:p w:rsidR="00A34EB4" w:rsidRPr="00715536" w:rsidRDefault="00A34EB4" w:rsidP="00A34EB4">
      <w:pPr>
        <w:widowControl w:val="0"/>
        <w:tabs>
          <w:tab w:val="left" w:pos="595"/>
        </w:tabs>
        <w:autoSpaceDE w:val="0"/>
        <w:autoSpaceDN w:val="0"/>
        <w:adjustRightInd w:val="0"/>
        <w:spacing w:line="276" w:lineRule="auto"/>
        <w:ind w:right="14"/>
        <w:jc w:val="both"/>
        <w:rPr>
          <w:rFonts w:ascii="Calibri" w:eastAsia="Calibri" w:hAnsi="Calibri" w:cs="Calibri"/>
          <w:lang w:val="fr-FR" w:eastAsia="ro-RO"/>
        </w:rPr>
      </w:pPr>
    </w:p>
    <w:p w:rsidR="004B4C43" w:rsidRPr="00715536" w:rsidRDefault="004B4C43" w:rsidP="004B4C43">
      <w:pPr>
        <w:widowControl w:val="0"/>
        <w:tabs>
          <w:tab w:val="left" w:pos="595"/>
        </w:tabs>
        <w:autoSpaceDE w:val="0"/>
        <w:autoSpaceDN w:val="0"/>
        <w:adjustRightInd w:val="0"/>
        <w:spacing w:line="276" w:lineRule="auto"/>
        <w:ind w:right="14"/>
        <w:jc w:val="both"/>
        <w:rPr>
          <w:rFonts w:ascii="Calibri" w:eastAsia="Calibri" w:hAnsi="Calibri" w:cs="Calibri"/>
        </w:rPr>
      </w:pPr>
      <w:r>
        <w:rPr>
          <w:rFonts w:ascii="Calibri" w:hAnsi="Calibri"/>
        </w:rPr>
        <w:t xml:space="preserve">The Government Program for 2018-2020, the National Strategic Framework for Education and Professional Training, the Europe 2020 Strategy, the ET 2020 Framework, the National Reform Program for 2018 define the general objectives and directions of action, on medium term, in the reference field of the Ministry of National Education - pre-university education, higher education, professional training and university scientific research. The national strategic framework includes 4 sector strategies adopted through Government decision: </w:t>
      </w:r>
      <w:r>
        <w:rPr>
          <w:rFonts w:ascii="Calibri" w:hAnsi="Calibri"/>
          <w:i/>
        </w:rPr>
        <w:t>The Strategy on reducing early school drop-out, the National Strategy for tertiary education for 2015-2020, the National strategy of lifelong learning for 2015-2020 and the Strategy for education and professional training in Romania between 2016 and 2020</w:t>
      </w:r>
      <w:r>
        <w:rPr>
          <w:rFonts w:ascii="Calibri" w:hAnsi="Calibri"/>
        </w:rPr>
        <w:t xml:space="preserve"> and a 5</w:t>
      </w:r>
      <w:r>
        <w:rPr>
          <w:rFonts w:ascii="Calibri" w:hAnsi="Calibri"/>
          <w:vertAlign w:val="superscript"/>
        </w:rPr>
        <w:t>th</w:t>
      </w:r>
      <w:r>
        <w:rPr>
          <w:rFonts w:ascii="Calibri" w:hAnsi="Calibri"/>
        </w:rPr>
        <w:t xml:space="preserve"> strategy, </w:t>
      </w:r>
      <w:r>
        <w:rPr>
          <w:rFonts w:ascii="Calibri" w:hAnsi="Calibri"/>
          <w:i/>
        </w:rPr>
        <w:t>the Strategy for modernization of the educational infrastructure for 2018-2023</w:t>
      </w:r>
      <w:r>
        <w:rPr>
          <w:rFonts w:ascii="Calibri" w:hAnsi="Calibri"/>
        </w:rPr>
        <w:t>, which is process of endorsement. They ensure the strategic support for increasing competitiveness and social cohesion, for personal development of the youth and social integration, as well as for correlating education with the labor market.</w:t>
      </w:r>
    </w:p>
    <w:p w:rsidR="004B4C43" w:rsidRPr="004B4C43" w:rsidRDefault="004B4C43" w:rsidP="004B4C43">
      <w:pPr>
        <w:autoSpaceDE w:val="0"/>
        <w:autoSpaceDN w:val="0"/>
        <w:adjustRightInd w:val="0"/>
        <w:spacing w:line="276" w:lineRule="auto"/>
        <w:ind w:firstLine="720"/>
        <w:jc w:val="both"/>
        <w:rPr>
          <w:rFonts w:ascii="Calibri" w:eastAsia="Calibri" w:hAnsi="Calibri" w:cs="Calibri"/>
          <w:iCs/>
        </w:rPr>
      </w:pPr>
      <w:r>
        <w:rPr>
          <w:rFonts w:ascii="Calibri" w:hAnsi="Calibri"/>
          <w:iCs/>
        </w:rPr>
        <w:t xml:space="preserve">The programmatic documents mentioned above substantiate and mention the targets undertaken by Romania for 2020: </w:t>
      </w:r>
    </w:p>
    <w:p w:rsidR="004B4C43" w:rsidRPr="004B4C43" w:rsidRDefault="004B4C43" w:rsidP="004B4C43">
      <w:pPr>
        <w:numPr>
          <w:ilvl w:val="0"/>
          <w:numId w:val="35"/>
        </w:numPr>
        <w:autoSpaceDE w:val="0"/>
        <w:autoSpaceDN w:val="0"/>
        <w:adjustRightInd w:val="0"/>
        <w:spacing w:after="200" w:line="276" w:lineRule="auto"/>
        <w:jc w:val="both"/>
        <w:rPr>
          <w:rFonts w:ascii="Calibri" w:eastAsia="Calibri" w:hAnsi="Calibri" w:cs="Calibri"/>
          <w:iCs/>
        </w:rPr>
      </w:pPr>
      <w:r>
        <w:rPr>
          <w:rFonts w:ascii="Calibri" w:hAnsi="Calibri"/>
          <w:iCs/>
        </w:rPr>
        <w:t>the percentage of those who drop out early from school should be below 11.3%;</w:t>
      </w:r>
    </w:p>
    <w:p w:rsidR="004B4C43" w:rsidRPr="004B4C43" w:rsidRDefault="004B4C43" w:rsidP="004B4C43">
      <w:pPr>
        <w:numPr>
          <w:ilvl w:val="0"/>
          <w:numId w:val="35"/>
        </w:numPr>
        <w:autoSpaceDE w:val="0"/>
        <w:autoSpaceDN w:val="0"/>
        <w:adjustRightInd w:val="0"/>
        <w:spacing w:after="200" w:line="276" w:lineRule="auto"/>
        <w:jc w:val="both"/>
        <w:rPr>
          <w:rFonts w:ascii="Calibri" w:eastAsia="Calibri" w:hAnsi="Calibri" w:cs="Calibri"/>
          <w:iCs/>
        </w:rPr>
      </w:pPr>
      <w:r>
        <w:rPr>
          <w:rFonts w:ascii="Calibri" w:hAnsi="Calibri"/>
          <w:iCs/>
        </w:rPr>
        <w:t>at least 26.7% of people aged between 30 and 34 years should have their tertiary education finished;</w:t>
      </w:r>
    </w:p>
    <w:p w:rsidR="004B4C43" w:rsidRPr="00715536" w:rsidRDefault="004B4C43" w:rsidP="0042679A">
      <w:pPr>
        <w:numPr>
          <w:ilvl w:val="0"/>
          <w:numId w:val="35"/>
        </w:numPr>
        <w:autoSpaceDE w:val="0"/>
        <w:autoSpaceDN w:val="0"/>
        <w:adjustRightInd w:val="0"/>
        <w:spacing w:after="200" w:line="276" w:lineRule="auto"/>
        <w:jc w:val="both"/>
        <w:rPr>
          <w:rFonts w:ascii="Calibri" w:eastAsia="Calibri" w:hAnsi="Calibri" w:cs="Calibri"/>
          <w:iCs/>
        </w:rPr>
      </w:pPr>
      <w:r>
        <w:rPr>
          <w:rFonts w:ascii="Calibri" w:hAnsi="Calibri"/>
          <w:iCs/>
        </w:rPr>
        <w:t>at least 10% of the people aged between 25 and 64 years should participate to lifelong learning.</w:t>
      </w:r>
    </w:p>
    <w:tbl>
      <w:tblPr>
        <w:tblW w:w="10351" w:type="dxa"/>
        <w:jc w:val="center"/>
        <w:tblCellSpacing w:w="0" w:type="dxa"/>
        <w:tblLayout w:type="fixed"/>
        <w:tblCellMar>
          <w:left w:w="120" w:type="dxa"/>
          <w:right w:w="120" w:type="dxa"/>
        </w:tblCellMar>
        <w:tblLook w:val="0000" w:firstRow="0" w:lastRow="0" w:firstColumn="0" w:lastColumn="0" w:noHBand="0" w:noVBand="0"/>
      </w:tblPr>
      <w:tblGrid>
        <w:gridCol w:w="2423"/>
        <w:gridCol w:w="7928"/>
      </w:tblGrid>
      <w:tr w:rsidR="004B4C43" w:rsidRPr="008368B9" w:rsidTr="00311D99">
        <w:trPr>
          <w:trHeight w:val="255"/>
          <w:tblHeader/>
          <w:tblCellSpacing w:w="0" w:type="dxa"/>
          <w:jc w:val="center"/>
        </w:trPr>
        <w:tc>
          <w:tcPr>
            <w:tcW w:w="2434" w:type="dxa"/>
            <w:tcBorders>
              <w:top w:val="nil"/>
              <w:left w:val="nil"/>
              <w:bottom w:val="nil"/>
              <w:right w:val="nil"/>
            </w:tcBorders>
            <w:shd w:val="clear" w:color="auto" w:fill="6699FF"/>
            <w:vAlign w:val="center"/>
          </w:tcPr>
          <w:p w:rsidR="004B4C43" w:rsidRPr="004B4C43" w:rsidRDefault="004B4C43" w:rsidP="004B4C43">
            <w:pPr>
              <w:tabs>
                <w:tab w:val="left" w:pos="360"/>
              </w:tabs>
              <w:autoSpaceDE w:val="0"/>
              <w:autoSpaceDN w:val="0"/>
              <w:adjustRightInd w:val="0"/>
              <w:rPr>
                <w:rFonts w:ascii="Calibri" w:eastAsia="Calibri" w:hAnsi="Calibri" w:cs="Calibri"/>
                <w:b/>
                <w:bCs/>
                <w:color w:val="000080"/>
              </w:rPr>
            </w:pPr>
            <w:r>
              <w:rPr>
                <w:rFonts w:ascii="Calibri" w:hAnsi="Calibri"/>
                <w:b/>
                <w:bCs/>
                <w:color w:val="000080"/>
              </w:rPr>
              <w:t xml:space="preserve">Objectives </w:t>
            </w:r>
          </w:p>
        </w:tc>
        <w:tc>
          <w:tcPr>
            <w:tcW w:w="7965" w:type="dxa"/>
            <w:tcBorders>
              <w:top w:val="nil"/>
              <w:left w:val="nil"/>
              <w:bottom w:val="nil"/>
              <w:right w:val="nil"/>
            </w:tcBorders>
            <w:shd w:val="clear" w:color="auto" w:fill="6699FF"/>
            <w:vAlign w:val="center"/>
          </w:tcPr>
          <w:p w:rsidR="004B4C43" w:rsidRPr="00715536" w:rsidRDefault="004B4C43" w:rsidP="004B4C43">
            <w:pPr>
              <w:autoSpaceDE w:val="0"/>
              <w:autoSpaceDN w:val="0"/>
              <w:adjustRightInd w:val="0"/>
              <w:rPr>
                <w:rFonts w:ascii="Calibri" w:eastAsia="Calibri" w:hAnsi="Calibri" w:cs="Calibri"/>
                <w:b/>
                <w:bCs/>
                <w:color w:val="000080"/>
              </w:rPr>
            </w:pPr>
            <w:r>
              <w:rPr>
                <w:rFonts w:ascii="Calibri" w:hAnsi="Calibri"/>
                <w:b/>
                <w:bCs/>
                <w:color w:val="000080"/>
              </w:rPr>
              <w:t>Lines of action, programs, projects</w:t>
            </w:r>
          </w:p>
        </w:tc>
      </w:tr>
      <w:tr w:rsidR="004B4C43" w:rsidRPr="004B4C43" w:rsidTr="00311D99">
        <w:tblPrEx>
          <w:tblCellSpacing w:w="-8" w:type="dxa"/>
        </w:tblPrEx>
        <w:trPr>
          <w:trHeight w:val="555"/>
          <w:tblCellSpacing w:w="-8" w:type="dxa"/>
          <w:jc w:val="center"/>
        </w:trPr>
        <w:tc>
          <w:tcPr>
            <w:tcW w:w="10383" w:type="dxa"/>
            <w:gridSpan w:val="2"/>
            <w:tcBorders>
              <w:top w:val="nil"/>
              <w:left w:val="nil"/>
              <w:bottom w:val="nil"/>
              <w:right w:val="nil"/>
            </w:tcBorders>
            <w:vAlign w:val="center"/>
          </w:tcPr>
          <w:p w:rsidR="004B4C43" w:rsidRPr="004B4C43" w:rsidRDefault="004B4C43" w:rsidP="008D4CBC">
            <w:pPr>
              <w:numPr>
                <w:ilvl w:val="0"/>
                <w:numId w:val="66"/>
              </w:numPr>
              <w:autoSpaceDE w:val="0"/>
              <w:autoSpaceDN w:val="0"/>
              <w:adjustRightInd w:val="0"/>
              <w:spacing w:before="120" w:after="200" w:line="276" w:lineRule="auto"/>
              <w:ind w:left="1077"/>
              <w:jc w:val="center"/>
              <w:rPr>
                <w:rFonts w:ascii="Calibri" w:eastAsia="Calibri" w:hAnsi="Calibri"/>
              </w:rPr>
            </w:pPr>
            <w:r>
              <w:rPr>
                <w:rFonts w:ascii="Calibri" w:hAnsi="Calibri"/>
                <w:b/>
                <w:bCs/>
                <w:color w:val="002060"/>
              </w:rPr>
              <w:t>Pre-university education</w:t>
            </w:r>
          </w:p>
        </w:tc>
      </w:tr>
      <w:tr w:rsidR="004B4C43" w:rsidRPr="004B4C43" w:rsidTr="00311D99">
        <w:tblPrEx>
          <w:tblCellSpacing w:w="-8" w:type="dxa"/>
        </w:tblPrEx>
        <w:trPr>
          <w:trHeight w:val="20"/>
          <w:tblCellSpacing w:w="-8" w:type="dxa"/>
          <w:jc w:val="center"/>
        </w:trPr>
        <w:tc>
          <w:tcPr>
            <w:tcW w:w="2434" w:type="dxa"/>
            <w:tcBorders>
              <w:top w:val="nil"/>
              <w:left w:val="nil"/>
              <w:bottom w:val="nil"/>
              <w:right w:val="nil"/>
            </w:tcBorders>
            <w:vAlign w:val="center"/>
          </w:tcPr>
          <w:p w:rsidR="004B4C43" w:rsidRPr="004B4C43" w:rsidRDefault="004B4C43" w:rsidP="004B4C43">
            <w:pPr>
              <w:tabs>
                <w:tab w:val="left" w:pos="315"/>
              </w:tabs>
              <w:autoSpaceDE w:val="0"/>
              <w:autoSpaceDN w:val="0"/>
              <w:adjustRightInd w:val="0"/>
              <w:spacing w:line="276" w:lineRule="auto"/>
              <w:ind w:left="165"/>
              <w:jc w:val="center"/>
              <w:rPr>
                <w:rFonts w:ascii="Calibri" w:eastAsia="Calibri" w:hAnsi="Calibri" w:cs="Calibri"/>
                <w:i/>
                <w:iCs/>
                <w:color w:val="002060"/>
              </w:rPr>
            </w:pPr>
            <w:r>
              <w:rPr>
                <w:rFonts w:ascii="Calibri" w:hAnsi="Calibri"/>
                <w:i/>
                <w:iCs/>
                <w:color w:val="002060"/>
              </w:rPr>
              <w:t>1. Ensuring equal access and participation to education for every child in Romania</w:t>
            </w:r>
          </w:p>
        </w:tc>
        <w:tc>
          <w:tcPr>
            <w:tcW w:w="7965" w:type="dxa"/>
            <w:tcBorders>
              <w:top w:val="nil"/>
              <w:left w:val="nil"/>
              <w:bottom w:val="nil"/>
              <w:right w:val="nil"/>
            </w:tcBorders>
          </w:tcPr>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Implementing a social program for pupils from primary, secondary, professional and high school education, in order to ensure the conditions for school access and participation (school supplies, manuals and vouchers for clothing, dedicated to pupils from the preparatory grade to the 12</w:t>
            </w:r>
            <w:r>
              <w:rPr>
                <w:rFonts w:ascii="Calibri" w:hAnsi="Calibri"/>
                <w:vertAlign w:val="superscript"/>
              </w:rPr>
              <w:t>th</w:t>
            </w:r>
            <w:r>
              <w:rPr>
                <w:rFonts w:ascii="Calibri" w:hAnsi="Calibri"/>
              </w:rPr>
              <w:t xml:space="preserve"> grade);</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Continuance of the programs addressed to school participation of high risk children through the award of the Social guaranteed package for education:</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implementation of Law no. 248/2015 on stimulating the participation to pre-school education of children coming from disadvantaged families, the Money for high school program, the Professional scholarship, the Euro 200 program, the “Hot Meal” Program (awarding food support for pre-school children and pupils in 50 State-owned pre-university educational units), the Program for schools of Romania between 2017 and 2023, Deduction of commute (pupils and teachers), Award of (social, study, merit and performance) scholarships;</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Promoting programs of the type of “School after school” and “Second chance;”</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Supporting counseling and professional orientation activities;</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Supporting pupils with disabilities - access to basic education and higher level education;</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Ensuring education for national minorities;</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Ensuring school manuals for all pupils, of the translated versions for national minorities, as well as of the digital versions;</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Organization of the study process/particular cases (homeschooling; private education; intensive/bilingual teaching, and so on).</w:t>
            </w:r>
          </w:p>
          <w:p w:rsidR="004B4C43" w:rsidRPr="004B4C43" w:rsidRDefault="004B4C43" w:rsidP="004B4C43">
            <w:pPr>
              <w:autoSpaceDE w:val="0"/>
              <w:autoSpaceDN w:val="0"/>
              <w:adjustRightInd w:val="0"/>
              <w:spacing w:line="276" w:lineRule="auto"/>
              <w:jc w:val="both"/>
              <w:rPr>
                <w:rFonts w:ascii="Calibri" w:eastAsia="Calibri" w:hAnsi="Calibri" w:cs="Calibri"/>
                <w:lang w:eastAsia="ro-RO"/>
              </w:rPr>
            </w:pPr>
          </w:p>
        </w:tc>
      </w:tr>
      <w:tr w:rsidR="004B4C43" w:rsidRPr="004B4C43" w:rsidTr="00311D99">
        <w:tblPrEx>
          <w:tblCellSpacing w:w="-8" w:type="dxa"/>
        </w:tblPrEx>
        <w:trPr>
          <w:trHeight w:val="210"/>
          <w:tblCellSpacing w:w="-8" w:type="dxa"/>
          <w:jc w:val="center"/>
        </w:trPr>
        <w:tc>
          <w:tcPr>
            <w:tcW w:w="2434" w:type="dxa"/>
            <w:tcBorders>
              <w:top w:val="nil"/>
              <w:left w:val="nil"/>
              <w:bottom w:val="nil"/>
              <w:right w:val="nil"/>
            </w:tcBorders>
            <w:vAlign w:val="center"/>
          </w:tcPr>
          <w:p w:rsidR="004B4C43" w:rsidRPr="00715536" w:rsidRDefault="004B4C43" w:rsidP="004B4C43">
            <w:pPr>
              <w:tabs>
                <w:tab w:val="left" w:pos="315"/>
              </w:tabs>
              <w:autoSpaceDE w:val="0"/>
              <w:autoSpaceDN w:val="0"/>
              <w:adjustRightInd w:val="0"/>
              <w:spacing w:line="276" w:lineRule="auto"/>
              <w:ind w:left="165"/>
              <w:jc w:val="center"/>
              <w:rPr>
                <w:rFonts w:ascii="Calibri" w:eastAsia="Calibri" w:hAnsi="Calibri"/>
              </w:rPr>
            </w:pPr>
            <w:r>
              <w:rPr>
                <w:rFonts w:ascii="Calibri" w:hAnsi="Calibri"/>
                <w:i/>
                <w:iCs/>
                <w:color w:val="002060"/>
              </w:rPr>
              <w:t>2. Ensuring quality at all educational and professional training levels.</w:t>
            </w:r>
          </w:p>
        </w:tc>
        <w:tc>
          <w:tcPr>
            <w:tcW w:w="7965" w:type="dxa"/>
            <w:tcBorders>
              <w:top w:val="nil"/>
              <w:left w:val="nil"/>
              <w:bottom w:val="nil"/>
              <w:right w:val="nil"/>
            </w:tcBorders>
          </w:tcPr>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 xml:space="preserve">Elaboration of new/revised school plans and programs and ensuring adequate manuals, including digital ones; </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Performing relevant evaluations for the 2</w:t>
            </w:r>
            <w:r>
              <w:rPr>
                <w:rFonts w:ascii="Calibri" w:hAnsi="Calibri"/>
                <w:vertAlign w:val="superscript"/>
              </w:rPr>
              <w:t>nd</w:t>
            </w:r>
            <w:r>
              <w:rPr>
                <w:rFonts w:ascii="Calibri" w:hAnsi="Calibri"/>
              </w:rPr>
              <w:t>, 4</w:t>
            </w:r>
            <w:r>
              <w:rPr>
                <w:rFonts w:ascii="Calibri" w:hAnsi="Calibri"/>
                <w:vertAlign w:val="superscript"/>
              </w:rPr>
              <w:t>th</w:t>
            </w:r>
            <w:r>
              <w:rPr>
                <w:rFonts w:ascii="Calibri" w:hAnsi="Calibri"/>
              </w:rPr>
              <w:t xml:space="preserve"> and 6</w:t>
            </w:r>
            <w:r>
              <w:rPr>
                <w:rFonts w:ascii="Calibri" w:hAnsi="Calibri"/>
                <w:vertAlign w:val="superscript"/>
              </w:rPr>
              <w:t>th</w:t>
            </w:r>
            <w:r>
              <w:rPr>
                <w:rFonts w:ascii="Calibri" w:hAnsi="Calibri"/>
              </w:rPr>
              <w:t xml:space="preserve"> grades, National Evaluation and the Baccalaureate exam;</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Implementing the Action Plan for school desegregation;</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Establishing new reference standards and performance indicators; continued periodical assessment of educational units;</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Supporting programs for initial and continued training of the personnel through the project of Relevant Curriculum Open Education for All (CRED), financed through the POHC;</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Supporting School Inspection; guiding and counseling teachers;</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 xml:space="preserve">Supporting extra-school and extracurricular programs, of health education, cultural-artistic and scientific education, ecologic education, education through sport, road education, education for sustainable development, financial education, promoting volunteering, civic education and social involvement;  </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Developing the project of Judicial education in schools;</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 xml:space="preserve">Supporting the transition from one school cycle to another, programs of the type of School for parents and improving the skills of teachers through accessing non-reimbursable funds, from the calls for projects “School for all” and “Motivated teachers in disadvantaged schools”; </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 xml:space="preserve">Stimulating innovation and creativity, including entrepreneurial support; encouraging pupils capable of innovation and creation; </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Development and implementation of programs of stimulating performance, addressed to pupils with special potential;</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Organization of Olympiads and school competitions at local, regional, national, and international level.</w:t>
            </w:r>
          </w:p>
          <w:p w:rsidR="004B4C43" w:rsidRPr="004B4C43" w:rsidRDefault="004B4C43" w:rsidP="004B4C43">
            <w:pPr>
              <w:autoSpaceDE w:val="0"/>
              <w:autoSpaceDN w:val="0"/>
              <w:adjustRightInd w:val="0"/>
              <w:spacing w:line="276" w:lineRule="auto"/>
              <w:jc w:val="both"/>
              <w:rPr>
                <w:rFonts w:ascii="Calibri" w:eastAsia="Calibri" w:hAnsi="Calibri" w:cs="Calibri"/>
                <w:lang w:eastAsia="ro-RO"/>
              </w:rPr>
            </w:pPr>
          </w:p>
        </w:tc>
      </w:tr>
      <w:tr w:rsidR="004B4C43" w:rsidRPr="008368B9" w:rsidTr="00311D99">
        <w:tblPrEx>
          <w:tblCellSpacing w:w="-8" w:type="dxa"/>
        </w:tblPrEx>
        <w:trPr>
          <w:trHeight w:val="105"/>
          <w:tblCellSpacing w:w="-8" w:type="dxa"/>
          <w:jc w:val="center"/>
        </w:trPr>
        <w:tc>
          <w:tcPr>
            <w:tcW w:w="2434" w:type="dxa"/>
            <w:tcBorders>
              <w:top w:val="nil"/>
              <w:left w:val="nil"/>
              <w:bottom w:val="nil"/>
              <w:right w:val="nil"/>
            </w:tcBorders>
            <w:vAlign w:val="center"/>
          </w:tcPr>
          <w:p w:rsidR="004B4C43" w:rsidRPr="00715536" w:rsidRDefault="004B4C43" w:rsidP="004B4C43">
            <w:pPr>
              <w:autoSpaceDE w:val="0"/>
              <w:autoSpaceDN w:val="0"/>
              <w:adjustRightInd w:val="0"/>
              <w:spacing w:line="276" w:lineRule="auto"/>
              <w:jc w:val="center"/>
              <w:rPr>
                <w:rFonts w:ascii="Calibri" w:eastAsia="Calibri" w:hAnsi="Calibri" w:cs="Calibri"/>
                <w:i/>
                <w:iCs/>
                <w:color w:val="002060"/>
              </w:rPr>
            </w:pPr>
            <w:r>
              <w:rPr>
                <w:rFonts w:ascii="Calibri" w:hAnsi="Calibri"/>
                <w:i/>
                <w:iCs/>
                <w:color w:val="002060"/>
              </w:rPr>
              <w:t>3. Developing professional and technical education</w:t>
            </w:r>
          </w:p>
        </w:tc>
        <w:tc>
          <w:tcPr>
            <w:tcW w:w="7965" w:type="dxa"/>
            <w:tcBorders>
              <w:top w:val="nil"/>
              <w:left w:val="nil"/>
              <w:bottom w:val="nil"/>
              <w:right w:val="nil"/>
            </w:tcBorders>
          </w:tcPr>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 xml:space="preserve">Supporting entrepreneurial education in the school units; </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Implementing dual professional education at national level;</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Performing studies on the needs of economic agents with regard to ensuring qualified personnel, as well as to the insertion of graduates on the labor market;</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Reestablishment/modernization of workshops-school for professional and technological education;</w:t>
            </w:r>
          </w:p>
          <w:p w:rsidR="004B4C43" w:rsidRPr="004B4C43" w:rsidRDefault="004B4C43" w:rsidP="004B4C43">
            <w:pPr>
              <w:widowControl w:val="0"/>
              <w:numPr>
                <w:ilvl w:val="0"/>
                <w:numId w:val="34"/>
              </w:numPr>
              <w:suppressAutoHyphens/>
              <w:spacing w:after="200" w:line="276" w:lineRule="auto"/>
              <w:jc w:val="both"/>
              <w:rPr>
                <w:rFonts w:ascii="Calibri" w:eastAsia="Calibri" w:hAnsi="Calibri" w:cs="Arial"/>
              </w:rPr>
            </w:pPr>
            <w:r>
              <w:rPr>
                <w:rFonts w:ascii="Calibri" w:hAnsi="Calibri"/>
              </w:rPr>
              <w:t>Training teachers and tutors in the field of on the job learning;</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Ensuring several options for professional training for pupils and of continuance of studies at higher levels of qualification;</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Developing professional and technical education of 5</w:t>
            </w:r>
            <w:r>
              <w:rPr>
                <w:rFonts w:ascii="Calibri" w:hAnsi="Calibri"/>
                <w:vertAlign w:val="superscript"/>
              </w:rPr>
              <w:t>th</w:t>
            </w:r>
            <w:r>
              <w:rPr>
                <w:rFonts w:ascii="Calibri" w:hAnsi="Calibri"/>
              </w:rPr>
              <w:t>, tertiary, non-university education, in fields with growth potential, relevant for Romania’s economic development.</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Stimulating public-private partnerships;</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Developing of qualification/continuous training programs, according to the needs found on the labor market.</w:t>
            </w:r>
          </w:p>
          <w:p w:rsidR="004B4C43" w:rsidRPr="00715536" w:rsidRDefault="004B4C43" w:rsidP="004B4C43">
            <w:pPr>
              <w:autoSpaceDE w:val="0"/>
              <w:autoSpaceDN w:val="0"/>
              <w:adjustRightInd w:val="0"/>
              <w:jc w:val="both"/>
              <w:rPr>
                <w:rFonts w:ascii="Calibri" w:eastAsia="Calibri" w:hAnsi="Calibri" w:cs="Calibri"/>
                <w:iCs/>
                <w:lang w:val="fr-FR" w:eastAsia="ro-RO"/>
              </w:rPr>
            </w:pPr>
          </w:p>
        </w:tc>
      </w:tr>
      <w:tr w:rsidR="004B4C43" w:rsidRPr="008368B9" w:rsidTr="00311D99">
        <w:tblPrEx>
          <w:tblCellSpacing w:w="-8" w:type="dxa"/>
        </w:tblPrEx>
        <w:trPr>
          <w:trHeight w:val="60"/>
          <w:tblCellSpacing w:w="-8" w:type="dxa"/>
          <w:jc w:val="center"/>
        </w:trPr>
        <w:tc>
          <w:tcPr>
            <w:tcW w:w="2434" w:type="dxa"/>
            <w:tcBorders>
              <w:top w:val="nil"/>
              <w:left w:val="nil"/>
              <w:bottom w:val="nil"/>
              <w:right w:val="nil"/>
            </w:tcBorders>
            <w:vAlign w:val="center"/>
          </w:tcPr>
          <w:p w:rsidR="004B4C43" w:rsidRPr="004B4C43" w:rsidRDefault="004B4C43" w:rsidP="004B4C43">
            <w:pPr>
              <w:autoSpaceDE w:val="0"/>
              <w:autoSpaceDN w:val="0"/>
              <w:adjustRightInd w:val="0"/>
              <w:spacing w:line="276" w:lineRule="auto"/>
              <w:jc w:val="center"/>
              <w:rPr>
                <w:rFonts w:ascii="Calibri" w:eastAsia="Calibri" w:hAnsi="Calibri" w:cs="Calibri"/>
                <w:i/>
                <w:iCs/>
                <w:color w:val="002060"/>
              </w:rPr>
            </w:pPr>
            <w:r>
              <w:rPr>
                <w:rFonts w:ascii="Calibri" w:hAnsi="Calibri"/>
                <w:i/>
                <w:iCs/>
                <w:color w:val="002060"/>
              </w:rPr>
              <w:t>4. Ensuring and modernizing the material base of pre-university education; using new technologies</w:t>
            </w:r>
          </w:p>
        </w:tc>
        <w:tc>
          <w:tcPr>
            <w:tcW w:w="7965" w:type="dxa"/>
            <w:tcBorders>
              <w:top w:val="nil"/>
              <w:left w:val="nil"/>
              <w:bottom w:val="nil"/>
              <w:right w:val="nil"/>
            </w:tcBorders>
            <w:vAlign w:val="center"/>
          </w:tcPr>
          <w:p w:rsidR="004B4C43" w:rsidRPr="004B4C43" w:rsidRDefault="004B4C43" w:rsidP="004B4C43">
            <w:pPr>
              <w:numPr>
                <w:ilvl w:val="0"/>
                <w:numId w:val="34"/>
              </w:numPr>
              <w:spacing w:after="200" w:line="276" w:lineRule="auto"/>
              <w:jc w:val="both"/>
              <w:rPr>
                <w:rFonts w:ascii="Calibri" w:eastAsia="Calibri" w:hAnsi="Calibri" w:cs="Calibri"/>
              </w:rPr>
            </w:pPr>
            <w:r>
              <w:rPr>
                <w:rFonts w:ascii="Calibri" w:hAnsi="Calibri"/>
              </w:rPr>
              <w:t>Modernization of the obtaining of operating authorizations (sanitary, ISU) by all educational units;</w:t>
            </w:r>
          </w:p>
          <w:p w:rsidR="004B4C43" w:rsidRPr="004B4C43" w:rsidRDefault="004B4C43" w:rsidP="004B4C43">
            <w:pPr>
              <w:numPr>
                <w:ilvl w:val="0"/>
                <w:numId w:val="34"/>
              </w:numPr>
              <w:spacing w:after="200" w:line="276" w:lineRule="auto"/>
              <w:jc w:val="both"/>
              <w:rPr>
                <w:rFonts w:ascii="Calibri" w:eastAsia="Calibri" w:hAnsi="Calibri" w:cs="Calibri"/>
              </w:rPr>
            </w:pPr>
            <w:r>
              <w:rPr>
                <w:rFonts w:ascii="Calibri" w:hAnsi="Calibri"/>
              </w:rPr>
              <w:t>Completion of the infrastructure investment objectives through the Early Education Reform Program (PRET) and the Project of Rehabilitation of School Infrastructure (PRIS);</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 xml:space="preserve">Connecting all schools to the Internet; improving Internet access through the implementation of wireless-campus, with priority for secondary schools; </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Developing educational programs, regarding safe Internet use;</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Creating the Information system for School management;</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Building the national E-education Platform;</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Laptops for teachers;</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Tablets for pupils;</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Class instruments (equipping all classrooms with smart blackboards).</w:t>
            </w:r>
          </w:p>
          <w:p w:rsidR="004B4C43" w:rsidRPr="00715536" w:rsidRDefault="004B4C43" w:rsidP="004B4C43">
            <w:pPr>
              <w:autoSpaceDE w:val="0"/>
              <w:autoSpaceDN w:val="0"/>
              <w:adjustRightInd w:val="0"/>
              <w:ind w:left="360"/>
              <w:jc w:val="both"/>
              <w:rPr>
                <w:rFonts w:ascii="Calibri" w:eastAsia="Calibri" w:hAnsi="Calibri" w:cs="Calibri"/>
                <w:lang w:val="fr-FR" w:eastAsia="ro-RO"/>
              </w:rPr>
            </w:pPr>
          </w:p>
        </w:tc>
      </w:tr>
      <w:tr w:rsidR="004B4C43" w:rsidRPr="008368B9" w:rsidTr="00311D99">
        <w:tblPrEx>
          <w:tblCellSpacing w:w="-8" w:type="dxa"/>
        </w:tblPrEx>
        <w:trPr>
          <w:trHeight w:val="135"/>
          <w:tblCellSpacing w:w="-8" w:type="dxa"/>
          <w:jc w:val="center"/>
        </w:trPr>
        <w:tc>
          <w:tcPr>
            <w:tcW w:w="2434" w:type="dxa"/>
            <w:tcBorders>
              <w:top w:val="nil"/>
              <w:left w:val="nil"/>
              <w:bottom w:val="nil"/>
              <w:right w:val="nil"/>
            </w:tcBorders>
            <w:vAlign w:val="center"/>
          </w:tcPr>
          <w:p w:rsidR="004B4C43" w:rsidRPr="004B4C43" w:rsidRDefault="004B4C43" w:rsidP="004B4C43">
            <w:pPr>
              <w:autoSpaceDE w:val="0"/>
              <w:autoSpaceDN w:val="0"/>
              <w:adjustRightInd w:val="0"/>
              <w:jc w:val="center"/>
              <w:rPr>
                <w:rFonts w:ascii="Calibri" w:eastAsia="Calibri" w:hAnsi="Calibri" w:cs="Calibri"/>
                <w:i/>
                <w:iCs/>
                <w:color w:val="002060"/>
              </w:rPr>
            </w:pPr>
            <w:r>
              <w:br w:type="page"/>
            </w:r>
            <w:r>
              <w:rPr>
                <w:rFonts w:ascii="Calibri" w:hAnsi="Calibri"/>
                <w:i/>
                <w:iCs/>
                <w:color w:val="002060"/>
              </w:rPr>
              <w:t>5. Improving school management and developing the teaching career</w:t>
            </w:r>
          </w:p>
        </w:tc>
        <w:tc>
          <w:tcPr>
            <w:tcW w:w="7965" w:type="dxa"/>
            <w:tcBorders>
              <w:top w:val="nil"/>
              <w:left w:val="nil"/>
              <w:bottom w:val="nil"/>
              <w:right w:val="nil"/>
            </w:tcBorders>
          </w:tcPr>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Encouraging continuous training of teachers through programs financed from the State budget and European funds;</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Ensuring school autonomy, associated with the increase of public responsibility;</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 xml:space="preserve">Consolidating the partnership relationships between higher education and pre-university education, in initial and continuous training for the teaching career, which would ensure adequacy of the content and methods to the teachers’ training needs, with implications on the personal and professional development thereof and the increase of the professional prestige of teachers; </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rPr>
            </w:pPr>
            <w:r>
              <w:rPr>
                <w:rFonts w:ascii="Calibri" w:hAnsi="Calibri"/>
              </w:rPr>
              <w:t>Rethinking the modalities of career advancements for teachers, so that they should be made on the basis of relevant criteria and processes.</w:t>
            </w:r>
          </w:p>
          <w:p w:rsidR="004B4C43" w:rsidRPr="00715536" w:rsidRDefault="004B4C43" w:rsidP="004B4C43">
            <w:pPr>
              <w:autoSpaceDE w:val="0"/>
              <w:autoSpaceDN w:val="0"/>
              <w:adjustRightInd w:val="0"/>
              <w:jc w:val="both"/>
              <w:rPr>
                <w:rFonts w:ascii="Calibri" w:eastAsia="Calibri" w:hAnsi="Calibri"/>
                <w:lang w:val="fr-FR" w:eastAsia="ro-RO"/>
              </w:rPr>
            </w:pPr>
          </w:p>
        </w:tc>
      </w:tr>
      <w:tr w:rsidR="004B4C43" w:rsidRPr="004B4C43" w:rsidTr="00311D99">
        <w:tblPrEx>
          <w:tblCellSpacing w:w="-8" w:type="dxa"/>
        </w:tblPrEx>
        <w:trPr>
          <w:trHeight w:val="45"/>
          <w:tblCellSpacing w:w="-8" w:type="dxa"/>
          <w:jc w:val="center"/>
        </w:trPr>
        <w:tc>
          <w:tcPr>
            <w:tcW w:w="2434" w:type="dxa"/>
            <w:tcBorders>
              <w:top w:val="nil"/>
              <w:left w:val="nil"/>
              <w:bottom w:val="nil"/>
              <w:right w:val="nil"/>
            </w:tcBorders>
            <w:vAlign w:val="center"/>
          </w:tcPr>
          <w:p w:rsidR="004B4C43" w:rsidRPr="004B4C43" w:rsidRDefault="004B4C43" w:rsidP="004B4C43">
            <w:pPr>
              <w:tabs>
                <w:tab w:val="left" w:pos="810"/>
                <w:tab w:val="left" w:pos="1365"/>
              </w:tabs>
              <w:autoSpaceDE w:val="0"/>
              <w:autoSpaceDN w:val="0"/>
              <w:adjustRightInd w:val="0"/>
              <w:spacing w:line="276" w:lineRule="auto"/>
              <w:jc w:val="center"/>
              <w:rPr>
                <w:rFonts w:ascii="Calibri" w:eastAsia="Calibri" w:hAnsi="Calibri" w:cs="Calibri"/>
                <w:i/>
                <w:iCs/>
                <w:color w:val="002060"/>
              </w:rPr>
            </w:pPr>
            <w:r>
              <w:rPr>
                <w:rFonts w:ascii="Calibri" w:hAnsi="Calibri"/>
                <w:i/>
                <w:iCs/>
                <w:color w:val="002060"/>
              </w:rPr>
              <w:t>6. Adequate financing of the education and professional training system</w:t>
            </w:r>
          </w:p>
        </w:tc>
        <w:tc>
          <w:tcPr>
            <w:tcW w:w="7965" w:type="dxa"/>
            <w:tcBorders>
              <w:top w:val="nil"/>
              <w:left w:val="nil"/>
              <w:bottom w:val="nil"/>
              <w:right w:val="nil"/>
            </w:tcBorders>
            <w:vAlign w:val="center"/>
          </w:tcPr>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Ensuring co-financing for the implementation of projects financed from European funds;</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Ensuring basic financing for State and private education;</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 xml:space="preserve">Ensuring a salary and financial motivation system adequate for the role the teacher fulfills in society, as main player in increasing the role of the educational act in society; </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Ensuring the performance of monitoring/evaluation/counseling and control/audit activities;</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Subsidies for Internet access for all educational units in the rural/urban areas;</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Purchasing ICT equipment for secondary schools based on pilot projects;</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Developing the Integrated Computer System of Education in Romania.</w:t>
            </w:r>
          </w:p>
          <w:p w:rsidR="004B4C43" w:rsidRPr="004B4C43" w:rsidRDefault="004B4C43" w:rsidP="004B4C43">
            <w:pPr>
              <w:autoSpaceDE w:val="0"/>
              <w:autoSpaceDN w:val="0"/>
              <w:adjustRightInd w:val="0"/>
              <w:jc w:val="both"/>
              <w:rPr>
                <w:rFonts w:ascii="Calibri" w:eastAsia="Calibri" w:hAnsi="Calibri" w:cs="Calibri"/>
                <w:lang w:eastAsia="ro-RO"/>
              </w:rPr>
            </w:pPr>
          </w:p>
        </w:tc>
      </w:tr>
      <w:tr w:rsidR="004B4C43" w:rsidRPr="004B4C43" w:rsidTr="00311D99">
        <w:tblPrEx>
          <w:tblCellSpacing w:w="-8" w:type="dxa"/>
        </w:tblPrEx>
        <w:trPr>
          <w:trHeight w:val="255"/>
          <w:tblCellSpacing w:w="-8" w:type="dxa"/>
          <w:jc w:val="center"/>
        </w:trPr>
        <w:tc>
          <w:tcPr>
            <w:tcW w:w="2434" w:type="dxa"/>
            <w:tcBorders>
              <w:top w:val="nil"/>
              <w:left w:val="nil"/>
              <w:bottom w:val="nil"/>
              <w:right w:val="nil"/>
            </w:tcBorders>
            <w:vAlign w:val="center"/>
          </w:tcPr>
          <w:p w:rsidR="004B4C43" w:rsidRPr="00715536" w:rsidRDefault="004B4C43" w:rsidP="004B4C43">
            <w:pPr>
              <w:tabs>
                <w:tab w:val="left" w:pos="810"/>
                <w:tab w:val="left" w:pos="1365"/>
              </w:tabs>
              <w:autoSpaceDE w:val="0"/>
              <w:autoSpaceDN w:val="0"/>
              <w:adjustRightInd w:val="0"/>
              <w:ind w:left="285"/>
              <w:jc w:val="center"/>
              <w:rPr>
                <w:rFonts w:ascii="Calibri" w:eastAsia="Calibri" w:hAnsi="Calibri" w:cs="Calibri"/>
                <w:i/>
                <w:iCs/>
                <w:color w:val="002060"/>
              </w:rPr>
            </w:pPr>
            <w:r>
              <w:rPr>
                <w:rFonts w:ascii="Calibri" w:hAnsi="Calibri"/>
                <w:i/>
                <w:iCs/>
                <w:color w:val="002060"/>
              </w:rPr>
              <w:t>7. Improving the transition from higher secondary education to tertiary non-university education - ROSE</w:t>
            </w:r>
          </w:p>
        </w:tc>
        <w:tc>
          <w:tcPr>
            <w:tcW w:w="7965" w:type="dxa"/>
            <w:tcBorders>
              <w:top w:val="nil"/>
              <w:left w:val="nil"/>
              <w:bottom w:val="nil"/>
              <w:right w:val="nil"/>
            </w:tcBorders>
            <w:vAlign w:val="center"/>
          </w:tcPr>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Awarding grants to high schools with poor results, in order to reduce the drop-out rate, increase the graduation rate and improve performances at the Baccalaureate exam;</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Ensuring mentoring experts for the implementation of remedying and support activities;</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Training the personnel in the evaluation field.</w:t>
            </w:r>
          </w:p>
          <w:p w:rsidR="004B4C43" w:rsidRPr="004B4C43" w:rsidRDefault="004B4C43" w:rsidP="004B4C43">
            <w:pPr>
              <w:autoSpaceDE w:val="0"/>
              <w:autoSpaceDN w:val="0"/>
              <w:adjustRightInd w:val="0"/>
              <w:jc w:val="both"/>
              <w:rPr>
                <w:rFonts w:ascii="Calibri" w:eastAsia="Calibri" w:hAnsi="Calibri" w:cs="Calibri"/>
                <w:lang w:eastAsia="ro-RO"/>
              </w:rPr>
            </w:pPr>
          </w:p>
        </w:tc>
      </w:tr>
      <w:tr w:rsidR="004B4C43" w:rsidRPr="004B4C43" w:rsidTr="00311D99">
        <w:tblPrEx>
          <w:tblCellSpacing w:w="-8" w:type="dxa"/>
        </w:tblPrEx>
        <w:trPr>
          <w:trHeight w:val="495"/>
          <w:tblCellSpacing w:w="-8" w:type="dxa"/>
          <w:jc w:val="center"/>
        </w:trPr>
        <w:tc>
          <w:tcPr>
            <w:tcW w:w="10383" w:type="dxa"/>
            <w:gridSpan w:val="2"/>
            <w:tcBorders>
              <w:top w:val="nil"/>
              <w:left w:val="nil"/>
              <w:bottom w:val="nil"/>
              <w:right w:val="nil"/>
            </w:tcBorders>
            <w:vAlign w:val="center"/>
          </w:tcPr>
          <w:p w:rsidR="004B4C43" w:rsidRPr="004B4C43" w:rsidRDefault="004B4C43" w:rsidP="004B4C43">
            <w:pPr>
              <w:numPr>
                <w:ilvl w:val="0"/>
                <w:numId w:val="66"/>
              </w:numPr>
              <w:autoSpaceDE w:val="0"/>
              <w:autoSpaceDN w:val="0"/>
              <w:adjustRightInd w:val="0"/>
              <w:spacing w:after="200" w:line="276" w:lineRule="auto"/>
              <w:jc w:val="center"/>
              <w:rPr>
                <w:rFonts w:ascii="Calibri" w:eastAsia="Calibri" w:hAnsi="Calibri" w:cs="Calibri"/>
                <w:b/>
                <w:color w:val="002060"/>
              </w:rPr>
            </w:pPr>
            <w:r>
              <w:rPr>
                <w:rFonts w:ascii="Calibri" w:hAnsi="Calibri"/>
                <w:b/>
                <w:bCs/>
                <w:color w:val="002060"/>
              </w:rPr>
              <w:t>Higher education</w:t>
            </w:r>
          </w:p>
        </w:tc>
      </w:tr>
      <w:tr w:rsidR="004B4C43" w:rsidRPr="008368B9" w:rsidTr="00311D99">
        <w:tblPrEx>
          <w:tblCellSpacing w:w="-8" w:type="dxa"/>
        </w:tblPrEx>
        <w:trPr>
          <w:trHeight w:val="45"/>
          <w:tblCellSpacing w:w="-8" w:type="dxa"/>
          <w:jc w:val="center"/>
        </w:trPr>
        <w:tc>
          <w:tcPr>
            <w:tcW w:w="2434" w:type="dxa"/>
            <w:tcBorders>
              <w:top w:val="nil"/>
              <w:left w:val="nil"/>
              <w:bottom w:val="nil"/>
              <w:right w:val="nil"/>
            </w:tcBorders>
            <w:vAlign w:val="center"/>
          </w:tcPr>
          <w:p w:rsidR="004B4C43" w:rsidRPr="004B4C43" w:rsidRDefault="004B4C43" w:rsidP="004B4C43">
            <w:pPr>
              <w:numPr>
                <w:ilvl w:val="0"/>
                <w:numId w:val="33"/>
              </w:numPr>
              <w:autoSpaceDE w:val="0"/>
              <w:autoSpaceDN w:val="0"/>
              <w:adjustRightInd w:val="0"/>
              <w:spacing w:after="200" w:line="276" w:lineRule="auto"/>
              <w:jc w:val="center"/>
              <w:rPr>
                <w:rFonts w:ascii="Calibri" w:eastAsia="Calibri" w:hAnsi="Calibri" w:cs="Calibri"/>
                <w:i/>
                <w:iCs/>
                <w:color w:val="002060"/>
              </w:rPr>
            </w:pPr>
            <w:r>
              <w:rPr>
                <w:rFonts w:ascii="Calibri" w:hAnsi="Calibri"/>
                <w:i/>
                <w:iCs/>
                <w:color w:val="002060"/>
              </w:rPr>
              <w:t>Improving access and participation</w:t>
            </w:r>
          </w:p>
        </w:tc>
        <w:tc>
          <w:tcPr>
            <w:tcW w:w="7965" w:type="dxa"/>
            <w:tcBorders>
              <w:top w:val="nil"/>
              <w:left w:val="nil"/>
              <w:bottom w:val="nil"/>
              <w:right w:val="nil"/>
            </w:tcBorders>
            <w:vAlign w:val="center"/>
          </w:tcPr>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 xml:space="preserve">Continued award of facilities for students and of scholarships for the youth in disadvantaged groups; implementation of social programs for students (free railway transport and so on); </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rPr>
            </w:pPr>
            <w:r>
              <w:rPr>
                <w:rFonts w:ascii="Calibri" w:hAnsi="Calibri"/>
              </w:rPr>
              <w:t>Establishing measures for students coming from disadvantaged groups, in order to increase the participation to tertiary education;</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Continued allocation of separate spots for Roma youth;</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Performing of “bridge” programs within the ROSE Program, which can include activities like: summer classes of university level for high school students; partnerships between high schools - universities - the labor market; development of tutorship programs, managed and coordinated by universities, for high school students;</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Creating, developing, and ensuring the initial operation of educational centers/laboratories in universities, in order to increase the degree of keeping in universities the students at risk, through the development of specific skills, and ensuring academic support services, aligned with the students’ needs.</w:t>
            </w:r>
          </w:p>
          <w:p w:rsidR="004B4C43" w:rsidRPr="00715536" w:rsidRDefault="004B4C43" w:rsidP="004B4C43">
            <w:pPr>
              <w:autoSpaceDE w:val="0"/>
              <w:autoSpaceDN w:val="0"/>
              <w:adjustRightInd w:val="0"/>
              <w:jc w:val="both"/>
              <w:rPr>
                <w:rFonts w:ascii="Calibri" w:eastAsia="Calibri" w:hAnsi="Calibri" w:cs="Calibri"/>
                <w:lang w:val="fr-FR" w:eastAsia="ro-RO"/>
              </w:rPr>
            </w:pPr>
          </w:p>
        </w:tc>
      </w:tr>
      <w:tr w:rsidR="004B4C43" w:rsidRPr="004B4C43" w:rsidTr="00311D99">
        <w:tblPrEx>
          <w:tblCellSpacing w:w="-8" w:type="dxa"/>
        </w:tblPrEx>
        <w:trPr>
          <w:trHeight w:val="45"/>
          <w:tblCellSpacing w:w="-8" w:type="dxa"/>
          <w:jc w:val="center"/>
        </w:trPr>
        <w:tc>
          <w:tcPr>
            <w:tcW w:w="2434" w:type="dxa"/>
            <w:tcBorders>
              <w:top w:val="nil"/>
              <w:left w:val="nil"/>
              <w:bottom w:val="nil"/>
              <w:right w:val="nil"/>
            </w:tcBorders>
            <w:vAlign w:val="center"/>
          </w:tcPr>
          <w:p w:rsidR="004B4C43" w:rsidRPr="004B4C43" w:rsidRDefault="004B4C43" w:rsidP="004B4C43">
            <w:pPr>
              <w:numPr>
                <w:ilvl w:val="0"/>
                <w:numId w:val="33"/>
              </w:numPr>
              <w:autoSpaceDE w:val="0"/>
              <w:autoSpaceDN w:val="0"/>
              <w:adjustRightInd w:val="0"/>
              <w:spacing w:after="200" w:line="276" w:lineRule="auto"/>
              <w:jc w:val="center"/>
              <w:rPr>
                <w:rFonts w:ascii="Calibri" w:eastAsia="Calibri" w:hAnsi="Calibri" w:cs="Calibri"/>
                <w:i/>
                <w:iCs/>
                <w:color w:val="002060"/>
              </w:rPr>
            </w:pPr>
            <w:r>
              <w:rPr>
                <w:rFonts w:ascii="Calibri" w:hAnsi="Calibri"/>
                <w:i/>
                <w:iCs/>
                <w:color w:val="002060"/>
              </w:rPr>
              <w:t>Ensuring the quality and increasing the competitiveness of Romanian universities</w:t>
            </w:r>
          </w:p>
        </w:tc>
        <w:tc>
          <w:tcPr>
            <w:tcW w:w="7965" w:type="dxa"/>
            <w:tcBorders>
              <w:top w:val="nil"/>
              <w:left w:val="nil"/>
              <w:bottom w:val="nil"/>
              <w:right w:val="nil"/>
            </w:tcBorders>
            <w:vAlign w:val="center"/>
          </w:tcPr>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Making the classification on groups of educational institutions, through a transparent process, based on relevant criteria;</w:t>
            </w:r>
          </w:p>
          <w:p w:rsidR="004B4C43" w:rsidRPr="004B4C43" w:rsidRDefault="004B4C43" w:rsidP="004B4C43">
            <w:pPr>
              <w:widowControl w:val="0"/>
              <w:numPr>
                <w:ilvl w:val="0"/>
                <w:numId w:val="34"/>
              </w:numPr>
              <w:autoSpaceDE w:val="0"/>
              <w:autoSpaceDN w:val="0"/>
              <w:adjustRightInd w:val="0"/>
              <w:spacing w:after="200" w:line="276" w:lineRule="auto"/>
              <w:ind w:right="14"/>
              <w:jc w:val="both"/>
              <w:rPr>
                <w:rFonts w:ascii="Calibri" w:eastAsia="Calibri" w:hAnsi="Calibri" w:cs="Arial"/>
              </w:rPr>
            </w:pPr>
            <w:r>
              <w:rPr>
                <w:rFonts w:ascii="Calibri" w:hAnsi="Calibri"/>
              </w:rPr>
              <w:t>Adequate and predictable financing of higher education institutions from Romania, with a focus on the fields with growth potential;</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 xml:space="preserve">Strengthening the criteria and improving the standards of quality assurance - so as to observe the principles of </w:t>
            </w:r>
            <w:r>
              <w:rPr>
                <w:rFonts w:ascii="Calibri" w:hAnsi="Calibri"/>
                <w:i/>
              </w:rPr>
              <w:t>performance based development</w:t>
            </w:r>
            <w:r>
              <w:rPr>
                <w:rFonts w:ascii="Calibri" w:hAnsi="Calibri"/>
              </w:rPr>
              <w:t>;</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Multiplying student and teacher mobility; participation to international demonstrations, contests, and fairs;</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 xml:space="preserve">Involving universities in the elaboration of regional/sector/national policies and strategies; </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 xml:space="preserve">Equipping license/specialty laboratories; </w:t>
            </w:r>
          </w:p>
          <w:p w:rsidR="004B4C43" w:rsidRPr="004B4C43" w:rsidRDefault="004B4C43" w:rsidP="004B4C43">
            <w:pPr>
              <w:widowControl w:val="0"/>
              <w:numPr>
                <w:ilvl w:val="0"/>
                <w:numId w:val="34"/>
              </w:numPr>
              <w:autoSpaceDE w:val="0"/>
              <w:autoSpaceDN w:val="0"/>
              <w:adjustRightInd w:val="0"/>
              <w:spacing w:after="200" w:line="276" w:lineRule="auto"/>
              <w:ind w:right="14"/>
              <w:jc w:val="both"/>
              <w:rPr>
                <w:rFonts w:ascii="Arial" w:eastAsia="Calibri" w:hAnsi="Arial" w:cs="Arial"/>
                <w:sz w:val="22"/>
                <w:szCs w:val="22"/>
              </w:rPr>
            </w:pPr>
            <w:r>
              <w:rPr>
                <w:rFonts w:ascii="Calibri" w:hAnsi="Calibri"/>
              </w:rPr>
              <w:t>Consolidating the material base, building of new student dormitories and rehabilitation/modernization or construction of student canteens.</w:t>
            </w:r>
          </w:p>
          <w:p w:rsidR="004B4C43" w:rsidRPr="004B4C43" w:rsidRDefault="004B4C43" w:rsidP="004B4C43">
            <w:pPr>
              <w:widowControl w:val="0"/>
              <w:autoSpaceDE w:val="0"/>
              <w:autoSpaceDN w:val="0"/>
              <w:adjustRightInd w:val="0"/>
              <w:spacing w:line="276" w:lineRule="auto"/>
              <w:ind w:right="14"/>
              <w:jc w:val="both"/>
              <w:rPr>
                <w:rFonts w:ascii="Arial" w:eastAsia="Calibri" w:hAnsi="Arial" w:cs="Arial"/>
                <w:sz w:val="22"/>
                <w:szCs w:val="22"/>
                <w:lang w:val="ro-RO"/>
              </w:rPr>
            </w:pPr>
          </w:p>
        </w:tc>
      </w:tr>
      <w:tr w:rsidR="004B4C43" w:rsidRPr="004B4C43" w:rsidTr="00311D99">
        <w:tblPrEx>
          <w:tblCellSpacing w:w="-8" w:type="dxa"/>
        </w:tblPrEx>
        <w:trPr>
          <w:trHeight w:val="45"/>
          <w:tblCellSpacing w:w="-8" w:type="dxa"/>
          <w:jc w:val="center"/>
        </w:trPr>
        <w:tc>
          <w:tcPr>
            <w:tcW w:w="2434" w:type="dxa"/>
            <w:tcBorders>
              <w:top w:val="nil"/>
              <w:left w:val="nil"/>
              <w:bottom w:val="nil"/>
              <w:right w:val="nil"/>
            </w:tcBorders>
            <w:vAlign w:val="center"/>
          </w:tcPr>
          <w:p w:rsidR="004B4C43" w:rsidRPr="00715536" w:rsidRDefault="004B4C43" w:rsidP="004B4C43">
            <w:pPr>
              <w:numPr>
                <w:ilvl w:val="0"/>
                <w:numId w:val="33"/>
              </w:numPr>
              <w:autoSpaceDE w:val="0"/>
              <w:autoSpaceDN w:val="0"/>
              <w:adjustRightInd w:val="0"/>
              <w:spacing w:after="200" w:line="276" w:lineRule="auto"/>
              <w:jc w:val="center"/>
              <w:rPr>
                <w:rFonts w:ascii="Calibri" w:eastAsia="Calibri" w:hAnsi="Calibri" w:cs="Calibri"/>
                <w:i/>
                <w:iCs/>
                <w:color w:val="002060"/>
              </w:rPr>
            </w:pPr>
            <w:r>
              <w:rPr>
                <w:rFonts w:ascii="Calibri" w:hAnsi="Calibri"/>
                <w:i/>
                <w:iCs/>
                <w:color w:val="002060"/>
              </w:rPr>
              <w:t>Ensuring higher education autonomy correlated with public responsibility</w:t>
            </w:r>
          </w:p>
        </w:tc>
        <w:tc>
          <w:tcPr>
            <w:tcW w:w="7965" w:type="dxa"/>
            <w:tcBorders>
              <w:top w:val="nil"/>
              <w:left w:val="nil"/>
              <w:bottom w:val="nil"/>
              <w:right w:val="nil"/>
            </w:tcBorders>
            <w:vAlign w:val="center"/>
          </w:tcPr>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Ensuring freedom for the academic community in managing its own programs of studies, and education/research contents, as well as strengthening the administration capacity;</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Developing the institutional capacity of universities and involving all stakeholders in university governance;</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Active involvement of higher education institutions in the regional and national economic environment.</w:t>
            </w:r>
          </w:p>
          <w:p w:rsidR="004B4C43" w:rsidRPr="004B4C43" w:rsidRDefault="004B4C43" w:rsidP="004B4C43">
            <w:pPr>
              <w:autoSpaceDE w:val="0"/>
              <w:autoSpaceDN w:val="0"/>
              <w:adjustRightInd w:val="0"/>
              <w:spacing w:line="276" w:lineRule="auto"/>
              <w:jc w:val="both"/>
              <w:rPr>
                <w:rFonts w:ascii="Calibri" w:eastAsia="Calibri" w:hAnsi="Calibri" w:cs="Calibri"/>
                <w:lang w:eastAsia="ro-RO"/>
              </w:rPr>
            </w:pPr>
          </w:p>
        </w:tc>
      </w:tr>
      <w:tr w:rsidR="004B4C43" w:rsidRPr="008368B9" w:rsidTr="00311D99">
        <w:tblPrEx>
          <w:tblCellSpacing w:w="-8" w:type="dxa"/>
        </w:tblPrEx>
        <w:trPr>
          <w:trHeight w:val="45"/>
          <w:tblCellSpacing w:w="-8" w:type="dxa"/>
          <w:jc w:val="center"/>
        </w:trPr>
        <w:tc>
          <w:tcPr>
            <w:tcW w:w="2434" w:type="dxa"/>
            <w:tcBorders>
              <w:top w:val="nil"/>
              <w:left w:val="nil"/>
              <w:bottom w:val="nil"/>
              <w:right w:val="nil"/>
            </w:tcBorders>
            <w:vAlign w:val="center"/>
          </w:tcPr>
          <w:p w:rsidR="004B4C43" w:rsidRPr="004B4C43" w:rsidRDefault="004B4C43" w:rsidP="004B4C43">
            <w:pPr>
              <w:numPr>
                <w:ilvl w:val="0"/>
                <w:numId w:val="33"/>
              </w:numPr>
              <w:autoSpaceDE w:val="0"/>
              <w:autoSpaceDN w:val="0"/>
              <w:adjustRightInd w:val="0"/>
              <w:spacing w:after="200" w:line="276" w:lineRule="auto"/>
              <w:jc w:val="center"/>
              <w:rPr>
                <w:rFonts w:ascii="Calibri" w:eastAsia="Calibri" w:hAnsi="Calibri" w:cs="Calibri"/>
                <w:i/>
                <w:iCs/>
                <w:color w:val="002060"/>
              </w:rPr>
            </w:pPr>
            <w:r>
              <w:rPr>
                <w:rFonts w:ascii="Calibri" w:hAnsi="Calibri"/>
                <w:i/>
                <w:iCs/>
                <w:color w:val="002060"/>
              </w:rPr>
              <w:t>Correlating university studies programs with the needs of the labor market</w:t>
            </w:r>
          </w:p>
        </w:tc>
        <w:tc>
          <w:tcPr>
            <w:tcW w:w="7965" w:type="dxa"/>
            <w:tcBorders>
              <w:top w:val="nil"/>
              <w:left w:val="nil"/>
              <w:bottom w:val="nil"/>
              <w:right w:val="nil"/>
            </w:tcBorders>
            <w:vAlign w:val="center"/>
          </w:tcPr>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 xml:space="preserve">Focusing studies programs on the acquisition of qualifications which are relevant on the labor market; </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Multiplying the specialty/internship practice stages;</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 xml:space="preserve">Implementing common projects between universities, private companies, State agencies; </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rPr>
            </w:pPr>
            <w:r>
              <w:rPr>
                <w:rFonts w:ascii="Calibri" w:hAnsi="Calibri"/>
              </w:rPr>
              <w:t>Developing the Student Entrepreneurial Societies (SES);</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Supporting Career guidance and counseling centers;</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Developing and implementing instruments to monitor the educational process of the youth and the employability of higher education graduates;</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 xml:space="preserve">Implementing of programs promoting common projects for students and economic agents and encouraging students who want to establish start-ups; </w:t>
            </w:r>
          </w:p>
          <w:p w:rsidR="004B4C43" w:rsidRPr="004B4C43" w:rsidRDefault="004B4C43" w:rsidP="004B4C43">
            <w:pPr>
              <w:widowControl w:val="0"/>
              <w:numPr>
                <w:ilvl w:val="0"/>
                <w:numId w:val="34"/>
              </w:numPr>
              <w:autoSpaceDE w:val="0"/>
              <w:autoSpaceDN w:val="0"/>
              <w:adjustRightInd w:val="0"/>
              <w:spacing w:after="200" w:line="276" w:lineRule="auto"/>
              <w:ind w:right="14"/>
              <w:jc w:val="both"/>
              <w:rPr>
                <w:rFonts w:ascii="Calibri" w:eastAsia="Calibri" w:hAnsi="Calibri" w:cs="Arial"/>
              </w:rPr>
            </w:pPr>
            <w:r>
              <w:rPr>
                <w:rFonts w:ascii="Calibri" w:hAnsi="Calibri"/>
              </w:rPr>
              <w:t>Approaching new subjects with practical applicability in graduation papers and master’s graduation papers and stimulating students in this respect;</w:t>
            </w:r>
          </w:p>
          <w:p w:rsidR="004B4C43" w:rsidRPr="004B4C43" w:rsidRDefault="004B4C43" w:rsidP="004B4C43">
            <w:pPr>
              <w:widowControl w:val="0"/>
              <w:numPr>
                <w:ilvl w:val="0"/>
                <w:numId w:val="34"/>
              </w:numPr>
              <w:autoSpaceDE w:val="0"/>
              <w:autoSpaceDN w:val="0"/>
              <w:adjustRightInd w:val="0"/>
              <w:spacing w:after="200" w:line="276" w:lineRule="auto"/>
              <w:ind w:right="14"/>
              <w:jc w:val="both"/>
              <w:rPr>
                <w:rFonts w:ascii="Arial" w:eastAsia="Calibri" w:hAnsi="Arial" w:cs="Arial"/>
                <w:sz w:val="22"/>
                <w:szCs w:val="22"/>
              </w:rPr>
            </w:pPr>
            <w:r>
              <w:t>Performing studies on the needs of economic agents with regard to ensuring qualified personnel, as well as to the insertion of graduates on the labor market;</w:t>
            </w:r>
            <w:r>
              <w:rPr>
                <w:rFonts w:ascii="Arial" w:hAnsi="Arial"/>
                <w:sz w:val="22"/>
                <w:szCs w:val="22"/>
              </w:rPr>
              <w:t xml:space="preserve"> </w:t>
            </w:r>
          </w:p>
          <w:p w:rsidR="004B4C43" w:rsidRPr="00715536" w:rsidRDefault="004B4C43" w:rsidP="004B4C43">
            <w:pPr>
              <w:autoSpaceDE w:val="0"/>
              <w:autoSpaceDN w:val="0"/>
              <w:adjustRightInd w:val="0"/>
              <w:spacing w:line="276" w:lineRule="auto"/>
              <w:jc w:val="both"/>
              <w:rPr>
                <w:rFonts w:ascii="Calibri" w:eastAsia="Calibri" w:hAnsi="Calibri" w:cs="Calibri"/>
                <w:lang w:val="ro-RO" w:eastAsia="ro-RO"/>
              </w:rPr>
            </w:pPr>
          </w:p>
        </w:tc>
      </w:tr>
      <w:tr w:rsidR="004B4C43" w:rsidRPr="008368B9" w:rsidTr="00311D99">
        <w:tblPrEx>
          <w:tblCellSpacing w:w="-8" w:type="dxa"/>
        </w:tblPrEx>
        <w:trPr>
          <w:trHeight w:val="45"/>
          <w:tblCellSpacing w:w="-8" w:type="dxa"/>
          <w:jc w:val="center"/>
        </w:trPr>
        <w:tc>
          <w:tcPr>
            <w:tcW w:w="2434" w:type="dxa"/>
            <w:tcBorders>
              <w:top w:val="nil"/>
              <w:left w:val="nil"/>
              <w:bottom w:val="nil"/>
              <w:right w:val="nil"/>
            </w:tcBorders>
            <w:vAlign w:val="center"/>
          </w:tcPr>
          <w:p w:rsidR="004B4C43" w:rsidRPr="004B4C43" w:rsidRDefault="004B4C43" w:rsidP="004B4C43">
            <w:pPr>
              <w:numPr>
                <w:ilvl w:val="0"/>
                <w:numId w:val="33"/>
              </w:numPr>
              <w:autoSpaceDE w:val="0"/>
              <w:autoSpaceDN w:val="0"/>
              <w:adjustRightInd w:val="0"/>
              <w:spacing w:after="200" w:line="276" w:lineRule="auto"/>
              <w:jc w:val="center"/>
              <w:rPr>
                <w:rFonts w:ascii="Calibri" w:eastAsia="Calibri" w:hAnsi="Calibri" w:cs="Calibri"/>
                <w:i/>
                <w:iCs/>
                <w:color w:val="002060"/>
              </w:rPr>
            </w:pPr>
            <w:r>
              <w:rPr>
                <w:rFonts w:ascii="Calibri" w:hAnsi="Calibri"/>
                <w:i/>
                <w:iCs/>
                <w:color w:val="002060"/>
              </w:rPr>
              <w:t>Development and integration of computer systems for education and professional training</w:t>
            </w:r>
          </w:p>
        </w:tc>
        <w:tc>
          <w:tcPr>
            <w:tcW w:w="7965" w:type="dxa"/>
            <w:tcBorders>
              <w:top w:val="nil"/>
              <w:left w:val="nil"/>
              <w:bottom w:val="nil"/>
              <w:right w:val="nil"/>
            </w:tcBorders>
            <w:vAlign w:val="center"/>
          </w:tcPr>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Correlation in a strategic computer system the current instruments of collection and reporting of data for higher education (ANS, RMU, Research Infrastructure, RMUR) and effective operationalization of existing systems (RMU, REI, SAPM, Study in Romania, etc.);</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 xml:space="preserve">Establishing a set of indicators for assessment and monitoring of public policies for university education; </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Consolidating monitoring instruments of higher education graduates’ insertion on the labor market;</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Continued used in the methodology of distribution of additional financing of human resources indicators;</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Participating to the research program EUROSTUDENT VI.</w:t>
            </w:r>
          </w:p>
          <w:p w:rsidR="008D4CBC" w:rsidRPr="00715536" w:rsidRDefault="008D4CBC" w:rsidP="008D4CBC">
            <w:pPr>
              <w:autoSpaceDE w:val="0"/>
              <w:autoSpaceDN w:val="0"/>
              <w:adjustRightInd w:val="0"/>
              <w:spacing w:line="276" w:lineRule="auto"/>
              <w:jc w:val="both"/>
              <w:rPr>
                <w:rFonts w:ascii="Calibri" w:eastAsia="Calibri" w:hAnsi="Calibri" w:cs="Calibri"/>
                <w:lang w:val="fr-FR" w:eastAsia="ro-RO"/>
              </w:rPr>
            </w:pPr>
          </w:p>
        </w:tc>
      </w:tr>
      <w:tr w:rsidR="004B4C43" w:rsidRPr="008368B9" w:rsidTr="00311D99">
        <w:tblPrEx>
          <w:tblCellSpacing w:w="-8" w:type="dxa"/>
        </w:tblPrEx>
        <w:trPr>
          <w:trHeight w:val="539"/>
          <w:tblCellSpacing w:w="-8" w:type="dxa"/>
          <w:jc w:val="center"/>
        </w:trPr>
        <w:tc>
          <w:tcPr>
            <w:tcW w:w="10383" w:type="dxa"/>
            <w:gridSpan w:val="2"/>
            <w:tcBorders>
              <w:top w:val="nil"/>
              <w:left w:val="nil"/>
              <w:bottom w:val="nil"/>
              <w:right w:val="nil"/>
            </w:tcBorders>
            <w:vAlign w:val="center"/>
          </w:tcPr>
          <w:p w:rsidR="004B4C43" w:rsidRPr="00715536" w:rsidRDefault="004B4C43" w:rsidP="004B4C43">
            <w:pPr>
              <w:autoSpaceDE w:val="0"/>
              <w:autoSpaceDN w:val="0"/>
              <w:adjustRightInd w:val="0"/>
              <w:spacing w:line="276" w:lineRule="auto"/>
              <w:jc w:val="center"/>
              <w:rPr>
                <w:rFonts w:ascii="Calibri" w:eastAsia="Calibri" w:hAnsi="Calibri" w:cs="Calibri"/>
                <w:b/>
                <w:color w:val="002060"/>
              </w:rPr>
            </w:pPr>
            <w:r>
              <w:rPr>
                <w:rFonts w:ascii="Calibri" w:hAnsi="Calibri"/>
                <w:b/>
                <w:color w:val="002060"/>
              </w:rPr>
              <w:t>III. Developing the European and international dimension of Romanian education</w:t>
            </w:r>
          </w:p>
        </w:tc>
      </w:tr>
      <w:tr w:rsidR="004B4C43" w:rsidRPr="008368B9" w:rsidTr="00311D99">
        <w:tblPrEx>
          <w:tblCellSpacing w:w="-8" w:type="dxa"/>
        </w:tblPrEx>
        <w:trPr>
          <w:trHeight w:val="45"/>
          <w:tblCellSpacing w:w="-8" w:type="dxa"/>
          <w:jc w:val="center"/>
        </w:trPr>
        <w:tc>
          <w:tcPr>
            <w:tcW w:w="2434" w:type="dxa"/>
            <w:tcBorders>
              <w:top w:val="nil"/>
              <w:left w:val="nil"/>
              <w:bottom w:val="nil"/>
              <w:right w:val="nil"/>
            </w:tcBorders>
            <w:vAlign w:val="center"/>
          </w:tcPr>
          <w:p w:rsidR="004B4C43" w:rsidRPr="004B4C43" w:rsidRDefault="004B4C43" w:rsidP="004B4C43">
            <w:pPr>
              <w:autoSpaceDE w:val="0"/>
              <w:autoSpaceDN w:val="0"/>
              <w:adjustRightInd w:val="0"/>
              <w:spacing w:line="276" w:lineRule="auto"/>
              <w:ind w:left="390"/>
              <w:jc w:val="center"/>
              <w:rPr>
                <w:rFonts w:ascii="Calibri" w:eastAsia="Calibri" w:hAnsi="Calibri" w:cs="Calibri"/>
                <w:i/>
                <w:iCs/>
                <w:color w:val="002060"/>
              </w:rPr>
            </w:pPr>
            <w:r>
              <w:rPr>
                <w:rFonts w:ascii="Calibri" w:hAnsi="Calibri"/>
                <w:i/>
                <w:iCs/>
                <w:color w:val="002060"/>
              </w:rPr>
              <w:t>1. Strengthening European and international cooperation</w:t>
            </w:r>
          </w:p>
          <w:p w:rsidR="004B4C43" w:rsidRPr="004B4C43" w:rsidRDefault="004B4C43" w:rsidP="004B4C43">
            <w:pPr>
              <w:tabs>
                <w:tab w:val="left" w:pos="30"/>
                <w:tab w:val="left" w:pos="450"/>
              </w:tabs>
              <w:autoSpaceDE w:val="0"/>
              <w:autoSpaceDN w:val="0"/>
              <w:adjustRightInd w:val="0"/>
              <w:ind w:left="165"/>
              <w:rPr>
                <w:rFonts w:ascii="Calibri" w:eastAsia="Calibri" w:hAnsi="Calibri"/>
                <w:i/>
                <w:iCs/>
                <w:color w:val="002060"/>
                <w:lang w:eastAsia="ro-RO"/>
              </w:rPr>
            </w:pPr>
          </w:p>
        </w:tc>
        <w:tc>
          <w:tcPr>
            <w:tcW w:w="7965" w:type="dxa"/>
            <w:tcBorders>
              <w:top w:val="nil"/>
              <w:left w:val="nil"/>
              <w:bottom w:val="nil"/>
              <w:right w:val="nil"/>
            </w:tcBorders>
            <w:vAlign w:val="center"/>
          </w:tcPr>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Continuance and development of European and international cooperation in the field of education; consolidating bilateral relations with the Member States of the EU, those from the European Economic Area and with third countries;</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Undertaking an active role in the regional initiatives of the European Union: Strategy for the Danube Region, EU - Asia, EU - Latin America and the Caribbean, Eastern Partnership, North America and Africa, etc.;</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Ensuring Romania’s participation to international evaluations and studies (PISA, TALLIS, School resources).</w:t>
            </w:r>
          </w:p>
          <w:p w:rsidR="004B4C43" w:rsidRPr="00715536" w:rsidRDefault="004B4C43" w:rsidP="004B4C43">
            <w:pPr>
              <w:autoSpaceDE w:val="0"/>
              <w:autoSpaceDN w:val="0"/>
              <w:adjustRightInd w:val="0"/>
              <w:spacing w:line="276" w:lineRule="auto"/>
              <w:jc w:val="both"/>
              <w:rPr>
                <w:rFonts w:ascii="Calibri" w:eastAsia="Calibri" w:hAnsi="Calibri" w:cs="Calibri"/>
                <w:lang w:val="fr-FR" w:eastAsia="ro-RO"/>
              </w:rPr>
            </w:pPr>
          </w:p>
        </w:tc>
      </w:tr>
      <w:tr w:rsidR="004B4C43" w:rsidRPr="004B4C43" w:rsidTr="00311D99">
        <w:tblPrEx>
          <w:tblCellSpacing w:w="-8" w:type="dxa"/>
        </w:tblPrEx>
        <w:trPr>
          <w:trHeight w:val="45"/>
          <w:tblCellSpacing w:w="-8" w:type="dxa"/>
          <w:jc w:val="center"/>
        </w:trPr>
        <w:tc>
          <w:tcPr>
            <w:tcW w:w="2434" w:type="dxa"/>
            <w:tcBorders>
              <w:top w:val="nil"/>
              <w:left w:val="nil"/>
              <w:bottom w:val="nil"/>
              <w:right w:val="nil"/>
            </w:tcBorders>
            <w:vAlign w:val="center"/>
          </w:tcPr>
          <w:p w:rsidR="004B4C43" w:rsidRPr="00715536" w:rsidRDefault="004B4C43" w:rsidP="004B4C43">
            <w:pPr>
              <w:tabs>
                <w:tab w:val="left" w:pos="30"/>
                <w:tab w:val="left" w:pos="450"/>
              </w:tabs>
              <w:autoSpaceDE w:val="0"/>
              <w:autoSpaceDN w:val="0"/>
              <w:adjustRightInd w:val="0"/>
              <w:ind w:left="165"/>
              <w:jc w:val="center"/>
              <w:rPr>
                <w:rFonts w:ascii="Calibri" w:eastAsia="Calibri" w:hAnsi="Calibri"/>
                <w:i/>
                <w:iCs/>
                <w:color w:val="002060"/>
              </w:rPr>
            </w:pPr>
            <w:r>
              <w:rPr>
                <w:rFonts w:ascii="Calibri" w:hAnsi="Calibri"/>
                <w:i/>
                <w:iCs/>
                <w:color w:val="002060"/>
              </w:rPr>
              <w:t>2.</w:t>
            </w:r>
            <w:r>
              <w:rPr>
                <w:rFonts w:ascii="Calibri" w:hAnsi="Calibri"/>
                <w:i/>
                <w:iCs/>
                <w:color w:val="002060"/>
              </w:rPr>
              <w:tab/>
              <w:t>Supporting Romanian communities outside Romania</w:t>
            </w:r>
          </w:p>
        </w:tc>
        <w:tc>
          <w:tcPr>
            <w:tcW w:w="7965" w:type="dxa"/>
            <w:tcBorders>
              <w:top w:val="nil"/>
              <w:left w:val="nil"/>
              <w:bottom w:val="nil"/>
              <w:right w:val="nil"/>
            </w:tcBorders>
            <w:vAlign w:val="center"/>
          </w:tcPr>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 xml:space="preserve">Giving scholarships and places exempt from paying school tax, approved on a yearly basis through Government Decisions, related to the schooling figure in pre-university education, for Romanian communities from abroad (Republic of Moldova, Ukraine, the Balkans, Diaspora); </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 xml:space="preserve">Increasing the number of participants to the course of Romanian Language, Culture and Civilization from EU countries; </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Ensuring facilities for ethnic youth who want to study in higher education institutions from Romania;</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Increasing the number of spots of lecturer for Romanian language, literature and civilization established in universities from Europe, Latin America or Asia.</w:t>
            </w:r>
          </w:p>
          <w:p w:rsidR="004B4C43" w:rsidRPr="004B4C43" w:rsidRDefault="004B4C43" w:rsidP="004B4C43">
            <w:pPr>
              <w:autoSpaceDE w:val="0"/>
              <w:autoSpaceDN w:val="0"/>
              <w:adjustRightInd w:val="0"/>
              <w:spacing w:line="276" w:lineRule="auto"/>
              <w:jc w:val="both"/>
              <w:rPr>
                <w:rFonts w:ascii="Calibri" w:eastAsia="Calibri" w:hAnsi="Calibri" w:cs="Calibri"/>
                <w:lang w:eastAsia="ro-RO"/>
              </w:rPr>
            </w:pPr>
          </w:p>
        </w:tc>
      </w:tr>
      <w:tr w:rsidR="004B4C43" w:rsidRPr="004B4C43" w:rsidTr="00311D99">
        <w:tblPrEx>
          <w:tblCellSpacing w:w="-8" w:type="dxa"/>
        </w:tblPrEx>
        <w:trPr>
          <w:trHeight w:val="45"/>
          <w:tblCellSpacing w:w="-8" w:type="dxa"/>
          <w:jc w:val="center"/>
        </w:trPr>
        <w:tc>
          <w:tcPr>
            <w:tcW w:w="2434" w:type="dxa"/>
            <w:tcBorders>
              <w:top w:val="nil"/>
              <w:left w:val="nil"/>
              <w:bottom w:val="nil"/>
              <w:right w:val="nil"/>
            </w:tcBorders>
            <w:vAlign w:val="center"/>
          </w:tcPr>
          <w:p w:rsidR="004B4C43" w:rsidRPr="004B4C43" w:rsidRDefault="004B4C43" w:rsidP="004B4C43">
            <w:pPr>
              <w:tabs>
                <w:tab w:val="left" w:pos="30"/>
                <w:tab w:val="left" w:pos="450"/>
              </w:tabs>
              <w:autoSpaceDE w:val="0"/>
              <w:autoSpaceDN w:val="0"/>
              <w:adjustRightInd w:val="0"/>
              <w:ind w:left="165"/>
              <w:jc w:val="center"/>
              <w:rPr>
                <w:rFonts w:ascii="Calibri" w:eastAsia="Calibri" w:hAnsi="Calibri"/>
                <w:i/>
                <w:iCs/>
                <w:color w:val="002060"/>
              </w:rPr>
            </w:pPr>
            <w:r>
              <w:rPr>
                <w:rFonts w:ascii="Calibri" w:hAnsi="Calibri"/>
                <w:i/>
                <w:iCs/>
                <w:color w:val="002060"/>
              </w:rPr>
              <w:t>3. Internationalization of higher education</w:t>
            </w:r>
          </w:p>
        </w:tc>
        <w:tc>
          <w:tcPr>
            <w:tcW w:w="7965" w:type="dxa"/>
            <w:tcBorders>
              <w:top w:val="nil"/>
              <w:left w:val="nil"/>
              <w:bottom w:val="nil"/>
              <w:right w:val="nil"/>
            </w:tcBorders>
            <w:vAlign w:val="center"/>
          </w:tcPr>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Elaboration and implementation of the Strategy of internationalization of higher education;</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 xml:space="preserve">Multiplying student and teacher mobility; </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Encouraging the participation to international demonstrations, contests and fairs;</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Including in the financing methodology indicators regarding international orientation of universities;</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Encouraging the internationalization of Romanian universities, by increasing quality, developing programs of studies in foreign languages and promoting the educational offer, in order to attract foreign students, including from third countries.</w:t>
            </w:r>
          </w:p>
          <w:p w:rsidR="004B4C43" w:rsidRPr="004B4C43" w:rsidRDefault="004B4C43" w:rsidP="004B4C43">
            <w:pPr>
              <w:autoSpaceDE w:val="0"/>
              <w:autoSpaceDN w:val="0"/>
              <w:adjustRightInd w:val="0"/>
              <w:spacing w:line="276" w:lineRule="auto"/>
              <w:jc w:val="both"/>
              <w:rPr>
                <w:rFonts w:ascii="Calibri" w:eastAsia="Calibri" w:hAnsi="Calibri" w:cs="Calibri"/>
                <w:lang w:eastAsia="ro-RO"/>
              </w:rPr>
            </w:pPr>
          </w:p>
        </w:tc>
      </w:tr>
      <w:tr w:rsidR="004B4C43" w:rsidRPr="004B4C43" w:rsidTr="00311D99">
        <w:tblPrEx>
          <w:tblCellSpacing w:w="-8" w:type="dxa"/>
        </w:tblPrEx>
        <w:trPr>
          <w:trHeight w:val="481"/>
          <w:tblCellSpacing w:w="-8" w:type="dxa"/>
          <w:jc w:val="center"/>
        </w:trPr>
        <w:tc>
          <w:tcPr>
            <w:tcW w:w="10383" w:type="dxa"/>
            <w:gridSpan w:val="2"/>
            <w:tcBorders>
              <w:top w:val="nil"/>
              <w:left w:val="nil"/>
              <w:bottom w:val="nil"/>
              <w:right w:val="nil"/>
            </w:tcBorders>
            <w:vAlign w:val="center"/>
          </w:tcPr>
          <w:p w:rsidR="004B4C43" w:rsidRPr="004B4C43" w:rsidRDefault="004B4C43" w:rsidP="004B4C43">
            <w:pPr>
              <w:autoSpaceDE w:val="0"/>
              <w:autoSpaceDN w:val="0"/>
              <w:adjustRightInd w:val="0"/>
              <w:spacing w:line="276" w:lineRule="auto"/>
              <w:jc w:val="center"/>
              <w:rPr>
                <w:rFonts w:ascii="Calibri" w:eastAsia="Calibri" w:hAnsi="Calibri" w:cs="Calibri"/>
                <w:b/>
                <w:color w:val="002060"/>
              </w:rPr>
            </w:pPr>
            <w:r>
              <w:rPr>
                <w:rFonts w:ascii="Calibri" w:hAnsi="Calibri"/>
                <w:b/>
                <w:color w:val="002060"/>
              </w:rPr>
              <w:t>IV.</w:t>
            </w:r>
            <w:r>
              <w:rPr>
                <w:rFonts w:ascii="Calibri" w:hAnsi="Calibri"/>
                <w:b/>
                <w:color w:val="002060"/>
              </w:rPr>
              <w:tab/>
              <w:t>Encouraging lifelong learning</w:t>
            </w:r>
          </w:p>
        </w:tc>
      </w:tr>
      <w:tr w:rsidR="004B4C43" w:rsidRPr="004B4C43" w:rsidTr="00311D99">
        <w:tblPrEx>
          <w:tblCellSpacing w:w="-8" w:type="dxa"/>
        </w:tblPrEx>
        <w:trPr>
          <w:trHeight w:val="45"/>
          <w:tblCellSpacing w:w="-8" w:type="dxa"/>
          <w:jc w:val="center"/>
        </w:trPr>
        <w:tc>
          <w:tcPr>
            <w:tcW w:w="2434" w:type="dxa"/>
            <w:tcBorders>
              <w:top w:val="nil"/>
              <w:left w:val="nil"/>
              <w:bottom w:val="nil"/>
              <w:right w:val="nil"/>
            </w:tcBorders>
            <w:vAlign w:val="center"/>
          </w:tcPr>
          <w:p w:rsidR="004B4C43" w:rsidRPr="004B4C43" w:rsidRDefault="004B4C43" w:rsidP="004B4C43">
            <w:pPr>
              <w:tabs>
                <w:tab w:val="left" w:pos="30"/>
                <w:tab w:val="left" w:pos="450"/>
              </w:tabs>
              <w:autoSpaceDE w:val="0"/>
              <w:autoSpaceDN w:val="0"/>
              <w:adjustRightInd w:val="0"/>
              <w:ind w:left="165"/>
              <w:jc w:val="center"/>
              <w:rPr>
                <w:rFonts w:ascii="Calibri" w:eastAsia="Calibri" w:hAnsi="Calibri"/>
                <w:i/>
                <w:iCs/>
                <w:color w:val="002060"/>
              </w:rPr>
            </w:pPr>
            <w:r>
              <w:rPr>
                <w:rFonts w:ascii="Calibri" w:hAnsi="Calibri"/>
                <w:i/>
                <w:iCs/>
                <w:color w:val="002060"/>
              </w:rPr>
              <w:t>1.</w:t>
            </w:r>
            <w:r>
              <w:rPr>
                <w:rFonts w:ascii="Calibri" w:hAnsi="Calibri"/>
                <w:i/>
                <w:iCs/>
                <w:color w:val="002060"/>
              </w:rPr>
              <w:tab/>
              <w:t>Encouraging lifelong learning</w:t>
            </w:r>
          </w:p>
        </w:tc>
        <w:tc>
          <w:tcPr>
            <w:tcW w:w="7965" w:type="dxa"/>
            <w:tcBorders>
              <w:top w:val="nil"/>
              <w:left w:val="nil"/>
              <w:bottom w:val="nil"/>
              <w:right w:val="nil"/>
            </w:tcBorders>
            <w:vAlign w:val="center"/>
          </w:tcPr>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Adoption and implementation of the National Register of Qualifications;</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Elaboration/update of occupational and professional qualification standards in accordance with the new National Framework of Qualifications;</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Development of Community Centers for Continuous Learning;</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Developing of re-qualification/continuous training programs, according to employer needs;</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 xml:space="preserve">Increasing the offer of post-university programs adapted to the requirements of the labor market, relevant for the beneficiaries’ professional development needs; </w:t>
            </w:r>
          </w:p>
          <w:p w:rsidR="004B4C43" w:rsidRPr="004B4C43"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Involving higher education institutions in the promotion and offering of specific lifelong learning programs.</w:t>
            </w:r>
          </w:p>
          <w:p w:rsidR="004B4C43" w:rsidRPr="004B4C43" w:rsidRDefault="004B4C43" w:rsidP="004B4C43">
            <w:pPr>
              <w:autoSpaceDE w:val="0"/>
              <w:autoSpaceDN w:val="0"/>
              <w:adjustRightInd w:val="0"/>
              <w:spacing w:line="276" w:lineRule="auto"/>
              <w:jc w:val="both"/>
              <w:rPr>
                <w:rFonts w:ascii="Calibri" w:eastAsia="Calibri" w:hAnsi="Calibri" w:cs="Calibri"/>
                <w:lang w:eastAsia="ro-RO"/>
              </w:rPr>
            </w:pPr>
          </w:p>
        </w:tc>
      </w:tr>
      <w:tr w:rsidR="004B4C43" w:rsidRPr="004B4C43" w:rsidTr="00311D99">
        <w:tblPrEx>
          <w:tblCellSpacing w:w="-8" w:type="dxa"/>
        </w:tblPrEx>
        <w:trPr>
          <w:trHeight w:val="45"/>
          <w:tblCellSpacing w:w="-8" w:type="dxa"/>
          <w:jc w:val="center"/>
        </w:trPr>
        <w:tc>
          <w:tcPr>
            <w:tcW w:w="10383" w:type="dxa"/>
            <w:gridSpan w:val="2"/>
            <w:tcBorders>
              <w:top w:val="nil"/>
              <w:left w:val="nil"/>
              <w:bottom w:val="nil"/>
              <w:right w:val="nil"/>
            </w:tcBorders>
            <w:vAlign w:val="center"/>
          </w:tcPr>
          <w:p w:rsidR="004B4C43" w:rsidRPr="004B4C43" w:rsidRDefault="004B4C43" w:rsidP="004B4C43">
            <w:pPr>
              <w:numPr>
                <w:ilvl w:val="0"/>
                <w:numId w:val="65"/>
              </w:numPr>
              <w:spacing w:after="200" w:line="276" w:lineRule="auto"/>
              <w:jc w:val="center"/>
              <w:rPr>
                <w:rFonts w:ascii="Calibri" w:eastAsia="Calibri" w:hAnsi="Calibri" w:cs="Calibri"/>
                <w:b/>
                <w:color w:val="002060"/>
              </w:rPr>
            </w:pPr>
            <w:r>
              <w:rPr>
                <w:rFonts w:ascii="Calibri" w:hAnsi="Calibri"/>
                <w:b/>
                <w:color w:val="002060"/>
              </w:rPr>
              <w:t>Increasing the administrative capacity of the MNE and of the units/institutions subordinated thereto and coordinated by it</w:t>
            </w:r>
          </w:p>
        </w:tc>
      </w:tr>
      <w:tr w:rsidR="004B4C43" w:rsidRPr="008368B9" w:rsidTr="00311D99">
        <w:tblPrEx>
          <w:tblCellSpacing w:w="-8" w:type="dxa"/>
        </w:tblPrEx>
        <w:trPr>
          <w:trHeight w:val="45"/>
          <w:tblCellSpacing w:w="-8" w:type="dxa"/>
          <w:jc w:val="center"/>
        </w:trPr>
        <w:tc>
          <w:tcPr>
            <w:tcW w:w="2434" w:type="dxa"/>
            <w:tcBorders>
              <w:top w:val="nil"/>
              <w:left w:val="nil"/>
              <w:bottom w:val="nil"/>
              <w:right w:val="nil"/>
            </w:tcBorders>
            <w:vAlign w:val="center"/>
          </w:tcPr>
          <w:p w:rsidR="004B4C43" w:rsidRPr="004B4C43" w:rsidRDefault="004B4C43" w:rsidP="004B4C43">
            <w:pPr>
              <w:tabs>
                <w:tab w:val="left" w:pos="30"/>
                <w:tab w:val="left" w:pos="450"/>
              </w:tabs>
              <w:autoSpaceDE w:val="0"/>
              <w:autoSpaceDN w:val="0"/>
              <w:adjustRightInd w:val="0"/>
              <w:ind w:left="165"/>
              <w:jc w:val="center"/>
              <w:rPr>
                <w:rFonts w:ascii="Calibri" w:eastAsia="Calibri" w:hAnsi="Calibri"/>
                <w:i/>
                <w:iCs/>
                <w:color w:val="002060"/>
              </w:rPr>
            </w:pPr>
            <w:r>
              <w:rPr>
                <w:rFonts w:ascii="Calibri" w:hAnsi="Calibri"/>
                <w:i/>
                <w:iCs/>
                <w:color w:val="002060"/>
              </w:rPr>
              <w:t xml:space="preserve">1. Increasing the administrative capacity of </w:t>
            </w:r>
          </w:p>
          <w:p w:rsidR="004B4C43" w:rsidRPr="004B4C43" w:rsidRDefault="004B4C43" w:rsidP="004B4C43">
            <w:pPr>
              <w:tabs>
                <w:tab w:val="left" w:pos="30"/>
                <w:tab w:val="left" w:pos="450"/>
              </w:tabs>
              <w:autoSpaceDE w:val="0"/>
              <w:autoSpaceDN w:val="0"/>
              <w:adjustRightInd w:val="0"/>
              <w:ind w:left="165"/>
              <w:jc w:val="center"/>
              <w:rPr>
                <w:rFonts w:ascii="Calibri" w:eastAsia="Calibri" w:hAnsi="Calibri"/>
                <w:i/>
                <w:iCs/>
                <w:color w:val="002060"/>
              </w:rPr>
            </w:pPr>
            <w:r>
              <w:rPr>
                <w:rFonts w:ascii="Calibri" w:hAnsi="Calibri"/>
                <w:i/>
                <w:iCs/>
                <w:color w:val="002060"/>
              </w:rPr>
              <w:t xml:space="preserve">the MNE and of </w:t>
            </w:r>
          </w:p>
          <w:p w:rsidR="004B4C43" w:rsidRPr="004B4C43" w:rsidRDefault="004B4C43" w:rsidP="004B4C43">
            <w:pPr>
              <w:tabs>
                <w:tab w:val="left" w:pos="30"/>
                <w:tab w:val="left" w:pos="450"/>
              </w:tabs>
              <w:autoSpaceDE w:val="0"/>
              <w:autoSpaceDN w:val="0"/>
              <w:adjustRightInd w:val="0"/>
              <w:ind w:left="165"/>
              <w:jc w:val="center"/>
              <w:rPr>
                <w:rFonts w:ascii="Calibri" w:eastAsia="Calibri" w:hAnsi="Calibri"/>
                <w:i/>
                <w:iCs/>
                <w:color w:val="002060"/>
              </w:rPr>
            </w:pPr>
            <w:r>
              <w:rPr>
                <w:rFonts w:ascii="Calibri" w:hAnsi="Calibri"/>
                <w:i/>
                <w:iCs/>
                <w:color w:val="002060"/>
              </w:rPr>
              <w:t>the units/institutions subordinated thereto and</w:t>
            </w:r>
          </w:p>
          <w:p w:rsidR="004B4C43" w:rsidRPr="004B4C43" w:rsidRDefault="004B4C43" w:rsidP="004B4C43">
            <w:pPr>
              <w:tabs>
                <w:tab w:val="left" w:pos="30"/>
                <w:tab w:val="left" w:pos="450"/>
              </w:tabs>
              <w:autoSpaceDE w:val="0"/>
              <w:autoSpaceDN w:val="0"/>
              <w:adjustRightInd w:val="0"/>
              <w:ind w:left="165"/>
              <w:jc w:val="center"/>
              <w:rPr>
                <w:rFonts w:ascii="Calibri" w:eastAsia="Calibri" w:hAnsi="Calibri"/>
                <w:i/>
                <w:iCs/>
                <w:color w:val="002060"/>
              </w:rPr>
            </w:pPr>
            <w:r>
              <w:rPr>
                <w:rFonts w:ascii="Calibri" w:hAnsi="Calibri"/>
                <w:i/>
                <w:iCs/>
                <w:color w:val="002060"/>
              </w:rPr>
              <w:t xml:space="preserve"> coordinated by it</w:t>
            </w:r>
          </w:p>
        </w:tc>
        <w:tc>
          <w:tcPr>
            <w:tcW w:w="7965" w:type="dxa"/>
            <w:tcBorders>
              <w:top w:val="nil"/>
              <w:left w:val="nil"/>
              <w:bottom w:val="nil"/>
              <w:right w:val="nil"/>
            </w:tcBorders>
            <w:vAlign w:val="center"/>
          </w:tcPr>
          <w:p w:rsidR="004B4C43" w:rsidRPr="004B4C43" w:rsidRDefault="004B4C43" w:rsidP="004B4C43">
            <w:pPr>
              <w:widowControl w:val="0"/>
              <w:numPr>
                <w:ilvl w:val="0"/>
                <w:numId w:val="64"/>
              </w:numPr>
              <w:autoSpaceDE w:val="0"/>
              <w:autoSpaceDN w:val="0"/>
              <w:adjustRightInd w:val="0"/>
              <w:spacing w:after="200" w:line="276" w:lineRule="auto"/>
              <w:ind w:left="384" w:right="14"/>
              <w:jc w:val="both"/>
              <w:rPr>
                <w:rFonts w:ascii="Calibri" w:eastAsia="Calibri" w:hAnsi="Calibri" w:cs="Arial"/>
              </w:rPr>
            </w:pPr>
            <w:r>
              <w:rPr>
                <w:rFonts w:ascii="Calibri" w:hAnsi="Calibri"/>
              </w:rPr>
              <w:t>Monitoring the implementation of the measures provided in the Government Program and in the ex-ante condition strategies approved by the Government;</w:t>
            </w:r>
          </w:p>
          <w:p w:rsidR="004B4C43" w:rsidRPr="004B4C43" w:rsidRDefault="004B4C43" w:rsidP="004B4C43">
            <w:pPr>
              <w:widowControl w:val="0"/>
              <w:numPr>
                <w:ilvl w:val="0"/>
                <w:numId w:val="64"/>
              </w:numPr>
              <w:autoSpaceDE w:val="0"/>
              <w:autoSpaceDN w:val="0"/>
              <w:adjustRightInd w:val="0"/>
              <w:spacing w:after="200" w:line="276" w:lineRule="auto"/>
              <w:ind w:left="384" w:right="14"/>
              <w:jc w:val="both"/>
              <w:rPr>
                <w:rFonts w:ascii="Calibri" w:eastAsia="Calibri" w:hAnsi="Calibri" w:cs="Arial"/>
              </w:rPr>
            </w:pPr>
            <w:r>
              <w:rPr>
                <w:rFonts w:ascii="Calibri" w:hAnsi="Calibri"/>
              </w:rPr>
              <w:t>Elaboration of action plans, monitoring and assessment reports;</w:t>
            </w:r>
          </w:p>
          <w:p w:rsidR="004B4C43" w:rsidRPr="004B4C43" w:rsidRDefault="004B4C43" w:rsidP="004B4C43">
            <w:pPr>
              <w:widowControl w:val="0"/>
              <w:numPr>
                <w:ilvl w:val="0"/>
                <w:numId w:val="64"/>
              </w:numPr>
              <w:autoSpaceDE w:val="0"/>
              <w:autoSpaceDN w:val="0"/>
              <w:adjustRightInd w:val="0"/>
              <w:spacing w:after="200" w:line="276" w:lineRule="auto"/>
              <w:ind w:left="384" w:right="14"/>
              <w:jc w:val="both"/>
              <w:rPr>
                <w:rFonts w:ascii="Calibri" w:eastAsia="Calibri" w:hAnsi="Calibri" w:cs="Arial"/>
              </w:rPr>
            </w:pPr>
            <w:r>
              <w:rPr>
                <w:rFonts w:ascii="Calibri" w:hAnsi="Calibri"/>
              </w:rPr>
              <w:t xml:space="preserve">Training the personnel of the MNE and of the units/institutions subordinated thereto and coordinated by it with regard to strategic planning, program monitoring and assessment, program budgeting, and so on; </w:t>
            </w:r>
          </w:p>
          <w:p w:rsidR="004B4C43" w:rsidRPr="00715536" w:rsidRDefault="004B4C43" w:rsidP="004B4C43">
            <w:pPr>
              <w:numPr>
                <w:ilvl w:val="0"/>
                <w:numId w:val="34"/>
              </w:numPr>
              <w:autoSpaceDE w:val="0"/>
              <w:autoSpaceDN w:val="0"/>
              <w:adjustRightInd w:val="0"/>
              <w:spacing w:after="200" w:line="276" w:lineRule="auto"/>
              <w:jc w:val="both"/>
              <w:rPr>
                <w:rFonts w:ascii="Calibri" w:eastAsia="Calibri" w:hAnsi="Calibri" w:cs="Calibri"/>
              </w:rPr>
            </w:pPr>
            <w:r>
              <w:rPr>
                <w:rFonts w:ascii="Calibri" w:hAnsi="Calibri"/>
              </w:rPr>
              <w:t>Increasing institutional transparency by increasing the degree of availability of public data.</w:t>
            </w:r>
          </w:p>
        </w:tc>
      </w:tr>
    </w:tbl>
    <w:p w:rsidR="001C7118" w:rsidRPr="00C86702" w:rsidRDefault="001C7118" w:rsidP="001C7118">
      <w:pPr>
        <w:shd w:val="clear" w:color="auto" w:fill="FFFFFF" w:themeFill="background1"/>
        <w:ind w:right="56"/>
        <w:rPr>
          <w:rFonts w:ascii="Calibri" w:hAnsi="Calibri"/>
          <w:lang w:val="ro-RO"/>
        </w:rPr>
      </w:pPr>
    </w:p>
    <w:p w:rsidR="0017780B" w:rsidRPr="00C86702" w:rsidRDefault="003C4194" w:rsidP="007B7908">
      <w:pPr>
        <w:widowControl w:val="0"/>
        <w:shd w:val="clear" w:color="auto" w:fill="99CCFF"/>
        <w:suppressAutoHyphens/>
        <w:spacing w:after="120"/>
        <w:rPr>
          <w:rFonts w:ascii="Calibri" w:eastAsia="SimSun" w:hAnsi="Calibri" w:cs="Mangal"/>
          <w:kern w:val="1"/>
        </w:rPr>
      </w:pPr>
      <w:r>
        <w:rPr>
          <w:b/>
          <w:color w:val="000080"/>
        </w:rPr>
        <w:t>Justice policy</w:t>
      </w:r>
    </w:p>
    <w:p w:rsidR="00DB7106" w:rsidRPr="00DB7106" w:rsidRDefault="00DB7106" w:rsidP="00DB7106">
      <w:pPr>
        <w:widowControl w:val="0"/>
        <w:suppressAutoHyphens/>
        <w:ind w:firstLine="708"/>
        <w:jc w:val="both"/>
        <w:rPr>
          <w:rFonts w:ascii="Calibri" w:eastAsia="SimSun" w:hAnsi="Calibri" w:cs="Mangal"/>
          <w:kern w:val="2"/>
        </w:rPr>
      </w:pPr>
      <w:r>
        <w:rPr>
          <w:rFonts w:ascii="Calibri" w:hAnsi="Calibri"/>
        </w:rPr>
        <w:t>In 2019-2021 we seek to develop a modern, efficient, accessible and quality justice system, adapted to the requirements of contemporaneous society (e-justice, reducing trial length, unitary jurisprudence, specialization, integrity, transparency) and capable to face future challenges.</w:t>
      </w:r>
    </w:p>
    <w:p w:rsidR="00DB7106" w:rsidRPr="00DB7106" w:rsidRDefault="00DB7106" w:rsidP="00DB7106">
      <w:pPr>
        <w:widowControl w:val="0"/>
        <w:suppressAutoHyphens/>
        <w:ind w:firstLine="708"/>
        <w:jc w:val="both"/>
        <w:rPr>
          <w:rFonts w:ascii="Calibri" w:eastAsia="SimSun" w:hAnsi="Calibri" w:cs="Mangal"/>
          <w:kern w:val="2"/>
        </w:rPr>
      </w:pPr>
      <w:r>
        <w:rPr>
          <w:rFonts w:ascii="Calibri" w:hAnsi="Calibri"/>
        </w:rPr>
        <w:t xml:space="preserve">Our priority objectives are to modernize the legislation of the judicial system, as well as to implement certain immediate measures of legislative and administrative nature in the penitentiary system with the purpose of creating optimal detention conditions, in accordance with international standards.     </w:t>
      </w:r>
    </w:p>
    <w:p w:rsidR="00DB7106" w:rsidRPr="00DB7106" w:rsidRDefault="00DB7106" w:rsidP="00DB7106">
      <w:pPr>
        <w:widowControl w:val="0"/>
        <w:suppressAutoHyphens/>
        <w:ind w:firstLine="708"/>
        <w:jc w:val="both"/>
        <w:rPr>
          <w:rFonts w:ascii="Calibri" w:eastAsia="SimSun" w:hAnsi="Calibri" w:cs="Mangal"/>
          <w:kern w:val="2"/>
        </w:rPr>
      </w:pPr>
      <w:r>
        <w:rPr>
          <w:rFonts w:ascii="Calibri" w:hAnsi="Calibri"/>
        </w:rPr>
        <w:t xml:space="preserve">Also, we are considering the context generated by the fact that Romania will have the mandate of the Presidency of the European Union Council as of January 1, 2019, which will imply a sustained effort from the institutions of the judiciary system as well.    </w:t>
      </w:r>
    </w:p>
    <w:p w:rsidR="00DB7106" w:rsidRPr="00DB7106" w:rsidRDefault="00DB7106" w:rsidP="00DB7106">
      <w:pPr>
        <w:widowControl w:val="0"/>
        <w:suppressAutoHyphens/>
        <w:ind w:firstLine="708"/>
        <w:jc w:val="both"/>
        <w:rPr>
          <w:rFonts w:ascii="Calibri" w:eastAsia="SimSun" w:hAnsi="Calibri" w:cs="Mangal"/>
          <w:kern w:val="2"/>
          <w:lang w:val="ro-RO" w:eastAsia="zh-CN" w:bidi="hi-IN"/>
        </w:rPr>
      </w:pPr>
    </w:p>
    <w:p w:rsidR="00DB7106" w:rsidRPr="00DB7106" w:rsidRDefault="00DB7106" w:rsidP="00DB7106">
      <w:pPr>
        <w:widowControl w:val="0"/>
        <w:suppressAutoHyphens/>
        <w:spacing w:line="276" w:lineRule="auto"/>
        <w:ind w:firstLine="708"/>
        <w:jc w:val="both"/>
        <w:rPr>
          <w:rFonts w:ascii="Calibri" w:eastAsia="SimSun" w:hAnsi="Calibri" w:cs="Mangal"/>
          <w:b/>
          <w:kern w:val="2"/>
        </w:rPr>
      </w:pPr>
      <w:r>
        <w:rPr>
          <w:rFonts w:ascii="Calibri" w:hAnsi="Calibri"/>
          <w:b/>
        </w:rPr>
        <w:t>Proposals of policies for 2019-2021</w:t>
      </w:r>
    </w:p>
    <w:p w:rsidR="00DB7106" w:rsidRPr="00DB7106" w:rsidRDefault="00DB7106" w:rsidP="00DB7106">
      <w:pPr>
        <w:widowControl w:val="0"/>
        <w:suppressAutoHyphens/>
        <w:spacing w:line="276" w:lineRule="auto"/>
        <w:ind w:firstLine="708"/>
        <w:jc w:val="both"/>
        <w:rPr>
          <w:rFonts w:ascii="Calibri" w:eastAsia="SimSun" w:hAnsi="Calibri" w:cs="Mangal"/>
          <w:b/>
          <w:kern w:val="2"/>
        </w:rPr>
      </w:pPr>
      <w:r>
        <w:rPr>
          <w:rFonts w:ascii="Calibri" w:hAnsi="Calibri"/>
        </w:rPr>
        <w:t>Strategic priorities:</w:t>
      </w:r>
    </w:p>
    <w:p w:rsidR="00DB7106" w:rsidRPr="00DB7106" w:rsidRDefault="00DB7106" w:rsidP="00DB7106">
      <w:pPr>
        <w:widowControl w:val="0"/>
        <w:numPr>
          <w:ilvl w:val="0"/>
          <w:numId w:val="39"/>
        </w:numPr>
        <w:suppressAutoHyphens/>
        <w:spacing w:before="60" w:line="276" w:lineRule="auto"/>
        <w:ind w:left="0" w:firstLine="708"/>
        <w:contextualSpacing/>
        <w:jc w:val="both"/>
        <w:rPr>
          <w:rFonts w:ascii="Calibri" w:eastAsiaTheme="minorHAnsi" w:hAnsi="Calibri" w:cstheme="minorBidi"/>
        </w:rPr>
      </w:pPr>
      <w:r>
        <w:rPr>
          <w:rFonts w:ascii="Calibri" w:hAnsi="Calibri"/>
        </w:rPr>
        <w:t xml:space="preserve">Consolidating the administrative capacity of courts and facilitating </w:t>
      </w:r>
    </w:p>
    <w:p w:rsidR="00DB7106" w:rsidRPr="00DB7106" w:rsidRDefault="00DB7106" w:rsidP="00DB7106">
      <w:pPr>
        <w:spacing w:before="60" w:line="276" w:lineRule="auto"/>
        <w:ind w:firstLine="708"/>
        <w:contextualSpacing/>
        <w:jc w:val="both"/>
        <w:rPr>
          <w:rFonts w:ascii="Calibri" w:eastAsiaTheme="minorHAnsi" w:hAnsi="Calibri" w:cstheme="minorBidi"/>
        </w:rPr>
      </w:pPr>
      <w:r>
        <w:rPr>
          <w:rFonts w:ascii="Calibri" w:hAnsi="Calibri"/>
        </w:rPr>
        <w:t xml:space="preserve">          access to justice; </w:t>
      </w:r>
    </w:p>
    <w:p w:rsidR="00DB7106" w:rsidRPr="00DB7106" w:rsidRDefault="00DB7106" w:rsidP="00DB7106">
      <w:pPr>
        <w:spacing w:before="60" w:line="276" w:lineRule="auto"/>
        <w:ind w:firstLine="708"/>
        <w:contextualSpacing/>
        <w:jc w:val="both"/>
        <w:rPr>
          <w:rFonts w:ascii="Calibri" w:eastAsiaTheme="minorHAnsi" w:hAnsi="Calibri" w:cstheme="minorBidi"/>
        </w:rPr>
      </w:pPr>
      <w:r>
        <w:rPr>
          <w:rFonts w:ascii="Calibri" w:hAnsi="Calibri"/>
        </w:rPr>
        <w:t>2.</w:t>
      </w:r>
      <w:r>
        <w:rPr>
          <w:rFonts w:ascii="Calibri" w:hAnsi="Calibri"/>
        </w:rPr>
        <w:tab/>
        <w:t xml:space="preserve">Consolidating the legislative and institutional framework necessary for a good performance of the Ministry </w:t>
      </w:r>
    </w:p>
    <w:p w:rsidR="00DB7106" w:rsidRPr="00DB7106" w:rsidRDefault="00DB7106" w:rsidP="00DB7106">
      <w:pPr>
        <w:spacing w:before="60" w:line="276" w:lineRule="auto"/>
        <w:ind w:firstLine="708"/>
        <w:contextualSpacing/>
        <w:jc w:val="both"/>
        <w:rPr>
          <w:rFonts w:ascii="Calibri" w:eastAsiaTheme="minorHAnsi" w:hAnsi="Calibri" w:cstheme="minorBidi"/>
        </w:rPr>
      </w:pPr>
      <w:r>
        <w:rPr>
          <w:rFonts w:ascii="Calibri" w:hAnsi="Calibri"/>
        </w:rPr>
        <w:tab/>
        <w:t>of Justice as provider of public services;</w:t>
      </w:r>
    </w:p>
    <w:p w:rsidR="00DB7106" w:rsidRPr="00DB7106" w:rsidRDefault="00DB7106" w:rsidP="00DB7106">
      <w:pPr>
        <w:spacing w:before="60" w:line="276" w:lineRule="auto"/>
        <w:ind w:firstLine="708"/>
        <w:contextualSpacing/>
        <w:jc w:val="both"/>
        <w:rPr>
          <w:rFonts w:ascii="Calibri" w:eastAsiaTheme="minorHAnsi" w:hAnsi="Calibri" w:cstheme="minorBidi"/>
        </w:rPr>
      </w:pPr>
      <w:r>
        <w:rPr>
          <w:rFonts w:ascii="Calibri" w:hAnsi="Calibri"/>
        </w:rPr>
        <w:t xml:space="preserve">3. </w:t>
      </w:r>
      <w:r>
        <w:rPr>
          <w:rFonts w:ascii="Calibri" w:hAnsi="Calibri"/>
        </w:rPr>
        <w:tab/>
        <w:t>Coordination of the penitentiary system</w:t>
      </w:r>
    </w:p>
    <w:p w:rsidR="00DB7106" w:rsidRPr="00DB7106" w:rsidRDefault="00DB7106" w:rsidP="00DB7106">
      <w:pPr>
        <w:spacing w:before="60" w:line="276" w:lineRule="auto"/>
        <w:ind w:firstLine="708"/>
        <w:contextualSpacing/>
        <w:jc w:val="both"/>
        <w:rPr>
          <w:rFonts w:ascii="Calibri" w:eastAsiaTheme="minorHAnsi" w:hAnsi="Calibri" w:cstheme="minorBidi"/>
        </w:rPr>
      </w:pPr>
      <w:r>
        <w:rPr>
          <w:rFonts w:ascii="Calibri" w:hAnsi="Calibri"/>
        </w:rPr>
        <w:t>4.</w:t>
      </w:r>
      <w:r>
        <w:rPr>
          <w:rFonts w:ascii="Calibri" w:hAnsi="Calibri"/>
        </w:rPr>
        <w:tab/>
        <w:t>Development of the probation system;</w:t>
      </w:r>
    </w:p>
    <w:p w:rsidR="00DB7106" w:rsidRPr="00DB7106" w:rsidRDefault="00DB7106" w:rsidP="00DB7106">
      <w:pPr>
        <w:spacing w:before="60" w:line="276" w:lineRule="auto"/>
        <w:ind w:firstLine="708"/>
        <w:contextualSpacing/>
        <w:jc w:val="both"/>
        <w:rPr>
          <w:rFonts w:ascii="Calibri" w:eastAsiaTheme="minorHAnsi" w:hAnsi="Calibri" w:cstheme="minorBidi"/>
        </w:rPr>
      </w:pPr>
      <w:r>
        <w:rPr>
          <w:rFonts w:ascii="Calibri" w:hAnsi="Calibri"/>
        </w:rPr>
        <w:t xml:space="preserve">5.       Consolidating the administrative capacity of the other subordinated institutions. </w:t>
      </w:r>
    </w:p>
    <w:p w:rsidR="00DB7106" w:rsidRPr="00DB7106" w:rsidRDefault="00DB7106" w:rsidP="00DB7106">
      <w:pPr>
        <w:widowControl w:val="0"/>
        <w:suppressAutoHyphens/>
        <w:spacing w:before="60" w:line="276" w:lineRule="auto"/>
        <w:ind w:firstLine="708"/>
        <w:jc w:val="both"/>
        <w:rPr>
          <w:rFonts w:ascii="Calibri" w:eastAsiaTheme="minorHAnsi" w:hAnsi="Calibri" w:cstheme="minorBidi"/>
          <w:lang w:val="ro-RO"/>
        </w:rPr>
      </w:pPr>
    </w:p>
    <w:p w:rsidR="00DB7106" w:rsidRPr="00DB7106" w:rsidRDefault="00DB7106" w:rsidP="00DB7106">
      <w:pPr>
        <w:widowControl w:val="0"/>
        <w:suppressAutoHyphens/>
        <w:spacing w:before="60" w:line="276" w:lineRule="auto"/>
        <w:ind w:firstLine="708"/>
        <w:jc w:val="both"/>
        <w:rPr>
          <w:rFonts w:ascii="Calibri" w:eastAsia="SimSun" w:hAnsi="Calibri" w:cs="Mangal"/>
          <w:b/>
          <w:kern w:val="2"/>
        </w:rPr>
      </w:pPr>
      <w:r>
        <w:rPr>
          <w:rFonts w:ascii="Calibri" w:hAnsi="Calibri"/>
          <w:b/>
        </w:rPr>
        <w:t>Main objective of sector policies:</w:t>
      </w:r>
    </w:p>
    <w:p w:rsidR="00DB7106" w:rsidRPr="00DB7106" w:rsidRDefault="00DB7106" w:rsidP="00DB7106">
      <w:pPr>
        <w:widowControl w:val="0"/>
        <w:numPr>
          <w:ilvl w:val="0"/>
          <w:numId w:val="41"/>
        </w:numPr>
        <w:suppressAutoHyphens/>
        <w:spacing w:after="160"/>
        <w:ind w:left="0" w:firstLine="708"/>
        <w:contextualSpacing/>
        <w:jc w:val="both"/>
        <w:rPr>
          <w:rFonts w:ascii="Calibri" w:eastAsiaTheme="minorHAnsi" w:hAnsi="Calibri" w:cstheme="minorBidi"/>
          <w:b/>
        </w:rPr>
      </w:pPr>
      <w:r>
        <w:rPr>
          <w:rFonts w:ascii="Calibri" w:hAnsi="Calibri"/>
          <w:b/>
        </w:rPr>
        <w:t>Consolidating the administrative capacity of courts and facilitating access to justice</w:t>
      </w:r>
    </w:p>
    <w:p w:rsidR="00DB7106" w:rsidRPr="00DB7106" w:rsidRDefault="00DB7106" w:rsidP="00DB7106">
      <w:pPr>
        <w:spacing w:after="160"/>
        <w:ind w:firstLine="708"/>
        <w:contextualSpacing/>
        <w:jc w:val="both"/>
        <w:rPr>
          <w:rFonts w:ascii="Calibri" w:eastAsiaTheme="minorHAnsi" w:hAnsi="Calibri" w:cstheme="minorBidi"/>
          <w:b/>
          <w:lang w:val="ro-RO"/>
        </w:rPr>
      </w:pPr>
    </w:p>
    <w:p w:rsidR="00DB7106" w:rsidRPr="00DB7106" w:rsidRDefault="00DB7106" w:rsidP="00DB7106">
      <w:pPr>
        <w:spacing w:after="160"/>
        <w:ind w:firstLine="708"/>
        <w:contextualSpacing/>
        <w:jc w:val="both"/>
        <w:rPr>
          <w:rFonts w:ascii="Calibri" w:eastAsiaTheme="minorHAnsi" w:hAnsi="Calibri" w:cstheme="minorBidi"/>
        </w:rPr>
      </w:pPr>
      <w:r>
        <w:rPr>
          <w:rFonts w:ascii="Calibri" w:hAnsi="Calibri"/>
        </w:rPr>
        <w:t>The general objectives which refer to the activity of courts of law for the period 2019-2021 were substantiated on the basis of the Government Program for 2017-2020 and of the Action plan for implementation of the Development strategy of justice as public service, as follows:</w:t>
      </w:r>
    </w:p>
    <w:p w:rsidR="00DB7106" w:rsidRPr="00DB7106" w:rsidRDefault="00DB7106" w:rsidP="00DB7106">
      <w:pPr>
        <w:widowControl w:val="0"/>
        <w:numPr>
          <w:ilvl w:val="0"/>
          <w:numId w:val="40"/>
        </w:numPr>
        <w:suppressAutoHyphens/>
        <w:spacing w:before="60"/>
        <w:ind w:left="0" w:firstLine="708"/>
        <w:jc w:val="both"/>
        <w:rPr>
          <w:rFonts w:ascii="Calibri" w:eastAsiaTheme="minorHAnsi" w:hAnsi="Calibri" w:cstheme="minorBidi"/>
        </w:rPr>
      </w:pPr>
      <w:r>
        <w:rPr>
          <w:rFonts w:ascii="Calibri" w:hAnsi="Calibri"/>
          <w:bCs/>
        </w:rPr>
        <w:t xml:space="preserve">     Implementation at national level of the</w:t>
      </w:r>
      <w:r>
        <w:rPr>
          <w:rFonts w:ascii="Calibri" w:hAnsi="Calibri"/>
          <w:bCs/>
          <w:i/>
        </w:rPr>
        <w:t xml:space="preserve"> Electronic case file</w:t>
      </w:r>
      <w:r>
        <w:rPr>
          <w:rFonts w:ascii="Calibri" w:hAnsi="Calibri"/>
          <w:bCs/>
        </w:rPr>
        <w:t xml:space="preserve"> project;</w:t>
      </w:r>
      <w:r>
        <w:rPr>
          <w:rFonts w:ascii="Calibri" w:hAnsi="Calibri"/>
          <w:bCs/>
          <w:iCs/>
        </w:rPr>
        <w:t xml:space="preserve"> </w:t>
      </w:r>
    </w:p>
    <w:p w:rsidR="00DB7106" w:rsidRPr="00DB7106" w:rsidRDefault="00DB7106" w:rsidP="00DB7106">
      <w:pPr>
        <w:widowControl w:val="0"/>
        <w:numPr>
          <w:ilvl w:val="0"/>
          <w:numId w:val="40"/>
        </w:numPr>
        <w:suppressAutoHyphens/>
        <w:spacing w:before="60"/>
        <w:ind w:left="0" w:firstLine="708"/>
        <w:jc w:val="both"/>
        <w:rPr>
          <w:rFonts w:ascii="Calibri" w:eastAsiaTheme="minorHAnsi" w:hAnsi="Calibri" w:cstheme="minorBidi"/>
        </w:rPr>
      </w:pPr>
      <w:r>
        <w:rPr>
          <w:rFonts w:ascii="Calibri" w:hAnsi="Calibri"/>
          <w:bCs/>
          <w:iCs/>
        </w:rPr>
        <w:t>Continuance of the National Program of investment in court infrastructure from county capitals;</w:t>
      </w:r>
    </w:p>
    <w:p w:rsidR="00DB7106" w:rsidRPr="00DB7106" w:rsidRDefault="00DB7106" w:rsidP="00DB7106">
      <w:pPr>
        <w:widowControl w:val="0"/>
        <w:numPr>
          <w:ilvl w:val="0"/>
          <w:numId w:val="40"/>
        </w:numPr>
        <w:suppressAutoHyphens/>
        <w:spacing w:before="60"/>
        <w:ind w:left="0" w:firstLine="708"/>
        <w:jc w:val="both"/>
        <w:rPr>
          <w:rFonts w:ascii="Calibri" w:eastAsiaTheme="minorHAnsi" w:hAnsi="Calibri" w:cstheme="minorBidi"/>
        </w:rPr>
      </w:pPr>
      <w:r>
        <w:rPr>
          <w:rFonts w:ascii="Calibri" w:hAnsi="Calibri"/>
          <w:bCs/>
          <w:iCs/>
        </w:rPr>
        <w:t xml:space="preserve">Implementation of the Project of Improvement of Judiciary Services, financed by the IBRD;   </w:t>
      </w:r>
    </w:p>
    <w:p w:rsidR="00DB7106" w:rsidRPr="00DB7106" w:rsidRDefault="00DB7106" w:rsidP="00DB7106">
      <w:pPr>
        <w:widowControl w:val="0"/>
        <w:numPr>
          <w:ilvl w:val="0"/>
          <w:numId w:val="40"/>
        </w:numPr>
        <w:suppressAutoHyphens/>
        <w:spacing w:before="60"/>
        <w:ind w:left="0" w:firstLine="708"/>
        <w:jc w:val="both"/>
        <w:rPr>
          <w:rFonts w:ascii="Calibri" w:eastAsiaTheme="minorHAnsi" w:hAnsi="Calibri" w:cstheme="minorBidi"/>
          <w:bCs/>
        </w:rPr>
      </w:pPr>
      <w:r>
        <w:rPr>
          <w:rFonts w:ascii="Calibri" w:hAnsi="Calibri"/>
          <w:bCs/>
        </w:rPr>
        <w:t xml:space="preserve">Continuance of the process of territorial reallocation, as form of reduction of the big volume of cases to settle before certain courts, as well as identification, together with the representatives of the judiciary system of new forms of relief. </w:t>
      </w:r>
    </w:p>
    <w:p w:rsidR="00DB7106" w:rsidRPr="00DB7106" w:rsidRDefault="00DB7106" w:rsidP="00DB7106">
      <w:pPr>
        <w:widowControl w:val="0"/>
        <w:numPr>
          <w:ilvl w:val="0"/>
          <w:numId w:val="40"/>
        </w:numPr>
        <w:suppressAutoHyphens/>
        <w:spacing w:before="60"/>
        <w:ind w:left="0" w:firstLine="708"/>
        <w:jc w:val="both"/>
        <w:rPr>
          <w:rFonts w:ascii="Calibri" w:eastAsiaTheme="minorHAnsi" w:hAnsi="Calibri" w:cstheme="minorBidi"/>
          <w:bCs/>
        </w:rPr>
      </w:pPr>
      <w:r>
        <w:rPr>
          <w:rFonts w:ascii="Calibri" w:hAnsi="Calibri"/>
        </w:rPr>
        <w:t xml:space="preserve">Creation of the </w:t>
      </w:r>
      <w:r>
        <w:rPr>
          <w:rFonts w:ascii="Calibri" w:hAnsi="Calibri"/>
          <w:i/>
        </w:rPr>
        <w:t>Justice District</w:t>
      </w:r>
      <w:r>
        <w:rPr>
          <w:rFonts w:ascii="Calibri" w:hAnsi="Calibri"/>
        </w:rPr>
        <w:t xml:space="preserve"> in Bucharest, in order to settle the problem of the lack of spaces necessary for the courts and prosecutor offices from the capital based on the Memorandum themed: “Agreement in principle on contracting a loan from the International Bank for Reconstruction and Development (IBRD), in order to support the project “Justice District””;</w:t>
      </w:r>
    </w:p>
    <w:p w:rsidR="00DB7106" w:rsidRPr="00DB7106" w:rsidRDefault="00DB7106" w:rsidP="00DB7106">
      <w:pPr>
        <w:widowControl w:val="0"/>
        <w:numPr>
          <w:ilvl w:val="0"/>
          <w:numId w:val="40"/>
        </w:numPr>
        <w:suppressAutoHyphens/>
        <w:spacing w:before="60"/>
        <w:ind w:left="0" w:firstLine="708"/>
        <w:jc w:val="both"/>
        <w:rPr>
          <w:rFonts w:ascii="Calibri" w:eastAsiaTheme="minorHAnsi" w:hAnsi="Calibri" w:cstheme="minorBidi"/>
          <w:bCs/>
        </w:rPr>
      </w:pPr>
      <w:r>
        <w:rPr>
          <w:rFonts w:ascii="Calibri" w:hAnsi="Calibri"/>
        </w:rPr>
        <w:t>Initiating a national project in order to create 15 regional archive centers, for each court of appeal;</w:t>
      </w:r>
    </w:p>
    <w:p w:rsidR="00DB7106" w:rsidRPr="00DB7106" w:rsidRDefault="00DB7106" w:rsidP="00DB7106">
      <w:pPr>
        <w:widowControl w:val="0"/>
        <w:numPr>
          <w:ilvl w:val="0"/>
          <w:numId w:val="40"/>
        </w:numPr>
        <w:suppressAutoHyphens/>
        <w:spacing w:before="60"/>
        <w:ind w:left="0" w:firstLine="708"/>
        <w:jc w:val="both"/>
        <w:rPr>
          <w:rFonts w:ascii="Calibri" w:eastAsiaTheme="minorHAnsi" w:hAnsi="Calibri" w:cstheme="minorBidi"/>
          <w:bCs/>
        </w:rPr>
      </w:pPr>
      <w:r>
        <w:rPr>
          <w:rFonts w:ascii="Calibri" w:hAnsi="Calibri"/>
        </w:rPr>
        <w:t>Revision of the status of auxiliary staff in accordance with the requirements of the new codes, as well as standardization of the schemes of personnel according to the size/volume of activity of the court or prosecutor office;</w:t>
      </w:r>
    </w:p>
    <w:p w:rsidR="00DB7106" w:rsidRPr="00DB7106" w:rsidRDefault="00DB7106" w:rsidP="00DB7106">
      <w:pPr>
        <w:widowControl w:val="0"/>
        <w:numPr>
          <w:ilvl w:val="0"/>
          <w:numId w:val="40"/>
        </w:numPr>
        <w:suppressAutoHyphens/>
        <w:spacing w:before="60"/>
        <w:ind w:left="0" w:firstLine="708"/>
        <w:jc w:val="both"/>
        <w:rPr>
          <w:rFonts w:ascii="Calibri" w:eastAsiaTheme="minorHAnsi" w:hAnsi="Calibri" w:cstheme="minorBidi"/>
          <w:bCs/>
        </w:rPr>
      </w:pPr>
      <w:r>
        <w:rPr>
          <w:rFonts w:ascii="Calibri" w:hAnsi="Calibri"/>
          <w:bCs/>
        </w:rPr>
        <w:t>Extending the number of courts specializing in commercial issues from 3 (Cluj, Pitesti and Targu Mures) to 15, respectively in Bucharest and county capitals where there are courts of appeal, where specialized judges will work;</w:t>
      </w:r>
    </w:p>
    <w:p w:rsidR="00DB7106" w:rsidRPr="00DB7106" w:rsidRDefault="00DB7106" w:rsidP="00DB7106">
      <w:pPr>
        <w:widowControl w:val="0"/>
        <w:numPr>
          <w:ilvl w:val="0"/>
          <w:numId w:val="40"/>
        </w:numPr>
        <w:suppressAutoHyphens/>
        <w:spacing w:before="60"/>
        <w:ind w:left="0" w:firstLine="708"/>
        <w:jc w:val="both"/>
        <w:rPr>
          <w:rFonts w:ascii="Calibri" w:eastAsiaTheme="minorHAnsi" w:hAnsi="Calibri" w:cstheme="minorBidi"/>
          <w:bCs/>
        </w:rPr>
      </w:pPr>
      <w:r>
        <w:rPr>
          <w:rFonts w:ascii="Calibri" w:hAnsi="Calibri"/>
          <w:bCs/>
        </w:rPr>
        <w:t>Establishing a pilot court of law for administrative and fiscal litigations to operate in the country’s capital city;</w:t>
      </w:r>
    </w:p>
    <w:p w:rsidR="00DB7106" w:rsidRPr="00DB7106" w:rsidRDefault="00DB7106" w:rsidP="00DB7106">
      <w:pPr>
        <w:widowControl w:val="0"/>
        <w:numPr>
          <w:ilvl w:val="0"/>
          <w:numId w:val="40"/>
        </w:numPr>
        <w:suppressAutoHyphens/>
        <w:spacing w:before="60"/>
        <w:ind w:left="0" w:firstLine="708"/>
        <w:jc w:val="both"/>
        <w:rPr>
          <w:rFonts w:ascii="Calibri" w:eastAsiaTheme="minorHAnsi" w:hAnsi="Calibri" w:cstheme="minorBidi"/>
          <w:bCs/>
        </w:rPr>
      </w:pPr>
      <w:r>
        <w:rPr>
          <w:rFonts w:ascii="Calibri" w:hAnsi="Calibri"/>
          <w:bCs/>
        </w:rPr>
        <w:t>Reducing stamp duties when the object of the case is evaluable in money;</w:t>
      </w:r>
    </w:p>
    <w:p w:rsidR="00DB7106" w:rsidRPr="00DB7106" w:rsidRDefault="00DB7106" w:rsidP="00DB7106">
      <w:pPr>
        <w:widowControl w:val="0"/>
        <w:numPr>
          <w:ilvl w:val="0"/>
          <w:numId w:val="40"/>
        </w:numPr>
        <w:suppressAutoHyphens/>
        <w:spacing w:before="60"/>
        <w:ind w:left="0" w:firstLine="708"/>
        <w:jc w:val="both"/>
        <w:rPr>
          <w:rFonts w:ascii="Calibri" w:eastAsiaTheme="minorHAnsi" w:hAnsi="Calibri" w:cstheme="minorBidi"/>
          <w:bCs/>
        </w:rPr>
      </w:pPr>
      <w:r>
        <w:rPr>
          <w:rFonts w:ascii="Calibri" w:hAnsi="Calibri"/>
          <w:bCs/>
        </w:rPr>
        <w:t xml:space="preserve">Balancing, together with the SCM of the schemes of judges and, especially, of the positions of specialty auxiliary personnel, so as to reach a ratio of 1.5 - 2 court clerks/judge, in accordance with European standards.   </w:t>
      </w:r>
    </w:p>
    <w:p w:rsidR="00DB7106" w:rsidRPr="00DB7106" w:rsidRDefault="00DB7106" w:rsidP="00DB7106">
      <w:pPr>
        <w:widowControl w:val="0"/>
        <w:suppressAutoHyphens/>
        <w:spacing w:before="60"/>
        <w:ind w:firstLine="708"/>
        <w:jc w:val="both"/>
        <w:rPr>
          <w:rFonts w:ascii="Calibri" w:eastAsia="SimSun" w:hAnsi="Calibri" w:cs="Mangal"/>
          <w:bCs/>
          <w:kern w:val="2"/>
          <w:lang w:val="ro-RO" w:eastAsia="zh-CN" w:bidi="hi-IN"/>
        </w:rPr>
      </w:pPr>
    </w:p>
    <w:p w:rsidR="00DB7106" w:rsidRPr="00DB7106" w:rsidRDefault="00DB7106" w:rsidP="00DB7106">
      <w:pPr>
        <w:widowControl w:val="0"/>
        <w:numPr>
          <w:ilvl w:val="0"/>
          <w:numId w:val="41"/>
        </w:numPr>
        <w:suppressAutoHyphens/>
        <w:spacing w:before="240"/>
        <w:ind w:left="0" w:firstLine="708"/>
        <w:jc w:val="both"/>
        <w:rPr>
          <w:rFonts w:ascii="Calibri" w:eastAsiaTheme="minorHAnsi" w:hAnsi="Calibri" w:cstheme="minorBidi"/>
          <w:b/>
          <w:bCs/>
        </w:rPr>
      </w:pPr>
      <w:r>
        <w:rPr>
          <w:rFonts w:ascii="Calibri" w:hAnsi="Calibri"/>
          <w:b/>
        </w:rPr>
        <w:t xml:space="preserve">Consolidating the legislative and institutional framework necessary for a good performance of the Ministry of Justice as provider of public services </w:t>
      </w:r>
    </w:p>
    <w:p w:rsidR="00DB7106" w:rsidRPr="00DB7106" w:rsidRDefault="00DB7106" w:rsidP="00DB7106">
      <w:pPr>
        <w:widowControl w:val="0"/>
        <w:suppressAutoHyphens/>
        <w:spacing w:before="60"/>
        <w:ind w:firstLine="708"/>
        <w:jc w:val="both"/>
        <w:rPr>
          <w:rFonts w:ascii="Calibri" w:eastAsia="SimSun" w:hAnsi="Calibri" w:cs="Mangal"/>
          <w:bCs/>
          <w:kern w:val="2"/>
        </w:rPr>
      </w:pPr>
      <w:r>
        <w:rPr>
          <w:rFonts w:ascii="Calibri" w:hAnsi="Calibri"/>
          <w:bCs/>
        </w:rPr>
        <w:t xml:space="preserve">Considering Romania’s progress and the fact that it has reached the benchmarks, the initial landmarks of the MCV, the Government and the EC will cooperate to lift the MCV during the mandate of the current Commission. </w:t>
      </w:r>
    </w:p>
    <w:p w:rsidR="00DB7106" w:rsidRPr="00DB7106" w:rsidRDefault="00DB7106" w:rsidP="00DB7106">
      <w:pPr>
        <w:widowControl w:val="0"/>
        <w:suppressAutoHyphens/>
        <w:spacing w:before="60"/>
        <w:ind w:firstLine="708"/>
        <w:jc w:val="both"/>
        <w:rPr>
          <w:rFonts w:ascii="Calibri" w:eastAsia="SimSun" w:hAnsi="Calibri" w:cs="Mangal"/>
          <w:bCs/>
          <w:kern w:val="2"/>
        </w:rPr>
      </w:pPr>
      <w:r>
        <w:rPr>
          <w:rFonts w:ascii="Calibri" w:hAnsi="Calibri"/>
        </w:rPr>
        <w:t xml:space="preserve">Project of </w:t>
      </w:r>
      <w:r>
        <w:rPr>
          <w:rFonts w:ascii="Calibri" w:hAnsi="Calibri"/>
          <w:i/>
        </w:rPr>
        <w:t>Improvement of Judiciary Services (PISJ)</w:t>
      </w:r>
      <w:r>
        <w:rPr>
          <w:rFonts w:ascii="Calibri" w:hAnsi="Calibri"/>
        </w:rPr>
        <w:t>, financed by the IBRD through loan agreement no. RO-8695, ratified through Law no. 173/2017 was started, negotiated and approved, because the Report of the European Commission regarding the progress registered by Romania in the MCV of January 27, 2016 specify that the investments in the seats and IT infrastructure of the courts of law must be continued in the following years. Thus, the MCV report mentions that: “The structural reform of the judiciary system must be accompanied by the modernization of buildings and computer systems: a series of works of construction of rehabilitation of the courts are in progress, financed through the loans awarded by the World Bank.” Thus, over 80% of the value of the loan corresponding to PIDJ is dedicated to the modernization of computer systems in the judiciary system (courts, prosecutor offices, NTRO) and for the rehabilitation/construction of six district courts in poor areas, respectively the finalization of works for the three court seats taken from the Judiciary System Reform Project. For this reason, the successful implementation of PISJ will contribute, together with the other achievements at Government level, to the process of cooperation with the EC for the lifting of the MCV.</w:t>
      </w:r>
    </w:p>
    <w:p w:rsidR="00DB7106" w:rsidRPr="00DB7106" w:rsidRDefault="00DB7106" w:rsidP="00DB7106">
      <w:pPr>
        <w:widowControl w:val="0"/>
        <w:suppressAutoHyphens/>
        <w:spacing w:before="60"/>
        <w:ind w:firstLine="708"/>
        <w:jc w:val="both"/>
        <w:rPr>
          <w:rFonts w:ascii="Calibri" w:eastAsia="SimSun" w:hAnsi="Calibri" w:cs="Mangal"/>
          <w:bCs/>
          <w:kern w:val="2"/>
        </w:rPr>
      </w:pPr>
      <w:r>
        <w:rPr>
          <w:rFonts w:ascii="Calibri" w:hAnsi="Calibri"/>
          <w:bCs/>
        </w:rPr>
        <w:t>Another priority is the continuance of the project “Judicial education in schools”, starting from the Protocol signed in 2013 between the Ministry of Justice, the SCM, the Public Prosecutor and the Ministry of National Education.</w:t>
      </w:r>
    </w:p>
    <w:p w:rsidR="00DB7106" w:rsidRPr="00DB7106" w:rsidRDefault="00DB7106" w:rsidP="00DB7106">
      <w:pPr>
        <w:widowControl w:val="0"/>
        <w:numPr>
          <w:ilvl w:val="0"/>
          <w:numId w:val="41"/>
        </w:numPr>
        <w:suppressAutoHyphens/>
        <w:spacing w:before="240"/>
        <w:ind w:left="0" w:firstLine="708"/>
        <w:jc w:val="both"/>
        <w:rPr>
          <w:rFonts w:ascii="Calibri" w:eastAsiaTheme="minorHAnsi" w:hAnsi="Calibri" w:cstheme="minorBidi"/>
          <w:b/>
        </w:rPr>
      </w:pPr>
      <w:r>
        <w:rPr>
          <w:rFonts w:ascii="Calibri" w:hAnsi="Calibri"/>
          <w:b/>
        </w:rPr>
        <w:t xml:space="preserve">Coordination of the penitentiary system                                                                                                                                       </w:t>
      </w:r>
    </w:p>
    <w:p w:rsidR="00DB7106" w:rsidRPr="00DB7106" w:rsidRDefault="00DB7106" w:rsidP="00DB7106">
      <w:pPr>
        <w:widowControl w:val="0"/>
        <w:suppressAutoHyphens/>
        <w:ind w:firstLine="708"/>
        <w:jc w:val="both"/>
        <w:rPr>
          <w:rFonts w:ascii="Calibri" w:eastAsia="SimSun" w:hAnsi="Calibri" w:cs="Mangal"/>
          <w:b/>
          <w:kern w:val="2"/>
        </w:rPr>
      </w:pPr>
      <w:r>
        <w:rPr>
          <w:rFonts w:ascii="Calibri" w:hAnsi="Calibri"/>
        </w:rPr>
        <w:t xml:space="preserve">The Romanian penitentiary system is a component of the public order and national safety system of Romania, whose main purpose is to develop a public service which is transparent and safe for the community, based on the guarantee of safety of detention areas and on social reintegration of the people sentenced to custodial punishments.  </w:t>
      </w:r>
    </w:p>
    <w:p w:rsidR="00DB7106" w:rsidRPr="00DB7106" w:rsidRDefault="00DB7106" w:rsidP="00DB7106">
      <w:pPr>
        <w:widowControl w:val="0"/>
        <w:suppressAutoHyphens/>
        <w:spacing w:before="60"/>
        <w:ind w:firstLine="708"/>
        <w:contextualSpacing/>
        <w:jc w:val="both"/>
        <w:rPr>
          <w:rFonts w:ascii="Calibri" w:eastAsia="SimSun" w:hAnsi="Calibri" w:cs="Mangal"/>
          <w:kern w:val="2"/>
        </w:rPr>
      </w:pPr>
      <w:r>
        <w:rPr>
          <w:rFonts w:ascii="Calibri" w:hAnsi="Calibri"/>
        </w:rPr>
        <w:t>The National Administration of Penitentiaries applies in its fields of competence the policy of the Romanian Government on the execution of punishments and custodial sentences delivered by the courts of law, proposing to achieve the following priority objectives:</w:t>
      </w:r>
    </w:p>
    <w:p w:rsidR="00DB7106" w:rsidRPr="00DB7106" w:rsidRDefault="00DB7106" w:rsidP="00DB7106">
      <w:pPr>
        <w:widowControl w:val="0"/>
        <w:suppressAutoHyphens/>
        <w:spacing w:before="60"/>
        <w:ind w:firstLine="708"/>
        <w:contextualSpacing/>
        <w:jc w:val="both"/>
        <w:rPr>
          <w:rFonts w:ascii="Calibri" w:eastAsia="SimSun" w:hAnsi="Calibri" w:cs="Mangal"/>
          <w:kern w:val="2"/>
          <w:lang w:val="ro-RO" w:eastAsia="zh-CN" w:bidi="hi-IN"/>
        </w:rPr>
      </w:pPr>
    </w:p>
    <w:p w:rsidR="00DB7106" w:rsidRPr="00DB7106" w:rsidRDefault="00DB7106" w:rsidP="00DB7106">
      <w:pPr>
        <w:widowControl w:val="0"/>
        <w:suppressAutoHyphens/>
        <w:spacing w:before="60"/>
        <w:ind w:firstLine="708"/>
        <w:contextualSpacing/>
        <w:jc w:val="both"/>
        <w:rPr>
          <w:rFonts w:ascii="Calibri" w:eastAsia="SimSun" w:hAnsi="Calibri" w:cs="Mangal"/>
          <w:b/>
          <w:i/>
          <w:kern w:val="2"/>
        </w:rPr>
      </w:pPr>
      <w:r>
        <w:rPr>
          <w:rFonts w:ascii="Calibri" w:hAnsi="Calibri"/>
          <w:b/>
        </w:rPr>
        <w:t xml:space="preserve">3.1 </w:t>
      </w:r>
      <w:r>
        <w:rPr>
          <w:rFonts w:ascii="Calibri" w:hAnsi="Calibri"/>
          <w:b/>
          <w:i/>
        </w:rPr>
        <w:t>Modernization and development of the infrastructure of the penitentiary system</w:t>
      </w:r>
    </w:p>
    <w:p w:rsidR="00DB7106" w:rsidRPr="00DB7106" w:rsidRDefault="00DB7106" w:rsidP="00DB7106">
      <w:pPr>
        <w:widowControl w:val="0"/>
        <w:suppressAutoHyphens/>
        <w:spacing w:before="60"/>
        <w:ind w:firstLine="708"/>
        <w:contextualSpacing/>
        <w:jc w:val="both"/>
        <w:rPr>
          <w:rFonts w:ascii="Calibri" w:eastAsia="SimSun" w:hAnsi="Calibri" w:cs="Mangal"/>
          <w:kern w:val="2"/>
        </w:rPr>
      </w:pPr>
      <w:r>
        <w:rPr>
          <w:rFonts w:ascii="Calibri" w:hAnsi="Calibri"/>
        </w:rPr>
        <w:t xml:space="preserve">Ensuring optimal detention and transport conditions, in accordance with international standards, represents a priority of the penitentiary administration system. </w:t>
      </w:r>
    </w:p>
    <w:p w:rsidR="00DB7106" w:rsidRPr="00DB7106" w:rsidRDefault="00DB7106" w:rsidP="00DB7106">
      <w:pPr>
        <w:widowControl w:val="0"/>
        <w:suppressAutoHyphens/>
        <w:spacing w:before="60"/>
        <w:ind w:firstLine="708"/>
        <w:contextualSpacing/>
        <w:jc w:val="both"/>
        <w:rPr>
          <w:rFonts w:ascii="Calibri" w:eastAsia="SimSun" w:hAnsi="Calibri" w:cs="Mangal"/>
          <w:kern w:val="2"/>
        </w:rPr>
      </w:pPr>
      <w:r>
        <w:rPr>
          <w:rFonts w:ascii="Calibri" w:hAnsi="Calibri"/>
        </w:rPr>
        <w:t>In the session of January 17, 2018, the Government of Romania approved through Memorandum the Schedule of measures for 2018-2024 for the settlement of prison overcrowding and detention conditions, in the enforcement of the judgment in case Rezmives and others against Romania, delivered by the European Court of Human Rights on April 25, 2017, in order to submit it to the Council of Europe.</w:t>
      </w:r>
    </w:p>
    <w:p w:rsidR="00DB7106" w:rsidRPr="00DB7106" w:rsidRDefault="00DB7106" w:rsidP="00DB7106">
      <w:pPr>
        <w:widowControl w:val="0"/>
        <w:suppressAutoHyphens/>
        <w:spacing w:before="60"/>
        <w:ind w:firstLine="708"/>
        <w:contextualSpacing/>
        <w:jc w:val="both"/>
        <w:rPr>
          <w:rFonts w:ascii="Calibri" w:eastAsia="SimSun" w:hAnsi="Calibri" w:cs="Mangal"/>
          <w:kern w:val="2"/>
        </w:rPr>
      </w:pPr>
      <w:r>
        <w:rPr>
          <w:rFonts w:ascii="Calibri" w:hAnsi="Calibri"/>
        </w:rPr>
        <w:t xml:space="preserve">Following the enforcement of the provisions in Law no. 169/2017 amending and supplementing Law no. 254/2013, which established a compensation mechanism for the award of a benefit of 6 supplementary days considered executed for a number of 30 days of custody in unfit detention spaces, the deficit of accommodation spaces followed a descending trend. On June 19, 2018, the penitentiary system had 22,502 people in custody and registered a deficit of 3,951 accommodation spaces, calculated at 4 sq. m. for every detainee.        </w:t>
      </w:r>
    </w:p>
    <w:p w:rsidR="00DB7106" w:rsidRPr="00DB7106" w:rsidRDefault="00DB7106" w:rsidP="00DB7106">
      <w:pPr>
        <w:widowControl w:val="0"/>
        <w:suppressAutoHyphens/>
        <w:ind w:firstLine="708"/>
        <w:jc w:val="both"/>
        <w:rPr>
          <w:rFonts w:ascii="Calibri" w:eastAsia="SimSun" w:hAnsi="Calibri" w:cs="Mangal"/>
          <w:kern w:val="2"/>
        </w:rPr>
      </w:pPr>
      <w:r>
        <w:rPr>
          <w:rFonts w:ascii="Calibri" w:hAnsi="Calibri"/>
        </w:rPr>
        <w:t>The current plan of measures provides the extension of the accommodation capacity of the penitentiary system, considering several aspects, like:</w:t>
      </w:r>
    </w:p>
    <w:p w:rsidR="00DB7106" w:rsidRPr="00DB7106" w:rsidRDefault="00DB7106" w:rsidP="00DB7106">
      <w:pPr>
        <w:widowControl w:val="0"/>
        <w:numPr>
          <w:ilvl w:val="0"/>
          <w:numId w:val="63"/>
        </w:numPr>
        <w:suppressAutoHyphens/>
        <w:spacing w:after="160"/>
        <w:ind w:left="0" w:firstLine="708"/>
        <w:contextualSpacing/>
        <w:jc w:val="both"/>
        <w:rPr>
          <w:rFonts w:ascii="Calibri" w:eastAsiaTheme="minorHAnsi" w:hAnsi="Calibri" w:cstheme="minorBidi"/>
        </w:rPr>
      </w:pPr>
      <w:r>
        <w:rPr>
          <w:rFonts w:ascii="Calibri" w:hAnsi="Calibri"/>
        </w:rPr>
        <w:t>the degree of wear of some of the buildings, which could lead to unfit accommodation conditions for the detainees and would impose their removal from use;</w:t>
      </w:r>
    </w:p>
    <w:p w:rsidR="00DB7106" w:rsidRPr="00DB7106" w:rsidRDefault="00DB7106" w:rsidP="00DB7106">
      <w:pPr>
        <w:widowControl w:val="0"/>
        <w:numPr>
          <w:ilvl w:val="0"/>
          <w:numId w:val="63"/>
        </w:numPr>
        <w:suppressAutoHyphens/>
        <w:spacing w:after="160"/>
        <w:ind w:left="0" w:firstLine="708"/>
        <w:contextualSpacing/>
        <w:jc w:val="both"/>
        <w:rPr>
          <w:rFonts w:ascii="Calibri" w:eastAsiaTheme="minorHAnsi" w:hAnsi="Calibri" w:cstheme="minorBidi"/>
        </w:rPr>
      </w:pPr>
      <w:r>
        <w:rPr>
          <w:rFonts w:ascii="Calibri" w:hAnsi="Calibri"/>
        </w:rPr>
        <w:t>the modernization of accommodation areas presupposes the repartitioning of spaces, in accordance with European standards, and inevitably leads to the decrease of the accommodation capacity;</w:t>
      </w:r>
    </w:p>
    <w:p w:rsidR="00DB7106" w:rsidRPr="00DB7106" w:rsidRDefault="00DB7106" w:rsidP="00DB7106">
      <w:pPr>
        <w:widowControl w:val="0"/>
        <w:numPr>
          <w:ilvl w:val="0"/>
          <w:numId w:val="63"/>
        </w:numPr>
        <w:suppressAutoHyphens/>
        <w:spacing w:after="160"/>
        <w:ind w:left="0" w:firstLine="708"/>
        <w:contextualSpacing/>
        <w:jc w:val="both"/>
        <w:rPr>
          <w:rFonts w:ascii="Calibri" w:eastAsiaTheme="minorHAnsi" w:hAnsi="Calibri" w:cstheme="minorBidi"/>
        </w:rPr>
      </w:pPr>
      <w:r>
        <w:rPr>
          <w:rFonts w:ascii="Calibri" w:hAnsi="Calibri"/>
        </w:rPr>
        <w:t xml:space="preserve">it cannot be estimated the evolution of the number of detainees in the custody of the penitentiary system (for example: the new Criminal Code sets bigger punishments for repeat offenders, the benefit of conditional release is granted only to the convicted distributed to open and semi-open regimes, etc.).    </w:t>
      </w:r>
    </w:p>
    <w:p w:rsidR="00DB7106" w:rsidRPr="00DB7106" w:rsidRDefault="00DB7106" w:rsidP="00DB7106">
      <w:pPr>
        <w:widowControl w:val="0"/>
        <w:suppressAutoHyphens/>
        <w:ind w:firstLine="708"/>
        <w:jc w:val="both"/>
        <w:rPr>
          <w:rFonts w:ascii="Calibri" w:eastAsia="SimSun" w:hAnsi="Calibri" w:cs="Mangal"/>
          <w:kern w:val="2"/>
        </w:rPr>
      </w:pPr>
      <w:r>
        <w:rPr>
          <w:rFonts w:ascii="Calibri" w:hAnsi="Calibri"/>
        </w:rPr>
        <w:t xml:space="preserve">The enforcement of the measures established by the plan will ensure the creation of a number of 8,095 new places of accommodation and the modernization of 1,351 places of accommodation.      </w:t>
      </w:r>
    </w:p>
    <w:p w:rsidR="00DB7106" w:rsidRPr="00DB7106" w:rsidRDefault="00DB7106" w:rsidP="00DB7106">
      <w:pPr>
        <w:widowControl w:val="0"/>
        <w:suppressAutoHyphens/>
        <w:spacing w:line="276" w:lineRule="auto"/>
        <w:ind w:firstLine="708"/>
        <w:jc w:val="both"/>
        <w:rPr>
          <w:rFonts w:ascii="Arial" w:eastAsia="SimSun" w:hAnsi="Arial" w:cs="Arial"/>
          <w:b/>
          <w:bCs/>
          <w:color w:val="500050"/>
          <w:kern w:val="2"/>
          <w:shd w:val="clear" w:color="auto" w:fill="FFFFFF"/>
          <w:lang w:val="ro-RO" w:eastAsia="zh-CN" w:bidi="hi-IN"/>
        </w:rPr>
      </w:pPr>
    </w:p>
    <w:p w:rsidR="00DB7106" w:rsidRPr="00DB7106" w:rsidRDefault="00DB7106" w:rsidP="00DB7106">
      <w:pPr>
        <w:widowControl w:val="0"/>
        <w:suppressAutoHyphens/>
        <w:spacing w:line="276" w:lineRule="auto"/>
        <w:ind w:firstLine="708"/>
        <w:jc w:val="both"/>
        <w:rPr>
          <w:rFonts w:ascii="Calibri" w:eastAsia="SimSun" w:hAnsi="Calibri" w:cs="Mangal"/>
          <w:b/>
          <w:i/>
          <w:kern w:val="2"/>
        </w:rPr>
      </w:pPr>
      <w:r>
        <w:rPr>
          <w:rFonts w:ascii="Calibri" w:hAnsi="Calibri"/>
          <w:b/>
          <w:i/>
        </w:rPr>
        <w:t>3.2 Guaranteeing safety of the penitentiary administration system and uniformity of the manner of enforcement of the penitentiary regime</w:t>
      </w:r>
    </w:p>
    <w:p w:rsidR="00DB7106" w:rsidRPr="00DB7106" w:rsidRDefault="00DB7106" w:rsidP="00DB7106">
      <w:pPr>
        <w:widowControl w:val="0"/>
        <w:suppressAutoHyphens/>
        <w:ind w:firstLine="708"/>
        <w:jc w:val="both"/>
        <w:rPr>
          <w:rFonts w:ascii="Calibri" w:eastAsia="SimSun" w:hAnsi="Calibri" w:cs="Mangal"/>
          <w:b/>
          <w:i/>
          <w:kern w:val="2"/>
        </w:rPr>
      </w:pPr>
      <w:r>
        <w:rPr>
          <w:rFonts w:ascii="Calibri" w:hAnsi="Calibri"/>
        </w:rPr>
        <w:t>The achievement of this strategic objective is conditioned on the following aspects:</w:t>
      </w:r>
    </w:p>
    <w:p w:rsidR="00DB7106" w:rsidRPr="00DB7106" w:rsidRDefault="00DB7106" w:rsidP="00DB7106">
      <w:pPr>
        <w:widowControl w:val="0"/>
        <w:numPr>
          <w:ilvl w:val="0"/>
          <w:numId w:val="44"/>
        </w:numPr>
        <w:suppressAutoHyphens/>
        <w:spacing w:after="160"/>
        <w:ind w:left="0" w:firstLine="708"/>
        <w:contextualSpacing/>
        <w:jc w:val="both"/>
        <w:rPr>
          <w:rFonts w:ascii="Calibri" w:eastAsiaTheme="minorHAnsi" w:hAnsi="Calibri" w:cstheme="minorBidi"/>
          <w:b/>
          <w:i/>
          <w:sz w:val="22"/>
          <w:szCs w:val="22"/>
        </w:rPr>
      </w:pPr>
      <w:r>
        <w:rPr>
          <w:rFonts w:ascii="Calibri" w:hAnsi="Calibri"/>
          <w:bCs/>
        </w:rPr>
        <w:t>supplementation of the legislative framework as a result of the amendment of the criminal enforcement law;</w:t>
      </w:r>
    </w:p>
    <w:p w:rsidR="00DB7106" w:rsidRPr="00DB7106" w:rsidRDefault="00DB7106" w:rsidP="00DB7106">
      <w:pPr>
        <w:widowControl w:val="0"/>
        <w:numPr>
          <w:ilvl w:val="0"/>
          <w:numId w:val="44"/>
        </w:numPr>
        <w:suppressAutoHyphens/>
        <w:spacing w:after="160"/>
        <w:ind w:left="0" w:firstLine="708"/>
        <w:contextualSpacing/>
        <w:jc w:val="both"/>
        <w:rPr>
          <w:rFonts w:ascii="Calibri" w:eastAsiaTheme="minorHAnsi" w:hAnsi="Calibri" w:cstheme="minorBidi"/>
          <w:b/>
          <w:i/>
          <w:sz w:val="22"/>
          <w:szCs w:val="22"/>
        </w:rPr>
      </w:pPr>
      <w:r>
        <w:rPr>
          <w:rFonts w:ascii="Calibri" w:hAnsi="Calibri"/>
          <w:bCs/>
        </w:rPr>
        <w:t>assurance and observance of detainee rights;</w:t>
      </w:r>
    </w:p>
    <w:p w:rsidR="00DB7106" w:rsidRPr="00DB7106" w:rsidRDefault="00DB7106" w:rsidP="00DB7106">
      <w:pPr>
        <w:widowControl w:val="0"/>
        <w:numPr>
          <w:ilvl w:val="0"/>
          <w:numId w:val="44"/>
        </w:numPr>
        <w:suppressAutoHyphens/>
        <w:spacing w:after="160"/>
        <w:ind w:left="0" w:firstLine="708"/>
        <w:contextualSpacing/>
        <w:jc w:val="both"/>
        <w:rPr>
          <w:rFonts w:ascii="Calibri" w:eastAsiaTheme="minorHAnsi" w:hAnsi="Calibri" w:cstheme="minorBidi"/>
          <w:b/>
          <w:i/>
          <w:sz w:val="22"/>
          <w:szCs w:val="22"/>
        </w:rPr>
      </w:pPr>
      <w:r>
        <w:rPr>
          <w:rFonts w:ascii="Calibri" w:hAnsi="Calibri"/>
          <w:bCs/>
        </w:rPr>
        <w:t>qualifying detainees in different trades and including them in profitable activities through production workshops/agricultural and zootechnic households.</w:t>
      </w:r>
    </w:p>
    <w:p w:rsidR="00DB7106" w:rsidRPr="00DB7106" w:rsidRDefault="00DB7106" w:rsidP="00DB7106">
      <w:pPr>
        <w:spacing w:after="160"/>
        <w:ind w:firstLine="708"/>
        <w:contextualSpacing/>
        <w:jc w:val="both"/>
        <w:rPr>
          <w:rFonts w:ascii="Calibri" w:eastAsiaTheme="minorHAnsi" w:hAnsi="Calibri" w:cstheme="minorBidi"/>
          <w:b/>
          <w:i/>
          <w:sz w:val="22"/>
          <w:szCs w:val="22"/>
          <w:lang w:val="ro-RO"/>
        </w:rPr>
      </w:pPr>
    </w:p>
    <w:p w:rsidR="00DB7106" w:rsidRPr="00DB7106" w:rsidRDefault="00DB7106" w:rsidP="00DB7106">
      <w:pPr>
        <w:widowControl w:val="0"/>
        <w:suppressAutoHyphens/>
        <w:ind w:firstLine="708"/>
        <w:jc w:val="both"/>
        <w:rPr>
          <w:rFonts w:ascii="Calibri" w:eastAsia="SimSun" w:hAnsi="Calibri" w:cs="Arial"/>
          <w:kern w:val="2"/>
        </w:rPr>
      </w:pPr>
      <w:r>
        <w:rPr>
          <w:rFonts w:ascii="Calibri" w:hAnsi="Calibri"/>
        </w:rPr>
        <w:t xml:space="preserve">   The result of this objective is the improvement of the supervision and control capacity and the limitation of</w:t>
      </w:r>
    </w:p>
    <w:p w:rsidR="00DB7106" w:rsidRPr="00DB7106" w:rsidRDefault="00DB7106" w:rsidP="00DB7106">
      <w:pPr>
        <w:widowControl w:val="0"/>
        <w:suppressAutoHyphens/>
        <w:ind w:firstLine="708"/>
        <w:jc w:val="both"/>
        <w:rPr>
          <w:rFonts w:ascii="Calibri" w:eastAsia="SimSun" w:hAnsi="Calibri" w:cs="Arial"/>
          <w:kern w:val="2"/>
        </w:rPr>
      </w:pPr>
      <w:r>
        <w:rPr>
          <w:rFonts w:ascii="Calibri" w:hAnsi="Calibri"/>
        </w:rPr>
        <w:t xml:space="preserve">   punishment execution avoidance and it presupposes:</w:t>
      </w:r>
    </w:p>
    <w:p w:rsidR="00DB7106" w:rsidRPr="00DB7106" w:rsidRDefault="00DB7106" w:rsidP="00DB7106">
      <w:pPr>
        <w:widowControl w:val="0"/>
        <w:numPr>
          <w:ilvl w:val="0"/>
          <w:numId w:val="44"/>
        </w:numPr>
        <w:suppressAutoHyphens/>
        <w:spacing w:after="160"/>
        <w:ind w:left="0" w:firstLine="708"/>
        <w:contextualSpacing/>
        <w:jc w:val="both"/>
        <w:rPr>
          <w:rFonts w:ascii="Calibri" w:eastAsiaTheme="minorHAnsi" w:hAnsi="Calibri" w:cstheme="minorBidi"/>
          <w:b/>
          <w:i/>
          <w:sz w:val="22"/>
          <w:szCs w:val="22"/>
        </w:rPr>
      </w:pPr>
      <w:r>
        <w:rPr>
          <w:rFonts w:ascii="Calibri" w:hAnsi="Calibri"/>
          <w:bCs/>
        </w:rPr>
        <w:t xml:space="preserve">the implementation of integrated guard, video surveillance and access control systems (Penitentiaries in Constanta, Poarta Alba, Ploiesti, Satu-Mare, Baia-Mare, Bistrita, Deva, Drobeta Turnu Severin, Targu Jiu, Vaslui, Jilava); </w:t>
      </w:r>
    </w:p>
    <w:p w:rsidR="00DB7106" w:rsidRPr="00DB7106" w:rsidRDefault="00DB7106" w:rsidP="00DB7106">
      <w:pPr>
        <w:widowControl w:val="0"/>
        <w:numPr>
          <w:ilvl w:val="0"/>
          <w:numId w:val="44"/>
        </w:numPr>
        <w:suppressAutoHyphens/>
        <w:spacing w:after="160"/>
        <w:ind w:left="0" w:firstLine="708"/>
        <w:contextualSpacing/>
        <w:jc w:val="both"/>
        <w:rPr>
          <w:rFonts w:ascii="Calibri" w:eastAsiaTheme="minorHAnsi" w:hAnsi="Calibri" w:cstheme="minorBidi"/>
          <w:b/>
          <w:i/>
          <w:sz w:val="22"/>
          <w:szCs w:val="22"/>
        </w:rPr>
      </w:pPr>
      <w:r>
        <w:rPr>
          <w:rFonts w:ascii="Calibri" w:hAnsi="Calibri"/>
          <w:bCs/>
        </w:rPr>
        <w:t>adequate equipment of the personnel who executes missions of guard, supervision, escort and intervention with specific means and equipment;</w:t>
      </w:r>
    </w:p>
    <w:p w:rsidR="00DB7106" w:rsidRPr="00DB7106" w:rsidRDefault="00DB7106" w:rsidP="00DB7106">
      <w:pPr>
        <w:widowControl w:val="0"/>
        <w:numPr>
          <w:ilvl w:val="0"/>
          <w:numId w:val="44"/>
        </w:numPr>
        <w:suppressAutoHyphens/>
        <w:spacing w:after="160"/>
        <w:ind w:left="0" w:firstLine="708"/>
        <w:contextualSpacing/>
        <w:jc w:val="both"/>
        <w:rPr>
          <w:rFonts w:ascii="Calibri" w:eastAsiaTheme="minorHAnsi" w:hAnsi="Calibri" w:cstheme="minorBidi"/>
          <w:b/>
          <w:i/>
          <w:sz w:val="22"/>
          <w:szCs w:val="22"/>
        </w:rPr>
      </w:pPr>
      <w:r>
        <w:rPr>
          <w:rFonts w:ascii="Calibri" w:hAnsi="Calibri"/>
          <w:bCs/>
        </w:rPr>
        <w:t xml:space="preserve">purchase and equipping of all penitentiary units with means of performance of </w:t>
      </w:r>
      <w:r w:rsidR="00F00F75">
        <w:rPr>
          <w:rFonts w:ascii="Calibri" w:hAnsi="Calibri"/>
          <w:bCs/>
        </w:rPr>
        <w:t>anti-terrorist</w:t>
      </w:r>
      <w:r>
        <w:rPr>
          <w:rFonts w:ascii="Calibri" w:hAnsi="Calibri"/>
          <w:bCs/>
        </w:rPr>
        <w:t xml:space="preserve"> and specialty control;</w:t>
      </w:r>
    </w:p>
    <w:p w:rsidR="00DB7106" w:rsidRPr="00DB7106" w:rsidRDefault="00DB7106" w:rsidP="00DB7106">
      <w:pPr>
        <w:widowControl w:val="0"/>
        <w:numPr>
          <w:ilvl w:val="0"/>
          <w:numId w:val="44"/>
        </w:numPr>
        <w:suppressAutoHyphens/>
        <w:spacing w:after="160"/>
        <w:ind w:left="0" w:firstLine="708"/>
        <w:contextualSpacing/>
        <w:jc w:val="both"/>
        <w:rPr>
          <w:rFonts w:ascii="Calibri" w:eastAsiaTheme="minorHAnsi" w:hAnsi="Calibri" w:cstheme="minorBidi"/>
          <w:b/>
          <w:i/>
          <w:sz w:val="22"/>
          <w:szCs w:val="22"/>
        </w:rPr>
      </w:pPr>
      <w:r>
        <w:rPr>
          <w:rFonts w:ascii="Calibri" w:hAnsi="Calibri"/>
          <w:bCs/>
        </w:rPr>
        <w:t>continued purchase and equipping of the entire personnel with service attire;</w:t>
      </w:r>
    </w:p>
    <w:p w:rsidR="00DB7106" w:rsidRPr="00DB7106" w:rsidRDefault="00DB7106" w:rsidP="00DB7106">
      <w:pPr>
        <w:widowControl w:val="0"/>
        <w:numPr>
          <w:ilvl w:val="0"/>
          <w:numId w:val="44"/>
        </w:numPr>
        <w:suppressAutoHyphens/>
        <w:spacing w:after="160"/>
        <w:ind w:left="0" w:firstLine="708"/>
        <w:contextualSpacing/>
        <w:jc w:val="both"/>
        <w:rPr>
          <w:rFonts w:ascii="Calibri" w:eastAsiaTheme="minorHAnsi" w:hAnsi="Calibri" w:cstheme="minorBidi"/>
          <w:b/>
          <w:i/>
          <w:sz w:val="22"/>
          <w:szCs w:val="22"/>
        </w:rPr>
      </w:pPr>
      <w:r>
        <w:rPr>
          <w:rFonts w:ascii="Calibri" w:hAnsi="Calibri"/>
          <w:bCs/>
        </w:rPr>
        <w:t>implementation in the penitentiary system of a remote electronic supervision system of the detainees who leave the penitentiary without supervision;</w:t>
      </w:r>
    </w:p>
    <w:p w:rsidR="00DB7106" w:rsidRPr="00DB7106" w:rsidRDefault="00DB7106" w:rsidP="00DB7106">
      <w:pPr>
        <w:widowControl w:val="0"/>
        <w:numPr>
          <w:ilvl w:val="0"/>
          <w:numId w:val="44"/>
        </w:numPr>
        <w:suppressAutoHyphens/>
        <w:spacing w:after="160"/>
        <w:ind w:left="0" w:firstLine="708"/>
        <w:contextualSpacing/>
        <w:jc w:val="both"/>
        <w:rPr>
          <w:rFonts w:ascii="Calibri" w:eastAsiaTheme="minorHAnsi" w:hAnsi="Calibri" w:cstheme="minorBidi"/>
          <w:b/>
          <w:i/>
          <w:sz w:val="22"/>
          <w:szCs w:val="22"/>
        </w:rPr>
      </w:pPr>
      <w:r>
        <w:rPr>
          <w:rFonts w:ascii="Calibri" w:hAnsi="Calibri"/>
          <w:bCs/>
        </w:rPr>
        <w:t>blocking/reducing the GSM signal in the units subordinated to the National Administration of Penitentiaries, in order to eliminate/reduce the possibility of illegal use of mobile phones by the detainees;</w:t>
      </w:r>
    </w:p>
    <w:p w:rsidR="00DB7106" w:rsidRPr="00DB7106" w:rsidRDefault="00DB7106" w:rsidP="00DB7106">
      <w:pPr>
        <w:widowControl w:val="0"/>
        <w:numPr>
          <w:ilvl w:val="0"/>
          <w:numId w:val="44"/>
        </w:numPr>
        <w:suppressAutoHyphens/>
        <w:spacing w:after="160"/>
        <w:ind w:left="0" w:firstLine="708"/>
        <w:contextualSpacing/>
        <w:jc w:val="both"/>
        <w:rPr>
          <w:rFonts w:ascii="Calibri" w:eastAsiaTheme="minorHAnsi" w:hAnsi="Calibri" w:cstheme="minorBidi"/>
          <w:b/>
          <w:i/>
          <w:sz w:val="22"/>
          <w:szCs w:val="22"/>
        </w:rPr>
      </w:pPr>
      <w:r>
        <w:rPr>
          <w:rFonts w:ascii="Calibri" w:hAnsi="Calibri"/>
          <w:bCs/>
        </w:rPr>
        <w:t>organization of alarm exercises and performance of tactical and applied exercises, with participation of personnel from several penitentiaries and from the other structures of the public order and national safety system;</w:t>
      </w:r>
    </w:p>
    <w:p w:rsidR="00DB7106" w:rsidRPr="00DB7106" w:rsidRDefault="00DB7106" w:rsidP="00DB7106">
      <w:pPr>
        <w:widowControl w:val="0"/>
        <w:numPr>
          <w:ilvl w:val="0"/>
          <w:numId w:val="44"/>
        </w:numPr>
        <w:suppressAutoHyphens/>
        <w:spacing w:after="160"/>
        <w:ind w:left="0" w:firstLine="708"/>
        <w:contextualSpacing/>
        <w:jc w:val="both"/>
        <w:rPr>
          <w:rFonts w:ascii="Calibri" w:eastAsiaTheme="minorHAnsi" w:hAnsi="Calibri" w:cstheme="minorBidi"/>
          <w:b/>
          <w:i/>
          <w:sz w:val="22"/>
          <w:szCs w:val="22"/>
        </w:rPr>
      </w:pPr>
      <w:r>
        <w:rPr>
          <w:rFonts w:ascii="Calibri" w:hAnsi="Calibri"/>
          <w:bCs/>
        </w:rPr>
        <w:t>purchase and implementation of “Body Cam” systems;</w:t>
      </w:r>
    </w:p>
    <w:p w:rsidR="00DB7106" w:rsidRPr="00DB7106" w:rsidRDefault="00DB7106" w:rsidP="00DB7106">
      <w:pPr>
        <w:widowControl w:val="0"/>
        <w:numPr>
          <w:ilvl w:val="0"/>
          <w:numId w:val="44"/>
        </w:numPr>
        <w:suppressAutoHyphens/>
        <w:spacing w:after="160"/>
        <w:ind w:left="0" w:firstLine="708"/>
        <w:contextualSpacing/>
        <w:jc w:val="both"/>
        <w:rPr>
          <w:rFonts w:ascii="Calibri" w:eastAsiaTheme="minorHAnsi" w:hAnsi="Calibri" w:cstheme="minorBidi"/>
          <w:b/>
          <w:i/>
          <w:sz w:val="22"/>
          <w:szCs w:val="22"/>
        </w:rPr>
      </w:pPr>
      <w:r>
        <w:rPr>
          <w:rFonts w:ascii="Calibri" w:hAnsi="Calibri"/>
          <w:bCs/>
        </w:rPr>
        <w:t>modernization and assurance of functionality of “Mandown” human value protection systems;</w:t>
      </w:r>
    </w:p>
    <w:p w:rsidR="00DB7106" w:rsidRPr="00DB7106" w:rsidRDefault="00DB7106" w:rsidP="00DB7106">
      <w:pPr>
        <w:widowControl w:val="0"/>
        <w:numPr>
          <w:ilvl w:val="0"/>
          <w:numId w:val="44"/>
        </w:numPr>
        <w:suppressAutoHyphens/>
        <w:spacing w:after="160"/>
        <w:ind w:left="0" w:firstLine="708"/>
        <w:contextualSpacing/>
        <w:jc w:val="both"/>
        <w:rPr>
          <w:rFonts w:ascii="Calibri" w:eastAsiaTheme="minorHAnsi" w:hAnsi="Calibri" w:cstheme="minorBidi"/>
          <w:b/>
          <w:i/>
          <w:sz w:val="22"/>
          <w:szCs w:val="22"/>
        </w:rPr>
      </w:pPr>
      <w:r>
        <w:rPr>
          <w:rFonts w:ascii="Calibri" w:hAnsi="Calibri"/>
          <w:bCs/>
        </w:rPr>
        <w:t>implementation of electronic document management systems and activities specific for safety of holding and applying the penitentiary regime;</w:t>
      </w:r>
    </w:p>
    <w:p w:rsidR="00DB7106" w:rsidRPr="008D4CBC" w:rsidRDefault="00DB7106" w:rsidP="00DB7106">
      <w:pPr>
        <w:widowControl w:val="0"/>
        <w:numPr>
          <w:ilvl w:val="0"/>
          <w:numId w:val="44"/>
        </w:numPr>
        <w:suppressAutoHyphens/>
        <w:spacing w:after="160"/>
        <w:ind w:left="0" w:firstLine="708"/>
        <w:contextualSpacing/>
        <w:jc w:val="both"/>
        <w:rPr>
          <w:rFonts w:ascii="Calibri" w:eastAsiaTheme="minorHAnsi" w:hAnsi="Calibri" w:cstheme="minorBidi"/>
          <w:b/>
          <w:i/>
          <w:sz w:val="22"/>
          <w:szCs w:val="22"/>
        </w:rPr>
      </w:pPr>
      <w:r>
        <w:rPr>
          <w:rFonts w:ascii="Calibri" w:hAnsi="Calibri"/>
          <w:bCs/>
        </w:rPr>
        <w:t>conclusion and implementation of protocols of collaboration with courts of law (electronic subpoenaing and video conference).</w:t>
      </w:r>
    </w:p>
    <w:p w:rsidR="008D4CBC" w:rsidRPr="00DB7106" w:rsidRDefault="008D4CBC" w:rsidP="008D4CBC">
      <w:pPr>
        <w:widowControl w:val="0"/>
        <w:suppressAutoHyphens/>
        <w:spacing w:after="160"/>
        <w:ind w:left="708"/>
        <w:contextualSpacing/>
        <w:jc w:val="both"/>
        <w:rPr>
          <w:rFonts w:ascii="Calibri" w:eastAsiaTheme="minorHAnsi" w:hAnsi="Calibri" w:cstheme="minorBidi"/>
          <w:b/>
          <w:i/>
          <w:sz w:val="22"/>
          <w:szCs w:val="22"/>
          <w:lang w:val="ro-RO"/>
        </w:rPr>
      </w:pPr>
    </w:p>
    <w:p w:rsidR="00DB7106" w:rsidRPr="00DB7106" w:rsidRDefault="00DB7106" w:rsidP="00DB7106">
      <w:pPr>
        <w:widowControl w:val="0"/>
        <w:suppressAutoHyphens/>
        <w:spacing w:line="276" w:lineRule="auto"/>
        <w:ind w:firstLine="708"/>
        <w:jc w:val="both"/>
        <w:rPr>
          <w:rFonts w:ascii="Calibri" w:eastAsia="SimSun" w:hAnsi="Calibri" w:cs="Mangal"/>
          <w:b/>
          <w:i/>
          <w:kern w:val="2"/>
        </w:rPr>
      </w:pPr>
      <w:r>
        <w:rPr>
          <w:rFonts w:ascii="Calibri" w:hAnsi="Calibri"/>
          <w:b/>
          <w:i/>
        </w:rPr>
        <w:t>3.3 Education, psychological assistance and social assistance adapted to the detainees’ needs, in order to increase the chances for social reintegration of the detainees</w:t>
      </w:r>
    </w:p>
    <w:p w:rsidR="00DB7106" w:rsidRPr="00DB7106" w:rsidRDefault="00DB7106" w:rsidP="00DB7106">
      <w:pPr>
        <w:widowControl w:val="0"/>
        <w:suppressAutoHyphens/>
        <w:spacing w:before="60"/>
        <w:ind w:firstLine="708"/>
        <w:jc w:val="both"/>
        <w:rPr>
          <w:rFonts w:ascii="Calibri" w:eastAsia="SimSun" w:hAnsi="Calibri" w:cs="Mangal"/>
          <w:kern w:val="2"/>
          <w:sz w:val="22"/>
          <w:szCs w:val="22"/>
        </w:rPr>
      </w:pPr>
      <w:r>
        <w:rPr>
          <w:rFonts w:ascii="Calibri" w:hAnsi="Calibri"/>
        </w:rPr>
        <w:t>Through Government Decision no. 389/2015 on the National Strategy of social reintegration of prisoners for 2015-2019 it was created at national level the inter-institutional action mechanism necessary for the social actors with a role in the successive stages of the social reintegration process. In this mechanism, the penitentiary service has an essential role in the preparation for the post-detention period and social reintegration of the prisoners.</w:t>
      </w:r>
    </w:p>
    <w:p w:rsidR="00DB7106" w:rsidRPr="00DB7106" w:rsidRDefault="00DB7106" w:rsidP="00DB7106">
      <w:pPr>
        <w:widowControl w:val="0"/>
        <w:suppressAutoHyphens/>
        <w:spacing w:before="60"/>
        <w:ind w:firstLine="708"/>
        <w:jc w:val="both"/>
        <w:rPr>
          <w:rFonts w:ascii="Calibri" w:eastAsia="SimSun" w:hAnsi="Calibri" w:cs="Mangal"/>
          <w:kern w:val="2"/>
        </w:rPr>
      </w:pPr>
      <w:r>
        <w:rPr>
          <w:rFonts w:ascii="Calibri" w:hAnsi="Calibri"/>
        </w:rPr>
        <w:t>For the purpose of materializing this objective, it is necessary to correlate the needs of the prisoners</w:t>
      </w:r>
    </w:p>
    <w:p w:rsidR="00DB7106" w:rsidRPr="00DB7106" w:rsidRDefault="00DB7106" w:rsidP="00DB7106">
      <w:pPr>
        <w:widowControl w:val="0"/>
        <w:suppressAutoHyphens/>
        <w:spacing w:before="60"/>
        <w:ind w:firstLine="708"/>
        <w:jc w:val="both"/>
        <w:rPr>
          <w:rFonts w:ascii="Calibri" w:eastAsia="SimSun" w:hAnsi="Calibri" w:cs="Mangal"/>
          <w:kern w:val="2"/>
        </w:rPr>
      </w:pPr>
      <w:r>
        <w:rPr>
          <w:rFonts w:ascii="Calibri" w:hAnsi="Calibri"/>
        </w:rPr>
        <w:t>with the actions of recovery corresponding to the educational, psychological and social fields.</w:t>
      </w:r>
    </w:p>
    <w:p w:rsidR="00DB7106" w:rsidRPr="00DB7106" w:rsidRDefault="00DB7106" w:rsidP="00DB7106">
      <w:pPr>
        <w:widowControl w:val="0"/>
        <w:suppressAutoHyphens/>
        <w:spacing w:before="60"/>
        <w:ind w:firstLine="708"/>
        <w:jc w:val="both"/>
        <w:rPr>
          <w:rFonts w:ascii="Calibri" w:eastAsia="SimSun" w:hAnsi="Calibri" w:cs="Mangal"/>
          <w:kern w:val="2"/>
        </w:rPr>
      </w:pPr>
      <w:r>
        <w:rPr>
          <w:rFonts w:ascii="Calibri" w:hAnsi="Calibri"/>
        </w:rPr>
        <w:t xml:space="preserve">In this respect, one of the priorities of the penitentiary system consists of developing and adapting intervention methodologies and instruments to the dynamic specificity of the prison population, in the context of individualized planning of custodial sentences and assurance of the progressive execution regime, which must allow access to the possibility of conditional release.        </w:t>
      </w:r>
    </w:p>
    <w:p w:rsidR="00DB7106" w:rsidRPr="00DB7106" w:rsidRDefault="00DB7106" w:rsidP="00DB7106">
      <w:pPr>
        <w:widowControl w:val="0"/>
        <w:suppressAutoHyphens/>
        <w:spacing w:before="60"/>
        <w:ind w:firstLine="708"/>
        <w:jc w:val="both"/>
        <w:rPr>
          <w:rFonts w:ascii="Calibri" w:eastAsia="SimSun" w:hAnsi="Calibri" w:cs="Mangal"/>
          <w:kern w:val="2"/>
        </w:rPr>
      </w:pPr>
      <w:r>
        <w:rPr>
          <w:rFonts w:ascii="Calibri" w:hAnsi="Calibri"/>
        </w:rPr>
        <w:t xml:space="preserve">The specific actions related to education, psychological assistance and social assistance are dedicated to preparing the detainees for social and professional reintegration, supporting them after being in prison being absolutely necessary in order to reduce the rate of repeat offences. </w:t>
      </w:r>
    </w:p>
    <w:p w:rsidR="00DB7106" w:rsidRPr="00DB7106" w:rsidRDefault="00DB7106" w:rsidP="00DB7106">
      <w:pPr>
        <w:widowControl w:val="0"/>
        <w:suppressAutoHyphens/>
        <w:spacing w:before="60"/>
        <w:ind w:firstLine="708"/>
        <w:jc w:val="both"/>
        <w:rPr>
          <w:rFonts w:ascii="Calibri" w:eastAsia="SimSun" w:hAnsi="Calibri" w:cs="Mangal"/>
          <w:kern w:val="2"/>
          <w:lang w:val="ro-RO" w:eastAsia="zh-CN" w:bidi="hi-IN"/>
        </w:rPr>
      </w:pPr>
    </w:p>
    <w:p w:rsidR="00DB7106" w:rsidRPr="00DB7106" w:rsidRDefault="00DB7106" w:rsidP="00DB7106">
      <w:pPr>
        <w:widowControl w:val="0"/>
        <w:suppressAutoHyphens/>
        <w:spacing w:before="60"/>
        <w:ind w:firstLine="708"/>
        <w:jc w:val="both"/>
        <w:rPr>
          <w:rFonts w:ascii="Calibri" w:eastAsia="SimSun" w:hAnsi="Calibri" w:cs="Mangal"/>
          <w:kern w:val="2"/>
        </w:rPr>
      </w:pPr>
      <w:r>
        <w:rPr>
          <w:rFonts w:ascii="Calibri" w:hAnsi="Calibri"/>
        </w:rPr>
        <w:t xml:space="preserve">The application of the </w:t>
      </w:r>
      <w:r>
        <w:rPr>
          <w:rFonts w:ascii="Calibri" w:hAnsi="Calibri"/>
          <w:i/>
        </w:rPr>
        <w:t>Social reintegration strategy for detainees</w:t>
      </w:r>
      <w:r>
        <w:rPr>
          <w:rFonts w:ascii="Calibri" w:hAnsi="Calibri"/>
        </w:rPr>
        <w:t xml:space="preserve"> is among the measures included in the Government program, included in the Justice chapter. </w:t>
      </w:r>
    </w:p>
    <w:p w:rsidR="00DB7106" w:rsidRPr="00DB7106" w:rsidRDefault="00DB7106" w:rsidP="00DB7106">
      <w:pPr>
        <w:widowControl w:val="0"/>
        <w:suppressAutoHyphens/>
        <w:spacing w:before="60"/>
        <w:ind w:firstLine="708"/>
        <w:jc w:val="both"/>
        <w:rPr>
          <w:rFonts w:ascii="Calibri" w:eastAsia="SimSun" w:hAnsi="Calibri" w:cs="Mangal"/>
          <w:kern w:val="2"/>
        </w:rPr>
      </w:pPr>
      <w:r>
        <w:rPr>
          <w:rFonts w:ascii="Calibri" w:hAnsi="Calibri"/>
        </w:rPr>
        <w:t xml:space="preserve">For the following years are considered the continuance of the standardization process of the social reintegration field, the revision of the offer of programs and activities, the consolidation of their implementation, the update of the methodologies and procedures, in order to make more efficient the assistance given to detainees, in every detention unit from the penitentiary system.           </w:t>
      </w:r>
    </w:p>
    <w:p w:rsidR="00DB7106" w:rsidRPr="00DB7106" w:rsidRDefault="00DB7106" w:rsidP="00DB7106">
      <w:pPr>
        <w:widowControl w:val="0"/>
        <w:suppressAutoHyphens/>
        <w:spacing w:before="60"/>
        <w:ind w:firstLine="708"/>
        <w:jc w:val="both"/>
        <w:rPr>
          <w:rFonts w:ascii="Calibri" w:eastAsia="SimSun" w:hAnsi="Calibri" w:cs="Mangal"/>
          <w:kern w:val="2"/>
          <w:lang w:val="ro-RO" w:eastAsia="zh-CN" w:bidi="hi-IN"/>
        </w:rPr>
      </w:pPr>
    </w:p>
    <w:p w:rsidR="00DB7106" w:rsidRPr="00DB7106" w:rsidRDefault="00DB7106" w:rsidP="00DB7106">
      <w:pPr>
        <w:widowControl w:val="0"/>
        <w:suppressAutoHyphens/>
        <w:spacing w:before="60"/>
        <w:ind w:firstLine="708"/>
        <w:jc w:val="both"/>
        <w:rPr>
          <w:rFonts w:ascii="Calibri" w:eastAsia="SimSun" w:hAnsi="Calibri" w:cs="Mangal"/>
          <w:b/>
          <w:kern w:val="2"/>
        </w:rPr>
      </w:pPr>
      <w:r>
        <w:rPr>
          <w:rFonts w:ascii="Calibri" w:hAnsi="Calibri"/>
          <w:b/>
        </w:rPr>
        <w:t xml:space="preserve">4. </w:t>
      </w:r>
      <w:r>
        <w:rPr>
          <w:rFonts w:ascii="Calibri" w:hAnsi="Calibri"/>
          <w:b/>
        </w:rPr>
        <w:tab/>
        <w:t xml:space="preserve">Development of the probation system </w:t>
      </w:r>
    </w:p>
    <w:p w:rsidR="00DB7106" w:rsidRPr="00DB7106" w:rsidRDefault="00DB7106" w:rsidP="00DB7106">
      <w:pPr>
        <w:widowControl w:val="0"/>
        <w:suppressAutoHyphens/>
        <w:spacing w:before="60"/>
        <w:ind w:firstLine="708"/>
        <w:jc w:val="both"/>
        <w:rPr>
          <w:rFonts w:ascii="Calibri" w:eastAsia="SimSun" w:hAnsi="Calibri" w:cs="Mangal"/>
          <w:kern w:val="2"/>
        </w:rPr>
      </w:pPr>
      <w:r>
        <w:rPr>
          <w:rFonts w:ascii="Calibri" w:hAnsi="Calibri"/>
        </w:rPr>
        <w:t xml:space="preserve">Extending the role of probation services in the criminal execution sphere imposes the continuance in the following years of the process of consolidation of the probation system, of the work mechanisms in the probation system in order to apply the provisions of the legislative framework in the field of sanctions and non-custodial measures, as well as of all processes corresponding to the assurance of the infrastructure, human and financial resources necessary for the probation services’ activity.  </w:t>
      </w:r>
    </w:p>
    <w:p w:rsidR="00DB7106" w:rsidRPr="00DB7106" w:rsidRDefault="00DB7106" w:rsidP="00DB7106">
      <w:pPr>
        <w:widowControl w:val="0"/>
        <w:suppressAutoHyphens/>
        <w:spacing w:before="60"/>
        <w:ind w:firstLine="708"/>
        <w:jc w:val="both"/>
        <w:rPr>
          <w:rFonts w:ascii="Calibri" w:eastAsia="SimSun" w:hAnsi="Calibri" w:cs="Mangal"/>
          <w:kern w:val="2"/>
        </w:rPr>
      </w:pPr>
      <w:r>
        <w:rPr>
          <w:rFonts w:ascii="Calibri" w:hAnsi="Calibri"/>
        </w:rPr>
        <w:t xml:space="preserve">These processes are subordinated to the objectives and measures comprised in the </w:t>
      </w:r>
      <w:r>
        <w:rPr>
          <w:rFonts w:ascii="Calibri" w:hAnsi="Calibri"/>
          <w:i/>
        </w:rPr>
        <w:t xml:space="preserve">Government Program for 2017 – 2020 </w:t>
      </w:r>
      <w:r>
        <w:rPr>
          <w:rFonts w:ascii="Calibri" w:hAnsi="Calibri"/>
        </w:rPr>
        <w:t xml:space="preserve">as well as in the </w:t>
      </w:r>
      <w:r>
        <w:rPr>
          <w:rFonts w:ascii="Calibri" w:hAnsi="Calibri"/>
          <w:i/>
        </w:rPr>
        <w:t>Action plan for implementation of the Development strategy for the judicial system for 2015 – 2020</w:t>
      </w:r>
      <w:r>
        <w:rPr>
          <w:rFonts w:ascii="Calibri" w:hAnsi="Calibri"/>
        </w:rPr>
        <w:t xml:space="preserve">, which refers to the consolidation of the probation system as a form of reduction of the population from the penitentiaries (Measure 23 in the Justice chapter), the revision of the Statutes of probation counselors, as well as of the National strategy in this field (Measure 25 in the Justice chapter). In the Schedule of measures for 2018-2024 for the settlement of the over-crowding in prisons and of detention conditions, in the enforcement of the pilot judgment in case Rezmives and others against Romania, approved through memorandum of the Government of Romania, were included a series of actions which are in close correlation with the aforementioned strategic documents.              </w:t>
      </w:r>
    </w:p>
    <w:p w:rsidR="00DB7106" w:rsidRPr="00DB7106" w:rsidRDefault="00DB7106" w:rsidP="00DB7106">
      <w:pPr>
        <w:widowControl w:val="0"/>
        <w:suppressAutoHyphens/>
        <w:spacing w:before="60"/>
        <w:ind w:firstLine="708"/>
        <w:jc w:val="both"/>
        <w:rPr>
          <w:rFonts w:ascii="Calibri" w:eastAsia="SimSun" w:hAnsi="Calibri" w:cs="Mangal"/>
          <w:i/>
          <w:kern w:val="2"/>
        </w:rPr>
      </w:pPr>
      <w:r>
        <w:rPr>
          <w:rFonts w:ascii="Calibri" w:hAnsi="Calibri"/>
          <w:i/>
        </w:rPr>
        <w:t xml:space="preserve">Objectives at </w:t>
      </w:r>
      <w:r>
        <w:rPr>
          <w:rFonts w:ascii="Calibri" w:hAnsi="Calibri"/>
          <w:b/>
          <w:i/>
        </w:rPr>
        <w:t>legislative</w:t>
      </w:r>
      <w:r>
        <w:rPr>
          <w:rFonts w:ascii="Calibri" w:hAnsi="Calibri"/>
          <w:i/>
        </w:rPr>
        <w:t xml:space="preserve"> level:</w:t>
      </w:r>
    </w:p>
    <w:p w:rsidR="00DB7106" w:rsidRPr="00DB7106" w:rsidRDefault="00DB7106" w:rsidP="00DB7106">
      <w:pPr>
        <w:widowControl w:val="0"/>
        <w:suppressAutoHyphens/>
        <w:spacing w:before="60"/>
        <w:ind w:firstLine="708"/>
        <w:jc w:val="both"/>
        <w:rPr>
          <w:rFonts w:ascii="Calibri" w:eastAsia="SimSun" w:hAnsi="Calibri" w:cs="Mangal"/>
          <w:i/>
          <w:kern w:val="2"/>
        </w:rPr>
      </w:pPr>
      <w:r>
        <w:rPr>
          <w:rFonts w:ascii="Calibri" w:hAnsi="Calibri"/>
        </w:rPr>
        <w:t xml:space="preserve">- Promoting the statutes of probation personnel, in application of the provisions of art. 121 para. </w:t>
      </w:r>
    </w:p>
    <w:p w:rsidR="00DB7106" w:rsidRPr="00DB7106" w:rsidRDefault="00DB7106" w:rsidP="00DB7106">
      <w:pPr>
        <w:widowControl w:val="0"/>
        <w:suppressAutoHyphens/>
        <w:spacing w:before="60"/>
        <w:ind w:firstLine="708"/>
        <w:jc w:val="both"/>
        <w:rPr>
          <w:rFonts w:ascii="Calibri" w:eastAsia="SimSun" w:hAnsi="Calibri" w:cs="Mangal"/>
          <w:kern w:val="2"/>
        </w:rPr>
      </w:pPr>
      <w:r>
        <w:rPr>
          <w:rFonts w:ascii="Calibri" w:hAnsi="Calibri"/>
        </w:rPr>
        <w:t>(1) in Law no. 252/2013 on the organization and operation of the probation system, as subsequently amended and supplemented. Adopting the new statutes of the probation personnel is an essential and urgent stage in ensuring sustainability for the reorganization process of the probation system;</w:t>
      </w:r>
    </w:p>
    <w:p w:rsidR="00DB7106" w:rsidRPr="00DB7106" w:rsidRDefault="00DB7106" w:rsidP="00DB7106">
      <w:pPr>
        <w:widowControl w:val="0"/>
        <w:suppressAutoHyphens/>
        <w:spacing w:before="60"/>
        <w:ind w:firstLine="708"/>
        <w:jc w:val="both"/>
        <w:rPr>
          <w:rFonts w:ascii="Calibri" w:eastAsia="SimSun" w:hAnsi="Calibri" w:cs="Mangal"/>
          <w:kern w:val="2"/>
        </w:rPr>
      </w:pPr>
      <w:r>
        <w:rPr>
          <w:rFonts w:ascii="Calibri" w:hAnsi="Calibri"/>
        </w:rPr>
        <w:t>- Approval through Government decision of the minimum work standards for probation for the institutions in the Community;</w:t>
      </w:r>
    </w:p>
    <w:p w:rsidR="00DB7106" w:rsidRPr="00DB7106" w:rsidRDefault="00DB7106" w:rsidP="00DB7106">
      <w:pPr>
        <w:widowControl w:val="0"/>
        <w:numPr>
          <w:ilvl w:val="0"/>
          <w:numId w:val="42"/>
        </w:numPr>
        <w:suppressAutoHyphens/>
        <w:spacing w:before="60"/>
        <w:ind w:left="0" w:firstLine="708"/>
        <w:contextualSpacing/>
        <w:jc w:val="both"/>
        <w:rPr>
          <w:rFonts w:asciiTheme="minorHAnsi" w:eastAsiaTheme="minorHAnsi" w:hAnsiTheme="minorHAnsi" w:cstheme="minorBidi"/>
        </w:rPr>
      </w:pPr>
      <w:r>
        <w:rPr>
          <w:rFonts w:asciiTheme="minorHAnsi" w:hAnsiTheme="minorHAnsi"/>
          <w:bCs/>
        </w:rPr>
        <w:t>Approving through Government decision the National Strategy of Rehabilitation of People who were subject to Community sanctions and measures, applied in the probation system;</w:t>
      </w:r>
    </w:p>
    <w:p w:rsidR="00DB7106" w:rsidRPr="00DB7106" w:rsidRDefault="00DB7106" w:rsidP="00DB7106">
      <w:pPr>
        <w:widowControl w:val="0"/>
        <w:numPr>
          <w:ilvl w:val="0"/>
          <w:numId w:val="42"/>
        </w:numPr>
        <w:suppressAutoHyphens/>
        <w:spacing w:before="60"/>
        <w:ind w:left="0" w:firstLine="708"/>
        <w:contextualSpacing/>
        <w:jc w:val="both"/>
        <w:rPr>
          <w:rFonts w:asciiTheme="minorHAnsi" w:eastAsiaTheme="minorHAnsi" w:hAnsiTheme="minorHAnsi" w:cstheme="minorBidi"/>
        </w:rPr>
      </w:pPr>
      <w:r>
        <w:rPr>
          <w:rFonts w:asciiTheme="minorHAnsi" w:hAnsiTheme="minorHAnsi"/>
          <w:bCs/>
        </w:rPr>
        <w:t xml:space="preserve">Approval through Government decision of the Development Strategy of the Probation System for 2018-2020. </w:t>
      </w:r>
    </w:p>
    <w:p w:rsidR="00DB7106" w:rsidRDefault="00DB7106" w:rsidP="00DB7106">
      <w:pPr>
        <w:spacing w:before="60"/>
        <w:ind w:firstLine="708"/>
        <w:contextualSpacing/>
        <w:jc w:val="both"/>
        <w:rPr>
          <w:rFonts w:asciiTheme="minorHAnsi" w:eastAsiaTheme="minorHAnsi" w:hAnsiTheme="minorHAnsi" w:cstheme="minorBidi"/>
          <w:bCs/>
          <w:lang w:val="ro-RO"/>
        </w:rPr>
      </w:pPr>
    </w:p>
    <w:p w:rsidR="00AA62AF" w:rsidRPr="00DB7106" w:rsidRDefault="00AA62AF" w:rsidP="00DB7106">
      <w:pPr>
        <w:spacing w:before="60"/>
        <w:ind w:firstLine="708"/>
        <w:contextualSpacing/>
        <w:jc w:val="both"/>
        <w:rPr>
          <w:rFonts w:asciiTheme="minorHAnsi" w:eastAsiaTheme="minorHAnsi" w:hAnsiTheme="minorHAnsi" w:cstheme="minorBidi"/>
          <w:bCs/>
          <w:lang w:val="ro-RO"/>
        </w:rPr>
      </w:pPr>
    </w:p>
    <w:p w:rsidR="00DB7106" w:rsidRPr="00DB7106" w:rsidRDefault="00DB7106" w:rsidP="00DB7106">
      <w:pPr>
        <w:spacing w:before="60"/>
        <w:ind w:firstLine="708"/>
        <w:contextualSpacing/>
        <w:jc w:val="both"/>
        <w:rPr>
          <w:rFonts w:asciiTheme="minorHAnsi" w:eastAsiaTheme="minorHAnsi" w:hAnsiTheme="minorHAnsi" w:cstheme="minorBidi"/>
        </w:rPr>
      </w:pPr>
      <w:r>
        <w:rPr>
          <w:rFonts w:ascii="Calibri" w:hAnsi="Calibri"/>
          <w:i/>
        </w:rPr>
        <w:t xml:space="preserve">Objectives which refer to </w:t>
      </w:r>
      <w:r>
        <w:rPr>
          <w:rFonts w:ascii="Calibri" w:hAnsi="Calibri"/>
          <w:b/>
          <w:i/>
        </w:rPr>
        <w:t>human resources and infrastructure</w:t>
      </w:r>
      <w:r>
        <w:rPr>
          <w:rFonts w:ascii="Calibri" w:hAnsi="Calibri"/>
          <w:i/>
        </w:rPr>
        <w:t>:</w:t>
      </w:r>
    </w:p>
    <w:p w:rsidR="00DB7106" w:rsidRPr="00DB7106" w:rsidRDefault="00DB7106" w:rsidP="00DB7106">
      <w:pPr>
        <w:spacing w:before="60"/>
        <w:ind w:firstLine="708"/>
        <w:contextualSpacing/>
        <w:jc w:val="both"/>
        <w:rPr>
          <w:rFonts w:asciiTheme="minorHAnsi" w:eastAsiaTheme="minorHAnsi" w:hAnsiTheme="minorHAnsi" w:cstheme="minorBidi"/>
          <w:bCs/>
        </w:rPr>
      </w:pPr>
      <w:r>
        <w:t>- Organizing contests for occupation of the vacancies of probation personnel, in stages, in order to ensure the normal performance of the process of enforcement of sanctions and non-custodial measures ordered by the courts of law in criminal cases;</w:t>
      </w:r>
    </w:p>
    <w:p w:rsidR="00DB7106" w:rsidRPr="00DB7106" w:rsidRDefault="00DB7106" w:rsidP="00DB7106">
      <w:pPr>
        <w:spacing w:before="60"/>
        <w:ind w:firstLine="708"/>
        <w:contextualSpacing/>
        <w:jc w:val="both"/>
        <w:rPr>
          <w:rFonts w:asciiTheme="minorHAnsi" w:eastAsiaTheme="minorHAnsi" w:hAnsiTheme="minorHAnsi" w:cstheme="minorBidi"/>
          <w:bCs/>
        </w:rPr>
      </w:pPr>
      <w:r>
        <w:t>- Ensuring the working conditions for the employed personnel, identifying spaces to be used as seats of the probation services, including through lease, purchase of IT equipment and furniture from the funds from the State budget, as well as from external non-reimbursable funds.</w:t>
      </w:r>
      <w:r>
        <w:rPr>
          <w:rFonts w:asciiTheme="minorHAnsi" w:hAnsiTheme="minorHAnsi"/>
          <w:bCs/>
        </w:rPr>
        <w:t xml:space="preserve"> </w:t>
      </w:r>
    </w:p>
    <w:p w:rsidR="00DB7106" w:rsidRPr="00DB7106" w:rsidRDefault="00DB7106" w:rsidP="00DB7106">
      <w:pPr>
        <w:spacing w:before="60"/>
        <w:ind w:firstLine="708"/>
        <w:contextualSpacing/>
        <w:jc w:val="both"/>
        <w:rPr>
          <w:rFonts w:asciiTheme="minorHAnsi" w:eastAsiaTheme="minorHAnsi" w:hAnsiTheme="minorHAnsi" w:cstheme="minorBidi"/>
          <w:bCs/>
          <w:lang w:val="ro-RO"/>
        </w:rPr>
      </w:pPr>
    </w:p>
    <w:p w:rsidR="00DB7106" w:rsidRPr="00DB7106" w:rsidRDefault="00DB7106" w:rsidP="00DB7106">
      <w:pPr>
        <w:spacing w:before="60"/>
        <w:ind w:firstLine="708"/>
        <w:contextualSpacing/>
        <w:jc w:val="both"/>
        <w:rPr>
          <w:rFonts w:asciiTheme="minorHAnsi" w:eastAsiaTheme="minorHAnsi" w:hAnsiTheme="minorHAnsi" w:cstheme="minorBidi"/>
          <w:bCs/>
        </w:rPr>
      </w:pPr>
      <w:r>
        <w:rPr>
          <w:rFonts w:asciiTheme="minorHAnsi" w:hAnsiTheme="minorHAnsi"/>
          <w:bCs/>
        </w:rPr>
        <w:t xml:space="preserve">5.  </w:t>
      </w:r>
      <w:r>
        <w:rPr>
          <w:rFonts w:ascii="Calibri" w:hAnsi="Calibri"/>
          <w:b/>
        </w:rPr>
        <w:t>Consolidating the administrative capacity of the other subordinated institutions</w:t>
      </w:r>
    </w:p>
    <w:p w:rsidR="00DB7106" w:rsidRPr="00DB7106" w:rsidRDefault="00DB7106" w:rsidP="00DB7106">
      <w:pPr>
        <w:widowControl w:val="0"/>
        <w:suppressAutoHyphens/>
        <w:spacing w:before="60"/>
        <w:ind w:firstLine="708"/>
        <w:jc w:val="both"/>
        <w:rPr>
          <w:rFonts w:ascii="Calibri" w:eastAsia="SimSun" w:hAnsi="Calibri" w:cs="Mangal"/>
          <w:kern w:val="2"/>
          <w:u w:val="single"/>
        </w:rPr>
      </w:pPr>
      <w:r>
        <w:rPr>
          <w:rFonts w:ascii="Calibri" w:hAnsi="Calibri"/>
          <w:u w:val="single"/>
        </w:rPr>
        <w:t>National Institute of Criminology</w:t>
      </w:r>
    </w:p>
    <w:p w:rsidR="00DB7106" w:rsidRPr="00DB7106" w:rsidRDefault="00DB7106" w:rsidP="00DB7106">
      <w:pPr>
        <w:spacing w:after="160"/>
        <w:ind w:firstLine="708"/>
        <w:contextualSpacing/>
        <w:jc w:val="both"/>
        <w:rPr>
          <w:rFonts w:asciiTheme="minorHAnsi" w:eastAsiaTheme="minorHAnsi" w:hAnsiTheme="minorHAnsi" w:cstheme="minorBidi"/>
        </w:rPr>
      </w:pPr>
      <w:r>
        <w:rPr>
          <w:rFonts w:asciiTheme="minorHAnsi" w:hAnsiTheme="minorHAnsi"/>
          <w:bCs/>
        </w:rPr>
        <w:t xml:space="preserve">The National Institute of Criminology was reestablished through G.D. No. 14/2017 of January 12, 2017, as a specialty body subordinated to the Ministry of Justice, with the purpose of ensuring the prevention and control of criminality. </w:t>
      </w:r>
    </w:p>
    <w:p w:rsidR="00DB7106" w:rsidRPr="00DB7106" w:rsidRDefault="00DB7106" w:rsidP="00DB7106">
      <w:pPr>
        <w:spacing w:after="160"/>
        <w:ind w:firstLine="708"/>
        <w:contextualSpacing/>
        <w:jc w:val="both"/>
        <w:rPr>
          <w:rFonts w:asciiTheme="minorHAnsi" w:eastAsiaTheme="minorHAnsi" w:hAnsiTheme="minorHAnsi" w:cstheme="minorBidi"/>
          <w:bCs/>
        </w:rPr>
      </w:pPr>
      <w:r>
        <w:rPr>
          <w:rFonts w:asciiTheme="minorHAnsi" w:hAnsiTheme="minorHAnsi"/>
          <w:bCs/>
        </w:rPr>
        <w:t xml:space="preserve">The general objective for 2019-2021 is to fully operationalize this institution in order to fulfill an efficient role in researching the criminality phenomenon. </w:t>
      </w:r>
    </w:p>
    <w:p w:rsidR="00DB7106" w:rsidRPr="00DB7106" w:rsidRDefault="00DB7106" w:rsidP="00DB7106">
      <w:pPr>
        <w:spacing w:after="160"/>
        <w:ind w:firstLine="708"/>
        <w:contextualSpacing/>
        <w:jc w:val="both"/>
        <w:rPr>
          <w:rFonts w:asciiTheme="minorHAnsi" w:eastAsiaTheme="minorHAnsi" w:hAnsiTheme="minorHAnsi" w:cstheme="minorBidi"/>
          <w:bCs/>
          <w:u w:val="single"/>
        </w:rPr>
      </w:pPr>
      <w:r>
        <w:rPr>
          <w:rFonts w:asciiTheme="minorHAnsi" w:hAnsiTheme="minorHAnsi"/>
          <w:bCs/>
        </w:rPr>
        <w:tab/>
      </w:r>
      <w:r>
        <w:rPr>
          <w:rFonts w:asciiTheme="minorHAnsi" w:hAnsiTheme="minorHAnsi"/>
          <w:bCs/>
          <w:u w:val="single"/>
        </w:rPr>
        <w:t>National Trade Register Office</w:t>
      </w:r>
    </w:p>
    <w:p w:rsidR="00DB7106" w:rsidRPr="00DB7106" w:rsidRDefault="00DB7106" w:rsidP="00DB7106">
      <w:pPr>
        <w:spacing w:after="160"/>
        <w:ind w:firstLine="708"/>
        <w:contextualSpacing/>
        <w:jc w:val="both"/>
        <w:rPr>
          <w:rFonts w:asciiTheme="minorHAnsi" w:eastAsiaTheme="minorHAnsi" w:hAnsiTheme="minorHAnsi" w:cstheme="minorBidi"/>
        </w:rPr>
      </w:pPr>
      <w:r>
        <w:rPr>
          <w:rFonts w:asciiTheme="minorHAnsi" w:hAnsiTheme="minorHAnsi"/>
        </w:rPr>
        <w:t xml:space="preserve">According to the Government Program for 2018-2020 and the Action Plan of the Development Strategy of the Judicial System for 2015-2020, for the activity performed, the National Trade Register Office must fulfill the following objectives: </w:t>
      </w:r>
    </w:p>
    <w:p w:rsidR="00DB7106" w:rsidRPr="00DB7106" w:rsidRDefault="00DB7106" w:rsidP="00DB7106">
      <w:pPr>
        <w:widowControl w:val="0"/>
        <w:numPr>
          <w:ilvl w:val="0"/>
          <w:numId w:val="43"/>
        </w:numPr>
        <w:suppressAutoHyphens/>
        <w:spacing w:after="160"/>
        <w:ind w:left="0" w:firstLine="708"/>
        <w:contextualSpacing/>
        <w:jc w:val="both"/>
        <w:rPr>
          <w:rFonts w:ascii="Calibri" w:eastAsiaTheme="minorHAnsi" w:hAnsi="Calibri" w:cstheme="minorBidi"/>
          <w:bCs/>
        </w:rPr>
      </w:pPr>
      <w:r>
        <w:rPr>
          <w:rFonts w:ascii="Calibri" w:hAnsi="Calibri"/>
          <w:bCs/>
        </w:rPr>
        <w:t>Simplifying the access to the services of the Trade Register and takeover by this institution of certain procedures related to trading companies which are currently carried out by the courts of law;</w:t>
      </w:r>
    </w:p>
    <w:p w:rsidR="00DB7106" w:rsidRPr="00DB7106" w:rsidRDefault="00DB7106" w:rsidP="00DB7106">
      <w:pPr>
        <w:widowControl w:val="0"/>
        <w:numPr>
          <w:ilvl w:val="0"/>
          <w:numId w:val="43"/>
        </w:numPr>
        <w:suppressAutoHyphens/>
        <w:spacing w:after="160"/>
        <w:ind w:left="0" w:firstLine="708"/>
        <w:contextualSpacing/>
        <w:jc w:val="both"/>
        <w:rPr>
          <w:rFonts w:ascii="Calibri" w:eastAsiaTheme="minorHAnsi" w:hAnsi="Calibri" w:cstheme="minorBidi"/>
          <w:bCs/>
        </w:rPr>
      </w:pPr>
      <w:r>
        <w:rPr>
          <w:rFonts w:ascii="Calibri" w:hAnsi="Calibri"/>
          <w:bCs/>
        </w:rPr>
        <w:t>Consolidating the institutional capacity of the NTRO, of the trade register system and of the integrated computer system of the NTRO through: improvement of the legislative framework which regulates the activity of registration in the trade register and the institutional development necessary for the enforcement of future legislative solutions;</w:t>
      </w:r>
    </w:p>
    <w:p w:rsidR="00DB7106" w:rsidRPr="00DB7106" w:rsidRDefault="00DB7106" w:rsidP="00DB7106">
      <w:pPr>
        <w:widowControl w:val="0"/>
        <w:numPr>
          <w:ilvl w:val="0"/>
          <w:numId w:val="43"/>
        </w:numPr>
        <w:suppressAutoHyphens/>
        <w:spacing w:after="160"/>
        <w:ind w:left="0" w:firstLine="708"/>
        <w:contextualSpacing/>
        <w:jc w:val="both"/>
        <w:rPr>
          <w:rFonts w:ascii="Calibri" w:eastAsiaTheme="minorHAnsi" w:hAnsi="Calibri" w:cstheme="minorBidi"/>
          <w:bCs/>
        </w:rPr>
      </w:pPr>
      <w:r>
        <w:rPr>
          <w:rFonts w:ascii="Calibri" w:hAnsi="Calibri"/>
          <w:bCs/>
        </w:rPr>
        <w:t>Regulating, developing and implementing the solution regarding the electronic bulletin of the trade register and the electronic archiving of the documents managed by the NTRO;</w:t>
      </w:r>
    </w:p>
    <w:p w:rsidR="00DB7106" w:rsidRPr="00DB7106" w:rsidRDefault="00DB7106" w:rsidP="00DB7106">
      <w:pPr>
        <w:widowControl w:val="0"/>
        <w:numPr>
          <w:ilvl w:val="0"/>
          <w:numId w:val="43"/>
        </w:numPr>
        <w:suppressAutoHyphens/>
        <w:spacing w:after="160"/>
        <w:ind w:left="0" w:firstLine="708"/>
        <w:contextualSpacing/>
        <w:jc w:val="both"/>
        <w:rPr>
          <w:rFonts w:ascii="Calibri" w:eastAsiaTheme="minorHAnsi" w:hAnsi="Calibri" w:cstheme="minorBidi"/>
          <w:bCs/>
        </w:rPr>
      </w:pPr>
      <w:r>
        <w:rPr>
          <w:rFonts w:ascii="Calibri" w:hAnsi="Calibri"/>
          <w:bCs/>
        </w:rPr>
        <w:t>Extending the Bulletin of Insolvency Procedures;</w:t>
      </w:r>
    </w:p>
    <w:p w:rsidR="00DB7106" w:rsidRPr="00DB7106" w:rsidRDefault="00DB7106" w:rsidP="00DB7106">
      <w:pPr>
        <w:widowControl w:val="0"/>
        <w:numPr>
          <w:ilvl w:val="0"/>
          <w:numId w:val="43"/>
        </w:numPr>
        <w:suppressAutoHyphens/>
        <w:spacing w:after="160"/>
        <w:ind w:left="0" w:firstLine="708"/>
        <w:contextualSpacing/>
        <w:jc w:val="both"/>
        <w:rPr>
          <w:rFonts w:ascii="Calibri" w:eastAsiaTheme="minorHAnsi" w:hAnsi="Calibri" w:cstheme="minorBidi"/>
          <w:bCs/>
        </w:rPr>
      </w:pPr>
      <w:r>
        <w:rPr>
          <w:rFonts w:ascii="Calibri" w:hAnsi="Calibri"/>
          <w:bCs/>
        </w:rPr>
        <w:t>Development and implementation of the solutions regarding the extension, optimization, development, and interconnection of the on-line services portal and of the integrated computer system of the NTRO with the ECRIS system for courts and prosecutor offices, the e-justice portal and other systems;</w:t>
      </w:r>
    </w:p>
    <w:p w:rsidR="00DB7106" w:rsidRPr="00DB7106" w:rsidRDefault="00DB7106" w:rsidP="00DB7106">
      <w:pPr>
        <w:widowControl w:val="0"/>
        <w:numPr>
          <w:ilvl w:val="0"/>
          <w:numId w:val="43"/>
        </w:numPr>
        <w:suppressAutoHyphens/>
        <w:spacing w:after="160"/>
        <w:ind w:left="0" w:firstLine="708"/>
        <w:contextualSpacing/>
        <w:jc w:val="both"/>
        <w:rPr>
          <w:rFonts w:ascii="Calibri" w:eastAsiaTheme="minorHAnsi" w:hAnsi="Calibri" w:cstheme="minorBidi"/>
          <w:bCs/>
        </w:rPr>
      </w:pPr>
      <w:r>
        <w:rPr>
          <w:rFonts w:ascii="Calibri" w:hAnsi="Calibri"/>
          <w:bCs/>
        </w:rPr>
        <w:t>Professional training of the staff of the NTRO;</w:t>
      </w:r>
    </w:p>
    <w:p w:rsidR="00DB7106" w:rsidRPr="00DB7106" w:rsidRDefault="00DB7106" w:rsidP="00DB7106">
      <w:pPr>
        <w:widowControl w:val="0"/>
        <w:numPr>
          <w:ilvl w:val="0"/>
          <w:numId w:val="43"/>
        </w:numPr>
        <w:suppressAutoHyphens/>
        <w:spacing w:after="160"/>
        <w:ind w:left="0" w:firstLine="708"/>
        <w:contextualSpacing/>
        <w:jc w:val="both"/>
        <w:rPr>
          <w:rFonts w:ascii="Calibri" w:eastAsiaTheme="minorHAnsi" w:hAnsi="Calibri" w:cstheme="minorBidi"/>
          <w:bCs/>
        </w:rPr>
      </w:pPr>
      <w:r>
        <w:rPr>
          <w:rFonts w:ascii="Calibri" w:hAnsi="Calibri"/>
          <w:bCs/>
        </w:rPr>
        <w:t>Elaboration and implementation of quality management solutions in the NTRO;</w:t>
      </w:r>
    </w:p>
    <w:p w:rsidR="00DB7106" w:rsidRPr="00DB7106" w:rsidRDefault="00DB7106" w:rsidP="00DB7106">
      <w:pPr>
        <w:widowControl w:val="0"/>
        <w:numPr>
          <w:ilvl w:val="0"/>
          <w:numId w:val="43"/>
        </w:numPr>
        <w:suppressAutoHyphens/>
        <w:spacing w:after="160"/>
        <w:ind w:left="0" w:firstLine="708"/>
        <w:contextualSpacing/>
        <w:jc w:val="both"/>
        <w:rPr>
          <w:rFonts w:ascii="Calibri" w:eastAsiaTheme="minorHAnsi" w:hAnsi="Calibri" w:cstheme="minorBidi"/>
          <w:bCs/>
        </w:rPr>
      </w:pPr>
      <w:r>
        <w:rPr>
          <w:rFonts w:ascii="Calibri" w:hAnsi="Calibri"/>
          <w:bCs/>
        </w:rPr>
        <w:t xml:space="preserve">Ensuring the hardware infrastructure of the NTRO. </w:t>
      </w:r>
    </w:p>
    <w:p w:rsidR="00DB7106" w:rsidRPr="00DB7106" w:rsidRDefault="00DB7106" w:rsidP="00DB7106">
      <w:pPr>
        <w:spacing w:after="160"/>
        <w:ind w:firstLine="708"/>
        <w:contextualSpacing/>
        <w:jc w:val="both"/>
        <w:rPr>
          <w:rFonts w:ascii="Calibri" w:eastAsiaTheme="minorHAnsi" w:hAnsi="Calibri" w:cstheme="minorBidi"/>
          <w:bCs/>
          <w:u w:val="single"/>
        </w:rPr>
      </w:pPr>
      <w:r>
        <w:rPr>
          <w:rFonts w:ascii="Calibri" w:hAnsi="Calibri"/>
          <w:bCs/>
          <w:u w:val="single"/>
        </w:rPr>
        <w:t>National Institute of Criminal Expertise</w:t>
      </w:r>
    </w:p>
    <w:p w:rsidR="00DB7106" w:rsidRPr="00DB7106" w:rsidRDefault="00DB7106" w:rsidP="00DB7106">
      <w:pPr>
        <w:spacing w:after="160"/>
        <w:ind w:firstLine="708"/>
        <w:contextualSpacing/>
        <w:jc w:val="both"/>
        <w:rPr>
          <w:rFonts w:ascii="Calibri" w:eastAsiaTheme="minorHAnsi" w:hAnsi="Calibri" w:cstheme="minorBidi"/>
        </w:rPr>
      </w:pPr>
      <w:r>
        <w:rPr>
          <w:rFonts w:ascii="Calibri" w:hAnsi="Calibri"/>
        </w:rPr>
        <w:t>In order to make more efficient the criminal expertise activity, the National Institute of Criminal Expertise has as general objectives in 2019-2021: to implement new specialties of criminal expertise, to continue to purchase modern equipment and programs for the institute, to maintain the ISO/CEI 17025 certification and to increase the number of criminal expertise</w:t>
      </w:r>
      <w:r w:rsidR="00F00F75">
        <w:rPr>
          <w:rFonts w:ascii="Calibri" w:hAnsi="Calibri"/>
        </w:rPr>
        <w:t xml:space="preserve"> action</w:t>
      </w:r>
      <w:r>
        <w:rPr>
          <w:rFonts w:ascii="Calibri" w:hAnsi="Calibri"/>
        </w:rPr>
        <w:t>s carried out through the use of performing equipment and to hire forensic experts;</w:t>
      </w:r>
    </w:p>
    <w:p w:rsidR="00DB7106" w:rsidRPr="00DB7106" w:rsidRDefault="00DB7106" w:rsidP="00DB7106">
      <w:pPr>
        <w:spacing w:after="160"/>
        <w:ind w:firstLine="708"/>
        <w:contextualSpacing/>
        <w:jc w:val="both"/>
        <w:rPr>
          <w:rFonts w:ascii="Calibri" w:eastAsiaTheme="minorHAnsi" w:hAnsi="Calibri" w:cstheme="minorBidi"/>
          <w:u w:val="single"/>
        </w:rPr>
      </w:pPr>
      <w:r>
        <w:rPr>
          <w:rFonts w:ascii="Calibri" w:hAnsi="Calibri"/>
          <w:u w:val="single"/>
        </w:rPr>
        <w:t>National Authority for Citizenship</w:t>
      </w:r>
    </w:p>
    <w:p w:rsidR="00DB7106" w:rsidRPr="00DB7106" w:rsidRDefault="00DB7106" w:rsidP="00DB7106">
      <w:pPr>
        <w:widowControl w:val="0"/>
        <w:numPr>
          <w:ilvl w:val="0"/>
          <w:numId w:val="43"/>
        </w:numPr>
        <w:suppressAutoHyphens/>
        <w:spacing w:after="160"/>
        <w:ind w:left="0" w:firstLine="708"/>
        <w:contextualSpacing/>
        <w:jc w:val="both"/>
        <w:rPr>
          <w:rFonts w:ascii="Calibri" w:eastAsiaTheme="minorHAnsi" w:hAnsi="Calibri" w:cstheme="minorBidi"/>
          <w:bCs/>
        </w:rPr>
      </w:pPr>
      <w:r>
        <w:rPr>
          <w:rFonts w:ascii="Calibri" w:hAnsi="Calibri"/>
          <w:bCs/>
        </w:rPr>
        <w:t xml:space="preserve">The National Authority for Citizenship has as main objectives for 2019-2021: (1) to consolidate the organizational and functional framework necessary for processing the applications for </w:t>
      </w:r>
      <w:r w:rsidR="00F00F75">
        <w:rPr>
          <w:rFonts w:ascii="Calibri" w:hAnsi="Calibri"/>
          <w:bCs/>
        </w:rPr>
        <w:t>gaining</w:t>
      </w:r>
      <w:r>
        <w:rPr>
          <w:rFonts w:ascii="Calibri" w:hAnsi="Calibri"/>
          <w:bCs/>
        </w:rPr>
        <w:t>, regaining and waiving Romanian citizenship, (2) to continue the process of organization and planning in every functional compartment of the NAC’s structure, in accordance with the duties established through the Regulation of Organization and Operation and of coordination of internal actions, including at decisional level, in order to achieve the specific objectives undertaken, (3) to ensure the involvement/participation to the elaboration, update or initiation of amendments/supplementations of the legal and inter-institutional collaboration/cooperation framework, within the limit of own competences.</w:t>
      </w:r>
    </w:p>
    <w:p w:rsidR="00DB7106" w:rsidRPr="00DB7106" w:rsidRDefault="00DB7106" w:rsidP="00DB7106">
      <w:pPr>
        <w:spacing w:after="160"/>
        <w:ind w:firstLine="708"/>
        <w:contextualSpacing/>
        <w:jc w:val="both"/>
        <w:rPr>
          <w:rFonts w:ascii="Calibri" w:eastAsiaTheme="minorHAnsi" w:hAnsi="Calibri" w:cstheme="minorBidi"/>
          <w:bCs/>
          <w:u w:val="single"/>
        </w:rPr>
      </w:pPr>
      <w:r>
        <w:rPr>
          <w:rFonts w:ascii="Calibri" w:hAnsi="Calibri"/>
          <w:bCs/>
          <w:u w:val="single"/>
        </w:rPr>
        <w:t>Agency of Administration of Seized Assets</w:t>
      </w:r>
    </w:p>
    <w:p w:rsidR="00DB7106" w:rsidRPr="00DB7106" w:rsidRDefault="00DB7106" w:rsidP="00DB7106">
      <w:pPr>
        <w:spacing w:after="160"/>
        <w:ind w:firstLine="708"/>
        <w:contextualSpacing/>
        <w:jc w:val="both"/>
        <w:rPr>
          <w:rFonts w:asciiTheme="minorHAnsi" w:eastAsiaTheme="minorHAnsi" w:hAnsiTheme="minorHAnsi" w:cstheme="minorBidi"/>
          <w:bCs/>
        </w:rPr>
      </w:pPr>
      <w:r>
        <w:rPr>
          <w:rFonts w:asciiTheme="minorHAnsi" w:hAnsiTheme="minorHAnsi"/>
          <w:bCs/>
        </w:rPr>
        <w:t xml:space="preserve">Through the incorporation of the National Agency of Administration of Seized Assets (ANABI), Romania has an integrated approach on the recovery of assets originating in crimes, combining the support functions for the criminal prosecution bodies and courts of law with those of international cooperation, of effective management of seized assets and of social reuse of seized assets and values. </w:t>
      </w:r>
    </w:p>
    <w:p w:rsidR="00DB7106" w:rsidRPr="00DB7106" w:rsidRDefault="00DB7106" w:rsidP="00DB7106">
      <w:pPr>
        <w:spacing w:after="160"/>
        <w:ind w:firstLine="708"/>
        <w:contextualSpacing/>
        <w:jc w:val="both"/>
        <w:rPr>
          <w:rFonts w:asciiTheme="minorHAnsi" w:eastAsiaTheme="minorHAnsi" w:hAnsiTheme="minorHAnsi" w:cstheme="minorBidi"/>
          <w:bCs/>
        </w:rPr>
      </w:pPr>
      <w:r>
        <w:rPr>
          <w:rFonts w:asciiTheme="minorHAnsi" w:hAnsiTheme="minorHAnsi"/>
          <w:bCs/>
        </w:rPr>
        <w:t xml:space="preserve">The final purpose of ANABI is to ensure an increase of the rate of enforcement of seizure orders in criminal cases, through efficient administration of seized assets which are distributed to the Agency by prosecutors and judges. At the same time, the revenues brought to the State budget will increase, as well as those which ensure compensation for crime victims, including the State, when the State brought a civil action in criminal proceedings. </w:t>
      </w:r>
    </w:p>
    <w:p w:rsidR="00DB7106" w:rsidRPr="00DB7106" w:rsidRDefault="00DB7106" w:rsidP="00DB7106">
      <w:pPr>
        <w:spacing w:after="160"/>
        <w:ind w:firstLine="708"/>
        <w:contextualSpacing/>
        <w:jc w:val="both"/>
        <w:rPr>
          <w:rFonts w:asciiTheme="minorHAnsi" w:eastAsiaTheme="minorHAnsi" w:hAnsiTheme="minorHAnsi" w:cstheme="minorBidi"/>
          <w:bCs/>
        </w:rPr>
      </w:pPr>
      <w:r>
        <w:rPr>
          <w:rFonts w:asciiTheme="minorHAnsi" w:hAnsiTheme="minorHAnsi"/>
          <w:bCs/>
        </w:rPr>
        <w:t>During the forecasted period, budget resources will be allocated to reach the following objectives and projects with priority:</w:t>
      </w:r>
    </w:p>
    <w:p w:rsidR="00DB7106" w:rsidRPr="00DB7106" w:rsidRDefault="00DB7106" w:rsidP="00DB7106">
      <w:pPr>
        <w:widowControl w:val="0"/>
        <w:numPr>
          <w:ilvl w:val="0"/>
          <w:numId w:val="44"/>
        </w:numPr>
        <w:suppressAutoHyphens/>
        <w:spacing w:after="160"/>
        <w:ind w:left="0" w:firstLine="708"/>
        <w:contextualSpacing/>
        <w:jc w:val="both"/>
        <w:rPr>
          <w:rFonts w:asciiTheme="minorHAnsi" w:eastAsiaTheme="minorHAnsi" w:hAnsiTheme="minorHAnsi" w:cstheme="minorBidi"/>
          <w:bCs/>
        </w:rPr>
      </w:pPr>
      <w:r>
        <w:rPr>
          <w:rFonts w:asciiTheme="minorHAnsi" w:hAnsiTheme="minorHAnsi"/>
          <w:bCs/>
        </w:rPr>
        <w:t>Completion of the process of operationalization under the Ministry of Justice of the National Agency for Administration of Seized Assets (ANABI) and consolidation thereof;</w:t>
      </w:r>
    </w:p>
    <w:p w:rsidR="00DB7106" w:rsidRPr="00DB7106" w:rsidRDefault="00DB7106" w:rsidP="00DB7106">
      <w:pPr>
        <w:widowControl w:val="0"/>
        <w:numPr>
          <w:ilvl w:val="0"/>
          <w:numId w:val="44"/>
        </w:numPr>
        <w:suppressAutoHyphens/>
        <w:spacing w:after="160"/>
        <w:ind w:left="0" w:firstLine="708"/>
        <w:contextualSpacing/>
        <w:jc w:val="both"/>
        <w:rPr>
          <w:rFonts w:asciiTheme="minorHAnsi" w:eastAsiaTheme="minorHAnsi" w:hAnsiTheme="minorHAnsi" w:cstheme="minorBidi"/>
          <w:bCs/>
        </w:rPr>
      </w:pPr>
      <w:r>
        <w:rPr>
          <w:rFonts w:asciiTheme="minorHAnsi" w:hAnsiTheme="minorHAnsi"/>
          <w:bCs/>
        </w:rPr>
        <w:t>Increasing the degree of recovery of crime products on the basis of the best practices from other EU Member States and consolidating judicial practice;</w:t>
      </w:r>
    </w:p>
    <w:p w:rsidR="00DB7106" w:rsidRPr="00DB7106" w:rsidRDefault="00DB7106" w:rsidP="00DB7106">
      <w:pPr>
        <w:widowControl w:val="0"/>
        <w:numPr>
          <w:ilvl w:val="0"/>
          <w:numId w:val="44"/>
        </w:numPr>
        <w:suppressAutoHyphens/>
        <w:spacing w:after="160"/>
        <w:ind w:left="0" w:firstLine="708"/>
        <w:contextualSpacing/>
        <w:jc w:val="both"/>
        <w:rPr>
          <w:rFonts w:asciiTheme="minorHAnsi" w:eastAsiaTheme="minorHAnsi" w:hAnsiTheme="minorHAnsi" w:cstheme="minorBidi"/>
          <w:bCs/>
        </w:rPr>
      </w:pPr>
      <w:r>
        <w:rPr>
          <w:rFonts w:asciiTheme="minorHAnsi" w:hAnsiTheme="minorHAnsi"/>
          <w:bCs/>
        </w:rPr>
        <w:t xml:space="preserve">An international recognition of the confidence given to the Agency is represented by the takeover by ANABI in 2019 of the presidency of the CARIN (Camden Asset Recovery Inter-Agency Network - the international network specializing in international cooperation for seizing products originating in crimes) network.    </w:t>
      </w:r>
    </w:p>
    <w:p w:rsidR="00DB7106" w:rsidRPr="00DB7106" w:rsidRDefault="00DB7106" w:rsidP="00DB7106">
      <w:pPr>
        <w:widowControl w:val="0"/>
        <w:suppressAutoHyphens/>
        <w:ind w:firstLine="708"/>
        <w:jc w:val="both"/>
        <w:rPr>
          <w:rFonts w:ascii="Calibri" w:eastAsia="SimSun" w:hAnsi="Calibri" w:cs="Mangal"/>
          <w:bCs/>
          <w:kern w:val="2"/>
        </w:rPr>
      </w:pPr>
      <w:r>
        <w:rPr>
          <w:rFonts w:ascii="Calibri" w:hAnsi="Calibri"/>
          <w:bCs/>
          <w:i/>
        </w:rPr>
        <w:t xml:space="preserve">The objectives and measures foreseen are an integral part of the National Development Strategy of the Judicial System for 2015-2020.  </w:t>
      </w:r>
    </w:p>
    <w:p w:rsidR="00DB7106" w:rsidRPr="00DB7106" w:rsidRDefault="00DB7106" w:rsidP="00DB7106">
      <w:pPr>
        <w:widowControl w:val="0"/>
        <w:suppressAutoHyphens/>
        <w:ind w:firstLine="708"/>
        <w:jc w:val="both"/>
        <w:rPr>
          <w:rFonts w:asciiTheme="minorHAnsi" w:eastAsia="SimSun" w:hAnsiTheme="minorHAnsi" w:cs="Mangal"/>
          <w:bCs/>
          <w:i/>
          <w:kern w:val="2"/>
          <w:lang w:val="ro-RO" w:eastAsia="zh-CN" w:bidi="hi-IN"/>
        </w:rPr>
      </w:pPr>
    </w:p>
    <w:p w:rsidR="007218F3" w:rsidRPr="00C86702" w:rsidRDefault="007218F3" w:rsidP="000058BD">
      <w:pPr>
        <w:rPr>
          <w:rFonts w:ascii="Calibri" w:hAnsi="Calibri" w:cs="Arial Narrow"/>
          <w:lang w:val="ro-RO"/>
        </w:rPr>
      </w:pPr>
    </w:p>
    <w:p w:rsidR="000058BD" w:rsidRPr="00C86702" w:rsidRDefault="000058BD" w:rsidP="007B3867">
      <w:pPr>
        <w:keepLines/>
        <w:widowControl w:val="0"/>
        <w:shd w:val="clear" w:color="auto" w:fill="99CCFF"/>
        <w:tabs>
          <w:tab w:val="right" w:pos="8640"/>
        </w:tabs>
        <w:spacing w:line="320" w:lineRule="exact"/>
        <w:jc w:val="both"/>
        <w:rPr>
          <w:rFonts w:ascii="Calibri" w:hAnsi="Calibri" w:cs="Arial Narrow"/>
        </w:rPr>
      </w:pPr>
      <w:r>
        <w:rPr>
          <w:rFonts w:ascii="Calibri" w:hAnsi="Calibri"/>
          <w:b/>
          <w:color w:val="000080"/>
        </w:rPr>
        <w:t>Policy in the field of internal affairs</w:t>
      </w:r>
      <w:r>
        <w:rPr>
          <w:rFonts w:ascii="Calibri" w:hAnsi="Calibri"/>
          <w:b/>
          <w:color w:val="000080"/>
        </w:rPr>
        <w:tab/>
      </w:r>
    </w:p>
    <w:p w:rsidR="00A064B6" w:rsidRPr="00A064B6" w:rsidRDefault="00A064B6" w:rsidP="00A064B6">
      <w:pPr>
        <w:tabs>
          <w:tab w:val="left" w:pos="1418"/>
        </w:tabs>
        <w:suppressAutoHyphens/>
        <w:ind w:right="-1080"/>
        <w:jc w:val="both"/>
        <w:rPr>
          <w:rFonts w:ascii="Calibri" w:hAnsi="Calibri" w:cs="Arial Narrow"/>
          <w:color w:val="FF0000"/>
          <w:lang w:val="ro-RO" w:eastAsia="zh-CN"/>
        </w:rPr>
      </w:pPr>
    </w:p>
    <w:p w:rsidR="00A064B6" w:rsidRPr="00A064B6" w:rsidRDefault="00A064B6" w:rsidP="00A064B6">
      <w:pPr>
        <w:tabs>
          <w:tab w:val="left" w:pos="1418"/>
        </w:tabs>
        <w:suppressAutoHyphens/>
        <w:ind w:firstLine="709"/>
        <w:jc w:val="both"/>
        <w:rPr>
          <w:rFonts w:asciiTheme="minorHAnsi" w:hAnsiTheme="minorHAnsi" w:cs="Calibri"/>
        </w:rPr>
      </w:pPr>
      <w:r>
        <w:rPr>
          <w:rFonts w:asciiTheme="minorHAnsi" w:hAnsiTheme="minorHAnsi"/>
        </w:rPr>
        <w:t xml:space="preserve">In agreement with the Government Program for 2018-2020, the efforts made by the Ministry of Internal Affairs are concentrated on citizen safety, with a focus on a drastic limitation of events resulting in the loss of human lives, affecting the health of the population, as well as material damages on the State and private property.   </w:t>
      </w:r>
    </w:p>
    <w:p w:rsidR="00A064B6" w:rsidRPr="00A064B6" w:rsidRDefault="00A064B6" w:rsidP="00A064B6">
      <w:pPr>
        <w:tabs>
          <w:tab w:val="left" w:pos="1418"/>
        </w:tabs>
        <w:suppressAutoHyphens/>
        <w:ind w:firstLine="709"/>
        <w:jc w:val="both"/>
        <w:rPr>
          <w:rFonts w:asciiTheme="minorHAnsi" w:hAnsiTheme="minorHAnsi" w:cs="Calibri"/>
        </w:rPr>
      </w:pPr>
      <w:r>
        <w:rPr>
          <w:rFonts w:asciiTheme="minorHAnsi" w:hAnsiTheme="minorHAnsi"/>
        </w:rPr>
        <w:t xml:space="preserve">Through implementation of the Institutional Strategic Plan for 2019-2021, the Ministry of Internal Affairs acts for the fulfillment of </w:t>
      </w:r>
      <w:r>
        <w:rPr>
          <w:rFonts w:asciiTheme="minorHAnsi" w:hAnsiTheme="minorHAnsi"/>
          <w:i/>
        </w:rPr>
        <w:t>three strategic objectives</w:t>
      </w:r>
      <w:r>
        <w:rPr>
          <w:rFonts w:asciiTheme="minorHAnsi" w:hAnsiTheme="minorHAnsi"/>
        </w:rPr>
        <w:t xml:space="preserve"> established in the document, as follows:</w:t>
      </w:r>
    </w:p>
    <w:p w:rsidR="00A064B6" w:rsidRPr="003964D3" w:rsidRDefault="00A064B6" w:rsidP="00A064B6">
      <w:pPr>
        <w:suppressAutoHyphens/>
        <w:ind w:firstLine="708"/>
        <w:jc w:val="both"/>
        <w:rPr>
          <w:rFonts w:asciiTheme="minorHAnsi" w:hAnsiTheme="minorHAnsi" w:cs="Calibri"/>
          <w:lang w:val="fr-FR" w:eastAsia="zh-CN"/>
        </w:rPr>
      </w:pPr>
    </w:p>
    <w:p w:rsidR="00F229EF" w:rsidRPr="003964D3" w:rsidRDefault="00A064B6" w:rsidP="007D3E9E">
      <w:pPr>
        <w:numPr>
          <w:ilvl w:val="0"/>
          <w:numId w:val="46"/>
        </w:numPr>
        <w:suppressAutoHyphens/>
        <w:ind w:left="1418" w:hanging="861"/>
        <w:jc w:val="both"/>
        <w:rPr>
          <w:rFonts w:asciiTheme="minorHAnsi" w:hAnsiTheme="minorHAnsi" w:cs="Calibri"/>
        </w:rPr>
      </w:pPr>
      <w:r>
        <w:rPr>
          <w:rFonts w:asciiTheme="minorHAnsi" w:hAnsiTheme="minorHAnsi"/>
        </w:rPr>
        <w:t>Ensuring a high degree of safety for people and protection of</w:t>
      </w:r>
    </w:p>
    <w:p w:rsidR="00A064B6" w:rsidRPr="00F229EF" w:rsidRDefault="00A064B6" w:rsidP="00A60A85">
      <w:pPr>
        <w:suppressAutoHyphens/>
        <w:ind w:left="1440"/>
        <w:jc w:val="both"/>
        <w:rPr>
          <w:rFonts w:asciiTheme="minorHAnsi" w:hAnsiTheme="minorHAnsi" w:cs="Calibri"/>
        </w:rPr>
      </w:pPr>
      <w:r>
        <w:rPr>
          <w:rFonts w:asciiTheme="minorHAnsi" w:hAnsiTheme="minorHAnsi"/>
        </w:rPr>
        <w:t>assets;</w:t>
      </w:r>
    </w:p>
    <w:p w:rsidR="00A064B6" w:rsidRPr="003964D3" w:rsidRDefault="00A064B6" w:rsidP="009F7237">
      <w:pPr>
        <w:numPr>
          <w:ilvl w:val="0"/>
          <w:numId w:val="46"/>
        </w:numPr>
        <w:suppressAutoHyphens/>
        <w:ind w:left="1276" w:hanging="719"/>
        <w:jc w:val="both"/>
        <w:rPr>
          <w:rFonts w:asciiTheme="minorHAnsi" w:hAnsiTheme="minorHAnsi" w:cs="Calibri"/>
        </w:rPr>
      </w:pPr>
      <w:r>
        <w:rPr>
          <w:rFonts w:asciiTheme="minorHAnsi" w:hAnsiTheme="minorHAnsi"/>
        </w:rPr>
        <w:t xml:space="preserve">     Increasing the MIA’s capacity to handle major events;</w:t>
      </w:r>
    </w:p>
    <w:p w:rsidR="00A064B6" w:rsidRPr="00A064B6" w:rsidRDefault="00A064B6" w:rsidP="009F7237">
      <w:pPr>
        <w:numPr>
          <w:ilvl w:val="0"/>
          <w:numId w:val="46"/>
        </w:numPr>
        <w:suppressAutoHyphens/>
        <w:ind w:left="1276" w:hanging="719"/>
        <w:jc w:val="both"/>
        <w:rPr>
          <w:rFonts w:asciiTheme="minorHAnsi" w:hAnsiTheme="minorHAnsi" w:cs="Calibri"/>
        </w:rPr>
      </w:pPr>
      <w:r>
        <w:rPr>
          <w:rFonts w:asciiTheme="minorHAnsi" w:hAnsiTheme="minorHAnsi"/>
        </w:rPr>
        <w:t>Increasing the MIA’s efficiency and administrative capacity.</w:t>
      </w:r>
    </w:p>
    <w:p w:rsidR="00A064B6" w:rsidRPr="00A064B6" w:rsidRDefault="00A064B6" w:rsidP="00A064B6">
      <w:pPr>
        <w:suppressAutoHyphens/>
        <w:ind w:left="1428"/>
        <w:jc w:val="both"/>
        <w:rPr>
          <w:rFonts w:asciiTheme="minorHAnsi" w:hAnsiTheme="minorHAnsi" w:cs="Calibri"/>
          <w:lang w:eastAsia="zh-CN"/>
        </w:rPr>
      </w:pPr>
    </w:p>
    <w:p w:rsidR="00A064B6" w:rsidRPr="00A064B6" w:rsidRDefault="00A064B6" w:rsidP="00AA62AF">
      <w:pPr>
        <w:suppressAutoHyphens/>
        <w:ind w:firstLine="720"/>
        <w:jc w:val="both"/>
        <w:rPr>
          <w:rFonts w:asciiTheme="minorHAnsi" w:hAnsiTheme="minorHAnsi" w:cs="Calibri"/>
        </w:rPr>
      </w:pPr>
      <w:r>
        <w:rPr>
          <w:rFonts w:asciiTheme="minorHAnsi" w:hAnsiTheme="minorHAnsi"/>
        </w:rPr>
        <w:t xml:space="preserve">At the same time, the Institutional Strategic Plan for 2019-2021 proposes that the 3 aforementioned strategic objectives should be implemented through </w:t>
      </w:r>
      <w:r>
        <w:rPr>
          <w:rFonts w:asciiTheme="minorHAnsi" w:hAnsiTheme="minorHAnsi"/>
          <w:b/>
        </w:rPr>
        <w:t>5 budget programs</w:t>
      </w:r>
      <w:r>
        <w:rPr>
          <w:rFonts w:asciiTheme="minorHAnsi" w:hAnsiTheme="minorHAnsi"/>
        </w:rPr>
        <w:t>, as follows:</w:t>
      </w:r>
    </w:p>
    <w:p w:rsidR="00A064B6" w:rsidRPr="00A064B6" w:rsidRDefault="00A064B6" w:rsidP="009F7237">
      <w:pPr>
        <w:numPr>
          <w:ilvl w:val="0"/>
          <w:numId w:val="51"/>
        </w:numPr>
        <w:suppressAutoHyphens/>
        <w:contextualSpacing/>
        <w:jc w:val="both"/>
        <w:rPr>
          <w:rFonts w:asciiTheme="minorHAnsi" w:eastAsia="Calibri" w:hAnsiTheme="minorHAnsi" w:cs="Calibri"/>
        </w:rPr>
      </w:pPr>
      <w:r>
        <w:rPr>
          <w:rFonts w:asciiTheme="minorHAnsi" w:hAnsiTheme="minorHAnsi"/>
        </w:rPr>
        <w:t xml:space="preserve">Program 1 “Public order and safety” </w:t>
      </w:r>
    </w:p>
    <w:p w:rsidR="00A064B6" w:rsidRPr="00715536" w:rsidRDefault="00A064B6" w:rsidP="009F7237">
      <w:pPr>
        <w:numPr>
          <w:ilvl w:val="0"/>
          <w:numId w:val="51"/>
        </w:numPr>
        <w:suppressAutoHyphens/>
        <w:contextualSpacing/>
        <w:jc w:val="both"/>
        <w:rPr>
          <w:rFonts w:asciiTheme="minorHAnsi" w:eastAsia="Calibri" w:hAnsiTheme="minorHAnsi" w:cs="Calibri"/>
        </w:rPr>
      </w:pPr>
      <w:r>
        <w:rPr>
          <w:rFonts w:asciiTheme="minorHAnsi" w:hAnsiTheme="minorHAnsi"/>
        </w:rPr>
        <w:t xml:space="preserve">Program 2 “State border safety, migration, asylum, and integration” </w:t>
      </w:r>
    </w:p>
    <w:p w:rsidR="00A064B6" w:rsidRPr="00A064B6" w:rsidRDefault="00A064B6" w:rsidP="009F7237">
      <w:pPr>
        <w:numPr>
          <w:ilvl w:val="0"/>
          <w:numId w:val="51"/>
        </w:numPr>
        <w:suppressAutoHyphens/>
        <w:contextualSpacing/>
        <w:jc w:val="both"/>
        <w:rPr>
          <w:rFonts w:asciiTheme="minorHAnsi" w:eastAsia="Calibri" w:hAnsiTheme="minorHAnsi" w:cs="Calibri"/>
        </w:rPr>
      </w:pPr>
      <w:r>
        <w:rPr>
          <w:rFonts w:asciiTheme="minorHAnsi" w:hAnsiTheme="minorHAnsi"/>
        </w:rPr>
        <w:t xml:space="preserve">Program 3 “Civil protection and support given to the community”  </w:t>
      </w:r>
    </w:p>
    <w:p w:rsidR="00A064B6" w:rsidRPr="00715536" w:rsidRDefault="00A064B6" w:rsidP="009F7237">
      <w:pPr>
        <w:numPr>
          <w:ilvl w:val="0"/>
          <w:numId w:val="51"/>
        </w:numPr>
        <w:suppressAutoHyphens/>
        <w:contextualSpacing/>
        <w:jc w:val="both"/>
        <w:rPr>
          <w:rFonts w:asciiTheme="minorHAnsi" w:eastAsia="Calibri" w:hAnsiTheme="minorHAnsi" w:cs="Calibri"/>
        </w:rPr>
      </w:pPr>
      <w:r>
        <w:rPr>
          <w:rFonts w:asciiTheme="minorHAnsi" w:hAnsiTheme="minorHAnsi"/>
        </w:rPr>
        <w:t>Program 4 “Services for citizens and legal entities”</w:t>
      </w:r>
    </w:p>
    <w:p w:rsidR="00A064B6" w:rsidRPr="00A064B6" w:rsidRDefault="00A064B6" w:rsidP="009F7237">
      <w:pPr>
        <w:numPr>
          <w:ilvl w:val="0"/>
          <w:numId w:val="51"/>
        </w:numPr>
        <w:suppressAutoHyphens/>
        <w:contextualSpacing/>
        <w:jc w:val="both"/>
        <w:rPr>
          <w:rFonts w:asciiTheme="minorHAnsi" w:eastAsia="Calibri" w:hAnsiTheme="minorHAnsi" w:cs="Calibri"/>
        </w:rPr>
      </w:pPr>
      <w:r>
        <w:rPr>
          <w:rFonts w:asciiTheme="minorHAnsi" w:hAnsiTheme="minorHAnsi"/>
        </w:rPr>
        <w:t>Program 5 “Administrative capacity and operational support”</w:t>
      </w:r>
    </w:p>
    <w:p w:rsidR="00A064B6" w:rsidRPr="00A064B6" w:rsidRDefault="00A064B6" w:rsidP="00A064B6">
      <w:pPr>
        <w:suppressAutoHyphens/>
        <w:jc w:val="both"/>
        <w:rPr>
          <w:rFonts w:asciiTheme="minorHAnsi" w:hAnsiTheme="minorHAnsi" w:cs="Calibri"/>
          <w:lang w:eastAsia="zh-CN"/>
        </w:rPr>
      </w:pPr>
    </w:p>
    <w:p w:rsidR="00A064B6" w:rsidRPr="00A064B6" w:rsidRDefault="00A064B6" w:rsidP="00A064B6">
      <w:pPr>
        <w:suppressAutoHyphens/>
        <w:ind w:firstLine="708"/>
        <w:jc w:val="both"/>
        <w:rPr>
          <w:rFonts w:asciiTheme="minorHAnsi" w:hAnsiTheme="minorHAnsi" w:cs="Calibri"/>
        </w:rPr>
      </w:pPr>
      <w:r>
        <w:rPr>
          <w:rFonts w:asciiTheme="minorHAnsi" w:hAnsiTheme="minorHAnsi"/>
        </w:rPr>
        <w:t xml:space="preserve">The </w:t>
      </w:r>
      <w:r>
        <w:rPr>
          <w:rFonts w:asciiTheme="minorHAnsi" w:hAnsiTheme="minorHAnsi"/>
          <w:b/>
        </w:rPr>
        <w:t>5 budget programs</w:t>
      </w:r>
      <w:r>
        <w:rPr>
          <w:rFonts w:asciiTheme="minorHAnsi" w:hAnsiTheme="minorHAnsi"/>
        </w:rPr>
        <w:t xml:space="preserve"> provide </w:t>
      </w:r>
      <w:r>
        <w:rPr>
          <w:rFonts w:asciiTheme="minorHAnsi" w:hAnsiTheme="minorHAnsi"/>
          <w:b/>
        </w:rPr>
        <w:t>measures</w:t>
      </w:r>
      <w:r>
        <w:rPr>
          <w:rFonts w:asciiTheme="minorHAnsi" w:hAnsiTheme="minorHAnsi"/>
        </w:rPr>
        <w:t xml:space="preserve">, as well as </w:t>
      </w:r>
      <w:r>
        <w:rPr>
          <w:rFonts w:asciiTheme="minorHAnsi" w:hAnsiTheme="minorHAnsi"/>
          <w:b/>
        </w:rPr>
        <w:t>expected results</w:t>
      </w:r>
      <w:r>
        <w:rPr>
          <w:rFonts w:asciiTheme="minorHAnsi" w:hAnsiTheme="minorHAnsi"/>
        </w:rPr>
        <w:t xml:space="preserve">, as follows:  </w:t>
      </w:r>
    </w:p>
    <w:p w:rsidR="00A064B6" w:rsidRPr="00A064B6" w:rsidRDefault="00A064B6" w:rsidP="00A064B6">
      <w:pPr>
        <w:suppressAutoHyphens/>
        <w:jc w:val="both"/>
        <w:rPr>
          <w:rFonts w:asciiTheme="minorHAnsi" w:hAnsiTheme="minorHAnsi"/>
          <w:b/>
        </w:rPr>
      </w:pPr>
    </w:p>
    <w:p w:rsidR="00A064B6" w:rsidRPr="00A064B6" w:rsidRDefault="00A064B6" w:rsidP="00A064B6">
      <w:pPr>
        <w:suppressAutoHyphens/>
        <w:jc w:val="both"/>
        <w:rPr>
          <w:rFonts w:asciiTheme="minorHAnsi" w:hAnsiTheme="minorHAnsi"/>
          <w:b/>
        </w:rPr>
      </w:pPr>
      <w:r>
        <w:rPr>
          <w:rFonts w:asciiTheme="minorHAnsi" w:hAnsiTheme="minorHAnsi"/>
          <w:b/>
        </w:rPr>
        <w:t>PROGRAM 1 “PUBLIC ORDER AND SAFETY”</w:t>
      </w:r>
    </w:p>
    <w:p w:rsidR="00A064B6" w:rsidRPr="003964D3" w:rsidRDefault="00A064B6" w:rsidP="009F7237">
      <w:pPr>
        <w:numPr>
          <w:ilvl w:val="1"/>
          <w:numId w:val="47"/>
        </w:numPr>
        <w:suppressAutoHyphens/>
        <w:jc w:val="both"/>
        <w:rPr>
          <w:rFonts w:asciiTheme="minorHAnsi" w:hAnsiTheme="minorHAnsi"/>
          <w:i/>
        </w:rPr>
      </w:pPr>
      <w:r>
        <w:rPr>
          <w:rFonts w:asciiTheme="minorHAnsi" w:hAnsiTheme="minorHAnsi"/>
          <w:b/>
        </w:rPr>
        <w:t>Program objective</w:t>
      </w:r>
      <w:r>
        <w:rPr>
          <w:rFonts w:asciiTheme="minorHAnsi" w:hAnsiTheme="minorHAnsi"/>
        </w:rPr>
        <w:t xml:space="preserve"> - </w:t>
      </w:r>
      <w:r>
        <w:rPr>
          <w:rFonts w:asciiTheme="minorHAnsi" w:hAnsiTheme="minorHAnsi"/>
          <w:i/>
        </w:rPr>
        <w:t>Ensuring a high degree of safety for people and protection of assets</w:t>
      </w:r>
    </w:p>
    <w:p w:rsidR="00A064B6" w:rsidRPr="003964D3" w:rsidRDefault="00A064B6" w:rsidP="00A064B6">
      <w:pPr>
        <w:suppressAutoHyphens/>
        <w:ind w:left="384"/>
        <w:jc w:val="both"/>
        <w:rPr>
          <w:rFonts w:asciiTheme="minorHAnsi" w:hAnsiTheme="minorHAnsi"/>
          <w:lang w:val="fr-FR" w:eastAsia="zh-CN"/>
        </w:rPr>
      </w:pPr>
    </w:p>
    <w:p w:rsidR="00A064B6" w:rsidRPr="00A064B6" w:rsidRDefault="00A064B6" w:rsidP="009F7237">
      <w:pPr>
        <w:numPr>
          <w:ilvl w:val="1"/>
          <w:numId w:val="47"/>
        </w:numPr>
        <w:suppressAutoHyphens/>
        <w:jc w:val="both"/>
        <w:rPr>
          <w:rFonts w:asciiTheme="minorHAnsi" w:hAnsiTheme="minorHAnsi"/>
          <w:b/>
        </w:rPr>
      </w:pPr>
      <w:r>
        <w:rPr>
          <w:rFonts w:asciiTheme="minorHAnsi" w:hAnsiTheme="minorHAnsi"/>
          <w:b/>
        </w:rPr>
        <w:t>Program measures:</w:t>
      </w:r>
    </w:p>
    <w:p w:rsidR="00A064B6" w:rsidRPr="00A064B6" w:rsidRDefault="00A064B6" w:rsidP="009F7237">
      <w:pPr>
        <w:numPr>
          <w:ilvl w:val="0"/>
          <w:numId w:val="59"/>
        </w:numPr>
        <w:suppressAutoHyphens/>
        <w:ind w:left="714" w:hanging="357"/>
        <w:jc w:val="both"/>
        <w:rPr>
          <w:rFonts w:asciiTheme="minorHAnsi" w:hAnsiTheme="minorHAnsi"/>
          <w:b/>
        </w:rPr>
      </w:pPr>
      <w:r>
        <w:rPr>
          <w:rFonts w:asciiTheme="minorHAnsi" w:hAnsiTheme="minorHAnsi"/>
        </w:rPr>
        <w:t>Prevention and fighting of crimes against people</w:t>
      </w:r>
    </w:p>
    <w:p w:rsidR="00A064B6" w:rsidRPr="003964D3" w:rsidRDefault="00A064B6" w:rsidP="009F7237">
      <w:pPr>
        <w:numPr>
          <w:ilvl w:val="0"/>
          <w:numId w:val="59"/>
        </w:numPr>
        <w:suppressAutoHyphens/>
        <w:ind w:left="714" w:hanging="357"/>
        <w:jc w:val="both"/>
        <w:rPr>
          <w:rFonts w:asciiTheme="minorHAnsi" w:hAnsiTheme="minorHAnsi"/>
          <w:b/>
        </w:rPr>
      </w:pPr>
      <w:r>
        <w:rPr>
          <w:rFonts w:asciiTheme="minorHAnsi" w:hAnsiTheme="minorHAnsi"/>
        </w:rPr>
        <w:t xml:space="preserve">Prevention and fighting of crimes against assets </w:t>
      </w:r>
    </w:p>
    <w:p w:rsidR="00A064B6" w:rsidRPr="00A064B6" w:rsidRDefault="00A064B6" w:rsidP="009F7237">
      <w:pPr>
        <w:numPr>
          <w:ilvl w:val="0"/>
          <w:numId w:val="59"/>
        </w:numPr>
        <w:suppressAutoHyphens/>
        <w:ind w:left="714" w:hanging="357"/>
        <w:jc w:val="both"/>
        <w:rPr>
          <w:rFonts w:asciiTheme="minorHAnsi" w:hAnsiTheme="minorHAnsi"/>
        </w:rPr>
      </w:pPr>
      <w:r>
        <w:rPr>
          <w:rFonts w:asciiTheme="minorHAnsi" w:hAnsiTheme="minorHAnsi"/>
        </w:rPr>
        <w:t>Preventing and fighting crimes against the regime of weapons and ammunitions, nuclear materials, explosive materials and hazardous substances</w:t>
      </w:r>
    </w:p>
    <w:p w:rsidR="00A064B6" w:rsidRPr="003964D3" w:rsidRDefault="00A064B6" w:rsidP="009F7237">
      <w:pPr>
        <w:numPr>
          <w:ilvl w:val="0"/>
          <w:numId w:val="59"/>
        </w:numPr>
        <w:suppressAutoHyphens/>
        <w:ind w:left="714" w:hanging="357"/>
        <w:jc w:val="both"/>
        <w:rPr>
          <w:rFonts w:asciiTheme="minorHAnsi" w:hAnsiTheme="minorHAnsi"/>
        </w:rPr>
      </w:pPr>
      <w:r>
        <w:rPr>
          <w:rFonts w:asciiTheme="minorHAnsi" w:hAnsiTheme="minorHAnsi"/>
        </w:rPr>
        <w:t>Fighting organized crime on the line of human trafficking</w:t>
      </w:r>
    </w:p>
    <w:p w:rsidR="00A064B6" w:rsidRPr="003964D3" w:rsidRDefault="00A064B6" w:rsidP="009F7237">
      <w:pPr>
        <w:numPr>
          <w:ilvl w:val="0"/>
          <w:numId w:val="59"/>
        </w:numPr>
        <w:suppressAutoHyphens/>
        <w:ind w:left="714" w:hanging="357"/>
        <w:jc w:val="both"/>
        <w:rPr>
          <w:rFonts w:asciiTheme="minorHAnsi" w:hAnsiTheme="minorHAnsi"/>
        </w:rPr>
      </w:pPr>
      <w:r>
        <w:rPr>
          <w:rFonts w:asciiTheme="minorHAnsi" w:hAnsiTheme="minorHAnsi"/>
        </w:rPr>
        <w:t xml:space="preserve">Fighting organized crime on the line of drug trafficking </w:t>
      </w:r>
    </w:p>
    <w:p w:rsidR="00A064B6" w:rsidRPr="00A064B6" w:rsidRDefault="00A064B6" w:rsidP="009F7237">
      <w:pPr>
        <w:numPr>
          <w:ilvl w:val="0"/>
          <w:numId w:val="59"/>
        </w:numPr>
        <w:suppressAutoHyphens/>
        <w:ind w:left="714" w:hanging="357"/>
        <w:jc w:val="both"/>
        <w:rPr>
          <w:rFonts w:asciiTheme="minorHAnsi" w:hAnsiTheme="minorHAnsi"/>
        </w:rPr>
      </w:pPr>
      <w:r>
        <w:rPr>
          <w:rFonts w:asciiTheme="minorHAnsi" w:hAnsiTheme="minorHAnsi"/>
        </w:rPr>
        <w:t xml:space="preserve">Fighting cybercrime </w:t>
      </w:r>
    </w:p>
    <w:p w:rsidR="00A064B6" w:rsidRPr="00A064B6" w:rsidRDefault="00A064B6" w:rsidP="009F7237">
      <w:pPr>
        <w:numPr>
          <w:ilvl w:val="0"/>
          <w:numId w:val="59"/>
        </w:numPr>
        <w:suppressAutoHyphens/>
        <w:ind w:left="714" w:hanging="357"/>
        <w:jc w:val="both"/>
        <w:rPr>
          <w:rFonts w:asciiTheme="minorHAnsi" w:hAnsiTheme="minorHAnsi"/>
        </w:rPr>
      </w:pPr>
      <w:r>
        <w:rPr>
          <w:rFonts w:asciiTheme="minorHAnsi" w:hAnsiTheme="minorHAnsi"/>
        </w:rPr>
        <w:t>Fighting organized crime on the line of terrorism financing and money laundering</w:t>
      </w:r>
    </w:p>
    <w:p w:rsidR="00A064B6" w:rsidRPr="00A064B6" w:rsidRDefault="00A064B6" w:rsidP="009F7237">
      <w:pPr>
        <w:numPr>
          <w:ilvl w:val="0"/>
          <w:numId w:val="59"/>
        </w:numPr>
        <w:suppressAutoHyphens/>
        <w:ind w:left="714" w:hanging="357"/>
        <w:jc w:val="both"/>
        <w:rPr>
          <w:rFonts w:asciiTheme="minorHAnsi" w:hAnsiTheme="minorHAnsi"/>
        </w:rPr>
      </w:pPr>
      <w:r>
        <w:rPr>
          <w:rFonts w:asciiTheme="minorHAnsi" w:hAnsiTheme="minorHAnsi"/>
        </w:rPr>
        <w:t>Human trafficking prevention</w:t>
      </w:r>
    </w:p>
    <w:p w:rsidR="00A064B6" w:rsidRPr="003964D3" w:rsidRDefault="00A064B6" w:rsidP="009F7237">
      <w:pPr>
        <w:numPr>
          <w:ilvl w:val="0"/>
          <w:numId w:val="59"/>
        </w:numPr>
        <w:suppressAutoHyphens/>
        <w:ind w:left="714" w:hanging="357"/>
        <w:jc w:val="both"/>
        <w:rPr>
          <w:rFonts w:asciiTheme="minorHAnsi" w:hAnsiTheme="minorHAnsi"/>
        </w:rPr>
      </w:pPr>
      <w:r>
        <w:rPr>
          <w:rFonts w:asciiTheme="minorHAnsi" w:hAnsiTheme="minorHAnsi"/>
        </w:rPr>
        <w:t>Giving support to victims of human trafficking</w:t>
      </w:r>
    </w:p>
    <w:p w:rsidR="00A064B6" w:rsidRPr="00A064B6" w:rsidRDefault="00A064B6" w:rsidP="009F7237">
      <w:pPr>
        <w:numPr>
          <w:ilvl w:val="0"/>
          <w:numId w:val="59"/>
        </w:numPr>
        <w:suppressAutoHyphens/>
        <w:ind w:left="714" w:hanging="357"/>
        <w:jc w:val="both"/>
        <w:rPr>
          <w:rFonts w:asciiTheme="minorHAnsi" w:hAnsiTheme="minorHAnsi"/>
        </w:rPr>
      </w:pPr>
      <w:r>
        <w:rPr>
          <w:rFonts w:asciiTheme="minorHAnsi" w:hAnsiTheme="minorHAnsi"/>
        </w:rPr>
        <w:t>Prevention of drug consumption</w:t>
      </w:r>
    </w:p>
    <w:p w:rsidR="00A064B6" w:rsidRPr="003964D3" w:rsidRDefault="00A064B6" w:rsidP="009F7237">
      <w:pPr>
        <w:numPr>
          <w:ilvl w:val="0"/>
          <w:numId w:val="59"/>
        </w:numPr>
        <w:suppressAutoHyphens/>
        <w:ind w:left="714" w:hanging="357"/>
        <w:jc w:val="both"/>
        <w:rPr>
          <w:rFonts w:asciiTheme="minorHAnsi" w:hAnsiTheme="minorHAnsi"/>
        </w:rPr>
      </w:pPr>
      <w:r>
        <w:rPr>
          <w:rFonts w:asciiTheme="minorHAnsi" w:hAnsiTheme="minorHAnsi"/>
        </w:rPr>
        <w:t>Giving assistance to drug users</w:t>
      </w:r>
    </w:p>
    <w:p w:rsidR="00A064B6" w:rsidRPr="00A064B6" w:rsidRDefault="00A064B6" w:rsidP="009F7237">
      <w:pPr>
        <w:numPr>
          <w:ilvl w:val="0"/>
          <w:numId w:val="59"/>
        </w:numPr>
        <w:suppressAutoHyphens/>
        <w:jc w:val="both"/>
        <w:rPr>
          <w:rFonts w:asciiTheme="minorHAnsi" w:hAnsiTheme="minorHAnsi"/>
        </w:rPr>
      </w:pPr>
      <w:r>
        <w:rPr>
          <w:rFonts w:asciiTheme="minorHAnsi" w:hAnsiTheme="minorHAnsi"/>
        </w:rPr>
        <w:t>Prevention and fighting of tax evasion</w:t>
      </w:r>
    </w:p>
    <w:p w:rsidR="00A064B6" w:rsidRPr="00A064B6" w:rsidRDefault="00A064B6" w:rsidP="009F7237">
      <w:pPr>
        <w:numPr>
          <w:ilvl w:val="0"/>
          <w:numId w:val="59"/>
        </w:numPr>
        <w:suppressAutoHyphens/>
        <w:jc w:val="both"/>
        <w:rPr>
          <w:rFonts w:asciiTheme="minorHAnsi" w:hAnsiTheme="minorHAnsi"/>
        </w:rPr>
      </w:pPr>
      <w:r>
        <w:rPr>
          <w:rFonts w:asciiTheme="minorHAnsi" w:hAnsiTheme="minorHAnsi"/>
        </w:rPr>
        <w:t xml:space="preserve">Smuggling prevention and combating </w:t>
      </w:r>
    </w:p>
    <w:p w:rsidR="00A064B6" w:rsidRPr="00A064B6" w:rsidRDefault="00A064B6" w:rsidP="009F7237">
      <w:pPr>
        <w:numPr>
          <w:ilvl w:val="0"/>
          <w:numId w:val="59"/>
        </w:numPr>
        <w:suppressAutoHyphens/>
        <w:jc w:val="both"/>
        <w:rPr>
          <w:rFonts w:asciiTheme="minorHAnsi" w:hAnsiTheme="minorHAnsi"/>
        </w:rPr>
      </w:pPr>
      <w:r>
        <w:rPr>
          <w:rFonts w:asciiTheme="minorHAnsi" w:hAnsiTheme="minorHAnsi"/>
        </w:rPr>
        <w:t>Preventing and combating crime in the field of intellectual property rights</w:t>
      </w:r>
    </w:p>
    <w:p w:rsidR="00A064B6" w:rsidRPr="00A064B6" w:rsidRDefault="00A064B6" w:rsidP="009F7237">
      <w:pPr>
        <w:numPr>
          <w:ilvl w:val="0"/>
          <w:numId w:val="59"/>
        </w:numPr>
        <w:suppressAutoHyphens/>
        <w:jc w:val="both"/>
        <w:rPr>
          <w:rFonts w:asciiTheme="minorHAnsi" w:hAnsiTheme="minorHAnsi"/>
        </w:rPr>
      </w:pPr>
      <w:r>
        <w:rPr>
          <w:rFonts w:asciiTheme="minorHAnsi" w:hAnsiTheme="minorHAnsi"/>
        </w:rPr>
        <w:t>Preventing and combating the main causes of road accidents</w:t>
      </w:r>
    </w:p>
    <w:p w:rsidR="00A064B6" w:rsidRPr="00A064B6" w:rsidRDefault="00A064B6" w:rsidP="009F7237">
      <w:pPr>
        <w:numPr>
          <w:ilvl w:val="0"/>
          <w:numId w:val="59"/>
        </w:numPr>
        <w:suppressAutoHyphens/>
        <w:jc w:val="both"/>
        <w:rPr>
          <w:rFonts w:asciiTheme="minorHAnsi" w:hAnsiTheme="minorHAnsi"/>
        </w:rPr>
      </w:pPr>
      <w:r>
        <w:rPr>
          <w:rFonts w:asciiTheme="minorHAnsi" w:hAnsiTheme="minorHAnsi"/>
        </w:rPr>
        <w:t>Preventing and combating deviations and crimes against railway circulation safety</w:t>
      </w:r>
    </w:p>
    <w:p w:rsidR="00A064B6" w:rsidRPr="003964D3" w:rsidRDefault="00A064B6" w:rsidP="009F7237">
      <w:pPr>
        <w:numPr>
          <w:ilvl w:val="0"/>
          <w:numId w:val="59"/>
        </w:numPr>
        <w:suppressAutoHyphens/>
        <w:jc w:val="both"/>
        <w:rPr>
          <w:rFonts w:asciiTheme="minorHAnsi" w:hAnsiTheme="minorHAnsi"/>
        </w:rPr>
      </w:pPr>
      <w:r>
        <w:rPr>
          <w:rFonts w:asciiTheme="minorHAnsi" w:hAnsiTheme="minorHAnsi"/>
        </w:rPr>
        <w:t>Preventing and combating deviations and crimes against the naval transport regime</w:t>
      </w:r>
    </w:p>
    <w:p w:rsidR="00A064B6" w:rsidRPr="003964D3" w:rsidRDefault="00A064B6" w:rsidP="009F7237">
      <w:pPr>
        <w:numPr>
          <w:ilvl w:val="0"/>
          <w:numId w:val="59"/>
        </w:numPr>
        <w:suppressAutoHyphens/>
        <w:jc w:val="both"/>
        <w:rPr>
          <w:rFonts w:asciiTheme="minorHAnsi" w:hAnsiTheme="minorHAnsi"/>
        </w:rPr>
      </w:pPr>
      <w:r>
        <w:rPr>
          <w:rFonts w:asciiTheme="minorHAnsi" w:hAnsiTheme="minorHAnsi"/>
        </w:rPr>
        <w:t>Preventing and combating crimes against the regime of protection of the national cultural heritage</w:t>
      </w:r>
    </w:p>
    <w:p w:rsidR="00A064B6" w:rsidRPr="00A064B6" w:rsidRDefault="00A064B6" w:rsidP="009F7237">
      <w:pPr>
        <w:numPr>
          <w:ilvl w:val="0"/>
          <w:numId w:val="59"/>
        </w:numPr>
        <w:suppressAutoHyphens/>
        <w:jc w:val="both"/>
        <w:rPr>
          <w:rFonts w:asciiTheme="minorHAnsi" w:hAnsiTheme="minorHAnsi"/>
        </w:rPr>
      </w:pPr>
      <w:r>
        <w:rPr>
          <w:rFonts w:asciiTheme="minorHAnsi" w:hAnsiTheme="minorHAnsi"/>
        </w:rPr>
        <w:t>Prevention and fighting of forestry crimes</w:t>
      </w:r>
    </w:p>
    <w:p w:rsidR="00A064B6" w:rsidRPr="00A064B6" w:rsidRDefault="00A064B6" w:rsidP="009F7237">
      <w:pPr>
        <w:numPr>
          <w:ilvl w:val="0"/>
          <w:numId w:val="59"/>
        </w:numPr>
        <w:suppressAutoHyphens/>
        <w:jc w:val="both"/>
        <w:rPr>
          <w:rFonts w:asciiTheme="minorHAnsi" w:hAnsiTheme="minorHAnsi"/>
        </w:rPr>
      </w:pPr>
      <w:r>
        <w:rPr>
          <w:rFonts w:asciiTheme="minorHAnsi" w:hAnsiTheme="minorHAnsi"/>
        </w:rPr>
        <w:t>Preventing and combating of crimes against the fishing fund, fishing and aquaculture</w:t>
      </w:r>
    </w:p>
    <w:p w:rsidR="00A064B6" w:rsidRPr="003964D3" w:rsidRDefault="00A064B6" w:rsidP="009F7237">
      <w:pPr>
        <w:numPr>
          <w:ilvl w:val="0"/>
          <w:numId w:val="59"/>
        </w:numPr>
        <w:suppressAutoHyphens/>
        <w:jc w:val="both"/>
        <w:rPr>
          <w:rFonts w:asciiTheme="minorHAnsi" w:hAnsiTheme="minorHAnsi"/>
        </w:rPr>
      </w:pPr>
      <w:r>
        <w:rPr>
          <w:rFonts w:asciiTheme="minorHAnsi" w:hAnsiTheme="minorHAnsi"/>
        </w:rPr>
        <w:t xml:space="preserve">Participation of the representatives of the General Inspectorate of Romanian Police (IGPR) to international missions and activities </w:t>
      </w:r>
    </w:p>
    <w:p w:rsidR="00A064B6" w:rsidRPr="003964D3" w:rsidRDefault="00A064B6" w:rsidP="009F7237">
      <w:pPr>
        <w:numPr>
          <w:ilvl w:val="0"/>
          <w:numId w:val="59"/>
        </w:numPr>
        <w:suppressAutoHyphens/>
        <w:jc w:val="both"/>
        <w:rPr>
          <w:rFonts w:asciiTheme="minorHAnsi" w:hAnsiTheme="minorHAnsi"/>
        </w:rPr>
      </w:pPr>
      <w:r>
        <w:rPr>
          <w:rFonts w:asciiTheme="minorHAnsi" w:hAnsiTheme="minorHAnsi"/>
        </w:rPr>
        <w:t>Performance of the initial and continued professional training of policemen in the School of Police Agents “Vasile Lascar”, Campina and in the School of Police Agents “Septimiu Muresan” in Cluj-Napoca</w:t>
      </w:r>
    </w:p>
    <w:p w:rsidR="00A064B6" w:rsidRPr="00A064B6" w:rsidRDefault="00A064B6" w:rsidP="009F7237">
      <w:pPr>
        <w:numPr>
          <w:ilvl w:val="0"/>
          <w:numId w:val="59"/>
        </w:numPr>
        <w:suppressAutoHyphens/>
        <w:jc w:val="both"/>
        <w:rPr>
          <w:rFonts w:asciiTheme="minorHAnsi" w:hAnsiTheme="minorHAnsi"/>
        </w:rPr>
      </w:pPr>
      <w:r>
        <w:rPr>
          <w:rFonts w:asciiTheme="minorHAnsi" w:hAnsiTheme="minorHAnsi"/>
        </w:rPr>
        <w:t>Performance of the continuous training of policemen in the Center of Training and Improvement of Policemen “Nicolae Golescu” in Slatina and in the Dog Center “Dr. Aurel Greblea” Sibiu</w:t>
      </w:r>
    </w:p>
    <w:p w:rsidR="00A064B6" w:rsidRPr="00A064B6" w:rsidRDefault="00A064B6" w:rsidP="009F7237">
      <w:pPr>
        <w:numPr>
          <w:ilvl w:val="0"/>
          <w:numId w:val="59"/>
        </w:numPr>
        <w:suppressAutoHyphens/>
        <w:jc w:val="both"/>
        <w:rPr>
          <w:rFonts w:asciiTheme="minorHAnsi" w:hAnsiTheme="minorHAnsi"/>
        </w:rPr>
      </w:pPr>
      <w:r>
        <w:rPr>
          <w:rFonts w:asciiTheme="minorHAnsi" w:hAnsiTheme="minorHAnsi"/>
        </w:rPr>
        <w:t>Ensuring operative interventions for the calls received in the operational centers of the territorial structures of MIA</w:t>
      </w:r>
    </w:p>
    <w:p w:rsidR="00A064B6" w:rsidRPr="00A064B6" w:rsidRDefault="00A064B6" w:rsidP="009F7237">
      <w:pPr>
        <w:numPr>
          <w:ilvl w:val="0"/>
          <w:numId w:val="59"/>
        </w:numPr>
        <w:suppressAutoHyphens/>
        <w:jc w:val="both"/>
        <w:rPr>
          <w:rFonts w:asciiTheme="minorHAnsi" w:hAnsiTheme="minorHAnsi"/>
        </w:rPr>
      </w:pPr>
      <w:r>
        <w:rPr>
          <w:rFonts w:asciiTheme="minorHAnsi" w:hAnsiTheme="minorHAnsi"/>
        </w:rPr>
        <w:t>Ensuring guard, protection, supervision, and intervention</w:t>
      </w:r>
    </w:p>
    <w:p w:rsidR="00A064B6" w:rsidRPr="003964D3" w:rsidRDefault="00A064B6" w:rsidP="009F7237">
      <w:pPr>
        <w:numPr>
          <w:ilvl w:val="0"/>
          <w:numId w:val="59"/>
        </w:numPr>
        <w:suppressAutoHyphens/>
        <w:jc w:val="both"/>
        <w:rPr>
          <w:rFonts w:asciiTheme="minorHAnsi" w:hAnsiTheme="minorHAnsi"/>
        </w:rPr>
      </w:pPr>
      <w:r>
        <w:rPr>
          <w:rFonts w:asciiTheme="minorHAnsi" w:hAnsiTheme="minorHAnsi"/>
        </w:rPr>
        <w:t>Performing missions of public order maintenance and assurance</w:t>
      </w:r>
    </w:p>
    <w:p w:rsidR="00A064B6" w:rsidRPr="00A064B6" w:rsidRDefault="00A064B6" w:rsidP="009F7237">
      <w:pPr>
        <w:numPr>
          <w:ilvl w:val="0"/>
          <w:numId w:val="59"/>
        </w:numPr>
        <w:suppressAutoHyphens/>
        <w:jc w:val="both"/>
        <w:rPr>
          <w:rFonts w:asciiTheme="minorHAnsi" w:hAnsiTheme="minorHAnsi"/>
        </w:rPr>
      </w:pPr>
      <w:r>
        <w:rPr>
          <w:rFonts w:asciiTheme="minorHAnsi" w:hAnsiTheme="minorHAnsi"/>
        </w:rPr>
        <w:t>Prevention and combating of terrorism</w:t>
      </w:r>
    </w:p>
    <w:p w:rsidR="00A064B6" w:rsidRPr="00A064B6" w:rsidRDefault="00A064B6" w:rsidP="009F7237">
      <w:pPr>
        <w:numPr>
          <w:ilvl w:val="0"/>
          <w:numId w:val="59"/>
        </w:numPr>
        <w:suppressAutoHyphens/>
        <w:jc w:val="both"/>
        <w:rPr>
          <w:rFonts w:asciiTheme="minorHAnsi" w:hAnsiTheme="minorHAnsi"/>
        </w:rPr>
      </w:pPr>
      <w:r>
        <w:rPr>
          <w:rFonts w:asciiTheme="minorHAnsi" w:hAnsiTheme="minorHAnsi"/>
        </w:rPr>
        <w:t>Participation of the representatives of the General Inspectorate of Romanian Gendarmerie (IGJR) to international missions and activities</w:t>
      </w:r>
    </w:p>
    <w:p w:rsidR="00A064B6" w:rsidRPr="00A064B6" w:rsidRDefault="00A064B6" w:rsidP="009F7237">
      <w:pPr>
        <w:numPr>
          <w:ilvl w:val="0"/>
          <w:numId w:val="59"/>
        </w:numPr>
        <w:suppressAutoHyphens/>
        <w:jc w:val="both"/>
        <w:rPr>
          <w:rFonts w:asciiTheme="minorHAnsi" w:hAnsiTheme="minorHAnsi"/>
        </w:rPr>
      </w:pPr>
      <w:r>
        <w:rPr>
          <w:rFonts w:asciiTheme="minorHAnsi" w:hAnsiTheme="minorHAnsi"/>
        </w:rPr>
        <w:t>Performing initial and continuous training of gendarmes in the Military School of Petty Officers of Gendarmes “Grigore Alexandru Ghica” in Dragasani and in the Military School of Petty Officers of Gendarmes in Falticeni</w:t>
      </w:r>
    </w:p>
    <w:p w:rsidR="00A064B6" w:rsidRPr="00A064B6" w:rsidRDefault="00A064B6" w:rsidP="009F7237">
      <w:pPr>
        <w:numPr>
          <w:ilvl w:val="0"/>
          <w:numId w:val="59"/>
        </w:numPr>
        <w:suppressAutoHyphens/>
        <w:jc w:val="both"/>
        <w:rPr>
          <w:rFonts w:asciiTheme="minorHAnsi" w:hAnsiTheme="minorHAnsi"/>
          <w:i/>
        </w:rPr>
      </w:pPr>
      <w:r>
        <w:rPr>
          <w:rFonts w:asciiTheme="minorHAnsi" w:hAnsiTheme="minorHAnsi"/>
        </w:rPr>
        <w:t>Performing continuous professional training of gendarmes in the School of Ap</w:t>
      </w:r>
      <w:r w:rsidR="00F00F75">
        <w:rPr>
          <w:rFonts w:asciiTheme="minorHAnsi" w:hAnsiTheme="minorHAnsi"/>
        </w:rPr>
        <w:t>plication for officers “Mihai Vi</w:t>
      </w:r>
      <w:r>
        <w:rPr>
          <w:rFonts w:asciiTheme="minorHAnsi" w:hAnsiTheme="minorHAnsi"/>
        </w:rPr>
        <w:t>teazul” in Bucharest, the Center for Training and Improvement in Gheorghieni, the Moutain Center for Training and Improvement in Sinaia and the Center for Training and Improvement in Ochiuri</w:t>
      </w:r>
    </w:p>
    <w:p w:rsidR="00A064B6" w:rsidRPr="00A064B6" w:rsidRDefault="00A064B6" w:rsidP="009F7237">
      <w:pPr>
        <w:numPr>
          <w:ilvl w:val="0"/>
          <w:numId w:val="59"/>
        </w:numPr>
        <w:suppressAutoHyphens/>
        <w:jc w:val="both"/>
        <w:rPr>
          <w:rFonts w:asciiTheme="minorHAnsi" w:hAnsiTheme="minorHAnsi"/>
          <w:i/>
        </w:rPr>
      </w:pPr>
      <w:r>
        <w:rPr>
          <w:rFonts w:asciiTheme="minorHAnsi" w:hAnsiTheme="minorHAnsi"/>
        </w:rPr>
        <w:t>Performing information and operative activities for the identification, prevention, and counteracting of threats, vulnerabilities and of the risk factors that might lead to a serious disturbance of public order</w:t>
      </w:r>
    </w:p>
    <w:p w:rsidR="00A064B6" w:rsidRPr="00A064B6" w:rsidRDefault="00A064B6" w:rsidP="00A064B6">
      <w:pPr>
        <w:ind w:left="720"/>
        <w:jc w:val="both"/>
        <w:rPr>
          <w:rFonts w:asciiTheme="minorHAnsi" w:hAnsiTheme="minorHAnsi"/>
          <w:i/>
          <w:lang w:eastAsia="ja-JP"/>
        </w:rPr>
      </w:pPr>
    </w:p>
    <w:p w:rsidR="00A064B6" w:rsidRPr="00A064B6" w:rsidRDefault="00A064B6" w:rsidP="009F7237">
      <w:pPr>
        <w:numPr>
          <w:ilvl w:val="1"/>
          <w:numId w:val="47"/>
        </w:numPr>
        <w:suppressAutoHyphens/>
        <w:jc w:val="both"/>
        <w:rPr>
          <w:rFonts w:asciiTheme="minorHAnsi" w:eastAsia="Calibri" w:hAnsiTheme="minorHAnsi"/>
          <w:b/>
        </w:rPr>
      </w:pPr>
      <w:r>
        <w:rPr>
          <w:rFonts w:asciiTheme="minorHAnsi" w:hAnsiTheme="minorHAnsi"/>
          <w:b/>
        </w:rPr>
        <w:t>Expected results:</w:t>
      </w:r>
    </w:p>
    <w:p w:rsidR="00A064B6" w:rsidRPr="00A064B6" w:rsidRDefault="00A064B6" w:rsidP="009F7237">
      <w:pPr>
        <w:numPr>
          <w:ilvl w:val="0"/>
          <w:numId w:val="58"/>
        </w:numPr>
        <w:suppressAutoHyphens/>
        <w:contextualSpacing/>
        <w:jc w:val="both"/>
        <w:rPr>
          <w:rFonts w:asciiTheme="minorHAnsi" w:eastAsia="Calibri" w:hAnsiTheme="minorHAnsi"/>
        </w:rPr>
      </w:pPr>
      <w:r>
        <w:rPr>
          <w:rFonts w:asciiTheme="minorHAnsi" w:hAnsiTheme="minorHAnsi"/>
        </w:rPr>
        <w:t>To prevent and fight crimes against people, goods, as well as against the regime of weapons, ammunitions, nuclear materials, explosive materials and hazardous substances</w:t>
      </w:r>
    </w:p>
    <w:p w:rsidR="00A064B6" w:rsidRPr="00A064B6" w:rsidRDefault="00A064B6" w:rsidP="009F7237">
      <w:pPr>
        <w:numPr>
          <w:ilvl w:val="0"/>
          <w:numId w:val="58"/>
        </w:numPr>
        <w:suppressAutoHyphens/>
        <w:contextualSpacing/>
        <w:jc w:val="both"/>
        <w:rPr>
          <w:rFonts w:asciiTheme="minorHAnsi" w:eastAsia="Calibri" w:hAnsiTheme="minorHAnsi"/>
        </w:rPr>
      </w:pPr>
      <w:r>
        <w:rPr>
          <w:rFonts w:asciiTheme="minorHAnsi" w:hAnsiTheme="minorHAnsi"/>
        </w:rPr>
        <w:t>De-structuring of organized crime groups</w:t>
      </w:r>
    </w:p>
    <w:p w:rsidR="00A064B6" w:rsidRPr="003964D3" w:rsidRDefault="00A064B6" w:rsidP="009F7237">
      <w:pPr>
        <w:numPr>
          <w:ilvl w:val="0"/>
          <w:numId w:val="58"/>
        </w:numPr>
        <w:suppressAutoHyphens/>
        <w:contextualSpacing/>
        <w:jc w:val="both"/>
        <w:rPr>
          <w:rFonts w:asciiTheme="minorHAnsi" w:eastAsia="Calibri" w:hAnsiTheme="minorHAnsi"/>
        </w:rPr>
      </w:pPr>
      <w:r>
        <w:rPr>
          <w:rFonts w:asciiTheme="minorHAnsi" w:hAnsiTheme="minorHAnsi"/>
        </w:rPr>
        <w:t xml:space="preserve">Increasing the capacity for self-protection of the population against victimization and re-victimization through human trafficking </w:t>
      </w:r>
    </w:p>
    <w:p w:rsidR="00A064B6" w:rsidRPr="003964D3" w:rsidRDefault="00A064B6" w:rsidP="009F7237">
      <w:pPr>
        <w:numPr>
          <w:ilvl w:val="0"/>
          <w:numId w:val="58"/>
        </w:numPr>
        <w:suppressAutoHyphens/>
        <w:contextualSpacing/>
        <w:jc w:val="both"/>
        <w:rPr>
          <w:rFonts w:asciiTheme="minorHAnsi" w:eastAsia="Calibri" w:hAnsiTheme="minorHAnsi"/>
        </w:rPr>
      </w:pPr>
      <w:r>
        <w:rPr>
          <w:rFonts w:asciiTheme="minorHAnsi" w:hAnsiTheme="minorHAnsi"/>
        </w:rPr>
        <w:t>Reducing drug demand and offer</w:t>
      </w:r>
    </w:p>
    <w:p w:rsidR="00A064B6" w:rsidRPr="00A064B6" w:rsidRDefault="00A064B6" w:rsidP="009F7237">
      <w:pPr>
        <w:numPr>
          <w:ilvl w:val="0"/>
          <w:numId w:val="58"/>
        </w:numPr>
        <w:suppressAutoHyphens/>
        <w:contextualSpacing/>
        <w:jc w:val="both"/>
        <w:rPr>
          <w:rFonts w:asciiTheme="minorHAnsi" w:eastAsia="Calibri" w:hAnsiTheme="minorHAnsi"/>
        </w:rPr>
      </w:pPr>
      <w:r>
        <w:rPr>
          <w:rFonts w:asciiTheme="minorHAnsi" w:hAnsiTheme="minorHAnsi"/>
        </w:rPr>
        <w:t>Reducing tax evasion and other forms of economic and financial crime</w:t>
      </w:r>
    </w:p>
    <w:p w:rsidR="00A064B6" w:rsidRPr="00A064B6" w:rsidRDefault="00A064B6" w:rsidP="009F7237">
      <w:pPr>
        <w:numPr>
          <w:ilvl w:val="0"/>
          <w:numId w:val="58"/>
        </w:numPr>
        <w:suppressAutoHyphens/>
        <w:contextualSpacing/>
        <w:jc w:val="both"/>
        <w:rPr>
          <w:rFonts w:asciiTheme="minorHAnsi" w:eastAsia="Calibri" w:hAnsiTheme="minorHAnsi"/>
        </w:rPr>
      </w:pPr>
      <w:r>
        <w:rPr>
          <w:rFonts w:asciiTheme="minorHAnsi" w:hAnsiTheme="minorHAnsi"/>
        </w:rPr>
        <w:t xml:space="preserve">To reduce deviations and crimes which generate road, railway, and naval risks </w:t>
      </w:r>
    </w:p>
    <w:p w:rsidR="00A064B6" w:rsidRPr="00A064B6" w:rsidRDefault="00A064B6" w:rsidP="009F7237">
      <w:pPr>
        <w:numPr>
          <w:ilvl w:val="0"/>
          <w:numId w:val="58"/>
        </w:numPr>
        <w:suppressAutoHyphens/>
        <w:contextualSpacing/>
        <w:jc w:val="both"/>
        <w:rPr>
          <w:rFonts w:asciiTheme="minorHAnsi" w:eastAsia="Calibri" w:hAnsiTheme="minorHAnsi"/>
        </w:rPr>
      </w:pPr>
      <w:r>
        <w:rPr>
          <w:rFonts w:asciiTheme="minorHAnsi" w:hAnsiTheme="minorHAnsi"/>
        </w:rPr>
        <w:t>To protect the national cultural heritage and the national natural ecosystems</w:t>
      </w:r>
    </w:p>
    <w:p w:rsidR="00A064B6" w:rsidRPr="00A064B6" w:rsidRDefault="00A064B6" w:rsidP="009F7237">
      <w:pPr>
        <w:numPr>
          <w:ilvl w:val="0"/>
          <w:numId w:val="58"/>
        </w:numPr>
        <w:suppressAutoHyphens/>
        <w:contextualSpacing/>
        <w:jc w:val="both"/>
        <w:rPr>
          <w:rFonts w:asciiTheme="minorHAnsi" w:eastAsia="Calibri" w:hAnsiTheme="minorHAnsi"/>
        </w:rPr>
      </w:pPr>
      <w:r>
        <w:rPr>
          <w:rFonts w:asciiTheme="minorHAnsi" w:hAnsiTheme="minorHAnsi"/>
        </w:rPr>
        <w:t>To extend cooperation with external partners in the specific fields of IGPR</w:t>
      </w:r>
    </w:p>
    <w:p w:rsidR="00A064B6" w:rsidRPr="00A064B6" w:rsidRDefault="00A064B6" w:rsidP="009F7237">
      <w:pPr>
        <w:numPr>
          <w:ilvl w:val="0"/>
          <w:numId w:val="58"/>
        </w:numPr>
        <w:suppressAutoHyphens/>
        <w:contextualSpacing/>
        <w:jc w:val="both"/>
        <w:rPr>
          <w:rFonts w:asciiTheme="minorHAnsi" w:eastAsia="Calibri" w:hAnsiTheme="minorHAnsi"/>
        </w:rPr>
      </w:pPr>
      <w:r>
        <w:rPr>
          <w:rFonts w:asciiTheme="minorHAnsi" w:hAnsiTheme="minorHAnsi"/>
        </w:rPr>
        <w:t>To ensure specialized human resources - initial and continuous training of the personnel of IGPR</w:t>
      </w:r>
    </w:p>
    <w:p w:rsidR="00A064B6" w:rsidRPr="003964D3" w:rsidRDefault="00A064B6" w:rsidP="009F7237">
      <w:pPr>
        <w:numPr>
          <w:ilvl w:val="0"/>
          <w:numId w:val="58"/>
        </w:numPr>
        <w:suppressAutoHyphens/>
        <w:contextualSpacing/>
        <w:jc w:val="both"/>
        <w:rPr>
          <w:rFonts w:asciiTheme="minorHAnsi" w:eastAsia="Calibri" w:hAnsiTheme="minorHAnsi"/>
        </w:rPr>
      </w:pPr>
      <w:r>
        <w:rPr>
          <w:rFonts w:asciiTheme="minorHAnsi" w:hAnsiTheme="minorHAnsi"/>
        </w:rPr>
        <w:t>To maintain a high percentage of interventions with response time below 10 minutes for the calls of SNUAU 112</w:t>
      </w:r>
    </w:p>
    <w:p w:rsidR="00A064B6" w:rsidRPr="00A064B6" w:rsidRDefault="00A064B6" w:rsidP="009F7237">
      <w:pPr>
        <w:numPr>
          <w:ilvl w:val="0"/>
          <w:numId w:val="58"/>
        </w:numPr>
        <w:suppressAutoHyphens/>
        <w:contextualSpacing/>
        <w:jc w:val="both"/>
        <w:rPr>
          <w:rFonts w:asciiTheme="minorHAnsi" w:eastAsia="Calibri" w:hAnsiTheme="minorHAnsi"/>
        </w:rPr>
      </w:pPr>
      <w:r>
        <w:rPr>
          <w:rFonts w:asciiTheme="minorHAnsi" w:hAnsiTheme="minorHAnsi"/>
        </w:rPr>
        <w:t>To reduce the incidents registered at the objectives, goods, values, and transports under the responsibility of the Romanian Gendarmerie</w:t>
      </w:r>
    </w:p>
    <w:p w:rsidR="00A064B6" w:rsidRPr="003964D3" w:rsidRDefault="00A064B6" w:rsidP="009F7237">
      <w:pPr>
        <w:numPr>
          <w:ilvl w:val="0"/>
          <w:numId w:val="58"/>
        </w:numPr>
        <w:suppressAutoHyphens/>
        <w:contextualSpacing/>
        <w:jc w:val="both"/>
        <w:rPr>
          <w:rFonts w:asciiTheme="minorHAnsi" w:eastAsia="Calibri" w:hAnsiTheme="minorHAnsi"/>
        </w:rPr>
      </w:pPr>
      <w:r>
        <w:rPr>
          <w:rFonts w:asciiTheme="minorHAnsi" w:hAnsiTheme="minorHAnsi"/>
        </w:rPr>
        <w:t>To reduce the number of antisocial acts committed on the streets</w:t>
      </w:r>
    </w:p>
    <w:p w:rsidR="00A064B6" w:rsidRPr="003964D3" w:rsidRDefault="00A064B6" w:rsidP="009F7237">
      <w:pPr>
        <w:numPr>
          <w:ilvl w:val="0"/>
          <w:numId w:val="58"/>
        </w:numPr>
        <w:suppressAutoHyphens/>
        <w:contextualSpacing/>
        <w:jc w:val="both"/>
        <w:rPr>
          <w:rFonts w:asciiTheme="minorHAnsi" w:eastAsia="Calibri" w:hAnsiTheme="minorHAnsi"/>
        </w:rPr>
      </w:pPr>
      <w:r>
        <w:rPr>
          <w:rFonts w:asciiTheme="minorHAnsi" w:hAnsiTheme="minorHAnsi"/>
        </w:rPr>
        <w:t>To contribute to maintaining the terrorist threat at a low level</w:t>
      </w:r>
    </w:p>
    <w:p w:rsidR="00A064B6" w:rsidRPr="00A064B6" w:rsidRDefault="00A064B6" w:rsidP="009F7237">
      <w:pPr>
        <w:numPr>
          <w:ilvl w:val="0"/>
          <w:numId w:val="58"/>
        </w:numPr>
        <w:suppressAutoHyphens/>
        <w:contextualSpacing/>
        <w:jc w:val="both"/>
        <w:rPr>
          <w:rFonts w:asciiTheme="minorHAnsi" w:eastAsia="Calibri" w:hAnsiTheme="minorHAnsi"/>
        </w:rPr>
      </w:pPr>
      <w:r>
        <w:rPr>
          <w:rFonts w:asciiTheme="minorHAnsi" w:hAnsiTheme="minorHAnsi"/>
        </w:rPr>
        <w:t>To extend cooperation with external partners in the specific fields of IGJR</w:t>
      </w:r>
    </w:p>
    <w:p w:rsidR="00A064B6" w:rsidRPr="00A064B6" w:rsidRDefault="00A064B6" w:rsidP="009F7237">
      <w:pPr>
        <w:numPr>
          <w:ilvl w:val="0"/>
          <w:numId w:val="58"/>
        </w:numPr>
        <w:suppressAutoHyphens/>
        <w:contextualSpacing/>
        <w:jc w:val="both"/>
        <w:rPr>
          <w:rFonts w:asciiTheme="minorHAnsi" w:eastAsia="Calibri" w:hAnsiTheme="minorHAnsi"/>
        </w:rPr>
      </w:pPr>
      <w:r>
        <w:rPr>
          <w:rFonts w:asciiTheme="minorHAnsi" w:hAnsiTheme="minorHAnsi"/>
        </w:rPr>
        <w:t>To ensure specialized human resources - initial and continuous training of the personnel of IGJR</w:t>
      </w:r>
    </w:p>
    <w:p w:rsidR="00A064B6" w:rsidRPr="00A064B6" w:rsidRDefault="00A064B6" w:rsidP="009F7237">
      <w:pPr>
        <w:numPr>
          <w:ilvl w:val="0"/>
          <w:numId w:val="58"/>
        </w:numPr>
        <w:suppressAutoHyphens/>
        <w:contextualSpacing/>
        <w:jc w:val="both"/>
        <w:rPr>
          <w:rFonts w:asciiTheme="minorHAnsi" w:eastAsia="Calibri" w:hAnsiTheme="minorHAnsi"/>
        </w:rPr>
      </w:pPr>
      <w:r>
        <w:rPr>
          <w:rFonts w:asciiTheme="minorHAnsi" w:hAnsiTheme="minorHAnsi"/>
        </w:rPr>
        <w:t>To ensure decisional support in the activity of assurance and restoration of public order</w:t>
      </w:r>
    </w:p>
    <w:p w:rsidR="00A064B6" w:rsidRPr="00A064B6" w:rsidRDefault="00A064B6" w:rsidP="00A064B6">
      <w:pPr>
        <w:tabs>
          <w:tab w:val="left" w:pos="0"/>
        </w:tabs>
        <w:jc w:val="both"/>
        <w:rPr>
          <w:rFonts w:asciiTheme="minorHAnsi" w:hAnsiTheme="minorHAnsi"/>
          <w:lang w:eastAsia="zh-CN"/>
        </w:rPr>
      </w:pPr>
    </w:p>
    <w:p w:rsidR="00A064B6" w:rsidRPr="003964D3" w:rsidRDefault="00A064B6" w:rsidP="00A064B6">
      <w:pPr>
        <w:tabs>
          <w:tab w:val="left" w:pos="0"/>
        </w:tabs>
        <w:jc w:val="both"/>
        <w:rPr>
          <w:rFonts w:asciiTheme="minorHAnsi" w:hAnsiTheme="minorHAnsi"/>
          <w:b/>
        </w:rPr>
      </w:pPr>
      <w:r>
        <w:rPr>
          <w:rFonts w:asciiTheme="minorHAnsi" w:hAnsiTheme="minorHAnsi"/>
          <w:b/>
        </w:rPr>
        <w:t>1.4 Impact indicators of the Programme 1 “Public order and safety”:</w:t>
      </w:r>
    </w:p>
    <w:p w:rsidR="00A064B6" w:rsidRPr="00AA62AF" w:rsidRDefault="00A064B6" w:rsidP="00A064B6">
      <w:pPr>
        <w:tabs>
          <w:tab w:val="left" w:pos="0"/>
        </w:tabs>
        <w:ind w:left="384"/>
        <w:jc w:val="both"/>
        <w:rPr>
          <w:rFonts w:asciiTheme="minorHAnsi" w:hAnsiTheme="minorHAnsi"/>
          <w:sz w:val="16"/>
          <w:szCs w:val="16"/>
          <w:lang w:val="fr-FR"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154"/>
        <w:gridCol w:w="893"/>
        <w:gridCol w:w="2285"/>
      </w:tblGrid>
      <w:tr w:rsidR="00A064B6" w:rsidRPr="00A064B6" w:rsidTr="00842BC9">
        <w:trPr>
          <w:jc w:val="center"/>
        </w:trPr>
        <w:tc>
          <w:tcPr>
            <w:tcW w:w="245" w:type="dxa"/>
            <w:shd w:val="clear" w:color="auto" w:fill="E2EFD9"/>
          </w:tcPr>
          <w:p w:rsidR="00A064B6" w:rsidRPr="00A064B6" w:rsidRDefault="00A064B6" w:rsidP="00A064B6">
            <w:pPr>
              <w:suppressAutoHyphens/>
              <w:jc w:val="both"/>
              <w:rPr>
                <w:rFonts w:asciiTheme="minorHAnsi" w:eastAsia="Calibri" w:hAnsiTheme="minorHAnsi"/>
                <w:b/>
              </w:rPr>
            </w:pPr>
            <w:r>
              <w:rPr>
                <w:rFonts w:asciiTheme="minorHAnsi" w:hAnsiTheme="minorHAnsi"/>
                <w:b/>
              </w:rPr>
              <w:t>No.</w:t>
            </w:r>
          </w:p>
        </w:tc>
        <w:tc>
          <w:tcPr>
            <w:tcW w:w="6154" w:type="dxa"/>
            <w:shd w:val="clear" w:color="auto" w:fill="E2EFD9"/>
          </w:tcPr>
          <w:p w:rsidR="00A064B6" w:rsidRPr="00A064B6" w:rsidRDefault="00A064B6" w:rsidP="00A064B6">
            <w:pPr>
              <w:suppressAutoHyphens/>
              <w:jc w:val="both"/>
              <w:rPr>
                <w:rFonts w:asciiTheme="minorHAnsi" w:eastAsia="Calibri" w:hAnsiTheme="minorHAnsi"/>
                <w:b/>
              </w:rPr>
            </w:pPr>
            <w:r>
              <w:rPr>
                <w:rFonts w:asciiTheme="minorHAnsi" w:hAnsiTheme="minorHAnsi"/>
                <w:b/>
              </w:rPr>
              <w:t>Indicator name</w:t>
            </w:r>
          </w:p>
        </w:tc>
        <w:tc>
          <w:tcPr>
            <w:tcW w:w="893" w:type="dxa"/>
            <w:shd w:val="clear" w:color="auto" w:fill="E2EFD9"/>
          </w:tcPr>
          <w:p w:rsidR="00A064B6" w:rsidRPr="00A064B6" w:rsidRDefault="00A064B6" w:rsidP="00A064B6">
            <w:pPr>
              <w:suppressAutoHyphens/>
              <w:jc w:val="both"/>
              <w:rPr>
                <w:rFonts w:asciiTheme="minorHAnsi" w:eastAsia="Calibri" w:hAnsiTheme="minorHAnsi"/>
                <w:b/>
              </w:rPr>
            </w:pPr>
            <w:r>
              <w:rPr>
                <w:rFonts w:asciiTheme="minorHAnsi" w:hAnsiTheme="minorHAnsi"/>
                <w:b/>
              </w:rPr>
              <w:t>M.U.</w:t>
            </w:r>
          </w:p>
        </w:tc>
        <w:tc>
          <w:tcPr>
            <w:tcW w:w="2285" w:type="dxa"/>
            <w:shd w:val="clear" w:color="auto" w:fill="E2EFD9"/>
          </w:tcPr>
          <w:p w:rsidR="00A064B6" w:rsidRPr="00A064B6" w:rsidRDefault="00A064B6" w:rsidP="00A064B6">
            <w:pPr>
              <w:suppressAutoHyphens/>
              <w:jc w:val="both"/>
              <w:rPr>
                <w:rFonts w:asciiTheme="minorHAnsi" w:eastAsia="Calibri" w:hAnsiTheme="minorHAnsi"/>
                <w:b/>
              </w:rPr>
            </w:pPr>
            <w:r>
              <w:rPr>
                <w:rFonts w:asciiTheme="minorHAnsi" w:hAnsiTheme="minorHAnsi"/>
                <w:b/>
              </w:rPr>
              <w:t>Target for 2021</w:t>
            </w:r>
          </w:p>
        </w:tc>
      </w:tr>
      <w:tr w:rsidR="00A064B6" w:rsidRPr="00A064B6" w:rsidTr="00842BC9">
        <w:trPr>
          <w:jc w:val="center"/>
        </w:trPr>
        <w:tc>
          <w:tcPr>
            <w:tcW w:w="245" w:type="dxa"/>
            <w:shd w:val="clear" w:color="auto" w:fill="auto"/>
          </w:tcPr>
          <w:p w:rsidR="00A064B6" w:rsidRPr="00A064B6" w:rsidRDefault="00A064B6" w:rsidP="00A064B6">
            <w:pPr>
              <w:suppressAutoHyphens/>
              <w:jc w:val="both"/>
              <w:rPr>
                <w:rFonts w:asciiTheme="minorHAnsi" w:eastAsia="Calibri" w:hAnsiTheme="minorHAnsi"/>
              </w:rPr>
            </w:pPr>
            <w:r>
              <w:rPr>
                <w:rFonts w:asciiTheme="minorHAnsi" w:hAnsiTheme="minorHAnsi"/>
              </w:rPr>
              <w:t>1.</w:t>
            </w:r>
          </w:p>
        </w:tc>
        <w:tc>
          <w:tcPr>
            <w:tcW w:w="6154" w:type="dxa"/>
            <w:shd w:val="clear" w:color="auto" w:fill="auto"/>
          </w:tcPr>
          <w:p w:rsidR="00A064B6" w:rsidRPr="00A064B6" w:rsidRDefault="00A064B6" w:rsidP="00A064B6">
            <w:pPr>
              <w:suppressAutoHyphens/>
              <w:jc w:val="both"/>
              <w:rPr>
                <w:rFonts w:asciiTheme="minorHAnsi" w:eastAsia="Calibri" w:hAnsiTheme="minorHAnsi"/>
              </w:rPr>
            </w:pPr>
            <w:r>
              <w:rPr>
                <w:rFonts w:asciiTheme="minorHAnsi" w:hAnsiTheme="minorHAnsi"/>
              </w:rPr>
              <w:t>Share of population considering that Romania is totally or very unsafe with regard to security of individuals</w:t>
            </w:r>
          </w:p>
        </w:tc>
        <w:tc>
          <w:tcPr>
            <w:tcW w:w="893" w:type="dxa"/>
            <w:shd w:val="clear" w:color="auto" w:fill="auto"/>
          </w:tcPr>
          <w:p w:rsidR="00A064B6" w:rsidRPr="00A064B6" w:rsidRDefault="00A064B6" w:rsidP="00A064B6">
            <w:pPr>
              <w:suppressAutoHyphens/>
              <w:jc w:val="both"/>
              <w:rPr>
                <w:rFonts w:asciiTheme="minorHAnsi" w:eastAsia="Calibri" w:hAnsiTheme="minorHAnsi"/>
              </w:rPr>
            </w:pPr>
            <w:r>
              <w:rPr>
                <w:rFonts w:asciiTheme="minorHAnsi" w:hAnsiTheme="minorHAnsi"/>
              </w:rPr>
              <w:t>%</w:t>
            </w:r>
          </w:p>
        </w:tc>
        <w:tc>
          <w:tcPr>
            <w:tcW w:w="2285" w:type="dxa"/>
            <w:shd w:val="clear" w:color="auto" w:fill="auto"/>
          </w:tcPr>
          <w:p w:rsidR="00A064B6" w:rsidRPr="00A064B6" w:rsidRDefault="00A064B6" w:rsidP="00A064B6">
            <w:pPr>
              <w:suppressAutoHyphens/>
              <w:jc w:val="both"/>
              <w:rPr>
                <w:rFonts w:asciiTheme="minorHAnsi" w:eastAsia="Calibri" w:hAnsiTheme="minorHAnsi"/>
              </w:rPr>
            </w:pPr>
            <w:r>
              <w:rPr>
                <w:rFonts w:asciiTheme="minorHAnsi" w:hAnsiTheme="minorHAnsi"/>
              </w:rPr>
              <w:t>6%</w:t>
            </w:r>
          </w:p>
        </w:tc>
      </w:tr>
      <w:tr w:rsidR="00A064B6" w:rsidRPr="00A064B6" w:rsidTr="00842BC9">
        <w:trPr>
          <w:jc w:val="center"/>
        </w:trPr>
        <w:tc>
          <w:tcPr>
            <w:tcW w:w="245" w:type="dxa"/>
            <w:shd w:val="clear" w:color="auto" w:fill="auto"/>
          </w:tcPr>
          <w:p w:rsidR="00A064B6" w:rsidRPr="00A064B6" w:rsidRDefault="00A064B6" w:rsidP="00A064B6">
            <w:pPr>
              <w:suppressAutoHyphens/>
              <w:jc w:val="both"/>
              <w:rPr>
                <w:rFonts w:asciiTheme="minorHAnsi" w:eastAsia="Calibri" w:hAnsiTheme="minorHAnsi"/>
              </w:rPr>
            </w:pPr>
            <w:r>
              <w:rPr>
                <w:rFonts w:asciiTheme="minorHAnsi" w:hAnsiTheme="minorHAnsi"/>
              </w:rPr>
              <w:t>2.</w:t>
            </w:r>
          </w:p>
        </w:tc>
        <w:tc>
          <w:tcPr>
            <w:tcW w:w="6154" w:type="dxa"/>
            <w:shd w:val="clear" w:color="auto" w:fill="auto"/>
          </w:tcPr>
          <w:p w:rsidR="00A064B6" w:rsidRPr="003964D3" w:rsidRDefault="00A064B6" w:rsidP="00A064B6">
            <w:pPr>
              <w:suppressAutoHyphens/>
              <w:jc w:val="both"/>
              <w:rPr>
                <w:rFonts w:asciiTheme="minorHAnsi" w:eastAsia="Calibri" w:hAnsiTheme="minorHAnsi"/>
              </w:rPr>
            </w:pPr>
            <w:r>
              <w:rPr>
                <w:rFonts w:asciiTheme="minorHAnsi" w:hAnsiTheme="minorHAnsi"/>
              </w:rPr>
              <w:t>Number of crimes per 100,000 inhabitants</w:t>
            </w:r>
          </w:p>
        </w:tc>
        <w:tc>
          <w:tcPr>
            <w:tcW w:w="893" w:type="dxa"/>
            <w:shd w:val="clear" w:color="auto" w:fill="auto"/>
          </w:tcPr>
          <w:p w:rsidR="00A064B6" w:rsidRPr="00A064B6" w:rsidRDefault="00A064B6" w:rsidP="00A064B6">
            <w:pPr>
              <w:suppressAutoHyphens/>
              <w:jc w:val="both"/>
              <w:rPr>
                <w:rFonts w:asciiTheme="minorHAnsi" w:eastAsia="Calibri" w:hAnsiTheme="minorHAnsi"/>
              </w:rPr>
            </w:pPr>
            <w:r>
              <w:rPr>
                <w:rFonts w:asciiTheme="minorHAnsi" w:hAnsiTheme="minorHAnsi"/>
              </w:rPr>
              <w:t>No.</w:t>
            </w:r>
          </w:p>
        </w:tc>
        <w:tc>
          <w:tcPr>
            <w:tcW w:w="2285" w:type="dxa"/>
            <w:shd w:val="clear" w:color="auto" w:fill="auto"/>
          </w:tcPr>
          <w:p w:rsidR="00A064B6" w:rsidRPr="00A064B6" w:rsidRDefault="00A064B6" w:rsidP="00A064B6">
            <w:pPr>
              <w:suppressAutoHyphens/>
              <w:jc w:val="both"/>
              <w:rPr>
                <w:rFonts w:asciiTheme="minorHAnsi" w:eastAsia="Calibri" w:hAnsiTheme="minorHAnsi"/>
              </w:rPr>
            </w:pPr>
            <w:r>
              <w:rPr>
                <w:rFonts w:asciiTheme="minorHAnsi" w:hAnsiTheme="minorHAnsi"/>
              </w:rPr>
              <w:t>1,467</w:t>
            </w:r>
          </w:p>
        </w:tc>
      </w:tr>
      <w:tr w:rsidR="00A064B6" w:rsidRPr="00A064B6" w:rsidTr="00842BC9">
        <w:trPr>
          <w:jc w:val="center"/>
        </w:trPr>
        <w:tc>
          <w:tcPr>
            <w:tcW w:w="245" w:type="dxa"/>
            <w:shd w:val="clear" w:color="auto" w:fill="auto"/>
          </w:tcPr>
          <w:p w:rsidR="00A064B6" w:rsidRPr="00A064B6" w:rsidRDefault="00A064B6" w:rsidP="00A064B6">
            <w:pPr>
              <w:suppressAutoHyphens/>
              <w:jc w:val="both"/>
              <w:rPr>
                <w:rFonts w:asciiTheme="minorHAnsi" w:eastAsia="Calibri" w:hAnsiTheme="minorHAnsi"/>
              </w:rPr>
            </w:pPr>
            <w:r>
              <w:rPr>
                <w:rFonts w:asciiTheme="minorHAnsi" w:hAnsiTheme="minorHAnsi"/>
              </w:rPr>
              <w:t>3.</w:t>
            </w:r>
          </w:p>
        </w:tc>
        <w:tc>
          <w:tcPr>
            <w:tcW w:w="6154" w:type="dxa"/>
            <w:shd w:val="clear" w:color="auto" w:fill="auto"/>
          </w:tcPr>
          <w:p w:rsidR="00A064B6" w:rsidRPr="003964D3" w:rsidRDefault="00A064B6" w:rsidP="00A064B6">
            <w:pPr>
              <w:suppressAutoHyphens/>
              <w:jc w:val="both"/>
              <w:rPr>
                <w:rFonts w:asciiTheme="minorHAnsi" w:eastAsia="Calibri" w:hAnsiTheme="minorHAnsi"/>
              </w:rPr>
            </w:pPr>
            <w:r>
              <w:rPr>
                <w:rFonts w:asciiTheme="minorHAnsi" w:hAnsiTheme="minorHAnsi"/>
              </w:rPr>
              <w:t>Level of confidence of the population in the structure of the MIA (Romanian Police)</w:t>
            </w:r>
          </w:p>
        </w:tc>
        <w:tc>
          <w:tcPr>
            <w:tcW w:w="893" w:type="dxa"/>
            <w:shd w:val="clear" w:color="auto" w:fill="auto"/>
          </w:tcPr>
          <w:p w:rsidR="00A064B6" w:rsidRPr="00A064B6" w:rsidRDefault="00A064B6" w:rsidP="00A064B6">
            <w:pPr>
              <w:suppressAutoHyphens/>
              <w:jc w:val="both"/>
              <w:rPr>
                <w:rFonts w:asciiTheme="minorHAnsi" w:eastAsia="Calibri" w:hAnsiTheme="minorHAnsi"/>
              </w:rPr>
            </w:pPr>
            <w:r>
              <w:rPr>
                <w:rFonts w:asciiTheme="minorHAnsi" w:hAnsiTheme="minorHAnsi"/>
              </w:rPr>
              <w:t>%</w:t>
            </w:r>
          </w:p>
        </w:tc>
        <w:tc>
          <w:tcPr>
            <w:tcW w:w="2285" w:type="dxa"/>
            <w:shd w:val="clear" w:color="auto" w:fill="auto"/>
          </w:tcPr>
          <w:p w:rsidR="00A064B6" w:rsidRPr="00A064B6" w:rsidRDefault="00A064B6" w:rsidP="00A064B6">
            <w:pPr>
              <w:suppressAutoHyphens/>
              <w:jc w:val="both"/>
              <w:rPr>
                <w:rFonts w:asciiTheme="minorHAnsi" w:eastAsia="Calibri" w:hAnsiTheme="minorHAnsi"/>
              </w:rPr>
            </w:pPr>
            <w:r>
              <w:rPr>
                <w:rFonts w:asciiTheme="minorHAnsi" w:hAnsiTheme="minorHAnsi"/>
              </w:rPr>
              <w:t>52%</w:t>
            </w:r>
          </w:p>
          <w:p w:rsidR="00A064B6" w:rsidRPr="00A064B6" w:rsidRDefault="00A064B6" w:rsidP="00A064B6">
            <w:pPr>
              <w:suppressAutoHyphens/>
              <w:jc w:val="both"/>
              <w:rPr>
                <w:rFonts w:asciiTheme="minorHAnsi" w:eastAsia="Calibri" w:hAnsiTheme="minorHAnsi"/>
                <w:lang w:eastAsia="zh-CN"/>
              </w:rPr>
            </w:pPr>
          </w:p>
        </w:tc>
      </w:tr>
    </w:tbl>
    <w:p w:rsidR="00A064B6" w:rsidRDefault="00A064B6" w:rsidP="00A064B6">
      <w:pPr>
        <w:tabs>
          <w:tab w:val="left" w:pos="0"/>
        </w:tabs>
        <w:jc w:val="both"/>
        <w:rPr>
          <w:rFonts w:asciiTheme="minorHAnsi" w:hAnsiTheme="minorHAnsi"/>
          <w:lang w:eastAsia="zh-CN"/>
        </w:rPr>
      </w:pPr>
    </w:p>
    <w:p w:rsidR="00960BA6" w:rsidRPr="00A064B6" w:rsidRDefault="00960BA6" w:rsidP="00A064B6">
      <w:pPr>
        <w:tabs>
          <w:tab w:val="left" w:pos="0"/>
        </w:tabs>
        <w:jc w:val="both"/>
        <w:rPr>
          <w:rFonts w:asciiTheme="minorHAnsi" w:hAnsiTheme="minorHAnsi"/>
          <w:lang w:eastAsia="zh-CN"/>
        </w:rPr>
      </w:pPr>
    </w:p>
    <w:p w:rsidR="00A064B6" w:rsidRPr="003964D3" w:rsidRDefault="00A064B6" w:rsidP="00A064B6">
      <w:pPr>
        <w:suppressAutoHyphens/>
        <w:jc w:val="both"/>
        <w:rPr>
          <w:rFonts w:asciiTheme="minorHAnsi" w:hAnsiTheme="minorHAnsi"/>
          <w:b/>
        </w:rPr>
      </w:pPr>
      <w:r>
        <w:rPr>
          <w:rFonts w:asciiTheme="minorHAnsi" w:hAnsiTheme="minorHAnsi"/>
          <w:b/>
        </w:rPr>
        <w:t>PROGRAM 2 “STATE BORDER SAFETY, MIGRATION, ASYLUM, AND INTEGRATION”</w:t>
      </w:r>
    </w:p>
    <w:p w:rsidR="00A064B6" w:rsidRPr="003964D3" w:rsidRDefault="00A064B6" w:rsidP="00A064B6">
      <w:pPr>
        <w:suppressAutoHyphens/>
        <w:jc w:val="both"/>
        <w:rPr>
          <w:rFonts w:asciiTheme="minorHAnsi" w:hAnsiTheme="minorHAnsi"/>
          <w:i/>
        </w:rPr>
      </w:pPr>
      <w:r>
        <w:rPr>
          <w:rFonts w:asciiTheme="minorHAnsi" w:hAnsiTheme="minorHAnsi"/>
          <w:b/>
        </w:rPr>
        <w:t>2.1</w:t>
      </w:r>
      <w:r>
        <w:rPr>
          <w:rFonts w:asciiTheme="minorHAnsi" w:hAnsiTheme="minorHAnsi"/>
        </w:rPr>
        <w:t xml:space="preserve"> </w:t>
      </w:r>
      <w:r>
        <w:rPr>
          <w:rFonts w:asciiTheme="minorHAnsi" w:hAnsiTheme="minorHAnsi"/>
          <w:b/>
        </w:rPr>
        <w:t>Program objective</w:t>
      </w:r>
      <w:r>
        <w:rPr>
          <w:rFonts w:asciiTheme="minorHAnsi" w:hAnsiTheme="minorHAnsi"/>
        </w:rPr>
        <w:t xml:space="preserve"> - </w:t>
      </w:r>
      <w:r>
        <w:rPr>
          <w:rFonts w:asciiTheme="minorHAnsi" w:hAnsiTheme="minorHAnsi"/>
          <w:i/>
        </w:rPr>
        <w:t>Ensuring a high degree of safety for people and protection of assets</w:t>
      </w:r>
    </w:p>
    <w:p w:rsidR="00A064B6" w:rsidRPr="003964D3" w:rsidRDefault="00A064B6" w:rsidP="00A064B6">
      <w:pPr>
        <w:suppressAutoHyphens/>
        <w:jc w:val="both"/>
        <w:rPr>
          <w:rFonts w:asciiTheme="minorHAnsi" w:hAnsiTheme="minorHAnsi"/>
          <w:i/>
          <w:lang w:val="fr-FR" w:eastAsia="zh-CN"/>
        </w:rPr>
      </w:pPr>
    </w:p>
    <w:p w:rsidR="00A064B6" w:rsidRPr="00A064B6" w:rsidRDefault="00A064B6" w:rsidP="00A064B6">
      <w:pPr>
        <w:tabs>
          <w:tab w:val="left" w:pos="993"/>
        </w:tabs>
        <w:contextualSpacing/>
        <w:jc w:val="both"/>
        <w:rPr>
          <w:rFonts w:asciiTheme="minorHAnsi" w:eastAsia="Calibri" w:hAnsiTheme="minorHAnsi"/>
          <w:b/>
        </w:rPr>
      </w:pPr>
      <w:r>
        <w:rPr>
          <w:rFonts w:asciiTheme="minorHAnsi" w:hAnsiTheme="minorHAnsi"/>
          <w:b/>
        </w:rPr>
        <w:t>2.2 Program measures:</w:t>
      </w:r>
    </w:p>
    <w:p w:rsidR="00A064B6" w:rsidRPr="003964D3" w:rsidRDefault="00A064B6" w:rsidP="009F7237">
      <w:pPr>
        <w:numPr>
          <w:ilvl w:val="0"/>
          <w:numId w:val="57"/>
        </w:numPr>
        <w:suppressAutoHyphens/>
        <w:contextualSpacing/>
        <w:jc w:val="both"/>
        <w:rPr>
          <w:rFonts w:asciiTheme="minorHAnsi" w:hAnsiTheme="minorHAnsi"/>
        </w:rPr>
      </w:pPr>
      <w:r>
        <w:rPr>
          <w:rFonts w:asciiTheme="minorHAnsi" w:hAnsiTheme="minorHAnsi"/>
        </w:rPr>
        <w:t>Supervision and control of State border crossing</w:t>
      </w:r>
    </w:p>
    <w:p w:rsidR="00A064B6" w:rsidRPr="00A064B6" w:rsidRDefault="00A064B6" w:rsidP="009F7237">
      <w:pPr>
        <w:numPr>
          <w:ilvl w:val="0"/>
          <w:numId w:val="57"/>
        </w:numPr>
        <w:suppressAutoHyphens/>
        <w:contextualSpacing/>
        <w:jc w:val="both"/>
        <w:rPr>
          <w:rFonts w:asciiTheme="minorHAnsi" w:hAnsiTheme="minorHAnsi"/>
        </w:rPr>
      </w:pPr>
      <w:r>
        <w:rPr>
          <w:rFonts w:asciiTheme="minorHAnsi" w:hAnsiTheme="minorHAnsi"/>
        </w:rPr>
        <w:t>Combating fraudulent border crossings</w:t>
      </w:r>
    </w:p>
    <w:p w:rsidR="00A064B6" w:rsidRPr="00A064B6" w:rsidRDefault="00A064B6" w:rsidP="009F7237">
      <w:pPr>
        <w:numPr>
          <w:ilvl w:val="0"/>
          <w:numId w:val="57"/>
        </w:numPr>
        <w:suppressAutoHyphens/>
        <w:contextualSpacing/>
        <w:jc w:val="both"/>
        <w:rPr>
          <w:rFonts w:asciiTheme="minorHAnsi" w:hAnsiTheme="minorHAnsi"/>
        </w:rPr>
      </w:pPr>
      <w:r>
        <w:rPr>
          <w:rFonts w:asciiTheme="minorHAnsi" w:hAnsiTheme="minorHAnsi"/>
        </w:rPr>
        <w:t xml:space="preserve">Combating migrant trafficking </w:t>
      </w:r>
    </w:p>
    <w:p w:rsidR="00A064B6" w:rsidRPr="003964D3" w:rsidRDefault="00A064B6" w:rsidP="009F7237">
      <w:pPr>
        <w:numPr>
          <w:ilvl w:val="0"/>
          <w:numId w:val="57"/>
        </w:numPr>
        <w:suppressAutoHyphens/>
        <w:contextualSpacing/>
        <w:jc w:val="both"/>
        <w:rPr>
          <w:rFonts w:asciiTheme="minorHAnsi" w:hAnsiTheme="minorHAnsi"/>
        </w:rPr>
      </w:pPr>
      <w:r>
        <w:rPr>
          <w:rFonts w:asciiTheme="minorHAnsi" w:hAnsiTheme="minorHAnsi"/>
        </w:rPr>
        <w:t>Participation of the representatives of the General Inspectorate of Border Police (IGPF) to international missions and activities (exclusively of those subordinated to FRONTEX)</w:t>
      </w:r>
    </w:p>
    <w:p w:rsidR="00A064B6" w:rsidRPr="00A064B6" w:rsidRDefault="00A064B6" w:rsidP="009F7237">
      <w:pPr>
        <w:numPr>
          <w:ilvl w:val="0"/>
          <w:numId w:val="57"/>
        </w:numPr>
        <w:suppressAutoHyphens/>
        <w:contextualSpacing/>
        <w:jc w:val="both"/>
        <w:rPr>
          <w:rFonts w:asciiTheme="minorHAnsi" w:hAnsiTheme="minorHAnsi"/>
        </w:rPr>
      </w:pPr>
      <w:r>
        <w:rPr>
          <w:rFonts w:asciiTheme="minorHAnsi" w:hAnsiTheme="minorHAnsi"/>
        </w:rPr>
        <w:t>Participation of the representatives of IGPF to common operations under the aegis of FRONTEX</w:t>
      </w:r>
    </w:p>
    <w:p w:rsidR="00A064B6" w:rsidRPr="003964D3" w:rsidRDefault="00A064B6" w:rsidP="009F7237">
      <w:pPr>
        <w:numPr>
          <w:ilvl w:val="0"/>
          <w:numId w:val="57"/>
        </w:numPr>
        <w:suppressAutoHyphens/>
        <w:contextualSpacing/>
        <w:jc w:val="both"/>
        <w:rPr>
          <w:rFonts w:asciiTheme="minorHAnsi" w:hAnsiTheme="minorHAnsi"/>
        </w:rPr>
      </w:pPr>
      <w:r>
        <w:rPr>
          <w:rFonts w:asciiTheme="minorHAnsi" w:hAnsiTheme="minorHAnsi"/>
        </w:rPr>
        <w:t>Participation of the representatives of the General Aviation Inspectorate of the Ministry of Internal Affairs (IGAv) to international actions under the aegis of FRONTEX</w:t>
      </w:r>
    </w:p>
    <w:p w:rsidR="00A064B6" w:rsidRPr="003964D3" w:rsidRDefault="00A064B6" w:rsidP="009F7237">
      <w:pPr>
        <w:numPr>
          <w:ilvl w:val="0"/>
          <w:numId w:val="57"/>
        </w:numPr>
        <w:suppressAutoHyphens/>
        <w:contextualSpacing/>
        <w:jc w:val="both"/>
        <w:rPr>
          <w:rFonts w:asciiTheme="minorHAnsi" w:hAnsiTheme="minorHAnsi"/>
        </w:rPr>
      </w:pPr>
      <w:r>
        <w:rPr>
          <w:rFonts w:asciiTheme="minorHAnsi" w:hAnsiTheme="minorHAnsi"/>
        </w:rPr>
        <w:t>Performing initial and continuous training of border police agents in the School of training of border police agents “Avram Iancu” from Oradea</w:t>
      </w:r>
    </w:p>
    <w:p w:rsidR="00A064B6" w:rsidRPr="003964D3" w:rsidRDefault="00A064B6" w:rsidP="009F7237">
      <w:pPr>
        <w:numPr>
          <w:ilvl w:val="0"/>
          <w:numId w:val="57"/>
        </w:numPr>
        <w:suppressAutoHyphens/>
        <w:contextualSpacing/>
        <w:jc w:val="both"/>
        <w:rPr>
          <w:rFonts w:asciiTheme="minorHAnsi" w:hAnsiTheme="minorHAnsi"/>
        </w:rPr>
      </w:pPr>
      <w:r>
        <w:rPr>
          <w:rFonts w:asciiTheme="minorHAnsi" w:hAnsiTheme="minorHAnsi"/>
        </w:rPr>
        <w:t>Performance of continuous training of border policemen in the Centers of Preparation of the Border Police in Iasi, Drobeta Turnu Severin and Agigea</w:t>
      </w:r>
    </w:p>
    <w:p w:rsidR="00A064B6" w:rsidRPr="00A064B6" w:rsidRDefault="00A064B6" w:rsidP="009F7237">
      <w:pPr>
        <w:numPr>
          <w:ilvl w:val="0"/>
          <w:numId w:val="57"/>
        </w:numPr>
        <w:suppressAutoHyphens/>
        <w:contextualSpacing/>
        <w:jc w:val="both"/>
        <w:rPr>
          <w:rFonts w:asciiTheme="minorHAnsi" w:eastAsia="+mn-ea" w:hAnsiTheme="minorHAnsi"/>
        </w:rPr>
      </w:pPr>
      <w:r>
        <w:rPr>
          <w:rFonts w:asciiTheme="minorHAnsi" w:hAnsiTheme="minorHAnsi"/>
        </w:rPr>
        <w:t>Prevention and combating of illegal stay and undeclared work of nationals of third countries</w:t>
      </w:r>
    </w:p>
    <w:p w:rsidR="00A064B6" w:rsidRPr="003964D3" w:rsidRDefault="00A064B6" w:rsidP="009F7237">
      <w:pPr>
        <w:numPr>
          <w:ilvl w:val="0"/>
          <w:numId w:val="57"/>
        </w:numPr>
        <w:suppressAutoHyphens/>
        <w:contextualSpacing/>
        <w:jc w:val="both"/>
        <w:rPr>
          <w:rFonts w:asciiTheme="minorHAnsi" w:eastAsia="+mn-ea" w:hAnsiTheme="minorHAnsi"/>
        </w:rPr>
      </w:pPr>
      <w:r>
        <w:rPr>
          <w:rFonts w:asciiTheme="minorHAnsi" w:hAnsiTheme="minorHAnsi"/>
        </w:rPr>
        <w:t>Giving assistance to those who claim asylum and to the beneficiaries of a form of international protection</w:t>
      </w:r>
    </w:p>
    <w:p w:rsidR="00A064B6" w:rsidRPr="003964D3" w:rsidRDefault="00A064B6" w:rsidP="009F7237">
      <w:pPr>
        <w:numPr>
          <w:ilvl w:val="0"/>
          <w:numId w:val="57"/>
        </w:numPr>
        <w:suppressAutoHyphens/>
        <w:contextualSpacing/>
        <w:jc w:val="both"/>
        <w:rPr>
          <w:rFonts w:asciiTheme="minorHAnsi" w:eastAsia="+mn-ea" w:hAnsiTheme="minorHAnsi" w:cs="+mn-cs"/>
          <w:color w:val="000000"/>
        </w:rPr>
      </w:pPr>
      <w:r>
        <w:rPr>
          <w:rFonts w:asciiTheme="minorHAnsi" w:hAnsiTheme="minorHAnsi"/>
        </w:rPr>
        <w:t>Endorsing visa applications and awarding/extending the right of stay of nationals of third countries in Romania</w:t>
      </w:r>
    </w:p>
    <w:p w:rsidR="00A064B6" w:rsidRPr="003964D3" w:rsidRDefault="00A064B6" w:rsidP="00A064B6">
      <w:pPr>
        <w:jc w:val="both"/>
        <w:rPr>
          <w:rFonts w:asciiTheme="minorHAnsi" w:hAnsiTheme="minorHAnsi"/>
          <w:lang w:val="fr-FR" w:eastAsia="zh-CN"/>
        </w:rPr>
      </w:pPr>
    </w:p>
    <w:p w:rsidR="00A064B6" w:rsidRPr="00A064B6" w:rsidRDefault="00A064B6" w:rsidP="00A064B6">
      <w:pPr>
        <w:jc w:val="both"/>
        <w:rPr>
          <w:rFonts w:asciiTheme="minorHAnsi" w:hAnsiTheme="minorHAnsi"/>
          <w:b/>
        </w:rPr>
      </w:pPr>
      <w:r>
        <w:rPr>
          <w:rFonts w:asciiTheme="minorHAnsi" w:hAnsiTheme="minorHAnsi"/>
          <w:b/>
        </w:rPr>
        <w:t>2.3 Expected results:</w:t>
      </w:r>
    </w:p>
    <w:p w:rsidR="00A064B6" w:rsidRPr="003964D3" w:rsidRDefault="00A064B6" w:rsidP="009F7237">
      <w:pPr>
        <w:numPr>
          <w:ilvl w:val="0"/>
          <w:numId w:val="56"/>
        </w:numPr>
        <w:suppressAutoHyphens/>
        <w:contextualSpacing/>
        <w:jc w:val="both"/>
        <w:rPr>
          <w:rFonts w:asciiTheme="minorHAnsi" w:eastAsia="Calibri" w:hAnsiTheme="minorHAnsi"/>
        </w:rPr>
      </w:pPr>
      <w:r>
        <w:rPr>
          <w:rFonts w:asciiTheme="minorHAnsi" w:hAnsiTheme="minorHAnsi"/>
        </w:rPr>
        <w:t>Managing the State border crossing process</w:t>
      </w:r>
    </w:p>
    <w:p w:rsidR="00A064B6" w:rsidRPr="00A064B6" w:rsidRDefault="00A064B6" w:rsidP="009F7237">
      <w:pPr>
        <w:numPr>
          <w:ilvl w:val="0"/>
          <w:numId w:val="56"/>
        </w:numPr>
        <w:suppressAutoHyphens/>
        <w:contextualSpacing/>
        <w:jc w:val="both"/>
        <w:rPr>
          <w:rFonts w:asciiTheme="minorHAnsi" w:eastAsia="Calibri" w:hAnsiTheme="minorHAnsi"/>
        </w:rPr>
      </w:pPr>
      <w:r>
        <w:rPr>
          <w:rFonts w:asciiTheme="minorHAnsi" w:hAnsiTheme="minorHAnsi"/>
        </w:rPr>
        <w:t>Maintaining cooperation with external partners in the specific fields of IGPF</w:t>
      </w:r>
    </w:p>
    <w:p w:rsidR="00A064B6" w:rsidRPr="00A064B6" w:rsidRDefault="00A064B6" w:rsidP="009F7237">
      <w:pPr>
        <w:numPr>
          <w:ilvl w:val="0"/>
          <w:numId w:val="56"/>
        </w:numPr>
        <w:suppressAutoHyphens/>
        <w:contextualSpacing/>
        <w:jc w:val="both"/>
        <w:rPr>
          <w:rFonts w:asciiTheme="minorHAnsi" w:eastAsia="Calibri" w:hAnsiTheme="minorHAnsi"/>
        </w:rPr>
      </w:pPr>
      <w:r>
        <w:rPr>
          <w:rFonts w:asciiTheme="minorHAnsi" w:hAnsiTheme="minorHAnsi"/>
        </w:rPr>
        <w:t>Ensuring specialized human resources - initial and continuous training of the personnel of IGPF</w:t>
      </w:r>
    </w:p>
    <w:p w:rsidR="00A064B6" w:rsidRPr="00A064B6" w:rsidRDefault="00A064B6" w:rsidP="009F7237">
      <w:pPr>
        <w:numPr>
          <w:ilvl w:val="0"/>
          <w:numId w:val="56"/>
        </w:numPr>
        <w:suppressAutoHyphens/>
        <w:contextualSpacing/>
        <w:jc w:val="both"/>
        <w:rPr>
          <w:rFonts w:asciiTheme="minorHAnsi" w:eastAsia="Calibri" w:hAnsiTheme="minorHAnsi"/>
        </w:rPr>
      </w:pPr>
      <w:r>
        <w:rPr>
          <w:rFonts w:asciiTheme="minorHAnsi" w:hAnsiTheme="minorHAnsi"/>
        </w:rPr>
        <w:t>Reducing the number of nationals of third countries who live/work without legal forms on Romanian territory</w:t>
      </w:r>
    </w:p>
    <w:p w:rsidR="00A064B6" w:rsidRPr="00A064B6" w:rsidRDefault="00A064B6" w:rsidP="009F7237">
      <w:pPr>
        <w:numPr>
          <w:ilvl w:val="0"/>
          <w:numId w:val="56"/>
        </w:numPr>
        <w:suppressAutoHyphens/>
        <w:contextualSpacing/>
        <w:jc w:val="both"/>
        <w:rPr>
          <w:rFonts w:asciiTheme="minorHAnsi" w:eastAsia="Calibri" w:hAnsiTheme="minorHAnsi"/>
        </w:rPr>
      </w:pPr>
      <w:r>
        <w:rPr>
          <w:rFonts w:asciiTheme="minorHAnsi" w:hAnsiTheme="minorHAnsi"/>
        </w:rPr>
        <w:t>Implementing policies in the field of international protection and integration of foreigners</w:t>
      </w:r>
    </w:p>
    <w:p w:rsidR="00A064B6" w:rsidRPr="00A064B6" w:rsidRDefault="00A064B6" w:rsidP="009F7237">
      <w:pPr>
        <w:numPr>
          <w:ilvl w:val="0"/>
          <w:numId w:val="56"/>
        </w:numPr>
        <w:suppressAutoHyphens/>
        <w:contextualSpacing/>
        <w:jc w:val="both"/>
        <w:rPr>
          <w:rFonts w:asciiTheme="minorHAnsi" w:eastAsia="Calibri" w:hAnsiTheme="minorHAnsi"/>
        </w:rPr>
      </w:pPr>
      <w:r>
        <w:rPr>
          <w:rFonts w:asciiTheme="minorHAnsi" w:hAnsiTheme="minorHAnsi"/>
        </w:rPr>
        <w:t xml:space="preserve">Admission and legal stay on Romanian territory of nationals of third countries. </w:t>
      </w:r>
    </w:p>
    <w:p w:rsidR="00A064B6" w:rsidRPr="00A064B6" w:rsidRDefault="00A064B6" w:rsidP="00A064B6">
      <w:pPr>
        <w:contextualSpacing/>
        <w:jc w:val="both"/>
        <w:rPr>
          <w:rFonts w:asciiTheme="minorHAnsi" w:eastAsia="Calibri" w:hAnsiTheme="minorHAnsi"/>
          <w:lang w:eastAsia="ja-JP"/>
        </w:rPr>
      </w:pPr>
    </w:p>
    <w:p w:rsidR="00A064B6" w:rsidRPr="00715536" w:rsidRDefault="00A064B6" w:rsidP="00A064B6">
      <w:pPr>
        <w:contextualSpacing/>
        <w:jc w:val="both"/>
        <w:rPr>
          <w:rFonts w:asciiTheme="minorHAnsi" w:eastAsia="Calibri" w:hAnsiTheme="minorHAnsi"/>
        </w:rPr>
      </w:pPr>
      <w:r>
        <w:rPr>
          <w:rFonts w:asciiTheme="minorHAnsi" w:hAnsiTheme="minorHAnsi"/>
          <w:b/>
        </w:rPr>
        <w:t>2.4 Impact indicators of Program 2 “State border safety, migration, asylum, and integration”:</w:t>
      </w:r>
    </w:p>
    <w:p w:rsidR="00A064B6" w:rsidRPr="00715536" w:rsidRDefault="00A064B6" w:rsidP="00A064B6">
      <w:pPr>
        <w:ind w:left="810"/>
        <w:contextualSpacing/>
        <w:jc w:val="both"/>
        <w:rPr>
          <w:rFonts w:asciiTheme="minorHAnsi" w:eastAsia="Calibri" w:hAnsiTheme="minorHAnsi"/>
          <w:lang w:val="fr-FR" w:eastAsia="ja-JP"/>
        </w:rPr>
      </w:pPr>
    </w:p>
    <w:p w:rsidR="00A064B6" w:rsidRPr="003964D3" w:rsidRDefault="00A064B6" w:rsidP="00A064B6">
      <w:pPr>
        <w:suppressAutoHyphens/>
        <w:ind w:left="284"/>
        <w:jc w:val="both"/>
        <w:rPr>
          <w:rFonts w:asciiTheme="minorHAnsi" w:hAnsiTheme="minorHAnsi"/>
        </w:rPr>
      </w:pPr>
      <w:r>
        <w:rPr>
          <w:rFonts w:asciiTheme="minorHAnsi" w:hAnsiTheme="minorHAnsi"/>
          <w:b/>
        </w:rPr>
        <w:t>Program 2</w:t>
      </w:r>
      <w:r>
        <w:rPr>
          <w:rFonts w:asciiTheme="minorHAnsi" w:hAnsiTheme="minorHAnsi"/>
        </w:rPr>
        <w:t xml:space="preserve"> finances the same objective as </w:t>
      </w:r>
      <w:r>
        <w:rPr>
          <w:rFonts w:asciiTheme="minorHAnsi" w:hAnsiTheme="minorHAnsi"/>
          <w:b/>
        </w:rPr>
        <w:t>Program 1</w:t>
      </w:r>
      <w:r>
        <w:rPr>
          <w:rFonts w:asciiTheme="minorHAnsi" w:hAnsiTheme="minorHAnsi"/>
        </w:rPr>
        <w:t xml:space="preserve">. </w:t>
      </w:r>
      <w:r>
        <w:rPr>
          <w:rFonts w:asciiTheme="minorHAnsi" w:hAnsiTheme="minorHAnsi"/>
          <w:b/>
        </w:rPr>
        <w:t xml:space="preserve"> </w:t>
      </w:r>
      <w:r>
        <w:rPr>
          <w:rFonts w:asciiTheme="minorHAnsi" w:hAnsiTheme="minorHAnsi"/>
        </w:rPr>
        <w:t xml:space="preserve">The impact indicators of </w:t>
      </w:r>
    </w:p>
    <w:p w:rsidR="00A064B6" w:rsidRPr="003964D3" w:rsidRDefault="00A064B6" w:rsidP="00A064B6">
      <w:pPr>
        <w:suppressAutoHyphens/>
        <w:jc w:val="both"/>
        <w:rPr>
          <w:rFonts w:asciiTheme="minorHAnsi" w:hAnsiTheme="minorHAnsi"/>
          <w:b/>
        </w:rPr>
      </w:pPr>
      <w:r>
        <w:rPr>
          <w:rFonts w:asciiTheme="minorHAnsi" w:hAnsiTheme="minorHAnsi"/>
          <w:b/>
        </w:rPr>
        <w:t>Program 2</w:t>
      </w:r>
      <w:r>
        <w:rPr>
          <w:rFonts w:asciiTheme="minorHAnsi" w:hAnsiTheme="minorHAnsi"/>
        </w:rPr>
        <w:t xml:space="preserve">, together with the targets for 2021 are detailed in </w:t>
      </w:r>
      <w:r>
        <w:rPr>
          <w:rFonts w:asciiTheme="minorHAnsi" w:hAnsiTheme="minorHAnsi"/>
          <w:b/>
        </w:rPr>
        <w:t>Program 1</w:t>
      </w:r>
      <w:r>
        <w:rPr>
          <w:rFonts w:asciiTheme="minorHAnsi" w:hAnsiTheme="minorHAnsi"/>
        </w:rPr>
        <w:t>.</w:t>
      </w:r>
    </w:p>
    <w:p w:rsidR="00A064B6" w:rsidRPr="00A064B6" w:rsidRDefault="00A064B6" w:rsidP="00A064B6">
      <w:pPr>
        <w:suppressAutoHyphens/>
        <w:jc w:val="both"/>
        <w:rPr>
          <w:rFonts w:asciiTheme="minorHAnsi" w:hAnsiTheme="minorHAnsi"/>
          <w:b/>
        </w:rPr>
      </w:pPr>
      <w:r>
        <w:rPr>
          <w:rFonts w:asciiTheme="minorHAnsi" w:hAnsiTheme="minorHAnsi"/>
          <w:b/>
        </w:rPr>
        <w:t>PROGRAM 3 “CIVIL PROTECTION AND SUPPORT GIVEN TO THE COMMUNITY”</w:t>
      </w:r>
    </w:p>
    <w:p w:rsidR="00A064B6" w:rsidRPr="003964D3" w:rsidRDefault="00A064B6" w:rsidP="009F7237">
      <w:pPr>
        <w:numPr>
          <w:ilvl w:val="1"/>
          <w:numId w:val="48"/>
        </w:numPr>
        <w:suppressAutoHyphens/>
        <w:contextualSpacing/>
        <w:jc w:val="both"/>
        <w:rPr>
          <w:rFonts w:asciiTheme="minorHAnsi" w:eastAsia="Calibri" w:hAnsiTheme="minorHAnsi"/>
          <w:i/>
        </w:rPr>
      </w:pPr>
      <w:r>
        <w:rPr>
          <w:rFonts w:asciiTheme="minorHAnsi" w:hAnsiTheme="minorHAnsi"/>
          <w:b/>
        </w:rPr>
        <w:t>Program objective</w:t>
      </w:r>
      <w:r>
        <w:rPr>
          <w:rFonts w:asciiTheme="minorHAnsi" w:hAnsiTheme="minorHAnsi"/>
        </w:rPr>
        <w:t xml:space="preserve"> - </w:t>
      </w:r>
      <w:r>
        <w:rPr>
          <w:rFonts w:asciiTheme="minorHAnsi" w:hAnsiTheme="minorHAnsi"/>
          <w:i/>
        </w:rPr>
        <w:t>Increasing the MIA’s capacity to handle major events</w:t>
      </w:r>
    </w:p>
    <w:p w:rsidR="00A064B6" w:rsidRPr="003964D3" w:rsidRDefault="00A064B6" w:rsidP="00A064B6">
      <w:pPr>
        <w:contextualSpacing/>
        <w:jc w:val="both"/>
        <w:rPr>
          <w:rFonts w:asciiTheme="minorHAnsi" w:eastAsia="Calibri" w:hAnsiTheme="minorHAnsi"/>
          <w:b/>
          <w:lang w:val="fr-FR" w:eastAsia="zh-CN"/>
        </w:rPr>
      </w:pPr>
    </w:p>
    <w:p w:rsidR="00A064B6" w:rsidRPr="00A064B6" w:rsidRDefault="00A064B6" w:rsidP="009F7237">
      <w:pPr>
        <w:numPr>
          <w:ilvl w:val="1"/>
          <w:numId w:val="48"/>
        </w:numPr>
        <w:suppressAutoHyphens/>
        <w:contextualSpacing/>
        <w:jc w:val="both"/>
        <w:rPr>
          <w:rFonts w:asciiTheme="minorHAnsi" w:eastAsia="Calibri" w:hAnsiTheme="minorHAnsi"/>
          <w:b/>
        </w:rPr>
      </w:pPr>
      <w:r>
        <w:rPr>
          <w:rFonts w:asciiTheme="minorHAnsi" w:hAnsiTheme="minorHAnsi"/>
          <w:b/>
        </w:rPr>
        <w:t>Program measures:</w:t>
      </w:r>
    </w:p>
    <w:p w:rsidR="00A064B6" w:rsidRPr="00A064B6" w:rsidRDefault="00A064B6" w:rsidP="009F7237">
      <w:pPr>
        <w:numPr>
          <w:ilvl w:val="0"/>
          <w:numId w:val="55"/>
        </w:numPr>
        <w:tabs>
          <w:tab w:val="left" w:pos="360"/>
        </w:tabs>
        <w:suppressAutoHyphens/>
        <w:contextualSpacing/>
        <w:jc w:val="both"/>
        <w:rPr>
          <w:rFonts w:asciiTheme="minorHAnsi" w:hAnsiTheme="minorHAnsi"/>
        </w:rPr>
      </w:pPr>
      <w:r>
        <w:rPr>
          <w:rFonts w:asciiTheme="minorHAnsi" w:hAnsiTheme="minorHAnsi"/>
          <w:color w:val="000000"/>
        </w:rPr>
        <w:t>Preventing the risks associated with emergency situations and disasters and improving intervention effectiveness</w:t>
      </w:r>
    </w:p>
    <w:p w:rsidR="00A064B6" w:rsidRPr="00A064B6" w:rsidRDefault="00A064B6" w:rsidP="009F7237">
      <w:pPr>
        <w:numPr>
          <w:ilvl w:val="0"/>
          <w:numId w:val="55"/>
        </w:numPr>
        <w:tabs>
          <w:tab w:val="left" w:pos="360"/>
        </w:tabs>
        <w:suppressAutoHyphens/>
        <w:contextualSpacing/>
        <w:jc w:val="both"/>
        <w:rPr>
          <w:rFonts w:asciiTheme="minorHAnsi" w:hAnsiTheme="minorHAnsi"/>
        </w:rPr>
      </w:pPr>
      <w:r>
        <w:rPr>
          <w:rFonts w:asciiTheme="minorHAnsi" w:hAnsiTheme="minorHAnsi"/>
          <w:color w:val="000000"/>
        </w:rPr>
        <w:t>Giving qualified first aid and emergency medical assistance</w:t>
      </w:r>
    </w:p>
    <w:p w:rsidR="00A064B6" w:rsidRPr="00A064B6" w:rsidRDefault="00A064B6" w:rsidP="009F7237">
      <w:pPr>
        <w:numPr>
          <w:ilvl w:val="0"/>
          <w:numId w:val="55"/>
        </w:numPr>
        <w:tabs>
          <w:tab w:val="left" w:pos="270"/>
        </w:tabs>
        <w:suppressAutoHyphens/>
        <w:contextualSpacing/>
        <w:jc w:val="both"/>
        <w:rPr>
          <w:rFonts w:asciiTheme="minorHAnsi" w:hAnsiTheme="minorHAnsi"/>
        </w:rPr>
      </w:pPr>
      <w:r>
        <w:rPr>
          <w:rFonts w:asciiTheme="minorHAnsi" w:hAnsiTheme="minorHAnsi"/>
          <w:color w:val="000000"/>
        </w:rPr>
        <w:t>Preparing the population, the economy and the territory for defense and assuring State reserves</w:t>
      </w:r>
    </w:p>
    <w:p w:rsidR="00A064B6" w:rsidRPr="00A064B6" w:rsidRDefault="00A064B6" w:rsidP="009F7237">
      <w:pPr>
        <w:numPr>
          <w:ilvl w:val="0"/>
          <w:numId w:val="55"/>
        </w:numPr>
        <w:suppressAutoHyphens/>
        <w:contextualSpacing/>
        <w:jc w:val="both"/>
        <w:rPr>
          <w:rFonts w:asciiTheme="minorHAnsi" w:hAnsiTheme="minorHAnsi"/>
        </w:rPr>
      </w:pPr>
      <w:r>
        <w:rPr>
          <w:rFonts w:asciiTheme="minorHAnsi" w:hAnsiTheme="minorHAnsi"/>
          <w:color w:val="000000"/>
        </w:rPr>
        <w:t xml:space="preserve">Performing initial and continuous professional training in the School of Petty Officer Firemen and Civil Protection “Pavel Zaganescu” in Boldesti </w:t>
      </w:r>
    </w:p>
    <w:p w:rsidR="00A064B6" w:rsidRPr="00A064B6" w:rsidRDefault="00A064B6" w:rsidP="009F7237">
      <w:pPr>
        <w:numPr>
          <w:ilvl w:val="0"/>
          <w:numId w:val="55"/>
        </w:numPr>
        <w:tabs>
          <w:tab w:val="left" w:pos="360"/>
        </w:tabs>
        <w:suppressAutoHyphens/>
        <w:contextualSpacing/>
        <w:jc w:val="both"/>
        <w:rPr>
          <w:rFonts w:asciiTheme="minorHAnsi" w:hAnsiTheme="minorHAnsi"/>
        </w:rPr>
      </w:pPr>
      <w:r>
        <w:rPr>
          <w:rFonts w:asciiTheme="minorHAnsi" w:hAnsiTheme="minorHAnsi"/>
          <w:color w:val="000000"/>
        </w:rPr>
        <w:t>Performing continuous training of firemen in the National Center of Improvement of the Training for Management of Emergency Situations in Ciolpani and of the preparation/training centers</w:t>
      </w:r>
    </w:p>
    <w:p w:rsidR="00A064B6" w:rsidRPr="00A064B6" w:rsidRDefault="00A064B6" w:rsidP="009F7237">
      <w:pPr>
        <w:numPr>
          <w:ilvl w:val="0"/>
          <w:numId w:val="55"/>
        </w:numPr>
        <w:tabs>
          <w:tab w:val="left" w:pos="360"/>
        </w:tabs>
        <w:suppressAutoHyphens/>
        <w:contextualSpacing/>
        <w:jc w:val="both"/>
        <w:rPr>
          <w:rFonts w:asciiTheme="minorHAnsi" w:hAnsiTheme="minorHAnsi"/>
        </w:rPr>
      </w:pPr>
      <w:r>
        <w:rPr>
          <w:rFonts w:asciiTheme="minorHAnsi" w:hAnsiTheme="minorHAnsi"/>
          <w:color w:val="000000"/>
        </w:rPr>
        <w:t>Training the representatives of the prefect institutions and the personnel with management positions and duties in the field of emergency situations from the local public administration, decentralized and de-concentrated services</w:t>
      </w:r>
    </w:p>
    <w:p w:rsidR="00A064B6" w:rsidRPr="00A064B6" w:rsidRDefault="00A064B6" w:rsidP="00DA7859">
      <w:pPr>
        <w:jc w:val="both"/>
        <w:rPr>
          <w:rFonts w:asciiTheme="minorHAnsi" w:hAnsiTheme="minorHAnsi"/>
          <w:lang w:eastAsia="zh-CN"/>
        </w:rPr>
      </w:pPr>
    </w:p>
    <w:p w:rsidR="00A064B6" w:rsidRPr="00A064B6" w:rsidRDefault="00A064B6" w:rsidP="009F7237">
      <w:pPr>
        <w:numPr>
          <w:ilvl w:val="1"/>
          <w:numId w:val="48"/>
        </w:numPr>
        <w:suppressAutoHyphens/>
        <w:ind w:left="426" w:hanging="426"/>
        <w:jc w:val="both"/>
        <w:rPr>
          <w:rFonts w:asciiTheme="minorHAnsi" w:hAnsiTheme="minorHAnsi"/>
          <w:b/>
        </w:rPr>
      </w:pPr>
      <w:r>
        <w:rPr>
          <w:rFonts w:asciiTheme="minorHAnsi" w:hAnsiTheme="minorHAnsi"/>
          <w:b/>
        </w:rPr>
        <w:t>Expected results:</w:t>
      </w:r>
    </w:p>
    <w:p w:rsidR="00A064B6" w:rsidRPr="00A064B6" w:rsidRDefault="00A064B6" w:rsidP="009F7237">
      <w:pPr>
        <w:numPr>
          <w:ilvl w:val="0"/>
          <w:numId w:val="52"/>
        </w:numPr>
        <w:suppressAutoHyphens/>
        <w:contextualSpacing/>
        <w:jc w:val="both"/>
        <w:rPr>
          <w:rFonts w:asciiTheme="minorHAnsi" w:eastAsia="Calibri" w:hAnsiTheme="minorHAnsi"/>
        </w:rPr>
      </w:pPr>
      <w:r>
        <w:rPr>
          <w:rFonts w:asciiTheme="minorHAnsi" w:hAnsiTheme="minorHAnsi"/>
        </w:rPr>
        <w:t>Ensuring population protection and reducing the effects associated with emergency situations and disasters</w:t>
      </w:r>
    </w:p>
    <w:p w:rsidR="00A064B6" w:rsidRPr="00A064B6" w:rsidRDefault="00A064B6" w:rsidP="009F7237">
      <w:pPr>
        <w:numPr>
          <w:ilvl w:val="0"/>
          <w:numId w:val="52"/>
        </w:numPr>
        <w:suppressAutoHyphens/>
        <w:contextualSpacing/>
        <w:jc w:val="both"/>
        <w:rPr>
          <w:rFonts w:asciiTheme="minorHAnsi" w:eastAsia="Calibri" w:hAnsiTheme="minorHAnsi"/>
        </w:rPr>
      </w:pPr>
      <w:r>
        <w:rPr>
          <w:rFonts w:asciiTheme="minorHAnsi" w:hAnsiTheme="minorHAnsi"/>
        </w:rPr>
        <w:t>Ensuring specialized human resources - initial and continuous training of own personnel and of the personnel with duties in emergency situations from the local public administration, decentralized and de-concentrated services</w:t>
      </w:r>
    </w:p>
    <w:p w:rsidR="00A064B6" w:rsidRPr="00A064B6" w:rsidRDefault="00A064B6" w:rsidP="00A064B6">
      <w:pPr>
        <w:ind w:left="426"/>
        <w:jc w:val="both"/>
        <w:rPr>
          <w:rFonts w:asciiTheme="minorHAnsi" w:hAnsiTheme="minorHAnsi"/>
          <w:b/>
          <w:lang w:eastAsia="zh-CN"/>
        </w:rPr>
      </w:pPr>
    </w:p>
    <w:p w:rsidR="00A064B6" w:rsidRPr="003964D3" w:rsidRDefault="00A064B6" w:rsidP="00A064B6">
      <w:pPr>
        <w:tabs>
          <w:tab w:val="left" w:pos="0"/>
        </w:tabs>
        <w:suppressAutoHyphens/>
        <w:jc w:val="both"/>
        <w:rPr>
          <w:rFonts w:asciiTheme="minorHAnsi" w:hAnsiTheme="minorHAnsi"/>
          <w:b/>
        </w:rPr>
      </w:pPr>
      <w:r>
        <w:rPr>
          <w:rFonts w:asciiTheme="minorHAnsi" w:hAnsiTheme="minorHAnsi"/>
          <w:b/>
        </w:rPr>
        <w:t>3.4 Impact indicators of program 3 “Civil protection and support given to the community”:</w:t>
      </w:r>
    </w:p>
    <w:p w:rsidR="00A064B6" w:rsidRPr="003964D3" w:rsidRDefault="00A064B6" w:rsidP="00A064B6">
      <w:pPr>
        <w:tabs>
          <w:tab w:val="left" w:pos="0"/>
        </w:tabs>
        <w:suppressAutoHyphens/>
        <w:jc w:val="both"/>
        <w:rPr>
          <w:rFonts w:asciiTheme="minorHAnsi" w:hAnsiTheme="minorHAnsi"/>
          <w:lang w:val="fr-FR"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5703"/>
        <w:gridCol w:w="873"/>
        <w:gridCol w:w="2147"/>
      </w:tblGrid>
      <w:tr w:rsidR="00A064B6" w:rsidRPr="00A064B6" w:rsidTr="00842BC9">
        <w:trPr>
          <w:jc w:val="center"/>
        </w:trPr>
        <w:tc>
          <w:tcPr>
            <w:tcW w:w="849" w:type="dxa"/>
            <w:shd w:val="clear" w:color="auto" w:fill="E2EFD9"/>
          </w:tcPr>
          <w:p w:rsidR="00A064B6" w:rsidRPr="00A064B6" w:rsidRDefault="00A064B6" w:rsidP="00A064B6">
            <w:pPr>
              <w:suppressAutoHyphens/>
              <w:jc w:val="both"/>
              <w:rPr>
                <w:rFonts w:asciiTheme="minorHAnsi" w:eastAsia="Calibri" w:hAnsiTheme="minorHAnsi"/>
                <w:b/>
              </w:rPr>
            </w:pPr>
            <w:r>
              <w:rPr>
                <w:rFonts w:asciiTheme="minorHAnsi" w:hAnsiTheme="minorHAnsi"/>
                <w:b/>
              </w:rPr>
              <w:t>No.</w:t>
            </w:r>
          </w:p>
        </w:tc>
        <w:tc>
          <w:tcPr>
            <w:tcW w:w="5703" w:type="dxa"/>
            <w:shd w:val="clear" w:color="auto" w:fill="E2EFD9"/>
          </w:tcPr>
          <w:p w:rsidR="00A064B6" w:rsidRPr="00A064B6" w:rsidRDefault="00A064B6" w:rsidP="00A064B6">
            <w:pPr>
              <w:suppressAutoHyphens/>
              <w:jc w:val="both"/>
              <w:rPr>
                <w:rFonts w:asciiTheme="minorHAnsi" w:eastAsia="Calibri" w:hAnsiTheme="minorHAnsi"/>
                <w:b/>
              </w:rPr>
            </w:pPr>
            <w:r>
              <w:rPr>
                <w:rFonts w:asciiTheme="minorHAnsi" w:hAnsiTheme="minorHAnsi"/>
                <w:b/>
              </w:rPr>
              <w:t>Indicator name</w:t>
            </w:r>
          </w:p>
        </w:tc>
        <w:tc>
          <w:tcPr>
            <w:tcW w:w="873" w:type="dxa"/>
            <w:shd w:val="clear" w:color="auto" w:fill="E2EFD9"/>
          </w:tcPr>
          <w:p w:rsidR="00A064B6" w:rsidRPr="00A064B6" w:rsidRDefault="00A064B6" w:rsidP="00A064B6">
            <w:pPr>
              <w:suppressAutoHyphens/>
              <w:jc w:val="both"/>
              <w:rPr>
                <w:rFonts w:asciiTheme="minorHAnsi" w:eastAsia="Calibri" w:hAnsiTheme="minorHAnsi"/>
                <w:b/>
              </w:rPr>
            </w:pPr>
            <w:r>
              <w:rPr>
                <w:rFonts w:asciiTheme="minorHAnsi" w:hAnsiTheme="minorHAnsi"/>
                <w:b/>
              </w:rPr>
              <w:t>M.U.</w:t>
            </w:r>
          </w:p>
        </w:tc>
        <w:tc>
          <w:tcPr>
            <w:tcW w:w="2147" w:type="dxa"/>
            <w:shd w:val="clear" w:color="auto" w:fill="E2EFD9"/>
          </w:tcPr>
          <w:p w:rsidR="00A064B6" w:rsidRPr="00A064B6" w:rsidRDefault="00A064B6" w:rsidP="00A064B6">
            <w:pPr>
              <w:suppressAutoHyphens/>
              <w:jc w:val="both"/>
              <w:rPr>
                <w:rFonts w:asciiTheme="minorHAnsi" w:eastAsia="Calibri" w:hAnsiTheme="minorHAnsi"/>
                <w:b/>
              </w:rPr>
            </w:pPr>
            <w:r>
              <w:rPr>
                <w:rFonts w:asciiTheme="minorHAnsi" w:hAnsiTheme="minorHAnsi"/>
                <w:b/>
              </w:rPr>
              <w:t>Target for 2021</w:t>
            </w:r>
          </w:p>
        </w:tc>
      </w:tr>
      <w:tr w:rsidR="00A064B6" w:rsidRPr="00A064B6" w:rsidTr="00842BC9">
        <w:trPr>
          <w:jc w:val="center"/>
        </w:trPr>
        <w:tc>
          <w:tcPr>
            <w:tcW w:w="849" w:type="dxa"/>
            <w:shd w:val="clear" w:color="auto" w:fill="auto"/>
          </w:tcPr>
          <w:p w:rsidR="00A064B6" w:rsidRPr="00A064B6" w:rsidRDefault="00A064B6" w:rsidP="00A064B6">
            <w:pPr>
              <w:suppressAutoHyphens/>
              <w:jc w:val="both"/>
              <w:rPr>
                <w:rFonts w:asciiTheme="minorHAnsi" w:eastAsia="Calibri" w:hAnsiTheme="minorHAnsi"/>
              </w:rPr>
            </w:pPr>
            <w:r>
              <w:rPr>
                <w:rFonts w:asciiTheme="minorHAnsi" w:hAnsiTheme="minorHAnsi"/>
              </w:rPr>
              <w:t>1.</w:t>
            </w:r>
          </w:p>
        </w:tc>
        <w:tc>
          <w:tcPr>
            <w:tcW w:w="5703" w:type="dxa"/>
            <w:shd w:val="clear" w:color="auto" w:fill="auto"/>
          </w:tcPr>
          <w:p w:rsidR="00A064B6" w:rsidRPr="00A064B6" w:rsidRDefault="00A064B6" w:rsidP="00A064B6">
            <w:pPr>
              <w:suppressAutoHyphens/>
              <w:jc w:val="both"/>
              <w:rPr>
                <w:rFonts w:asciiTheme="minorHAnsi" w:eastAsia="Calibri" w:hAnsiTheme="minorHAnsi"/>
              </w:rPr>
            </w:pPr>
            <w:r>
              <w:rPr>
                <w:rFonts w:asciiTheme="minorHAnsi" w:hAnsiTheme="minorHAnsi"/>
              </w:rPr>
              <w:t>Level of confidence of the population in the structures of the MIA with duties in preventing and managing emergency situations (Firemen)</w:t>
            </w:r>
          </w:p>
        </w:tc>
        <w:tc>
          <w:tcPr>
            <w:tcW w:w="873" w:type="dxa"/>
            <w:shd w:val="clear" w:color="auto" w:fill="auto"/>
          </w:tcPr>
          <w:p w:rsidR="00A064B6" w:rsidRPr="00A064B6" w:rsidRDefault="00A064B6" w:rsidP="00A064B6">
            <w:pPr>
              <w:suppressAutoHyphens/>
              <w:jc w:val="both"/>
              <w:rPr>
                <w:rFonts w:asciiTheme="minorHAnsi" w:eastAsia="Calibri" w:hAnsiTheme="minorHAnsi"/>
              </w:rPr>
            </w:pPr>
            <w:r>
              <w:rPr>
                <w:rFonts w:asciiTheme="minorHAnsi" w:hAnsiTheme="minorHAnsi"/>
              </w:rPr>
              <w:t>%</w:t>
            </w:r>
          </w:p>
        </w:tc>
        <w:tc>
          <w:tcPr>
            <w:tcW w:w="2147" w:type="dxa"/>
            <w:shd w:val="clear" w:color="auto" w:fill="auto"/>
          </w:tcPr>
          <w:p w:rsidR="00A064B6" w:rsidRPr="00A064B6" w:rsidRDefault="00A064B6" w:rsidP="00A064B6">
            <w:pPr>
              <w:suppressAutoHyphens/>
              <w:jc w:val="both"/>
              <w:rPr>
                <w:rFonts w:asciiTheme="minorHAnsi" w:eastAsia="Calibri" w:hAnsiTheme="minorHAnsi"/>
              </w:rPr>
            </w:pPr>
            <w:r>
              <w:rPr>
                <w:rFonts w:asciiTheme="minorHAnsi" w:hAnsiTheme="minorHAnsi"/>
              </w:rPr>
              <w:t>85%</w:t>
            </w:r>
          </w:p>
        </w:tc>
      </w:tr>
    </w:tbl>
    <w:p w:rsidR="00A064B6" w:rsidRPr="00A064B6" w:rsidRDefault="00A064B6" w:rsidP="00A064B6">
      <w:pPr>
        <w:tabs>
          <w:tab w:val="left" w:pos="0"/>
        </w:tabs>
        <w:suppressAutoHyphens/>
        <w:jc w:val="both"/>
        <w:rPr>
          <w:rFonts w:asciiTheme="minorHAnsi" w:hAnsiTheme="minorHAnsi"/>
          <w:lang w:eastAsia="zh-CN"/>
        </w:rPr>
      </w:pPr>
    </w:p>
    <w:p w:rsidR="00A064B6" w:rsidRPr="003964D3" w:rsidRDefault="00A064B6" w:rsidP="00A064B6">
      <w:pPr>
        <w:suppressAutoHyphens/>
        <w:jc w:val="both"/>
        <w:rPr>
          <w:rFonts w:asciiTheme="minorHAnsi" w:hAnsiTheme="minorHAnsi"/>
          <w:b/>
        </w:rPr>
      </w:pPr>
      <w:r>
        <w:rPr>
          <w:rFonts w:asciiTheme="minorHAnsi" w:hAnsiTheme="minorHAnsi"/>
          <w:b/>
        </w:rPr>
        <w:t>PROGRAM 4 “SERVICES FOR CITIZENS AND LEGAL ENTITIES”</w:t>
      </w:r>
    </w:p>
    <w:p w:rsidR="00A064B6" w:rsidRPr="007F2AB6" w:rsidRDefault="00A064B6" w:rsidP="00A064B6">
      <w:pPr>
        <w:suppressAutoHyphens/>
        <w:jc w:val="both"/>
        <w:rPr>
          <w:rFonts w:asciiTheme="minorHAnsi" w:hAnsiTheme="minorHAnsi"/>
          <w:b/>
          <w:sz w:val="16"/>
          <w:szCs w:val="16"/>
          <w:lang w:val="fr-FR" w:eastAsia="zh-CN"/>
        </w:rPr>
      </w:pPr>
    </w:p>
    <w:p w:rsidR="00A064B6" w:rsidRPr="00A064B6" w:rsidRDefault="00A064B6" w:rsidP="00A064B6">
      <w:pPr>
        <w:suppressAutoHyphens/>
        <w:jc w:val="both"/>
        <w:rPr>
          <w:rFonts w:asciiTheme="minorHAnsi" w:hAnsiTheme="minorHAnsi"/>
          <w:i/>
        </w:rPr>
      </w:pPr>
      <w:r>
        <w:rPr>
          <w:rFonts w:asciiTheme="minorHAnsi" w:hAnsiTheme="minorHAnsi"/>
          <w:b/>
        </w:rPr>
        <w:t>4.1 Program objective</w:t>
      </w:r>
      <w:r>
        <w:rPr>
          <w:rFonts w:asciiTheme="minorHAnsi" w:hAnsiTheme="minorHAnsi"/>
        </w:rPr>
        <w:t xml:space="preserve"> -</w:t>
      </w:r>
      <w:r>
        <w:rPr>
          <w:rFonts w:asciiTheme="minorHAnsi" w:hAnsiTheme="minorHAnsi"/>
          <w:i/>
        </w:rPr>
        <w:t xml:space="preserve"> Increasing the MIA’s efficiency and administrative capacity.</w:t>
      </w:r>
    </w:p>
    <w:p w:rsidR="00A064B6" w:rsidRPr="00A064B6" w:rsidRDefault="00A064B6" w:rsidP="00A064B6">
      <w:pPr>
        <w:suppressAutoHyphens/>
        <w:jc w:val="both"/>
        <w:rPr>
          <w:rFonts w:asciiTheme="minorHAnsi" w:hAnsiTheme="minorHAnsi"/>
          <w:b/>
        </w:rPr>
      </w:pPr>
      <w:r>
        <w:rPr>
          <w:rFonts w:asciiTheme="minorHAnsi" w:hAnsiTheme="minorHAnsi"/>
          <w:b/>
        </w:rPr>
        <w:t>4.2 Program measures:</w:t>
      </w:r>
    </w:p>
    <w:p w:rsidR="00A064B6" w:rsidRPr="007F2AB6" w:rsidRDefault="00A064B6" w:rsidP="00A064B6">
      <w:pPr>
        <w:suppressAutoHyphens/>
        <w:jc w:val="both"/>
        <w:rPr>
          <w:rFonts w:asciiTheme="minorHAnsi" w:hAnsiTheme="minorHAnsi"/>
          <w:b/>
          <w:sz w:val="16"/>
          <w:szCs w:val="16"/>
          <w:lang w:eastAsia="zh-CN"/>
        </w:rPr>
      </w:pPr>
    </w:p>
    <w:p w:rsidR="00A064B6" w:rsidRPr="00A064B6" w:rsidRDefault="00A064B6" w:rsidP="009F7237">
      <w:pPr>
        <w:numPr>
          <w:ilvl w:val="0"/>
          <w:numId w:val="53"/>
        </w:numPr>
        <w:suppressAutoHyphens/>
        <w:contextualSpacing/>
        <w:jc w:val="both"/>
        <w:rPr>
          <w:rFonts w:asciiTheme="minorHAnsi" w:eastAsia="Calibri" w:hAnsiTheme="minorHAnsi"/>
        </w:rPr>
      </w:pPr>
      <w:r>
        <w:rPr>
          <w:rFonts w:asciiTheme="minorHAnsi" w:hAnsiTheme="minorHAnsi"/>
        </w:rPr>
        <w:t>Issuance of documents under the competence of the Directorate for Civil Register and Database Administration (DEPABD)</w:t>
      </w:r>
    </w:p>
    <w:p w:rsidR="00A064B6" w:rsidRPr="00A064B6" w:rsidRDefault="00A064B6" w:rsidP="009F7237">
      <w:pPr>
        <w:numPr>
          <w:ilvl w:val="0"/>
          <w:numId w:val="53"/>
        </w:numPr>
        <w:suppressAutoHyphens/>
        <w:contextualSpacing/>
        <w:jc w:val="both"/>
        <w:rPr>
          <w:rFonts w:asciiTheme="minorHAnsi" w:eastAsia="Calibri" w:hAnsiTheme="minorHAnsi"/>
        </w:rPr>
      </w:pPr>
      <w:r>
        <w:rPr>
          <w:rFonts w:asciiTheme="minorHAnsi" w:hAnsiTheme="minorHAnsi"/>
        </w:rPr>
        <w:t>Issuance of documents under the competence of the General Directorate of Passports (DGP)</w:t>
      </w:r>
    </w:p>
    <w:p w:rsidR="00A064B6" w:rsidRPr="00A064B6" w:rsidRDefault="00A064B6" w:rsidP="009F7237">
      <w:pPr>
        <w:numPr>
          <w:ilvl w:val="0"/>
          <w:numId w:val="53"/>
        </w:numPr>
        <w:suppressAutoHyphens/>
        <w:contextualSpacing/>
        <w:jc w:val="both"/>
        <w:rPr>
          <w:rFonts w:asciiTheme="minorHAnsi" w:eastAsia="Calibri" w:hAnsiTheme="minorHAnsi"/>
        </w:rPr>
      </w:pPr>
      <w:r>
        <w:rPr>
          <w:rFonts w:asciiTheme="minorHAnsi" w:hAnsiTheme="minorHAnsi"/>
        </w:rPr>
        <w:t>Issuance of driving licenses and vehicle registration documents</w:t>
      </w:r>
    </w:p>
    <w:p w:rsidR="00A064B6" w:rsidRPr="00A064B6" w:rsidRDefault="00A064B6" w:rsidP="009F7237">
      <w:pPr>
        <w:numPr>
          <w:ilvl w:val="0"/>
          <w:numId w:val="53"/>
        </w:numPr>
        <w:suppressAutoHyphens/>
        <w:contextualSpacing/>
        <w:jc w:val="both"/>
        <w:rPr>
          <w:rFonts w:asciiTheme="minorHAnsi" w:eastAsia="Calibri" w:hAnsiTheme="minorHAnsi"/>
        </w:rPr>
      </w:pPr>
      <w:r>
        <w:rPr>
          <w:rFonts w:asciiTheme="minorHAnsi" w:hAnsiTheme="minorHAnsi"/>
        </w:rPr>
        <w:t>Taking over archives from third parties</w:t>
      </w:r>
    </w:p>
    <w:p w:rsidR="00A064B6" w:rsidRPr="00A064B6" w:rsidRDefault="00A064B6" w:rsidP="00AC3EC8">
      <w:pPr>
        <w:numPr>
          <w:ilvl w:val="0"/>
          <w:numId w:val="53"/>
        </w:numPr>
        <w:suppressAutoHyphens/>
        <w:spacing w:after="120"/>
        <w:ind w:left="714" w:hanging="357"/>
        <w:jc w:val="both"/>
        <w:rPr>
          <w:rFonts w:asciiTheme="minorHAnsi" w:eastAsia="Calibri" w:hAnsiTheme="minorHAnsi"/>
        </w:rPr>
      </w:pPr>
      <w:r>
        <w:rPr>
          <w:rFonts w:asciiTheme="minorHAnsi" w:hAnsiTheme="minorHAnsi"/>
        </w:rPr>
        <w:t>Issuance of documents from the competence of the National Archives (AN)</w:t>
      </w:r>
    </w:p>
    <w:p w:rsidR="00A064B6" w:rsidRPr="00A064B6" w:rsidRDefault="00A064B6" w:rsidP="00AC3EC8">
      <w:pPr>
        <w:numPr>
          <w:ilvl w:val="1"/>
          <w:numId w:val="49"/>
        </w:numPr>
        <w:suppressAutoHyphens/>
        <w:spacing w:before="120"/>
        <w:ind w:left="425" w:hanging="357"/>
        <w:jc w:val="both"/>
        <w:rPr>
          <w:rFonts w:asciiTheme="minorHAnsi" w:eastAsia="Calibri" w:hAnsiTheme="minorHAnsi"/>
          <w:b/>
        </w:rPr>
      </w:pPr>
      <w:r>
        <w:rPr>
          <w:rFonts w:asciiTheme="minorHAnsi" w:hAnsiTheme="minorHAnsi"/>
          <w:b/>
        </w:rPr>
        <w:t>Expected results:</w:t>
      </w:r>
    </w:p>
    <w:p w:rsidR="00A064B6" w:rsidRPr="00A064B6" w:rsidRDefault="00A064B6" w:rsidP="009F7237">
      <w:pPr>
        <w:numPr>
          <w:ilvl w:val="0"/>
          <w:numId w:val="54"/>
        </w:numPr>
        <w:suppressAutoHyphens/>
        <w:contextualSpacing/>
        <w:jc w:val="both"/>
        <w:rPr>
          <w:rFonts w:asciiTheme="minorHAnsi" w:eastAsia="Calibri" w:hAnsiTheme="minorHAnsi"/>
        </w:rPr>
      </w:pPr>
      <w:r>
        <w:rPr>
          <w:rFonts w:asciiTheme="minorHAnsi" w:hAnsiTheme="minorHAnsi"/>
        </w:rPr>
        <w:t>Managing the process of issuance of documents from the competence of DEPAD</w:t>
      </w:r>
    </w:p>
    <w:p w:rsidR="00A064B6" w:rsidRPr="00A064B6" w:rsidRDefault="00A064B6" w:rsidP="009F7237">
      <w:pPr>
        <w:numPr>
          <w:ilvl w:val="0"/>
          <w:numId w:val="54"/>
        </w:numPr>
        <w:suppressAutoHyphens/>
        <w:contextualSpacing/>
        <w:jc w:val="both"/>
        <w:rPr>
          <w:rFonts w:asciiTheme="minorHAnsi" w:eastAsia="Calibri" w:hAnsiTheme="minorHAnsi"/>
        </w:rPr>
      </w:pPr>
      <w:r>
        <w:rPr>
          <w:rFonts w:asciiTheme="minorHAnsi" w:hAnsiTheme="minorHAnsi"/>
        </w:rPr>
        <w:t>Managing the process of provision of public services from the competence of DGP</w:t>
      </w:r>
    </w:p>
    <w:p w:rsidR="00A064B6" w:rsidRPr="00A064B6" w:rsidRDefault="00A064B6" w:rsidP="009F7237">
      <w:pPr>
        <w:numPr>
          <w:ilvl w:val="0"/>
          <w:numId w:val="54"/>
        </w:numPr>
        <w:suppressAutoHyphens/>
        <w:contextualSpacing/>
        <w:jc w:val="both"/>
        <w:rPr>
          <w:rFonts w:asciiTheme="minorHAnsi" w:eastAsia="Calibri" w:hAnsiTheme="minorHAnsi"/>
        </w:rPr>
      </w:pPr>
      <w:r>
        <w:rPr>
          <w:rFonts w:asciiTheme="minorHAnsi" w:hAnsiTheme="minorHAnsi"/>
        </w:rPr>
        <w:t>Managing the process of issuance of documents and plates with registration numbers from the competence of the Directorate of Driving License Regimes and Vehicle Registration</w:t>
      </w:r>
    </w:p>
    <w:p w:rsidR="00A064B6" w:rsidRPr="00A064B6" w:rsidRDefault="00A064B6" w:rsidP="009F7237">
      <w:pPr>
        <w:numPr>
          <w:ilvl w:val="0"/>
          <w:numId w:val="54"/>
        </w:numPr>
        <w:suppressAutoHyphens/>
        <w:contextualSpacing/>
        <w:jc w:val="both"/>
        <w:rPr>
          <w:rFonts w:asciiTheme="minorHAnsi" w:eastAsia="Calibri" w:hAnsiTheme="minorHAnsi"/>
        </w:rPr>
      </w:pPr>
      <w:r>
        <w:rPr>
          <w:rFonts w:asciiTheme="minorHAnsi" w:hAnsiTheme="minorHAnsi"/>
        </w:rPr>
        <w:t>Managing the activity of the AN</w:t>
      </w:r>
    </w:p>
    <w:p w:rsidR="00A064B6" w:rsidRPr="00A064B6" w:rsidRDefault="00A064B6" w:rsidP="00A064B6">
      <w:pPr>
        <w:tabs>
          <w:tab w:val="left" w:pos="0"/>
        </w:tabs>
        <w:jc w:val="both"/>
        <w:rPr>
          <w:rFonts w:asciiTheme="minorHAnsi" w:hAnsiTheme="minorHAnsi"/>
          <w:lang w:eastAsia="zh-CN"/>
        </w:rPr>
      </w:pPr>
    </w:p>
    <w:p w:rsidR="00A064B6" w:rsidRPr="003964D3" w:rsidRDefault="00A064B6" w:rsidP="00A064B6">
      <w:pPr>
        <w:tabs>
          <w:tab w:val="left" w:pos="0"/>
        </w:tabs>
        <w:jc w:val="both"/>
        <w:rPr>
          <w:rFonts w:asciiTheme="minorHAnsi" w:hAnsiTheme="minorHAnsi"/>
          <w:b/>
        </w:rPr>
      </w:pPr>
      <w:r>
        <w:rPr>
          <w:rFonts w:asciiTheme="minorHAnsi" w:hAnsiTheme="minorHAnsi"/>
          <w:b/>
        </w:rPr>
        <w:t>4.4 Impact indicators of program 4 “Services for citizens and legal entities”</w:t>
      </w:r>
    </w:p>
    <w:p w:rsidR="00A064B6" w:rsidRPr="003964D3" w:rsidRDefault="00A064B6" w:rsidP="00A064B6">
      <w:pPr>
        <w:tabs>
          <w:tab w:val="left" w:pos="0"/>
        </w:tabs>
        <w:jc w:val="both"/>
        <w:rPr>
          <w:rFonts w:asciiTheme="minorHAnsi" w:hAnsiTheme="minorHAnsi"/>
          <w:lang w:val="fr-FR"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5703"/>
        <w:gridCol w:w="873"/>
        <w:gridCol w:w="2147"/>
      </w:tblGrid>
      <w:tr w:rsidR="00A064B6" w:rsidRPr="00A064B6" w:rsidTr="00842BC9">
        <w:trPr>
          <w:jc w:val="center"/>
        </w:trPr>
        <w:tc>
          <w:tcPr>
            <w:tcW w:w="849" w:type="dxa"/>
            <w:shd w:val="clear" w:color="auto" w:fill="E2EFD9"/>
          </w:tcPr>
          <w:p w:rsidR="00A064B6" w:rsidRPr="00A064B6" w:rsidRDefault="00A064B6" w:rsidP="00A064B6">
            <w:pPr>
              <w:suppressAutoHyphens/>
              <w:jc w:val="both"/>
              <w:rPr>
                <w:rFonts w:asciiTheme="minorHAnsi" w:eastAsia="Calibri" w:hAnsiTheme="minorHAnsi"/>
                <w:b/>
              </w:rPr>
            </w:pPr>
            <w:r>
              <w:rPr>
                <w:rFonts w:asciiTheme="minorHAnsi" w:hAnsiTheme="minorHAnsi"/>
                <w:b/>
              </w:rPr>
              <w:t>No.</w:t>
            </w:r>
          </w:p>
        </w:tc>
        <w:tc>
          <w:tcPr>
            <w:tcW w:w="5703" w:type="dxa"/>
            <w:shd w:val="clear" w:color="auto" w:fill="E2EFD9"/>
          </w:tcPr>
          <w:p w:rsidR="00A064B6" w:rsidRPr="00A064B6" w:rsidRDefault="00A064B6" w:rsidP="00A064B6">
            <w:pPr>
              <w:suppressAutoHyphens/>
              <w:jc w:val="both"/>
              <w:rPr>
                <w:rFonts w:asciiTheme="minorHAnsi" w:eastAsia="Calibri" w:hAnsiTheme="minorHAnsi"/>
                <w:b/>
              </w:rPr>
            </w:pPr>
            <w:r>
              <w:rPr>
                <w:rFonts w:asciiTheme="minorHAnsi" w:hAnsiTheme="minorHAnsi"/>
                <w:b/>
              </w:rPr>
              <w:t>Indicator name</w:t>
            </w:r>
          </w:p>
        </w:tc>
        <w:tc>
          <w:tcPr>
            <w:tcW w:w="873" w:type="dxa"/>
            <w:shd w:val="clear" w:color="auto" w:fill="E2EFD9"/>
          </w:tcPr>
          <w:p w:rsidR="00A064B6" w:rsidRPr="00A064B6" w:rsidRDefault="00A064B6" w:rsidP="00A064B6">
            <w:pPr>
              <w:suppressAutoHyphens/>
              <w:jc w:val="both"/>
              <w:rPr>
                <w:rFonts w:asciiTheme="minorHAnsi" w:eastAsia="Calibri" w:hAnsiTheme="minorHAnsi"/>
                <w:b/>
              </w:rPr>
            </w:pPr>
            <w:r>
              <w:rPr>
                <w:rFonts w:asciiTheme="minorHAnsi" w:hAnsiTheme="minorHAnsi"/>
                <w:b/>
              </w:rPr>
              <w:t>M.U.</w:t>
            </w:r>
          </w:p>
        </w:tc>
        <w:tc>
          <w:tcPr>
            <w:tcW w:w="2147" w:type="dxa"/>
            <w:shd w:val="clear" w:color="auto" w:fill="E2EFD9"/>
          </w:tcPr>
          <w:p w:rsidR="00A064B6" w:rsidRPr="00A064B6" w:rsidRDefault="00A064B6" w:rsidP="00A064B6">
            <w:pPr>
              <w:suppressAutoHyphens/>
              <w:jc w:val="both"/>
              <w:rPr>
                <w:rFonts w:asciiTheme="minorHAnsi" w:eastAsia="Calibri" w:hAnsiTheme="minorHAnsi"/>
                <w:b/>
              </w:rPr>
            </w:pPr>
            <w:r>
              <w:rPr>
                <w:rFonts w:asciiTheme="minorHAnsi" w:hAnsiTheme="minorHAnsi"/>
                <w:b/>
              </w:rPr>
              <w:t>Target for 2021</w:t>
            </w:r>
          </w:p>
        </w:tc>
      </w:tr>
      <w:tr w:rsidR="00A064B6" w:rsidRPr="00A064B6" w:rsidTr="00842BC9">
        <w:trPr>
          <w:jc w:val="center"/>
        </w:trPr>
        <w:tc>
          <w:tcPr>
            <w:tcW w:w="849" w:type="dxa"/>
            <w:shd w:val="clear" w:color="auto" w:fill="auto"/>
          </w:tcPr>
          <w:p w:rsidR="00A064B6" w:rsidRPr="00A064B6" w:rsidRDefault="00A064B6" w:rsidP="00A064B6">
            <w:pPr>
              <w:suppressAutoHyphens/>
              <w:jc w:val="both"/>
              <w:rPr>
                <w:rFonts w:asciiTheme="minorHAnsi" w:eastAsia="Calibri" w:hAnsiTheme="minorHAnsi"/>
              </w:rPr>
            </w:pPr>
            <w:r>
              <w:rPr>
                <w:rFonts w:asciiTheme="minorHAnsi" w:hAnsiTheme="minorHAnsi"/>
              </w:rPr>
              <w:t>1.</w:t>
            </w:r>
          </w:p>
        </w:tc>
        <w:tc>
          <w:tcPr>
            <w:tcW w:w="5703" w:type="dxa"/>
            <w:shd w:val="clear" w:color="auto" w:fill="auto"/>
          </w:tcPr>
          <w:p w:rsidR="00A064B6" w:rsidRPr="00A064B6" w:rsidRDefault="00A064B6" w:rsidP="00A064B6">
            <w:pPr>
              <w:suppressAutoHyphens/>
              <w:jc w:val="both"/>
              <w:rPr>
                <w:rFonts w:asciiTheme="minorHAnsi" w:eastAsia="Calibri" w:hAnsiTheme="minorHAnsi"/>
              </w:rPr>
            </w:pPr>
            <w:r>
              <w:rPr>
                <w:rFonts w:asciiTheme="minorHAnsi" w:hAnsiTheme="minorHAnsi"/>
              </w:rPr>
              <w:t xml:space="preserve">Satisfaction of beneficiaries related to the graduates of the schools of MIA </w:t>
            </w:r>
          </w:p>
        </w:tc>
        <w:tc>
          <w:tcPr>
            <w:tcW w:w="873" w:type="dxa"/>
            <w:shd w:val="clear" w:color="auto" w:fill="auto"/>
          </w:tcPr>
          <w:p w:rsidR="00A064B6" w:rsidRPr="00A064B6" w:rsidRDefault="00A064B6" w:rsidP="00A064B6">
            <w:pPr>
              <w:suppressAutoHyphens/>
              <w:jc w:val="both"/>
              <w:rPr>
                <w:rFonts w:asciiTheme="minorHAnsi" w:eastAsia="Calibri" w:hAnsiTheme="minorHAnsi"/>
              </w:rPr>
            </w:pPr>
            <w:r>
              <w:rPr>
                <w:rFonts w:asciiTheme="minorHAnsi" w:hAnsiTheme="minorHAnsi"/>
              </w:rPr>
              <w:t>%</w:t>
            </w:r>
          </w:p>
        </w:tc>
        <w:tc>
          <w:tcPr>
            <w:tcW w:w="2147" w:type="dxa"/>
            <w:shd w:val="clear" w:color="auto" w:fill="auto"/>
          </w:tcPr>
          <w:p w:rsidR="00A064B6" w:rsidRPr="00A064B6" w:rsidRDefault="00A064B6" w:rsidP="00A064B6">
            <w:pPr>
              <w:suppressAutoHyphens/>
              <w:jc w:val="both"/>
              <w:rPr>
                <w:rFonts w:asciiTheme="minorHAnsi" w:eastAsia="Calibri" w:hAnsiTheme="minorHAnsi"/>
              </w:rPr>
            </w:pPr>
            <w:r>
              <w:rPr>
                <w:rFonts w:asciiTheme="minorHAnsi" w:hAnsiTheme="minorHAnsi"/>
              </w:rPr>
              <w:t>70%</w:t>
            </w:r>
          </w:p>
        </w:tc>
      </w:tr>
      <w:tr w:rsidR="00A064B6" w:rsidRPr="00A064B6" w:rsidTr="00842BC9">
        <w:trPr>
          <w:jc w:val="center"/>
        </w:trPr>
        <w:tc>
          <w:tcPr>
            <w:tcW w:w="849" w:type="dxa"/>
            <w:shd w:val="clear" w:color="auto" w:fill="auto"/>
          </w:tcPr>
          <w:p w:rsidR="00A064B6" w:rsidRPr="00A064B6" w:rsidRDefault="00A064B6" w:rsidP="00A064B6">
            <w:pPr>
              <w:suppressAutoHyphens/>
              <w:jc w:val="both"/>
              <w:rPr>
                <w:rFonts w:asciiTheme="minorHAnsi" w:eastAsia="Calibri" w:hAnsiTheme="minorHAnsi"/>
              </w:rPr>
            </w:pPr>
            <w:r>
              <w:rPr>
                <w:rFonts w:asciiTheme="minorHAnsi" w:hAnsiTheme="minorHAnsi"/>
              </w:rPr>
              <w:t>2.</w:t>
            </w:r>
          </w:p>
        </w:tc>
        <w:tc>
          <w:tcPr>
            <w:tcW w:w="5703" w:type="dxa"/>
            <w:shd w:val="clear" w:color="auto" w:fill="auto"/>
          </w:tcPr>
          <w:p w:rsidR="00A064B6" w:rsidRPr="003964D3" w:rsidRDefault="00A064B6" w:rsidP="00A064B6">
            <w:pPr>
              <w:suppressAutoHyphens/>
              <w:jc w:val="both"/>
              <w:rPr>
                <w:rFonts w:asciiTheme="minorHAnsi" w:eastAsia="Calibri" w:hAnsiTheme="minorHAnsi"/>
              </w:rPr>
            </w:pPr>
            <w:r>
              <w:rPr>
                <w:rFonts w:asciiTheme="minorHAnsi" w:hAnsiTheme="minorHAnsi"/>
              </w:rPr>
              <w:t xml:space="preserve">Total budget allocation managed by the MIA </w:t>
            </w:r>
          </w:p>
        </w:tc>
        <w:tc>
          <w:tcPr>
            <w:tcW w:w="873" w:type="dxa"/>
            <w:shd w:val="clear" w:color="auto" w:fill="auto"/>
          </w:tcPr>
          <w:p w:rsidR="00A064B6" w:rsidRPr="00A064B6" w:rsidRDefault="00A064B6" w:rsidP="00A064B6">
            <w:pPr>
              <w:suppressAutoHyphens/>
              <w:jc w:val="both"/>
              <w:rPr>
                <w:rFonts w:asciiTheme="minorHAnsi" w:eastAsia="Calibri" w:hAnsiTheme="minorHAnsi"/>
              </w:rPr>
            </w:pPr>
            <w:r>
              <w:rPr>
                <w:rFonts w:asciiTheme="minorHAnsi" w:hAnsiTheme="minorHAnsi"/>
              </w:rPr>
              <w:t>%</w:t>
            </w:r>
          </w:p>
        </w:tc>
        <w:tc>
          <w:tcPr>
            <w:tcW w:w="2147" w:type="dxa"/>
            <w:shd w:val="clear" w:color="auto" w:fill="auto"/>
          </w:tcPr>
          <w:p w:rsidR="00A064B6" w:rsidRPr="00A064B6" w:rsidRDefault="00A064B6" w:rsidP="00A064B6">
            <w:pPr>
              <w:suppressAutoHyphens/>
              <w:jc w:val="both"/>
              <w:rPr>
                <w:rFonts w:asciiTheme="minorHAnsi" w:eastAsia="Calibri" w:hAnsiTheme="minorHAnsi"/>
              </w:rPr>
            </w:pPr>
            <w:r>
              <w:rPr>
                <w:rFonts w:asciiTheme="minorHAnsi" w:hAnsiTheme="minorHAnsi"/>
              </w:rPr>
              <w:t>10%</w:t>
            </w:r>
          </w:p>
        </w:tc>
      </w:tr>
    </w:tbl>
    <w:p w:rsidR="00A064B6" w:rsidRPr="00A064B6" w:rsidRDefault="00A064B6" w:rsidP="00A064B6">
      <w:pPr>
        <w:tabs>
          <w:tab w:val="left" w:pos="0"/>
        </w:tabs>
        <w:jc w:val="both"/>
        <w:rPr>
          <w:rFonts w:asciiTheme="minorHAnsi" w:hAnsiTheme="minorHAnsi"/>
          <w:lang w:eastAsia="zh-CN"/>
        </w:rPr>
      </w:pPr>
    </w:p>
    <w:p w:rsidR="00A064B6" w:rsidRPr="00A064B6" w:rsidRDefault="00A064B6" w:rsidP="00A064B6">
      <w:pPr>
        <w:tabs>
          <w:tab w:val="left" w:pos="0"/>
        </w:tabs>
        <w:jc w:val="both"/>
        <w:rPr>
          <w:rFonts w:asciiTheme="minorHAnsi" w:hAnsiTheme="minorHAnsi"/>
          <w:lang w:eastAsia="zh-CN"/>
        </w:rPr>
      </w:pPr>
    </w:p>
    <w:p w:rsidR="00A064B6" w:rsidRPr="00A064B6" w:rsidRDefault="00A064B6" w:rsidP="00A064B6">
      <w:pPr>
        <w:suppressAutoHyphens/>
        <w:jc w:val="both"/>
        <w:rPr>
          <w:rFonts w:asciiTheme="minorHAnsi" w:hAnsiTheme="minorHAnsi"/>
          <w:b/>
        </w:rPr>
      </w:pPr>
      <w:r>
        <w:rPr>
          <w:rFonts w:asciiTheme="minorHAnsi" w:hAnsiTheme="minorHAnsi"/>
          <w:b/>
        </w:rPr>
        <w:t>PROGRAM 5 “ADMINISTRATIVE CAPACITY AND OPERATIONAL SUPPORT”</w:t>
      </w:r>
    </w:p>
    <w:p w:rsidR="00A064B6" w:rsidRPr="00A064B6" w:rsidRDefault="00A064B6" w:rsidP="009F7237">
      <w:pPr>
        <w:numPr>
          <w:ilvl w:val="1"/>
          <w:numId w:val="50"/>
        </w:numPr>
        <w:suppressAutoHyphens/>
        <w:jc w:val="both"/>
        <w:rPr>
          <w:rFonts w:asciiTheme="minorHAnsi" w:hAnsiTheme="minorHAnsi"/>
          <w:i/>
        </w:rPr>
      </w:pPr>
      <w:r>
        <w:rPr>
          <w:rFonts w:asciiTheme="minorHAnsi" w:hAnsiTheme="minorHAnsi"/>
          <w:b/>
        </w:rPr>
        <w:t>Program objective</w:t>
      </w:r>
      <w:r>
        <w:rPr>
          <w:rFonts w:asciiTheme="minorHAnsi" w:hAnsiTheme="minorHAnsi"/>
        </w:rPr>
        <w:t xml:space="preserve"> -</w:t>
      </w:r>
      <w:r>
        <w:rPr>
          <w:rFonts w:asciiTheme="minorHAnsi" w:hAnsiTheme="minorHAnsi"/>
          <w:i/>
        </w:rPr>
        <w:t xml:space="preserve"> Increasing the MIA’s efficiency and administrative capacity.</w:t>
      </w:r>
    </w:p>
    <w:p w:rsidR="00A064B6" w:rsidRPr="00A064B6" w:rsidRDefault="00A064B6" w:rsidP="009F7237">
      <w:pPr>
        <w:numPr>
          <w:ilvl w:val="1"/>
          <w:numId w:val="50"/>
        </w:numPr>
        <w:suppressAutoHyphens/>
        <w:contextualSpacing/>
        <w:jc w:val="both"/>
        <w:rPr>
          <w:rFonts w:asciiTheme="minorHAnsi" w:eastAsia="Calibri" w:hAnsiTheme="minorHAnsi"/>
          <w:b/>
        </w:rPr>
      </w:pPr>
      <w:r>
        <w:rPr>
          <w:rFonts w:asciiTheme="minorHAnsi" w:hAnsiTheme="minorHAnsi"/>
          <w:b/>
        </w:rPr>
        <w:t>Program measures:</w:t>
      </w:r>
    </w:p>
    <w:p w:rsidR="00A064B6" w:rsidRPr="003964D3" w:rsidRDefault="00A064B6" w:rsidP="009F7237">
      <w:pPr>
        <w:numPr>
          <w:ilvl w:val="0"/>
          <w:numId w:val="60"/>
        </w:numPr>
        <w:suppressAutoHyphens/>
        <w:contextualSpacing/>
        <w:jc w:val="both"/>
        <w:rPr>
          <w:rFonts w:asciiTheme="minorHAnsi" w:eastAsia="Calibri" w:hAnsiTheme="minorHAnsi"/>
        </w:rPr>
      </w:pPr>
      <w:r>
        <w:rPr>
          <w:rFonts w:asciiTheme="minorHAnsi" w:hAnsiTheme="minorHAnsi"/>
        </w:rPr>
        <w:t>Observing the legal provisions related to promotion of draft public policy documents</w:t>
      </w:r>
    </w:p>
    <w:p w:rsidR="00A064B6" w:rsidRPr="00A064B6" w:rsidRDefault="00A064B6" w:rsidP="009F7237">
      <w:pPr>
        <w:numPr>
          <w:ilvl w:val="0"/>
          <w:numId w:val="60"/>
        </w:numPr>
        <w:suppressAutoHyphens/>
        <w:contextualSpacing/>
        <w:jc w:val="both"/>
        <w:rPr>
          <w:rFonts w:asciiTheme="minorHAnsi" w:eastAsia="Calibri" w:hAnsiTheme="minorHAnsi"/>
        </w:rPr>
      </w:pPr>
      <w:r>
        <w:rPr>
          <w:rFonts w:asciiTheme="minorHAnsi" w:hAnsiTheme="minorHAnsi"/>
        </w:rPr>
        <w:t>Observing the legal provisions related to promotion of draft legislative act documents</w:t>
      </w:r>
    </w:p>
    <w:p w:rsidR="00A064B6" w:rsidRPr="00715536" w:rsidRDefault="00A064B6" w:rsidP="009F7237">
      <w:pPr>
        <w:numPr>
          <w:ilvl w:val="0"/>
          <w:numId w:val="60"/>
        </w:numPr>
        <w:suppressAutoHyphens/>
        <w:contextualSpacing/>
        <w:jc w:val="both"/>
        <w:rPr>
          <w:rFonts w:asciiTheme="minorHAnsi" w:eastAsia="Calibri" w:hAnsiTheme="minorHAnsi"/>
        </w:rPr>
      </w:pPr>
      <w:r>
        <w:rPr>
          <w:rFonts w:asciiTheme="minorHAnsi" w:hAnsiTheme="minorHAnsi"/>
        </w:rPr>
        <w:t>Improving the efficiency and effectiveness of the control act in the MIA</w:t>
      </w:r>
    </w:p>
    <w:p w:rsidR="00A064B6" w:rsidRPr="00715536" w:rsidRDefault="00A064B6" w:rsidP="009F7237">
      <w:pPr>
        <w:numPr>
          <w:ilvl w:val="0"/>
          <w:numId w:val="60"/>
        </w:numPr>
        <w:suppressAutoHyphens/>
        <w:contextualSpacing/>
        <w:jc w:val="both"/>
        <w:rPr>
          <w:rFonts w:asciiTheme="minorHAnsi" w:eastAsia="Calibri" w:hAnsiTheme="minorHAnsi"/>
        </w:rPr>
      </w:pPr>
      <w:r>
        <w:rPr>
          <w:rFonts w:asciiTheme="minorHAnsi" w:hAnsiTheme="minorHAnsi"/>
        </w:rPr>
        <w:t>Improving the efficiency and effectiveness of internal public audit in the MIA</w:t>
      </w:r>
    </w:p>
    <w:p w:rsidR="00A064B6" w:rsidRPr="00715536" w:rsidRDefault="00A064B6" w:rsidP="009F7237">
      <w:pPr>
        <w:numPr>
          <w:ilvl w:val="0"/>
          <w:numId w:val="60"/>
        </w:numPr>
        <w:suppressAutoHyphens/>
        <w:contextualSpacing/>
        <w:jc w:val="both"/>
        <w:rPr>
          <w:rFonts w:asciiTheme="minorHAnsi" w:eastAsia="Calibri" w:hAnsiTheme="minorHAnsi"/>
        </w:rPr>
      </w:pPr>
      <w:r>
        <w:rPr>
          <w:rFonts w:asciiTheme="minorHAnsi" w:hAnsiTheme="minorHAnsi"/>
        </w:rPr>
        <w:t>Making more efficient the process of planning, management and coordination necessary for an integrated response in case of occurrence of special and crisis situations</w:t>
      </w:r>
    </w:p>
    <w:p w:rsidR="00A064B6" w:rsidRPr="00A064B6" w:rsidRDefault="00A064B6" w:rsidP="009F7237">
      <w:pPr>
        <w:numPr>
          <w:ilvl w:val="0"/>
          <w:numId w:val="60"/>
        </w:numPr>
        <w:suppressAutoHyphens/>
        <w:contextualSpacing/>
        <w:jc w:val="both"/>
        <w:rPr>
          <w:rFonts w:asciiTheme="minorHAnsi" w:eastAsia="Calibri" w:hAnsiTheme="minorHAnsi"/>
        </w:rPr>
      </w:pPr>
      <w:r>
        <w:rPr>
          <w:rFonts w:asciiTheme="minorHAnsi" w:hAnsiTheme="minorHAnsi"/>
        </w:rPr>
        <w:t>Managing the funds allocated to create the assumptions for optimal performance of the activity of the ministry’s structures</w:t>
      </w:r>
    </w:p>
    <w:p w:rsidR="00A064B6" w:rsidRPr="00A064B6" w:rsidRDefault="00A064B6" w:rsidP="009F7237">
      <w:pPr>
        <w:numPr>
          <w:ilvl w:val="0"/>
          <w:numId w:val="60"/>
        </w:numPr>
        <w:suppressAutoHyphens/>
        <w:contextualSpacing/>
        <w:jc w:val="both"/>
        <w:rPr>
          <w:rFonts w:asciiTheme="minorHAnsi" w:eastAsia="Calibri" w:hAnsiTheme="minorHAnsi"/>
        </w:rPr>
      </w:pPr>
      <w:r>
        <w:rPr>
          <w:rFonts w:asciiTheme="minorHAnsi" w:hAnsiTheme="minorHAnsi"/>
        </w:rPr>
        <w:t>Making the payment of pension rights and other social insurance rights due to the beneficiaries of Law no. 223/2015</w:t>
      </w:r>
    </w:p>
    <w:p w:rsidR="00A064B6" w:rsidRPr="00A064B6" w:rsidRDefault="00A064B6" w:rsidP="009F7237">
      <w:pPr>
        <w:numPr>
          <w:ilvl w:val="0"/>
          <w:numId w:val="60"/>
        </w:numPr>
        <w:suppressAutoHyphens/>
        <w:contextualSpacing/>
        <w:jc w:val="both"/>
        <w:rPr>
          <w:rFonts w:asciiTheme="minorHAnsi" w:eastAsia="Calibri" w:hAnsiTheme="minorHAnsi"/>
        </w:rPr>
      </w:pPr>
      <w:r>
        <w:rPr>
          <w:rFonts w:asciiTheme="minorHAnsi" w:hAnsiTheme="minorHAnsi"/>
        </w:rPr>
        <w:t>Managing the logistics resources necessary for a good operation of the ministry</w:t>
      </w:r>
    </w:p>
    <w:p w:rsidR="00A064B6" w:rsidRPr="00A064B6" w:rsidRDefault="00A064B6" w:rsidP="009F7237">
      <w:pPr>
        <w:numPr>
          <w:ilvl w:val="0"/>
          <w:numId w:val="60"/>
        </w:numPr>
        <w:suppressAutoHyphens/>
        <w:contextualSpacing/>
        <w:jc w:val="both"/>
        <w:rPr>
          <w:rFonts w:asciiTheme="minorHAnsi" w:eastAsia="Calibri" w:hAnsiTheme="minorHAnsi"/>
        </w:rPr>
      </w:pPr>
      <w:r>
        <w:rPr>
          <w:rFonts w:asciiTheme="minorHAnsi" w:hAnsiTheme="minorHAnsi"/>
        </w:rPr>
        <w:t>Improving the performance of the ICT systems and ensuring the maintenance of the existing infrastructure</w:t>
      </w:r>
    </w:p>
    <w:p w:rsidR="00A064B6" w:rsidRPr="00A064B6" w:rsidRDefault="00A064B6" w:rsidP="009F7237">
      <w:pPr>
        <w:numPr>
          <w:ilvl w:val="0"/>
          <w:numId w:val="60"/>
        </w:numPr>
        <w:suppressAutoHyphens/>
        <w:contextualSpacing/>
        <w:jc w:val="both"/>
        <w:rPr>
          <w:rFonts w:asciiTheme="minorHAnsi" w:eastAsia="Calibri" w:hAnsiTheme="minorHAnsi"/>
        </w:rPr>
      </w:pPr>
      <w:r>
        <w:rPr>
          <w:rFonts w:asciiTheme="minorHAnsi" w:hAnsiTheme="minorHAnsi"/>
        </w:rPr>
        <w:t>Managing the human resources necessary for a good operation of the ministry</w:t>
      </w:r>
    </w:p>
    <w:p w:rsidR="00A064B6" w:rsidRPr="00715536" w:rsidRDefault="00A064B6" w:rsidP="009F7237">
      <w:pPr>
        <w:numPr>
          <w:ilvl w:val="0"/>
          <w:numId w:val="60"/>
        </w:numPr>
        <w:suppressAutoHyphens/>
        <w:contextualSpacing/>
        <w:jc w:val="both"/>
        <w:rPr>
          <w:rFonts w:asciiTheme="minorHAnsi" w:eastAsia="Calibri" w:hAnsiTheme="minorHAnsi"/>
        </w:rPr>
      </w:pPr>
      <w:r>
        <w:rPr>
          <w:rFonts w:asciiTheme="minorHAnsi" w:hAnsiTheme="minorHAnsi"/>
        </w:rPr>
        <w:t>Training the personnel of MIA to acquire expertise in specific fields</w:t>
      </w:r>
    </w:p>
    <w:p w:rsidR="00A064B6" w:rsidRPr="00A064B6" w:rsidRDefault="00A064B6" w:rsidP="009F7237">
      <w:pPr>
        <w:numPr>
          <w:ilvl w:val="0"/>
          <w:numId w:val="60"/>
        </w:numPr>
        <w:suppressAutoHyphens/>
        <w:contextualSpacing/>
        <w:jc w:val="both"/>
        <w:rPr>
          <w:rFonts w:asciiTheme="minorHAnsi" w:eastAsia="Calibri" w:hAnsiTheme="minorHAnsi"/>
        </w:rPr>
      </w:pPr>
      <w:r>
        <w:rPr>
          <w:rFonts w:asciiTheme="minorHAnsi" w:hAnsiTheme="minorHAnsi"/>
        </w:rPr>
        <w:t>Ensuring air support for reestablishment of public order, border supervision and interventions in emergency situations</w:t>
      </w:r>
    </w:p>
    <w:p w:rsidR="00A064B6" w:rsidRPr="00A064B6" w:rsidRDefault="00A064B6" w:rsidP="009F7237">
      <w:pPr>
        <w:numPr>
          <w:ilvl w:val="0"/>
          <w:numId w:val="60"/>
        </w:numPr>
        <w:suppressAutoHyphens/>
        <w:contextualSpacing/>
        <w:jc w:val="both"/>
        <w:rPr>
          <w:rFonts w:asciiTheme="minorHAnsi" w:eastAsia="Calibri" w:hAnsiTheme="minorHAnsi"/>
        </w:rPr>
      </w:pPr>
      <w:r>
        <w:rPr>
          <w:rFonts w:asciiTheme="minorHAnsi" w:hAnsiTheme="minorHAnsi"/>
        </w:rPr>
        <w:t>Accessing external non-reimbursable funds</w:t>
      </w:r>
    </w:p>
    <w:p w:rsidR="00A064B6" w:rsidRPr="00715536" w:rsidRDefault="00A064B6" w:rsidP="009F7237">
      <w:pPr>
        <w:numPr>
          <w:ilvl w:val="0"/>
          <w:numId w:val="60"/>
        </w:numPr>
        <w:suppressAutoHyphens/>
        <w:contextualSpacing/>
        <w:jc w:val="both"/>
        <w:rPr>
          <w:rFonts w:asciiTheme="minorHAnsi" w:eastAsia="Calibri" w:hAnsiTheme="minorHAnsi"/>
        </w:rPr>
      </w:pPr>
      <w:r>
        <w:rPr>
          <w:rFonts w:asciiTheme="minorHAnsi" w:hAnsiTheme="minorHAnsi"/>
        </w:rPr>
        <w:t>Prevention and combating of corruption in the MIA</w:t>
      </w:r>
    </w:p>
    <w:p w:rsidR="00A064B6" w:rsidRPr="00A064B6" w:rsidRDefault="00A064B6" w:rsidP="009F7237">
      <w:pPr>
        <w:numPr>
          <w:ilvl w:val="0"/>
          <w:numId w:val="60"/>
        </w:numPr>
        <w:suppressAutoHyphens/>
        <w:contextualSpacing/>
        <w:jc w:val="both"/>
        <w:rPr>
          <w:rFonts w:asciiTheme="minorHAnsi" w:eastAsia="Calibri" w:hAnsiTheme="minorHAnsi"/>
        </w:rPr>
      </w:pPr>
      <w:r>
        <w:rPr>
          <w:rFonts w:asciiTheme="minorHAnsi" w:hAnsiTheme="minorHAnsi"/>
        </w:rPr>
        <w:t>Fast information of mass media and citizens</w:t>
      </w:r>
    </w:p>
    <w:p w:rsidR="00A064B6" w:rsidRPr="00715536" w:rsidRDefault="00A064B6" w:rsidP="009F7237">
      <w:pPr>
        <w:numPr>
          <w:ilvl w:val="0"/>
          <w:numId w:val="60"/>
        </w:numPr>
        <w:suppressAutoHyphens/>
        <w:contextualSpacing/>
        <w:jc w:val="both"/>
        <w:rPr>
          <w:rFonts w:asciiTheme="minorHAnsi" w:eastAsia="Calibri" w:hAnsiTheme="minorHAnsi"/>
        </w:rPr>
      </w:pPr>
      <w:r>
        <w:rPr>
          <w:rFonts w:asciiTheme="minorHAnsi" w:hAnsiTheme="minorHAnsi"/>
        </w:rPr>
        <w:t>Training specialists with university training for the structures of MIA</w:t>
      </w:r>
    </w:p>
    <w:p w:rsidR="00A064B6" w:rsidRPr="00A064B6" w:rsidRDefault="00A064B6" w:rsidP="009F7237">
      <w:pPr>
        <w:numPr>
          <w:ilvl w:val="0"/>
          <w:numId w:val="60"/>
        </w:numPr>
        <w:suppressAutoHyphens/>
        <w:contextualSpacing/>
        <w:jc w:val="both"/>
        <w:rPr>
          <w:rFonts w:asciiTheme="minorHAnsi" w:eastAsia="Calibri" w:hAnsiTheme="minorHAnsi"/>
        </w:rPr>
      </w:pPr>
      <w:r>
        <w:rPr>
          <w:rFonts w:asciiTheme="minorHAnsi" w:hAnsiTheme="minorHAnsi"/>
        </w:rPr>
        <w:t>Adapting training programs in correlation with the evolution of phenomena in the field of public order and safety</w:t>
      </w:r>
    </w:p>
    <w:p w:rsidR="00A064B6" w:rsidRPr="00A064B6" w:rsidRDefault="00A064B6" w:rsidP="009F7237">
      <w:pPr>
        <w:numPr>
          <w:ilvl w:val="0"/>
          <w:numId w:val="60"/>
        </w:numPr>
        <w:suppressAutoHyphens/>
        <w:contextualSpacing/>
        <w:jc w:val="both"/>
        <w:rPr>
          <w:rFonts w:asciiTheme="minorHAnsi" w:eastAsia="Calibri" w:hAnsiTheme="minorHAnsi"/>
        </w:rPr>
      </w:pPr>
      <w:r>
        <w:rPr>
          <w:rFonts w:asciiTheme="minorHAnsi" w:hAnsiTheme="minorHAnsi"/>
        </w:rPr>
        <w:t>Ensuring methodological support for the prefect institutions</w:t>
      </w:r>
    </w:p>
    <w:p w:rsidR="00A064B6" w:rsidRPr="00715536" w:rsidRDefault="00A064B6" w:rsidP="009F7237">
      <w:pPr>
        <w:numPr>
          <w:ilvl w:val="0"/>
          <w:numId w:val="60"/>
        </w:numPr>
        <w:suppressAutoHyphens/>
        <w:contextualSpacing/>
        <w:jc w:val="both"/>
        <w:rPr>
          <w:rFonts w:asciiTheme="minorHAnsi" w:eastAsia="Calibri" w:hAnsiTheme="minorHAnsi"/>
        </w:rPr>
      </w:pPr>
      <w:r>
        <w:rPr>
          <w:rFonts w:asciiTheme="minorHAnsi" w:hAnsiTheme="minorHAnsi"/>
        </w:rPr>
        <w:t>Ensuring participation to the Councils of JAI, to Schengen assessment missions and to international cooperation activities carried out in bi and multilateral frameworks</w:t>
      </w:r>
    </w:p>
    <w:p w:rsidR="00A064B6" w:rsidRPr="00715536" w:rsidRDefault="00A064B6" w:rsidP="009F7237">
      <w:pPr>
        <w:numPr>
          <w:ilvl w:val="0"/>
          <w:numId w:val="60"/>
        </w:numPr>
        <w:suppressAutoHyphens/>
        <w:contextualSpacing/>
        <w:jc w:val="both"/>
        <w:rPr>
          <w:rFonts w:asciiTheme="minorHAnsi" w:eastAsia="Calibri" w:hAnsiTheme="minorHAnsi"/>
        </w:rPr>
      </w:pPr>
      <w:r>
        <w:rPr>
          <w:rFonts w:asciiTheme="minorHAnsi" w:hAnsiTheme="minorHAnsi"/>
        </w:rPr>
        <w:t>Developing cooperation relationships at international level for the purpose of making exchanges of data and information with regard to the process of identification and protection of the national/European critical infrastructures</w:t>
      </w:r>
    </w:p>
    <w:p w:rsidR="00A064B6" w:rsidRPr="00715536" w:rsidRDefault="00A064B6" w:rsidP="009F7237">
      <w:pPr>
        <w:numPr>
          <w:ilvl w:val="0"/>
          <w:numId w:val="60"/>
        </w:numPr>
        <w:suppressAutoHyphens/>
        <w:contextualSpacing/>
        <w:jc w:val="both"/>
        <w:rPr>
          <w:rFonts w:asciiTheme="minorHAnsi" w:eastAsia="Calibri" w:hAnsiTheme="minorHAnsi"/>
        </w:rPr>
      </w:pPr>
      <w:r>
        <w:rPr>
          <w:rFonts w:asciiTheme="minorHAnsi" w:hAnsiTheme="minorHAnsi"/>
        </w:rPr>
        <w:t>Ensuring the participation of the personnel of MIA to international sports activities</w:t>
      </w:r>
    </w:p>
    <w:p w:rsidR="00A064B6" w:rsidRPr="00AC3EC8" w:rsidRDefault="00A064B6" w:rsidP="00AC3EC8">
      <w:pPr>
        <w:numPr>
          <w:ilvl w:val="0"/>
          <w:numId w:val="60"/>
        </w:numPr>
        <w:suppressAutoHyphens/>
        <w:contextualSpacing/>
        <w:jc w:val="both"/>
        <w:rPr>
          <w:rFonts w:asciiTheme="minorHAnsi" w:eastAsia="Calibri" w:hAnsiTheme="minorHAnsi"/>
        </w:rPr>
      </w:pPr>
      <w:r>
        <w:rPr>
          <w:rFonts w:asciiTheme="minorHAnsi" w:hAnsiTheme="minorHAnsi"/>
        </w:rPr>
        <w:t>Training the personnel of MIA involved in the organization and implementation of PRES EU</w:t>
      </w:r>
    </w:p>
    <w:p w:rsidR="00A064B6" w:rsidRPr="00A064B6" w:rsidRDefault="00A064B6" w:rsidP="009F7237">
      <w:pPr>
        <w:numPr>
          <w:ilvl w:val="1"/>
          <w:numId w:val="50"/>
        </w:numPr>
        <w:suppressAutoHyphens/>
        <w:jc w:val="both"/>
        <w:rPr>
          <w:rFonts w:asciiTheme="minorHAnsi" w:hAnsiTheme="minorHAnsi"/>
          <w:b/>
        </w:rPr>
      </w:pPr>
      <w:r>
        <w:rPr>
          <w:rFonts w:asciiTheme="minorHAnsi" w:hAnsiTheme="minorHAnsi"/>
          <w:b/>
        </w:rPr>
        <w:t xml:space="preserve">Expected results: </w:t>
      </w:r>
    </w:p>
    <w:p w:rsidR="00A064B6" w:rsidRPr="00A064B6" w:rsidRDefault="00A064B6" w:rsidP="009F7237">
      <w:pPr>
        <w:numPr>
          <w:ilvl w:val="0"/>
          <w:numId w:val="61"/>
        </w:numPr>
        <w:tabs>
          <w:tab w:val="left" w:pos="540"/>
          <w:tab w:val="left" w:pos="630"/>
          <w:tab w:val="left" w:pos="4590"/>
        </w:tabs>
        <w:suppressAutoHyphens/>
        <w:contextualSpacing/>
        <w:jc w:val="both"/>
        <w:rPr>
          <w:rFonts w:asciiTheme="minorHAnsi" w:eastAsia="Calibri" w:hAnsiTheme="minorHAnsi"/>
        </w:rPr>
      </w:pPr>
      <w:r>
        <w:rPr>
          <w:rFonts w:asciiTheme="minorHAnsi" w:hAnsiTheme="minorHAnsi"/>
        </w:rPr>
        <w:t xml:space="preserve"> Ensuring the observance of the legal provisions in the process of elaboration and promotion of</w:t>
      </w:r>
    </w:p>
    <w:p w:rsidR="00A064B6" w:rsidRPr="00715536" w:rsidRDefault="00A064B6" w:rsidP="00A064B6">
      <w:pPr>
        <w:tabs>
          <w:tab w:val="left" w:pos="540"/>
          <w:tab w:val="left" w:pos="630"/>
          <w:tab w:val="left" w:pos="4590"/>
        </w:tabs>
        <w:ind w:left="360"/>
        <w:contextualSpacing/>
        <w:jc w:val="both"/>
        <w:rPr>
          <w:rFonts w:asciiTheme="minorHAnsi" w:eastAsia="Calibri" w:hAnsiTheme="minorHAnsi"/>
        </w:rPr>
      </w:pPr>
      <w:r>
        <w:rPr>
          <w:rFonts w:asciiTheme="minorHAnsi" w:hAnsiTheme="minorHAnsi"/>
        </w:rPr>
        <w:t xml:space="preserve"> public policy/legislative act documents</w:t>
      </w:r>
    </w:p>
    <w:p w:rsidR="00A064B6" w:rsidRPr="00715536" w:rsidRDefault="00A064B6" w:rsidP="009F7237">
      <w:pPr>
        <w:numPr>
          <w:ilvl w:val="0"/>
          <w:numId w:val="61"/>
        </w:numPr>
        <w:tabs>
          <w:tab w:val="left" w:pos="540"/>
          <w:tab w:val="left" w:pos="630"/>
          <w:tab w:val="left" w:pos="4590"/>
        </w:tabs>
        <w:suppressAutoHyphens/>
        <w:contextualSpacing/>
        <w:jc w:val="both"/>
        <w:rPr>
          <w:rFonts w:asciiTheme="minorHAnsi" w:eastAsia="Calibri" w:hAnsiTheme="minorHAnsi"/>
        </w:rPr>
      </w:pPr>
      <w:r>
        <w:rPr>
          <w:rFonts w:asciiTheme="minorHAnsi" w:hAnsiTheme="minorHAnsi"/>
        </w:rPr>
        <w:t>Developing the control and audit capacity in the MIA</w:t>
      </w:r>
    </w:p>
    <w:p w:rsidR="00A064B6" w:rsidRPr="00A064B6" w:rsidRDefault="00A064B6" w:rsidP="009F7237">
      <w:pPr>
        <w:numPr>
          <w:ilvl w:val="0"/>
          <w:numId w:val="61"/>
        </w:numPr>
        <w:tabs>
          <w:tab w:val="left" w:pos="540"/>
          <w:tab w:val="left" w:pos="630"/>
          <w:tab w:val="left" w:pos="4590"/>
        </w:tabs>
        <w:suppressAutoHyphens/>
        <w:contextualSpacing/>
        <w:jc w:val="both"/>
        <w:rPr>
          <w:rFonts w:asciiTheme="minorHAnsi" w:eastAsia="Calibri" w:hAnsiTheme="minorHAnsi"/>
        </w:rPr>
      </w:pPr>
      <w:r>
        <w:rPr>
          <w:rFonts w:asciiTheme="minorHAnsi" w:hAnsiTheme="minorHAnsi"/>
        </w:rPr>
        <w:t>Consolidating the management capacity for managing special and</w:t>
      </w:r>
    </w:p>
    <w:p w:rsidR="00A064B6" w:rsidRPr="00A064B6" w:rsidRDefault="00A064B6" w:rsidP="00A064B6">
      <w:pPr>
        <w:tabs>
          <w:tab w:val="left" w:pos="540"/>
          <w:tab w:val="left" w:pos="630"/>
          <w:tab w:val="left" w:pos="4590"/>
        </w:tabs>
        <w:ind w:left="360"/>
        <w:contextualSpacing/>
        <w:jc w:val="both"/>
        <w:rPr>
          <w:rFonts w:asciiTheme="minorHAnsi" w:eastAsia="Calibri" w:hAnsiTheme="minorHAnsi"/>
        </w:rPr>
      </w:pPr>
      <w:r>
        <w:rPr>
          <w:rFonts w:asciiTheme="minorHAnsi" w:hAnsiTheme="minorHAnsi"/>
        </w:rPr>
        <w:t>crisis situations Ensuring the management of financial, logistics, ICT and human resources</w:t>
      </w:r>
    </w:p>
    <w:p w:rsidR="00A064B6" w:rsidRPr="00A064B6" w:rsidRDefault="00A064B6" w:rsidP="009F7237">
      <w:pPr>
        <w:numPr>
          <w:ilvl w:val="0"/>
          <w:numId w:val="61"/>
        </w:numPr>
        <w:tabs>
          <w:tab w:val="left" w:pos="540"/>
          <w:tab w:val="left" w:pos="630"/>
          <w:tab w:val="left" w:pos="4590"/>
        </w:tabs>
        <w:suppressAutoHyphens/>
        <w:contextualSpacing/>
        <w:jc w:val="both"/>
        <w:rPr>
          <w:rFonts w:asciiTheme="minorHAnsi" w:eastAsia="Calibri" w:hAnsiTheme="minorHAnsi"/>
        </w:rPr>
      </w:pPr>
      <w:r>
        <w:rPr>
          <w:rFonts w:asciiTheme="minorHAnsi" w:hAnsiTheme="minorHAnsi"/>
        </w:rPr>
        <w:t>Managing actions/interventions with air support</w:t>
      </w:r>
    </w:p>
    <w:p w:rsidR="00A064B6" w:rsidRPr="00A064B6" w:rsidRDefault="00A064B6" w:rsidP="009F7237">
      <w:pPr>
        <w:numPr>
          <w:ilvl w:val="0"/>
          <w:numId w:val="61"/>
        </w:numPr>
        <w:tabs>
          <w:tab w:val="left" w:pos="540"/>
          <w:tab w:val="left" w:pos="630"/>
          <w:tab w:val="left" w:pos="4590"/>
        </w:tabs>
        <w:suppressAutoHyphens/>
        <w:contextualSpacing/>
        <w:jc w:val="both"/>
        <w:rPr>
          <w:rFonts w:asciiTheme="minorHAnsi" w:eastAsia="Calibri" w:hAnsiTheme="minorHAnsi"/>
        </w:rPr>
      </w:pPr>
      <w:r>
        <w:rPr>
          <w:rFonts w:asciiTheme="minorHAnsi" w:hAnsiTheme="minorHAnsi"/>
        </w:rPr>
        <w:t xml:space="preserve"> Making more efficient the process of attraction of non-reimbursable funds</w:t>
      </w:r>
    </w:p>
    <w:p w:rsidR="00A064B6" w:rsidRPr="003964D3" w:rsidRDefault="00A064B6" w:rsidP="009F7237">
      <w:pPr>
        <w:numPr>
          <w:ilvl w:val="0"/>
          <w:numId w:val="61"/>
        </w:numPr>
        <w:tabs>
          <w:tab w:val="left" w:pos="540"/>
          <w:tab w:val="left" w:pos="630"/>
          <w:tab w:val="left" w:pos="4590"/>
        </w:tabs>
        <w:suppressAutoHyphens/>
        <w:contextualSpacing/>
        <w:jc w:val="both"/>
        <w:rPr>
          <w:rFonts w:asciiTheme="minorHAnsi" w:eastAsia="Calibri" w:hAnsiTheme="minorHAnsi"/>
        </w:rPr>
      </w:pPr>
      <w:r>
        <w:rPr>
          <w:rFonts w:asciiTheme="minorHAnsi" w:hAnsiTheme="minorHAnsi"/>
        </w:rPr>
        <w:t xml:space="preserve"> Consolidating the integrity environment in the MIA</w:t>
      </w:r>
    </w:p>
    <w:p w:rsidR="00A064B6" w:rsidRPr="003964D3" w:rsidRDefault="00A064B6" w:rsidP="009F7237">
      <w:pPr>
        <w:numPr>
          <w:ilvl w:val="0"/>
          <w:numId w:val="61"/>
        </w:numPr>
        <w:tabs>
          <w:tab w:val="left" w:pos="540"/>
          <w:tab w:val="left" w:pos="630"/>
          <w:tab w:val="left" w:pos="4590"/>
        </w:tabs>
        <w:suppressAutoHyphens/>
        <w:contextualSpacing/>
        <w:jc w:val="both"/>
        <w:rPr>
          <w:rFonts w:asciiTheme="minorHAnsi" w:eastAsia="Calibri" w:hAnsiTheme="minorHAnsi"/>
        </w:rPr>
      </w:pPr>
      <w:r>
        <w:rPr>
          <w:rFonts w:asciiTheme="minorHAnsi" w:hAnsiTheme="minorHAnsi"/>
        </w:rPr>
        <w:t xml:space="preserve"> Making more efficient public communication of the MIA with regard to the actions performed by the </w:t>
      </w:r>
    </w:p>
    <w:p w:rsidR="00A064B6" w:rsidRPr="00A064B6" w:rsidRDefault="00A064B6" w:rsidP="00A064B6">
      <w:pPr>
        <w:tabs>
          <w:tab w:val="left" w:pos="540"/>
          <w:tab w:val="left" w:pos="630"/>
          <w:tab w:val="left" w:pos="4590"/>
        </w:tabs>
        <w:ind w:left="360"/>
        <w:contextualSpacing/>
        <w:jc w:val="both"/>
        <w:rPr>
          <w:rFonts w:asciiTheme="minorHAnsi" w:eastAsia="Calibri" w:hAnsiTheme="minorHAnsi"/>
        </w:rPr>
      </w:pPr>
      <w:r>
        <w:rPr>
          <w:rFonts w:asciiTheme="minorHAnsi" w:hAnsiTheme="minorHAnsi"/>
        </w:rPr>
        <w:t>structures of MIA</w:t>
      </w:r>
    </w:p>
    <w:p w:rsidR="00A064B6" w:rsidRPr="00715536" w:rsidRDefault="00A064B6" w:rsidP="009F7237">
      <w:pPr>
        <w:numPr>
          <w:ilvl w:val="0"/>
          <w:numId w:val="61"/>
        </w:numPr>
        <w:tabs>
          <w:tab w:val="left" w:pos="540"/>
          <w:tab w:val="left" w:pos="630"/>
          <w:tab w:val="left" w:pos="4590"/>
        </w:tabs>
        <w:suppressAutoHyphens/>
        <w:contextualSpacing/>
        <w:jc w:val="both"/>
        <w:rPr>
          <w:rFonts w:asciiTheme="minorHAnsi" w:eastAsia="Calibri" w:hAnsiTheme="minorHAnsi"/>
        </w:rPr>
      </w:pPr>
      <w:r>
        <w:rPr>
          <w:rFonts w:asciiTheme="minorHAnsi" w:hAnsiTheme="minorHAnsi"/>
        </w:rPr>
        <w:t xml:space="preserve"> Increasing the quality of the educational act of the Police Academy and the Institute for</w:t>
      </w:r>
    </w:p>
    <w:p w:rsidR="00A064B6" w:rsidRPr="00A064B6" w:rsidRDefault="00A064B6" w:rsidP="00A064B6">
      <w:pPr>
        <w:tabs>
          <w:tab w:val="left" w:pos="540"/>
          <w:tab w:val="left" w:pos="630"/>
          <w:tab w:val="left" w:pos="4590"/>
        </w:tabs>
        <w:ind w:left="360"/>
        <w:contextualSpacing/>
        <w:jc w:val="both"/>
        <w:rPr>
          <w:rFonts w:asciiTheme="minorHAnsi" w:eastAsia="Calibri" w:hAnsiTheme="minorHAnsi"/>
        </w:rPr>
      </w:pPr>
      <w:r>
        <w:rPr>
          <w:rFonts w:asciiTheme="minorHAnsi" w:hAnsiTheme="minorHAnsi"/>
        </w:rPr>
        <w:t>Public Order Studies</w:t>
      </w:r>
    </w:p>
    <w:p w:rsidR="00A064B6" w:rsidRPr="00A064B6" w:rsidRDefault="00A064B6" w:rsidP="009F7237">
      <w:pPr>
        <w:numPr>
          <w:ilvl w:val="0"/>
          <w:numId w:val="61"/>
        </w:numPr>
        <w:tabs>
          <w:tab w:val="left" w:pos="540"/>
          <w:tab w:val="left" w:pos="630"/>
          <w:tab w:val="left" w:pos="4590"/>
        </w:tabs>
        <w:suppressAutoHyphens/>
        <w:contextualSpacing/>
        <w:jc w:val="both"/>
        <w:rPr>
          <w:rFonts w:asciiTheme="minorHAnsi" w:eastAsia="Calibri" w:hAnsiTheme="minorHAnsi"/>
        </w:rPr>
      </w:pPr>
      <w:r>
        <w:rPr>
          <w:rFonts w:asciiTheme="minorHAnsi" w:hAnsiTheme="minorHAnsi"/>
        </w:rPr>
        <w:t xml:space="preserve"> Ensuring unitary coordination of the activities of the prefect institution</w:t>
      </w:r>
    </w:p>
    <w:p w:rsidR="00A064B6" w:rsidRPr="003964D3" w:rsidRDefault="00A064B6" w:rsidP="009F7237">
      <w:pPr>
        <w:numPr>
          <w:ilvl w:val="0"/>
          <w:numId w:val="61"/>
        </w:numPr>
        <w:tabs>
          <w:tab w:val="left" w:pos="540"/>
          <w:tab w:val="left" w:pos="630"/>
          <w:tab w:val="left" w:pos="4590"/>
        </w:tabs>
        <w:suppressAutoHyphens/>
        <w:contextualSpacing/>
        <w:jc w:val="both"/>
        <w:rPr>
          <w:rFonts w:asciiTheme="minorHAnsi" w:eastAsia="Calibri" w:hAnsiTheme="minorHAnsi"/>
        </w:rPr>
      </w:pPr>
      <w:r>
        <w:rPr>
          <w:rFonts w:asciiTheme="minorHAnsi" w:hAnsiTheme="minorHAnsi"/>
        </w:rPr>
        <w:t>Increasing the MIA’s visibility at European and international level</w:t>
      </w:r>
    </w:p>
    <w:p w:rsidR="00A064B6" w:rsidRPr="003964D3" w:rsidRDefault="00A064B6" w:rsidP="009F7237">
      <w:pPr>
        <w:numPr>
          <w:ilvl w:val="0"/>
          <w:numId w:val="61"/>
        </w:numPr>
        <w:tabs>
          <w:tab w:val="left" w:pos="540"/>
          <w:tab w:val="left" w:pos="630"/>
          <w:tab w:val="left" w:pos="4590"/>
        </w:tabs>
        <w:suppressAutoHyphens/>
        <w:contextualSpacing/>
        <w:jc w:val="both"/>
        <w:rPr>
          <w:rFonts w:asciiTheme="minorHAnsi" w:eastAsia="Calibri" w:hAnsiTheme="minorHAnsi"/>
        </w:rPr>
      </w:pPr>
      <w:r>
        <w:rPr>
          <w:rFonts w:asciiTheme="minorHAnsi" w:hAnsiTheme="minorHAnsi"/>
        </w:rPr>
        <w:t xml:space="preserve"> Active participation of MIA to the preparations for exercise under the best conditions</w:t>
      </w:r>
    </w:p>
    <w:p w:rsidR="00A064B6" w:rsidRPr="003964D3" w:rsidRDefault="00A064B6" w:rsidP="00A064B6">
      <w:pPr>
        <w:tabs>
          <w:tab w:val="left" w:pos="540"/>
          <w:tab w:val="left" w:pos="630"/>
          <w:tab w:val="left" w:pos="4590"/>
        </w:tabs>
        <w:ind w:left="360"/>
        <w:contextualSpacing/>
        <w:jc w:val="both"/>
        <w:rPr>
          <w:rFonts w:asciiTheme="minorHAnsi" w:eastAsia="Calibri" w:hAnsiTheme="minorHAnsi"/>
        </w:rPr>
      </w:pPr>
      <w:r>
        <w:rPr>
          <w:rFonts w:asciiTheme="minorHAnsi" w:hAnsiTheme="minorHAnsi"/>
        </w:rPr>
        <w:t xml:space="preserve">    by Romania of the Presidency of the EU Council in semester I of year 2019</w:t>
      </w:r>
    </w:p>
    <w:p w:rsidR="00A064B6" w:rsidRPr="003964D3" w:rsidRDefault="00A064B6" w:rsidP="00A064B6">
      <w:pPr>
        <w:suppressAutoHyphens/>
        <w:jc w:val="both"/>
        <w:rPr>
          <w:rFonts w:asciiTheme="minorHAnsi" w:hAnsiTheme="minorHAnsi"/>
          <w:b/>
          <w:lang w:val="fr-FR" w:eastAsia="zh-CN"/>
        </w:rPr>
      </w:pPr>
    </w:p>
    <w:p w:rsidR="00A064B6" w:rsidRPr="003964D3" w:rsidRDefault="00A064B6" w:rsidP="00A064B6">
      <w:pPr>
        <w:tabs>
          <w:tab w:val="left" w:pos="0"/>
        </w:tabs>
        <w:jc w:val="both"/>
        <w:rPr>
          <w:rFonts w:asciiTheme="minorHAnsi" w:hAnsiTheme="minorHAnsi"/>
          <w:b/>
        </w:rPr>
      </w:pPr>
      <w:r>
        <w:rPr>
          <w:rFonts w:asciiTheme="minorHAnsi" w:hAnsiTheme="minorHAnsi"/>
          <w:b/>
        </w:rPr>
        <w:t>5.4 Impact indicators of program 5 “Administrative capacity and operational support”</w:t>
      </w:r>
    </w:p>
    <w:p w:rsidR="00A064B6" w:rsidRPr="003964D3" w:rsidRDefault="00A064B6" w:rsidP="00A064B6">
      <w:pPr>
        <w:suppressAutoHyphens/>
        <w:jc w:val="both"/>
        <w:rPr>
          <w:rFonts w:asciiTheme="minorHAnsi" w:hAnsiTheme="minorHAnsi"/>
          <w:b/>
          <w:lang w:val="fr-FR" w:eastAsia="zh-CN"/>
        </w:rPr>
      </w:pPr>
    </w:p>
    <w:p w:rsidR="00A064B6" w:rsidRPr="003964D3" w:rsidRDefault="00A064B6" w:rsidP="00A064B6">
      <w:pPr>
        <w:suppressAutoHyphens/>
        <w:jc w:val="both"/>
        <w:rPr>
          <w:rFonts w:asciiTheme="minorHAnsi" w:hAnsiTheme="minorHAnsi"/>
          <w:b/>
          <w:lang w:val="fr-FR" w:eastAsia="zh-CN"/>
        </w:rPr>
      </w:pPr>
    </w:p>
    <w:p w:rsidR="00A064B6" w:rsidRPr="003964D3" w:rsidRDefault="00A064B6" w:rsidP="00A064B6">
      <w:pPr>
        <w:suppressAutoHyphens/>
        <w:ind w:firstLine="720"/>
        <w:jc w:val="both"/>
        <w:rPr>
          <w:rFonts w:asciiTheme="minorHAnsi" w:hAnsiTheme="minorHAnsi"/>
        </w:rPr>
      </w:pPr>
      <w:r>
        <w:rPr>
          <w:rFonts w:asciiTheme="minorHAnsi" w:hAnsiTheme="minorHAnsi"/>
          <w:b/>
        </w:rPr>
        <w:t>Program 5</w:t>
      </w:r>
      <w:r>
        <w:rPr>
          <w:rFonts w:asciiTheme="minorHAnsi" w:hAnsiTheme="minorHAnsi"/>
        </w:rPr>
        <w:t xml:space="preserve"> finances the same strategic objective as </w:t>
      </w:r>
      <w:r>
        <w:rPr>
          <w:rFonts w:asciiTheme="minorHAnsi" w:hAnsiTheme="minorHAnsi"/>
          <w:b/>
        </w:rPr>
        <w:t>Program 4</w:t>
      </w:r>
      <w:r>
        <w:rPr>
          <w:rFonts w:asciiTheme="minorHAnsi" w:hAnsiTheme="minorHAnsi"/>
        </w:rPr>
        <w:t xml:space="preserve">. The impact indicators of Program 5, together with the targets for 2021 are detailed in </w:t>
      </w:r>
      <w:r>
        <w:rPr>
          <w:rFonts w:asciiTheme="minorHAnsi" w:hAnsiTheme="minorHAnsi"/>
          <w:b/>
        </w:rPr>
        <w:t>Program 4</w:t>
      </w:r>
      <w:r>
        <w:rPr>
          <w:rFonts w:asciiTheme="minorHAnsi" w:hAnsiTheme="minorHAnsi"/>
        </w:rPr>
        <w:t>.</w:t>
      </w:r>
    </w:p>
    <w:p w:rsidR="00A064B6" w:rsidRPr="003964D3" w:rsidRDefault="00A064B6" w:rsidP="00A064B6">
      <w:pPr>
        <w:suppressAutoHyphens/>
        <w:jc w:val="both"/>
        <w:rPr>
          <w:rFonts w:asciiTheme="minorHAnsi" w:hAnsiTheme="minorHAnsi"/>
          <w:i/>
          <w:lang w:val="fr-FR" w:eastAsia="ja-JP"/>
        </w:rPr>
      </w:pPr>
    </w:p>
    <w:p w:rsidR="001128CD" w:rsidRPr="00C86702" w:rsidRDefault="001128CD" w:rsidP="001128CD">
      <w:pPr>
        <w:jc w:val="both"/>
        <w:rPr>
          <w:rFonts w:ascii="Arial Narrow" w:hAnsi="Arial Narrow" w:cs="Arial Narrow"/>
          <w:lang w:val="ro-RO"/>
        </w:rPr>
      </w:pPr>
    </w:p>
    <w:tbl>
      <w:tblPr>
        <w:tblW w:w="5000" w:type="pct"/>
        <w:tblLook w:val="0000" w:firstRow="0" w:lastRow="0" w:firstColumn="0" w:lastColumn="0" w:noHBand="0" w:noVBand="0"/>
      </w:tblPr>
      <w:tblGrid>
        <w:gridCol w:w="10081"/>
      </w:tblGrid>
      <w:tr w:rsidR="001128CD" w:rsidRPr="00C86702" w:rsidTr="001C7118">
        <w:tc>
          <w:tcPr>
            <w:tcW w:w="5000" w:type="pct"/>
            <w:shd w:val="clear" w:color="auto" w:fill="99CCFF"/>
          </w:tcPr>
          <w:p w:rsidR="001128CD" w:rsidRPr="00C86702" w:rsidRDefault="001128CD" w:rsidP="001128CD">
            <w:pPr>
              <w:keepLines/>
              <w:widowControl w:val="0"/>
              <w:shd w:val="clear" w:color="auto" w:fill="99CCFF"/>
              <w:suppressAutoHyphens/>
              <w:spacing w:line="320" w:lineRule="exact"/>
              <w:jc w:val="both"/>
              <w:rPr>
                <w:rFonts w:ascii="Calibri" w:hAnsi="Calibri"/>
              </w:rPr>
            </w:pPr>
            <w:r>
              <w:rPr>
                <w:rFonts w:ascii="Calibri" w:hAnsi="Calibri"/>
                <w:b/>
                <w:color w:val="000080"/>
              </w:rPr>
              <w:t>Policy in the field of national defense</w:t>
            </w:r>
          </w:p>
        </w:tc>
      </w:tr>
    </w:tbl>
    <w:p w:rsidR="00BD58B2" w:rsidRDefault="00BD58B2" w:rsidP="00E4771D">
      <w:pPr>
        <w:shd w:val="clear" w:color="auto" w:fill="FFFFFF"/>
        <w:ind w:right="-2"/>
        <w:rPr>
          <w:rFonts w:ascii="Calibri" w:hAnsi="Calibri" w:cs="Arial"/>
          <w:b/>
          <w:color w:val="000080"/>
          <w:lang w:val="ro-RO"/>
        </w:rPr>
      </w:pPr>
    </w:p>
    <w:p w:rsidR="00842BC9" w:rsidRPr="00842BC9" w:rsidRDefault="00842BC9" w:rsidP="00842BC9">
      <w:pPr>
        <w:suppressAutoHyphens/>
        <w:ind w:firstLine="266"/>
        <w:jc w:val="both"/>
        <w:rPr>
          <w:rFonts w:ascii="Calibri" w:hAnsi="Calibri" w:cs="Arial Narrow"/>
        </w:rPr>
      </w:pPr>
      <w:r>
        <w:rPr>
          <w:rFonts w:ascii="Calibri" w:hAnsi="Calibri"/>
          <w:b/>
        </w:rPr>
        <w:t xml:space="preserve">            </w:t>
      </w:r>
      <w:r>
        <w:rPr>
          <w:rFonts w:ascii="Calibri" w:hAnsi="Calibri"/>
        </w:rPr>
        <w:t>The strategic objective of the defense policy for the period 2019-2021 is the modernization and adaptation of the Romanian Army to the risks and challenges specific for the current geopolitical framework, as well as the consolidation of Romania’s profile of relevant strategic partner in NATO, the EU and the strategic partnership with the USA.</w:t>
      </w:r>
    </w:p>
    <w:p w:rsidR="00842BC9" w:rsidRPr="00842BC9" w:rsidRDefault="00842BC9" w:rsidP="00842BC9">
      <w:pPr>
        <w:ind w:firstLine="266"/>
        <w:jc w:val="both"/>
        <w:rPr>
          <w:rFonts w:ascii="Calibri" w:hAnsi="Calibri" w:cs="Arial"/>
          <w:lang w:val="ro-RO"/>
        </w:rPr>
      </w:pPr>
    </w:p>
    <w:p w:rsidR="00842BC9" w:rsidRPr="00842BC9" w:rsidRDefault="00842BC9" w:rsidP="00842BC9">
      <w:pPr>
        <w:spacing w:before="120" w:after="120"/>
        <w:ind w:right="709"/>
        <w:jc w:val="both"/>
        <w:rPr>
          <w:rFonts w:ascii="Calibri" w:hAnsi="Calibri" w:cs="Arial"/>
          <w:b/>
          <w:bCs/>
          <w:iCs/>
          <w:spacing w:val="-5"/>
        </w:rPr>
      </w:pPr>
      <w:r>
        <w:rPr>
          <w:rFonts w:ascii="Calibri" w:hAnsi="Calibri"/>
          <w:b/>
          <w:bCs/>
        </w:rPr>
        <w:t xml:space="preserve">                  A. Objectives of the defense policy</w:t>
      </w:r>
    </w:p>
    <w:p w:rsidR="00842BC9" w:rsidRPr="00842BC9" w:rsidRDefault="00842BC9" w:rsidP="009F7237">
      <w:pPr>
        <w:numPr>
          <w:ilvl w:val="0"/>
          <w:numId w:val="45"/>
        </w:numPr>
        <w:suppressAutoHyphens/>
        <w:rPr>
          <w:rFonts w:ascii="Calibri" w:hAnsi="Calibri" w:cs="Arial"/>
          <w:bCs/>
          <w:spacing w:val="-5"/>
        </w:rPr>
      </w:pPr>
      <w:r>
        <w:rPr>
          <w:rFonts w:ascii="Calibri" w:hAnsi="Calibri"/>
          <w:bCs/>
        </w:rPr>
        <w:t>Strategic continuity in NATO and the EU;</w:t>
      </w:r>
    </w:p>
    <w:p w:rsidR="00842BC9" w:rsidRPr="00842BC9" w:rsidRDefault="00842BC9" w:rsidP="009F7237">
      <w:pPr>
        <w:numPr>
          <w:ilvl w:val="0"/>
          <w:numId w:val="45"/>
        </w:numPr>
        <w:suppressAutoHyphens/>
        <w:rPr>
          <w:rFonts w:ascii="Calibri" w:hAnsi="Calibri" w:cs="Arial"/>
          <w:bCs/>
          <w:spacing w:val="-5"/>
        </w:rPr>
      </w:pPr>
      <w:r>
        <w:rPr>
          <w:rFonts w:ascii="Calibri" w:hAnsi="Calibri"/>
          <w:bCs/>
        </w:rPr>
        <w:t>Increasing the professional capacity of the armed forces;</w:t>
      </w:r>
    </w:p>
    <w:p w:rsidR="00842BC9" w:rsidRPr="00842BC9" w:rsidRDefault="00842BC9" w:rsidP="009F7237">
      <w:pPr>
        <w:numPr>
          <w:ilvl w:val="0"/>
          <w:numId w:val="45"/>
        </w:numPr>
        <w:suppressAutoHyphens/>
        <w:rPr>
          <w:rFonts w:ascii="Calibri" w:hAnsi="Calibri" w:cs="Arial"/>
          <w:bCs/>
          <w:spacing w:val="-5"/>
        </w:rPr>
      </w:pPr>
      <w:r>
        <w:rPr>
          <w:rFonts w:ascii="Calibri" w:hAnsi="Calibri"/>
          <w:bCs/>
        </w:rPr>
        <w:t>Revitalization of the national defense industry;</w:t>
      </w:r>
    </w:p>
    <w:p w:rsidR="00842BC9" w:rsidRPr="00842BC9" w:rsidRDefault="00842BC9" w:rsidP="009F7237">
      <w:pPr>
        <w:numPr>
          <w:ilvl w:val="0"/>
          <w:numId w:val="45"/>
        </w:numPr>
        <w:suppressAutoHyphens/>
        <w:rPr>
          <w:rFonts w:ascii="Calibri" w:hAnsi="Calibri" w:cs="Arial"/>
          <w:bCs/>
          <w:spacing w:val="-5"/>
        </w:rPr>
      </w:pPr>
      <w:r>
        <w:rPr>
          <w:rFonts w:ascii="Calibri" w:hAnsi="Calibri"/>
          <w:bCs/>
        </w:rPr>
        <w:t>Professional training and life quality of the military personnel;</w:t>
      </w:r>
    </w:p>
    <w:p w:rsidR="00842BC9" w:rsidRPr="00842BC9" w:rsidRDefault="00842BC9" w:rsidP="009F7237">
      <w:pPr>
        <w:numPr>
          <w:ilvl w:val="0"/>
          <w:numId w:val="45"/>
        </w:numPr>
        <w:suppressAutoHyphens/>
        <w:rPr>
          <w:rFonts w:ascii="Calibri" w:hAnsi="Calibri" w:cs="Arial"/>
          <w:bCs/>
          <w:spacing w:val="-5"/>
        </w:rPr>
      </w:pPr>
      <w:r>
        <w:rPr>
          <w:rFonts w:ascii="Calibri" w:hAnsi="Calibri"/>
          <w:bCs/>
        </w:rPr>
        <w:t>Preparing the population and the territory and inter-institutional management of military or security crises;</w:t>
      </w:r>
    </w:p>
    <w:p w:rsidR="00842BC9" w:rsidRPr="00842BC9" w:rsidRDefault="00842BC9" w:rsidP="009F7237">
      <w:pPr>
        <w:numPr>
          <w:ilvl w:val="0"/>
          <w:numId w:val="45"/>
        </w:numPr>
        <w:suppressAutoHyphens/>
        <w:rPr>
          <w:rFonts w:ascii="Calibri" w:hAnsi="Calibri" w:cs="Arial"/>
          <w:bCs/>
          <w:spacing w:val="-5"/>
        </w:rPr>
      </w:pPr>
      <w:r>
        <w:rPr>
          <w:rFonts w:ascii="Calibri" w:hAnsi="Calibri"/>
          <w:bCs/>
        </w:rPr>
        <w:t>Implementing an optimal management of defense resources.</w:t>
      </w:r>
    </w:p>
    <w:p w:rsidR="00842BC9" w:rsidRPr="00842BC9" w:rsidRDefault="00842BC9" w:rsidP="00842BC9">
      <w:pPr>
        <w:ind w:firstLine="266"/>
        <w:rPr>
          <w:rFonts w:ascii="Calibri" w:hAnsi="Calibri" w:cs="Arial"/>
          <w:bCs/>
          <w:spacing w:val="-5"/>
          <w:lang w:val="ro-RO"/>
        </w:rPr>
      </w:pPr>
    </w:p>
    <w:p w:rsidR="00842BC9" w:rsidRPr="00842BC9" w:rsidRDefault="00842BC9" w:rsidP="00842BC9">
      <w:pPr>
        <w:ind w:firstLine="266"/>
        <w:rPr>
          <w:rFonts w:ascii="Calibri" w:hAnsi="Calibri" w:cs="Arial"/>
          <w:bCs/>
          <w:spacing w:val="-5"/>
          <w:lang w:val="ro-RO"/>
        </w:rPr>
      </w:pPr>
    </w:p>
    <w:p w:rsidR="00842BC9" w:rsidRPr="00842BC9" w:rsidRDefault="00842BC9" w:rsidP="00842BC9">
      <w:pPr>
        <w:suppressAutoHyphens/>
        <w:ind w:firstLine="600"/>
        <w:jc w:val="both"/>
        <w:rPr>
          <w:rFonts w:ascii="Calibri" w:hAnsi="Calibri"/>
        </w:rPr>
      </w:pPr>
      <w:r>
        <w:rPr>
          <w:rFonts w:ascii="Calibri" w:hAnsi="Calibri"/>
          <w:b/>
          <w:bCs/>
        </w:rPr>
        <w:t xml:space="preserve">      B. Main directions of development of the military capacity</w:t>
      </w:r>
    </w:p>
    <w:p w:rsidR="00842BC9" w:rsidRPr="00842BC9" w:rsidRDefault="00842BC9" w:rsidP="009F7237">
      <w:pPr>
        <w:numPr>
          <w:ilvl w:val="0"/>
          <w:numId w:val="45"/>
        </w:numPr>
        <w:suppressAutoHyphens/>
        <w:spacing w:before="120"/>
        <w:jc w:val="both"/>
        <w:rPr>
          <w:rFonts w:ascii="Calibri" w:hAnsi="Calibri"/>
        </w:rPr>
      </w:pPr>
      <w:r>
        <w:rPr>
          <w:rFonts w:ascii="Calibri" w:hAnsi="Calibri"/>
        </w:rPr>
        <w:t>In order to gradually achieve the military capabilities, the defense policy must lead to ensuring the conditions for implementation of the “Program regarding the transformation, development, and equipment of the Romanian Army by 2026 and in perspective.”</w:t>
      </w:r>
    </w:p>
    <w:p w:rsidR="00842BC9" w:rsidRPr="00842BC9" w:rsidRDefault="00842BC9" w:rsidP="009F7237">
      <w:pPr>
        <w:numPr>
          <w:ilvl w:val="0"/>
          <w:numId w:val="45"/>
        </w:numPr>
        <w:suppressAutoHyphens/>
        <w:spacing w:before="120"/>
        <w:jc w:val="both"/>
        <w:rPr>
          <w:rFonts w:ascii="Calibri" w:hAnsi="Calibri"/>
        </w:rPr>
      </w:pPr>
      <w:r>
        <w:rPr>
          <w:rFonts w:ascii="Calibri" w:hAnsi="Calibri"/>
        </w:rPr>
        <w:t>The budget allocations for MApN for 2019-2021 must reconfirm the decisions adopted following the Summit in Wales, as well as the National Political Pact, signed by the Parliamentary Parties. The fulfillment of this wish leads to the need to continue assuring the level of 2% of GDP for the reference period, in accordance with the provisions of the Government Program for 2018-2020.</w:t>
      </w:r>
    </w:p>
    <w:p w:rsidR="00842BC9" w:rsidRPr="00842BC9" w:rsidRDefault="00842BC9" w:rsidP="009F7237">
      <w:pPr>
        <w:numPr>
          <w:ilvl w:val="0"/>
          <w:numId w:val="45"/>
        </w:numPr>
        <w:suppressAutoHyphens/>
        <w:spacing w:before="120"/>
        <w:jc w:val="both"/>
        <w:rPr>
          <w:rFonts w:ascii="Calibri" w:hAnsi="Calibri"/>
        </w:rPr>
      </w:pPr>
      <w:r>
        <w:rPr>
          <w:rFonts w:ascii="Calibri" w:hAnsi="Calibri"/>
        </w:rPr>
        <w:t xml:space="preserve">The capabilities of the Romanian Army shall be developed in the following fields: command, control, and communications, employment, information, force projection, protection and support. </w:t>
      </w:r>
    </w:p>
    <w:p w:rsidR="00842BC9" w:rsidRPr="00842BC9" w:rsidRDefault="00842BC9" w:rsidP="009F7237">
      <w:pPr>
        <w:numPr>
          <w:ilvl w:val="0"/>
          <w:numId w:val="45"/>
        </w:numPr>
        <w:suppressAutoHyphens/>
        <w:spacing w:before="120"/>
        <w:jc w:val="both"/>
        <w:rPr>
          <w:rFonts w:ascii="Calibri" w:hAnsi="Calibri"/>
        </w:rPr>
      </w:pPr>
      <w:r>
        <w:rPr>
          <w:rFonts w:ascii="Calibri" w:hAnsi="Calibri"/>
        </w:rPr>
        <w:t>The establishment, development, and maintenance of the capabilities shall be made by considering the requirements and actions comprising elements of: doctrine, organization, preparation, command, equipment, personnel, infrastructure, and interoperability (DOTLMPFI);</w:t>
      </w:r>
    </w:p>
    <w:p w:rsidR="00842BC9" w:rsidRPr="00842BC9" w:rsidRDefault="00842BC9" w:rsidP="009F7237">
      <w:pPr>
        <w:numPr>
          <w:ilvl w:val="0"/>
          <w:numId w:val="45"/>
        </w:numPr>
        <w:suppressAutoHyphens/>
        <w:spacing w:before="120"/>
        <w:jc w:val="both"/>
        <w:rPr>
          <w:rFonts w:ascii="Calibri" w:hAnsi="Calibri"/>
        </w:rPr>
      </w:pPr>
      <w:r>
        <w:rPr>
          <w:rFonts w:ascii="Calibri" w:hAnsi="Calibri"/>
        </w:rPr>
        <w:t xml:space="preserve">According to the fields of action, the Romanian Army develops the following capabilities:  </w:t>
      </w:r>
    </w:p>
    <w:p w:rsidR="00842BC9" w:rsidRPr="00842BC9" w:rsidRDefault="00842BC9" w:rsidP="009F7237">
      <w:pPr>
        <w:numPr>
          <w:ilvl w:val="0"/>
          <w:numId w:val="62"/>
        </w:numPr>
        <w:suppressAutoHyphens/>
        <w:spacing w:before="120"/>
        <w:jc w:val="both"/>
        <w:rPr>
          <w:rFonts w:ascii="Calibri" w:hAnsi="Calibri"/>
        </w:rPr>
      </w:pPr>
      <w:r>
        <w:rPr>
          <w:rFonts w:ascii="Calibri" w:hAnsi="Calibri"/>
          <w:b/>
        </w:rPr>
        <w:t>command, control, and communications</w:t>
      </w:r>
      <w:r>
        <w:rPr>
          <w:rFonts w:ascii="Calibri" w:hAnsi="Calibri"/>
        </w:rPr>
        <w:t xml:space="preserve"> of strategic, operative, and tactical level, centers of communication and informatics and support units in the field of communications and informatics/CIS of the structure of forces;</w:t>
      </w:r>
    </w:p>
    <w:p w:rsidR="00842BC9" w:rsidRPr="00842BC9" w:rsidRDefault="00842BC9" w:rsidP="009F7237">
      <w:pPr>
        <w:numPr>
          <w:ilvl w:val="0"/>
          <w:numId w:val="62"/>
        </w:numPr>
        <w:suppressAutoHyphens/>
        <w:spacing w:before="120"/>
        <w:jc w:val="both"/>
        <w:rPr>
          <w:rFonts w:ascii="Calibri" w:hAnsi="Calibri"/>
        </w:rPr>
      </w:pPr>
      <w:r>
        <w:rPr>
          <w:rFonts w:ascii="Calibri" w:hAnsi="Calibri"/>
          <w:b/>
        </w:rPr>
        <w:t>employment</w:t>
      </w:r>
      <w:r>
        <w:rPr>
          <w:rFonts w:ascii="Calibri" w:hAnsi="Calibri"/>
        </w:rPr>
        <w:t>: large units and mechanized units, infantry units, tanks, mountain hunters, artillery, special forces, battle aviation, battle helicopters, marine and river battle ships, marine infantry, military police, and psychological operations;</w:t>
      </w:r>
    </w:p>
    <w:p w:rsidR="00842BC9" w:rsidRPr="00842BC9" w:rsidRDefault="00842BC9" w:rsidP="009F7237">
      <w:pPr>
        <w:numPr>
          <w:ilvl w:val="0"/>
          <w:numId w:val="62"/>
        </w:numPr>
        <w:suppressAutoHyphens/>
        <w:spacing w:before="120"/>
        <w:jc w:val="both"/>
        <w:rPr>
          <w:rFonts w:ascii="Calibri" w:hAnsi="Calibri"/>
        </w:rPr>
      </w:pPr>
      <w:r>
        <w:rPr>
          <w:rFonts w:ascii="Calibri" w:hAnsi="Calibri"/>
          <w:b/>
        </w:rPr>
        <w:t>information</w:t>
      </w:r>
      <w:r>
        <w:rPr>
          <w:rFonts w:ascii="Calibri" w:hAnsi="Calibri"/>
        </w:rPr>
        <w:t>: large units and military information, supervision and research units;</w:t>
      </w:r>
    </w:p>
    <w:p w:rsidR="00842BC9" w:rsidRPr="00842BC9" w:rsidRDefault="00842BC9" w:rsidP="009F7237">
      <w:pPr>
        <w:numPr>
          <w:ilvl w:val="0"/>
          <w:numId w:val="62"/>
        </w:numPr>
        <w:suppressAutoHyphens/>
        <w:spacing w:before="120"/>
        <w:jc w:val="both"/>
        <w:rPr>
          <w:rFonts w:ascii="Calibri" w:hAnsi="Calibri"/>
        </w:rPr>
      </w:pPr>
      <w:r>
        <w:rPr>
          <w:rFonts w:ascii="Calibri" w:hAnsi="Calibri"/>
          <w:b/>
        </w:rPr>
        <w:t>force projection:</w:t>
      </w:r>
      <w:r>
        <w:rPr>
          <w:rFonts w:ascii="Calibri" w:hAnsi="Calibri"/>
        </w:rPr>
        <w:t xml:space="preserve"> large units and tactical air transport units, ships and support units, and land transport units;</w:t>
      </w:r>
    </w:p>
    <w:p w:rsidR="00842BC9" w:rsidRPr="00842BC9" w:rsidRDefault="00842BC9" w:rsidP="009F7237">
      <w:pPr>
        <w:numPr>
          <w:ilvl w:val="0"/>
          <w:numId w:val="62"/>
        </w:numPr>
        <w:suppressAutoHyphens/>
        <w:spacing w:before="120"/>
        <w:jc w:val="both"/>
        <w:rPr>
          <w:rFonts w:ascii="Calibri" w:hAnsi="Calibri"/>
        </w:rPr>
      </w:pPr>
      <w:r>
        <w:rPr>
          <w:rFonts w:ascii="Calibri" w:hAnsi="Calibri"/>
          <w:b/>
        </w:rPr>
        <w:t>protection</w:t>
      </w:r>
      <w:r>
        <w:rPr>
          <w:rFonts w:ascii="Calibri" w:hAnsi="Calibri"/>
        </w:rPr>
        <w:t>: large units and land-air rocket units, anti-aircraft defense units, genius combat units, CBRN, EOD, mining/de-mining units and for protection of Romanian and foreign military dignitaries on the national territory;</w:t>
      </w:r>
    </w:p>
    <w:p w:rsidR="00842BC9" w:rsidRPr="00842BC9" w:rsidRDefault="00842BC9" w:rsidP="009F7237">
      <w:pPr>
        <w:numPr>
          <w:ilvl w:val="0"/>
          <w:numId w:val="62"/>
        </w:numPr>
        <w:suppressAutoHyphens/>
        <w:spacing w:before="120"/>
        <w:jc w:val="both"/>
        <w:rPr>
          <w:rFonts w:ascii="Calibri" w:hAnsi="Calibri"/>
        </w:rPr>
      </w:pPr>
      <w:r>
        <w:rPr>
          <w:rFonts w:ascii="Calibri" w:hAnsi="Calibri"/>
          <w:b/>
        </w:rPr>
        <w:t>support</w:t>
      </w:r>
      <w:r>
        <w:rPr>
          <w:rFonts w:ascii="Calibri" w:hAnsi="Calibri"/>
        </w:rPr>
        <w:t>: large units and operational and support logistics units.</w:t>
      </w:r>
    </w:p>
    <w:p w:rsidR="00842BC9" w:rsidRPr="00842BC9" w:rsidRDefault="00842BC9" w:rsidP="00842BC9">
      <w:pPr>
        <w:tabs>
          <w:tab w:val="left" w:pos="284"/>
        </w:tabs>
        <w:jc w:val="both"/>
        <w:rPr>
          <w:rFonts w:ascii="Calibri" w:hAnsi="Calibri"/>
          <w:spacing w:val="-5"/>
          <w:lang w:val="ro-RO" w:eastAsia="zh-CN"/>
        </w:rPr>
      </w:pPr>
    </w:p>
    <w:p w:rsidR="00842BC9" w:rsidRPr="00842BC9" w:rsidRDefault="00842BC9" w:rsidP="009F7237">
      <w:pPr>
        <w:numPr>
          <w:ilvl w:val="0"/>
          <w:numId w:val="45"/>
        </w:numPr>
        <w:suppressAutoHyphens/>
        <w:spacing w:before="120"/>
        <w:jc w:val="both"/>
        <w:rPr>
          <w:rFonts w:ascii="Calibri" w:hAnsi="Calibri"/>
        </w:rPr>
      </w:pPr>
      <w:r>
        <w:rPr>
          <w:rFonts w:ascii="Calibri" w:hAnsi="Calibri"/>
        </w:rPr>
        <w:t>The development of military capabilities shall be made gradually, with a focus on the critical ones, configured both for national and collective defense. Such critical capabilities will target: efficient command and control capabilities; information, supervision and recognition capabilities, based on the developments at NATO level on this dimension, which should ensure the segment of early warning; capabilities of counteracting A2AD systems. Also, it will be sought to develop the capabilities necessary to counteract asymmetrical threats or hybrid hostile approaches; intra-theater transport capabilities; logistics and medical capabilities, cyber defense capabilities of the Romanian Army and integration thereof into the national cyber defense system;</w:t>
      </w:r>
    </w:p>
    <w:p w:rsidR="00842BC9" w:rsidRPr="00842BC9" w:rsidRDefault="00842BC9" w:rsidP="009F7237">
      <w:pPr>
        <w:numPr>
          <w:ilvl w:val="0"/>
          <w:numId w:val="45"/>
        </w:numPr>
        <w:suppressAutoHyphens/>
        <w:spacing w:before="120"/>
        <w:jc w:val="both"/>
        <w:rPr>
          <w:rFonts w:ascii="Calibri" w:hAnsi="Calibri"/>
        </w:rPr>
      </w:pPr>
      <w:r>
        <w:rPr>
          <w:rFonts w:ascii="Calibri" w:hAnsi="Calibri"/>
        </w:rPr>
        <w:t>In the process of development of capabilities will be mainly sought to fulfill the commitments undertaken in the NATO defense planning process  (NDPP) through the Capabilities Targets for 2017, first of all through implementation of the set of immediate measures approved by the ministry of national defense in order to develop the capabilities established as priorities for Romania on the occasion of the Meeting of the ministers of defense from the Member States of NATO in July 2017;</w:t>
      </w:r>
    </w:p>
    <w:p w:rsidR="00842BC9" w:rsidRPr="00842BC9" w:rsidRDefault="00842BC9" w:rsidP="009F7237">
      <w:pPr>
        <w:numPr>
          <w:ilvl w:val="0"/>
          <w:numId w:val="45"/>
        </w:numPr>
        <w:suppressAutoHyphens/>
        <w:spacing w:before="120"/>
        <w:jc w:val="both"/>
        <w:rPr>
          <w:rFonts w:ascii="Calibri" w:hAnsi="Calibri"/>
        </w:rPr>
      </w:pPr>
      <w:r>
        <w:rPr>
          <w:rFonts w:ascii="Calibri" w:hAnsi="Calibri"/>
        </w:rPr>
        <w:t>An important focus will be placed on the modernization/reconfiguration of the military infrastructure (instruction and quartering) according to possible scenarios of a conventional military aggression, including by considering the operationalization of allied command and control structures established on the national territory, respectively of the needs related to assuring support of the host nation for possible NATO forces dislocated in Romania in case of a military aggression, as well as for the pre-positioning thereof. In this respect, special attention is given to investments made through the NATO Security Investment Program (NSIP).  An important element from this perspective is represented by the projects of modernization of the military infrastructure on the national territory in the Initiative for European Discouragement and in the Set of European Activities, respectively the continued collaboration in the field of equipment through purchase of equipment declared EDA by the USA;</w:t>
      </w:r>
    </w:p>
    <w:p w:rsidR="00842BC9" w:rsidRPr="00842BC9" w:rsidRDefault="00842BC9" w:rsidP="009F7237">
      <w:pPr>
        <w:numPr>
          <w:ilvl w:val="0"/>
          <w:numId w:val="45"/>
        </w:numPr>
        <w:suppressAutoHyphens/>
        <w:spacing w:before="120"/>
        <w:ind w:left="714" w:hanging="357"/>
        <w:jc w:val="both"/>
        <w:rPr>
          <w:rFonts w:ascii="Calibri" w:hAnsi="Calibri"/>
        </w:rPr>
      </w:pPr>
      <w:r>
        <w:rPr>
          <w:rFonts w:ascii="Calibri" w:hAnsi="Calibri"/>
        </w:rPr>
        <w:t>At the same time, special attention will be given to the participation to the projects of development of the capabilities for defense proposed in the framework of Permanent Structured Cooperation (PESCO) in the field of defense at EU level, for which Romania identified a potential of involvement, in accordance with the provisions of the Memorandum themed “</w:t>
      </w:r>
      <w:r>
        <w:rPr>
          <w:rFonts w:ascii="Calibri" w:hAnsi="Calibri"/>
          <w:i/>
        </w:rPr>
        <w:t>Permanent Structured Cooperation (PESCO) in the field of defense at EU level</w:t>
      </w:r>
      <w:r>
        <w:rPr>
          <w:rFonts w:ascii="Calibri" w:hAnsi="Calibri"/>
        </w:rPr>
        <w:t>”, approved by the CSAT on October 17, 2017;</w:t>
      </w:r>
    </w:p>
    <w:p w:rsidR="00842BC9" w:rsidRPr="00842BC9" w:rsidRDefault="00842BC9" w:rsidP="009F7237">
      <w:pPr>
        <w:numPr>
          <w:ilvl w:val="0"/>
          <w:numId w:val="45"/>
        </w:numPr>
        <w:suppressAutoHyphens/>
        <w:spacing w:before="120"/>
        <w:ind w:left="714" w:hanging="357"/>
        <w:jc w:val="both"/>
        <w:rPr>
          <w:rFonts w:ascii="Calibri" w:hAnsi="Calibri"/>
        </w:rPr>
      </w:pPr>
      <w:r>
        <w:rPr>
          <w:rFonts w:ascii="Calibri" w:hAnsi="Calibri"/>
        </w:rPr>
        <w:t>Increasing attractiveness of the military field through improvement of the salary and pension system and of the continuous professional training offer, which should be one of the main lines of action for increasing organizational performance;</w:t>
      </w:r>
    </w:p>
    <w:p w:rsidR="00842BC9" w:rsidRPr="00842BC9" w:rsidRDefault="00842BC9" w:rsidP="009F7237">
      <w:pPr>
        <w:numPr>
          <w:ilvl w:val="0"/>
          <w:numId w:val="45"/>
        </w:numPr>
        <w:suppressAutoHyphens/>
        <w:spacing w:before="120"/>
        <w:jc w:val="both"/>
        <w:rPr>
          <w:rFonts w:ascii="Calibri" w:hAnsi="Calibri"/>
        </w:rPr>
      </w:pPr>
      <w:r>
        <w:rPr>
          <w:rFonts w:ascii="Calibri" w:hAnsi="Calibri"/>
        </w:rPr>
        <w:t>Another objective considered by the MApN for the reference period is to increase the life quality of the military and civil personnel by ensuring residential facilities, as well as through assurance of medical assistance for army personnel and for military personnel in reserve and retiring.</w:t>
      </w:r>
    </w:p>
    <w:p w:rsidR="00842BC9" w:rsidRPr="00842BC9" w:rsidRDefault="00842BC9" w:rsidP="00842BC9">
      <w:pPr>
        <w:tabs>
          <w:tab w:val="left" w:pos="284"/>
        </w:tabs>
        <w:ind w:left="1259"/>
        <w:jc w:val="both"/>
        <w:rPr>
          <w:rFonts w:ascii="Calibri" w:hAnsi="Calibri"/>
          <w:spacing w:val="-5"/>
          <w:lang w:val="ro-RO" w:eastAsia="zh-CN"/>
        </w:rPr>
      </w:pPr>
    </w:p>
    <w:p w:rsidR="00875C1A" w:rsidRPr="00C86702" w:rsidRDefault="00875C1A" w:rsidP="00E4771D">
      <w:pPr>
        <w:shd w:val="clear" w:color="auto" w:fill="FFFFFF"/>
        <w:ind w:right="-2"/>
        <w:rPr>
          <w:rFonts w:ascii="Calibri" w:hAnsi="Calibri" w:cs="Arial"/>
          <w:b/>
          <w:color w:val="000080"/>
          <w:lang w:val="ro-RO"/>
        </w:rPr>
      </w:pPr>
    </w:p>
    <w:p w:rsidR="00A37269" w:rsidRPr="00C86702" w:rsidRDefault="00A37269" w:rsidP="00A37269">
      <w:pPr>
        <w:shd w:val="clear" w:color="auto" w:fill="99CCFF"/>
        <w:ind w:right="-2"/>
        <w:rPr>
          <w:rFonts w:ascii="Calibri" w:hAnsi="Calibri" w:cs="Arial"/>
          <w:b/>
          <w:color w:val="000080"/>
        </w:rPr>
      </w:pPr>
      <w:r>
        <w:rPr>
          <w:rFonts w:ascii="Calibri" w:hAnsi="Calibri"/>
          <w:b/>
          <w:color w:val="000080"/>
        </w:rPr>
        <w:t>Health policy</w:t>
      </w:r>
    </w:p>
    <w:tbl>
      <w:tblPr>
        <w:tblW w:w="9975" w:type="dxa"/>
        <w:tblInd w:w="222" w:type="dxa"/>
        <w:tblLook w:val="01E0" w:firstRow="1" w:lastRow="1" w:firstColumn="1" w:lastColumn="1" w:noHBand="0" w:noVBand="0"/>
      </w:tblPr>
      <w:tblGrid>
        <w:gridCol w:w="2324"/>
        <w:gridCol w:w="7651"/>
      </w:tblGrid>
      <w:tr w:rsidR="000219DE" w:rsidRPr="00AC4302" w:rsidTr="00DB7106">
        <w:tc>
          <w:tcPr>
            <w:tcW w:w="9975" w:type="dxa"/>
            <w:gridSpan w:val="2"/>
            <w:shd w:val="clear" w:color="auto" w:fill="auto"/>
          </w:tcPr>
          <w:p w:rsidR="000219DE" w:rsidRDefault="000219DE" w:rsidP="00DB7106">
            <w:pPr>
              <w:autoSpaceDE w:val="0"/>
              <w:autoSpaceDN w:val="0"/>
              <w:adjustRightInd w:val="0"/>
              <w:jc w:val="both"/>
              <w:rPr>
                <w:rFonts w:ascii="Calibri" w:hAnsi="Calibri" w:cs="Arial"/>
                <w:color w:val="FF0000"/>
                <w:lang w:val="ro-RO"/>
              </w:rPr>
            </w:pPr>
          </w:p>
          <w:p w:rsidR="000219DE" w:rsidRPr="003E3428" w:rsidRDefault="000219DE" w:rsidP="000219DE">
            <w:pPr>
              <w:numPr>
                <w:ilvl w:val="0"/>
                <w:numId w:val="29"/>
              </w:numPr>
              <w:tabs>
                <w:tab w:val="left" w:pos="993"/>
              </w:tabs>
              <w:jc w:val="both"/>
              <w:rPr>
                <w:rFonts w:ascii="Calibri" w:hAnsi="Calibri" w:cs="Arial"/>
                <w:b/>
              </w:rPr>
            </w:pPr>
            <w:r>
              <w:rPr>
                <w:rFonts w:ascii="Calibri" w:hAnsi="Calibri"/>
                <w:b/>
              </w:rPr>
              <w:t>MISSION</w:t>
            </w:r>
          </w:p>
          <w:p w:rsidR="000219DE" w:rsidRPr="003E3428" w:rsidRDefault="000219DE" w:rsidP="00DB7106">
            <w:pPr>
              <w:autoSpaceDE w:val="0"/>
              <w:autoSpaceDN w:val="0"/>
              <w:adjustRightInd w:val="0"/>
              <w:jc w:val="both"/>
              <w:rPr>
                <w:rFonts w:ascii="Calibri" w:hAnsi="Calibri" w:cs="Arial"/>
                <w:color w:val="FF0000"/>
                <w:lang w:val="ro-RO"/>
              </w:rPr>
            </w:pPr>
          </w:p>
          <w:p w:rsidR="000219DE" w:rsidRPr="009C5DFE" w:rsidRDefault="000219DE" w:rsidP="00DB7106">
            <w:pPr>
              <w:autoSpaceDE w:val="0"/>
              <w:autoSpaceDN w:val="0"/>
              <w:adjustRightInd w:val="0"/>
              <w:jc w:val="both"/>
              <w:rPr>
                <w:rFonts w:ascii="Calibri" w:hAnsi="Calibri" w:cs="Arial"/>
              </w:rPr>
            </w:pPr>
            <w:r>
              <w:rPr>
                <w:rFonts w:ascii="Calibri" w:hAnsi="Calibri"/>
              </w:rPr>
              <w:t xml:space="preserve">        Our health care system, with its institutions and health professionals, place the patient at the core of their concern. The social concept which substantiates the health system is based on the principles of universal access to quality medical care and, as a result, it presupposes the application of the principle of solidarity in financing.</w:t>
            </w:r>
          </w:p>
          <w:p w:rsidR="000219DE" w:rsidRPr="009C5DFE" w:rsidRDefault="000219DE" w:rsidP="00DB7106">
            <w:pPr>
              <w:autoSpaceDE w:val="0"/>
              <w:autoSpaceDN w:val="0"/>
              <w:adjustRightInd w:val="0"/>
              <w:jc w:val="both"/>
              <w:rPr>
                <w:rFonts w:ascii="Calibri" w:hAnsi="Calibri" w:cs="Arial"/>
              </w:rPr>
            </w:pPr>
            <w:r>
              <w:rPr>
                <w:rFonts w:ascii="Calibri" w:hAnsi="Calibri"/>
              </w:rPr>
              <w:t xml:space="preserve">       The citizens must be given back their confidence in the health system, through civilized access to the medical services they need, as well as by giving back the dignity of medical personnel.</w:t>
            </w:r>
          </w:p>
          <w:p w:rsidR="000219DE" w:rsidRPr="00B43E45" w:rsidRDefault="000219DE" w:rsidP="00DB7106">
            <w:pPr>
              <w:autoSpaceDE w:val="0"/>
              <w:autoSpaceDN w:val="0"/>
              <w:adjustRightInd w:val="0"/>
              <w:jc w:val="both"/>
              <w:rPr>
                <w:rFonts w:ascii="Calibri" w:hAnsi="Calibri" w:cs="Arial"/>
                <w:lang w:val="ro-RO"/>
              </w:rPr>
            </w:pPr>
          </w:p>
        </w:tc>
      </w:tr>
      <w:tr w:rsidR="000219DE" w:rsidRPr="00AC4302" w:rsidTr="00DB7106">
        <w:tc>
          <w:tcPr>
            <w:tcW w:w="9975" w:type="dxa"/>
            <w:gridSpan w:val="2"/>
            <w:shd w:val="clear" w:color="auto" w:fill="auto"/>
          </w:tcPr>
          <w:p w:rsidR="000219DE" w:rsidRPr="005A6572" w:rsidRDefault="000219DE" w:rsidP="00DB7106">
            <w:pPr>
              <w:autoSpaceDE w:val="0"/>
              <w:autoSpaceDN w:val="0"/>
              <w:adjustRightInd w:val="0"/>
              <w:jc w:val="both"/>
              <w:rPr>
                <w:rFonts w:ascii="Calibri" w:hAnsi="Calibri"/>
                <w:lang w:val="ro-RO" w:eastAsia="en-GB"/>
              </w:rPr>
            </w:pPr>
          </w:p>
          <w:p w:rsidR="000219DE" w:rsidRPr="005A6572" w:rsidRDefault="000219DE" w:rsidP="00DB7106">
            <w:pPr>
              <w:ind w:left="1710"/>
              <w:jc w:val="both"/>
              <w:rPr>
                <w:rFonts w:ascii="Calibri" w:hAnsi="Calibri" w:cs="Arial"/>
              </w:rPr>
            </w:pPr>
            <w:r>
              <w:rPr>
                <w:rFonts w:ascii="Calibri" w:hAnsi="Calibri"/>
                <w:b/>
              </w:rPr>
              <w:t xml:space="preserve"> II. STRATEGIC PRIORITIES ON MEDIUM TERM</w:t>
            </w:r>
          </w:p>
          <w:p w:rsidR="000219DE" w:rsidRPr="005A6572" w:rsidRDefault="000219DE" w:rsidP="00DB7106">
            <w:pPr>
              <w:autoSpaceDE w:val="0"/>
              <w:autoSpaceDN w:val="0"/>
              <w:adjustRightInd w:val="0"/>
              <w:ind w:firstLine="708"/>
              <w:jc w:val="both"/>
              <w:rPr>
                <w:rFonts w:ascii="Calibri" w:hAnsi="Calibri" w:cs="Arial"/>
                <w:lang w:val="ro-RO" w:eastAsia="en-GB"/>
              </w:rPr>
            </w:pPr>
          </w:p>
          <w:p w:rsidR="000219DE" w:rsidRPr="005A6572" w:rsidRDefault="000219DE" w:rsidP="00DB7106">
            <w:pPr>
              <w:autoSpaceDE w:val="0"/>
              <w:autoSpaceDN w:val="0"/>
              <w:adjustRightInd w:val="0"/>
              <w:ind w:firstLine="708"/>
              <w:jc w:val="both"/>
              <w:rPr>
                <w:rFonts w:ascii="Calibri" w:hAnsi="Calibri"/>
                <w:b/>
                <w:color w:val="5B9BD5" w:themeColor="accent1"/>
              </w:rPr>
            </w:pPr>
            <w:r>
              <w:rPr>
                <w:rFonts w:ascii="Calibri" w:hAnsi="Calibri"/>
                <w:b/>
                <w:color w:val="5B9BD5" w:themeColor="accent1"/>
              </w:rPr>
              <w:t>General objective</w:t>
            </w:r>
          </w:p>
          <w:p w:rsidR="000219DE" w:rsidRPr="005A6572" w:rsidRDefault="000219DE" w:rsidP="00DB7106">
            <w:pPr>
              <w:autoSpaceDE w:val="0"/>
              <w:autoSpaceDN w:val="0"/>
              <w:adjustRightInd w:val="0"/>
              <w:ind w:firstLine="708"/>
              <w:jc w:val="both"/>
              <w:rPr>
                <w:rFonts w:ascii="Calibri" w:hAnsi="Calibri" w:cs="Arial"/>
              </w:rPr>
            </w:pPr>
            <w:r>
              <w:rPr>
                <w:rFonts w:ascii="Calibri" w:hAnsi="Calibri"/>
              </w:rPr>
              <w:t>A health system which supports and offers the possibility for the citizens to reach a health state as good as possible and which contributes to increasing their life quality.</w:t>
            </w:r>
          </w:p>
          <w:p w:rsidR="000219DE" w:rsidRPr="005A6572" w:rsidRDefault="000219DE" w:rsidP="00DB7106">
            <w:pPr>
              <w:autoSpaceDE w:val="0"/>
              <w:autoSpaceDN w:val="0"/>
              <w:adjustRightInd w:val="0"/>
              <w:jc w:val="both"/>
              <w:rPr>
                <w:rFonts w:ascii="Calibri" w:hAnsi="Calibri" w:cs="Arial"/>
                <w:b/>
                <w:lang w:val="ro-RO" w:eastAsia="en-GB"/>
              </w:rPr>
            </w:pPr>
          </w:p>
          <w:p w:rsidR="000219DE" w:rsidRPr="00086F06" w:rsidRDefault="000219DE" w:rsidP="00DB7106">
            <w:pPr>
              <w:autoSpaceDE w:val="0"/>
              <w:autoSpaceDN w:val="0"/>
              <w:adjustRightInd w:val="0"/>
              <w:ind w:firstLine="741"/>
              <w:jc w:val="both"/>
              <w:rPr>
                <w:rFonts w:ascii="Calibri" w:hAnsi="Calibri"/>
                <w:b/>
                <w:color w:val="5B9BD5" w:themeColor="accent1"/>
              </w:rPr>
            </w:pPr>
            <w:r>
              <w:rPr>
                <w:rFonts w:ascii="Calibri" w:hAnsi="Calibri"/>
                <w:b/>
                <w:color w:val="5B9BD5" w:themeColor="accent1"/>
              </w:rPr>
              <w:t>Specific objectives:</w:t>
            </w:r>
          </w:p>
          <w:p w:rsidR="000219DE" w:rsidRPr="00FC4945" w:rsidRDefault="000219DE" w:rsidP="00DB7106">
            <w:pPr>
              <w:autoSpaceDE w:val="0"/>
              <w:autoSpaceDN w:val="0"/>
              <w:adjustRightInd w:val="0"/>
              <w:ind w:firstLine="708"/>
              <w:jc w:val="both"/>
              <w:rPr>
                <w:rFonts w:ascii="Calibri" w:hAnsi="Calibri"/>
              </w:rPr>
            </w:pPr>
            <w:r>
              <w:rPr>
                <w:rFonts w:ascii="Calibri" w:hAnsi="Calibri"/>
              </w:rPr>
              <w:t>One of the fundamental objectives the Romanian Government undertakes and promotes is to continue the reform in the health field through implementation of the National Health Strategy for 2014-2020. It presupposes a series of reforms of the public medical care system, essential for improving the population's health, increasing the quality and efficiency of health services and improving the population’s access to health care. The policies will be reflected into the increase of the lifespan, reducing the burden of diseases, disabilities and premature deaths and, implicitly, in increasing life quality.</w:t>
            </w:r>
          </w:p>
          <w:p w:rsidR="000219DE" w:rsidRPr="005A6572" w:rsidRDefault="000219DE" w:rsidP="00DB7106">
            <w:pPr>
              <w:autoSpaceDE w:val="0"/>
              <w:autoSpaceDN w:val="0"/>
              <w:adjustRightInd w:val="0"/>
              <w:ind w:firstLine="708"/>
              <w:jc w:val="both"/>
              <w:rPr>
                <w:rFonts w:ascii="Calibri" w:hAnsi="Calibri"/>
              </w:rPr>
            </w:pPr>
            <w:r>
              <w:rPr>
                <w:rFonts w:ascii="Calibri" w:hAnsi="Calibri"/>
              </w:rPr>
              <w:tab/>
              <w:t xml:space="preserve">Setting the priorities has strategic considerations and is mainly influenced by the gaps with regard to health indicators and the inequality in the health field: mother and child mortality, main transmittable diseases (for example, TB, HIV/AIDS), as well as the main five chronic pathologies which can be diagnosed and treated early (cancer, cardiovascular diseases, diabetes, mental disorders, rare diseases), known as having a stronger impact on the poorest and most vulnerable people. Improved access to health services, especially for the population’s most vulnerable segments, together with decreasing administrative costs, including through measures of rehabilitation and modernization of the health infrastructure and, together with an improved administrative capacity, represent strategic objectives which seek to maximize the potential of the sanitary sector of contributing in a sustainable financial manner to promoting social cohesion through health and health services. </w:t>
            </w:r>
          </w:p>
          <w:p w:rsidR="000219DE" w:rsidRPr="00FC4945" w:rsidRDefault="000219DE" w:rsidP="00DB7106">
            <w:pPr>
              <w:autoSpaceDE w:val="0"/>
              <w:autoSpaceDN w:val="0"/>
              <w:adjustRightInd w:val="0"/>
              <w:jc w:val="both"/>
              <w:rPr>
                <w:rFonts w:ascii="Calibri" w:hAnsi="Calibri"/>
              </w:rPr>
            </w:pPr>
            <w:r>
              <w:rPr>
                <w:rFonts w:ascii="Calibri" w:hAnsi="Calibri"/>
              </w:rPr>
              <w:tab/>
              <w:t>Romania has set its strategic areas of development for the health sector on short, medium, and long term, as follows:</w:t>
            </w:r>
          </w:p>
          <w:p w:rsidR="000219DE" w:rsidRPr="003964D3" w:rsidRDefault="000219DE" w:rsidP="00DB7106">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jc w:val="both"/>
              <w:rPr>
                <w:rFonts w:ascii="Calibri" w:hAnsi="Calibri"/>
                <w:color w:val="0000FF"/>
                <w:lang w:val="fr-FR"/>
              </w:rPr>
            </w:pPr>
          </w:p>
        </w:tc>
      </w:tr>
      <w:tr w:rsidR="000219DE" w:rsidRPr="00FC4945" w:rsidTr="00DB7106">
        <w:trPr>
          <w:trHeight w:val="170"/>
        </w:trPr>
        <w:tc>
          <w:tcPr>
            <w:tcW w:w="9975" w:type="dxa"/>
            <w:gridSpan w:val="2"/>
            <w:shd w:val="clear" w:color="auto" w:fill="auto"/>
            <w:vAlign w:val="center"/>
          </w:tcPr>
          <w:p w:rsidR="000219DE" w:rsidRDefault="000219DE" w:rsidP="00DB7106">
            <w:pPr>
              <w:pStyle w:val="Default"/>
              <w:tabs>
                <w:tab w:val="left" w:pos="72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ind w:left="737"/>
              <w:rPr>
                <w:rFonts w:ascii="Calibri" w:hAnsi="Calibri"/>
                <w:b/>
                <w:bCs/>
              </w:rPr>
            </w:pPr>
            <w:r>
              <w:rPr>
                <w:rFonts w:ascii="Calibri" w:hAnsi="Calibri"/>
                <w:b/>
                <w:bCs/>
              </w:rPr>
              <w:t>A. PUBLIC HEALTH</w:t>
            </w:r>
          </w:p>
          <w:p w:rsidR="000219DE" w:rsidRPr="00FC4945" w:rsidRDefault="000219DE" w:rsidP="00DB7106">
            <w:pPr>
              <w:pStyle w:val="Default"/>
              <w:tabs>
                <w:tab w:val="left" w:pos="72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ind w:left="737"/>
              <w:rPr>
                <w:rFonts w:ascii="Calibri" w:hAnsi="Calibri"/>
                <w:b/>
                <w:bCs/>
                <w:i/>
              </w:rPr>
            </w:pPr>
          </w:p>
        </w:tc>
      </w:tr>
      <w:tr w:rsidR="000219DE" w:rsidRPr="00AC4302" w:rsidTr="00DB7106">
        <w:trPr>
          <w:trHeight w:val="170"/>
        </w:trPr>
        <w:tc>
          <w:tcPr>
            <w:tcW w:w="2324" w:type="dxa"/>
            <w:vMerge w:val="restart"/>
            <w:shd w:val="clear" w:color="auto" w:fill="auto"/>
            <w:vAlign w:val="center"/>
          </w:tcPr>
          <w:p w:rsidR="000219DE" w:rsidRDefault="000219DE" w:rsidP="00DB7106">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rPr>
                <w:rFonts w:ascii="Calibri" w:hAnsi="Calibri"/>
                <w:color w:val="000080"/>
              </w:rPr>
            </w:pPr>
          </w:p>
          <w:p w:rsidR="000219DE" w:rsidRDefault="000219DE" w:rsidP="00DB7106">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rPr>
                <w:rFonts w:ascii="Calibri" w:hAnsi="Calibri"/>
                <w:color w:val="000080"/>
              </w:rPr>
            </w:pPr>
          </w:p>
          <w:p w:rsidR="000219DE" w:rsidRDefault="000219DE" w:rsidP="00DB7106">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rPr>
                <w:rFonts w:ascii="Calibri" w:hAnsi="Calibri"/>
                <w:color w:val="000080"/>
              </w:rPr>
            </w:pPr>
          </w:p>
          <w:p w:rsidR="000219DE" w:rsidRDefault="000219DE" w:rsidP="00DB7106">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rPr>
                <w:rFonts w:ascii="Calibri" w:hAnsi="Calibri"/>
                <w:color w:val="000080"/>
              </w:rPr>
            </w:pPr>
          </w:p>
          <w:p w:rsidR="000219DE" w:rsidRPr="00FC4945" w:rsidRDefault="000219DE" w:rsidP="00DB7106">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rPr>
                <w:rFonts w:ascii="Calibri" w:hAnsi="Calibri"/>
                <w:color w:val="000080"/>
              </w:rPr>
            </w:pPr>
            <w:r>
              <w:rPr>
                <w:rFonts w:ascii="Calibri" w:hAnsi="Calibri"/>
                <w:color w:val="000080"/>
              </w:rPr>
              <w:t>The measures corresponding thereto refer to:</w:t>
            </w:r>
          </w:p>
          <w:p w:rsidR="000219DE" w:rsidRPr="00FC4945" w:rsidRDefault="000219DE" w:rsidP="00DB7106">
            <w:pPr>
              <w:rPr>
                <w:rFonts w:ascii="Calibri" w:hAnsi="Calibri" w:cs="Arial"/>
                <w:color w:val="0000FF"/>
                <w:lang w:val="ro-RO"/>
              </w:rPr>
            </w:pPr>
          </w:p>
        </w:tc>
        <w:tc>
          <w:tcPr>
            <w:tcW w:w="7651" w:type="dxa"/>
            <w:shd w:val="clear" w:color="auto" w:fill="auto"/>
            <w:vAlign w:val="center"/>
          </w:tcPr>
          <w:p w:rsidR="000219DE" w:rsidRPr="009C5DFE" w:rsidRDefault="000219DE" w:rsidP="00DB7106">
            <w:pPr>
              <w:pStyle w:val="Default"/>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jc w:val="both"/>
              <w:rPr>
                <w:rFonts w:ascii="Calibri" w:hAnsi="Calibri" w:cs="Arial"/>
                <w:color w:val="auto"/>
              </w:rPr>
            </w:pPr>
            <w:r>
              <w:rPr>
                <w:rFonts w:ascii="Calibri" w:hAnsi="Calibri"/>
                <w:color w:val="auto"/>
              </w:rPr>
              <w:sym w:font="Symbol" w:char="F0B7"/>
            </w:r>
            <w:r>
              <w:rPr>
                <w:rFonts w:ascii="Calibri" w:hAnsi="Calibri"/>
                <w:color w:val="auto"/>
              </w:rPr>
              <w:t xml:space="preserve">  Improving the health and nutrition state of women and children, including for disadvantaged and vulnerable groups - interventions to prevent malnutrition, obesity, neonatal deaths through increasing access to adequate care; family planning services;</w:t>
            </w:r>
          </w:p>
        </w:tc>
      </w:tr>
      <w:tr w:rsidR="000219DE" w:rsidRPr="00AC4302" w:rsidTr="00DB7106">
        <w:trPr>
          <w:trHeight w:val="170"/>
        </w:trPr>
        <w:tc>
          <w:tcPr>
            <w:tcW w:w="2324" w:type="dxa"/>
            <w:vMerge/>
            <w:shd w:val="clear" w:color="auto" w:fill="auto"/>
            <w:vAlign w:val="center"/>
          </w:tcPr>
          <w:p w:rsidR="000219DE" w:rsidRPr="003964D3" w:rsidRDefault="000219DE" w:rsidP="00DB7106">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rPr>
                <w:rFonts w:ascii="Calibri" w:hAnsi="Calibri"/>
                <w:color w:val="000080"/>
                <w:lang w:val="ro-RO"/>
              </w:rPr>
            </w:pPr>
          </w:p>
        </w:tc>
        <w:tc>
          <w:tcPr>
            <w:tcW w:w="7651" w:type="dxa"/>
            <w:shd w:val="clear" w:color="auto" w:fill="auto"/>
            <w:vAlign w:val="center"/>
          </w:tcPr>
          <w:p w:rsidR="000219DE" w:rsidRPr="007E28B3" w:rsidRDefault="000219DE" w:rsidP="000219DE">
            <w:pPr>
              <w:numPr>
                <w:ilvl w:val="0"/>
                <w:numId w:val="28"/>
              </w:numPr>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ind w:left="0" w:firstLine="360"/>
              <w:jc w:val="both"/>
              <w:rPr>
                <w:rFonts w:ascii="Calibri" w:hAnsi="Calibri" w:cs="Arial"/>
              </w:rPr>
            </w:pPr>
            <w:r>
              <w:rPr>
                <w:rFonts w:ascii="Calibri" w:hAnsi="Calibri"/>
              </w:rPr>
              <w:t>Elaboration, financing, implementation of prophylactic programs for children for all therapeutic areas, through introduction of mandatory consultations for children aged 5 to 9 years through the school medicine network or medical cabinets;</w:t>
            </w:r>
          </w:p>
        </w:tc>
      </w:tr>
      <w:tr w:rsidR="000219DE" w:rsidRPr="00AC4302" w:rsidTr="00DB7106">
        <w:trPr>
          <w:trHeight w:val="170"/>
        </w:trPr>
        <w:tc>
          <w:tcPr>
            <w:tcW w:w="2324" w:type="dxa"/>
            <w:vMerge/>
            <w:shd w:val="clear" w:color="auto" w:fill="auto"/>
            <w:vAlign w:val="center"/>
          </w:tcPr>
          <w:p w:rsidR="000219DE" w:rsidRPr="003964D3" w:rsidRDefault="000219DE" w:rsidP="00DB7106">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rPr>
                <w:rFonts w:ascii="Calibri" w:hAnsi="Calibri"/>
                <w:color w:val="000080"/>
                <w:lang w:val="ro-RO"/>
              </w:rPr>
            </w:pPr>
          </w:p>
        </w:tc>
        <w:tc>
          <w:tcPr>
            <w:tcW w:w="7651" w:type="dxa"/>
            <w:shd w:val="clear" w:color="auto" w:fill="auto"/>
            <w:vAlign w:val="center"/>
          </w:tcPr>
          <w:p w:rsidR="000219DE" w:rsidRPr="007E28B3" w:rsidRDefault="000219DE" w:rsidP="000219DE">
            <w:pPr>
              <w:numPr>
                <w:ilvl w:val="0"/>
                <w:numId w:val="28"/>
              </w:numPr>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ind w:left="0" w:firstLine="360"/>
              <w:jc w:val="both"/>
              <w:rPr>
                <w:rFonts w:ascii="Calibri" w:hAnsi="Calibri" w:cs="Arial"/>
              </w:rPr>
            </w:pPr>
            <w:r>
              <w:rPr>
                <w:rFonts w:ascii="Calibri" w:hAnsi="Calibri"/>
              </w:rPr>
              <w:t>Increasing the capacity for neonatal screening in order to find congenital malformations, genetic risk, inborn metabolism errors, sensory deficiencies and cystic fibrosis;</w:t>
            </w:r>
          </w:p>
        </w:tc>
      </w:tr>
      <w:tr w:rsidR="000219DE" w:rsidRPr="00AC4302" w:rsidTr="00DB7106">
        <w:trPr>
          <w:trHeight w:val="167"/>
        </w:trPr>
        <w:tc>
          <w:tcPr>
            <w:tcW w:w="2324" w:type="dxa"/>
            <w:vMerge/>
            <w:shd w:val="clear" w:color="auto" w:fill="auto"/>
            <w:vAlign w:val="center"/>
          </w:tcPr>
          <w:p w:rsidR="000219DE" w:rsidRPr="00FC4945" w:rsidRDefault="000219DE" w:rsidP="00DB7106">
            <w:pPr>
              <w:shd w:val="clear" w:color="auto" w:fill="FFFFFF"/>
              <w:jc w:val="center"/>
              <w:rPr>
                <w:rFonts w:ascii="Calibri" w:hAnsi="Calibri" w:cs="Arial"/>
                <w:bCs/>
                <w:i/>
                <w:color w:val="0000FF"/>
                <w:lang w:val="ro-RO" w:eastAsia="en-GB"/>
              </w:rPr>
            </w:pPr>
          </w:p>
        </w:tc>
        <w:tc>
          <w:tcPr>
            <w:tcW w:w="7651" w:type="dxa"/>
            <w:shd w:val="clear" w:color="auto" w:fill="auto"/>
            <w:vAlign w:val="center"/>
          </w:tcPr>
          <w:p w:rsidR="000219DE" w:rsidRPr="009C5DFE" w:rsidRDefault="000219DE" w:rsidP="00DB7106">
            <w:pPr>
              <w:pStyle w:val="Default"/>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jc w:val="both"/>
              <w:rPr>
                <w:rFonts w:ascii="Calibri" w:hAnsi="Calibri" w:cs="Arial"/>
                <w:color w:val="auto"/>
              </w:rPr>
            </w:pPr>
            <w:r>
              <w:rPr>
                <w:rFonts w:ascii="Calibri" w:hAnsi="Calibri"/>
                <w:color w:val="auto"/>
              </w:rPr>
              <w:sym w:font="Symbol" w:char="F0B7"/>
            </w:r>
            <w:r>
              <w:rPr>
                <w:rFonts w:ascii="Calibri" w:hAnsi="Calibri"/>
                <w:color w:val="auto"/>
              </w:rPr>
              <w:t xml:space="preserve">  Reducing the incidence of non-transmissible diseases which are currently the major causes of morbidity, disability and mortality - cardiovascular and cerebral-vascular diseases, cancers, diseases of the digestive system, of the respiratory tract, diabetes, through measures like: risk assessment and active supervision of the population through prevention services, screening in the early stages of disease and organized screening interventions, extending and diversifying the services that can be offered at the level of family and specialty medicine, developing/improving the screening network for cancer, through creation of additional screening centers for cancer, the purchase of eight mobile units for cancer screening and improving the technical capacity of the regional laboratories of pathology and cytology;</w:t>
            </w:r>
          </w:p>
        </w:tc>
      </w:tr>
      <w:tr w:rsidR="000219DE" w:rsidRPr="00AC4302" w:rsidTr="00DB7106">
        <w:trPr>
          <w:trHeight w:val="167"/>
        </w:trPr>
        <w:tc>
          <w:tcPr>
            <w:tcW w:w="2324" w:type="dxa"/>
            <w:vMerge/>
            <w:shd w:val="clear" w:color="auto" w:fill="auto"/>
            <w:vAlign w:val="center"/>
          </w:tcPr>
          <w:p w:rsidR="000219DE" w:rsidRPr="00FC4945" w:rsidRDefault="000219DE" w:rsidP="00DB7106">
            <w:pPr>
              <w:shd w:val="clear" w:color="auto" w:fill="FFFFFF"/>
              <w:jc w:val="center"/>
              <w:rPr>
                <w:rFonts w:ascii="Calibri" w:hAnsi="Calibri" w:cs="Arial"/>
                <w:bCs/>
                <w:i/>
                <w:color w:val="0000FF"/>
                <w:lang w:val="ro-RO" w:eastAsia="en-GB"/>
              </w:rPr>
            </w:pPr>
          </w:p>
        </w:tc>
        <w:tc>
          <w:tcPr>
            <w:tcW w:w="7651" w:type="dxa"/>
            <w:shd w:val="clear" w:color="auto" w:fill="auto"/>
            <w:vAlign w:val="center"/>
          </w:tcPr>
          <w:p w:rsidR="000219DE" w:rsidRPr="009C5DFE" w:rsidRDefault="000219DE" w:rsidP="00DB7106">
            <w:pPr>
              <w:pStyle w:val="Default"/>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jc w:val="both"/>
              <w:rPr>
                <w:rFonts w:ascii="Calibri" w:hAnsi="Calibri" w:cs="Arial"/>
                <w:color w:val="auto"/>
              </w:rPr>
            </w:pPr>
            <w:r>
              <w:rPr>
                <w:rFonts w:ascii="Calibri" w:hAnsi="Calibri"/>
                <w:color w:val="auto"/>
              </w:rPr>
              <w:sym w:font="Symbol" w:char="F0B7"/>
            </w:r>
            <w:r>
              <w:rPr>
                <w:rFonts w:ascii="Calibri" w:hAnsi="Calibri"/>
                <w:color w:val="auto"/>
              </w:rPr>
              <w:t xml:space="preserve">  Reducing mortality and morbidity caused by transmissible diseases, of their impact for individuals and society, and on the long term significantly reducing their incidence;</w:t>
            </w:r>
          </w:p>
        </w:tc>
      </w:tr>
      <w:tr w:rsidR="000219DE" w:rsidRPr="00FC4945" w:rsidTr="00DB7106">
        <w:trPr>
          <w:trHeight w:val="167"/>
        </w:trPr>
        <w:tc>
          <w:tcPr>
            <w:tcW w:w="2324" w:type="dxa"/>
            <w:vMerge/>
            <w:shd w:val="clear" w:color="auto" w:fill="auto"/>
            <w:vAlign w:val="center"/>
          </w:tcPr>
          <w:p w:rsidR="000219DE" w:rsidRPr="00FC4945" w:rsidRDefault="000219DE" w:rsidP="00DB7106">
            <w:pPr>
              <w:shd w:val="clear" w:color="auto" w:fill="FFFFFF"/>
              <w:jc w:val="center"/>
              <w:rPr>
                <w:rFonts w:ascii="Calibri" w:hAnsi="Calibri" w:cs="Arial"/>
                <w:bCs/>
                <w:i/>
                <w:color w:val="0000FF"/>
                <w:lang w:val="ro-RO" w:eastAsia="en-GB"/>
              </w:rPr>
            </w:pPr>
          </w:p>
        </w:tc>
        <w:tc>
          <w:tcPr>
            <w:tcW w:w="7651" w:type="dxa"/>
            <w:shd w:val="clear" w:color="auto" w:fill="auto"/>
            <w:vAlign w:val="center"/>
          </w:tcPr>
          <w:p w:rsidR="000219DE" w:rsidRPr="007E28B3" w:rsidRDefault="000219DE" w:rsidP="00DB7106">
            <w:pPr>
              <w:pStyle w:val="Default"/>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jc w:val="both"/>
              <w:rPr>
                <w:rFonts w:ascii="Calibri" w:hAnsi="Calibri" w:cs="Arial"/>
                <w:color w:val="auto"/>
              </w:rPr>
            </w:pPr>
            <w:r>
              <w:rPr>
                <w:rFonts w:ascii="Calibri" w:hAnsi="Calibri"/>
                <w:color w:val="auto"/>
              </w:rPr>
              <w:sym w:font="Symbol" w:char="F0B7"/>
            </w:r>
            <w:r>
              <w:rPr>
                <w:rFonts w:ascii="Calibri" w:hAnsi="Calibri"/>
              </w:rPr>
              <w:t xml:space="preserve">Increasing the screening capacity for transmissible infectious diseases (including sexually transmitted diseases): hepatitis, HIV, tuberculosis; </w:t>
            </w:r>
          </w:p>
        </w:tc>
      </w:tr>
      <w:tr w:rsidR="000219DE" w:rsidRPr="00AC4302" w:rsidTr="00DB7106">
        <w:trPr>
          <w:trHeight w:val="167"/>
        </w:trPr>
        <w:tc>
          <w:tcPr>
            <w:tcW w:w="2324" w:type="dxa"/>
            <w:vMerge/>
            <w:shd w:val="clear" w:color="auto" w:fill="auto"/>
            <w:vAlign w:val="center"/>
          </w:tcPr>
          <w:p w:rsidR="000219DE" w:rsidRPr="00FC4945" w:rsidRDefault="000219DE" w:rsidP="00DB7106">
            <w:pPr>
              <w:shd w:val="clear" w:color="auto" w:fill="FFFFFF"/>
              <w:jc w:val="center"/>
              <w:rPr>
                <w:rFonts w:ascii="Calibri" w:hAnsi="Calibri" w:cs="Arial"/>
                <w:bCs/>
                <w:i/>
                <w:color w:val="0000FF"/>
                <w:lang w:val="ro-RO" w:eastAsia="en-GB"/>
              </w:rPr>
            </w:pPr>
          </w:p>
        </w:tc>
        <w:tc>
          <w:tcPr>
            <w:tcW w:w="7651" w:type="dxa"/>
            <w:shd w:val="clear" w:color="auto" w:fill="auto"/>
          </w:tcPr>
          <w:p w:rsidR="000219DE" w:rsidRPr="00FC4945" w:rsidRDefault="000219DE" w:rsidP="00DB7106">
            <w:pPr>
              <w:pStyle w:val="Default"/>
              <w:tabs>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jc w:val="both"/>
              <w:rPr>
                <w:rFonts w:ascii="Calibri" w:hAnsi="Calibri"/>
              </w:rPr>
            </w:pPr>
            <w:r>
              <w:rPr>
                <w:rFonts w:ascii="Calibri" w:hAnsi="Calibri"/>
              </w:rPr>
              <w:sym w:font="Symbol" w:char="F0B7"/>
            </w:r>
            <w:r>
              <w:rPr>
                <w:rFonts w:ascii="Calibri" w:hAnsi="Calibri"/>
              </w:rPr>
              <w:t xml:space="preserve"> Health in relation to the environment;</w:t>
            </w:r>
          </w:p>
        </w:tc>
      </w:tr>
      <w:tr w:rsidR="000219DE" w:rsidRPr="00AC4302" w:rsidTr="00DB7106">
        <w:trPr>
          <w:trHeight w:val="167"/>
        </w:trPr>
        <w:tc>
          <w:tcPr>
            <w:tcW w:w="2324" w:type="dxa"/>
            <w:vMerge/>
            <w:shd w:val="clear" w:color="auto" w:fill="auto"/>
            <w:vAlign w:val="center"/>
          </w:tcPr>
          <w:p w:rsidR="000219DE" w:rsidRPr="009C5DFE" w:rsidRDefault="000219DE" w:rsidP="00DB7106">
            <w:pPr>
              <w:shd w:val="clear" w:color="auto" w:fill="FFFFFF"/>
              <w:jc w:val="center"/>
              <w:rPr>
                <w:rFonts w:ascii="Calibri" w:hAnsi="Calibri" w:cs="Arial"/>
                <w:bCs/>
                <w:i/>
                <w:lang w:val="ro-RO" w:eastAsia="en-GB"/>
              </w:rPr>
            </w:pPr>
          </w:p>
        </w:tc>
        <w:tc>
          <w:tcPr>
            <w:tcW w:w="7651" w:type="dxa"/>
            <w:shd w:val="clear" w:color="auto" w:fill="auto"/>
          </w:tcPr>
          <w:p w:rsidR="000219DE" w:rsidRPr="009C5DFE" w:rsidRDefault="000219DE" w:rsidP="00DB7106">
            <w:pPr>
              <w:pStyle w:val="Default"/>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jc w:val="both"/>
              <w:rPr>
                <w:rFonts w:ascii="Calibri" w:hAnsi="Calibri" w:cs="Arial"/>
                <w:color w:val="auto"/>
              </w:rPr>
            </w:pPr>
            <w:r>
              <w:rPr>
                <w:rFonts w:ascii="Calibri" w:hAnsi="Calibri"/>
                <w:color w:val="auto"/>
              </w:rPr>
              <w:sym w:font="Symbol" w:char="F0B7"/>
            </w:r>
            <w:r>
              <w:rPr>
                <w:rFonts w:ascii="Calibri" w:hAnsi="Calibri"/>
                <w:color w:val="auto"/>
              </w:rPr>
              <w:t xml:space="preserve">  Mental health - improving life quality for the people with mental disorders by ensuring access thereof to medical and psychological therapies; screening for consumption of psychoactive substances;</w:t>
            </w:r>
          </w:p>
        </w:tc>
      </w:tr>
      <w:tr w:rsidR="000219DE" w:rsidRPr="00AC4302" w:rsidTr="00DB7106">
        <w:trPr>
          <w:trHeight w:val="167"/>
        </w:trPr>
        <w:tc>
          <w:tcPr>
            <w:tcW w:w="2324" w:type="dxa"/>
            <w:vMerge/>
            <w:shd w:val="clear" w:color="auto" w:fill="auto"/>
            <w:vAlign w:val="center"/>
          </w:tcPr>
          <w:p w:rsidR="000219DE" w:rsidRPr="00FC4945" w:rsidRDefault="000219DE" w:rsidP="00DB7106">
            <w:pPr>
              <w:shd w:val="clear" w:color="auto" w:fill="FFFFFF"/>
              <w:jc w:val="center"/>
              <w:rPr>
                <w:rFonts w:ascii="Calibri" w:hAnsi="Calibri" w:cs="Arial"/>
                <w:bCs/>
                <w:i/>
                <w:color w:val="0000FF"/>
                <w:lang w:val="ro-RO" w:eastAsia="en-GB"/>
              </w:rPr>
            </w:pPr>
          </w:p>
        </w:tc>
        <w:tc>
          <w:tcPr>
            <w:tcW w:w="7651" w:type="dxa"/>
            <w:shd w:val="clear" w:color="auto" w:fill="auto"/>
          </w:tcPr>
          <w:p w:rsidR="000219DE" w:rsidRPr="009C5DFE" w:rsidRDefault="000219DE" w:rsidP="00DB7106">
            <w:pPr>
              <w:pStyle w:val="Default"/>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jc w:val="both"/>
              <w:rPr>
                <w:rFonts w:ascii="Calibri" w:hAnsi="Calibri" w:cs="Arial"/>
                <w:color w:val="auto"/>
              </w:rPr>
            </w:pPr>
            <w:r>
              <w:rPr>
                <w:rFonts w:ascii="Calibri" w:hAnsi="Calibri"/>
                <w:color w:val="auto"/>
              </w:rPr>
              <w:sym w:font="Symbol" w:char="F0B7"/>
            </w:r>
            <w:r>
              <w:rPr>
                <w:rFonts w:ascii="Calibri" w:hAnsi="Calibri"/>
                <w:color w:val="auto"/>
              </w:rPr>
              <w:t xml:space="preserve">  Rare diseases - improving the quality of care given to patients with such afflictions on the entire care chain and ensuring access to specific therapy;</w:t>
            </w:r>
          </w:p>
        </w:tc>
      </w:tr>
      <w:tr w:rsidR="000219DE" w:rsidRPr="00FC4945" w:rsidTr="00DB7106">
        <w:trPr>
          <w:trHeight w:val="167"/>
        </w:trPr>
        <w:tc>
          <w:tcPr>
            <w:tcW w:w="2324" w:type="dxa"/>
            <w:vMerge/>
            <w:shd w:val="clear" w:color="auto" w:fill="auto"/>
            <w:vAlign w:val="center"/>
          </w:tcPr>
          <w:p w:rsidR="000219DE" w:rsidRPr="00FC4945" w:rsidRDefault="000219DE" w:rsidP="00DB7106">
            <w:pPr>
              <w:shd w:val="clear" w:color="auto" w:fill="FFFFFF"/>
              <w:jc w:val="center"/>
              <w:rPr>
                <w:rFonts w:ascii="Calibri" w:hAnsi="Calibri" w:cs="Arial"/>
                <w:bCs/>
                <w:i/>
                <w:color w:val="0000FF"/>
                <w:lang w:val="ro-RO" w:eastAsia="en-GB"/>
              </w:rPr>
            </w:pPr>
          </w:p>
        </w:tc>
        <w:tc>
          <w:tcPr>
            <w:tcW w:w="7651" w:type="dxa"/>
            <w:shd w:val="clear" w:color="auto" w:fill="auto"/>
          </w:tcPr>
          <w:p w:rsidR="000219DE" w:rsidRPr="007E28B3" w:rsidRDefault="000219DE" w:rsidP="00DB7106">
            <w:pPr>
              <w:pStyle w:val="Default"/>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jc w:val="both"/>
              <w:rPr>
                <w:rFonts w:ascii="Calibri" w:hAnsi="Calibri" w:cs="Arial"/>
                <w:color w:val="auto"/>
              </w:rPr>
            </w:pPr>
            <w:r>
              <w:rPr>
                <w:rFonts w:ascii="Calibri" w:hAnsi="Calibri"/>
                <w:color w:val="auto"/>
              </w:rPr>
              <w:sym w:font="Symbol" w:char="F0B7"/>
            </w:r>
            <w:r>
              <w:rPr>
                <w:rFonts w:ascii="Calibri" w:hAnsi="Calibri"/>
              </w:rPr>
              <w:t xml:space="preserve">Introducing new actions, like: screening for cardiovascular diseases with major risk starting from the hypertensive pathology. </w:t>
            </w:r>
          </w:p>
        </w:tc>
      </w:tr>
      <w:tr w:rsidR="000219DE" w:rsidRPr="00FC4945" w:rsidTr="00DB7106">
        <w:trPr>
          <w:trHeight w:val="80"/>
        </w:trPr>
        <w:tc>
          <w:tcPr>
            <w:tcW w:w="9975" w:type="dxa"/>
            <w:gridSpan w:val="2"/>
            <w:shd w:val="clear" w:color="auto" w:fill="auto"/>
            <w:vAlign w:val="center"/>
          </w:tcPr>
          <w:p w:rsidR="000219DE" w:rsidRDefault="000219DE" w:rsidP="00DB7106">
            <w:pPr>
              <w:tabs>
                <w:tab w:val="left" w:pos="72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ind w:firstLine="720"/>
              <w:jc w:val="both"/>
              <w:rPr>
                <w:rFonts w:ascii="Calibri" w:eastAsia="ヒラギノ角ゴ Pro W3" w:hAnsi="Calibri" w:cs="Arial"/>
                <w:color w:val="000000" w:themeColor="text1"/>
                <w:szCs w:val="20"/>
              </w:rPr>
            </w:pPr>
            <w:r>
              <w:rPr>
                <w:rFonts w:ascii="Calibri" w:hAnsi="Calibri"/>
                <w:color w:val="000000" w:themeColor="text1"/>
                <w:szCs w:val="20"/>
              </w:rPr>
              <w:t>The implementation of the measures listed above shall be made through the national public health programs financed from the budget of the Ministry of Health and the Project on the Reform of the Sanitary Sector - Improving the Quality and Efficiency of the Sanitary System, financed through the International Bank for Reconstruction and Development (IBRD 8362RO).</w:t>
            </w:r>
          </w:p>
          <w:p w:rsidR="000219DE" w:rsidRPr="00F81118" w:rsidRDefault="000219DE" w:rsidP="00DB7106">
            <w:pPr>
              <w:tabs>
                <w:tab w:val="left" w:pos="72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ind w:firstLine="720"/>
              <w:jc w:val="both"/>
              <w:rPr>
                <w:rFonts w:ascii="Calibri" w:eastAsia="ヒラギノ角ゴ Pro W3" w:hAnsi="Calibri" w:cs="Arial"/>
                <w:color w:val="000000" w:themeColor="text1"/>
                <w:szCs w:val="20"/>
                <w:lang w:val="ro-RO" w:eastAsia="ro-RO"/>
              </w:rPr>
            </w:pPr>
          </w:p>
        </w:tc>
      </w:tr>
      <w:tr w:rsidR="000219DE" w:rsidRPr="00FC4945" w:rsidTr="00DB7106">
        <w:trPr>
          <w:trHeight w:val="80"/>
        </w:trPr>
        <w:tc>
          <w:tcPr>
            <w:tcW w:w="9975" w:type="dxa"/>
            <w:gridSpan w:val="2"/>
            <w:shd w:val="clear" w:color="auto" w:fill="auto"/>
            <w:vAlign w:val="center"/>
          </w:tcPr>
          <w:p w:rsidR="000219DE" w:rsidRPr="00FC4945" w:rsidRDefault="000219DE" w:rsidP="00DB7106">
            <w:pPr>
              <w:pStyle w:val="Default"/>
              <w:tabs>
                <w:tab w:val="left" w:pos="72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ind w:left="737"/>
              <w:rPr>
                <w:rFonts w:ascii="Calibri" w:hAnsi="Calibri"/>
                <w:b/>
                <w:bCs/>
                <w:i/>
              </w:rPr>
            </w:pPr>
            <w:r>
              <w:rPr>
                <w:rFonts w:ascii="Calibri" w:hAnsi="Calibri"/>
                <w:b/>
                <w:bCs/>
              </w:rPr>
              <w:t xml:space="preserve">B. HEALTH SERVICES </w:t>
            </w:r>
          </w:p>
        </w:tc>
      </w:tr>
      <w:tr w:rsidR="000219DE" w:rsidRPr="00AC4302" w:rsidTr="00DB7106">
        <w:trPr>
          <w:trHeight w:val="80"/>
        </w:trPr>
        <w:tc>
          <w:tcPr>
            <w:tcW w:w="2324" w:type="dxa"/>
            <w:shd w:val="clear" w:color="auto" w:fill="auto"/>
            <w:vAlign w:val="center"/>
          </w:tcPr>
          <w:p w:rsidR="000219DE" w:rsidRDefault="000219DE" w:rsidP="00DB7106">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hAnsi="Calibri"/>
                <w:color w:val="000080"/>
                <w:lang w:val="it-IT"/>
              </w:rPr>
            </w:pPr>
          </w:p>
        </w:tc>
        <w:tc>
          <w:tcPr>
            <w:tcW w:w="7651" w:type="dxa"/>
            <w:shd w:val="clear" w:color="auto" w:fill="auto"/>
          </w:tcPr>
          <w:p w:rsidR="000219DE" w:rsidRPr="009C5DFE" w:rsidRDefault="000219DE" w:rsidP="000219DE">
            <w:pPr>
              <w:pStyle w:val="Default"/>
              <w:numPr>
                <w:ilvl w:val="0"/>
                <w:numId w:val="25"/>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ind w:left="0" w:firstLine="0"/>
              <w:jc w:val="both"/>
              <w:rPr>
                <w:rFonts w:ascii="Calibri" w:hAnsi="Calibri" w:cs="Arial"/>
                <w:color w:val="auto"/>
              </w:rPr>
            </w:pPr>
            <w:r>
              <w:rPr>
                <w:rFonts w:ascii="Calibri" w:hAnsi="Calibri"/>
                <w:color w:val="auto"/>
              </w:rPr>
              <w:t>Increasing the degree of interconnection of  medical services suppliers in order to facilitate the exchange of information useful to the patients;</w:t>
            </w:r>
          </w:p>
        </w:tc>
      </w:tr>
      <w:tr w:rsidR="000219DE" w:rsidRPr="00AC4302" w:rsidTr="00DB7106">
        <w:trPr>
          <w:trHeight w:val="80"/>
        </w:trPr>
        <w:tc>
          <w:tcPr>
            <w:tcW w:w="2324" w:type="dxa"/>
            <w:shd w:val="clear" w:color="auto" w:fill="auto"/>
            <w:vAlign w:val="center"/>
          </w:tcPr>
          <w:p w:rsidR="000219DE" w:rsidRDefault="000219DE" w:rsidP="00DB7106">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hAnsi="Calibri"/>
                <w:color w:val="000080"/>
                <w:lang w:val="it-IT"/>
              </w:rPr>
            </w:pPr>
          </w:p>
        </w:tc>
        <w:tc>
          <w:tcPr>
            <w:tcW w:w="7651" w:type="dxa"/>
            <w:shd w:val="clear" w:color="auto" w:fill="auto"/>
          </w:tcPr>
          <w:p w:rsidR="000219DE" w:rsidRPr="009C5DFE" w:rsidRDefault="000219DE" w:rsidP="000219DE">
            <w:pPr>
              <w:pStyle w:val="Default"/>
              <w:numPr>
                <w:ilvl w:val="0"/>
                <w:numId w:val="25"/>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ind w:left="0" w:firstLine="0"/>
              <w:jc w:val="both"/>
              <w:rPr>
                <w:rFonts w:ascii="Calibri" w:hAnsi="Calibri" w:cs="Arial"/>
                <w:color w:val="auto"/>
              </w:rPr>
            </w:pPr>
            <w:r>
              <w:rPr>
                <w:rFonts w:ascii="Calibri" w:hAnsi="Calibri"/>
                <w:color w:val="auto"/>
              </w:rPr>
              <w:t>Improving the statistical reporting system in the medical field and developing an early epidemiological warning system;</w:t>
            </w:r>
          </w:p>
        </w:tc>
      </w:tr>
      <w:tr w:rsidR="000219DE" w:rsidRPr="00AC4302" w:rsidTr="00DB7106">
        <w:trPr>
          <w:trHeight w:val="80"/>
        </w:trPr>
        <w:tc>
          <w:tcPr>
            <w:tcW w:w="2324" w:type="dxa"/>
            <w:shd w:val="clear" w:color="auto" w:fill="auto"/>
            <w:vAlign w:val="center"/>
          </w:tcPr>
          <w:p w:rsidR="000219DE" w:rsidRDefault="000219DE" w:rsidP="00DB7106">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hAnsi="Calibri"/>
                <w:color w:val="000080"/>
                <w:lang w:val="it-IT"/>
              </w:rPr>
            </w:pPr>
          </w:p>
        </w:tc>
        <w:tc>
          <w:tcPr>
            <w:tcW w:w="7651" w:type="dxa"/>
            <w:shd w:val="clear" w:color="auto" w:fill="auto"/>
          </w:tcPr>
          <w:p w:rsidR="000219DE" w:rsidRPr="009C5DFE" w:rsidRDefault="000219DE" w:rsidP="000219DE">
            <w:pPr>
              <w:pStyle w:val="Default"/>
              <w:numPr>
                <w:ilvl w:val="0"/>
                <w:numId w:val="25"/>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ind w:left="0" w:firstLine="0"/>
              <w:jc w:val="both"/>
              <w:rPr>
                <w:rFonts w:ascii="Calibri" w:hAnsi="Calibri" w:cs="Arial"/>
                <w:color w:val="auto"/>
              </w:rPr>
            </w:pPr>
            <w:r>
              <w:rPr>
                <w:rFonts w:ascii="Calibri" w:hAnsi="Calibri"/>
                <w:color w:val="auto"/>
              </w:rPr>
              <w:t xml:space="preserve">Consolidating the network of community medical assistance services dedicated to the vulnerable groups; </w:t>
            </w:r>
          </w:p>
        </w:tc>
      </w:tr>
      <w:tr w:rsidR="000219DE" w:rsidRPr="00AC4302" w:rsidTr="00DB7106">
        <w:trPr>
          <w:trHeight w:val="80"/>
        </w:trPr>
        <w:tc>
          <w:tcPr>
            <w:tcW w:w="2324" w:type="dxa"/>
            <w:vMerge w:val="restart"/>
            <w:shd w:val="clear" w:color="auto" w:fill="auto"/>
            <w:vAlign w:val="center"/>
          </w:tcPr>
          <w:p w:rsidR="000219DE" w:rsidRPr="00FC4945" w:rsidRDefault="000219DE" w:rsidP="00DB7106">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hAnsi="Calibri"/>
                <w:color w:val="000080"/>
              </w:rPr>
            </w:pPr>
            <w:r>
              <w:rPr>
                <w:rFonts w:ascii="Calibri" w:hAnsi="Calibri"/>
                <w:color w:val="000080"/>
              </w:rPr>
              <w:t>Measures that correspond to the strategic area of health services propose:</w:t>
            </w:r>
          </w:p>
          <w:p w:rsidR="000219DE" w:rsidRPr="00FC4945" w:rsidRDefault="000219DE" w:rsidP="00DB7106">
            <w:pPr>
              <w:jc w:val="center"/>
              <w:rPr>
                <w:rFonts w:ascii="Calibri" w:hAnsi="Calibri" w:cs="Arial"/>
                <w:color w:val="0000FF"/>
                <w:lang w:val="ro-RO"/>
              </w:rPr>
            </w:pPr>
          </w:p>
        </w:tc>
        <w:tc>
          <w:tcPr>
            <w:tcW w:w="7651" w:type="dxa"/>
            <w:shd w:val="clear" w:color="auto" w:fill="auto"/>
          </w:tcPr>
          <w:p w:rsidR="000219DE" w:rsidRPr="00FC4945" w:rsidRDefault="000219DE" w:rsidP="000219DE">
            <w:pPr>
              <w:pStyle w:val="Default"/>
              <w:numPr>
                <w:ilvl w:val="0"/>
                <w:numId w:val="25"/>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ind w:left="0" w:firstLine="0"/>
              <w:jc w:val="both"/>
              <w:rPr>
                <w:rFonts w:ascii="Calibri" w:hAnsi="Calibri"/>
              </w:rPr>
            </w:pPr>
            <w:r>
              <w:rPr>
                <w:rFonts w:ascii="Calibri" w:hAnsi="Calibri"/>
              </w:rPr>
              <w:t>To increase the effectiveness and diversification of primary medical care, including the increase of the share of primary, secondary, and tertiary prevention services, early diagnosis and treatment, monitoring the chronic patient (HTA, diabetes) in the community;</w:t>
            </w:r>
          </w:p>
        </w:tc>
      </w:tr>
      <w:tr w:rsidR="000219DE" w:rsidRPr="00AC4302" w:rsidTr="00DB7106">
        <w:trPr>
          <w:trHeight w:val="80"/>
        </w:trPr>
        <w:tc>
          <w:tcPr>
            <w:tcW w:w="2324" w:type="dxa"/>
            <w:vMerge/>
            <w:shd w:val="clear" w:color="auto" w:fill="auto"/>
            <w:vAlign w:val="center"/>
          </w:tcPr>
          <w:p w:rsidR="000219DE" w:rsidRPr="00FC4945" w:rsidRDefault="000219DE" w:rsidP="00DB7106">
            <w:pPr>
              <w:shd w:val="clear" w:color="auto" w:fill="FFFFFF"/>
              <w:jc w:val="center"/>
              <w:rPr>
                <w:rFonts w:ascii="Calibri" w:hAnsi="Calibri" w:cs="Arial"/>
                <w:b/>
                <w:bCs/>
                <w:i/>
                <w:color w:val="0000FF"/>
                <w:lang w:val="ro-RO" w:eastAsia="en-GB"/>
              </w:rPr>
            </w:pPr>
          </w:p>
        </w:tc>
        <w:tc>
          <w:tcPr>
            <w:tcW w:w="7651" w:type="dxa"/>
            <w:shd w:val="clear" w:color="auto" w:fill="auto"/>
          </w:tcPr>
          <w:p w:rsidR="000219DE" w:rsidRPr="009C5DFE" w:rsidRDefault="000219DE" w:rsidP="000219DE">
            <w:pPr>
              <w:pStyle w:val="Default"/>
              <w:numPr>
                <w:ilvl w:val="0"/>
                <w:numId w:val="25"/>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ind w:left="0" w:firstLine="0"/>
              <w:jc w:val="both"/>
              <w:rPr>
                <w:rFonts w:ascii="Calibri" w:hAnsi="Calibri" w:cs="Arial"/>
                <w:color w:val="auto"/>
              </w:rPr>
            </w:pPr>
            <w:r>
              <w:rPr>
                <w:rFonts w:ascii="Calibri" w:hAnsi="Calibri"/>
                <w:color w:val="auto"/>
              </w:rPr>
              <w:t>To consolidate the quality and effectiveness of services supplied in specialty ambulatories, at the same time as decreasing the number of cases of continuous hospitalization;</w:t>
            </w:r>
          </w:p>
        </w:tc>
      </w:tr>
      <w:tr w:rsidR="000219DE" w:rsidRPr="00AC4302" w:rsidTr="00DB7106">
        <w:trPr>
          <w:trHeight w:val="80"/>
        </w:trPr>
        <w:tc>
          <w:tcPr>
            <w:tcW w:w="2324" w:type="dxa"/>
            <w:vMerge/>
            <w:shd w:val="clear" w:color="auto" w:fill="auto"/>
            <w:vAlign w:val="center"/>
          </w:tcPr>
          <w:p w:rsidR="000219DE" w:rsidRPr="00FC4945" w:rsidRDefault="000219DE" w:rsidP="00DB7106">
            <w:pPr>
              <w:shd w:val="clear" w:color="auto" w:fill="FFFFFF"/>
              <w:jc w:val="center"/>
              <w:rPr>
                <w:rFonts w:ascii="Calibri" w:hAnsi="Calibri" w:cs="Arial"/>
                <w:b/>
                <w:bCs/>
                <w:i/>
                <w:color w:val="0000FF"/>
                <w:lang w:val="ro-RO" w:eastAsia="en-GB"/>
              </w:rPr>
            </w:pPr>
          </w:p>
        </w:tc>
        <w:tc>
          <w:tcPr>
            <w:tcW w:w="7651" w:type="dxa"/>
            <w:shd w:val="clear" w:color="auto" w:fill="auto"/>
          </w:tcPr>
          <w:p w:rsidR="000219DE" w:rsidRPr="009C5DFE" w:rsidRDefault="000219DE" w:rsidP="000219DE">
            <w:pPr>
              <w:pStyle w:val="Default"/>
              <w:numPr>
                <w:ilvl w:val="0"/>
                <w:numId w:val="25"/>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ind w:left="0" w:firstLine="0"/>
              <w:jc w:val="both"/>
              <w:rPr>
                <w:rFonts w:ascii="Calibri" w:hAnsi="Calibri" w:cs="Arial"/>
                <w:color w:val="auto"/>
              </w:rPr>
            </w:pPr>
            <w:r>
              <w:rPr>
                <w:rFonts w:ascii="Calibri" w:hAnsi="Calibri"/>
                <w:color w:val="auto"/>
              </w:rPr>
              <w:t xml:space="preserve">To increase the degree of safety of the population through consolidation of the integrated emergency services and assuring accessibility to adequate emergency medical care in an equitable manner; </w:t>
            </w:r>
          </w:p>
        </w:tc>
      </w:tr>
      <w:tr w:rsidR="000219DE" w:rsidRPr="00AC4302" w:rsidTr="00DB7106">
        <w:trPr>
          <w:trHeight w:val="80"/>
        </w:trPr>
        <w:tc>
          <w:tcPr>
            <w:tcW w:w="2324" w:type="dxa"/>
            <w:vMerge/>
            <w:shd w:val="clear" w:color="auto" w:fill="auto"/>
            <w:vAlign w:val="center"/>
          </w:tcPr>
          <w:p w:rsidR="000219DE" w:rsidRPr="00FC4945" w:rsidRDefault="000219DE" w:rsidP="00DB7106">
            <w:pPr>
              <w:shd w:val="clear" w:color="auto" w:fill="FFFFFF"/>
              <w:jc w:val="center"/>
              <w:rPr>
                <w:rFonts w:ascii="Calibri" w:hAnsi="Calibri" w:cs="Arial"/>
                <w:b/>
                <w:bCs/>
                <w:i/>
                <w:color w:val="0000FF"/>
                <w:lang w:val="ro-RO" w:eastAsia="en-GB"/>
              </w:rPr>
            </w:pPr>
          </w:p>
        </w:tc>
        <w:tc>
          <w:tcPr>
            <w:tcW w:w="7651" w:type="dxa"/>
            <w:shd w:val="clear" w:color="auto" w:fill="auto"/>
          </w:tcPr>
          <w:p w:rsidR="000219DE" w:rsidRPr="009C5DFE" w:rsidRDefault="000219DE" w:rsidP="000219DE">
            <w:pPr>
              <w:pStyle w:val="Default"/>
              <w:numPr>
                <w:ilvl w:val="0"/>
                <w:numId w:val="25"/>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ind w:left="0" w:firstLine="0"/>
              <w:jc w:val="both"/>
              <w:rPr>
                <w:rFonts w:ascii="Calibri" w:hAnsi="Calibri" w:cs="Arial"/>
                <w:color w:val="auto"/>
              </w:rPr>
            </w:pPr>
            <w:r>
              <w:rPr>
                <w:rFonts w:ascii="Calibri" w:hAnsi="Calibri"/>
                <w:color w:val="auto"/>
              </w:rPr>
              <w:t xml:space="preserve">To extend the remote medicine system between the pre-hospital and hospital, as well as between the emergency units and emergency rooms, to which permanence centers can be added as well; </w:t>
            </w:r>
          </w:p>
        </w:tc>
      </w:tr>
      <w:tr w:rsidR="000219DE" w:rsidRPr="00AC4302" w:rsidTr="00DB7106">
        <w:trPr>
          <w:trHeight w:val="80"/>
        </w:trPr>
        <w:tc>
          <w:tcPr>
            <w:tcW w:w="2324" w:type="dxa"/>
            <w:vMerge/>
            <w:shd w:val="clear" w:color="auto" w:fill="auto"/>
            <w:vAlign w:val="center"/>
          </w:tcPr>
          <w:p w:rsidR="000219DE" w:rsidRPr="00FC4945" w:rsidRDefault="000219DE" w:rsidP="00DB7106">
            <w:pPr>
              <w:shd w:val="clear" w:color="auto" w:fill="FFFFFF"/>
              <w:jc w:val="center"/>
              <w:rPr>
                <w:rFonts w:ascii="Calibri" w:hAnsi="Calibri" w:cs="Arial"/>
                <w:b/>
                <w:bCs/>
                <w:i/>
                <w:color w:val="0000FF"/>
                <w:lang w:val="ro-RO" w:eastAsia="en-GB"/>
              </w:rPr>
            </w:pPr>
          </w:p>
        </w:tc>
        <w:tc>
          <w:tcPr>
            <w:tcW w:w="7651" w:type="dxa"/>
            <w:shd w:val="clear" w:color="auto" w:fill="auto"/>
          </w:tcPr>
          <w:p w:rsidR="000219DE" w:rsidRPr="009C5DFE" w:rsidRDefault="000219DE" w:rsidP="000219DE">
            <w:pPr>
              <w:pStyle w:val="Default"/>
              <w:numPr>
                <w:ilvl w:val="0"/>
                <w:numId w:val="25"/>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ind w:left="0" w:firstLine="0"/>
              <w:jc w:val="both"/>
              <w:rPr>
                <w:rFonts w:ascii="Calibri" w:hAnsi="Calibri" w:cs="Arial"/>
                <w:color w:val="auto"/>
              </w:rPr>
            </w:pPr>
            <w:r>
              <w:rPr>
                <w:rFonts w:ascii="Calibri" w:hAnsi="Calibri"/>
                <w:color w:val="auto"/>
              </w:rPr>
              <w:t xml:space="preserve">To </w:t>
            </w:r>
            <w:r w:rsidR="00F00F75">
              <w:rPr>
                <w:rFonts w:ascii="Calibri" w:hAnsi="Calibri"/>
                <w:color w:val="auto"/>
              </w:rPr>
              <w:t>regionalize</w:t>
            </w:r>
            <w:r>
              <w:rPr>
                <w:rFonts w:ascii="Calibri" w:hAnsi="Calibri"/>
                <w:color w:val="auto"/>
              </w:rPr>
              <w:t xml:space="preserve">/focus hospital medical assistance and create regional reference networks with hospitals and laboratories of different degrees of competence interconnected with the primary and outpatient care sector; </w:t>
            </w:r>
          </w:p>
        </w:tc>
      </w:tr>
      <w:tr w:rsidR="000219DE" w:rsidRPr="00AC4302" w:rsidTr="00DB7106">
        <w:trPr>
          <w:trHeight w:val="80"/>
        </w:trPr>
        <w:tc>
          <w:tcPr>
            <w:tcW w:w="2324" w:type="dxa"/>
            <w:vMerge/>
            <w:shd w:val="clear" w:color="auto" w:fill="auto"/>
            <w:vAlign w:val="center"/>
          </w:tcPr>
          <w:p w:rsidR="000219DE" w:rsidRPr="00FC4945" w:rsidRDefault="000219DE" w:rsidP="00DB7106">
            <w:pPr>
              <w:shd w:val="clear" w:color="auto" w:fill="FFFFFF"/>
              <w:jc w:val="center"/>
              <w:rPr>
                <w:rFonts w:ascii="Calibri" w:hAnsi="Calibri" w:cs="Arial"/>
                <w:b/>
                <w:bCs/>
                <w:i/>
                <w:color w:val="0000FF"/>
                <w:lang w:val="ro-RO" w:eastAsia="en-GB"/>
              </w:rPr>
            </w:pPr>
          </w:p>
        </w:tc>
        <w:tc>
          <w:tcPr>
            <w:tcW w:w="7651" w:type="dxa"/>
            <w:shd w:val="clear" w:color="auto" w:fill="auto"/>
          </w:tcPr>
          <w:p w:rsidR="000219DE" w:rsidRPr="00FC4945" w:rsidRDefault="000219DE" w:rsidP="000219DE">
            <w:pPr>
              <w:pStyle w:val="Default"/>
              <w:numPr>
                <w:ilvl w:val="0"/>
                <w:numId w:val="25"/>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ind w:left="0" w:firstLine="0"/>
              <w:jc w:val="both"/>
              <w:rPr>
                <w:rFonts w:ascii="Calibri" w:hAnsi="Calibri"/>
              </w:rPr>
            </w:pPr>
            <w:r>
              <w:rPr>
                <w:rFonts w:ascii="Calibri" w:hAnsi="Calibri"/>
              </w:rPr>
              <w:t>To place in the center of the hospital network the regional emergency hospitals with high degrees of performance, to which zonal hospitals are added, supplemented by the rest of emergency county hospitals and those from Bucharest, as well as specialty institutes;</w:t>
            </w:r>
          </w:p>
        </w:tc>
      </w:tr>
      <w:tr w:rsidR="000219DE" w:rsidRPr="00AC4302" w:rsidTr="00DB7106">
        <w:trPr>
          <w:trHeight w:val="80"/>
        </w:trPr>
        <w:tc>
          <w:tcPr>
            <w:tcW w:w="2324" w:type="dxa"/>
            <w:vMerge/>
            <w:shd w:val="clear" w:color="auto" w:fill="auto"/>
            <w:vAlign w:val="center"/>
          </w:tcPr>
          <w:p w:rsidR="000219DE" w:rsidRPr="00FC4945" w:rsidRDefault="000219DE" w:rsidP="00DB7106">
            <w:pPr>
              <w:shd w:val="clear" w:color="auto" w:fill="FFFFFF"/>
              <w:jc w:val="center"/>
              <w:rPr>
                <w:rFonts w:ascii="Calibri" w:hAnsi="Calibri" w:cs="Arial"/>
                <w:b/>
                <w:bCs/>
                <w:i/>
                <w:color w:val="0000FF"/>
                <w:lang w:val="ro-RO" w:eastAsia="en-GB"/>
              </w:rPr>
            </w:pPr>
          </w:p>
        </w:tc>
        <w:tc>
          <w:tcPr>
            <w:tcW w:w="7651" w:type="dxa"/>
            <w:shd w:val="clear" w:color="auto" w:fill="auto"/>
          </w:tcPr>
          <w:p w:rsidR="000219DE" w:rsidRPr="00BE7BCF" w:rsidRDefault="000219DE" w:rsidP="000219DE">
            <w:pPr>
              <w:pStyle w:val="Default"/>
              <w:numPr>
                <w:ilvl w:val="0"/>
                <w:numId w:val="25"/>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ind w:left="0" w:firstLine="0"/>
              <w:jc w:val="both"/>
              <w:rPr>
                <w:rFonts w:ascii="Calibri" w:hAnsi="Calibri"/>
              </w:rPr>
            </w:pPr>
            <w:r>
              <w:rPr>
                <w:rFonts w:ascii="Calibri" w:hAnsi="Calibri"/>
              </w:rPr>
              <w:t>To improve selected medical services, through rehabilitation/creation and supply of medical equipment and other type of equipment for operating rooms, intensive care units, units for the burnt, radiotherapy units, emergency and diagnosis services (medical imaging);</w:t>
            </w:r>
          </w:p>
        </w:tc>
      </w:tr>
      <w:tr w:rsidR="000219DE" w:rsidRPr="00AC4302" w:rsidTr="00DB7106">
        <w:trPr>
          <w:trHeight w:val="80"/>
        </w:trPr>
        <w:tc>
          <w:tcPr>
            <w:tcW w:w="2324" w:type="dxa"/>
            <w:vMerge/>
            <w:shd w:val="clear" w:color="auto" w:fill="auto"/>
            <w:vAlign w:val="center"/>
          </w:tcPr>
          <w:p w:rsidR="000219DE" w:rsidRPr="00FC4945" w:rsidRDefault="000219DE" w:rsidP="00DB7106">
            <w:pPr>
              <w:shd w:val="clear" w:color="auto" w:fill="FFFFFF"/>
              <w:jc w:val="center"/>
              <w:rPr>
                <w:rFonts w:ascii="Calibri" w:hAnsi="Calibri" w:cs="Arial"/>
                <w:b/>
                <w:bCs/>
                <w:i/>
                <w:color w:val="0000FF"/>
                <w:lang w:val="ro-RO" w:eastAsia="en-GB"/>
              </w:rPr>
            </w:pPr>
          </w:p>
        </w:tc>
        <w:tc>
          <w:tcPr>
            <w:tcW w:w="7651" w:type="dxa"/>
            <w:shd w:val="clear" w:color="auto" w:fill="auto"/>
          </w:tcPr>
          <w:p w:rsidR="000219DE" w:rsidRDefault="000219DE" w:rsidP="000219DE">
            <w:pPr>
              <w:pStyle w:val="Default"/>
              <w:numPr>
                <w:ilvl w:val="0"/>
                <w:numId w:val="25"/>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ind w:left="0" w:firstLine="0"/>
              <w:jc w:val="both"/>
              <w:rPr>
                <w:rFonts w:ascii="Calibri" w:hAnsi="Calibri" w:cs="Arial"/>
                <w:color w:val="auto"/>
              </w:rPr>
            </w:pPr>
            <w:r>
              <w:rPr>
                <w:rFonts w:ascii="Calibri" w:hAnsi="Calibri"/>
                <w:color w:val="auto"/>
              </w:rPr>
              <w:t xml:space="preserve">To increase access to services of rehabilitation, palliation and long-term care.  </w:t>
            </w:r>
          </w:p>
          <w:p w:rsidR="000219DE" w:rsidRPr="009C5DFE" w:rsidRDefault="000219DE" w:rsidP="00DB7106">
            <w:pPr>
              <w:pStyle w:val="Default"/>
              <w:tabs>
                <w:tab w:val="left" w:pos="454"/>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jc w:val="both"/>
              <w:rPr>
                <w:rFonts w:ascii="Calibri" w:hAnsi="Calibri" w:cs="Arial"/>
                <w:color w:val="auto"/>
                <w:lang w:val="ro-RO"/>
              </w:rPr>
            </w:pPr>
          </w:p>
        </w:tc>
      </w:tr>
      <w:tr w:rsidR="000219DE" w:rsidRPr="00FC4945" w:rsidTr="00DB7106">
        <w:trPr>
          <w:trHeight w:val="80"/>
        </w:trPr>
        <w:tc>
          <w:tcPr>
            <w:tcW w:w="9975" w:type="dxa"/>
            <w:gridSpan w:val="2"/>
            <w:shd w:val="clear" w:color="auto" w:fill="auto"/>
            <w:vAlign w:val="center"/>
          </w:tcPr>
          <w:p w:rsidR="000219DE" w:rsidRDefault="000219DE" w:rsidP="00DB7106">
            <w:pPr>
              <w:pStyle w:val="Default"/>
              <w:tabs>
                <w:tab w:val="left" w:pos="72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ind w:left="737"/>
              <w:jc w:val="both"/>
              <w:rPr>
                <w:rFonts w:ascii="Calibri" w:hAnsi="Calibri"/>
                <w:b/>
                <w:bCs/>
                <w:lang w:val="ro-RO"/>
              </w:rPr>
            </w:pPr>
          </w:p>
          <w:p w:rsidR="000219DE" w:rsidRPr="00FC4945" w:rsidRDefault="000219DE" w:rsidP="00DB7106">
            <w:pPr>
              <w:pStyle w:val="Default"/>
              <w:tabs>
                <w:tab w:val="left" w:pos="72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ind w:left="737"/>
              <w:jc w:val="both"/>
              <w:rPr>
                <w:rFonts w:ascii="Calibri" w:hAnsi="Calibri"/>
                <w:b/>
                <w:bCs/>
                <w:i/>
              </w:rPr>
            </w:pPr>
            <w:r>
              <w:rPr>
                <w:rFonts w:ascii="Calibri" w:hAnsi="Calibri"/>
                <w:b/>
                <w:bCs/>
              </w:rPr>
              <w:t xml:space="preserve">C. TRANSVERSAL MEASURES </w:t>
            </w:r>
          </w:p>
        </w:tc>
      </w:tr>
      <w:tr w:rsidR="000219DE" w:rsidRPr="00AC4302" w:rsidTr="00DB7106">
        <w:trPr>
          <w:trHeight w:val="80"/>
        </w:trPr>
        <w:tc>
          <w:tcPr>
            <w:tcW w:w="9975" w:type="dxa"/>
            <w:gridSpan w:val="2"/>
            <w:shd w:val="clear" w:color="auto" w:fill="auto"/>
            <w:vAlign w:val="center"/>
          </w:tcPr>
          <w:p w:rsidR="000219DE" w:rsidRPr="009C5DFE" w:rsidRDefault="000219DE" w:rsidP="000219DE">
            <w:pPr>
              <w:numPr>
                <w:ilvl w:val="0"/>
                <w:numId w:val="26"/>
              </w:numPr>
              <w:tabs>
                <w:tab w:val="left" w:pos="993"/>
              </w:tabs>
              <w:ind w:left="0" w:firstLine="709"/>
              <w:jc w:val="both"/>
              <w:rPr>
                <w:rFonts w:ascii="Calibri" w:hAnsi="Calibri" w:cs="Arial"/>
              </w:rPr>
            </w:pPr>
            <w:r>
              <w:rPr>
                <w:rFonts w:ascii="Calibri" w:hAnsi="Calibri"/>
              </w:rPr>
              <w:t xml:space="preserve"> Consolidating the capacity for previsioning of medical services offered to the population through the development by the Ministry of Health of information systems of analysis for the system’s strategic fields (human resources, infrastructure, financial resources);</w:t>
            </w:r>
          </w:p>
          <w:p w:rsidR="000219DE" w:rsidRPr="009C5DFE" w:rsidRDefault="000219DE" w:rsidP="000219DE">
            <w:pPr>
              <w:numPr>
                <w:ilvl w:val="0"/>
                <w:numId w:val="26"/>
              </w:numPr>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ind w:left="0" w:firstLine="709"/>
              <w:jc w:val="both"/>
              <w:rPr>
                <w:rFonts w:ascii="Calibri" w:hAnsi="Calibri" w:cs="Arial"/>
              </w:rPr>
            </w:pPr>
            <w:r>
              <w:rPr>
                <w:rFonts w:ascii="Calibri" w:hAnsi="Calibri"/>
              </w:rPr>
              <w:t>Strengthening the administrative capacity at national, regional, and local level;</w:t>
            </w:r>
            <w:r>
              <w:rPr>
                <w:rFonts w:ascii="Calibri" w:hAnsi="Calibri"/>
              </w:rPr>
              <w:tab/>
            </w:r>
          </w:p>
          <w:p w:rsidR="000219DE" w:rsidRPr="009C5DFE" w:rsidRDefault="000219DE" w:rsidP="000219DE">
            <w:pPr>
              <w:numPr>
                <w:ilvl w:val="0"/>
                <w:numId w:val="26"/>
              </w:numPr>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ind w:left="0" w:firstLine="709"/>
              <w:jc w:val="both"/>
              <w:rPr>
                <w:rFonts w:ascii="Calibri" w:hAnsi="Calibri" w:cs="Arial"/>
              </w:rPr>
            </w:pPr>
            <w:r>
              <w:rPr>
                <w:rFonts w:ascii="Calibri" w:hAnsi="Calibri"/>
              </w:rPr>
              <w:t xml:space="preserve">Implementing a sustainable policy of assurance of human resources in the health field; </w:t>
            </w:r>
          </w:p>
          <w:p w:rsidR="000219DE" w:rsidRPr="009C5DFE" w:rsidRDefault="000219DE" w:rsidP="000219DE">
            <w:pPr>
              <w:numPr>
                <w:ilvl w:val="0"/>
                <w:numId w:val="26"/>
              </w:numPr>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ind w:left="0" w:firstLine="709"/>
              <w:jc w:val="both"/>
              <w:rPr>
                <w:rFonts w:ascii="Calibri" w:hAnsi="Calibri" w:cs="Arial"/>
              </w:rPr>
            </w:pPr>
            <w:r>
              <w:rPr>
                <w:rFonts w:ascii="Calibri" w:hAnsi="Calibri"/>
              </w:rPr>
              <w:t>Implementing a sustainable policy of ensuring the financial resources in the health field, ensuring cost control and financial protection for the population;</w:t>
            </w:r>
            <w:r>
              <w:rPr>
                <w:rFonts w:ascii="Calibri" w:hAnsi="Calibri"/>
              </w:rPr>
              <w:tab/>
            </w:r>
          </w:p>
          <w:p w:rsidR="000219DE" w:rsidRPr="009C5DFE" w:rsidRDefault="000219DE" w:rsidP="000219DE">
            <w:pPr>
              <w:numPr>
                <w:ilvl w:val="0"/>
                <w:numId w:val="26"/>
              </w:numPr>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ind w:left="0" w:firstLine="709"/>
              <w:jc w:val="both"/>
              <w:rPr>
                <w:rFonts w:ascii="Calibri" w:hAnsi="Calibri" w:cs="Arial"/>
              </w:rPr>
            </w:pPr>
            <w:r>
              <w:rPr>
                <w:rFonts w:ascii="Calibri" w:hAnsi="Calibri"/>
              </w:rPr>
              <w:t>Implementing strategic measures for preventing fraud and corruption in the administration and services of the health system;</w:t>
            </w:r>
            <w:r>
              <w:rPr>
                <w:rFonts w:ascii="Calibri" w:hAnsi="Calibri"/>
              </w:rPr>
              <w:tab/>
            </w:r>
          </w:p>
          <w:p w:rsidR="000219DE" w:rsidRPr="009C5DFE" w:rsidRDefault="000219DE" w:rsidP="000219DE">
            <w:pPr>
              <w:numPr>
                <w:ilvl w:val="0"/>
                <w:numId w:val="26"/>
              </w:numPr>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ind w:left="0" w:firstLine="709"/>
              <w:jc w:val="both"/>
              <w:rPr>
                <w:rFonts w:ascii="Calibri" w:hAnsi="Calibri" w:cs="Arial"/>
              </w:rPr>
            </w:pPr>
            <w:r>
              <w:rPr>
                <w:rFonts w:ascii="Calibri" w:hAnsi="Calibri"/>
              </w:rPr>
              <w:t>Development and implementation of a medicine policy which would ensure equitable and sustainable access to evidence based medication for the population;</w:t>
            </w:r>
            <w:r>
              <w:rPr>
                <w:rFonts w:ascii="Calibri" w:hAnsi="Calibri"/>
              </w:rPr>
              <w:tab/>
            </w:r>
          </w:p>
          <w:p w:rsidR="000219DE" w:rsidRPr="009C5DFE" w:rsidRDefault="000219DE" w:rsidP="000219DE">
            <w:pPr>
              <w:numPr>
                <w:ilvl w:val="0"/>
                <w:numId w:val="26"/>
              </w:numPr>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ind w:left="0" w:firstLine="709"/>
              <w:jc w:val="both"/>
              <w:rPr>
                <w:rFonts w:ascii="Calibri" w:hAnsi="Calibri" w:cs="Arial"/>
              </w:rPr>
            </w:pPr>
            <w:r>
              <w:rPr>
                <w:rFonts w:ascii="Calibri" w:hAnsi="Calibri"/>
              </w:rPr>
              <w:t>Promoting health research and innovation;</w:t>
            </w:r>
          </w:p>
          <w:p w:rsidR="000219DE" w:rsidRPr="009C5DFE" w:rsidRDefault="000219DE" w:rsidP="000219DE">
            <w:pPr>
              <w:numPr>
                <w:ilvl w:val="0"/>
                <w:numId w:val="26"/>
              </w:numPr>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ind w:left="0" w:firstLine="709"/>
              <w:jc w:val="both"/>
              <w:rPr>
                <w:rFonts w:ascii="Calibri" w:hAnsi="Calibri" w:cs="Arial"/>
              </w:rPr>
            </w:pPr>
            <w:r>
              <w:rPr>
                <w:rFonts w:ascii="Calibri" w:hAnsi="Calibri"/>
              </w:rPr>
              <w:t>Inter-sector collaboration for an improved health of the population, especially of vulnerable groups;</w:t>
            </w:r>
            <w:r>
              <w:rPr>
                <w:rFonts w:ascii="Calibri" w:hAnsi="Calibri"/>
              </w:rPr>
              <w:tab/>
            </w:r>
          </w:p>
          <w:p w:rsidR="000219DE" w:rsidRPr="009C5DFE" w:rsidRDefault="000219DE" w:rsidP="000219DE">
            <w:pPr>
              <w:numPr>
                <w:ilvl w:val="0"/>
                <w:numId w:val="26"/>
              </w:numPr>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ind w:left="0" w:firstLine="709"/>
              <w:jc w:val="both"/>
              <w:rPr>
                <w:rFonts w:ascii="Calibri" w:hAnsi="Calibri" w:cs="Arial"/>
              </w:rPr>
            </w:pPr>
            <w:r>
              <w:rPr>
                <w:rFonts w:ascii="Calibri" w:hAnsi="Calibri"/>
              </w:rPr>
              <w:t>Making more efficient the health system through accelerating the use of modern information technology and communications (e-health);</w:t>
            </w:r>
            <w:r>
              <w:rPr>
                <w:rFonts w:ascii="Calibri" w:hAnsi="Calibri"/>
              </w:rPr>
              <w:tab/>
            </w:r>
          </w:p>
          <w:p w:rsidR="000219DE" w:rsidRPr="009C5DFE" w:rsidRDefault="000219DE" w:rsidP="000219DE">
            <w:pPr>
              <w:numPr>
                <w:ilvl w:val="0"/>
                <w:numId w:val="26"/>
              </w:numPr>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ind w:left="0" w:firstLine="709"/>
              <w:jc w:val="both"/>
              <w:rPr>
                <w:rFonts w:ascii="Calibri" w:hAnsi="Calibri" w:cs="Arial"/>
              </w:rPr>
            </w:pPr>
            <w:r>
              <w:rPr>
                <w:rFonts w:ascii="Calibri" w:hAnsi="Calibri"/>
              </w:rPr>
              <w:t>Developing the adequate infrastructure at national, regional, and local level, in order to reduce inequity in access to health services.</w:t>
            </w:r>
          </w:p>
          <w:p w:rsidR="000219DE" w:rsidRPr="009C5DFE" w:rsidRDefault="000219DE" w:rsidP="00DB7106">
            <w:pPr>
              <w:tabs>
                <w:tab w:val="left" w:pos="720"/>
              </w:tabs>
              <w:autoSpaceDE w:val="0"/>
              <w:autoSpaceDN w:val="0"/>
              <w:adjustRightInd w:val="0"/>
              <w:jc w:val="both"/>
              <w:rPr>
                <w:rFonts w:ascii="Calibri" w:hAnsi="Calibri" w:cs="Arial"/>
                <w:lang w:val="ro-RO"/>
              </w:rPr>
            </w:pPr>
          </w:p>
        </w:tc>
      </w:tr>
      <w:tr w:rsidR="000219DE" w:rsidRPr="00AC4302" w:rsidTr="00DB7106">
        <w:trPr>
          <w:trHeight w:val="80"/>
        </w:trPr>
        <w:tc>
          <w:tcPr>
            <w:tcW w:w="2324" w:type="dxa"/>
            <w:vMerge w:val="restart"/>
            <w:shd w:val="clear" w:color="auto" w:fill="auto"/>
            <w:vAlign w:val="center"/>
          </w:tcPr>
          <w:p w:rsidR="000219DE" w:rsidRPr="00FC4945" w:rsidRDefault="000219DE" w:rsidP="00DB7106">
            <w:pPr>
              <w:pStyle w:val="Default"/>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hAnsi="Calibri"/>
                <w:color w:val="000080"/>
              </w:rPr>
            </w:pPr>
            <w:r>
              <w:rPr>
                <w:rFonts w:ascii="Calibri" w:hAnsi="Calibri"/>
                <w:color w:val="000080"/>
              </w:rPr>
              <w:t>Expected results:</w:t>
            </w:r>
          </w:p>
          <w:p w:rsidR="000219DE" w:rsidRPr="00FC4945" w:rsidRDefault="000219DE" w:rsidP="00DB7106">
            <w:pPr>
              <w:pStyle w:val="Default"/>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hAnsi="Calibri"/>
                <w:i/>
                <w:iCs/>
                <w:color w:val="000080"/>
              </w:rPr>
            </w:pPr>
            <w:r>
              <w:rPr>
                <w:rFonts w:ascii="Calibri" w:hAnsi="Calibri"/>
                <w:i/>
                <w:iCs/>
                <w:color w:val="000080"/>
              </w:rPr>
              <w:t>Following the implementation of these policies, the health system in Romania will have the following minimum characteristics on medium and long term:</w:t>
            </w:r>
          </w:p>
          <w:p w:rsidR="000219DE" w:rsidRPr="00FC4945" w:rsidRDefault="000219DE" w:rsidP="00DB7106">
            <w:pPr>
              <w:shd w:val="clear" w:color="auto" w:fill="FFFFFF"/>
              <w:jc w:val="center"/>
              <w:rPr>
                <w:rFonts w:ascii="Calibri" w:hAnsi="Calibri" w:cs="Arial"/>
                <w:iCs/>
                <w:color w:val="0000FF"/>
                <w:lang w:val="ro-RO" w:eastAsia="en-GB"/>
              </w:rPr>
            </w:pPr>
          </w:p>
        </w:tc>
        <w:tc>
          <w:tcPr>
            <w:tcW w:w="7651" w:type="dxa"/>
            <w:shd w:val="clear" w:color="auto" w:fill="auto"/>
          </w:tcPr>
          <w:p w:rsidR="000219DE" w:rsidRPr="00FC4945" w:rsidRDefault="000219DE" w:rsidP="000219DE">
            <w:pPr>
              <w:pStyle w:val="Default"/>
              <w:numPr>
                <w:ilvl w:val="0"/>
                <w:numId w:val="27"/>
              </w:numPr>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ind w:left="0" w:firstLine="709"/>
              <w:jc w:val="both"/>
              <w:rPr>
                <w:rFonts w:ascii="Calibri" w:hAnsi="Calibri"/>
              </w:rPr>
            </w:pPr>
            <w:r>
              <w:rPr>
                <w:rFonts w:ascii="Calibri" w:hAnsi="Calibri"/>
              </w:rPr>
              <w:t>supplies on a permanent basis safe and efficient health services and the patient receives the medical services he/she needs, at all levels of medical assistance (primary, secondary, tertiary);</w:t>
            </w:r>
          </w:p>
        </w:tc>
      </w:tr>
      <w:tr w:rsidR="000219DE" w:rsidRPr="00AC4302" w:rsidTr="00DB7106">
        <w:trPr>
          <w:trHeight w:val="80"/>
        </w:trPr>
        <w:tc>
          <w:tcPr>
            <w:tcW w:w="2324" w:type="dxa"/>
            <w:vMerge/>
            <w:shd w:val="clear" w:color="auto" w:fill="auto"/>
            <w:vAlign w:val="center"/>
          </w:tcPr>
          <w:p w:rsidR="000219DE" w:rsidRPr="00FC4945" w:rsidRDefault="000219DE" w:rsidP="00DB7106">
            <w:pPr>
              <w:shd w:val="clear" w:color="auto" w:fill="FFFFFF"/>
              <w:jc w:val="center"/>
              <w:rPr>
                <w:rFonts w:ascii="Calibri" w:hAnsi="Calibri" w:cs="Arial"/>
                <w:b/>
                <w:bCs/>
                <w:i/>
                <w:color w:val="0000FF"/>
                <w:lang w:val="ro-RO" w:eastAsia="en-GB"/>
              </w:rPr>
            </w:pPr>
          </w:p>
        </w:tc>
        <w:tc>
          <w:tcPr>
            <w:tcW w:w="7651" w:type="dxa"/>
            <w:shd w:val="clear" w:color="auto" w:fill="auto"/>
          </w:tcPr>
          <w:p w:rsidR="000219DE" w:rsidRPr="00FC4945" w:rsidRDefault="000219DE" w:rsidP="000219DE">
            <w:pPr>
              <w:pStyle w:val="Default"/>
              <w:numPr>
                <w:ilvl w:val="0"/>
                <w:numId w:val="27"/>
              </w:numPr>
              <w:tabs>
                <w:tab w:val="left" w:pos="36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ind w:left="0" w:firstLine="709"/>
              <w:jc w:val="both"/>
              <w:rPr>
                <w:rFonts w:ascii="Calibri" w:hAnsi="Calibri"/>
              </w:rPr>
            </w:pPr>
            <w:r>
              <w:rPr>
                <w:rFonts w:ascii="Calibri" w:hAnsi="Calibri"/>
              </w:rPr>
              <w:t>the public policies, from those of allocation of resources at national level, to those related to the methods of diagnosis and treatment, will be based on the best existing scientific and technological knowledge;</w:t>
            </w:r>
          </w:p>
        </w:tc>
      </w:tr>
      <w:tr w:rsidR="000219DE" w:rsidRPr="00EE1211" w:rsidTr="00DB7106">
        <w:trPr>
          <w:trHeight w:val="80"/>
        </w:trPr>
        <w:tc>
          <w:tcPr>
            <w:tcW w:w="2324" w:type="dxa"/>
            <w:vMerge/>
            <w:shd w:val="clear" w:color="auto" w:fill="auto"/>
            <w:vAlign w:val="center"/>
          </w:tcPr>
          <w:p w:rsidR="000219DE" w:rsidRPr="00FC4945" w:rsidRDefault="000219DE" w:rsidP="00DB7106">
            <w:pPr>
              <w:shd w:val="clear" w:color="auto" w:fill="FFFFFF"/>
              <w:jc w:val="center"/>
              <w:rPr>
                <w:rFonts w:ascii="Calibri" w:hAnsi="Calibri" w:cs="Arial"/>
                <w:b/>
                <w:bCs/>
                <w:i/>
                <w:color w:val="0000FF"/>
                <w:lang w:val="ro-RO" w:eastAsia="en-GB"/>
              </w:rPr>
            </w:pPr>
          </w:p>
        </w:tc>
        <w:tc>
          <w:tcPr>
            <w:tcW w:w="7651" w:type="dxa"/>
            <w:shd w:val="clear" w:color="auto" w:fill="auto"/>
          </w:tcPr>
          <w:p w:rsidR="000219DE" w:rsidRPr="00EE1211" w:rsidRDefault="000219DE" w:rsidP="000219DE">
            <w:pPr>
              <w:pStyle w:val="Default"/>
              <w:numPr>
                <w:ilvl w:val="0"/>
                <w:numId w:val="27"/>
              </w:numPr>
              <w:tabs>
                <w:tab w:val="left" w:pos="36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ind w:left="0" w:firstLine="709"/>
              <w:jc w:val="both"/>
              <w:rPr>
                <w:rFonts w:ascii="Calibri" w:hAnsi="Calibri" w:cs="Arial"/>
              </w:rPr>
            </w:pPr>
            <w:r>
              <w:rPr>
                <w:rFonts w:ascii="Calibri" w:hAnsi="Calibri"/>
              </w:rPr>
              <w:t>ensuring medical service quality;</w:t>
            </w:r>
          </w:p>
        </w:tc>
      </w:tr>
      <w:tr w:rsidR="000219DE" w:rsidRPr="00AC4302" w:rsidTr="00DB7106">
        <w:trPr>
          <w:trHeight w:val="80"/>
        </w:trPr>
        <w:tc>
          <w:tcPr>
            <w:tcW w:w="2324" w:type="dxa"/>
            <w:vMerge/>
            <w:shd w:val="clear" w:color="auto" w:fill="auto"/>
            <w:vAlign w:val="center"/>
          </w:tcPr>
          <w:p w:rsidR="000219DE" w:rsidRPr="00FC4945" w:rsidRDefault="000219DE" w:rsidP="00DB7106">
            <w:pPr>
              <w:shd w:val="clear" w:color="auto" w:fill="FFFFFF"/>
              <w:jc w:val="center"/>
              <w:rPr>
                <w:rFonts w:ascii="Calibri" w:hAnsi="Calibri" w:cs="Arial"/>
                <w:b/>
                <w:bCs/>
                <w:i/>
                <w:color w:val="0000FF"/>
                <w:lang w:val="ro-RO" w:eastAsia="en-GB"/>
              </w:rPr>
            </w:pPr>
          </w:p>
        </w:tc>
        <w:tc>
          <w:tcPr>
            <w:tcW w:w="7651" w:type="dxa"/>
            <w:shd w:val="clear" w:color="auto" w:fill="auto"/>
          </w:tcPr>
          <w:p w:rsidR="000219DE" w:rsidRPr="00FC4945" w:rsidRDefault="000219DE" w:rsidP="000219DE">
            <w:pPr>
              <w:pStyle w:val="Default"/>
              <w:numPr>
                <w:ilvl w:val="0"/>
                <w:numId w:val="27"/>
              </w:numPr>
              <w:tabs>
                <w:tab w:val="left" w:pos="36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ind w:left="0" w:firstLine="709"/>
              <w:jc w:val="both"/>
              <w:rPr>
                <w:rFonts w:ascii="Calibri" w:hAnsi="Calibri"/>
              </w:rPr>
            </w:pPr>
            <w:r>
              <w:rPr>
                <w:rFonts w:ascii="Calibri" w:hAnsi="Calibri"/>
              </w:rPr>
              <w:t>reducing risks and ensuring patient safety will be supported through the informational systems and procedures proposed and through the quality monitoring system, which will aid with the recognition, prevention, and reduction of errors;</w:t>
            </w:r>
          </w:p>
        </w:tc>
      </w:tr>
      <w:tr w:rsidR="000219DE" w:rsidRPr="00AC4302" w:rsidTr="00DB7106">
        <w:trPr>
          <w:trHeight w:val="80"/>
        </w:trPr>
        <w:tc>
          <w:tcPr>
            <w:tcW w:w="2324" w:type="dxa"/>
            <w:vMerge/>
            <w:shd w:val="clear" w:color="auto" w:fill="auto"/>
            <w:vAlign w:val="center"/>
          </w:tcPr>
          <w:p w:rsidR="000219DE" w:rsidRPr="00FC4945" w:rsidRDefault="000219DE" w:rsidP="00DB7106">
            <w:pPr>
              <w:shd w:val="clear" w:color="auto" w:fill="FFFFFF"/>
              <w:jc w:val="center"/>
              <w:rPr>
                <w:rFonts w:ascii="Calibri" w:hAnsi="Calibri" w:cs="Arial"/>
                <w:b/>
                <w:bCs/>
                <w:i/>
                <w:color w:val="0000FF"/>
                <w:lang w:val="ro-RO" w:eastAsia="en-GB"/>
              </w:rPr>
            </w:pPr>
          </w:p>
        </w:tc>
        <w:tc>
          <w:tcPr>
            <w:tcW w:w="7651" w:type="dxa"/>
            <w:shd w:val="clear" w:color="auto" w:fill="auto"/>
          </w:tcPr>
          <w:p w:rsidR="000219DE" w:rsidRPr="007E591A" w:rsidRDefault="000219DE" w:rsidP="000219DE">
            <w:pPr>
              <w:pStyle w:val="Default"/>
              <w:numPr>
                <w:ilvl w:val="0"/>
                <w:numId w:val="27"/>
              </w:numPr>
              <w:tabs>
                <w:tab w:val="left" w:pos="36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ind w:left="0" w:firstLine="709"/>
              <w:jc w:val="both"/>
              <w:rPr>
                <w:rFonts w:ascii="Calibri" w:hAnsi="Calibri"/>
              </w:rPr>
            </w:pPr>
            <w:r>
              <w:rPr>
                <w:rFonts w:ascii="Calibri" w:hAnsi="Calibri"/>
              </w:rPr>
              <w:t>the system’s optimization will be focused on facilitating inter-sector cooperation, which is essential for the approach of health determinants with high impact on health.</w:t>
            </w:r>
          </w:p>
          <w:p w:rsidR="000219DE" w:rsidRPr="00FC4945" w:rsidRDefault="000219DE" w:rsidP="00DB7106">
            <w:pPr>
              <w:pStyle w:val="Default"/>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jc w:val="both"/>
              <w:rPr>
                <w:rFonts w:ascii="Calibri" w:hAnsi="Calibri"/>
                <w:lang w:val="ro-RO"/>
              </w:rPr>
            </w:pPr>
          </w:p>
        </w:tc>
      </w:tr>
      <w:tr w:rsidR="000219DE" w:rsidRPr="00EE1211" w:rsidTr="00DB7106">
        <w:trPr>
          <w:trHeight w:val="80"/>
        </w:trPr>
        <w:tc>
          <w:tcPr>
            <w:tcW w:w="9975" w:type="dxa"/>
            <w:gridSpan w:val="2"/>
            <w:shd w:val="clear" w:color="auto" w:fill="auto"/>
            <w:vAlign w:val="center"/>
          </w:tcPr>
          <w:p w:rsidR="000219DE" w:rsidRPr="003964D3" w:rsidRDefault="000219DE" w:rsidP="00DB7106">
            <w:pPr>
              <w:tabs>
                <w:tab w:val="left" w:pos="36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hAnsi="Calibri" w:cs="Arial"/>
              </w:rPr>
            </w:pPr>
            <w:r>
              <w:rPr>
                <w:rFonts w:ascii="Calibri" w:hAnsi="Calibri"/>
              </w:rPr>
              <w:t>The following measures are absolutely necessary for the implementation of the subsequent objectives and measures and for assurance of the operation under quality conditions of the sanitary system:</w:t>
            </w:r>
          </w:p>
          <w:p w:rsidR="000219DE" w:rsidRPr="003E3428" w:rsidRDefault="000219DE" w:rsidP="000219DE">
            <w:pPr>
              <w:numPr>
                <w:ilvl w:val="1"/>
                <w:numId w:val="30"/>
              </w:numPr>
              <w:tabs>
                <w:tab w:val="clear" w:pos="1440"/>
                <w:tab w:val="left" w:pos="360"/>
                <w:tab w:val="num" w:pos="741"/>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hAnsi="Calibri" w:cs="Arial"/>
                <w:i/>
              </w:rPr>
            </w:pPr>
            <w:r>
              <w:rPr>
                <w:rFonts w:ascii="Calibri" w:hAnsi="Calibri"/>
                <w:i/>
              </w:rPr>
              <w:t>gradual increase of allocated resources;</w:t>
            </w:r>
          </w:p>
          <w:p w:rsidR="000219DE" w:rsidRPr="003E3428" w:rsidRDefault="000219DE" w:rsidP="000219DE">
            <w:pPr>
              <w:numPr>
                <w:ilvl w:val="1"/>
                <w:numId w:val="30"/>
              </w:numPr>
              <w:tabs>
                <w:tab w:val="clear" w:pos="1440"/>
                <w:tab w:val="left" w:pos="360"/>
                <w:tab w:val="num" w:pos="741"/>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hAnsi="Calibri" w:cs="Arial"/>
                <w:i/>
              </w:rPr>
            </w:pPr>
            <w:r>
              <w:rPr>
                <w:rFonts w:ascii="Calibri" w:hAnsi="Calibri"/>
                <w:i/>
              </w:rPr>
              <w:t>increasing financing for emergency medical care;</w:t>
            </w:r>
          </w:p>
          <w:p w:rsidR="000219DE" w:rsidRPr="003E3428" w:rsidRDefault="000219DE" w:rsidP="000219DE">
            <w:pPr>
              <w:numPr>
                <w:ilvl w:val="1"/>
                <w:numId w:val="30"/>
              </w:numPr>
              <w:tabs>
                <w:tab w:val="clear" w:pos="1440"/>
                <w:tab w:val="left" w:pos="360"/>
                <w:tab w:val="num" w:pos="741"/>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hAnsi="Calibri" w:cs="Arial"/>
                <w:i/>
              </w:rPr>
            </w:pPr>
            <w:r>
              <w:rPr>
                <w:rFonts w:ascii="Calibri" w:hAnsi="Calibri"/>
                <w:i/>
              </w:rPr>
              <w:t>financial support for health programs;</w:t>
            </w:r>
          </w:p>
          <w:p w:rsidR="000219DE" w:rsidRPr="003E3428" w:rsidRDefault="000219DE" w:rsidP="000219DE">
            <w:pPr>
              <w:numPr>
                <w:ilvl w:val="1"/>
                <w:numId w:val="30"/>
              </w:numPr>
              <w:tabs>
                <w:tab w:val="clear" w:pos="1440"/>
                <w:tab w:val="left" w:pos="360"/>
                <w:tab w:val="num" w:pos="741"/>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hAnsi="Calibri" w:cs="Arial"/>
                <w:i/>
              </w:rPr>
            </w:pPr>
            <w:r>
              <w:rPr>
                <w:rFonts w:ascii="Calibri" w:hAnsi="Calibri"/>
                <w:i/>
              </w:rPr>
              <w:t>financing the rehabilitation, consolidation of certain public medical units;</w:t>
            </w:r>
          </w:p>
          <w:p w:rsidR="000219DE" w:rsidRPr="003E3428" w:rsidRDefault="000219DE" w:rsidP="000219DE">
            <w:pPr>
              <w:numPr>
                <w:ilvl w:val="1"/>
                <w:numId w:val="30"/>
              </w:numPr>
              <w:tabs>
                <w:tab w:val="clear" w:pos="1440"/>
                <w:tab w:val="left" w:pos="360"/>
                <w:tab w:val="num" w:pos="741"/>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hAnsi="Calibri" w:cs="Arial"/>
                <w:i/>
              </w:rPr>
            </w:pPr>
            <w:r>
              <w:rPr>
                <w:rFonts w:ascii="Calibri" w:hAnsi="Calibri"/>
                <w:i/>
              </w:rPr>
              <w:t>financing the construction of new hospitals;</w:t>
            </w:r>
          </w:p>
          <w:p w:rsidR="000219DE" w:rsidRPr="003E3428" w:rsidRDefault="000219DE" w:rsidP="000219DE">
            <w:pPr>
              <w:numPr>
                <w:ilvl w:val="1"/>
                <w:numId w:val="30"/>
              </w:numPr>
              <w:tabs>
                <w:tab w:val="clear" w:pos="1440"/>
                <w:tab w:val="left" w:pos="360"/>
                <w:tab w:val="num" w:pos="741"/>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hAnsi="Calibri" w:cs="Arial"/>
                <w:i/>
              </w:rPr>
            </w:pPr>
            <w:r>
              <w:rPr>
                <w:rFonts w:ascii="Calibri" w:hAnsi="Calibri"/>
                <w:i/>
              </w:rPr>
              <w:t>financing the purchase and equipment of sanitary units with medical equipment, medical devices and sanitary transport means;</w:t>
            </w:r>
          </w:p>
          <w:p w:rsidR="000219DE" w:rsidRDefault="000219DE" w:rsidP="000219DE">
            <w:pPr>
              <w:numPr>
                <w:ilvl w:val="1"/>
                <w:numId w:val="30"/>
              </w:numPr>
              <w:tabs>
                <w:tab w:val="clear" w:pos="1440"/>
                <w:tab w:val="left" w:pos="360"/>
                <w:tab w:val="num" w:pos="741"/>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hAnsi="Calibri" w:cs="Arial"/>
                <w:i/>
              </w:rPr>
            </w:pPr>
            <w:r>
              <w:rPr>
                <w:rFonts w:ascii="Calibri" w:hAnsi="Calibri"/>
                <w:i/>
              </w:rPr>
              <w:t>giving financial support for improving the infrastructure and equipping public hospitals from the network of the local public administration authorities.</w:t>
            </w:r>
          </w:p>
          <w:p w:rsidR="000219DE" w:rsidRPr="00A6203F" w:rsidRDefault="000219DE" w:rsidP="00DB7106">
            <w:pPr>
              <w:tabs>
                <w:tab w:val="left" w:pos="36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ind w:left="1440"/>
              <w:jc w:val="both"/>
              <w:rPr>
                <w:rFonts w:ascii="Calibri" w:hAnsi="Calibri" w:cs="Arial"/>
                <w:i/>
                <w:lang w:val="ro-RO"/>
              </w:rPr>
            </w:pPr>
          </w:p>
        </w:tc>
      </w:tr>
      <w:tr w:rsidR="000219DE" w:rsidRPr="00AC4302" w:rsidTr="00DB7106">
        <w:trPr>
          <w:trHeight w:val="80"/>
        </w:trPr>
        <w:tc>
          <w:tcPr>
            <w:tcW w:w="9975" w:type="dxa"/>
            <w:gridSpan w:val="2"/>
            <w:shd w:val="clear" w:color="auto" w:fill="auto"/>
            <w:vAlign w:val="center"/>
          </w:tcPr>
          <w:p w:rsidR="000219DE" w:rsidRDefault="000219DE" w:rsidP="00DB7106">
            <w:pPr>
              <w:tabs>
                <w:tab w:val="left" w:pos="36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hAnsi="Calibri" w:cs="Arial"/>
                <w:b/>
                <w:bCs/>
              </w:rPr>
            </w:pPr>
            <w:r>
              <w:rPr>
                <w:rFonts w:ascii="Arial" w:hAnsi="Arial"/>
                <w:b/>
                <w:bCs/>
              </w:rPr>
              <w:tab/>
            </w:r>
            <w:r>
              <w:rPr>
                <w:rFonts w:ascii="Calibri" w:hAnsi="Calibri"/>
                <w:i/>
                <w:iCs/>
                <w:color w:val="000080"/>
              </w:rPr>
              <w:t>Policy in the field of public investments</w:t>
            </w:r>
          </w:p>
          <w:p w:rsidR="000219DE" w:rsidRPr="00C71A9D" w:rsidRDefault="000219DE" w:rsidP="00DB7106">
            <w:pPr>
              <w:tabs>
                <w:tab w:val="left" w:pos="36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hAnsi="Calibri" w:cs="Arial"/>
                <w:b/>
                <w:bCs/>
                <w:lang w:val="ro-RO"/>
              </w:rPr>
            </w:pPr>
          </w:p>
          <w:p w:rsidR="000219DE" w:rsidRPr="00C71A9D" w:rsidRDefault="000219DE" w:rsidP="00DB7106">
            <w:pPr>
              <w:ind w:firstLine="708"/>
              <w:jc w:val="both"/>
              <w:rPr>
                <w:rFonts w:ascii="Calibri" w:hAnsi="Calibri" w:cs="Arial"/>
              </w:rPr>
            </w:pPr>
            <w:r>
              <w:rPr>
                <w:rFonts w:ascii="Calibri" w:hAnsi="Calibri"/>
                <w:b/>
              </w:rPr>
              <w:t>The investment program of the Ministry of Health</w:t>
            </w:r>
            <w:r>
              <w:rPr>
                <w:rFonts w:ascii="Calibri" w:hAnsi="Calibri"/>
              </w:rPr>
              <w:t xml:space="preserve"> is defined in the medium term fiscal and budgetary strategy for 2017-2020 of the Ministry of Health, through two main investment projects, where a series of sub-projects are found:</w:t>
            </w:r>
          </w:p>
          <w:p w:rsidR="000219DE" w:rsidRPr="00C71A9D" w:rsidRDefault="000219DE" w:rsidP="00DB7106">
            <w:pPr>
              <w:ind w:firstLine="708"/>
              <w:jc w:val="both"/>
              <w:rPr>
                <w:rFonts w:ascii="Calibri" w:hAnsi="Calibri" w:cs="Arial"/>
                <w:lang w:val="ro-RO"/>
              </w:rPr>
            </w:pPr>
          </w:p>
          <w:p w:rsidR="000219DE" w:rsidRDefault="000219DE" w:rsidP="000219DE">
            <w:pPr>
              <w:numPr>
                <w:ilvl w:val="0"/>
                <w:numId w:val="31"/>
              </w:numPr>
              <w:jc w:val="both"/>
              <w:rPr>
                <w:rFonts w:ascii="Calibri" w:hAnsi="Calibri" w:cs="Arial"/>
              </w:rPr>
            </w:pPr>
            <w:r>
              <w:rPr>
                <w:rFonts w:ascii="Calibri" w:hAnsi="Calibri"/>
              </w:rPr>
              <w:t xml:space="preserve">Project </w:t>
            </w:r>
            <w:r>
              <w:rPr>
                <w:rFonts w:ascii="Calibri" w:hAnsi="Calibri"/>
                <w:b/>
              </w:rPr>
              <w:t>1.</w:t>
            </w:r>
            <w:r>
              <w:rPr>
                <w:rFonts w:ascii="Calibri" w:hAnsi="Calibri"/>
              </w:rPr>
              <w:t xml:space="preserve"> </w:t>
            </w:r>
            <w:r>
              <w:rPr>
                <w:rFonts w:ascii="Calibri" w:hAnsi="Calibri"/>
                <w:b/>
              </w:rPr>
              <w:t xml:space="preserve"> </w:t>
            </w:r>
            <w:r>
              <w:rPr>
                <w:rFonts w:ascii="Calibri" w:hAnsi="Calibri"/>
                <w:b/>
                <w:u w:val="single"/>
              </w:rPr>
              <w:t>Financing the development and modernization of the medical infrastructure</w:t>
            </w:r>
            <w:r>
              <w:rPr>
                <w:rFonts w:ascii="Calibri" w:hAnsi="Calibri"/>
              </w:rPr>
              <w:t>, with the sub-projects:</w:t>
            </w:r>
          </w:p>
          <w:p w:rsidR="000219DE" w:rsidRDefault="000219DE" w:rsidP="00DB7106">
            <w:pPr>
              <w:ind w:left="1428"/>
              <w:jc w:val="both"/>
              <w:rPr>
                <w:rFonts w:ascii="Calibri" w:hAnsi="Calibri" w:cs="Arial"/>
                <w:lang w:val="ro-RO"/>
              </w:rPr>
            </w:pPr>
          </w:p>
          <w:p w:rsidR="000219DE" w:rsidRDefault="000219DE" w:rsidP="00DB7106">
            <w:pPr>
              <w:ind w:left="1428"/>
              <w:jc w:val="both"/>
              <w:rPr>
                <w:rFonts w:ascii="Calibri" w:hAnsi="Calibri" w:cs="Arial"/>
              </w:rPr>
            </w:pPr>
            <w:r>
              <w:rPr>
                <w:rFonts w:ascii="Calibri" w:hAnsi="Calibri"/>
              </w:rPr>
              <w:t>a) Completion of the investment objectives started in previous years;</w:t>
            </w:r>
          </w:p>
          <w:p w:rsidR="000219DE" w:rsidRDefault="000219DE" w:rsidP="00DB7106">
            <w:pPr>
              <w:ind w:left="1428"/>
              <w:jc w:val="both"/>
              <w:rPr>
                <w:rFonts w:ascii="Calibri" w:hAnsi="Calibri" w:cs="Arial"/>
              </w:rPr>
            </w:pPr>
            <w:r>
              <w:rPr>
                <w:rFonts w:ascii="Calibri" w:hAnsi="Calibri"/>
              </w:rPr>
              <w:t>b) Continuance of the consolidation program (and other intervention works) of the buildings of medical units;</w:t>
            </w:r>
          </w:p>
          <w:p w:rsidR="000219DE" w:rsidRPr="00C71A9D" w:rsidRDefault="000219DE" w:rsidP="00DB7106">
            <w:pPr>
              <w:ind w:left="1428"/>
              <w:jc w:val="both"/>
              <w:rPr>
                <w:rFonts w:ascii="Calibri" w:hAnsi="Calibri" w:cs="Arial"/>
              </w:rPr>
            </w:pPr>
            <w:r>
              <w:rPr>
                <w:rFonts w:ascii="Calibri" w:hAnsi="Calibri"/>
              </w:rPr>
              <w:t>c) Rehabilitation of the infrastructure of medical units through performance of capital repair works;</w:t>
            </w:r>
          </w:p>
          <w:p w:rsidR="000219DE" w:rsidRPr="00C71A9D" w:rsidRDefault="000219DE" w:rsidP="00DB7106">
            <w:pPr>
              <w:ind w:left="1428"/>
              <w:jc w:val="both"/>
              <w:rPr>
                <w:rFonts w:ascii="Calibri" w:hAnsi="Calibri" w:cs="Arial"/>
              </w:rPr>
            </w:pPr>
            <w:r>
              <w:rPr>
                <w:rFonts w:ascii="Calibri" w:hAnsi="Calibri"/>
              </w:rPr>
              <w:t>d) Construction of Regional Emergency Hospitals, including through the Operational Regional Program;</w:t>
            </w:r>
          </w:p>
          <w:p w:rsidR="000219DE" w:rsidRPr="00C71A9D" w:rsidRDefault="000219DE" w:rsidP="00DB7106">
            <w:pPr>
              <w:ind w:left="1428"/>
              <w:jc w:val="both"/>
              <w:rPr>
                <w:rFonts w:ascii="Calibri" w:hAnsi="Calibri" w:cs="Arial"/>
              </w:rPr>
            </w:pPr>
            <w:r>
              <w:rPr>
                <w:rFonts w:ascii="Calibri" w:hAnsi="Calibri"/>
              </w:rPr>
              <w:t>e) Rehabilitation/modernization/extension: county hospitals - at least 15; specialty ambulatories - at least 150, ER - at least 25, Medical and social integrated community centers;</w:t>
            </w:r>
          </w:p>
          <w:p w:rsidR="000219DE" w:rsidRPr="00C71A9D" w:rsidRDefault="000219DE" w:rsidP="00DB7106">
            <w:pPr>
              <w:ind w:left="1428"/>
              <w:jc w:val="both"/>
              <w:rPr>
                <w:rFonts w:ascii="Calibri" w:hAnsi="Calibri" w:cs="Arial"/>
              </w:rPr>
            </w:pPr>
            <w:r>
              <w:rPr>
                <w:rFonts w:ascii="Calibri" w:hAnsi="Calibri"/>
              </w:rPr>
              <w:t>Integrated medical and social community centers to benefit over 270,000 people.</w:t>
            </w:r>
          </w:p>
          <w:p w:rsidR="000219DE" w:rsidRPr="00C71A9D" w:rsidRDefault="000219DE" w:rsidP="00DB7106">
            <w:pPr>
              <w:tabs>
                <w:tab w:val="left" w:pos="6804"/>
              </w:tabs>
              <w:jc w:val="both"/>
              <w:rPr>
                <w:rFonts w:ascii="Calibri" w:hAnsi="Calibri" w:cs="Arial"/>
              </w:rPr>
            </w:pPr>
            <w:r>
              <w:rPr>
                <w:rFonts w:ascii="Calibri" w:hAnsi="Calibri"/>
              </w:rPr>
              <w:tab/>
            </w:r>
          </w:p>
          <w:p w:rsidR="000219DE" w:rsidRPr="00C71A9D" w:rsidRDefault="000219DE" w:rsidP="00DB7106">
            <w:pPr>
              <w:ind w:firstLine="708"/>
              <w:jc w:val="both"/>
              <w:rPr>
                <w:rFonts w:ascii="Calibri" w:hAnsi="Calibri" w:cs="Arial"/>
              </w:rPr>
            </w:pPr>
            <w:r>
              <w:rPr>
                <w:rFonts w:ascii="Calibri" w:hAnsi="Calibri"/>
              </w:rPr>
              <w:t>Investments in hospital infrastructure will be aligned to the functions and roles played by the different sections of the hospital system in Romania, based on the revision of the network of strategic hospitals made by the Ministry of Health.</w:t>
            </w:r>
          </w:p>
          <w:p w:rsidR="000219DE" w:rsidRDefault="000219DE" w:rsidP="00DB7106">
            <w:pPr>
              <w:rPr>
                <w:rFonts w:ascii="Calibri" w:hAnsi="Calibri"/>
                <w:lang w:val="ro-RO"/>
              </w:rPr>
            </w:pPr>
          </w:p>
        </w:tc>
      </w:tr>
      <w:tr w:rsidR="000219DE" w:rsidRPr="00AC4302" w:rsidTr="00DB7106">
        <w:trPr>
          <w:trHeight w:val="80"/>
        </w:trPr>
        <w:tc>
          <w:tcPr>
            <w:tcW w:w="9975" w:type="dxa"/>
            <w:gridSpan w:val="2"/>
            <w:shd w:val="clear" w:color="auto" w:fill="auto"/>
            <w:vAlign w:val="center"/>
          </w:tcPr>
          <w:p w:rsidR="000219DE" w:rsidRPr="004859F1" w:rsidRDefault="000219DE" w:rsidP="000219DE">
            <w:pPr>
              <w:numPr>
                <w:ilvl w:val="0"/>
                <w:numId w:val="31"/>
              </w:numPr>
              <w:ind w:left="0" w:firstLine="1068"/>
              <w:jc w:val="both"/>
              <w:rPr>
                <w:rFonts w:ascii="Calibri" w:hAnsi="Calibri" w:cs="Arial"/>
              </w:rPr>
            </w:pPr>
            <w:r>
              <w:rPr>
                <w:rFonts w:ascii="Calibri" w:hAnsi="Calibri"/>
              </w:rPr>
              <w:t xml:space="preserve">Project </w:t>
            </w:r>
            <w:r>
              <w:rPr>
                <w:rFonts w:ascii="Calibri" w:hAnsi="Calibri"/>
                <w:b/>
              </w:rPr>
              <w:t xml:space="preserve">2. </w:t>
            </w:r>
            <w:r>
              <w:rPr>
                <w:rFonts w:ascii="Calibri" w:hAnsi="Calibri"/>
                <w:b/>
                <w:u w:val="single"/>
              </w:rPr>
              <w:t>Equipping the medical units with medical devices, specific medical equipment and means of transport (ambulances, etc.)</w:t>
            </w:r>
            <w:r>
              <w:rPr>
                <w:rFonts w:ascii="Calibri" w:hAnsi="Calibri"/>
                <w:b/>
              </w:rPr>
              <w:t>,</w:t>
            </w:r>
            <w:r>
              <w:rPr>
                <w:rFonts w:ascii="Calibri" w:hAnsi="Calibri"/>
              </w:rPr>
              <w:t xml:space="preserve"> with the sub-projects:</w:t>
            </w:r>
          </w:p>
          <w:p w:rsidR="000219DE" w:rsidRPr="004859F1" w:rsidRDefault="000219DE" w:rsidP="00DB7106">
            <w:pPr>
              <w:ind w:firstLine="708"/>
              <w:jc w:val="both"/>
              <w:rPr>
                <w:rFonts w:ascii="Calibri" w:hAnsi="Calibri" w:cs="Arial"/>
                <w:lang w:val="ro-RO"/>
              </w:rPr>
            </w:pPr>
          </w:p>
          <w:p w:rsidR="000219DE" w:rsidRPr="004859F1" w:rsidRDefault="000219DE" w:rsidP="000219DE">
            <w:pPr>
              <w:numPr>
                <w:ilvl w:val="0"/>
                <w:numId w:val="32"/>
              </w:numPr>
              <w:jc w:val="both"/>
              <w:rPr>
                <w:rFonts w:ascii="Calibri" w:hAnsi="Calibri" w:cs="Arial"/>
              </w:rPr>
            </w:pPr>
            <w:r>
              <w:rPr>
                <w:rFonts w:ascii="Calibri" w:hAnsi="Calibri"/>
              </w:rPr>
              <w:t>Equipping public hospitals with medical devices/equipment;</w:t>
            </w:r>
          </w:p>
          <w:p w:rsidR="000219DE" w:rsidRPr="004859F1" w:rsidRDefault="000219DE" w:rsidP="000219DE">
            <w:pPr>
              <w:numPr>
                <w:ilvl w:val="0"/>
                <w:numId w:val="32"/>
              </w:numPr>
              <w:jc w:val="both"/>
              <w:rPr>
                <w:rFonts w:ascii="Calibri" w:hAnsi="Calibri" w:cs="Arial"/>
              </w:rPr>
            </w:pPr>
            <w:r>
              <w:rPr>
                <w:rFonts w:ascii="Calibri" w:hAnsi="Calibri"/>
              </w:rPr>
              <w:t>Equipping with specific medical means of transport (ambulances, helicopters, etc.);</w:t>
            </w:r>
          </w:p>
          <w:p w:rsidR="000219DE" w:rsidRDefault="000219DE" w:rsidP="000219DE">
            <w:pPr>
              <w:numPr>
                <w:ilvl w:val="0"/>
                <w:numId w:val="32"/>
              </w:numPr>
              <w:jc w:val="both"/>
              <w:rPr>
                <w:rFonts w:ascii="Calibri" w:hAnsi="Calibri" w:cs="Arial"/>
              </w:rPr>
            </w:pPr>
            <w:r>
              <w:rPr>
                <w:rFonts w:ascii="Calibri" w:hAnsi="Calibri"/>
              </w:rPr>
              <w:t>Equipping the cabinets of family physicians;</w:t>
            </w:r>
          </w:p>
          <w:p w:rsidR="000219DE" w:rsidRPr="004859F1" w:rsidRDefault="000219DE" w:rsidP="000219DE">
            <w:pPr>
              <w:numPr>
                <w:ilvl w:val="0"/>
                <w:numId w:val="32"/>
              </w:numPr>
              <w:jc w:val="both"/>
              <w:rPr>
                <w:rFonts w:ascii="Calibri" w:hAnsi="Calibri" w:cs="Arial"/>
              </w:rPr>
            </w:pPr>
            <w:r>
              <w:rPr>
                <w:rFonts w:ascii="Calibri" w:hAnsi="Calibri"/>
              </w:rPr>
              <w:t>Development of regional or national remote-medicine centers according to specialty.</w:t>
            </w:r>
          </w:p>
          <w:p w:rsidR="000219DE" w:rsidRPr="004859F1" w:rsidRDefault="000219DE" w:rsidP="00DB7106">
            <w:pPr>
              <w:ind w:firstLine="708"/>
              <w:jc w:val="both"/>
              <w:rPr>
                <w:rFonts w:ascii="Calibri" w:hAnsi="Calibri" w:cs="Arial"/>
                <w:lang w:val="ro-RO"/>
              </w:rPr>
            </w:pPr>
          </w:p>
          <w:p w:rsidR="000219DE" w:rsidRPr="004859F1" w:rsidRDefault="000219DE" w:rsidP="00DB7106">
            <w:pPr>
              <w:ind w:firstLine="708"/>
              <w:jc w:val="both"/>
              <w:rPr>
                <w:rFonts w:ascii="Calibri" w:hAnsi="Calibri" w:cs="Arial"/>
              </w:rPr>
            </w:pPr>
            <w:r>
              <w:rPr>
                <w:rFonts w:ascii="Calibri" w:hAnsi="Calibri"/>
              </w:rPr>
              <w:t>The performance of these two main projects and of their corresponding sub-projects has the purpose of ensuring performing medical services for the population, which would cover its needs and be comparable with those currently offered by the providers of services of the same type from the Member States of the European Union.</w:t>
            </w:r>
          </w:p>
          <w:p w:rsidR="000219DE" w:rsidRPr="004859F1" w:rsidRDefault="000219DE" w:rsidP="00DB7106">
            <w:pPr>
              <w:ind w:firstLine="708"/>
              <w:jc w:val="both"/>
              <w:rPr>
                <w:rFonts w:ascii="Calibri" w:hAnsi="Calibri" w:cs="Arial"/>
              </w:rPr>
            </w:pPr>
            <w:r>
              <w:rPr>
                <w:rFonts w:ascii="Calibri" w:hAnsi="Calibri"/>
              </w:rPr>
              <w:t xml:space="preserve">Through the investment program presented as appendix to the budget of the Ministry of Health are mainly financed expenditures of the type of investments in the medical units from the medical network of the Ministry of Health. As a result of decentralization, by passing 370 hospitals to local authorities, a significant component in the financing of investment expenditures is represented by transfers from the budget of the Ministry of Health to the budgets of the local public administration authorities to finance investment expenditures in the hospitals from their medical network, which can receive such funds in accordance with the provisions of art. 198 para. (1), (2), and (3) in Law no. 95/2006 on the reform in the health field, republished as subsequently amended and supplemented, but which are not mentioned in the investment program attached to the budget of the Ministry of Health. </w:t>
            </w:r>
          </w:p>
          <w:p w:rsidR="000219DE" w:rsidRPr="004859F1" w:rsidRDefault="000219DE" w:rsidP="00DB7106">
            <w:pPr>
              <w:ind w:firstLine="708"/>
              <w:jc w:val="both"/>
              <w:rPr>
                <w:rFonts w:ascii="Calibri" w:hAnsi="Calibri" w:cs="Arial"/>
              </w:rPr>
            </w:pPr>
            <w:r>
              <w:rPr>
                <w:rFonts w:ascii="Calibri" w:hAnsi="Calibri"/>
              </w:rPr>
              <w:t>The Ministry of Health intends to introduce certain transparent and objective criteria to prioritize public investments financed from its budget, and shall make an active monitoring of the mechanisms of implementation thereof.</w:t>
            </w:r>
          </w:p>
          <w:p w:rsidR="000219DE" w:rsidRDefault="000219DE" w:rsidP="00DB7106">
            <w:pPr>
              <w:tabs>
                <w:tab w:val="left" w:pos="36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b/>
                <w:bCs/>
                <w:lang w:val="ro-RO"/>
              </w:rPr>
            </w:pPr>
          </w:p>
        </w:tc>
      </w:tr>
    </w:tbl>
    <w:p w:rsidR="002E4765" w:rsidRDefault="002E4765" w:rsidP="002E4765">
      <w:pPr>
        <w:keepLines/>
        <w:widowControl w:val="0"/>
        <w:shd w:val="clear" w:color="auto" w:fill="FFFFFF" w:themeFill="background1"/>
        <w:jc w:val="both"/>
        <w:rPr>
          <w:rFonts w:ascii="Calibri" w:hAnsi="Calibri" w:cs="Calibri"/>
          <w:b/>
          <w:color w:val="002060"/>
          <w:lang w:val="ro-RO"/>
        </w:rPr>
      </w:pPr>
    </w:p>
    <w:p w:rsidR="00A37269" w:rsidRPr="00C86702" w:rsidRDefault="00A37269" w:rsidP="00A37269">
      <w:pPr>
        <w:keepLines/>
        <w:widowControl w:val="0"/>
        <w:shd w:val="clear" w:color="auto" w:fill="99CCFF"/>
        <w:jc w:val="both"/>
        <w:rPr>
          <w:rFonts w:ascii="Calibri" w:hAnsi="Calibri" w:cs="Calibri"/>
          <w:b/>
          <w:color w:val="002060"/>
        </w:rPr>
      </w:pPr>
      <w:r>
        <w:rPr>
          <w:b/>
          <w:color w:val="002060"/>
        </w:rPr>
        <w:t>Policy in the field of regional development and public administration</w:t>
      </w:r>
    </w:p>
    <w:p w:rsidR="00413333" w:rsidRPr="00413333" w:rsidRDefault="00413333" w:rsidP="00413333">
      <w:pPr>
        <w:spacing w:before="120"/>
        <w:jc w:val="both"/>
        <w:rPr>
          <w:rFonts w:ascii="Calibri" w:eastAsia="Calibri" w:hAnsi="Calibri" w:cs="Calibri"/>
        </w:rPr>
      </w:pPr>
      <w:r>
        <w:rPr>
          <w:rFonts w:ascii="Calibri" w:hAnsi="Calibri"/>
        </w:rPr>
        <w:t>The Ministry of Regional Development and Public Administration (MRDPA), together with the line ministries, carries out the government policy in the following fields: regional development, territorial cohesion and development, cross-border, cross-nation and interregional cooperation, discipline in constructions, territory arrangement, urbanism and architecture, arrangement of the marine area, urban mobility, living, housing, residential buildings, thermal rehabilitation of buildings, real estate and urban management and development, public works, constructions, decentralization, administrative-territorial reform and reorganization, fiscality and local public finance, development of community services of public utilities, State aid approved by the local public administration authorities, industrial parks, programming, coordination, monitoring, and control of the use of non-reimbursable financial assistance given to Romania by the European Union for the programs in its fields of activity.</w:t>
      </w:r>
    </w:p>
    <w:p w:rsidR="00413333" w:rsidRPr="00413333" w:rsidRDefault="00413333" w:rsidP="00413333">
      <w:pPr>
        <w:spacing w:before="120"/>
        <w:jc w:val="both"/>
        <w:rPr>
          <w:rFonts w:ascii="Calibri" w:eastAsia="Calibri" w:hAnsi="Calibri" w:cs="Calibri"/>
        </w:rPr>
      </w:pPr>
      <w:r>
        <w:rPr>
          <w:rFonts w:ascii="Calibri" w:hAnsi="Calibri"/>
          <w:b/>
        </w:rPr>
        <w:t>Policy in the field of regional development and public administration:</w:t>
      </w:r>
    </w:p>
    <w:p w:rsidR="00413333" w:rsidRPr="00413333" w:rsidRDefault="00413333" w:rsidP="00021698">
      <w:pPr>
        <w:numPr>
          <w:ilvl w:val="0"/>
          <w:numId w:val="131"/>
        </w:numPr>
        <w:spacing w:after="160" w:line="259" w:lineRule="auto"/>
        <w:ind w:left="0"/>
        <w:jc w:val="both"/>
        <w:rPr>
          <w:rFonts w:ascii="Calibri" w:eastAsia="Calibri" w:hAnsi="Calibri" w:cs="Calibri"/>
        </w:rPr>
      </w:pPr>
      <w:r>
        <w:rPr>
          <w:rFonts w:ascii="Calibri" w:hAnsi="Calibri"/>
        </w:rPr>
        <w:t xml:space="preserve">Regional development (Territorial Development and Cooperation, Public Works, </w:t>
      </w:r>
      <w:r w:rsidR="00F00F75">
        <w:rPr>
          <w:rFonts w:ascii="Calibri" w:hAnsi="Calibri"/>
        </w:rPr>
        <w:t>Cadaster</w:t>
      </w:r>
      <w:r>
        <w:rPr>
          <w:rFonts w:ascii="Calibri" w:hAnsi="Calibri"/>
        </w:rPr>
        <w:t xml:space="preserve"> and Land Registration);</w:t>
      </w:r>
    </w:p>
    <w:p w:rsidR="00413333" w:rsidRPr="00413333" w:rsidRDefault="00413333" w:rsidP="00021698">
      <w:pPr>
        <w:numPr>
          <w:ilvl w:val="0"/>
          <w:numId w:val="131"/>
        </w:numPr>
        <w:spacing w:after="160" w:line="259" w:lineRule="auto"/>
        <w:ind w:left="0"/>
        <w:jc w:val="both"/>
        <w:rPr>
          <w:rFonts w:ascii="Calibri" w:eastAsia="Calibri" w:hAnsi="Calibri" w:cs="Calibri"/>
        </w:rPr>
      </w:pPr>
      <w:r>
        <w:rPr>
          <w:rFonts w:ascii="Calibri" w:hAnsi="Calibri"/>
        </w:rPr>
        <w:t>Public Administration;</w:t>
      </w:r>
    </w:p>
    <w:p w:rsidR="00413333" w:rsidRPr="00413333" w:rsidRDefault="00413333" w:rsidP="00021698">
      <w:pPr>
        <w:numPr>
          <w:ilvl w:val="0"/>
          <w:numId w:val="131"/>
        </w:numPr>
        <w:spacing w:after="160" w:line="259" w:lineRule="auto"/>
        <w:ind w:left="0"/>
        <w:jc w:val="both"/>
        <w:rPr>
          <w:rFonts w:ascii="Calibri" w:eastAsia="Calibri" w:hAnsi="Calibri" w:cs="Calibri"/>
        </w:rPr>
      </w:pPr>
      <w:r>
        <w:rPr>
          <w:rFonts w:ascii="Calibri" w:hAnsi="Calibri"/>
        </w:rPr>
        <w:t>European Funds for the programs in its fields of activity;</w:t>
      </w:r>
    </w:p>
    <w:p w:rsidR="00413333" w:rsidRPr="00413333" w:rsidRDefault="00413333" w:rsidP="00021698">
      <w:pPr>
        <w:numPr>
          <w:ilvl w:val="0"/>
          <w:numId w:val="131"/>
        </w:numPr>
        <w:spacing w:after="160" w:line="259" w:lineRule="auto"/>
        <w:ind w:left="0"/>
        <w:jc w:val="both"/>
        <w:rPr>
          <w:rFonts w:ascii="Calibri" w:eastAsia="Calibri" w:hAnsi="Calibri" w:cs="Calibri"/>
        </w:rPr>
      </w:pPr>
      <w:r>
        <w:rPr>
          <w:rFonts w:ascii="Calibri" w:hAnsi="Calibri"/>
        </w:rPr>
        <w:t>Performing management.</w:t>
      </w:r>
    </w:p>
    <w:p w:rsidR="00413333" w:rsidRPr="00413333" w:rsidRDefault="00413333" w:rsidP="00413333">
      <w:pPr>
        <w:spacing w:before="120"/>
        <w:jc w:val="both"/>
        <w:rPr>
          <w:rFonts w:ascii="Calibri" w:eastAsia="Calibri" w:hAnsi="Calibri" w:cs="Calibri"/>
          <w:u w:val="single"/>
        </w:rPr>
      </w:pPr>
      <w:r>
        <w:rPr>
          <w:rFonts w:ascii="Calibri" w:hAnsi="Calibri"/>
          <w:b/>
          <w:u w:val="single"/>
        </w:rPr>
        <w:t xml:space="preserve">Strategic priorities: </w:t>
      </w:r>
    </w:p>
    <w:p w:rsidR="00413333" w:rsidRPr="00413333" w:rsidRDefault="00413333" w:rsidP="00413333">
      <w:pPr>
        <w:jc w:val="both"/>
        <w:rPr>
          <w:rFonts w:ascii="Calibri" w:eastAsia="Calibri" w:hAnsi="Calibri" w:cs="Calibri"/>
        </w:rPr>
      </w:pPr>
      <w:r>
        <w:rPr>
          <w:rFonts w:ascii="Calibri" w:hAnsi="Calibri"/>
        </w:rPr>
        <w:t>The strategic priorities of the MRDPA are the following:</w:t>
      </w:r>
    </w:p>
    <w:p w:rsidR="00413333" w:rsidRPr="00413333" w:rsidRDefault="00413333" w:rsidP="00021698">
      <w:pPr>
        <w:numPr>
          <w:ilvl w:val="0"/>
          <w:numId w:val="133"/>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Economic and social cohesion at national level, through balanced and sustainable regional development of the territory and capitalization on the potential of European territorial cooperation;</w:t>
      </w:r>
    </w:p>
    <w:p w:rsidR="00413333" w:rsidRPr="00413333" w:rsidRDefault="00413333" w:rsidP="00021698">
      <w:pPr>
        <w:numPr>
          <w:ilvl w:val="0"/>
          <w:numId w:val="133"/>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 xml:space="preserve">Efficient public administration; </w:t>
      </w:r>
    </w:p>
    <w:p w:rsidR="00413333" w:rsidRPr="00413333" w:rsidRDefault="00413333" w:rsidP="00021698">
      <w:pPr>
        <w:numPr>
          <w:ilvl w:val="0"/>
          <w:numId w:val="133"/>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Increasing the degree of absorption of non-reimbursable funds;</w:t>
      </w:r>
    </w:p>
    <w:p w:rsidR="00413333" w:rsidRPr="00413333" w:rsidRDefault="00413333" w:rsidP="00021698">
      <w:pPr>
        <w:numPr>
          <w:ilvl w:val="0"/>
          <w:numId w:val="133"/>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 xml:space="preserve">Strengthening the administrative capacity of the MRDPA (the organizational management component and the legislative component). </w:t>
      </w:r>
    </w:p>
    <w:p w:rsidR="00413333" w:rsidRPr="00413333" w:rsidRDefault="00413333" w:rsidP="00413333">
      <w:pPr>
        <w:spacing w:before="120"/>
        <w:jc w:val="both"/>
        <w:rPr>
          <w:rFonts w:ascii="Calibri" w:eastAsia="Calibri" w:hAnsi="Calibri" w:cs="Calibri"/>
        </w:rPr>
      </w:pPr>
      <w:r>
        <w:rPr>
          <w:rFonts w:ascii="Calibri" w:hAnsi="Calibri"/>
          <w:b/>
        </w:rPr>
        <w:t>Lines of action, targets and objectives proposed, measures of implementation of the objectives, programs, and projects considered for 2019-2021:</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8"/>
        <w:gridCol w:w="8188"/>
      </w:tblGrid>
      <w:tr w:rsidR="00413333" w:rsidRPr="00CE1614" w:rsidTr="003C772A">
        <w:trPr>
          <w:jc w:val="center"/>
        </w:trPr>
        <w:tc>
          <w:tcPr>
            <w:tcW w:w="1588" w:type="dxa"/>
            <w:vAlign w:val="center"/>
          </w:tcPr>
          <w:p w:rsidR="00413333" w:rsidRPr="00CE1614" w:rsidRDefault="00413333" w:rsidP="00413333">
            <w:pPr>
              <w:spacing w:before="120"/>
              <w:jc w:val="center"/>
              <w:rPr>
                <w:rFonts w:ascii="Calibri" w:eastAsia="Calibri" w:hAnsi="Calibri" w:cs="Calibri"/>
              </w:rPr>
            </w:pPr>
            <w:bookmarkStart w:id="2" w:name="gjdgxs"/>
            <w:bookmarkEnd w:id="2"/>
            <w:r>
              <w:rPr>
                <w:rFonts w:ascii="Calibri" w:hAnsi="Calibri"/>
              </w:rPr>
              <w:t>Line of action</w:t>
            </w:r>
          </w:p>
        </w:tc>
        <w:tc>
          <w:tcPr>
            <w:tcW w:w="8188" w:type="dxa"/>
          </w:tcPr>
          <w:p w:rsidR="00413333" w:rsidRPr="00CE1614" w:rsidRDefault="00413333" w:rsidP="00413333">
            <w:pPr>
              <w:spacing w:before="120"/>
              <w:jc w:val="both"/>
              <w:rPr>
                <w:rFonts w:ascii="Calibri" w:eastAsia="Calibri" w:hAnsi="Calibri" w:cs="Calibri"/>
              </w:rPr>
            </w:pPr>
            <w:r>
              <w:rPr>
                <w:rFonts w:ascii="Calibri" w:hAnsi="Calibri"/>
                <w:b/>
              </w:rPr>
              <w:t xml:space="preserve">Regional development (Territorial Development and Cooperation, Public Works, </w:t>
            </w:r>
            <w:r w:rsidR="00F00F75">
              <w:rPr>
                <w:rFonts w:ascii="Calibri" w:hAnsi="Calibri"/>
                <w:b/>
              </w:rPr>
              <w:t>Cadaster</w:t>
            </w:r>
            <w:r>
              <w:rPr>
                <w:rFonts w:ascii="Calibri" w:hAnsi="Calibri"/>
                <w:b/>
              </w:rPr>
              <w:t xml:space="preserve"> and Land Registration)</w:t>
            </w:r>
          </w:p>
          <w:p w:rsidR="00413333" w:rsidRPr="00CE1614" w:rsidRDefault="00413333" w:rsidP="00413333">
            <w:pPr>
              <w:spacing w:before="120"/>
              <w:jc w:val="both"/>
              <w:rPr>
                <w:rFonts w:ascii="Calibri" w:eastAsia="Calibri" w:hAnsi="Calibri" w:cs="Calibri"/>
                <w:u w:val="single"/>
              </w:rPr>
            </w:pPr>
            <w:r>
              <w:rPr>
                <w:rFonts w:ascii="Calibri" w:hAnsi="Calibri"/>
              </w:rPr>
              <w:t>The regional development policy is financed from European funds and from the national budget.</w:t>
            </w:r>
          </w:p>
          <w:p w:rsidR="00413333" w:rsidRPr="00CE1614" w:rsidRDefault="00413333" w:rsidP="00021698">
            <w:pPr>
              <w:numPr>
                <w:ilvl w:val="0"/>
                <w:numId w:val="156"/>
              </w:numPr>
              <w:tabs>
                <w:tab w:val="left" w:pos="459"/>
              </w:tabs>
              <w:spacing w:before="120" w:after="160" w:line="259" w:lineRule="auto"/>
              <w:ind w:left="34" w:hanging="34"/>
              <w:jc w:val="both"/>
              <w:rPr>
                <w:rFonts w:ascii="Calibri" w:eastAsia="Calibri" w:hAnsi="Calibri" w:cs="Calibri"/>
                <w:u w:val="single"/>
              </w:rPr>
            </w:pPr>
            <w:r>
              <w:rPr>
                <w:rFonts w:ascii="Calibri" w:hAnsi="Calibri"/>
                <w:b/>
                <w:u w:val="single"/>
              </w:rPr>
              <w:t>Regional development and European territorial cooperation</w:t>
            </w:r>
          </w:p>
          <w:p w:rsidR="00413333" w:rsidRPr="00CE1614" w:rsidRDefault="00413333" w:rsidP="00413333">
            <w:pPr>
              <w:spacing w:before="120"/>
              <w:jc w:val="both"/>
              <w:rPr>
                <w:rFonts w:ascii="Calibri" w:eastAsia="Calibri" w:hAnsi="Calibri" w:cs="Calibri"/>
              </w:rPr>
            </w:pPr>
            <w:r>
              <w:rPr>
                <w:rFonts w:ascii="Calibri" w:hAnsi="Calibri"/>
              </w:rPr>
              <w:t xml:space="preserve">The regional development policy, implemented through POR 2014-2020, has as main objective </w:t>
            </w:r>
            <w:r>
              <w:rPr>
                <w:rFonts w:ascii="Calibri" w:hAnsi="Calibri"/>
                <w:b/>
              </w:rPr>
              <w:t>to increase the economic competitiveness and improve the living conditions of the local and regional community through support for the development of the business environment, of the infrastructure conditions and services, which would ensure a sustainable development of the regions, capable of efficiently managing resources, capitalizing their potential for innovation and assimilation of the technological progress.</w:t>
            </w:r>
          </w:p>
          <w:p w:rsidR="00413333" w:rsidRPr="00CE1614" w:rsidRDefault="00413333" w:rsidP="00413333">
            <w:pPr>
              <w:spacing w:before="120"/>
              <w:jc w:val="both"/>
              <w:rPr>
                <w:rFonts w:ascii="Calibri" w:eastAsia="Calibri" w:hAnsi="Calibri" w:cs="Calibri"/>
              </w:rPr>
            </w:pPr>
            <w:r>
              <w:rPr>
                <w:rFonts w:ascii="Calibri" w:hAnsi="Calibri"/>
                <w:b/>
              </w:rPr>
              <w:t>The main actions that can be targeted by the regional policies</w:t>
            </w:r>
            <w:r>
              <w:rPr>
                <w:rFonts w:ascii="Calibri" w:hAnsi="Calibri"/>
              </w:rPr>
              <w:t xml:space="preserve"> are: technological transfer, SME competitiveness, energy efficiency, sustainable and integrated city development, cultural patrimony, road transport infrastructure, tourism, social infrastructure (health, social services, education), supporting the regeneration of disfavored urban areas, </w:t>
            </w:r>
            <w:r w:rsidR="00916FF8">
              <w:rPr>
                <w:rFonts w:ascii="Calibri" w:hAnsi="Calibri"/>
                <w:b/>
              </w:rPr>
              <w:t>cadaster</w:t>
            </w:r>
            <w:r>
              <w:rPr>
                <w:rFonts w:ascii="Calibri" w:hAnsi="Calibri"/>
                <w:b/>
              </w:rPr>
              <w:t xml:space="preserve"> in the rural environment</w:t>
            </w:r>
            <w:r>
              <w:rPr>
                <w:rFonts w:ascii="Calibri" w:hAnsi="Calibri"/>
              </w:rPr>
              <w:t xml:space="preserve">. </w:t>
            </w:r>
          </w:p>
          <w:p w:rsidR="00413333" w:rsidRPr="00CE1614" w:rsidRDefault="00413333" w:rsidP="00021698">
            <w:pPr>
              <w:numPr>
                <w:ilvl w:val="0"/>
                <w:numId w:val="156"/>
              </w:numPr>
              <w:spacing w:before="120" w:after="160" w:line="259" w:lineRule="auto"/>
              <w:ind w:left="317" w:hanging="283"/>
              <w:jc w:val="both"/>
              <w:rPr>
                <w:rFonts w:ascii="Calibri" w:eastAsia="Calibri" w:hAnsi="Calibri" w:cs="Calibri"/>
                <w:u w:val="single"/>
              </w:rPr>
            </w:pPr>
            <w:r>
              <w:rPr>
                <w:rFonts w:ascii="Calibri" w:hAnsi="Calibri"/>
                <w:b/>
                <w:u w:val="single"/>
              </w:rPr>
              <w:t>Public works, housing, constructions</w:t>
            </w:r>
          </w:p>
          <w:p w:rsidR="00413333" w:rsidRPr="00CE1614" w:rsidRDefault="00413333" w:rsidP="00413333">
            <w:pPr>
              <w:spacing w:before="120"/>
              <w:jc w:val="both"/>
              <w:rPr>
                <w:rFonts w:ascii="Calibri" w:eastAsia="Calibri" w:hAnsi="Calibri" w:cs="Calibri"/>
              </w:rPr>
            </w:pPr>
            <w:r>
              <w:rPr>
                <w:rFonts w:ascii="Calibri" w:hAnsi="Calibri"/>
              </w:rPr>
              <w:t>In order to ensure a cohesive and competitive territorial development, through specific policies in this field, the ministry manages development programs and projects of national, regional, and local interest regarding the construction of houses, the thermal rehabilitation of buildings, the reduction of seismic vulnerability of constructions, the technical and urban infrastructure of the water supply and sewerage service and/or of the service of thermal energy supply for localities, the road infrastructure of local and county interest in the villages, communes, cities, municipalities, counties, as well as the road infrastructure which ensures the connections between them, the social-cultural and sports infrastructure, urbanism, real estate - urban information system and integrated urban and territorial data banks.</w:t>
            </w:r>
          </w:p>
          <w:p w:rsidR="00413333" w:rsidRPr="00CE1614" w:rsidRDefault="00413333" w:rsidP="00413333">
            <w:pPr>
              <w:spacing w:before="120"/>
              <w:jc w:val="both"/>
              <w:rPr>
                <w:rFonts w:ascii="Calibri" w:eastAsia="Calibri" w:hAnsi="Calibri" w:cs="Calibri"/>
              </w:rPr>
            </w:pPr>
            <w:r>
              <w:rPr>
                <w:rFonts w:ascii="Calibri" w:hAnsi="Calibri"/>
              </w:rPr>
              <w:t xml:space="preserve">One of the measures is represented by the </w:t>
            </w:r>
            <w:r>
              <w:rPr>
                <w:rFonts w:ascii="Calibri" w:hAnsi="Calibri"/>
                <w:b/>
              </w:rPr>
              <w:t>Assurance of the minimum package of public services in each locality from the rural area - 10 S (ten services).</w:t>
            </w:r>
          </w:p>
          <w:p w:rsidR="00413333" w:rsidRPr="00CE1614" w:rsidRDefault="00413333" w:rsidP="00413333">
            <w:pPr>
              <w:jc w:val="both"/>
              <w:rPr>
                <w:rFonts w:ascii="Calibri" w:eastAsia="Calibri" w:hAnsi="Calibri" w:cs="Calibri"/>
              </w:rPr>
            </w:pPr>
            <w:r>
              <w:rPr>
                <w:rFonts w:ascii="Calibri" w:hAnsi="Calibri"/>
              </w:rPr>
              <w:t>For the period 2019-2021 it was established to define and ensure from the State budget/non-reimbursable funds the amounts necessary to implement the minimum package of public services in every locality. The 10 services are: health; education; water - sewerage; thermal energy; electricity; transport, roads; sanitation; culture; cults; sports; housing.</w:t>
            </w:r>
          </w:p>
        </w:tc>
      </w:tr>
      <w:tr w:rsidR="00413333" w:rsidRPr="00CE1614" w:rsidTr="003C772A">
        <w:trPr>
          <w:jc w:val="center"/>
        </w:trPr>
        <w:tc>
          <w:tcPr>
            <w:tcW w:w="1588" w:type="dxa"/>
            <w:vAlign w:val="center"/>
          </w:tcPr>
          <w:p w:rsidR="00413333" w:rsidRPr="00CE1614" w:rsidRDefault="00413333" w:rsidP="00413333">
            <w:pPr>
              <w:spacing w:before="120"/>
              <w:jc w:val="center"/>
              <w:rPr>
                <w:rFonts w:ascii="Calibri" w:eastAsia="Calibri" w:hAnsi="Calibri" w:cs="Calibri"/>
              </w:rPr>
            </w:pPr>
            <w:r>
              <w:rPr>
                <w:rFonts w:ascii="Calibri" w:hAnsi="Calibri"/>
              </w:rPr>
              <w:t>General target/objective</w:t>
            </w:r>
          </w:p>
        </w:tc>
        <w:tc>
          <w:tcPr>
            <w:tcW w:w="8188" w:type="dxa"/>
          </w:tcPr>
          <w:p w:rsidR="00413333" w:rsidRPr="00CE1614" w:rsidRDefault="00413333" w:rsidP="00021698">
            <w:pPr>
              <w:numPr>
                <w:ilvl w:val="0"/>
                <w:numId w:val="147"/>
              </w:numPr>
              <w:spacing w:before="120" w:after="160" w:line="259" w:lineRule="auto"/>
              <w:ind w:left="0" w:firstLine="0"/>
              <w:jc w:val="both"/>
              <w:rPr>
                <w:rFonts w:ascii="Calibri" w:eastAsia="Calibri" w:hAnsi="Calibri" w:cs="Calibri"/>
              </w:rPr>
            </w:pPr>
            <w:r>
              <w:rPr>
                <w:rFonts w:ascii="Calibri" w:hAnsi="Calibri"/>
              </w:rPr>
              <w:t>Increasing economic and social cohesion at national level, through balanced and sustainable regional development of the territory, as well as improvement of cross-border, cross-nation and interregional cooperation;</w:t>
            </w:r>
          </w:p>
        </w:tc>
      </w:tr>
      <w:tr w:rsidR="00413333" w:rsidRPr="00CE1614" w:rsidTr="003C772A">
        <w:trPr>
          <w:jc w:val="center"/>
        </w:trPr>
        <w:tc>
          <w:tcPr>
            <w:tcW w:w="1588" w:type="dxa"/>
            <w:vAlign w:val="center"/>
          </w:tcPr>
          <w:p w:rsidR="00413333" w:rsidRPr="00CE1614" w:rsidRDefault="00413333" w:rsidP="00413333">
            <w:pPr>
              <w:spacing w:before="120"/>
              <w:jc w:val="center"/>
              <w:rPr>
                <w:rFonts w:ascii="Calibri" w:eastAsia="Calibri" w:hAnsi="Calibri" w:cs="Calibri"/>
              </w:rPr>
            </w:pPr>
            <w:r>
              <w:rPr>
                <w:rFonts w:ascii="Calibri" w:hAnsi="Calibri"/>
              </w:rPr>
              <w:t>Specific objectives/Implementation measures for the period 2019-2021.</w:t>
            </w:r>
          </w:p>
        </w:tc>
        <w:tc>
          <w:tcPr>
            <w:tcW w:w="8188" w:type="dxa"/>
          </w:tcPr>
          <w:p w:rsidR="00413333" w:rsidRPr="00CE1614" w:rsidRDefault="00413333" w:rsidP="00021698">
            <w:pPr>
              <w:numPr>
                <w:ilvl w:val="0"/>
                <w:numId w:val="148"/>
              </w:numPr>
              <w:tabs>
                <w:tab w:val="center" w:pos="203"/>
              </w:tabs>
              <w:spacing w:after="160" w:line="259" w:lineRule="auto"/>
              <w:ind w:left="0" w:firstLine="0"/>
              <w:jc w:val="both"/>
              <w:rPr>
                <w:rFonts w:ascii="Calibri" w:eastAsia="Calibri" w:hAnsi="Calibri" w:cs="Calibri"/>
              </w:rPr>
            </w:pPr>
            <w:r>
              <w:rPr>
                <w:rFonts w:ascii="Calibri" w:hAnsi="Calibri"/>
                <w:b/>
              </w:rPr>
              <w:t>Ensuring the strategic and regulatory framework for the sector policies and strategies in the field of regional development, public works, and European territorial cooperation</w:t>
            </w:r>
          </w:p>
          <w:p w:rsidR="00413333" w:rsidRPr="00CE1614" w:rsidRDefault="00413333" w:rsidP="00021698">
            <w:pPr>
              <w:numPr>
                <w:ilvl w:val="0"/>
                <w:numId w:val="148"/>
              </w:numPr>
              <w:tabs>
                <w:tab w:val="center" w:pos="203"/>
              </w:tabs>
              <w:spacing w:after="160" w:line="259" w:lineRule="auto"/>
              <w:ind w:left="0" w:firstLine="0"/>
              <w:jc w:val="both"/>
              <w:rPr>
                <w:rFonts w:ascii="Calibri" w:eastAsia="Calibri" w:hAnsi="Calibri" w:cs="Calibri"/>
              </w:rPr>
            </w:pPr>
            <w:r>
              <w:rPr>
                <w:rFonts w:ascii="Calibri" w:hAnsi="Calibri"/>
                <w:b/>
              </w:rPr>
              <w:t>Developing operational territory management tools</w:t>
            </w:r>
          </w:p>
          <w:p w:rsidR="00413333" w:rsidRPr="00CE1614" w:rsidRDefault="00413333" w:rsidP="00021698">
            <w:pPr>
              <w:numPr>
                <w:ilvl w:val="0"/>
                <w:numId w:val="148"/>
              </w:numPr>
              <w:tabs>
                <w:tab w:val="center" w:pos="203"/>
              </w:tabs>
              <w:spacing w:after="160" w:line="259" w:lineRule="auto"/>
              <w:ind w:left="0" w:firstLine="0"/>
              <w:jc w:val="both"/>
              <w:rPr>
                <w:rFonts w:ascii="Calibri" w:eastAsia="Calibri" w:hAnsi="Calibri" w:cs="Calibri"/>
              </w:rPr>
            </w:pPr>
            <w:r>
              <w:rPr>
                <w:rFonts w:ascii="Calibri" w:hAnsi="Calibri"/>
                <w:b/>
              </w:rPr>
              <w:t>Improving the monitoring and control activity of the market of community services of public utility and assurance of EU quality standards</w:t>
            </w:r>
          </w:p>
          <w:p w:rsidR="00413333" w:rsidRPr="00CE1614" w:rsidRDefault="00413333" w:rsidP="00021698">
            <w:pPr>
              <w:numPr>
                <w:ilvl w:val="0"/>
                <w:numId w:val="148"/>
              </w:numPr>
              <w:tabs>
                <w:tab w:val="center" w:pos="203"/>
              </w:tabs>
              <w:spacing w:after="160" w:line="259" w:lineRule="auto"/>
              <w:ind w:left="0" w:firstLine="0"/>
              <w:jc w:val="both"/>
              <w:rPr>
                <w:rFonts w:ascii="Calibri" w:eastAsia="Calibri" w:hAnsi="Calibri" w:cs="Calibri"/>
              </w:rPr>
            </w:pPr>
            <w:r>
              <w:rPr>
                <w:rFonts w:ascii="Calibri" w:hAnsi="Calibri"/>
                <w:b/>
              </w:rPr>
              <w:t>Territory development through efficient and effective implementation of investment programs financed from Community, or national funds and other legally established sources</w:t>
            </w:r>
          </w:p>
        </w:tc>
      </w:tr>
      <w:tr w:rsidR="00413333" w:rsidRPr="00CE1614" w:rsidTr="003C772A">
        <w:trPr>
          <w:jc w:val="center"/>
        </w:trPr>
        <w:tc>
          <w:tcPr>
            <w:tcW w:w="1588" w:type="dxa"/>
            <w:vAlign w:val="center"/>
          </w:tcPr>
          <w:p w:rsidR="00413333" w:rsidRPr="00CE1614" w:rsidRDefault="00413333" w:rsidP="00413333">
            <w:pPr>
              <w:spacing w:before="120"/>
              <w:jc w:val="center"/>
              <w:rPr>
                <w:rFonts w:ascii="Calibri" w:eastAsia="Calibri" w:hAnsi="Calibri" w:cs="Calibri"/>
              </w:rPr>
            </w:pPr>
            <w:r>
              <w:rPr>
                <w:rFonts w:ascii="Calibri" w:hAnsi="Calibri"/>
              </w:rPr>
              <w:t>Priority programs/projects for 2019-2021</w:t>
            </w:r>
          </w:p>
        </w:tc>
        <w:tc>
          <w:tcPr>
            <w:tcW w:w="8188" w:type="dxa"/>
          </w:tcPr>
          <w:p w:rsidR="00413333" w:rsidRPr="00CE1614" w:rsidRDefault="00413333" w:rsidP="00413333">
            <w:pPr>
              <w:jc w:val="both"/>
              <w:rPr>
                <w:rFonts w:ascii="Calibri" w:eastAsia="Calibri" w:hAnsi="Calibri" w:cs="Calibri"/>
              </w:rPr>
            </w:pPr>
            <w:r>
              <w:rPr>
                <w:rFonts w:ascii="Calibri" w:hAnsi="Calibri"/>
              </w:rPr>
              <w:t xml:space="preserve">In the field of </w:t>
            </w:r>
            <w:r>
              <w:rPr>
                <w:rFonts w:ascii="Calibri" w:hAnsi="Calibri"/>
                <w:b/>
              </w:rPr>
              <w:t>regional development</w:t>
            </w:r>
            <w:r>
              <w:rPr>
                <w:rFonts w:ascii="Calibri" w:hAnsi="Calibri"/>
              </w:rPr>
              <w:t>, the priority measures are:</w:t>
            </w:r>
          </w:p>
          <w:p w:rsidR="00413333" w:rsidRPr="00CE1614" w:rsidRDefault="00413333" w:rsidP="00021698">
            <w:pPr>
              <w:numPr>
                <w:ilvl w:val="0"/>
                <w:numId w:val="145"/>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b/>
                <w:color w:val="000000"/>
              </w:rPr>
              <w:t>to complete the program implementation documents for the programs managed by the ministry</w:t>
            </w:r>
            <w:r>
              <w:rPr>
                <w:rFonts w:ascii="Calibri" w:hAnsi="Calibri"/>
                <w:color w:val="000000"/>
              </w:rPr>
              <w:t xml:space="preserve"> (applicant guides, State aid/de minimis aid schemes, completion of procedures, etc.);</w:t>
            </w:r>
          </w:p>
          <w:p w:rsidR="00413333" w:rsidRPr="00CE1614" w:rsidRDefault="00413333" w:rsidP="00021698">
            <w:pPr>
              <w:numPr>
                <w:ilvl w:val="0"/>
                <w:numId w:val="145"/>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b/>
                <w:color w:val="000000"/>
              </w:rPr>
              <w:t>to approve Romania's National strategy for territory development and start the implementation of the policies and programs derived from it;</w:t>
            </w:r>
          </w:p>
          <w:p w:rsidR="00413333" w:rsidRPr="00CE1614" w:rsidRDefault="00413333" w:rsidP="00021698">
            <w:pPr>
              <w:numPr>
                <w:ilvl w:val="0"/>
                <w:numId w:val="145"/>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b/>
                <w:color w:val="000000"/>
              </w:rPr>
              <w:t>to implement the Integrated sustainable development strategy of the Danube Delta and implement it through an Integrated territorial investment;</w:t>
            </w:r>
            <w:r>
              <w:rPr>
                <w:rFonts w:ascii="Calibri" w:hAnsi="Calibri"/>
                <w:color w:val="000000"/>
              </w:rPr>
              <w:t xml:space="preserve"> </w:t>
            </w:r>
          </w:p>
          <w:p w:rsidR="00413333" w:rsidRPr="00CE1614" w:rsidRDefault="00413333" w:rsidP="00021698">
            <w:pPr>
              <w:numPr>
                <w:ilvl w:val="0"/>
                <w:numId w:val="145"/>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b/>
                <w:color w:val="000000"/>
              </w:rPr>
              <w:t>a coherent revision correlated with the legislation in the field of territory arrangement, urbanism, constructions, public works, according to the strategy related to good regulation;</w:t>
            </w:r>
          </w:p>
          <w:p w:rsidR="00413333" w:rsidRPr="00CE1614" w:rsidRDefault="00413333" w:rsidP="00021698">
            <w:pPr>
              <w:numPr>
                <w:ilvl w:val="0"/>
                <w:numId w:val="145"/>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b/>
                <w:color w:val="000000"/>
              </w:rPr>
              <w:t>to develop operational territory management tools</w:t>
            </w:r>
            <w:r>
              <w:rPr>
                <w:rFonts w:ascii="Calibri" w:hAnsi="Calibri"/>
                <w:color w:val="000000"/>
              </w:rPr>
              <w:t xml:space="preserve"> - the measure targets the National Agency for </w:t>
            </w:r>
            <w:r w:rsidR="00916FF8">
              <w:rPr>
                <w:rFonts w:ascii="Calibri" w:hAnsi="Calibri"/>
                <w:color w:val="000000"/>
              </w:rPr>
              <w:t>Cadaster</w:t>
            </w:r>
            <w:r>
              <w:rPr>
                <w:rFonts w:ascii="Calibri" w:hAnsi="Calibri"/>
                <w:color w:val="000000"/>
              </w:rPr>
              <w:t xml:space="preserve"> and Land Registration and refers to the Development of the national system of property registration. </w:t>
            </w:r>
          </w:p>
          <w:p w:rsidR="00413333" w:rsidRPr="00CE1614" w:rsidRDefault="00413333" w:rsidP="00413333">
            <w:pPr>
              <w:spacing w:before="120"/>
              <w:jc w:val="both"/>
              <w:rPr>
                <w:rFonts w:ascii="Calibri" w:eastAsia="Calibri" w:hAnsi="Calibri" w:cs="Calibri"/>
              </w:rPr>
            </w:pPr>
            <w:r>
              <w:rPr>
                <w:rFonts w:ascii="Calibri" w:hAnsi="Calibri"/>
                <w:b/>
              </w:rPr>
              <w:t xml:space="preserve">CADASTRE AND LAND REGISTRATION - National Agency for </w:t>
            </w:r>
            <w:r w:rsidR="00916FF8">
              <w:rPr>
                <w:rFonts w:ascii="Calibri" w:hAnsi="Calibri"/>
                <w:b/>
              </w:rPr>
              <w:t>Cadaster</w:t>
            </w:r>
            <w:r>
              <w:rPr>
                <w:rFonts w:ascii="Calibri" w:hAnsi="Calibri"/>
                <w:b/>
              </w:rPr>
              <w:t xml:space="preserve"> and Land Registration (ANCPI):</w:t>
            </w:r>
          </w:p>
          <w:p w:rsidR="00413333" w:rsidRPr="00CE1614" w:rsidRDefault="00413333" w:rsidP="00021698">
            <w:pPr>
              <w:numPr>
                <w:ilvl w:val="0"/>
                <w:numId w:val="152"/>
              </w:numPr>
              <w:spacing w:before="120" w:after="160" w:line="259" w:lineRule="auto"/>
              <w:ind w:left="317" w:hanging="317"/>
              <w:jc w:val="both"/>
              <w:rPr>
                <w:rFonts w:ascii="Calibri" w:eastAsia="Calibri" w:hAnsi="Calibri" w:cs="Calibri"/>
              </w:rPr>
            </w:pPr>
            <w:r>
              <w:rPr>
                <w:rFonts w:ascii="Calibri" w:hAnsi="Calibri"/>
                <w:b/>
                <w:color w:val="000000"/>
              </w:rPr>
              <w:t xml:space="preserve">The National Program of </w:t>
            </w:r>
            <w:r w:rsidR="00916FF8">
              <w:rPr>
                <w:rFonts w:ascii="Calibri" w:hAnsi="Calibri"/>
                <w:b/>
                <w:color w:val="000000"/>
              </w:rPr>
              <w:t>Cadaster</w:t>
            </w:r>
            <w:r>
              <w:rPr>
                <w:rFonts w:ascii="Calibri" w:hAnsi="Calibri"/>
                <w:b/>
                <w:color w:val="000000"/>
              </w:rPr>
              <w:t xml:space="preserve"> and Land Book</w:t>
            </w:r>
            <w:r>
              <w:rPr>
                <w:rFonts w:ascii="Calibri" w:hAnsi="Calibri"/>
                <w:color w:val="000000"/>
              </w:rPr>
              <w:t xml:space="preserve"> - Through approval of Emergency Ordinance no. 35/June 28, 2016 amending and supplementing the Law on </w:t>
            </w:r>
            <w:r w:rsidR="00916FF8">
              <w:rPr>
                <w:rFonts w:ascii="Calibri" w:hAnsi="Calibri"/>
                <w:color w:val="000000"/>
              </w:rPr>
              <w:t>cadaster</w:t>
            </w:r>
            <w:r>
              <w:rPr>
                <w:rFonts w:ascii="Calibri" w:hAnsi="Calibri"/>
                <w:color w:val="000000"/>
              </w:rPr>
              <w:t xml:space="preserve"> and land registration no. 7/1996 was introduced </w:t>
            </w:r>
            <w:r>
              <w:rPr>
                <w:rFonts w:ascii="Calibri" w:hAnsi="Calibri"/>
                <w:b/>
                <w:color w:val="000000"/>
              </w:rPr>
              <w:t>financing/co-financing by the ANCPI of the works of systematic registration started by the administrative-territorial units</w:t>
            </w:r>
            <w:r>
              <w:rPr>
                <w:rFonts w:ascii="Calibri" w:hAnsi="Calibri"/>
                <w:color w:val="000000"/>
              </w:rPr>
              <w:t xml:space="preserve">, implemented at the level of </w:t>
            </w:r>
            <w:r w:rsidR="00916FF8">
              <w:rPr>
                <w:rFonts w:ascii="Calibri" w:hAnsi="Calibri"/>
                <w:color w:val="000000"/>
              </w:rPr>
              <w:t>cadaster</w:t>
            </w:r>
            <w:r>
              <w:rPr>
                <w:rFonts w:ascii="Calibri" w:hAnsi="Calibri"/>
                <w:color w:val="000000"/>
              </w:rPr>
              <w:t xml:space="preserve"> sectors inside the built-up area and outside the built-up area for the administrative-territorial units which do not have areas outside the built-up area, under conditions expressly provided by law.</w:t>
            </w:r>
          </w:p>
          <w:p w:rsidR="00413333" w:rsidRPr="00CE1614" w:rsidRDefault="00413333" w:rsidP="00021698">
            <w:pPr>
              <w:numPr>
                <w:ilvl w:val="0"/>
                <w:numId w:val="152"/>
              </w:numPr>
              <w:spacing w:before="120" w:after="160" w:line="259" w:lineRule="auto"/>
              <w:ind w:left="317" w:hanging="317"/>
              <w:jc w:val="both"/>
              <w:rPr>
                <w:rFonts w:ascii="Calibri" w:eastAsia="Calibri" w:hAnsi="Calibri" w:cs="Calibri"/>
              </w:rPr>
            </w:pPr>
            <w:r>
              <w:rPr>
                <w:rFonts w:ascii="Calibri" w:hAnsi="Calibri"/>
                <w:b/>
                <w:color w:val="000000"/>
              </w:rPr>
              <w:t>Continuance the contracts from the Pilot project of systematic registration of real estate</w:t>
            </w:r>
          </w:p>
          <w:p w:rsidR="00413333" w:rsidRPr="00CE1614" w:rsidRDefault="00413333" w:rsidP="00413333">
            <w:pPr>
              <w:spacing w:before="120"/>
              <w:ind w:left="317"/>
              <w:jc w:val="both"/>
              <w:rPr>
                <w:rFonts w:ascii="Calibri" w:eastAsia="Calibri" w:hAnsi="Calibri" w:cs="Calibri"/>
                <w:color w:val="000000"/>
              </w:rPr>
            </w:pPr>
            <w:r>
              <w:rPr>
                <w:rFonts w:ascii="Calibri" w:hAnsi="Calibri"/>
                <w:color w:val="000000"/>
              </w:rPr>
              <w:t xml:space="preserve">Expected result: Registration of selected rural properties in the Integrated Information System of </w:t>
            </w:r>
            <w:r w:rsidR="00916FF8">
              <w:rPr>
                <w:rFonts w:ascii="Calibri" w:hAnsi="Calibri"/>
                <w:color w:val="000000"/>
              </w:rPr>
              <w:t>Cadaster</w:t>
            </w:r>
            <w:r>
              <w:rPr>
                <w:rFonts w:ascii="Calibri" w:hAnsi="Calibri"/>
                <w:color w:val="000000"/>
              </w:rPr>
              <w:t xml:space="preserve"> and Land Registration.</w:t>
            </w:r>
          </w:p>
          <w:p w:rsidR="00413333" w:rsidRPr="00CE1614" w:rsidRDefault="00413333" w:rsidP="00413333">
            <w:pPr>
              <w:ind w:left="317"/>
              <w:jc w:val="both"/>
              <w:rPr>
                <w:rFonts w:ascii="Calibri" w:eastAsia="Arial" w:hAnsi="Calibri" w:cs="Arial"/>
              </w:rPr>
            </w:pPr>
            <w:r>
              <w:rPr>
                <w:rFonts w:ascii="Calibri" w:hAnsi="Calibri"/>
                <w:b/>
              </w:rPr>
              <w:t>The status of systematic registration</w:t>
            </w:r>
            <w:r>
              <w:rPr>
                <w:rFonts w:ascii="Calibri" w:hAnsi="Calibri"/>
              </w:rPr>
              <w:t xml:space="preserve"> on this date is the following: </w:t>
            </w:r>
          </w:p>
          <w:p w:rsidR="00413333" w:rsidRPr="00CE1614" w:rsidRDefault="00413333" w:rsidP="00413333">
            <w:pPr>
              <w:ind w:firstLine="720"/>
              <w:jc w:val="both"/>
              <w:rPr>
                <w:rFonts w:ascii="Calibri" w:eastAsia="Calibri" w:hAnsi="Calibri" w:cs="Calibri"/>
              </w:rPr>
            </w:pPr>
            <w:r>
              <w:rPr>
                <w:rFonts w:ascii="Calibri" w:hAnsi="Calibri"/>
              </w:rPr>
              <w:t xml:space="preserve">- </w:t>
            </w:r>
            <w:r>
              <w:rPr>
                <w:rFonts w:ascii="Calibri" w:hAnsi="Calibri"/>
                <w:b/>
              </w:rPr>
              <w:t>works of systematic registration were completed</w:t>
            </w:r>
            <w:r>
              <w:rPr>
                <w:rFonts w:ascii="Calibri" w:hAnsi="Calibri"/>
              </w:rPr>
              <w:t xml:space="preserve"> in:</w:t>
            </w:r>
          </w:p>
          <w:p w:rsidR="00413333" w:rsidRPr="00CE1614" w:rsidRDefault="00413333" w:rsidP="00021698">
            <w:pPr>
              <w:numPr>
                <w:ilvl w:val="0"/>
                <w:numId w:val="154"/>
              </w:numPr>
              <w:spacing w:after="160" w:line="259" w:lineRule="auto"/>
              <w:ind w:hanging="1253"/>
              <w:contextualSpacing/>
              <w:jc w:val="both"/>
              <w:rPr>
                <w:rFonts w:ascii="Calibri" w:eastAsia="Calibri" w:hAnsi="Calibri" w:cs="Calibri"/>
              </w:rPr>
            </w:pPr>
            <w:r>
              <w:rPr>
                <w:rFonts w:ascii="Calibri" w:hAnsi="Calibri"/>
                <w:b/>
              </w:rPr>
              <w:t xml:space="preserve"> 57 ATUs</w:t>
            </w:r>
            <w:r>
              <w:rPr>
                <w:rFonts w:ascii="Calibri" w:hAnsi="Calibri"/>
              </w:rPr>
              <w:t xml:space="preserve"> in 20 counties, entirely, being registered for free a number of </w:t>
            </w:r>
            <w:r>
              <w:rPr>
                <w:rFonts w:ascii="Calibri" w:hAnsi="Calibri"/>
                <w:b/>
              </w:rPr>
              <w:t>529,502</w:t>
            </w:r>
            <w:r>
              <w:rPr>
                <w:rFonts w:ascii="Calibri" w:hAnsi="Calibri"/>
              </w:rPr>
              <w:t xml:space="preserve"> real estate with a corresponding area of </w:t>
            </w:r>
            <w:r>
              <w:rPr>
                <w:rFonts w:ascii="Calibri" w:hAnsi="Calibri"/>
                <w:b/>
              </w:rPr>
              <w:t>348,981.95</w:t>
            </w:r>
            <w:r>
              <w:rPr>
                <w:rFonts w:ascii="Calibri" w:hAnsi="Calibri"/>
              </w:rPr>
              <w:t xml:space="preserve"> ha;</w:t>
            </w:r>
          </w:p>
          <w:p w:rsidR="00413333" w:rsidRPr="00CE1614" w:rsidRDefault="00413333" w:rsidP="00021698">
            <w:pPr>
              <w:numPr>
                <w:ilvl w:val="0"/>
                <w:numId w:val="154"/>
              </w:numPr>
              <w:spacing w:after="160" w:line="259" w:lineRule="auto"/>
              <w:ind w:hanging="1253"/>
              <w:contextualSpacing/>
              <w:jc w:val="both"/>
              <w:rPr>
                <w:rFonts w:ascii="Calibri" w:eastAsia="Calibri" w:hAnsi="Calibri" w:cs="Calibri"/>
              </w:rPr>
            </w:pPr>
            <w:r>
              <w:rPr>
                <w:rFonts w:ascii="Calibri" w:hAnsi="Calibri"/>
                <w:b/>
              </w:rPr>
              <w:t xml:space="preserve"> 2,982 </w:t>
            </w:r>
            <w:r w:rsidR="00916FF8">
              <w:rPr>
                <w:rFonts w:ascii="Calibri" w:hAnsi="Calibri"/>
                <w:b/>
              </w:rPr>
              <w:t>cadaster</w:t>
            </w:r>
            <w:r>
              <w:rPr>
                <w:rFonts w:ascii="Calibri" w:hAnsi="Calibri"/>
                <w:b/>
              </w:rPr>
              <w:t xml:space="preserve"> sectors in 862 ATUs</w:t>
            </w:r>
            <w:r>
              <w:rPr>
                <w:rFonts w:ascii="Calibri" w:hAnsi="Calibri"/>
              </w:rPr>
              <w:t>, being registered for free a number of 523,402 real estate with a corresponding area of 348,981.95 ha;</w:t>
            </w:r>
          </w:p>
          <w:p w:rsidR="00413333" w:rsidRPr="00CE1614" w:rsidRDefault="00413333" w:rsidP="00021698">
            <w:pPr>
              <w:numPr>
                <w:ilvl w:val="0"/>
                <w:numId w:val="150"/>
              </w:numPr>
              <w:spacing w:after="160" w:line="259" w:lineRule="auto"/>
              <w:ind w:left="884" w:hanging="140"/>
              <w:contextualSpacing/>
              <w:jc w:val="both"/>
              <w:rPr>
                <w:rFonts w:ascii="Calibri" w:eastAsia="Calibri" w:hAnsi="Calibri" w:cs="Calibri"/>
              </w:rPr>
            </w:pPr>
            <w:r>
              <w:rPr>
                <w:rFonts w:ascii="Calibri" w:hAnsi="Calibri"/>
                <w:b/>
              </w:rPr>
              <w:t>the procedures necessary for the works of systematic registration are in progress/initiated</w:t>
            </w:r>
            <w:r>
              <w:rPr>
                <w:rFonts w:ascii="Calibri" w:hAnsi="Calibri"/>
              </w:rPr>
              <w:t xml:space="preserve"> in:</w:t>
            </w:r>
          </w:p>
          <w:p w:rsidR="00413333" w:rsidRPr="00CE1614" w:rsidRDefault="00413333" w:rsidP="00021698">
            <w:pPr>
              <w:numPr>
                <w:ilvl w:val="0"/>
                <w:numId w:val="151"/>
              </w:numPr>
              <w:spacing w:after="160" w:line="259" w:lineRule="auto"/>
              <w:ind w:left="1451" w:hanging="283"/>
              <w:contextualSpacing/>
              <w:jc w:val="both"/>
              <w:rPr>
                <w:rFonts w:ascii="Calibri" w:eastAsia="Calibri" w:hAnsi="Calibri" w:cs="Calibri"/>
              </w:rPr>
            </w:pPr>
            <w:r>
              <w:rPr>
                <w:rFonts w:ascii="Calibri" w:hAnsi="Calibri"/>
                <w:b/>
              </w:rPr>
              <w:t xml:space="preserve"> 181 ATUs</w:t>
            </w:r>
            <w:r>
              <w:rPr>
                <w:rFonts w:ascii="Calibri" w:hAnsi="Calibri"/>
              </w:rPr>
              <w:t xml:space="preserve"> of 41 counties, in the entire ATU;</w:t>
            </w:r>
          </w:p>
          <w:p w:rsidR="00413333" w:rsidRPr="00CE1614" w:rsidRDefault="00413333" w:rsidP="00021698">
            <w:pPr>
              <w:numPr>
                <w:ilvl w:val="0"/>
                <w:numId w:val="151"/>
              </w:numPr>
              <w:spacing w:after="160" w:line="259" w:lineRule="auto"/>
              <w:ind w:left="1451" w:hanging="283"/>
              <w:contextualSpacing/>
              <w:jc w:val="both"/>
              <w:rPr>
                <w:rFonts w:ascii="Calibri" w:eastAsia="Calibri" w:hAnsi="Calibri" w:cs="Calibri"/>
              </w:rPr>
            </w:pPr>
            <w:r>
              <w:rPr>
                <w:rFonts w:ascii="Calibri" w:hAnsi="Calibri"/>
                <w:b/>
              </w:rPr>
              <w:t xml:space="preserve">12,575 </w:t>
            </w:r>
            <w:r w:rsidR="00916FF8">
              <w:rPr>
                <w:rFonts w:ascii="Calibri" w:hAnsi="Calibri"/>
                <w:b/>
              </w:rPr>
              <w:t>cadaster</w:t>
            </w:r>
            <w:r>
              <w:rPr>
                <w:rFonts w:ascii="Calibri" w:hAnsi="Calibri"/>
                <w:b/>
              </w:rPr>
              <w:t xml:space="preserve"> sectors of 1,479 ATUs (financing for 2017-2019);</w:t>
            </w:r>
          </w:p>
          <w:p w:rsidR="00413333" w:rsidRPr="00CE1614" w:rsidRDefault="00413333" w:rsidP="00021698">
            <w:pPr>
              <w:numPr>
                <w:ilvl w:val="0"/>
                <w:numId w:val="151"/>
              </w:numPr>
              <w:spacing w:after="160" w:line="259" w:lineRule="auto"/>
              <w:ind w:left="1451" w:hanging="283"/>
              <w:contextualSpacing/>
              <w:jc w:val="both"/>
              <w:rPr>
                <w:rFonts w:ascii="Calibri" w:eastAsia="Calibri" w:hAnsi="Calibri" w:cs="Calibri"/>
              </w:rPr>
            </w:pPr>
            <w:r>
              <w:rPr>
                <w:rFonts w:ascii="Calibri" w:hAnsi="Calibri"/>
                <w:b/>
              </w:rPr>
              <w:t xml:space="preserve"> 12,404 </w:t>
            </w:r>
            <w:r w:rsidR="00916FF8">
              <w:rPr>
                <w:rFonts w:ascii="Calibri" w:hAnsi="Calibri"/>
                <w:b/>
              </w:rPr>
              <w:t>cadaster</w:t>
            </w:r>
            <w:r>
              <w:rPr>
                <w:rFonts w:ascii="Calibri" w:hAnsi="Calibri"/>
                <w:b/>
              </w:rPr>
              <w:t xml:space="preserve"> sectors of 1,599 ATUs (financing for 2018-2019).</w:t>
            </w:r>
          </w:p>
          <w:p w:rsidR="00413333" w:rsidRPr="00CE1614" w:rsidRDefault="00413333" w:rsidP="00021698">
            <w:pPr>
              <w:numPr>
                <w:ilvl w:val="0"/>
                <w:numId w:val="151"/>
              </w:numPr>
              <w:spacing w:after="160" w:line="259" w:lineRule="auto"/>
              <w:ind w:left="1451" w:hanging="283"/>
              <w:contextualSpacing/>
              <w:jc w:val="both"/>
              <w:rPr>
                <w:rFonts w:ascii="Calibri" w:eastAsia="Calibri" w:hAnsi="Calibri" w:cs="Calibri"/>
              </w:rPr>
            </w:pPr>
            <w:r>
              <w:rPr>
                <w:rFonts w:ascii="Calibri" w:hAnsi="Calibri"/>
                <w:b/>
              </w:rPr>
              <w:t xml:space="preserve">1,209 </w:t>
            </w:r>
            <w:r w:rsidR="00916FF8">
              <w:rPr>
                <w:rFonts w:ascii="Calibri" w:hAnsi="Calibri"/>
                <w:b/>
              </w:rPr>
              <w:t>cadaster</w:t>
            </w:r>
            <w:r>
              <w:rPr>
                <w:rFonts w:ascii="Calibri" w:hAnsi="Calibri"/>
                <w:b/>
              </w:rPr>
              <w:t xml:space="preserve"> sectors of 185 ATUs (financing for 2018-2020).</w:t>
            </w:r>
          </w:p>
          <w:p w:rsidR="00413333" w:rsidRPr="00CE1614" w:rsidRDefault="00413333" w:rsidP="00021698">
            <w:pPr>
              <w:numPr>
                <w:ilvl w:val="0"/>
                <w:numId w:val="151"/>
              </w:numPr>
              <w:pBdr>
                <w:top w:val="nil"/>
                <w:left w:val="nil"/>
                <w:bottom w:val="nil"/>
                <w:right w:val="nil"/>
                <w:between w:val="nil"/>
              </w:pBdr>
              <w:spacing w:after="160" w:line="259" w:lineRule="auto"/>
              <w:ind w:left="109" w:hanging="720"/>
              <w:contextualSpacing/>
              <w:jc w:val="both"/>
              <w:rPr>
                <w:rFonts w:ascii="Calibri" w:eastAsia="Calibri" w:hAnsi="Calibri" w:cs="Arial"/>
              </w:rPr>
            </w:pPr>
            <w:r>
              <w:rPr>
                <w:rFonts w:ascii="Calibri" w:hAnsi="Calibri"/>
                <w:b/>
              </w:rPr>
              <w:t xml:space="preserve">        - POR 2014-2020, Priority axis 11 - Geographical extension of the system of property registration in the </w:t>
            </w:r>
            <w:r w:rsidR="00916FF8">
              <w:rPr>
                <w:rFonts w:ascii="Calibri" w:hAnsi="Calibri"/>
                <w:b/>
              </w:rPr>
              <w:t>cadaster</w:t>
            </w:r>
            <w:r>
              <w:rPr>
                <w:rFonts w:ascii="Calibri" w:hAnsi="Calibri"/>
                <w:b/>
              </w:rPr>
              <w:t xml:space="preserve"> and land book:</w:t>
            </w:r>
            <w:r>
              <w:rPr>
                <w:rFonts w:ascii="Calibri" w:hAnsi="Calibri"/>
              </w:rPr>
              <w:t xml:space="preserve"> This investment priority will be implemented through a major project which proposes to contribute to rural economic growth, to support economic and social growth, to facilitate infrastructure development and to promote inclusion through an extension of the coverage of registrations related to real estate rights in Romania’s rural areas. ANCPI has concluded Financing Agreement no. 3250/September 26, 2018 for the Major Project - Code MySMIS 120063, with the Ministry of Regional Development and Public Administration (MRDPA), together with 7 interim bodies organized in Romania’s development regions.</w:t>
            </w:r>
          </w:p>
          <w:p w:rsidR="00413333" w:rsidRPr="00CE1614" w:rsidRDefault="00413333" w:rsidP="00413333">
            <w:pPr>
              <w:pBdr>
                <w:top w:val="nil"/>
                <w:left w:val="nil"/>
                <w:bottom w:val="nil"/>
                <w:right w:val="nil"/>
                <w:between w:val="nil"/>
              </w:pBdr>
              <w:ind w:hanging="720"/>
              <w:jc w:val="both"/>
              <w:rPr>
                <w:rFonts w:ascii="Calibri" w:eastAsia="Calibri" w:hAnsi="Calibri" w:cs="Calibri"/>
                <w:color w:val="000000"/>
              </w:rPr>
            </w:pPr>
            <w:r>
              <w:rPr>
                <w:rFonts w:ascii="Calibri" w:hAnsi="Calibri"/>
                <w:b/>
                <w:color w:val="000000"/>
              </w:rPr>
              <w:t xml:space="preserve">Object       Objectives of PNCCF  2015 - 2023: </w:t>
            </w:r>
            <w:r>
              <w:rPr>
                <w:rFonts w:ascii="Calibri" w:hAnsi="Calibri"/>
                <w:color w:val="000000"/>
              </w:rPr>
              <w:t xml:space="preserve">Completion of the registration at national level in the Integrated System of </w:t>
            </w:r>
            <w:r w:rsidR="00916FF8">
              <w:rPr>
                <w:rFonts w:ascii="Calibri" w:hAnsi="Calibri"/>
                <w:color w:val="000000"/>
              </w:rPr>
              <w:t>Cadaster</w:t>
            </w:r>
            <w:r>
              <w:rPr>
                <w:rFonts w:ascii="Calibri" w:hAnsi="Calibri"/>
                <w:color w:val="000000"/>
              </w:rPr>
              <w:t xml:space="preserve"> and Land Book of all real estate.</w:t>
            </w:r>
          </w:p>
          <w:p w:rsidR="00413333" w:rsidRPr="00CE1614" w:rsidRDefault="00413333" w:rsidP="00413333">
            <w:pPr>
              <w:spacing w:before="120" w:after="120"/>
              <w:jc w:val="both"/>
              <w:rPr>
                <w:rFonts w:ascii="Calibri" w:eastAsia="Calibri" w:hAnsi="Calibri" w:cs="Calibri"/>
              </w:rPr>
            </w:pPr>
            <w:r>
              <w:rPr>
                <w:rFonts w:ascii="Calibri" w:hAnsi="Calibri"/>
                <w:b/>
              </w:rPr>
              <w:t>Projects financed from external non-reimbursable funds:</w:t>
            </w:r>
          </w:p>
          <w:p w:rsidR="00413333" w:rsidRPr="00CE1614" w:rsidRDefault="00413333" w:rsidP="00413333">
            <w:pPr>
              <w:jc w:val="both"/>
              <w:rPr>
                <w:rFonts w:ascii="Calibri" w:eastAsia="Calibri" w:hAnsi="Calibri" w:cs="Calibri"/>
                <w:color w:val="000000"/>
              </w:rPr>
            </w:pPr>
            <w:r>
              <w:rPr>
                <w:rFonts w:ascii="Calibri" w:hAnsi="Calibri"/>
                <w:color w:val="000000"/>
              </w:rPr>
              <w:t xml:space="preserve">1) Consolidating the institutional capacity of the National Agency for </w:t>
            </w:r>
            <w:r w:rsidR="00916FF8">
              <w:rPr>
                <w:rFonts w:ascii="Calibri" w:hAnsi="Calibri"/>
                <w:color w:val="000000"/>
              </w:rPr>
              <w:t>Cadaster</w:t>
            </w:r>
            <w:r>
              <w:rPr>
                <w:rFonts w:ascii="Calibri" w:hAnsi="Calibri"/>
                <w:color w:val="000000"/>
              </w:rPr>
              <w:t xml:space="preserve"> and Land Registration in order to implement the programs, reform the legislative framework and increase the quality of supplied services;</w:t>
            </w:r>
          </w:p>
          <w:p w:rsidR="00413333" w:rsidRPr="00CE1614" w:rsidRDefault="00413333" w:rsidP="00413333">
            <w:pPr>
              <w:jc w:val="both"/>
              <w:rPr>
                <w:rFonts w:ascii="Calibri" w:eastAsia="Calibri" w:hAnsi="Calibri" w:cs="Calibri"/>
                <w:color w:val="000000"/>
              </w:rPr>
            </w:pPr>
            <w:r>
              <w:rPr>
                <w:rFonts w:ascii="Calibri" w:hAnsi="Calibri"/>
                <w:color w:val="000000"/>
              </w:rPr>
              <w:t>2) Development and introduction of the document and flow management instruments and standards in order to optimize the processes directed at the citizens and the business environment;</w:t>
            </w:r>
          </w:p>
          <w:p w:rsidR="00413333" w:rsidRPr="00CE1614" w:rsidRDefault="00413333" w:rsidP="00413333">
            <w:pPr>
              <w:jc w:val="both"/>
              <w:rPr>
                <w:rFonts w:ascii="Calibri" w:eastAsia="Calibri" w:hAnsi="Calibri" w:cs="Calibri"/>
              </w:rPr>
            </w:pPr>
            <w:r>
              <w:rPr>
                <w:rFonts w:ascii="Calibri" w:hAnsi="Calibri"/>
                <w:color w:val="000000"/>
              </w:rPr>
              <w:t>3) Geographical information for the environment, climate change and EU integration LAKI III;</w:t>
            </w:r>
          </w:p>
          <w:p w:rsidR="00413333" w:rsidRPr="00CE1614" w:rsidRDefault="00413333" w:rsidP="00413333">
            <w:pPr>
              <w:jc w:val="both"/>
              <w:rPr>
                <w:rFonts w:ascii="Calibri" w:eastAsia="Calibri" w:hAnsi="Calibri" w:cs="Calibri"/>
                <w:color w:val="000000"/>
              </w:rPr>
            </w:pPr>
            <w:r>
              <w:rPr>
                <w:rFonts w:ascii="Calibri" w:hAnsi="Calibri"/>
                <w:color w:val="000000"/>
              </w:rPr>
              <w:t xml:space="preserve">4) Major project of “Increasing the degree of coverage and inclusion of the property registration system in the rural areas of Romania”, Axis 11 - Geographical extension of the system of property registration in the </w:t>
            </w:r>
            <w:r w:rsidR="00916FF8">
              <w:rPr>
                <w:rFonts w:ascii="Calibri" w:hAnsi="Calibri"/>
                <w:color w:val="000000"/>
              </w:rPr>
              <w:t>cadaster</w:t>
            </w:r>
            <w:r>
              <w:rPr>
                <w:rFonts w:ascii="Calibri" w:hAnsi="Calibri"/>
                <w:color w:val="000000"/>
              </w:rPr>
              <w:t xml:space="preserve"> and land book from POR 2014-2020.</w:t>
            </w:r>
          </w:p>
          <w:p w:rsidR="00413333" w:rsidRPr="00CE1614" w:rsidRDefault="00413333" w:rsidP="00413333">
            <w:pPr>
              <w:jc w:val="both"/>
              <w:rPr>
                <w:rFonts w:ascii="Calibri" w:eastAsia="Calibri" w:hAnsi="Calibri" w:cs="Calibri"/>
              </w:rPr>
            </w:pPr>
            <w:r>
              <w:rPr>
                <w:rFonts w:ascii="Calibri" w:hAnsi="Calibri"/>
              </w:rPr>
              <w:t xml:space="preserve">5) VOLTA project - innovation in the geospatial and 3D data/Experience exchange in the field of research and innovation </w:t>
            </w:r>
          </w:p>
          <w:p w:rsidR="00413333" w:rsidRPr="00CE1614" w:rsidRDefault="00413333" w:rsidP="00413333">
            <w:pPr>
              <w:ind w:firstLine="606"/>
              <w:jc w:val="both"/>
              <w:rPr>
                <w:rFonts w:ascii="Calibri" w:eastAsia="Calibri" w:hAnsi="Calibri" w:cs="Calibri"/>
                <w:lang w:val="ro-RO" w:eastAsia="ro-RO"/>
              </w:rPr>
            </w:pPr>
          </w:p>
          <w:p w:rsidR="00413333" w:rsidRPr="00CE1614" w:rsidRDefault="00413333" w:rsidP="00413333">
            <w:pPr>
              <w:ind w:firstLine="606"/>
              <w:jc w:val="both"/>
              <w:rPr>
                <w:rFonts w:ascii="Calibri" w:eastAsia="Calibri" w:hAnsi="Calibri" w:cs="Calibri"/>
                <w:color w:val="000000"/>
              </w:rPr>
            </w:pPr>
            <w:r>
              <w:rPr>
                <w:rFonts w:ascii="Calibri" w:hAnsi="Calibri"/>
              </w:rPr>
              <w:t xml:space="preserve">The period of performance of the project is 2017-2020; it is a project with 100% European financing. The VOLTA project intends to design and validate innovative methodologies for the processing and manipulation of 3D geo-spatial data in order to support practical applications for the approaches of photogrammetrical mapping. For this purpose, the scientific and technical (S&amp;T) objectives of VOLTA are closely related to methods of territory mapping, monitoring and management. </w:t>
            </w:r>
          </w:p>
          <w:p w:rsidR="00413333" w:rsidRPr="00CE1614" w:rsidRDefault="00413333" w:rsidP="00413333">
            <w:pPr>
              <w:spacing w:line="259" w:lineRule="auto"/>
              <w:ind w:firstLine="706"/>
              <w:jc w:val="both"/>
              <w:rPr>
                <w:rFonts w:ascii="Calibri" w:eastAsia="Calibri" w:hAnsi="Calibri" w:cs="Calibri"/>
              </w:rPr>
            </w:pPr>
            <w:r>
              <w:rPr>
                <w:rFonts w:ascii="Calibri" w:hAnsi="Calibri"/>
              </w:rPr>
              <w:t>The consortium is fully convinced of the potential and innovation of the VOLTA project for the scientific community and for society in general, given the fact that the geo-spatial data and the spatial analyses are essential ingredients for the creation of a sustainable future. The creation of networks, exchange of knowledge and formation of teams between countries and working environments will guarantee the provision of innovative geo-spatial methodologies and will stimulate mutual understanding and know-how of the scientists and of the professionals with a huge advantage for cultural growth, social wellbeing and the geo-spatial market.</w:t>
            </w:r>
          </w:p>
          <w:p w:rsidR="00413333" w:rsidRPr="00CE1614" w:rsidRDefault="00413333" w:rsidP="00413333">
            <w:pPr>
              <w:spacing w:line="259" w:lineRule="auto"/>
              <w:ind w:firstLine="708"/>
              <w:jc w:val="both"/>
              <w:rPr>
                <w:rFonts w:ascii="Calibri" w:eastAsia="Calibri" w:hAnsi="Calibri" w:cs="Calibri"/>
              </w:rPr>
            </w:pPr>
            <w:r>
              <w:rPr>
                <w:rFonts w:ascii="Calibri" w:hAnsi="Calibri"/>
              </w:rPr>
              <w:t>Work packages (WP):</w:t>
            </w:r>
          </w:p>
          <w:p w:rsidR="00413333" w:rsidRPr="00CE1614" w:rsidRDefault="00413333" w:rsidP="00413333">
            <w:pPr>
              <w:spacing w:line="259" w:lineRule="auto"/>
              <w:ind w:left="709"/>
              <w:jc w:val="both"/>
              <w:rPr>
                <w:rFonts w:ascii="Calibri" w:eastAsia="Calibri" w:hAnsi="Calibri" w:cs="Calibri"/>
              </w:rPr>
            </w:pPr>
            <w:r>
              <w:rPr>
                <w:rFonts w:ascii="Calibri" w:hAnsi="Calibri"/>
              </w:rPr>
              <w:t>WP1 - Project coordination and management</w:t>
            </w:r>
          </w:p>
          <w:p w:rsidR="00413333" w:rsidRPr="00CE1614" w:rsidRDefault="00413333" w:rsidP="00413333">
            <w:pPr>
              <w:spacing w:line="259" w:lineRule="auto"/>
              <w:ind w:left="709"/>
              <w:jc w:val="both"/>
              <w:rPr>
                <w:rFonts w:ascii="Calibri" w:eastAsia="Calibri" w:hAnsi="Calibri" w:cs="Calibri"/>
              </w:rPr>
            </w:pPr>
            <w:r>
              <w:rPr>
                <w:rFonts w:ascii="Calibri" w:hAnsi="Calibri"/>
              </w:rPr>
              <w:t>WP2 - Photogrammetry/mapping automation</w:t>
            </w:r>
          </w:p>
          <w:p w:rsidR="00413333" w:rsidRPr="00CE1614" w:rsidRDefault="00413333" w:rsidP="00413333">
            <w:pPr>
              <w:spacing w:line="259" w:lineRule="auto"/>
              <w:ind w:left="709"/>
              <w:jc w:val="both"/>
              <w:rPr>
                <w:rFonts w:ascii="Calibri" w:eastAsia="Calibri" w:hAnsi="Calibri" w:cs="Calibri"/>
              </w:rPr>
            </w:pPr>
            <w:r>
              <w:rPr>
                <w:rFonts w:ascii="Calibri" w:hAnsi="Calibri"/>
              </w:rPr>
              <w:t>WP3 - Data/sensor integration and merger</w:t>
            </w:r>
          </w:p>
          <w:p w:rsidR="00413333" w:rsidRPr="00CE1614" w:rsidRDefault="00413333" w:rsidP="00413333">
            <w:pPr>
              <w:spacing w:line="259" w:lineRule="auto"/>
              <w:ind w:left="709"/>
              <w:jc w:val="both"/>
              <w:rPr>
                <w:rFonts w:ascii="Calibri" w:eastAsia="Calibri" w:hAnsi="Calibri" w:cs="Calibri"/>
              </w:rPr>
            </w:pPr>
            <w:r>
              <w:rPr>
                <w:rFonts w:ascii="Calibri" w:hAnsi="Calibri"/>
              </w:rPr>
              <w:t>WP4 - Segmentation and semantic enrichment of geo-spatial data</w:t>
            </w:r>
          </w:p>
          <w:p w:rsidR="00413333" w:rsidRPr="00CE1614" w:rsidRDefault="00413333" w:rsidP="00413333">
            <w:pPr>
              <w:spacing w:line="259" w:lineRule="auto"/>
              <w:ind w:left="709"/>
              <w:jc w:val="both"/>
              <w:rPr>
                <w:rFonts w:ascii="Calibri" w:eastAsia="Calibri" w:hAnsi="Calibri" w:cs="Calibri"/>
              </w:rPr>
            </w:pPr>
            <w:r>
              <w:rPr>
                <w:rFonts w:ascii="Calibri" w:hAnsi="Calibri"/>
              </w:rPr>
              <w:t>WP5 - Web geo-processing services</w:t>
            </w:r>
          </w:p>
          <w:p w:rsidR="00413333" w:rsidRPr="00CE1614" w:rsidRDefault="00413333" w:rsidP="00413333">
            <w:pPr>
              <w:spacing w:line="259" w:lineRule="auto"/>
              <w:ind w:left="709"/>
              <w:jc w:val="both"/>
              <w:rPr>
                <w:rFonts w:ascii="Calibri" w:eastAsia="Calibri" w:hAnsi="Calibri" w:cs="Calibri"/>
              </w:rPr>
            </w:pPr>
            <w:r>
              <w:rPr>
                <w:rFonts w:ascii="Calibri" w:hAnsi="Calibri"/>
              </w:rPr>
              <w:t>WP6 - Dissemination and communication</w:t>
            </w:r>
          </w:p>
          <w:p w:rsidR="00413333" w:rsidRPr="00CE1614" w:rsidRDefault="00413333" w:rsidP="00413333">
            <w:pPr>
              <w:spacing w:line="259" w:lineRule="auto"/>
              <w:ind w:left="709"/>
              <w:jc w:val="both"/>
              <w:rPr>
                <w:rFonts w:ascii="Calibri" w:eastAsia="Calibri" w:hAnsi="Calibri" w:cs="Calibri"/>
              </w:rPr>
            </w:pPr>
            <w:r>
              <w:rPr>
                <w:rFonts w:ascii="Calibri" w:hAnsi="Calibri"/>
              </w:rPr>
              <w:t>WP7 - Transfer of knowledge, training, and networking</w:t>
            </w:r>
          </w:p>
          <w:p w:rsidR="00413333" w:rsidRPr="00CE1614" w:rsidRDefault="00413333" w:rsidP="00413333">
            <w:pPr>
              <w:spacing w:line="259" w:lineRule="auto"/>
              <w:ind w:left="709"/>
              <w:jc w:val="both"/>
              <w:rPr>
                <w:rFonts w:ascii="Calibri" w:eastAsia="Calibri" w:hAnsi="Calibri" w:cs="Calibri"/>
                <w:color w:val="000000"/>
                <w:lang w:val="ro-RO" w:eastAsia="ro-RO"/>
              </w:rPr>
            </w:pPr>
          </w:p>
          <w:p w:rsidR="00413333" w:rsidRPr="00CE1614" w:rsidRDefault="00413333" w:rsidP="00413333">
            <w:pPr>
              <w:jc w:val="both"/>
              <w:rPr>
                <w:rFonts w:ascii="Calibri" w:eastAsia="Calibri" w:hAnsi="Calibri" w:cs="Calibri"/>
              </w:rPr>
            </w:pPr>
            <w:r>
              <w:rPr>
                <w:rFonts w:ascii="Calibri" w:hAnsi="Calibri"/>
              </w:rPr>
              <w:t>6) The cross-nation project MOON - Mobility thrOught educatioN in geo-spatial data.</w:t>
            </w:r>
          </w:p>
          <w:p w:rsidR="00413333" w:rsidRPr="00CE1614" w:rsidRDefault="00413333" w:rsidP="00413333">
            <w:pPr>
              <w:ind w:firstLine="322"/>
              <w:jc w:val="both"/>
              <w:rPr>
                <w:rFonts w:ascii="Calibri" w:eastAsia="Calibri" w:hAnsi="Calibri" w:cs="Calibri"/>
              </w:rPr>
            </w:pPr>
            <w:r>
              <w:rPr>
                <w:rFonts w:ascii="Calibri" w:hAnsi="Calibri"/>
              </w:rPr>
              <w:t>The implementation period of the M.O.O.N. project is of 48 months, starting from the date to be approved for the beginning of implementation. The topic promoted by the project represents international and inter-sector collaboration through exchange of knowledge and ideas and supporting the development of the knowledge based economy and consolidating the connection between the systems of education and training systems and the labor market.</w:t>
            </w:r>
          </w:p>
          <w:p w:rsidR="00413333" w:rsidRPr="00CE1614" w:rsidRDefault="00413333" w:rsidP="00413333">
            <w:pPr>
              <w:spacing w:line="259" w:lineRule="auto"/>
              <w:ind w:firstLine="322"/>
              <w:jc w:val="both"/>
              <w:rPr>
                <w:rFonts w:ascii="Calibri" w:eastAsia="Calibri" w:hAnsi="Calibri" w:cs="Calibri"/>
              </w:rPr>
            </w:pPr>
            <w:r>
              <w:rPr>
                <w:rFonts w:ascii="Calibri" w:hAnsi="Calibri"/>
              </w:rPr>
              <w:t>The main activities proposed by CNC are:</w:t>
            </w:r>
          </w:p>
          <w:p w:rsidR="00413333" w:rsidRPr="00CE1614" w:rsidRDefault="00413333" w:rsidP="00021698">
            <w:pPr>
              <w:numPr>
                <w:ilvl w:val="0"/>
                <w:numId w:val="136"/>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rPr>
                <w:rFonts w:ascii="Calibri" w:eastAsia="Calibri" w:hAnsi="Calibri" w:cs="Calibri"/>
                <w:color w:val="000000"/>
              </w:rPr>
            </w:pPr>
            <w:r>
              <w:rPr>
                <w:rFonts w:ascii="Calibri" w:hAnsi="Calibri"/>
                <w:color w:val="000000"/>
              </w:rPr>
              <w:t>CNC A1. Curriculum development - theoretical approach</w:t>
            </w:r>
          </w:p>
          <w:p w:rsidR="00413333" w:rsidRPr="00CE1614" w:rsidRDefault="00413333" w:rsidP="00021698">
            <w:pPr>
              <w:numPr>
                <w:ilvl w:val="0"/>
                <w:numId w:val="136"/>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rPr>
                <w:rFonts w:ascii="Calibri" w:eastAsia="Calibri" w:hAnsi="Calibri" w:cs="Calibri"/>
                <w:color w:val="000000"/>
              </w:rPr>
            </w:pPr>
            <w:r>
              <w:rPr>
                <w:rFonts w:ascii="Calibri" w:hAnsi="Calibri"/>
                <w:color w:val="000000"/>
              </w:rPr>
              <w:t>CNC A2. Curriculum development - applicative approach - case studies</w:t>
            </w:r>
          </w:p>
          <w:p w:rsidR="00413333" w:rsidRPr="00CE1614" w:rsidRDefault="00413333" w:rsidP="00021698">
            <w:pPr>
              <w:numPr>
                <w:ilvl w:val="0"/>
                <w:numId w:val="136"/>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Calibri" w:eastAsia="Calibri" w:hAnsi="Calibri" w:cs="Calibri"/>
                <w:color w:val="000000"/>
              </w:rPr>
            </w:pPr>
            <w:r>
              <w:rPr>
                <w:rFonts w:ascii="Calibri" w:hAnsi="Calibri"/>
                <w:color w:val="000000"/>
              </w:rPr>
              <w:t>CNC A3. Workshops for knowledge transfer - professors from universities of profile and CNC experts from the university and the profile institution from the donor country</w:t>
            </w:r>
          </w:p>
          <w:p w:rsidR="00413333" w:rsidRPr="00CE1614" w:rsidRDefault="00413333" w:rsidP="00021698">
            <w:pPr>
              <w:numPr>
                <w:ilvl w:val="0"/>
                <w:numId w:val="136"/>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Calibri" w:eastAsia="Calibri" w:hAnsi="Calibri" w:cs="Calibri"/>
                <w:color w:val="000000"/>
              </w:rPr>
            </w:pPr>
            <w:r>
              <w:rPr>
                <w:rFonts w:ascii="Calibri" w:hAnsi="Calibri"/>
                <w:color w:val="000000"/>
              </w:rPr>
              <w:t xml:space="preserve">CNC A4. Workshops for knowledge transfer - professors from universities of profile and CNC experts from the partner universities and profile institutions </w:t>
            </w:r>
          </w:p>
          <w:p w:rsidR="00413333" w:rsidRPr="00CE1614" w:rsidRDefault="00413333" w:rsidP="00021698">
            <w:pPr>
              <w:numPr>
                <w:ilvl w:val="0"/>
                <w:numId w:val="136"/>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Calibri" w:eastAsia="Calibri" w:hAnsi="Calibri" w:cs="Calibri"/>
                <w:color w:val="000000"/>
              </w:rPr>
            </w:pPr>
            <w:r>
              <w:rPr>
                <w:rFonts w:ascii="Calibri" w:hAnsi="Calibri"/>
                <w:color w:val="000000"/>
              </w:rPr>
              <w:t>CNC A5. Project contests for students - consulting</w:t>
            </w:r>
          </w:p>
          <w:p w:rsidR="00413333" w:rsidRPr="00CE1614" w:rsidRDefault="00413333" w:rsidP="00021698">
            <w:pPr>
              <w:numPr>
                <w:ilvl w:val="0"/>
                <w:numId w:val="136"/>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Calibri" w:eastAsia="Calibri" w:hAnsi="Calibri" w:cs="Calibri"/>
                <w:color w:val="000000"/>
              </w:rPr>
            </w:pPr>
            <w:r>
              <w:rPr>
                <w:rFonts w:ascii="Calibri" w:hAnsi="Calibri"/>
                <w:color w:val="000000"/>
              </w:rPr>
              <w:t>CNC A6. Study trips (for the students who won the project contests)</w:t>
            </w:r>
          </w:p>
          <w:p w:rsidR="00413333" w:rsidRPr="00CE1614" w:rsidRDefault="00413333" w:rsidP="00021698">
            <w:pPr>
              <w:numPr>
                <w:ilvl w:val="0"/>
                <w:numId w:val="136"/>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Calibri" w:eastAsia="Calibri" w:hAnsi="Calibri" w:cs="Calibri"/>
                <w:color w:val="000000"/>
              </w:rPr>
            </w:pPr>
            <w:r>
              <w:rPr>
                <w:rFonts w:ascii="Calibri" w:hAnsi="Calibri"/>
                <w:color w:val="000000"/>
              </w:rPr>
              <w:t>CNC A7. Study trips for experimentation of the UAV equipment - professors from universities of profile, CNC experts and students - USAMV Banat</w:t>
            </w:r>
          </w:p>
          <w:p w:rsidR="00413333" w:rsidRPr="00CE1614" w:rsidRDefault="00413333" w:rsidP="00021698">
            <w:pPr>
              <w:numPr>
                <w:ilvl w:val="0"/>
                <w:numId w:val="136"/>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Calibri" w:eastAsia="Calibri" w:hAnsi="Calibri" w:cs="Calibri"/>
                <w:color w:val="000000"/>
              </w:rPr>
            </w:pPr>
            <w:r>
              <w:rPr>
                <w:rFonts w:ascii="Calibri" w:hAnsi="Calibri"/>
                <w:color w:val="000000"/>
              </w:rPr>
              <w:t xml:space="preserve">CNC A8. Establishing a Center for Geo-spatial Knowledge Transfer - MOON (to be read, “Center of Excellence”) - a functional department in the CNC </w:t>
            </w:r>
          </w:p>
          <w:p w:rsidR="00413333" w:rsidRPr="00CE1614" w:rsidRDefault="00413333" w:rsidP="00021698">
            <w:pPr>
              <w:numPr>
                <w:ilvl w:val="0"/>
                <w:numId w:val="136"/>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Calibri" w:eastAsia="Calibri" w:hAnsi="Calibri" w:cs="Calibri"/>
                <w:color w:val="000000"/>
              </w:rPr>
            </w:pPr>
            <w:r>
              <w:rPr>
                <w:rFonts w:ascii="Calibri" w:hAnsi="Calibri"/>
                <w:color w:val="000000"/>
              </w:rPr>
              <w:t>CNC A9. Exchange of knowledge between similar institutions - for the CNC experts</w:t>
            </w:r>
          </w:p>
          <w:p w:rsidR="00413333" w:rsidRPr="00CE1614" w:rsidRDefault="00413333" w:rsidP="00021698">
            <w:pPr>
              <w:numPr>
                <w:ilvl w:val="0"/>
                <w:numId w:val="136"/>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rPr>
                <w:rFonts w:ascii="Calibri" w:eastAsia="Calibri" w:hAnsi="Calibri" w:cs="Calibri"/>
                <w:color w:val="000000"/>
              </w:rPr>
            </w:pPr>
            <w:r>
              <w:rPr>
                <w:rFonts w:ascii="Calibri" w:hAnsi="Calibri"/>
                <w:color w:val="000000"/>
              </w:rPr>
              <w:t>CNC A10. Train the trainers - CNC experts</w:t>
            </w:r>
          </w:p>
          <w:p w:rsidR="00413333" w:rsidRPr="00CE1614" w:rsidRDefault="00413333" w:rsidP="00021698">
            <w:pPr>
              <w:numPr>
                <w:ilvl w:val="0"/>
                <w:numId w:val="136"/>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Calibri" w:eastAsia="Calibri" w:hAnsi="Calibri" w:cs="Calibri"/>
                <w:color w:val="000000"/>
              </w:rPr>
            </w:pPr>
            <w:r>
              <w:rPr>
                <w:rFonts w:ascii="Calibri" w:hAnsi="Calibri"/>
                <w:color w:val="000000"/>
              </w:rPr>
              <w:t>CNC A11. Participating to the awareness campaign and to information dissemination</w:t>
            </w:r>
          </w:p>
          <w:p w:rsidR="00413333" w:rsidRPr="00CE1614" w:rsidRDefault="00413333" w:rsidP="00413333">
            <w:pPr>
              <w:spacing w:line="259" w:lineRule="auto"/>
              <w:ind w:hanging="2"/>
              <w:jc w:val="both"/>
              <w:rPr>
                <w:rFonts w:ascii="Calibri" w:eastAsia="Calibri" w:hAnsi="Calibri" w:cs="Calibri"/>
              </w:rPr>
            </w:pPr>
            <w:r>
              <w:rPr>
                <w:rFonts w:ascii="Calibri" w:hAnsi="Calibri"/>
              </w:rPr>
              <w:t xml:space="preserve">Fields of activity specific for the CNC which can represent topics for the curricula: </w:t>
            </w:r>
          </w:p>
          <w:p w:rsidR="00413333" w:rsidRPr="00CE1614" w:rsidRDefault="00413333" w:rsidP="00021698">
            <w:pPr>
              <w:numPr>
                <w:ilvl w:val="0"/>
                <w:numId w:val="139"/>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 xml:space="preserve">Creation and maintenance of the National Gravimetric Network, the National Leveling Network, and the National Geodesic Network. </w:t>
            </w:r>
          </w:p>
          <w:p w:rsidR="00413333" w:rsidRPr="00CE1614" w:rsidRDefault="00413333" w:rsidP="00021698">
            <w:pPr>
              <w:numPr>
                <w:ilvl w:val="0"/>
                <w:numId w:val="139"/>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 xml:space="preserve">Collecting gravimetric data to determine a new model of quasigeoid and improve the digital model for Romania. </w:t>
            </w:r>
          </w:p>
          <w:p w:rsidR="00413333" w:rsidRPr="00CE1614" w:rsidRDefault="00413333" w:rsidP="00021698">
            <w:pPr>
              <w:numPr>
                <w:ilvl w:val="0"/>
                <w:numId w:val="139"/>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 xml:space="preserve">Collecting geo-spatial data and receiving the data obtained through scanning with airborne sensors (LiDAR) and air photography. Data receipt. </w:t>
            </w:r>
          </w:p>
          <w:p w:rsidR="00413333" w:rsidRPr="00CE1614" w:rsidRDefault="00413333" w:rsidP="00021698">
            <w:pPr>
              <w:numPr>
                <w:ilvl w:val="0"/>
                <w:numId w:val="139"/>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 xml:space="preserve">Processing the collected geo-spatial data and processing the received data in order to make the projects incumbent upon the CNC (creating the digital model of the land - DTM and DSM - with resolution bigger than 1m, classification and segmenting of 2D and 3D data in order to make the topographic plan and the basic digital topographic plan for Romania - TopRo5) </w:t>
            </w:r>
          </w:p>
          <w:p w:rsidR="00413333" w:rsidRPr="00CE1614" w:rsidRDefault="00413333" w:rsidP="00021698">
            <w:pPr>
              <w:numPr>
                <w:ilvl w:val="0"/>
                <w:numId w:val="139"/>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 xml:space="preserve">Transforming the geo-spatial data obtained from the database into digital maps at different scales. </w:t>
            </w:r>
          </w:p>
          <w:p w:rsidR="00413333" w:rsidRPr="00CE1614" w:rsidRDefault="00413333" w:rsidP="00021698">
            <w:pPr>
              <w:numPr>
                <w:ilvl w:val="0"/>
                <w:numId w:val="139"/>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 xml:space="preserve">Creation and update of a digital library of conventional signs, editing an Atlas of conventional signs corresponding to the plans for larger scales (1:500 up to 1:5000) </w:t>
            </w:r>
          </w:p>
          <w:p w:rsidR="00413333" w:rsidRPr="00CE1614" w:rsidRDefault="00413333" w:rsidP="00021698">
            <w:pPr>
              <w:numPr>
                <w:ilvl w:val="0"/>
                <w:numId w:val="139"/>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 xml:space="preserve">Verification of the quality of specialty works </w:t>
            </w:r>
          </w:p>
          <w:p w:rsidR="00413333" w:rsidRPr="00CE1614" w:rsidRDefault="00413333" w:rsidP="00413333">
            <w:pPr>
              <w:spacing w:before="120"/>
              <w:jc w:val="both"/>
              <w:rPr>
                <w:rFonts w:ascii="Calibri" w:eastAsia="Calibri" w:hAnsi="Calibri" w:cs="Calibri"/>
                <w:color w:val="000000"/>
              </w:rPr>
            </w:pPr>
            <w:r>
              <w:rPr>
                <w:rFonts w:ascii="Calibri" w:hAnsi="Calibri"/>
              </w:rPr>
              <w:t>Performance and update of methodologies, technical specifications, technological norms and standards for the specialty works</w:t>
            </w:r>
          </w:p>
          <w:p w:rsidR="00413333" w:rsidRPr="00CE1614" w:rsidRDefault="00413333" w:rsidP="00413333">
            <w:pPr>
              <w:spacing w:before="120"/>
              <w:jc w:val="both"/>
              <w:rPr>
                <w:rFonts w:ascii="Calibri" w:eastAsia="Calibri" w:hAnsi="Calibri" w:cs="Calibri"/>
                <w:u w:val="single"/>
              </w:rPr>
            </w:pPr>
            <w:r>
              <w:rPr>
                <w:rFonts w:ascii="Calibri" w:hAnsi="Calibri"/>
                <w:b/>
                <w:u w:val="single"/>
              </w:rPr>
              <w:t>HOUSING</w:t>
            </w:r>
          </w:p>
          <w:p w:rsidR="00413333" w:rsidRPr="00CE1614" w:rsidRDefault="00413333" w:rsidP="00413333">
            <w:pPr>
              <w:pBdr>
                <w:top w:val="nil"/>
                <w:left w:val="nil"/>
                <w:bottom w:val="nil"/>
                <w:right w:val="nil"/>
                <w:between w:val="nil"/>
              </w:pBdr>
              <w:spacing w:line="259" w:lineRule="auto"/>
              <w:rPr>
                <w:rFonts w:ascii="Calibri" w:eastAsia="Arial" w:hAnsi="Calibri" w:cs="Arial"/>
                <w:color w:val="000000"/>
              </w:rPr>
            </w:pPr>
            <w:r>
              <w:rPr>
                <w:rFonts w:ascii="Calibri" w:hAnsi="Calibri"/>
                <w:b/>
              </w:rPr>
              <w:t>- The program of construction of social housing carried out on the basis of the provisions of the Housing law no. 114/1996</w:t>
            </w:r>
          </w:p>
          <w:p w:rsidR="00413333" w:rsidRPr="00CE1614" w:rsidRDefault="00413333" w:rsidP="00413333">
            <w:pPr>
              <w:pBdr>
                <w:top w:val="nil"/>
                <w:left w:val="nil"/>
                <w:bottom w:val="nil"/>
                <w:right w:val="nil"/>
                <w:between w:val="nil"/>
              </w:pBdr>
              <w:spacing w:line="259" w:lineRule="auto"/>
              <w:ind w:left="141"/>
              <w:jc w:val="both"/>
              <w:rPr>
                <w:rFonts w:ascii="Calibri" w:eastAsia="Calibri" w:hAnsi="Calibri" w:cs="Calibri"/>
                <w:color w:val="000000"/>
              </w:rPr>
            </w:pPr>
            <w:r>
              <w:rPr>
                <w:rFonts w:ascii="Calibri" w:hAnsi="Calibri"/>
                <w:b/>
                <w:color w:val="000000"/>
              </w:rPr>
              <w:t xml:space="preserve">Purpose: </w:t>
            </w:r>
            <w:r>
              <w:rPr>
                <w:rFonts w:ascii="Calibri" w:hAnsi="Calibri"/>
                <w:color w:val="000000"/>
              </w:rPr>
              <w:t>construction of social housing. The objective sought is to ensure decent living conditions for the disadvantaged social categories;</w:t>
            </w:r>
          </w:p>
          <w:p w:rsidR="00413333" w:rsidRPr="00CE1614" w:rsidRDefault="00413333" w:rsidP="00413333">
            <w:pPr>
              <w:shd w:val="clear" w:color="auto" w:fill="FFFFFF"/>
              <w:spacing w:before="200" w:line="259" w:lineRule="auto"/>
              <w:jc w:val="both"/>
              <w:rPr>
                <w:rFonts w:ascii="Calibri" w:eastAsia="Calibri" w:hAnsi="Calibri" w:cs="Calibri"/>
              </w:rPr>
            </w:pPr>
            <w:r>
              <w:rPr>
                <w:rFonts w:ascii="Calibri" w:hAnsi="Calibri"/>
                <w:b/>
              </w:rPr>
              <w:t>Objectives for 2018-2021:</w:t>
            </w:r>
          </w:p>
          <w:p w:rsidR="00413333" w:rsidRPr="00CE1614" w:rsidRDefault="00413333" w:rsidP="00413333">
            <w:pPr>
              <w:shd w:val="clear" w:color="auto" w:fill="FFFFFF"/>
              <w:jc w:val="both"/>
              <w:rPr>
                <w:rFonts w:ascii="Calibri" w:eastAsia="Calibri" w:hAnsi="Calibri" w:cs="Calibri"/>
              </w:rPr>
            </w:pPr>
            <w:r>
              <w:rPr>
                <w:rFonts w:ascii="Calibri" w:hAnsi="Calibri"/>
              </w:rPr>
              <w:t>- over 1254 apartments in different stages of execution are proposed for financing, of which it is estimated that in 2018 will be completed approximately 202 apartments.</w:t>
            </w:r>
          </w:p>
          <w:p w:rsidR="00413333" w:rsidRPr="00CE1614" w:rsidRDefault="00413333" w:rsidP="00413333">
            <w:pPr>
              <w:shd w:val="clear" w:color="auto" w:fill="FFFFFF"/>
              <w:spacing w:before="200"/>
              <w:jc w:val="both"/>
              <w:rPr>
                <w:rFonts w:ascii="Calibri" w:eastAsia="Calibri" w:hAnsi="Calibri" w:cs="Calibri"/>
                <w:b/>
              </w:rPr>
            </w:pPr>
            <w:r>
              <w:rPr>
                <w:rFonts w:ascii="Calibri" w:hAnsi="Calibri"/>
                <w:b/>
              </w:rPr>
              <w:t>- the Program regarding the construction of social housing dedicated to tenants that have been evacuated from the houses given back to old owners, carried out in accordance with GEO 74/2007</w:t>
            </w:r>
          </w:p>
          <w:p w:rsidR="00413333" w:rsidRPr="00CE1614" w:rsidRDefault="00413333" w:rsidP="00413333">
            <w:pPr>
              <w:spacing w:after="160" w:line="259" w:lineRule="auto"/>
              <w:jc w:val="both"/>
              <w:rPr>
                <w:rFonts w:ascii="Calibri" w:eastAsia="Calibri" w:hAnsi="Calibri" w:cs="Calibri"/>
              </w:rPr>
            </w:pPr>
            <w:r>
              <w:rPr>
                <w:rFonts w:ascii="Calibri" w:hAnsi="Calibri"/>
                <w:b/>
              </w:rPr>
              <w:t xml:space="preserve">Program status for 2018: </w:t>
            </w:r>
            <w:r>
              <w:rPr>
                <w:rFonts w:ascii="Calibri" w:hAnsi="Calibri"/>
              </w:rPr>
              <w:t xml:space="preserve">286 living units are in process of execution, and 48 living units shall be received by the end of 2018. No requests have been registered for the introduction of new objectives. </w:t>
            </w:r>
          </w:p>
          <w:p w:rsidR="00413333" w:rsidRPr="00CE1614" w:rsidRDefault="00413333" w:rsidP="00413333">
            <w:pPr>
              <w:spacing w:after="160" w:line="259" w:lineRule="auto"/>
              <w:jc w:val="both"/>
              <w:rPr>
                <w:rFonts w:ascii="Calibri" w:eastAsia="Calibri" w:hAnsi="Calibri" w:cs="Calibri"/>
              </w:rPr>
            </w:pPr>
            <w:r>
              <w:rPr>
                <w:rFonts w:ascii="Calibri" w:hAnsi="Calibri"/>
                <w:b/>
              </w:rPr>
              <w:t>Objectives for 2019</w:t>
            </w:r>
            <w:r>
              <w:rPr>
                <w:rFonts w:ascii="Calibri" w:hAnsi="Calibri"/>
              </w:rPr>
              <w:t>: in 2019 shall be received 238 living units.</w:t>
            </w:r>
          </w:p>
          <w:p w:rsidR="00413333" w:rsidRPr="00CE1614" w:rsidRDefault="00413333" w:rsidP="00021698">
            <w:pPr>
              <w:numPr>
                <w:ilvl w:val="0"/>
                <w:numId w:val="145"/>
              </w:numPr>
              <w:pBdr>
                <w:top w:val="nil"/>
                <w:left w:val="nil"/>
                <w:bottom w:val="nil"/>
                <w:right w:val="nil"/>
                <w:between w:val="nil"/>
              </w:pBdr>
              <w:spacing w:before="120" w:after="160" w:line="259" w:lineRule="auto"/>
              <w:contextualSpacing/>
              <w:jc w:val="both"/>
              <w:rPr>
                <w:rFonts w:ascii="Calibri" w:eastAsia="Calibri" w:hAnsi="Calibri" w:cs="Calibri"/>
                <w:color w:val="000000"/>
              </w:rPr>
            </w:pPr>
            <w:r>
              <w:rPr>
                <w:rFonts w:ascii="Calibri" w:hAnsi="Calibri"/>
                <w:b/>
                <w:color w:val="000000"/>
              </w:rPr>
              <w:t>The program of saving and crediting in collective system for the annual rental field</w:t>
            </w:r>
            <w:r>
              <w:rPr>
                <w:rFonts w:ascii="Calibri" w:hAnsi="Calibri"/>
                <w:color w:val="000000"/>
              </w:rPr>
              <w:t xml:space="preserve">, in accordance with GEO no. 99/2006 </w:t>
            </w:r>
          </w:p>
          <w:p w:rsidR="00413333" w:rsidRPr="00CE1614" w:rsidRDefault="00413333" w:rsidP="00021698">
            <w:pPr>
              <w:numPr>
                <w:ilvl w:val="0"/>
                <w:numId w:val="145"/>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b/>
                <w:color w:val="000000"/>
              </w:rPr>
              <w:t>The pilot program for construction of social houses for the Roma communities:</w:t>
            </w:r>
            <w:r>
              <w:rPr>
                <w:rFonts w:ascii="Calibri" w:hAnsi="Calibri"/>
                <w:color w:val="000000"/>
              </w:rPr>
              <w:t xml:space="preserve"> it is an experimental component of the program of social inclusion in Romania and considers the implementation of projects for the construction of social houses in the 8 development regions of Romania, in locations established by the MRDPA together with the local public administration authorities and the National Agency for the Roma.</w:t>
            </w:r>
          </w:p>
          <w:p w:rsidR="00413333" w:rsidRPr="00CE1614" w:rsidRDefault="00413333" w:rsidP="00413333">
            <w:pPr>
              <w:spacing w:after="160" w:line="259" w:lineRule="auto"/>
              <w:jc w:val="both"/>
              <w:rPr>
                <w:rFonts w:ascii="Calibri" w:eastAsia="Calibri" w:hAnsi="Calibri" w:cs="Calibri"/>
              </w:rPr>
            </w:pPr>
            <w:r>
              <w:rPr>
                <w:rFonts w:ascii="Calibri" w:hAnsi="Calibri"/>
                <w:b/>
              </w:rPr>
              <w:t>Program status in 2018:</w:t>
            </w:r>
            <w:r>
              <w:rPr>
                <w:rFonts w:ascii="Calibri" w:hAnsi="Calibri"/>
              </w:rPr>
              <w:t xml:space="preserve"> 84 living units are in process of execution, and 42 living units shall be received by the end of 2018.</w:t>
            </w:r>
          </w:p>
          <w:p w:rsidR="00413333" w:rsidRPr="00CE1614" w:rsidRDefault="00413333" w:rsidP="00413333">
            <w:pPr>
              <w:spacing w:after="160" w:line="259" w:lineRule="auto"/>
              <w:jc w:val="both"/>
              <w:rPr>
                <w:rFonts w:ascii="Calibri" w:eastAsia="Calibri" w:hAnsi="Calibri" w:cs="Calibri"/>
              </w:rPr>
            </w:pPr>
            <w:r>
              <w:rPr>
                <w:rFonts w:ascii="Calibri" w:hAnsi="Calibri"/>
                <w:b/>
              </w:rPr>
              <w:t xml:space="preserve">Objectives for 2019: </w:t>
            </w:r>
            <w:r>
              <w:rPr>
                <w:rFonts w:ascii="Calibri" w:hAnsi="Calibri"/>
              </w:rPr>
              <w:t>in 2019 shall be promoted and started the execution works for 21 houses. The execution works shall be continued for 63 houses, which shall be completed by the end of 2019.</w:t>
            </w:r>
          </w:p>
          <w:p w:rsidR="00413333" w:rsidRPr="00CE1614" w:rsidRDefault="00413333" w:rsidP="00021698">
            <w:pPr>
              <w:numPr>
                <w:ilvl w:val="0"/>
                <w:numId w:val="145"/>
              </w:numPr>
              <w:pBdr>
                <w:top w:val="nil"/>
                <w:left w:val="nil"/>
                <w:bottom w:val="nil"/>
                <w:right w:val="nil"/>
                <w:between w:val="nil"/>
              </w:pBdr>
              <w:spacing w:before="120" w:after="160" w:line="259" w:lineRule="auto"/>
              <w:contextualSpacing/>
              <w:jc w:val="both"/>
              <w:rPr>
                <w:rFonts w:ascii="Calibri" w:eastAsia="Calibri" w:hAnsi="Calibri" w:cs="Calibri"/>
                <w:color w:val="000000"/>
              </w:rPr>
            </w:pPr>
            <w:r>
              <w:rPr>
                <w:rFonts w:ascii="Calibri" w:hAnsi="Calibri"/>
                <w:b/>
                <w:color w:val="000000"/>
              </w:rPr>
              <w:t xml:space="preserve">The Program of construction of houses for the youth, dedicated to renting: </w:t>
            </w:r>
            <w:r>
              <w:rPr>
                <w:rFonts w:ascii="Calibri" w:hAnsi="Calibri"/>
                <w:color w:val="000000"/>
              </w:rPr>
              <w:t>this program considers the construction of houses dedicated to the youth whose revenues do not allow them access to a house under market conditions, at the same time building a housing fund at local level in order to ensure mobility for young specialists between localities in the entire country. This action can stimulate the young generation to work in Romania, thus limiting the migration of specialists to other countries.</w:t>
            </w:r>
          </w:p>
          <w:p w:rsidR="00413333" w:rsidRPr="00CE1614" w:rsidRDefault="00413333" w:rsidP="00413333">
            <w:pPr>
              <w:spacing w:after="160" w:line="259" w:lineRule="auto"/>
              <w:jc w:val="both"/>
              <w:rPr>
                <w:rFonts w:ascii="Calibri" w:eastAsia="Calibri" w:hAnsi="Calibri" w:cs="Calibri"/>
              </w:rPr>
            </w:pPr>
            <w:r>
              <w:rPr>
                <w:rFonts w:ascii="Calibri" w:hAnsi="Calibri"/>
                <w:b/>
              </w:rPr>
              <w:t xml:space="preserve">Program status for 2018: </w:t>
            </w:r>
            <w:r>
              <w:rPr>
                <w:rFonts w:ascii="Calibri" w:hAnsi="Calibri"/>
              </w:rPr>
              <w:t>As of January 1, 2018 are carried out works of construction-assembly for 2,368 living units, of which 304 l.u. have been received so far. Approximately 541 l.u. shall be received by the end of the year.</w:t>
            </w:r>
          </w:p>
          <w:p w:rsidR="00413333" w:rsidRPr="00CE1614" w:rsidRDefault="00413333" w:rsidP="00413333">
            <w:pPr>
              <w:pBdr>
                <w:top w:val="nil"/>
                <w:left w:val="nil"/>
                <w:bottom w:val="nil"/>
                <w:right w:val="nil"/>
                <w:between w:val="nil"/>
              </w:pBdr>
              <w:spacing w:after="160" w:line="259" w:lineRule="auto"/>
              <w:jc w:val="both"/>
              <w:rPr>
                <w:rFonts w:ascii="Calibri" w:eastAsia="Calibri" w:hAnsi="Calibri" w:cs="Calibri"/>
                <w:color w:val="000000"/>
              </w:rPr>
            </w:pPr>
            <w:r>
              <w:rPr>
                <w:rFonts w:ascii="Calibri" w:hAnsi="Calibri"/>
                <w:b/>
                <w:color w:val="000000"/>
              </w:rPr>
              <w:t xml:space="preserve">Objectives for 2019: </w:t>
            </w:r>
            <w:r>
              <w:rPr>
                <w:rFonts w:ascii="Calibri" w:hAnsi="Calibri"/>
                <w:color w:val="000000"/>
              </w:rPr>
              <w:t>In 2019 shall be promoted and started the execution works for approximately 3,800 houses. The execution works shall be continued for 1,300 houses, of which approximately 700 l.u. shall be completed.</w:t>
            </w:r>
          </w:p>
          <w:p w:rsidR="00413333" w:rsidRPr="00CE1614" w:rsidRDefault="00413333" w:rsidP="00413333">
            <w:pPr>
              <w:ind w:left="360"/>
              <w:jc w:val="both"/>
              <w:rPr>
                <w:rFonts w:ascii="Calibri" w:eastAsia="Calibri" w:hAnsi="Calibri" w:cs="Calibri"/>
              </w:rPr>
            </w:pPr>
            <w:r>
              <w:rPr>
                <w:rFonts w:ascii="Calibri" w:hAnsi="Calibri"/>
                <w:b/>
              </w:rPr>
              <w:t>- the Program of construction of service homes, through the National Housing Agency, in accordance with the provisions of GD no. 719/2016 approving the program of “Construction of service homes”</w:t>
            </w:r>
          </w:p>
          <w:p w:rsidR="00413333" w:rsidRPr="00CE1614" w:rsidRDefault="00413333" w:rsidP="00413333">
            <w:pPr>
              <w:pBdr>
                <w:top w:val="nil"/>
                <w:left w:val="nil"/>
                <w:bottom w:val="nil"/>
                <w:right w:val="nil"/>
                <w:between w:val="nil"/>
              </w:pBdr>
              <w:spacing w:before="120"/>
              <w:ind w:left="141" w:hanging="75"/>
              <w:jc w:val="both"/>
              <w:rPr>
                <w:rFonts w:ascii="Calibri" w:eastAsia="Calibri" w:hAnsi="Calibri" w:cs="Calibri"/>
                <w:color w:val="000000"/>
              </w:rPr>
            </w:pPr>
            <w:r>
              <w:rPr>
                <w:rFonts w:ascii="Calibri" w:hAnsi="Calibri"/>
                <w:b/>
                <w:color w:val="000000"/>
              </w:rPr>
              <w:t>Program status for 2018: 79 living units</w:t>
            </w:r>
            <w:r>
              <w:rPr>
                <w:rFonts w:ascii="Calibri" w:hAnsi="Calibri"/>
                <w:color w:val="000000"/>
              </w:rPr>
              <w:t xml:space="preserve"> are in promotion until this date (the documentations for transmission of the land plot for free use by the ANL in order to start the investments are in process of completion) and for </w:t>
            </w:r>
            <w:r>
              <w:rPr>
                <w:rFonts w:ascii="Calibri" w:hAnsi="Calibri"/>
                <w:b/>
                <w:color w:val="000000"/>
              </w:rPr>
              <w:t>419 living units</w:t>
            </w:r>
            <w:r>
              <w:rPr>
                <w:rFonts w:ascii="Calibri" w:hAnsi="Calibri"/>
                <w:color w:val="000000"/>
              </w:rPr>
              <w:t xml:space="preserve"> shall be started the procedures of elaboration of the technical and economic documentation.</w:t>
            </w:r>
          </w:p>
          <w:p w:rsidR="00413333" w:rsidRPr="00CE1614" w:rsidRDefault="00413333" w:rsidP="00413333">
            <w:pPr>
              <w:pBdr>
                <w:top w:val="nil"/>
                <w:left w:val="nil"/>
                <w:bottom w:val="nil"/>
                <w:right w:val="nil"/>
                <w:between w:val="nil"/>
              </w:pBdr>
              <w:ind w:left="141"/>
              <w:jc w:val="both"/>
              <w:rPr>
                <w:rFonts w:ascii="Calibri" w:eastAsia="Calibri" w:hAnsi="Calibri" w:cs="Calibri"/>
                <w:color w:val="000000"/>
              </w:rPr>
            </w:pPr>
            <w:r>
              <w:rPr>
                <w:rFonts w:ascii="Calibri" w:hAnsi="Calibri"/>
                <w:b/>
                <w:color w:val="000000"/>
              </w:rPr>
              <w:t xml:space="preserve">Objectives for 2019: </w:t>
            </w:r>
            <w:r>
              <w:rPr>
                <w:rFonts w:ascii="Calibri" w:hAnsi="Calibri"/>
                <w:color w:val="000000"/>
              </w:rPr>
              <w:t xml:space="preserve">In 2019 shall be promoted </w:t>
            </w:r>
            <w:r>
              <w:rPr>
                <w:rFonts w:ascii="Calibri" w:hAnsi="Calibri"/>
                <w:b/>
                <w:color w:val="000000"/>
              </w:rPr>
              <w:t>700 living units</w:t>
            </w:r>
            <w:r>
              <w:rPr>
                <w:rFonts w:ascii="Calibri" w:hAnsi="Calibri"/>
                <w:color w:val="000000"/>
              </w:rPr>
              <w:t xml:space="preserve">, of which the execution works shall be started for approximately </w:t>
            </w:r>
            <w:r>
              <w:rPr>
                <w:rFonts w:ascii="Calibri" w:hAnsi="Calibri"/>
                <w:b/>
                <w:color w:val="000000"/>
              </w:rPr>
              <w:t>498 living units</w:t>
            </w:r>
            <w:r>
              <w:rPr>
                <w:rFonts w:ascii="Calibri" w:hAnsi="Calibri"/>
                <w:color w:val="000000"/>
              </w:rPr>
              <w:t>.</w:t>
            </w:r>
          </w:p>
          <w:p w:rsidR="00413333" w:rsidRPr="00CE1614" w:rsidRDefault="00413333" w:rsidP="00021698">
            <w:pPr>
              <w:numPr>
                <w:ilvl w:val="0"/>
                <w:numId w:val="145"/>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b/>
                <w:color w:val="000000"/>
              </w:rPr>
              <w:t>The annual program of actions regarding the design and execution of intervention works for reducing the seismic risk at constructions to be used as multi-storey home, classified through technical expertise report in class I of seismic risk and which pose public danger</w:t>
            </w:r>
            <w:r>
              <w:rPr>
                <w:rFonts w:ascii="Calibri" w:hAnsi="Calibri"/>
                <w:color w:val="000000"/>
              </w:rPr>
              <w:t>, according to GO no. 20/1994, republished.</w:t>
            </w:r>
          </w:p>
          <w:p w:rsidR="00413333" w:rsidRPr="00CE1614" w:rsidRDefault="00413333" w:rsidP="00413333">
            <w:pPr>
              <w:pBdr>
                <w:top w:val="nil"/>
                <w:left w:val="nil"/>
                <w:bottom w:val="nil"/>
                <w:right w:val="nil"/>
                <w:between w:val="nil"/>
              </w:pBdr>
              <w:spacing w:line="259" w:lineRule="auto"/>
              <w:jc w:val="both"/>
              <w:rPr>
                <w:rFonts w:ascii="Calibri" w:eastAsia="Calibri" w:hAnsi="Calibri" w:cs="Calibri"/>
                <w:color w:val="000000"/>
              </w:rPr>
            </w:pPr>
            <w:r>
              <w:rPr>
                <w:rFonts w:ascii="Calibri" w:hAnsi="Calibri"/>
                <w:b/>
                <w:color w:val="000000"/>
              </w:rPr>
              <w:t xml:space="preserve">Program status for 2018: </w:t>
            </w:r>
            <w:r>
              <w:rPr>
                <w:rFonts w:ascii="Calibri" w:hAnsi="Calibri"/>
                <w:color w:val="000000"/>
              </w:rPr>
              <w:t xml:space="preserve">The program included </w:t>
            </w:r>
            <w:r>
              <w:rPr>
                <w:rFonts w:ascii="Calibri" w:hAnsi="Calibri"/>
                <w:b/>
                <w:color w:val="000000"/>
              </w:rPr>
              <w:t>40 real estate</w:t>
            </w:r>
            <w:r>
              <w:rPr>
                <w:rFonts w:ascii="Calibri" w:hAnsi="Calibri"/>
                <w:color w:val="000000"/>
              </w:rPr>
              <w:t xml:space="preserve"> in order </w:t>
            </w:r>
            <w:r>
              <w:rPr>
                <w:rFonts w:ascii="Calibri" w:hAnsi="Calibri"/>
                <w:b/>
                <w:color w:val="000000"/>
              </w:rPr>
              <w:t>to execute the intervention works</w:t>
            </w:r>
            <w:r>
              <w:rPr>
                <w:rFonts w:ascii="Calibri" w:hAnsi="Calibri"/>
                <w:color w:val="000000"/>
              </w:rPr>
              <w:t xml:space="preserve"> and </w:t>
            </w:r>
            <w:r>
              <w:rPr>
                <w:rFonts w:ascii="Calibri" w:hAnsi="Calibri"/>
                <w:b/>
                <w:color w:val="000000"/>
              </w:rPr>
              <w:t>53 real estate</w:t>
            </w:r>
            <w:r>
              <w:rPr>
                <w:rFonts w:ascii="Calibri" w:hAnsi="Calibri"/>
                <w:color w:val="000000"/>
              </w:rPr>
              <w:t xml:space="preserve"> for the design of intervention works.</w:t>
            </w:r>
          </w:p>
          <w:p w:rsidR="00413333" w:rsidRPr="00CE1614" w:rsidRDefault="00413333" w:rsidP="00413333">
            <w:pPr>
              <w:pBdr>
                <w:top w:val="nil"/>
                <w:left w:val="nil"/>
                <w:bottom w:val="nil"/>
                <w:right w:val="nil"/>
                <w:between w:val="nil"/>
              </w:pBdr>
              <w:spacing w:after="160" w:line="259" w:lineRule="auto"/>
              <w:jc w:val="both"/>
              <w:rPr>
                <w:rFonts w:ascii="Calibri" w:eastAsia="Calibri" w:hAnsi="Calibri" w:cs="Calibri"/>
                <w:color w:val="000000"/>
              </w:rPr>
            </w:pPr>
            <w:r>
              <w:rPr>
                <w:rFonts w:ascii="Calibri" w:hAnsi="Calibri"/>
                <w:b/>
                <w:color w:val="000000"/>
              </w:rPr>
              <w:t>Objectives for 2019:</w:t>
            </w:r>
          </w:p>
          <w:p w:rsidR="00413333" w:rsidRPr="00CE1614" w:rsidRDefault="00413333" w:rsidP="00021698">
            <w:pPr>
              <w:keepNext/>
              <w:numPr>
                <w:ilvl w:val="0"/>
                <w:numId w:val="157"/>
              </w:numPr>
              <w:spacing w:after="160" w:line="252" w:lineRule="auto"/>
              <w:jc w:val="both"/>
              <w:rPr>
                <w:rFonts w:ascii="Calibri" w:eastAsia="Calibri" w:hAnsi="Calibri" w:cs="Calibri"/>
              </w:rPr>
            </w:pPr>
            <w:r>
              <w:rPr>
                <w:rFonts w:ascii="Calibri" w:hAnsi="Calibri"/>
              </w:rPr>
              <w:t>completing the execution of consolidation works for 15 residential buildings;</w:t>
            </w:r>
          </w:p>
          <w:p w:rsidR="00413333" w:rsidRPr="00CE1614" w:rsidRDefault="00413333" w:rsidP="00021698">
            <w:pPr>
              <w:keepNext/>
              <w:numPr>
                <w:ilvl w:val="0"/>
                <w:numId w:val="157"/>
              </w:numPr>
              <w:spacing w:after="160" w:line="252" w:lineRule="auto"/>
              <w:jc w:val="both"/>
              <w:rPr>
                <w:rFonts w:ascii="Calibri" w:eastAsia="Calibri" w:hAnsi="Calibri" w:cs="Calibri"/>
              </w:rPr>
            </w:pPr>
            <w:r>
              <w:rPr>
                <w:rFonts w:ascii="Calibri" w:hAnsi="Calibri"/>
              </w:rPr>
              <w:t>continued execution of the consolidation works for 23 residential buildings;</w:t>
            </w:r>
          </w:p>
          <w:p w:rsidR="00413333" w:rsidRPr="00CE1614" w:rsidRDefault="00413333" w:rsidP="00021698">
            <w:pPr>
              <w:keepNext/>
              <w:numPr>
                <w:ilvl w:val="0"/>
                <w:numId w:val="157"/>
              </w:numPr>
              <w:spacing w:after="160" w:line="252" w:lineRule="auto"/>
              <w:jc w:val="both"/>
              <w:rPr>
                <w:rFonts w:ascii="Calibri" w:eastAsia="Calibri" w:hAnsi="Calibri" w:cs="Calibri"/>
              </w:rPr>
            </w:pPr>
            <w:r>
              <w:rPr>
                <w:rFonts w:ascii="Calibri" w:hAnsi="Calibri"/>
              </w:rPr>
              <w:t>starting the execution of the consolidation works for 26 residential buildings;</w:t>
            </w:r>
          </w:p>
          <w:p w:rsidR="00413333" w:rsidRPr="00CE1614" w:rsidRDefault="00413333" w:rsidP="00021698">
            <w:pPr>
              <w:keepNext/>
              <w:numPr>
                <w:ilvl w:val="0"/>
                <w:numId w:val="157"/>
              </w:numPr>
              <w:spacing w:after="160" w:line="252" w:lineRule="auto"/>
              <w:jc w:val="both"/>
              <w:rPr>
                <w:rFonts w:ascii="Calibri" w:eastAsia="Calibri" w:hAnsi="Calibri" w:cs="Calibri"/>
              </w:rPr>
            </w:pPr>
            <w:r>
              <w:rPr>
                <w:rFonts w:ascii="Calibri" w:hAnsi="Calibri"/>
              </w:rPr>
              <w:t>completing the design of consolidation works for 31 residential buildings;</w:t>
            </w:r>
          </w:p>
          <w:p w:rsidR="00413333" w:rsidRPr="00CE1614" w:rsidRDefault="00413333" w:rsidP="00021698">
            <w:pPr>
              <w:keepNext/>
              <w:numPr>
                <w:ilvl w:val="0"/>
                <w:numId w:val="157"/>
              </w:numPr>
              <w:spacing w:after="160" w:line="252" w:lineRule="auto"/>
              <w:jc w:val="both"/>
              <w:rPr>
                <w:rFonts w:ascii="Calibri" w:eastAsia="Calibri" w:hAnsi="Calibri" w:cs="Calibri"/>
              </w:rPr>
            </w:pPr>
            <w:r>
              <w:rPr>
                <w:rFonts w:ascii="Calibri" w:hAnsi="Calibri"/>
              </w:rPr>
              <w:t>starting the elaboration of the design of consolidation works for 50 residential buildings.</w:t>
            </w:r>
          </w:p>
          <w:p w:rsidR="00413333" w:rsidRPr="00CE1614" w:rsidRDefault="00413333" w:rsidP="00413333">
            <w:pPr>
              <w:spacing w:before="120"/>
              <w:jc w:val="both"/>
              <w:rPr>
                <w:rFonts w:ascii="Calibri" w:eastAsia="Calibri" w:hAnsi="Calibri" w:cs="Calibri"/>
                <w:u w:val="single"/>
              </w:rPr>
            </w:pPr>
            <w:r>
              <w:rPr>
                <w:rFonts w:ascii="Calibri" w:hAnsi="Calibri"/>
                <w:b/>
                <w:u w:val="single"/>
              </w:rPr>
              <w:t>INFRASTRUCTURE</w:t>
            </w:r>
          </w:p>
          <w:p w:rsidR="00413333" w:rsidRPr="00CE1614" w:rsidRDefault="00413333" w:rsidP="00021698">
            <w:pPr>
              <w:numPr>
                <w:ilvl w:val="0"/>
                <w:numId w:val="146"/>
              </w:numPr>
              <w:pBdr>
                <w:top w:val="nil"/>
                <w:left w:val="nil"/>
                <w:bottom w:val="nil"/>
                <w:right w:val="nil"/>
                <w:between w:val="nil"/>
              </w:pBdr>
              <w:spacing w:before="120" w:after="160" w:line="259" w:lineRule="auto"/>
              <w:contextualSpacing/>
              <w:jc w:val="both"/>
              <w:rPr>
                <w:rFonts w:ascii="Calibri" w:eastAsia="Calibri" w:hAnsi="Calibri" w:cs="Calibri"/>
                <w:color w:val="000000"/>
              </w:rPr>
            </w:pPr>
            <w:r>
              <w:rPr>
                <w:rFonts w:ascii="Calibri" w:hAnsi="Calibri"/>
                <w:color w:val="000000"/>
              </w:rPr>
              <w:t xml:space="preserve">The Ministry of Regional Development and Public Administration (MRDPA) coordinates and finances the </w:t>
            </w:r>
            <w:r>
              <w:rPr>
                <w:rFonts w:ascii="Calibri" w:hAnsi="Calibri"/>
                <w:b/>
                <w:color w:val="000000"/>
              </w:rPr>
              <w:t>National Local Development Program (NLDP)</w:t>
            </w:r>
            <w:r>
              <w:rPr>
                <w:rFonts w:ascii="Calibri" w:hAnsi="Calibri"/>
                <w:color w:val="000000"/>
              </w:rPr>
              <w:t xml:space="preserve"> approved through Emergency Ordinance no. 28 of April 10, 2013, as subsequently amended and supplemented, a multi-annual financing program. The general objective of the program is to equip the administrative-territorial units with equipment of the type of technical and urban, educational infrastructure, health and environment, sports, social-cultural and tourism, administrative and of access to the means of communication in order to ensure an attractive investment climate for Romania's localities.</w:t>
            </w:r>
          </w:p>
          <w:p w:rsidR="00413333" w:rsidRPr="00CE1614" w:rsidRDefault="00413333" w:rsidP="00413333">
            <w:pPr>
              <w:spacing w:before="200"/>
              <w:ind w:left="360"/>
              <w:jc w:val="both"/>
              <w:rPr>
                <w:rFonts w:ascii="Calibri" w:eastAsia="Calibri" w:hAnsi="Calibri" w:cs="Calibri"/>
              </w:rPr>
            </w:pPr>
            <w:r>
              <w:rPr>
                <w:rFonts w:ascii="Calibri" w:hAnsi="Calibri"/>
                <w:b/>
              </w:rPr>
              <w:t>Status of the objectives in 2018:</w:t>
            </w:r>
          </w:p>
          <w:p w:rsidR="00413333" w:rsidRPr="00CE1614" w:rsidRDefault="00413333" w:rsidP="00413333">
            <w:pPr>
              <w:ind w:left="322"/>
              <w:jc w:val="both"/>
              <w:rPr>
                <w:rFonts w:ascii="Calibri" w:eastAsia="Calibri" w:hAnsi="Calibri" w:cs="Calibri"/>
              </w:rPr>
            </w:pPr>
            <w:r>
              <w:rPr>
                <w:rFonts w:ascii="Calibri" w:hAnsi="Calibri"/>
              </w:rPr>
              <w:t xml:space="preserve"> - financing of the 2,442 investment objectives in process of execution, out of the 4,528 objectives included in the first stage of the Program and addition of the multi-annual agreements for 2015-2018, as applicable and in accordance with the requests of the beneficiaries, in order to extend the validity term for assurance of financing until completion;</w:t>
            </w:r>
          </w:p>
          <w:p w:rsidR="00413333" w:rsidRPr="00CE1614" w:rsidRDefault="00413333" w:rsidP="00413333">
            <w:pPr>
              <w:ind w:left="322"/>
              <w:jc w:val="both"/>
              <w:rPr>
                <w:rFonts w:ascii="Calibri" w:eastAsia="Calibri" w:hAnsi="Calibri" w:cs="Calibri"/>
              </w:rPr>
            </w:pPr>
            <w:r>
              <w:rPr>
                <w:rFonts w:ascii="Calibri" w:hAnsi="Calibri"/>
              </w:rPr>
              <w:t>- financing the 7,011 investment objectives included in Stage II of the NLDP (2017-2020);</w:t>
            </w:r>
          </w:p>
          <w:p w:rsidR="00413333" w:rsidRPr="00CE1614" w:rsidRDefault="00413333" w:rsidP="00413333">
            <w:pPr>
              <w:ind w:left="322"/>
              <w:jc w:val="both"/>
              <w:rPr>
                <w:rFonts w:ascii="Calibri" w:eastAsia="Calibri" w:hAnsi="Calibri" w:cs="Calibri"/>
              </w:rPr>
            </w:pPr>
            <w:r>
              <w:rPr>
                <w:rFonts w:ascii="Calibri" w:hAnsi="Calibri"/>
              </w:rPr>
              <w:t>- continued reallocation of commitment credits left unused after the conclusion of the financing agreements for the investment objectives included in stage II of the NLDP for financing of the investment objectives for which requests were submitted within the legal term, in 2017, which were included in the specialty analysis and for which no funds were allocated due to the absence of commitment credits. (according to the provisions of GEO no. 90/2017).</w:t>
            </w:r>
          </w:p>
          <w:p w:rsidR="00413333" w:rsidRPr="00CE1614" w:rsidRDefault="00413333" w:rsidP="00413333">
            <w:pPr>
              <w:spacing w:before="200" w:after="160"/>
              <w:jc w:val="both"/>
              <w:rPr>
                <w:rFonts w:ascii="Calibri" w:eastAsia="Calibri" w:hAnsi="Calibri" w:cs="Calibri"/>
              </w:rPr>
            </w:pPr>
            <w:r>
              <w:rPr>
                <w:rFonts w:ascii="Calibri" w:hAnsi="Calibri"/>
                <w:b/>
              </w:rPr>
              <w:t>Objectives for 2019-2020:</w:t>
            </w:r>
          </w:p>
          <w:p w:rsidR="00413333" w:rsidRPr="00CE1614" w:rsidRDefault="00413333" w:rsidP="00021698">
            <w:pPr>
              <w:numPr>
                <w:ilvl w:val="0"/>
                <w:numId w:val="157"/>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including in the National Local Development Program, Stage II, of up to 9500 investment objectives, of which at most 2500 nurseries and kindergartens and at most 2000 schools;</w:t>
            </w:r>
          </w:p>
          <w:p w:rsidR="00413333" w:rsidRPr="00CE1614" w:rsidRDefault="00413333" w:rsidP="00021698">
            <w:pPr>
              <w:numPr>
                <w:ilvl w:val="0"/>
                <w:numId w:val="157"/>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rPr>
              <w:t>allocation between 2017 and 2020 of 30,000,000,000 Lei for the execution of the up to 9500 objectives financed through the Program;</w:t>
            </w:r>
          </w:p>
          <w:p w:rsidR="00413333" w:rsidRPr="00CE1614" w:rsidRDefault="00413333" w:rsidP="00021698">
            <w:pPr>
              <w:numPr>
                <w:ilvl w:val="0"/>
                <w:numId w:val="157"/>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For 2019 it is estimated that up to 1280 investment objectives included in the National Local Development Program, Stage I, will be completed.</w:t>
            </w:r>
          </w:p>
          <w:p w:rsidR="00413333" w:rsidRPr="00CE1614" w:rsidRDefault="00413333" w:rsidP="00021698">
            <w:pPr>
              <w:numPr>
                <w:ilvl w:val="0"/>
                <w:numId w:val="157"/>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rPr>
              <w:t>Continued financing until completion, according to financing agreements, for the investment objectives of the NLDP, stage I - period up to December 31, 2020, estimating that 2442 investment objectives will be completed;</w:t>
            </w:r>
          </w:p>
          <w:p w:rsidR="00413333" w:rsidRPr="00CE1614" w:rsidRDefault="00413333" w:rsidP="00021698">
            <w:pPr>
              <w:numPr>
                <w:ilvl w:val="0"/>
                <w:numId w:val="157"/>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continued financing of the investment objectives, according to financing agreements, for the investment objectives of the NLDP, stage II - period 2017- 2020, estimating that 550 investment objectives will be completed in 2019.</w:t>
            </w:r>
          </w:p>
          <w:p w:rsidR="00413333" w:rsidRPr="00CE1614" w:rsidRDefault="00413333" w:rsidP="00021698">
            <w:pPr>
              <w:numPr>
                <w:ilvl w:val="0"/>
                <w:numId w:val="146"/>
              </w:numPr>
              <w:pBdr>
                <w:top w:val="nil"/>
                <w:left w:val="nil"/>
                <w:bottom w:val="nil"/>
                <w:right w:val="nil"/>
                <w:between w:val="nil"/>
              </w:pBdr>
              <w:spacing w:before="200" w:after="160" w:line="259" w:lineRule="auto"/>
              <w:jc w:val="both"/>
              <w:rPr>
                <w:rFonts w:ascii="Calibri" w:eastAsia="Calibri" w:hAnsi="Calibri" w:cs="Calibri"/>
                <w:color w:val="000000"/>
              </w:rPr>
            </w:pPr>
            <w:r>
              <w:rPr>
                <w:rFonts w:ascii="Calibri" w:hAnsi="Calibri"/>
                <w:b/>
                <w:color w:val="000000"/>
              </w:rPr>
              <w:t>Program - “Integrated system of rehabilitation of water supply and sewerage systems, as well as of potable water and used water treatment stations in localities whose population is of up to 50,000 residents”</w:t>
            </w:r>
            <w:r>
              <w:rPr>
                <w:rFonts w:ascii="Calibri" w:hAnsi="Calibri"/>
                <w:color w:val="000000"/>
              </w:rPr>
              <w:t xml:space="preserve"> approved through Law no. 224/2007 - In 2018 was continued the execution of 11 investment objectives included for financing, </w:t>
            </w:r>
          </w:p>
          <w:p w:rsidR="00413333" w:rsidRPr="00CE1614" w:rsidRDefault="00413333" w:rsidP="00413333">
            <w:pPr>
              <w:spacing w:before="200" w:after="160" w:line="259" w:lineRule="auto"/>
              <w:jc w:val="both"/>
              <w:rPr>
                <w:rFonts w:ascii="Calibri" w:eastAsia="Arial" w:hAnsi="Calibri" w:cs="Arial"/>
              </w:rPr>
            </w:pPr>
            <w:r>
              <w:rPr>
                <w:rFonts w:ascii="Calibri" w:hAnsi="Calibri"/>
                <w:b/>
              </w:rPr>
              <w:t>Objective for 2019</w:t>
            </w:r>
            <w:r>
              <w:rPr>
                <w:rFonts w:ascii="Calibri" w:hAnsi="Calibri"/>
              </w:rPr>
              <w:t>: the execution and completion of 5 investment objectives included in the financing will be continued.</w:t>
            </w:r>
          </w:p>
          <w:p w:rsidR="00413333" w:rsidRPr="00CE1614" w:rsidRDefault="00413333" w:rsidP="00021698">
            <w:pPr>
              <w:numPr>
                <w:ilvl w:val="0"/>
                <w:numId w:val="146"/>
              </w:numPr>
              <w:pBdr>
                <w:top w:val="nil"/>
                <w:left w:val="nil"/>
                <w:bottom w:val="nil"/>
                <w:right w:val="nil"/>
                <w:between w:val="nil"/>
              </w:pBdr>
              <w:spacing w:before="120" w:after="160" w:line="259" w:lineRule="auto"/>
              <w:contextualSpacing/>
              <w:jc w:val="both"/>
              <w:rPr>
                <w:rFonts w:ascii="Calibri" w:eastAsia="Calibri" w:hAnsi="Calibri" w:cs="Calibri"/>
                <w:color w:val="000000"/>
              </w:rPr>
            </w:pPr>
            <w:r>
              <w:rPr>
                <w:rFonts w:ascii="Calibri" w:hAnsi="Calibri"/>
                <w:b/>
                <w:color w:val="000000"/>
              </w:rPr>
              <w:t xml:space="preserve">The national program of constructions of public or social interest carried out on the basis of Annex 3 in GO no. 25/2001 on the incorporation of the National Investment Company “N.I.C.” - S.A., </w:t>
            </w:r>
            <w:r>
              <w:rPr>
                <w:rFonts w:ascii="Calibri" w:hAnsi="Calibri"/>
                <w:color w:val="000000"/>
              </w:rPr>
              <w:t xml:space="preserve">approved as amended and supplemented through Law no. 117/2002, as subsequently amended and supplemented, annex introduced through GO no. 16/2014, with the following sub-programs: </w:t>
            </w:r>
            <w:r>
              <w:rPr>
                <w:rFonts w:ascii="Calibri" w:hAnsi="Calibri"/>
                <w:b/>
                <w:color w:val="000000"/>
              </w:rPr>
              <w:t>Gyms; Sports complexes; Swimming pools; Cultural settlements; Rehabilitation of blocks of flats located in localities from disadvantaged areas; Medical units in the urban area; Artificial skating rinks; Cinemas; State-owned higher education institutions; First emergency works; Student dormitories; Investments in the justice infrastructure.</w:t>
            </w:r>
          </w:p>
          <w:p w:rsidR="00413333" w:rsidRPr="00CE1614" w:rsidRDefault="00413333" w:rsidP="00413333">
            <w:pPr>
              <w:pBdr>
                <w:top w:val="nil"/>
                <w:left w:val="nil"/>
                <w:bottom w:val="nil"/>
                <w:right w:val="nil"/>
                <w:between w:val="nil"/>
              </w:pBdr>
              <w:spacing w:before="200" w:line="259" w:lineRule="auto"/>
              <w:jc w:val="both"/>
              <w:rPr>
                <w:rFonts w:ascii="Calibri" w:eastAsia="Calibri" w:hAnsi="Calibri" w:cs="Calibri"/>
                <w:color w:val="000000"/>
              </w:rPr>
            </w:pPr>
            <w:r>
              <w:rPr>
                <w:rFonts w:ascii="Calibri" w:hAnsi="Calibri"/>
                <w:b/>
                <w:color w:val="000000"/>
              </w:rPr>
              <w:t>Program status for 2018:</w:t>
            </w:r>
          </w:p>
          <w:p w:rsidR="00413333" w:rsidRPr="00CE1614" w:rsidRDefault="00413333" w:rsidP="00021698">
            <w:pPr>
              <w:numPr>
                <w:ilvl w:val="0"/>
                <w:numId w:val="157"/>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267 objectives in execution;</w:t>
            </w:r>
          </w:p>
          <w:p w:rsidR="00413333" w:rsidRPr="00CE1614" w:rsidRDefault="00413333" w:rsidP="00021698">
            <w:pPr>
              <w:numPr>
                <w:ilvl w:val="0"/>
                <w:numId w:val="157"/>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132 objectives in procurement;</w:t>
            </w:r>
          </w:p>
          <w:p w:rsidR="00413333" w:rsidRPr="00CE1614" w:rsidRDefault="00413333" w:rsidP="00021698">
            <w:pPr>
              <w:numPr>
                <w:ilvl w:val="0"/>
                <w:numId w:val="157"/>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79 objectives with technical and economic indicators approved for which the public procurement procedures shall be started;</w:t>
            </w:r>
          </w:p>
          <w:p w:rsidR="00413333" w:rsidRPr="00CE1614" w:rsidRDefault="00413333" w:rsidP="00413333">
            <w:pPr>
              <w:pBdr>
                <w:top w:val="nil"/>
                <w:left w:val="nil"/>
                <w:bottom w:val="nil"/>
                <w:right w:val="nil"/>
                <w:between w:val="nil"/>
              </w:pBdr>
              <w:spacing w:before="200" w:line="259" w:lineRule="auto"/>
              <w:jc w:val="both"/>
              <w:rPr>
                <w:rFonts w:ascii="Calibri" w:eastAsia="Calibri" w:hAnsi="Calibri" w:cs="Calibri"/>
                <w:color w:val="000000"/>
              </w:rPr>
            </w:pPr>
            <w:r>
              <w:rPr>
                <w:rFonts w:ascii="Calibri" w:hAnsi="Calibri"/>
                <w:b/>
                <w:color w:val="000000"/>
              </w:rPr>
              <w:t>Objectives for 2019:</w:t>
            </w:r>
          </w:p>
          <w:p w:rsidR="00413333" w:rsidRPr="00CE1614" w:rsidRDefault="00413333" w:rsidP="00021698">
            <w:pPr>
              <w:numPr>
                <w:ilvl w:val="0"/>
                <w:numId w:val="157"/>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continuance of the works for 281 investment objectives in different stages of execution at December 31, 2018;</w:t>
            </w:r>
          </w:p>
          <w:p w:rsidR="00413333" w:rsidRPr="00CE1614" w:rsidRDefault="00413333" w:rsidP="00021698">
            <w:pPr>
              <w:numPr>
                <w:ilvl w:val="0"/>
                <w:numId w:val="157"/>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completion of public procurement procedures for 144 investment objectives in different stages of the procedure;</w:t>
            </w:r>
          </w:p>
          <w:p w:rsidR="00413333" w:rsidRPr="00CE1614" w:rsidRDefault="00413333" w:rsidP="00021698">
            <w:pPr>
              <w:numPr>
                <w:ilvl w:val="0"/>
                <w:numId w:val="157"/>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initiation of public procurement procedures for 82 investment objectives with the technical and economic indicators approved and undergoing the public investment program;</w:t>
            </w:r>
          </w:p>
          <w:p w:rsidR="00413333" w:rsidRPr="00CE1614" w:rsidRDefault="00413333" w:rsidP="00021698">
            <w:pPr>
              <w:numPr>
                <w:ilvl w:val="0"/>
                <w:numId w:val="157"/>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continuance of the procedures of approval of the technical and economic indicators for a number of 562 investment objectives whose documentations are in process of verification on this date.</w:t>
            </w:r>
          </w:p>
          <w:p w:rsidR="00413333" w:rsidRPr="00CE1614" w:rsidRDefault="00413333" w:rsidP="00413333">
            <w:pPr>
              <w:pBdr>
                <w:top w:val="nil"/>
                <w:left w:val="nil"/>
                <w:bottom w:val="nil"/>
                <w:right w:val="nil"/>
                <w:between w:val="nil"/>
              </w:pBdr>
              <w:contextualSpacing/>
              <w:jc w:val="both"/>
              <w:rPr>
                <w:rFonts w:ascii="Calibri" w:eastAsia="Calibri" w:hAnsi="Calibri" w:cs="Calibri"/>
                <w:color w:val="000000"/>
                <w:lang w:val="ro-RO" w:eastAsia="ro-RO"/>
              </w:rPr>
            </w:pPr>
          </w:p>
          <w:p w:rsidR="00413333" w:rsidRPr="00CE1614" w:rsidRDefault="00413333" w:rsidP="00021698">
            <w:pPr>
              <w:numPr>
                <w:ilvl w:val="0"/>
                <w:numId w:val="146"/>
              </w:numPr>
              <w:spacing w:after="160" w:line="259" w:lineRule="auto"/>
              <w:contextualSpacing/>
              <w:jc w:val="both"/>
              <w:rPr>
                <w:rFonts w:ascii="Calibri" w:eastAsia="Calibri" w:hAnsi="Calibri" w:cs="Calibri"/>
              </w:rPr>
            </w:pPr>
            <w:r>
              <w:rPr>
                <w:rFonts w:ascii="Calibri" w:hAnsi="Calibri"/>
                <w:b/>
              </w:rPr>
              <w:t>The national program on increasing energy performance of residential buildings</w:t>
            </w:r>
          </w:p>
          <w:p w:rsidR="00413333" w:rsidRPr="00CE1614" w:rsidRDefault="00413333" w:rsidP="00413333">
            <w:pPr>
              <w:spacing w:after="160" w:line="259" w:lineRule="auto"/>
              <w:jc w:val="both"/>
              <w:rPr>
                <w:rFonts w:ascii="Calibri" w:eastAsia="Calibri" w:hAnsi="Calibri" w:cs="Calibri"/>
              </w:rPr>
            </w:pPr>
            <w:r>
              <w:rPr>
                <w:rFonts w:ascii="Calibri" w:hAnsi="Calibri"/>
                <w:b/>
              </w:rPr>
              <w:t>Objectives for 2018-2020:</w:t>
            </w:r>
            <w:r>
              <w:rPr>
                <w:rFonts w:ascii="Calibri" w:hAnsi="Calibri"/>
              </w:rPr>
              <w:t xml:space="preserve"> in 2019 are proposed for financing approximately 12,519 apartments in different stages of execution.</w:t>
            </w:r>
          </w:p>
          <w:p w:rsidR="00413333" w:rsidRPr="00CE1614" w:rsidRDefault="00413333" w:rsidP="00021698">
            <w:pPr>
              <w:numPr>
                <w:ilvl w:val="0"/>
                <w:numId w:val="146"/>
              </w:numPr>
              <w:spacing w:after="160" w:line="259" w:lineRule="auto"/>
              <w:jc w:val="both"/>
              <w:rPr>
                <w:rFonts w:ascii="Calibri" w:eastAsia="Calibri" w:hAnsi="Calibri" w:cs="Calibri"/>
              </w:rPr>
            </w:pPr>
            <w:r>
              <w:rPr>
                <w:rFonts w:ascii="Calibri" w:hAnsi="Calibri"/>
                <w:b/>
              </w:rPr>
              <w:t>Program “Heating for 2006-2020, heat and comfort”</w:t>
            </w:r>
          </w:p>
          <w:p w:rsidR="00413333" w:rsidRPr="00CE1614" w:rsidRDefault="00413333" w:rsidP="00413333">
            <w:pPr>
              <w:jc w:val="both"/>
              <w:rPr>
                <w:rFonts w:ascii="Calibri" w:eastAsia="Calibri" w:hAnsi="Calibri" w:cs="Calibri"/>
              </w:rPr>
            </w:pPr>
            <w:r>
              <w:rPr>
                <w:rFonts w:ascii="Calibri" w:hAnsi="Calibri"/>
                <w:b/>
              </w:rPr>
              <w:t>Objective</w:t>
            </w:r>
            <w:r>
              <w:rPr>
                <w:rFonts w:ascii="Calibri" w:hAnsi="Calibri"/>
              </w:rPr>
              <w:t xml:space="preserve">: modernization of the infrastructure that corresponds to the public service of heat supply of the localities and improving energy efficiency; </w:t>
            </w:r>
          </w:p>
          <w:p w:rsidR="00413333" w:rsidRPr="00CE1614" w:rsidRDefault="00413333" w:rsidP="00413333">
            <w:pPr>
              <w:jc w:val="both"/>
              <w:rPr>
                <w:rFonts w:ascii="Calibri" w:eastAsia="Calibri" w:hAnsi="Calibri" w:cs="Calibri"/>
              </w:rPr>
            </w:pPr>
            <w:r>
              <w:rPr>
                <w:rFonts w:ascii="Calibri" w:hAnsi="Calibri"/>
              </w:rPr>
              <w:t>Results obtained: in 2008-2017 were established 163 investment objectives promoted by 47 administrative-territorial units, the energy efficiency obtained as a result of the commissioning of the completed objectives is of 29,853 toe/year;</w:t>
            </w:r>
            <w:r>
              <w:rPr>
                <w:rFonts w:ascii="Calibri" w:hAnsi="Calibri"/>
              </w:rPr>
              <w:br/>
            </w:r>
            <w:r>
              <w:rPr>
                <w:rFonts w:ascii="Calibri" w:hAnsi="Calibri"/>
                <w:b/>
              </w:rPr>
              <w:t>Estimated results between 2019 and 2021</w:t>
            </w:r>
            <w:r>
              <w:rPr>
                <w:rFonts w:ascii="Calibri" w:hAnsi="Calibri"/>
              </w:rPr>
              <w:t>: financing of approximately 25 investment objectives proposed by 18 beneficiary administrative-territorial units</w:t>
            </w:r>
          </w:p>
          <w:p w:rsidR="00413333" w:rsidRPr="00CE1614" w:rsidRDefault="00413333" w:rsidP="00413333">
            <w:pPr>
              <w:jc w:val="both"/>
              <w:rPr>
                <w:rFonts w:ascii="Calibri" w:eastAsia="Calibri" w:hAnsi="Calibri" w:cs="Calibri"/>
                <w:lang w:val="ro-RO" w:eastAsia="ro-RO"/>
              </w:rPr>
            </w:pPr>
          </w:p>
          <w:p w:rsidR="00413333" w:rsidRPr="00CE1614" w:rsidRDefault="00413333" w:rsidP="00413333">
            <w:pPr>
              <w:jc w:val="both"/>
              <w:rPr>
                <w:rFonts w:ascii="Calibri" w:eastAsia="Arial" w:hAnsi="Calibri" w:cs="Arial"/>
                <w:b/>
              </w:rPr>
            </w:pPr>
            <w:r>
              <w:rPr>
                <w:rFonts w:ascii="Calibri" w:hAnsi="Calibri"/>
                <w:b/>
              </w:rPr>
              <w:t>- the Program of elaboration and/or update of the general urban plans and of the local urban regulations (annual program)</w:t>
            </w:r>
          </w:p>
          <w:p w:rsidR="00413333" w:rsidRPr="00CE1614" w:rsidRDefault="00413333" w:rsidP="00413333">
            <w:pPr>
              <w:jc w:val="both"/>
              <w:rPr>
                <w:rFonts w:ascii="Calibri" w:eastAsia="Arial" w:hAnsi="Calibri" w:cs="Arial"/>
                <w:b/>
                <w:lang w:val="ro-RO" w:eastAsia="ro-RO"/>
              </w:rPr>
            </w:pPr>
          </w:p>
          <w:p w:rsidR="00413333" w:rsidRPr="00CE1614" w:rsidRDefault="00413333" w:rsidP="00413333">
            <w:pPr>
              <w:jc w:val="both"/>
              <w:rPr>
                <w:rFonts w:ascii="Calibri" w:eastAsia="Calibri" w:hAnsi="Calibri" w:cs="Calibri"/>
                <w:b/>
              </w:rPr>
            </w:pPr>
            <w:r>
              <w:rPr>
                <w:rFonts w:ascii="Calibri" w:hAnsi="Calibri"/>
                <w:b/>
              </w:rPr>
              <w:t>Legal framework:</w:t>
            </w:r>
          </w:p>
          <w:p w:rsidR="00413333" w:rsidRPr="00CE1614" w:rsidRDefault="00413333" w:rsidP="00413333">
            <w:pPr>
              <w:jc w:val="both"/>
              <w:rPr>
                <w:rFonts w:ascii="Calibri" w:eastAsia="Calibri" w:hAnsi="Calibri" w:cs="Calibri"/>
              </w:rPr>
            </w:pPr>
            <w:r>
              <w:rPr>
                <w:rFonts w:ascii="Calibri" w:hAnsi="Calibri"/>
                <w:b/>
                <w:i/>
              </w:rPr>
              <w:t>.</w:t>
            </w:r>
            <w:r>
              <w:rPr>
                <w:rFonts w:ascii="Calibri" w:hAnsi="Calibri"/>
                <w:b/>
              </w:rPr>
              <w:tab/>
            </w:r>
            <w:r>
              <w:rPr>
                <w:rFonts w:ascii="Calibri" w:hAnsi="Calibri"/>
              </w:rPr>
              <w:t xml:space="preserve"> Law no. 350/2001 on territory arrangement and urbanism, as subsequently amended and supplemented, of Order of the MRDPA no. 233/2016 approving the Methodological norms of enforcement of Law no. 350/2001 on territory arrangement and urbanism and of elaboration and update of urbanism documentations and</w:t>
            </w:r>
          </w:p>
          <w:p w:rsidR="00413333" w:rsidRPr="00CE1614" w:rsidRDefault="00413333" w:rsidP="00413333">
            <w:pPr>
              <w:jc w:val="both"/>
              <w:rPr>
                <w:rFonts w:ascii="Calibri" w:eastAsia="Calibri" w:hAnsi="Calibri" w:cs="Calibri"/>
              </w:rPr>
            </w:pPr>
            <w:r>
              <w:rPr>
                <w:rFonts w:ascii="Calibri" w:hAnsi="Calibri"/>
              </w:rPr>
              <w:tab/>
              <w:t xml:space="preserve">HG no. 525/1996 approving the general urbanism regulation, as subsequently amended and supplemented; </w:t>
            </w:r>
          </w:p>
          <w:p w:rsidR="00413333" w:rsidRPr="00CE1614" w:rsidRDefault="00413333" w:rsidP="00413333">
            <w:pPr>
              <w:jc w:val="both"/>
              <w:rPr>
                <w:rFonts w:ascii="Calibri" w:eastAsia="Calibri" w:hAnsi="Calibri" w:cs="Calibri"/>
                <w:b/>
                <w:i/>
                <w:lang w:val="ro-RO" w:eastAsia="ro-RO"/>
              </w:rPr>
            </w:pPr>
          </w:p>
          <w:p w:rsidR="00413333" w:rsidRPr="00CE1614" w:rsidRDefault="00413333" w:rsidP="00413333">
            <w:pPr>
              <w:jc w:val="both"/>
              <w:rPr>
                <w:rFonts w:ascii="Calibri" w:eastAsia="Calibri" w:hAnsi="Calibri" w:cs="Calibri"/>
                <w:b/>
              </w:rPr>
            </w:pPr>
            <w:r>
              <w:rPr>
                <w:rFonts w:ascii="Calibri" w:hAnsi="Calibri"/>
                <w:b/>
              </w:rPr>
              <w:t>Financing sources</w:t>
            </w:r>
          </w:p>
          <w:p w:rsidR="00413333" w:rsidRPr="00CE1614" w:rsidRDefault="00413333" w:rsidP="00413333">
            <w:pPr>
              <w:jc w:val="both"/>
              <w:rPr>
                <w:rFonts w:ascii="Calibri" w:eastAsia="Calibri" w:hAnsi="Calibri" w:cs="Calibri"/>
              </w:rPr>
            </w:pPr>
            <w:r>
              <w:rPr>
                <w:rFonts w:ascii="Calibri" w:hAnsi="Calibri"/>
                <w:b/>
                <w:i/>
              </w:rPr>
              <w:tab/>
            </w:r>
            <w:r>
              <w:rPr>
                <w:rFonts w:ascii="Calibri" w:hAnsi="Calibri"/>
              </w:rPr>
              <w:t>State budget,</w:t>
            </w:r>
          </w:p>
          <w:p w:rsidR="00413333" w:rsidRPr="00CE1614" w:rsidRDefault="00413333" w:rsidP="00413333">
            <w:pPr>
              <w:jc w:val="both"/>
              <w:rPr>
                <w:rFonts w:ascii="Calibri" w:eastAsia="Calibri" w:hAnsi="Calibri" w:cs="Calibri"/>
              </w:rPr>
            </w:pPr>
            <w:r>
              <w:rPr>
                <w:rFonts w:ascii="Calibri" w:hAnsi="Calibri"/>
              </w:rPr>
              <w:tab/>
              <w:t>local budget of the beneficiary administrative-territorial units;</w:t>
            </w:r>
          </w:p>
          <w:p w:rsidR="00413333" w:rsidRPr="00CE1614" w:rsidRDefault="00413333" w:rsidP="00413333">
            <w:pPr>
              <w:jc w:val="both"/>
              <w:rPr>
                <w:rFonts w:ascii="Calibri" w:eastAsia="Calibri" w:hAnsi="Calibri" w:cs="Calibri"/>
                <w:b/>
                <w:lang w:val="ro-RO" w:eastAsia="ro-RO"/>
              </w:rPr>
            </w:pPr>
          </w:p>
          <w:p w:rsidR="00413333" w:rsidRPr="00CE1614" w:rsidRDefault="00413333" w:rsidP="00413333">
            <w:pPr>
              <w:jc w:val="both"/>
              <w:rPr>
                <w:rFonts w:ascii="Calibri" w:eastAsia="Calibri" w:hAnsi="Calibri" w:cs="Calibri"/>
                <w:b/>
              </w:rPr>
            </w:pPr>
            <w:r>
              <w:rPr>
                <w:rFonts w:ascii="Calibri" w:hAnsi="Calibri"/>
                <w:b/>
              </w:rPr>
              <w:t>Overview:</w:t>
            </w:r>
          </w:p>
          <w:p w:rsidR="00413333" w:rsidRPr="00CE1614" w:rsidRDefault="00413333" w:rsidP="00413333">
            <w:pPr>
              <w:jc w:val="both"/>
              <w:rPr>
                <w:rFonts w:ascii="Calibri" w:eastAsia="Calibri" w:hAnsi="Calibri" w:cs="Calibri"/>
              </w:rPr>
            </w:pPr>
            <w:r>
              <w:rPr>
                <w:rFonts w:ascii="Calibri" w:hAnsi="Calibri"/>
              </w:rPr>
              <w:t>Supporting local public authorities in the process of elaboration/update of general urban plans, so as to ensure the sustainable territorial development framework of localities from Romania.</w:t>
            </w:r>
          </w:p>
          <w:p w:rsidR="00413333" w:rsidRPr="00CE1614" w:rsidRDefault="00413333" w:rsidP="00413333">
            <w:pPr>
              <w:spacing w:before="200"/>
              <w:jc w:val="both"/>
              <w:rPr>
                <w:rFonts w:ascii="Calibri" w:eastAsia="Calibri" w:hAnsi="Calibri" w:cs="Calibri"/>
                <w:b/>
              </w:rPr>
            </w:pPr>
            <w:r>
              <w:rPr>
                <w:rFonts w:ascii="Calibri" w:hAnsi="Calibri"/>
                <w:b/>
              </w:rPr>
              <w:t>Purpose</w:t>
            </w:r>
          </w:p>
          <w:p w:rsidR="00413333" w:rsidRPr="00CE1614" w:rsidRDefault="00413333" w:rsidP="00413333">
            <w:pPr>
              <w:jc w:val="both"/>
              <w:rPr>
                <w:rFonts w:ascii="Calibri" w:eastAsia="Calibri" w:hAnsi="Calibri" w:cs="Calibri"/>
              </w:rPr>
            </w:pPr>
            <w:r>
              <w:rPr>
                <w:rFonts w:ascii="Calibri" w:hAnsi="Calibri"/>
              </w:rPr>
              <w:t>Support for implementation of development programs of localities, the basic instrument for achieving local discipline</w:t>
            </w:r>
          </w:p>
          <w:p w:rsidR="00413333" w:rsidRPr="00CE1614" w:rsidRDefault="00413333" w:rsidP="00413333">
            <w:pPr>
              <w:jc w:val="both"/>
              <w:rPr>
                <w:rFonts w:ascii="Calibri" w:eastAsia="Calibri" w:hAnsi="Calibri" w:cs="Calibri"/>
                <w:b/>
                <w:lang w:val="ro-RO" w:eastAsia="ro-RO"/>
              </w:rPr>
            </w:pPr>
          </w:p>
          <w:p w:rsidR="00413333" w:rsidRPr="00CE1614" w:rsidRDefault="00413333" w:rsidP="00413333">
            <w:pPr>
              <w:jc w:val="both"/>
              <w:rPr>
                <w:rFonts w:ascii="Calibri" w:eastAsia="Calibri" w:hAnsi="Calibri" w:cs="Calibri"/>
              </w:rPr>
            </w:pPr>
            <w:r>
              <w:rPr>
                <w:rFonts w:ascii="Calibri" w:hAnsi="Calibri"/>
                <w:b/>
              </w:rPr>
              <w:t>Program status for 2018:</w:t>
            </w:r>
          </w:p>
          <w:p w:rsidR="00413333" w:rsidRPr="00CE1614" w:rsidRDefault="00413333" w:rsidP="00413333">
            <w:pPr>
              <w:jc w:val="both"/>
              <w:rPr>
                <w:rFonts w:ascii="Calibri" w:eastAsia="Calibri" w:hAnsi="Calibri" w:cs="Calibri"/>
              </w:rPr>
            </w:pPr>
            <w:r>
              <w:rPr>
                <w:rFonts w:ascii="Calibri" w:hAnsi="Calibri"/>
              </w:rPr>
              <w:t>In 2018 are proposed for financing 908 ATUs of the 39 County Councils which concluded financing agreements in 2018 for the elaboration/update of the GUP and the LUR.</w:t>
            </w:r>
          </w:p>
          <w:p w:rsidR="00413333" w:rsidRPr="00CE1614" w:rsidRDefault="00413333" w:rsidP="00413333">
            <w:pPr>
              <w:jc w:val="both"/>
              <w:rPr>
                <w:rFonts w:ascii="Calibri" w:eastAsia="Calibri" w:hAnsi="Calibri" w:cs="Calibri"/>
                <w:lang w:val="ro-RO" w:eastAsia="ro-RO"/>
              </w:rPr>
            </w:pPr>
          </w:p>
          <w:p w:rsidR="00413333" w:rsidRPr="00CE1614" w:rsidRDefault="00413333" w:rsidP="00413333">
            <w:pPr>
              <w:jc w:val="both"/>
              <w:rPr>
                <w:rFonts w:ascii="Calibri" w:eastAsia="Calibri" w:hAnsi="Calibri" w:cs="Calibri"/>
                <w:b/>
              </w:rPr>
            </w:pPr>
            <w:r>
              <w:rPr>
                <w:rFonts w:ascii="Calibri" w:hAnsi="Calibri"/>
                <w:b/>
              </w:rPr>
              <w:t>Objectives for 2019:</w:t>
            </w:r>
          </w:p>
          <w:p w:rsidR="00413333" w:rsidRPr="00CE1614" w:rsidRDefault="00413333" w:rsidP="00021698">
            <w:pPr>
              <w:numPr>
                <w:ilvl w:val="0"/>
                <w:numId w:val="142"/>
              </w:numPr>
              <w:spacing w:after="240" w:line="259" w:lineRule="auto"/>
              <w:contextualSpacing/>
              <w:jc w:val="both"/>
              <w:rPr>
                <w:rFonts w:ascii="Calibri" w:eastAsia="Calibri" w:hAnsi="Calibri" w:cs="Calibri"/>
              </w:rPr>
            </w:pPr>
            <w:r>
              <w:rPr>
                <w:rFonts w:ascii="Calibri" w:hAnsi="Calibri"/>
              </w:rPr>
              <w:t>Transformation into a multi-annual program,</w:t>
            </w:r>
          </w:p>
          <w:p w:rsidR="00413333" w:rsidRPr="00CE1614" w:rsidRDefault="00413333" w:rsidP="00021698">
            <w:pPr>
              <w:numPr>
                <w:ilvl w:val="0"/>
                <w:numId w:val="142"/>
              </w:numPr>
              <w:spacing w:after="240" w:line="259" w:lineRule="auto"/>
              <w:contextualSpacing/>
              <w:jc w:val="both"/>
              <w:rPr>
                <w:rFonts w:ascii="Calibri" w:eastAsia="Calibri" w:hAnsi="Calibri" w:cs="Calibri"/>
              </w:rPr>
            </w:pPr>
            <w:r>
              <w:rPr>
                <w:rFonts w:ascii="Calibri" w:hAnsi="Calibri"/>
              </w:rPr>
              <w:t>This measure ensures predictability of the funds for the local public authorities, encouraging local public authorities to update the urbanism documentations (and to conclude agreements with the economic operators). Also, this measure makes more efficient the manner of implementation of the program (it is no longer necessary to repeat on a yearly basis the activities of transmission of requests, of establishment of financing priorities, of contracting)</w:t>
            </w:r>
          </w:p>
          <w:p w:rsidR="00413333" w:rsidRPr="00CE1614" w:rsidRDefault="00413333" w:rsidP="00021698">
            <w:pPr>
              <w:numPr>
                <w:ilvl w:val="0"/>
                <w:numId w:val="142"/>
              </w:numPr>
              <w:spacing w:after="240" w:line="259" w:lineRule="auto"/>
              <w:contextualSpacing/>
              <w:jc w:val="both"/>
              <w:rPr>
                <w:rFonts w:ascii="Calibri" w:eastAsia="Calibri" w:hAnsi="Calibri" w:cs="Calibri"/>
              </w:rPr>
            </w:pPr>
            <w:r>
              <w:rPr>
                <w:rFonts w:ascii="Calibri" w:hAnsi="Calibri"/>
              </w:rPr>
              <w:t>Elaboration of the procedures in electronic form</w:t>
            </w:r>
          </w:p>
          <w:p w:rsidR="00413333" w:rsidRPr="00CE1614" w:rsidRDefault="00413333" w:rsidP="00021698">
            <w:pPr>
              <w:numPr>
                <w:ilvl w:val="0"/>
                <w:numId w:val="142"/>
              </w:numPr>
              <w:spacing w:after="240" w:line="259" w:lineRule="auto"/>
              <w:contextualSpacing/>
              <w:jc w:val="both"/>
              <w:rPr>
                <w:rFonts w:ascii="Calibri" w:eastAsia="Calibri" w:hAnsi="Calibri" w:cs="Calibri"/>
              </w:rPr>
            </w:pPr>
            <w:r>
              <w:rPr>
                <w:rFonts w:ascii="Calibri" w:hAnsi="Calibri"/>
              </w:rPr>
              <w:t>Through the implementation of the financing program through a software it is ensured improved efficiency, monitoring, and transparency.</w:t>
            </w:r>
          </w:p>
          <w:p w:rsidR="00413333" w:rsidRPr="00CE1614" w:rsidRDefault="00413333" w:rsidP="00021698">
            <w:pPr>
              <w:numPr>
                <w:ilvl w:val="0"/>
                <w:numId w:val="142"/>
              </w:numPr>
              <w:spacing w:after="240" w:line="259" w:lineRule="auto"/>
              <w:contextualSpacing/>
              <w:jc w:val="both"/>
              <w:rPr>
                <w:rFonts w:ascii="Calibri" w:eastAsia="Calibri" w:hAnsi="Calibri" w:cs="Calibri"/>
              </w:rPr>
            </w:pPr>
            <w:r>
              <w:rPr>
                <w:rFonts w:ascii="Calibri" w:hAnsi="Calibri"/>
              </w:rPr>
              <w:t>Constant allocation of a budget relative to requests from the territory</w:t>
            </w:r>
          </w:p>
          <w:p w:rsidR="00413333" w:rsidRPr="00CE1614" w:rsidRDefault="00413333" w:rsidP="00021698">
            <w:pPr>
              <w:numPr>
                <w:ilvl w:val="0"/>
                <w:numId w:val="142"/>
              </w:numPr>
              <w:spacing w:after="240" w:line="259" w:lineRule="auto"/>
              <w:contextualSpacing/>
              <w:jc w:val="both"/>
              <w:rPr>
                <w:rFonts w:ascii="Calibri" w:eastAsia="Calibri" w:hAnsi="Calibri" w:cs="Calibri"/>
              </w:rPr>
            </w:pPr>
            <w:r>
              <w:rPr>
                <w:rFonts w:ascii="Calibri" w:hAnsi="Calibri"/>
              </w:rPr>
              <w:t>Elaboration of a database and correlation of the process of endorsement of TA and U documentations established in accordance with the provisions of Law no. 350/2001 on territory arrangement and urbanism, as subsequently amended and supplemented.</w:t>
            </w:r>
          </w:p>
          <w:p w:rsidR="00413333" w:rsidRPr="00CE1614" w:rsidRDefault="00413333" w:rsidP="00021698">
            <w:pPr>
              <w:numPr>
                <w:ilvl w:val="0"/>
                <w:numId w:val="142"/>
              </w:numPr>
              <w:spacing w:after="240" w:line="259" w:lineRule="auto"/>
              <w:contextualSpacing/>
              <w:jc w:val="both"/>
              <w:rPr>
                <w:rFonts w:ascii="Calibri" w:eastAsia="Calibri" w:hAnsi="Calibri" w:cs="Calibri"/>
              </w:rPr>
            </w:pPr>
            <w:r>
              <w:rPr>
                <w:rFonts w:ascii="Calibri" w:hAnsi="Calibri"/>
              </w:rPr>
              <w:t xml:space="preserve">Updating the methodology of elaboration of general urban plans so as to establish the elaboration of urbanism documentations in digital form and data inter-operability. </w:t>
            </w:r>
          </w:p>
          <w:p w:rsidR="00413333" w:rsidRPr="00CE1614" w:rsidRDefault="00413333" w:rsidP="00413333">
            <w:pPr>
              <w:jc w:val="both"/>
              <w:rPr>
                <w:rFonts w:ascii="Calibri" w:eastAsia="Calibri" w:hAnsi="Calibri" w:cs="Calibri"/>
                <w:b/>
                <w:lang w:val="ro-RO" w:eastAsia="ro-RO"/>
              </w:rPr>
            </w:pPr>
          </w:p>
          <w:p w:rsidR="00413333" w:rsidRPr="00CE1614" w:rsidRDefault="00413333" w:rsidP="00413333">
            <w:pPr>
              <w:jc w:val="both"/>
              <w:rPr>
                <w:rFonts w:ascii="Calibri" w:eastAsia="Calibri" w:hAnsi="Calibri" w:cs="Calibri"/>
                <w:b/>
              </w:rPr>
            </w:pPr>
            <w:r>
              <w:rPr>
                <w:rFonts w:ascii="Calibri" w:hAnsi="Calibri"/>
                <w:b/>
              </w:rPr>
              <w:t xml:space="preserve"> - Program of elaboration of maps of natural risk for earthquakes and land slides</w:t>
            </w:r>
          </w:p>
          <w:p w:rsidR="00413333" w:rsidRPr="00CE1614" w:rsidRDefault="00413333" w:rsidP="00413333">
            <w:pPr>
              <w:jc w:val="both"/>
              <w:rPr>
                <w:rFonts w:ascii="Calibri" w:eastAsia="Calibri" w:hAnsi="Calibri" w:cs="Calibri"/>
                <w:b/>
                <w:lang w:val="ro-RO" w:eastAsia="ro-RO"/>
              </w:rPr>
            </w:pPr>
          </w:p>
          <w:p w:rsidR="00413333" w:rsidRPr="00CE1614" w:rsidRDefault="00413333" w:rsidP="00413333">
            <w:pPr>
              <w:jc w:val="both"/>
              <w:rPr>
                <w:rFonts w:ascii="Calibri" w:eastAsia="Calibri" w:hAnsi="Calibri" w:cs="Calibri"/>
                <w:b/>
              </w:rPr>
            </w:pPr>
            <w:r>
              <w:rPr>
                <w:rFonts w:ascii="Calibri" w:hAnsi="Calibri"/>
                <w:b/>
              </w:rPr>
              <w:t xml:space="preserve"> Legal framework</w:t>
            </w:r>
          </w:p>
          <w:p w:rsidR="00413333" w:rsidRPr="00CE1614" w:rsidRDefault="00413333" w:rsidP="00413333">
            <w:pPr>
              <w:jc w:val="both"/>
              <w:rPr>
                <w:rFonts w:ascii="Calibri" w:eastAsia="Calibri" w:hAnsi="Calibri" w:cs="Calibri"/>
              </w:rPr>
            </w:pPr>
            <w:r>
              <w:rPr>
                <w:rFonts w:ascii="Calibri" w:hAnsi="Calibri"/>
              </w:rPr>
              <w:t>Law no. 575/2001 approving the National territory arrangement plan - Section V - natural risk areas,</w:t>
            </w:r>
          </w:p>
          <w:p w:rsidR="00413333" w:rsidRPr="00CE1614" w:rsidRDefault="00413333" w:rsidP="00413333">
            <w:pPr>
              <w:jc w:val="both"/>
              <w:rPr>
                <w:rFonts w:ascii="Calibri" w:eastAsia="Calibri" w:hAnsi="Calibri" w:cs="Calibri"/>
              </w:rPr>
            </w:pPr>
            <w:r>
              <w:rPr>
                <w:rFonts w:ascii="Calibri" w:hAnsi="Calibri"/>
              </w:rPr>
              <w:t xml:space="preserve">Government Decision no. 447/2003 approving the methodological norms on the manner of elaboration and the content of maps of natural risk for </w:t>
            </w:r>
            <w:r w:rsidR="00916FF8">
              <w:rPr>
                <w:rFonts w:ascii="Calibri" w:hAnsi="Calibri"/>
              </w:rPr>
              <w:t>landslides</w:t>
            </w:r>
            <w:r>
              <w:rPr>
                <w:rFonts w:ascii="Calibri" w:hAnsi="Calibri"/>
              </w:rPr>
              <w:t xml:space="preserve"> and floods </w:t>
            </w:r>
          </w:p>
          <w:p w:rsidR="00413333" w:rsidRPr="00CE1614" w:rsidRDefault="00413333" w:rsidP="00413333">
            <w:pPr>
              <w:jc w:val="both"/>
              <w:rPr>
                <w:rFonts w:ascii="Calibri" w:eastAsia="Calibri" w:hAnsi="Calibri" w:cs="Calibri"/>
              </w:rPr>
            </w:pPr>
            <w:r>
              <w:rPr>
                <w:rFonts w:ascii="Calibri" w:hAnsi="Calibri"/>
              </w:rPr>
              <w:t xml:space="preserve">Government Decision no. 932/2007 approving the Methodology of financing from the State budget of maps of natural risk for earthquakes and </w:t>
            </w:r>
            <w:r w:rsidR="00916FF8">
              <w:rPr>
                <w:rFonts w:ascii="Calibri" w:hAnsi="Calibri"/>
              </w:rPr>
              <w:t>landslides</w:t>
            </w:r>
            <w:r>
              <w:rPr>
                <w:rFonts w:ascii="Calibri" w:hAnsi="Calibri"/>
              </w:rPr>
              <w:t>;</w:t>
            </w:r>
          </w:p>
          <w:p w:rsidR="00413333" w:rsidRPr="00CE1614" w:rsidRDefault="00413333" w:rsidP="00413333">
            <w:pPr>
              <w:spacing w:before="200"/>
              <w:jc w:val="both"/>
              <w:rPr>
                <w:rFonts w:ascii="Calibri" w:eastAsia="Calibri" w:hAnsi="Calibri" w:cs="Calibri"/>
                <w:b/>
              </w:rPr>
            </w:pPr>
            <w:r>
              <w:rPr>
                <w:rFonts w:ascii="Calibri" w:hAnsi="Calibri"/>
                <w:b/>
              </w:rPr>
              <w:t xml:space="preserve"> Financing sources:</w:t>
            </w:r>
          </w:p>
          <w:p w:rsidR="00413333" w:rsidRPr="00CE1614" w:rsidRDefault="00413333" w:rsidP="00413333">
            <w:pPr>
              <w:jc w:val="both"/>
              <w:rPr>
                <w:rFonts w:ascii="Calibri" w:eastAsia="Calibri" w:hAnsi="Calibri" w:cs="Calibri"/>
              </w:rPr>
            </w:pPr>
            <w:r>
              <w:rPr>
                <w:rFonts w:ascii="Calibri" w:hAnsi="Calibri"/>
              </w:rPr>
              <w:t xml:space="preserve">Co-financing up to 50% from allocations from the State budget, within the limit of the funds approved yearly with this destination in the budget of the Ministry of Regional Development and Public Administration, and the difference from the budget of county councils which is required to provide the funds necessary for financing maps of natural risk. </w:t>
            </w:r>
          </w:p>
          <w:p w:rsidR="00413333" w:rsidRPr="00CE1614" w:rsidRDefault="00413333" w:rsidP="00413333">
            <w:pPr>
              <w:jc w:val="both"/>
              <w:rPr>
                <w:rFonts w:ascii="Calibri" w:eastAsia="Calibri" w:hAnsi="Calibri" w:cs="Calibri"/>
                <w:lang w:val="ro-RO" w:eastAsia="ro-RO"/>
              </w:rPr>
            </w:pPr>
          </w:p>
          <w:p w:rsidR="00413333" w:rsidRPr="00CE1614" w:rsidRDefault="00413333" w:rsidP="00413333">
            <w:pPr>
              <w:spacing w:after="120"/>
              <w:jc w:val="both"/>
              <w:rPr>
                <w:rFonts w:ascii="Calibri" w:eastAsia="Calibri" w:hAnsi="Calibri" w:cs="Calibri"/>
                <w:b/>
              </w:rPr>
            </w:pPr>
            <w:r>
              <w:rPr>
                <w:rFonts w:ascii="Calibri" w:hAnsi="Calibri"/>
                <w:b/>
              </w:rPr>
              <w:t>Overview:</w:t>
            </w:r>
          </w:p>
          <w:p w:rsidR="00413333" w:rsidRPr="00CE1614" w:rsidRDefault="00413333" w:rsidP="00413333">
            <w:pPr>
              <w:jc w:val="both"/>
              <w:rPr>
                <w:rFonts w:ascii="Calibri" w:eastAsia="Calibri" w:hAnsi="Calibri" w:cs="Calibri"/>
                <w:color w:val="262626"/>
              </w:rPr>
            </w:pPr>
            <w:r>
              <w:rPr>
                <w:rFonts w:ascii="Calibri" w:hAnsi="Calibri"/>
                <w:color w:val="262626"/>
              </w:rPr>
              <w:t>Geographical delimitation of the territories inside which there is a potential of occurrence of destructive natural phenomena, which might affect the population, human activities, the natural environment and the constructed environment and might cause damages and human victims.</w:t>
            </w:r>
          </w:p>
          <w:p w:rsidR="00413333" w:rsidRPr="00CE1614" w:rsidRDefault="00413333" w:rsidP="00413333">
            <w:pPr>
              <w:spacing w:before="200"/>
              <w:jc w:val="both"/>
              <w:rPr>
                <w:rFonts w:ascii="Calibri" w:eastAsia="Calibri" w:hAnsi="Calibri" w:cs="Calibri"/>
                <w:b/>
                <w:color w:val="262626"/>
              </w:rPr>
            </w:pPr>
            <w:r>
              <w:rPr>
                <w:rFonts w:ascii="Calibri" w:hAnsi="Calibri"/>
                <w:b/>
                <w:color w:val="262626"/>
              </w:rPr>
              <w:t>Program status for 2018:</w:t>
            </w:r>
          </w:p>
          <w:p w:rsidR="00413333" w:rsidRPr="00CE1614" w:rsidRDefault="00413333" w:rsidP="00413333">
            <w:pPr>
              <w:spacing w:line="273" w:lineRule="auto"/>
              <w:jc w:val="both"/>
              <w:rPr>
                <w:rFonts w:ascii="Calibri" w:eastAsia="Calibri" w:hAnsi="Calibri" w:cs="Calibri"/>
                <w:color w:val="262626"/>
              </w:rPr>
            </w:pPr>
            <w:r>
              <w:rPr>
                <w:rFonts w:ascii="Calibri" w:hAnsi="Calibri"/>
                <w:color w:val="262626"/>
              </w:rPr>
              <w:t>Number of agreements elaborated with the county councils - 4 agreements</w:t>
            </w:r>
          </w:p>
          <w:p w:rsidR="00413333" w:rsidRPr="00CE1614" w:rsidRDefault="00413333" w:rsidP="00413333">
            <w:pPr>
              <w:spacing w:before="200"/>
              <w:jc w:val="both"/>
              <w:rPr>
                <w:rFonts w:ascii="Calibri" w:eastAsia="Calibri" w:hAnsi="Calibri" w:cs="Calibri"/>
                <w:b/>
              </w:rPr>
            </w:pPr>
            <w:r>
              <w:rPr>
                <w:rFonts w:ascii="Calibri" w:hAnsi="Calibri"/>
                <w:b/>
              </w:rPr>
              <w:t>Objectives for 2019</w:t>
            </w:r>
          </w:p>
          <w:p w:rsidR="00413333" w:rsidRPr="00CE1614" w:rsidRDefault="00413333" w:rsidP="00413333">
            <w:pPr>
              <w:jc w:val="both"/>
              <w:rPr>
                <w:rFonts w:ascii="Calibri" w:eastAsia="Calibri" w:hAnsi="Calibri" w:cs="Calibri"/>
              </w:rPr>
            </w:pPr>
            <w:r>
              <w:rPr>
                <w:rFonts w:ascii="Calibri" w:hAnsi="Calibri"/>
              </w:rPr>
              <w:t>Transformation into a multi-annual program,</w:t>
            </w:r>
          </w:p>
          <w:p w:rsidR="00413333" w:rsidRPr="00CE1614" w:rsidRDefault="00413333" w:rsidP="00021698">
            <w:pPr>
              <w:numPr>
                <w:ilvl w:val="0"/>
                <w:numId w:val="143"/>
              </w:numPr>
              <w:spacing w:after="240" w:line="259" w:lineRule="auto"/>
              <w:ind w:left="141" w:firstLine="0"/>
              <w:contextualSpacing/>
              <w:jc w:val="both"/>
              <w:rPr>
                <w:rFonts w:ascii="Calibri" w:eastAsia="Calibri" w:hAnsi="Calibri" w:cs="Calibri"/>
              </w:rPr>
            </w:pPr>
            <w:r>
              <w:rPr>
                <w:rFonts w:ascii="Calibri" w:hAnsi="Calibri"/>
              </w:rPr>
              <w:t xml:space="preserve">Sustainable territory development - through substantiation of the conditions and possibilities of use of the land relative to the requirements of safety against earthquakes and </w:t>
            </w:r>
            <w:r w:rsidR="00916FF8">
              <w:rPr>
                <w:rFonts w:ascii="Calibri" w:hAnsi="Calibri"/>
              </w:rPr>
              <w:t>landslides</w:t>
            </w:r>
            <w:r>
              <w:rPr>
                <w:rFonts w:ascii="Calibri" w:hAnsi="Calibri"/>
              </w:rPr>
              <w:t xml:space="preserve"> for 20 counties.</w:t>
            </w:r>
          </w:p>
          <w:p w:rsidR="00413333" w:rsidRPr="00CE1614" w:rsidRDefault="00413333" w:rsidP="00413333">
            <w:pPr>
              <w:jc w:val="both"/>
              <w:rPr>
                <w:rFonts w:ascii="Calibri" w:eastAsia="Calibri" w:hAnsi="Calibri" w:cs="Calibri"/>
                <w:b/>
              </w:rPr>
            </w:pPr>
            <w:r>
              <w:rPr>
                <w:rFonts w:ascii="Calibri" w:hAnsi="Calibri"/>
                <w:b/>
              </w:rPr>
              <w:t>Program regarding the Information system specific for the real estate - urban field and urban data banks</w:t>
            </w:r>
          </w:p>
          <w:p w:rsidR="00413333" w:rsidRPr="00CE1614" w:rsidRDefault="00413333" w:rsidP="00413333">
            <w:pPr>
              <w:spacing w:before="200"/>
              <w:jc w:val="both"/>
              <w:rPr>
                <w:rFonts w:ascii="Calibri" w:eastAsia="Calibri" w:hAnsi="Calibri" w:cs="Calibri"/>
                <w:b/>
              </w:rPr>
            </w:pPr>
            <w:r>
              <w:rPr>
                <w:rFonts w:ascii="Calibri" w:hAnsi="Calibri"/>
                <w:b/>
              </w:rPr>
              <w:t>Legal framework</w:t>
            </w:r>
          </w:p>
          <w:p w:rsidR="00413333" w:rsidRPr="00CE1614" w:rsidRDefault="00413333" w:rsidP="00413333">
            <w:pPr>
              <w:jc w:val="both"/>
              <w:rPr>
                <w:rFonts w:ascii="Calibri" w:eastAsia="Calibri" w:hAnsi="Calibri" w:cs="Calibri"/>
              </w:rPr>
            </w:pPr>
            <w:r>
              <w:rPr>
                <w:rFonts w:ascii="Calibri" w:hAnsi="Calibri"/>
              </w:rPr>
              <w:t xml:space="preserve"> Law of </w:t>
            </w:r>
            <w:r w:rsidR="00916FF8">
              <w:rPr>
                <w:rFonts w:ascii="Calibri" w:hAnsi="Calibri"/>
              </w:rPr>
              <w:t>cadaster</w:t>
            </w:r>
            <w:r>
              <w:rPr>
                <w:rFonts w:ascii="Calibri" w:hAnsi="Calibri"/>
              </w:rPr>
              <w:t xml:space="preserve"> and land registration no. 7/1997, republished; GD no. 521/1997 approving the Methodological norms on the financing of the information system specific for the real estate - urban field and urban data banks, amended and supplemented through GD no. 818/2007, GD no. 893/2008 and GD no. 247/2010;</w:t>
            </w:r>
          </w:p>
          <w:p w:rsidR="00413333" w:rsidRPr="00CE1614" w:rsidRDefault="00413333" w:rsidP="00413333">
            <w:pPr>
              <w:jc w:val="both"/>
              <w:rPr>
                <w:rFonts w:ascii="Calibri" w:eastAsia="Calibri" w:hAnsi="Calibri" w:cs="Calibri"/>
                <w:b/>
              </w:rPr>
            </w:pPr>
            <w:r>
              <w:rPr>
                <w:rFonts w:ascii="Calibri" w:hAnsi="Calibri"/>
              </w:rPr>
              <w:t xml:space="preserve">The methodologies of execution of works of introduction of real estate </w:t>
            </w:r>
            <w:r w:rsidR="00916FF8">
              <w:rPr>
                <w:rFonts w:ascii="Calibri" w:hAnsi="Calibri"/>
              </w:rPr>
              <w:t>cadaster</w:t>
            </w:r>
            <w:r>
              <w:rPr>
                <w:rFonts w:ascii="Calibri" w:hAnsi="Calibri"/>
              </w:rPr>
              <w:t xml:space="preserve"> and urban networks in the localities, approved through Order no. 90/NN/911/CP and Order no. 91/NN/912-CP of June 2, 1997, issued by the Ministry of Public Works and Territory Arrangement and the National Office of </w:t>
            </w:r>
            <w:r w:rsidR="00916FF8">
              <w:rPr>
                <w:rFonts w:ascii="Calibri" w:hAnsi="Calibri"/>
              </w:rPr>
              <w:t>Cadaster</w:t>
            </w:r>
            <w:r>
              <w:rPr>
                <w:rFonts w:ascii="Calibri" w:hAnsi="Calibri"/>
              </w:rPr>
              <w:t>, Geodesy and Mapping.</w:t>
            </w:r>
          </w:p>
          <w:p w:rsidR="00413333" w:rsidRPr="00CE1614" w:rsidRDefault="00413333" w:rsidP="00413333">
            <w:pPr>
              <w:spacing w:before="200"/>
              <w:jc w:val="both"/>
              <w:rPr>
                <w:rFonts w:ascii="Calibri" w:eastAsia="Calibri" w:hAnsi="Calibri" w:cs="Calibri"/>
                <w:b/>
              </w:rPr>
            </w:pPr>
            <w:r>
              <w:rPr>
                <w:rFonts w:ascii="Calibri" w:hAnsi="Calibri"/>
                <w:b/>
              </w:rPr>
              <w:t xml:space="preserve"> Overview</w:t>
            </w:r>
          </w:p>
          <w:p w:rsidR="00413333" w:rsidRPr="00CE1614" w:rsidRDefault="00413333" w:rsidP="00413333">
            <w:pPr>
              <w:jc w:val="both"/>
              <w:rPr>
                <w:rFonts w:ascii="Calibri" w:eastAsia="Calibri" w:hAnsi="Calibri" w:cs="Calibri"/>
                <w:b/>
              </w:rPr>
            </w:pPr>
            <w:r>
              <w:rPr>
                <w:rFonts w:ascii="Calibri" w:hAnsi="Calibri"/>
              </w:rPr>
              <w:t xml:space="preserve">The information system specific for the real estate - urban field and of urban data banks, hereinafter referred to as SISDIEBDU, is the system of record keeping, measurement, inventory, management and systematic update of all real estate and urban networks from inside the built-up area of localities, in technical and economic terms, under observance of basic data from the general </w:t>
            </w:r>
            <w:r w:rsidR="00916FF8">
              <w:rPr>
                <w:rFonts w:ascii="Calibri" w:hAnsi="Calibri"/>
              </w:rPr>
              <w:t>cadaster</w:t>
            </w:r>
            <w:r>
              <w:rPr>
                <w:rFonts w:ascii="Calibri" w:hAnsi="Calibri"/>
              </w:rPr>
              <w:t>, regarding area, category of use and owner.</w:t>
            </w:r>
          </w:p>
          <w:p w:rsidR="00413333" w:rsidRPr="00CE1614" w:rsidRDefault="00413333" w:rsidP="00413333">
            <w:pPr>
              <w:jc w:val="both"/>
              <w:rPr>
                <w:rFonts w:ascii="Calibri" w:eastAsia="Calibri" w:hAnsi="Calibri" w:cs="Calibri"/>
              </w:rPr>
            </w:pPr>
            <w:r>
              <w:rPr>
                <w:rFonts w:ascii="Calibri" w:hAnsi="Calibri"/>
                <w:b/>
              </w:rPr>
              <w:t xml:space="preserve">Financing sources: </w:t>
            </w:r>
            <w:r>
              <w:rPr>
                <w:rFonts w:ascii="Calibri" w:hAnsi="Calibri"/>
              </w:rPr>
              <w:t>State budget, local budget of the beneficiary administrative-territorial units;</w:t>
            </w:r>
          </w:p>
          <w:p w:rsidR="00413333" w:rsidRPr="00CE1614" w:rsidRDefault="00413333" w:rsidP="00413333">
            <w:pPr>
              <w:spacing w:before="200"/>
              <w:jc w:val="both"/>
              <w:rPr>
                <w:rFonts w:ascii="Calibri" w:eastAsia="Calibri" w:hAnsi="Calibri" w:cs="Calibri"/>
                <w:b/>
              </w:rPr>
            </w:pPr>
            <w:r>
              <w:rPr>
                <w:rFonts w:ascii="Calibri" w:hAnsi="Calibri"/>
                <w:b/>
              </w:rPr>
              <w:t>Objectives for 2019:</w:t>
            </w:r>
          </w:p>
          <w:p w:rsidR="00413333" w:rsidRPr="00CE1614" w:rsidRDefault="00413333" w:rsidP="00021698">
            <w:pPr>
              <w:numPr>
                <w:ilvl w:val="0"/>
                <w:numId w:val="158"/>
              </w:numPr>
              <w:spacing w:after="240" w:line="259" w:lineRule="auto"/>
              <w:contextualSpacing/>
              <w:jc w:val="both"/>
              <w:rPr>
                <w:rFonts w:ascii="Calibri" w:eastAsia="Calibri" w:hAnsi="Calibri" w:cs="Calibri"/>
              </w:rPr>
            </w:pPr>
            <w:r>
              <w:rPr>
                <w:rFonts w:ascii="Calibri" w:hAnsi="Calibri"/>
              </w:rPr>
              <w:t>Transformation into a multi-annual program,</w:t>
            </w:r>
          </w:p>
          <w:p w:rsidR="00413333" w:rsidRPr="00CE1614" w:rsidRDefault="00413333" w:rsidP="00021698">
            <w:pPr>
              <w:numPr>
                <w:ilvl w:val="0"/>
                <w:numId w:val="155"/>
              </w:numPr>
              <w:spacing w:after="240" w:line="259" w:lineRule="auto"/>
              <w:contextualSpacing/>
              <w:jc w:val="both"/>
              <w:rPr>
                <w:rFonts w:ascii="Calibri" w:eastAsia="Calibri" w:hAnsi="Calibri" w:cs="Calibri"/>
              </w:rPr>
            </w:pPr>
            <w:r>
              <w:rPr>
                <w:rFonts w:ascii="Calibri" w:hAnsi="Calibri"/>
              </w:rPr>
              <w:t>Supporting the local public administration authorities in the processes of planning and control of development through assurance of financing for 1500 ATUs, as well as the need to elaborate urban data banks so as to ensure a coherent development of the localities from Romania.</w:t>
            </w:r>
          </w:p>
          <w:p w:rsidR="00413333" w:rsidRPr="00CE1614" w:rsidRDefault="00413333" w:rsidP="00413333">
            <w:pPr>
              <w:spacing w:before="120"/>
              <w:jc w:val="both"/>
              <w:rPr>
                <w:rFonts w:ascii="Calibri" w:eastAsia="Calibri" w:hAnsi="Calibri" w:cs="Calibri"/>
                <w:b/>
                <w:u w:val="single"/>
                <w:lang w:val="ro-RO" w:eastAsia="ro-RO"/>
              </w:rPr>
            </w:pPr>
          </w:p>
          <w:p w:rsidR="00413333" w:rsidRPr="00CE1614" w:rsidRDefault="00413333" w:rsidP="00413333">
            <w:pPr>
              <w:spacing w:before="120"/>
              <w:jc w:val="both"/>
              <w:rPr>
                <w:rFonts w:ascii="Calibri" w:eastAsia="Calibri" w:hAnsi="Calibri" w:cs="Calibri"/>
                <w:u w:val="single"/>
              </w:rPr>
            </w:pPr>
            <w:r>
              <w:rPr>
                <w:rFonts w:ascii="Calibri" w:hAnsi="Calibri"/>
                <w:b/>
                <w:u w:val="single"/>
              </w:rPr>
              <w:t xml:space="preserve">REGIONAL DEVELOPMENT - POR  </w:t>
            </w:r>
          </w:p>
          <w:p w:rsidR="00413333" w:rsidRPr="00CE1614" w:rsidRDefault="00413333" w:rsidP="00413333">
            <w:pPr>
              <w:jc w:val="both"/>
              <w:rPr>
                <w:rFonts w:ascii="Calibri" w:eastAsia="Calibri" w:hAnsi="Calibri" w:cs="Calibri"/>
              </w:rPr>
            </w:pPr>
            <w:r>
              <w:rPr>
                <w:rFonts w:ascii="Calibri" w:hAnsi="Calibri"/>
                <w:b/>
              </w:rPr>
              <w:t>THE REGIONAL OPERATIONAL PROGRAM (POR) FOR 2014-2020</w:t>
            </w:r>
            <w:r>
              <w:rPr>
                <w:rFonts w:ascii="Calibri" w:hAnsi="Calibri"/>
              </w:rPr>
              <w:t xml:space="preserve"> - Regarding the POR for 2014-2020, it was approved by the EC on June 23, 2015. </w:t>
            </w:r>
          </w:p>
          <w:p w:rsidR="00413333" w:rsidRPr="00CE1614" w:rsidRDefault="00413333" w:rsidP="00413333">
            <w:pPr>
              <w:spacing w:before="120" w:after="120"/>
              <w:jc w:val="both"/>
              <w:rPr>
                <w:rFonts w:ascii="Calibri" w:eastAsia="Calibri" w:hAnsi="Calibri" w:cs="Calibri"/>
              </w:rPr>
            </w:pPr>
            <w:r>
              <w:rPr>
                <w:rFonts w:ascii="Calibri" w:hAnsi="Calibri"/>
                <w:b/>
              </w:rPr>
              <w:t>The total budget of POR for 2014-2020 is of 8.38 billion EUR</w:t>
            </w:r>
          </w:p>
          <w:p w:rsidR="00413333" w:rsidRPr="00CE1614" w:rsidRDefault="00413333" w:rsidP="00413333">
            <w:pPr>
              <w:spacing w:before="120" w:after="120"/>
              <w:jc w:val="both"/>
              <w:rPr>
                <w:rFonts w:ascii="Calibri" w:eastAsia="Calibri" w:hAnsi="Calibri" w:cs="Calibri"/>
              </w:rPr>
            </w:pPr>
            <w:r>
              <w:rPr>
                <w:rFonts w:ascii="Calibri" w:hAnsi="Calibri"/>
                <w:b/>
              </w:rPr>
              <w:t>The general objective of POR for 2014-2020</w:t>
            </w:r>
            <w:r>
              <w:rPr>
                <w:rFonts w:ascii="Calibri" w:hAnsi="Calibri"/>
              </w:rPr>
              <w:t xml:space="preserve"> is to increase the economic competitiveness and improve the living conditions of the local and regional community through support for the development of the business environment, of the infrastructure conditions and services, which would ensure a sustainable development of the regions, capable of efficiently managing resources, capitalizing their potential for innovation and assimilation of the technological progress.</w:t>
            </w:r>
          </w:p>
          <w:p w:rsidR="00413333" w:rsidRPr="00CE1614" w:rsidRDefault="00413333" w:rsidP="00413333">
            <w:pPr>
              <w:spacing w:before="120" w:after="120"/>
              <w:jc w:val="both"/>
              <w:rPr>
                <w:rFonts w:ascii="Calibri" w:eastAsia="Calibri" w:hAnsi="Calibri" w:cs="Calibri"/>
              </w:rPr>
            </w:pPr>
            <w:r>
              <w:rPr>
                <w:rFonts w:ascii="Calibri" w:hAnsi="Calibri"/>
                <w:b/>
              </w:rPr>
              <w:t xml:space="preserve">OPERATIONAL PROGRAM INITIATIVE FOR SMEs (POIIMM) was </w:t>
            </w:r>
          </w:p>
          <w:p w:rsidR="00413333" w:rsidRPr="00CE1614" w:rsidRDefault="00413333" w:rsidP="00413333">
            <w:pPr>
              <w:spacing w:before="120" w:after="120"/>
              <w:jc w:val="both"/>
              <w:rPr>
                <w:rFonts w:ascii="Calibri" w:eastAsia="Calibri" w:hAnsi="Calibri" w:cs="Calibri"/>
              </w:rPr>
            </w:pPr>
            <w:r>
              <w:rPr>
                <w:rFonts w:ascii="Calibri" w:hAnsi="Calibri"/>
                <w:b/>
              </w:rPr>
              <w:t xml:space="preserve">included as priority axis in the POR, through the decision of the EC of amendment of the POR adopted in October 2018. </w:t>
            </w:r>
          </w:p>
          <w:p w:rsidR="00413333" w:rsidRPr="00CE1614" w:rsidRDefault="00413333" w:rsidP="00413333">
            <w:pPr>
              <w:spacing w:before="120"/>
              <w:jc w:val="both"/>
              <w:rPr>
                <w:rFonts w:ascii="Calibri" w:eastAsia="Calibri" w:hAnsi="Calibri" w:cs="Calibri"/>
                <w:u w:val="single"/>
              </w:rPr>
            </w:pPr>
            <w:r>
              <w:rPr>
                <w:rFonts w:ascii="Calibri" w:hAnsi="Calibri"/>
                <w:b/>
                <w:u w:val="single"/>
              </w:rPr>
              <w:t>EUROPEAN TERRITORIAL COOPERATION</w:t>
            </w:r>
          </w:p>
          <w:p w:rsidR="00413333" w:rsidRPr="00CE1614" w:rsidRDefault="00413333" w:rsidP="00413333">
            <w:pPr>
              <w:spacing w:before="120"/>
              <w:jc w:val="both"/>
              <w:rPr>
                <w:rFonts w:ascii="Calibri" w:eastAsia="Calibri" w:hAnsi="Calibri" w:cs="Calibri"/>
              </w:rPr>
            </w:pPr>
            <w:r>
              <w:rPr>
                <w:rFonts w:ascii="Calibri" w:hAnsi="Calibri"/>
              </w:rPr>
              <w:t>The cooperation programs that correspond to the period 2014-2020:</w:t>
            </w:r>
          </w:p>
          <w:p w:rsidR="00413333" w:rsidRPr="00CE1614" w:rsidRDefault="00413333" w:rsidP="00413333">
            <w:pPr>
              <w:spacing w:before="120"/>
              <w:jc w:val="both"/>
              <w:rPr>
                <w:rFonts w:ascii="Calibri" w:eastAsia="Calibri" w:hAnsi="Calibri" w:cs="Calibri"/>
                <w:u w:val="single"/>
              </w:rPr>
            </w:pPr>
            <w:r>
              <w:rPr>
                <w:rFonts w:ascii="Calibri" w:hAnsi="Calibri"/>
                <w:b/>
                <w:u w:val="single"/>
              </w:rPr>
              <w:t>Cooperation programs that correspond to the cohesion policy of the EU, financed from the ERDF:</w:t>
            </w:r>
          </w:p>
          <w:p w:rsidR="00413333" w:rsidRPr="00CE1614" w:rsidRDefault="00413333" w:rsidP="00021698">
            <w:pPr>
              <w:numPr>
                <w:ilvl w:val="0"/>
                <w:numId w:val="146"/>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Interreg V-A Romania -Bulgaria Program - acting as Management Authority</w:t>
            </w:r>
          </w:p>
          <w:p w:rsidR="00413333" w:rsidRPr="00CE1614" w:rsidRDefault="00413333" w:rsidP="00021698">
            <w:pPr>
              <w:numPr>
                <w:ilvl w:val="0"/>
                <w:numId w:val="146"/>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Interreg V-A Romania -Hungary Program - acting as Management Authority</w:t>
            </w:r>
          </w:p>
          <w:p w:rsidR="00413333" w:rsidRPr="00CE1614" w:rsidRDefault="00413333" w:rsidP="00021698">
            <w:pPr>
              <w:numPr>
                <w:ilvl w:val="0"/>
                <w:numId w:val="146"/>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Cross-nation program Danube - acting as National Authority</w:t>
            </w:r>
          </w:p>
          <w:p w:rsidR="00413333" w:rsidRPr="00CE1614" w:rsidRDefault="00413333" w:rsidP="00021698">
            <w:pPr>
              <w:numPr>
                <w:ilvl w:val="0"/>
                <w:numId w:val="146"/>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Inter-regional cooperation program INTERREG EUROPE - acting as National Authority</w:t>
            </w:r>
          </w:p>
          <w:p w:rsidR="00413333" w:rsidRPr="00CE1614" w:rsidRDefault="00413333" w:rsidP="00021698">
            <w:pPr>
              <w:numPr>
                <w:ilvl w:val="0"/>
                <w:numId w:val="146"/>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Inter-regional cooperation program URBACT III - acting as National Authority</w:t>
            </w:r>
          </w:p>
          <w:p w:rsidR="00413333" w:rsidRPr="00CE1614" w:rsidRDefault="00413333" w:rsidP="00021698">
            <w:pPr>
              <w:numPr>
                <w:ilvl w:val="0"/>
                <w:numId w:val="146"/>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Inter-regional cooperation program INTERACT III - acting as National Authority</w:t>
            </w:r>
          </w:p>
          <w:p w:rsidR="00413333" w:rsidRPr="00CE1614" w:rsidRDefault="00413333" w:rsidP="00021698">
            <w:pPr>
              <w:numPr>
                <w:ilvl w:val="0"/>
                <w:numId w:val="146"/>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Inter-regional cooperation program ESPON 2020 - acting as National Authority</w:t>
            </w:r>
          </w:p>
          <w:p w:rsidR="00413333" w:rsidRPr="00CE1614" w:rsidRDefault="00413333" w:rsidP="00413333">
            <w:pPr>
              <w:spacing w:before="120"/>
              <w:jc w:val="both"/>
              <w:rPr>
                <w:rFonts w:ascii="Calibri" w:eastAsia="Calibri" w:hAnsi="Calibri" w:cs="Calibri"/>
                <w:u w:val="single"/>
              </w:rPr>
            </w:pPr>
            <w:r>
              <w:rPr>
                <w:rFonts w:ascii="Calibri" w:hAnsi="Calibri"/>
                <w:b/>
                <w:u w:val="single"/>
              </w:rPr>
              <w:t>Cooperation programs that corresponds to the policy of extension of the EU, financed from the IPA:</w:t>
            </w:r>
          </w:p>
          <w:p w:rsidR="00413333" w:rsidRPr="00CE1614" w:rsidRDefault="00413333" w:rsidP="00413333">
            <w:pPr>
              <w:spacing w:before="120"/>
              <w:jc w:val="both"/>
              <w:rPr>
                <w:rFonts w:ascii="Calibri" w:eastAsia="Calibri" w:hAnsi="Calibri" w:cs="Calibri"/>
                <w:u w:val="single"/>
              </w:rPr>
            </w:pPr>
            <w:r>
              <w:rPr>
                <w:rFonts w:ascii="Calibri" w:hAnsi="Calibri"/>
              </w:rPr>
              <w:t>INTERREG IPA program of cross-border cooperation Romania -Serbia - acting as Management Authority.</w:t>
            </w:r>
          </w:p>
          <w:p w:rsidR="00413333" w:rsidRPr="00CE1614" w:rsidRDefault="00413333" w:rsidP="00413333">
            <w:pPr>
              <w:spacing w:before="120"/>
              <w:jc w:val="both"/>
              <w:rPr>
                <w:rFonts w:ascii="Calibri" w:eastAsia="Calibri" w:hAnsi="Calibri" w:cs="Calibri"/>
                <w:u w:val="single"/>
              </w:rPr>
            </w:pPr>
            <w:r>
              <w:rPr>
                <w:rFonts w:ascii="Calibri" w:hAnsi="Calibri"/>
                <w:b/>
                <w:u w:val="single"/>
              </w:rPr>
              <w:t>Cooperation programs that correspond to the neighboring policy of the EU, financed from the ENI:</w:t>
            </w:r>
          </w:p>
          <w:p w:rsidR="00413333" w:rsidRPr="00CE1614" w:rsidRDefault="00413333" w:rsidP="00021698">
            <w:pPr>
              <w:numPr>
                <w:ilvl w:val="0"/>
                <w:numId w:val="146"/>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Romania - Ukraine Common Operational Program for 2014-2020 - acting as Management Authority</w:t>
            </w:r>
          </w:p>
          <w:p w:rsidR="00413333" w:rsidRPr="00CE1614" w:rsidRDefault="00413333" w:rsidP="00021698">
            <w:pPr>
              <w:numPr>
                <w:ilvl w:val="0"/>
                <w:numId w:val="146"/>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Romania - the Republic of Moldova Common Operational Program for 2014-2020 - acting as Management Authority</w:t>
            </w:r>
          </w:p>
          <w:p w:rsidR="00413333" w:rsidRPr="00CE1614" w:rsidRDefault="00413333" w:rsidP="00021698">
            <w:pPr>
              <w:numPr>
                <w:ilvl w:val="0"/>
                <w:numId w:val="146"/>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 xml:space="preserve">Black Sea Basin Common Operational Program for 2014-2020 - acting as Management Authority </w:t>
            </w:r>
          </w:p>
          <w:p w:rsidR="00413333" w:rsidRPr="00CE1614" w:rsidRDefault="00413333" w:rsidP="00021698">
            <w:pPr>
              <w:numPr>
                <w:ilvl w:val="0"/>
                <w:numId w:val="146"/>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ENI Cross-border Cooperation Program Hungary - Slovakia - Romania - Ukraine for 2014-2020 - acting as National Authority</w:t>
            </w:r>
          </w:p>
        </w:tc>
      </w:tr>
      <w:tr w:rsidR="00413333" w:rsidRPr="00CE1614" w:rsidTr="003C772A">
        <w:trPr>
          <w:jc w:val="center"/>
        </w:trPr>
        <w:tc>
          <w:tcPr>
            <w:tcW w:w="1588" w:type="dxa"/>
          </w:tcPr>
          <w:p w:rsidR="00413333" w:rsidRPr="00CE1614" w:rsidRDefault="00413333" w:rsidP="00413333">
            <w:pPr>
              <w:spacing w:before="120"/>
              <w:jc w:val="center"/>
              <w:rPr>
                <w:rFonts w:ascii="Calibri" w:eastAsia="Calibri" w:hAnsi="Calibri" w:cs="Calibri"/>
              </w:rPr>
            </w:pPr>
            <w:r>
              <w:rPr>
                <w:rFonts w:ascii="Calibri" w:hAnsi="Calibri"/>
              </w:rPr>
              <w:t>Line of action</w:t>
            </w:r>
          </w:p>
        </w:tc>
        <w:tc>
          <w:tcPr>
            <w:tcW w:w="8188" w:type="dxa"/>
          </w:tcPr>
          <w:p w:rsidR="00413333" w:rsidRPr="00CE1614" w:rsidRDefault="00413333" w:rsidP="00413333">
            <w:pPr>
              <w:spacing w:before="120"/>
              <w:jc w:val="both"/>
              <w:rPr>
                <w:rFonts w:ascii="Calibri" w:eastAsia="Calibri" w:hAnsi="Calibri" w:cs="Calibri"/>
              </w:rPr>
            </w:pPr>
            <w:r>
              <w:rPr>
                <w:rFonts w:ascii="Calibri" w:hAnsi="Calibri"/>
                <w:b/>
              </w:rPr>
              <w:t>Public Administration</w:t>
            </w:r>
          </w:p>
          <w:p w:rsidR="00413333" w:rsidRPr="00CE1614" w:rsidRDefault="00413333" w:rsidP="00413333">
            <w:pPr>
              <w:jc w:val="both"/>
              <w:rPr>
                <w:rFonts w:ascii="Calibri" w:eastAsia="Calibri" w:hAnsi="Calibri" w:cs="Calibri"/>
              </w:rPr>
            </w:pPr>
            <w:r>
              <w:rPr>
                <w:rFonts w:ascii="Calibri" w:hAnsi="Calibri"/>
              </w:rPr>
              <w:t>In its capacity as responsible for the coordination of the process of reform and modernization of the Romanian public administration, through the specialty structures with competences in the field, the ministry acts in the major directions:</w:t>
            </w:r>
          </w:p>
          <w:p w:rsidR="00413333" w:rsidRPr="00CE1614" w:rsidRDefault="00413333" w:rsidP="00021698">
            <w:pPr>
              <w:numPr>
                <w:ilvl w:val="0"/>
                <w:numId w:val="140"/>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b/>
                <w:color w:val="000000"/>
              </w:rPr>
              <w:t>increasing/consolidating the capacity of the public administration</w:t>
            </w:r>
            <w:r>
              <w:rPr>
                <w:rFonts w:ascii="Calibri" w:hAnsi="Calibri"/>
                <w:color w:val="000000"/>
              </w:rPr>
              <w:t>, in accordance with the provisions of the Strategy for Consolidation of the Public Administration for 2014-2020 for it to be able to respond as efficiently as possible to the continuously growing needs of society as a whole, as well as to those corresponding to a specific category of beneficiaries (citizens, the business environment, etc.).</w:t>
            </w:r>
          </w:p>
        </w:tc>
      </w:tr>
      <w:tr w:rsidR="00413333" w:rsidRPr="00CE1614" w:rsidTr="003C772A">
        <w:trPr>
          <w:jc w:val="center"/>
        </w:trPr>
        <w:tc>
          <w:tcPr>
            <w:tcW w:w="1588" w:type="dxa"/>
            <w:vAlign w:val="center"/>
          </w:tcPr>
          <w:p w:rsidR="00413333" w:rsidRPr="00CE1614" w:rsidRDefault="00413333" w:rsidP="00413333">
            <w:pPr>
              <w:spacing w:before="120"/>
              <w:jc w:val="center"/>
              <w:rPr>
                <w:rFonts w:ascii="Calibri" w:eastAsia="Calibri" w:hAnsi="Calibri" w:cs="Calibri"/>
              </w:rPr>
            </w:pPr>
            <w:r>
              <w:rPr>
                <w:rFonts w:ascii="Calibri" w:hAnsi="Calibri"/>
              </w:rPr>
              <w:t>General target/objective</w:t>
            </w:r>
          </w:p>
        </w:tc>
        <w:tc>
          <w:tcPr>
            <w:tcW w:w="8188" w:type="dxa"/>
          </w:tcPr>
          <w:p w:rsidR="00413333" w:rsidRPr="00CE1614" w:rsidRDefault="00413333" w:rsidP="00021698">
            <w:pPr>
              <w:numPr>
                <w:ilvl w:val="0"/>
                <w:numId w:val="134"/>
              </w:numPr>
              <w:spacing w:before="120" w:after="160" w:line="259" w:lineRule="auto"/>
              <w:jc w:val="both"/>
              <w:rPr>
                <w:rFonts w:ascii="Calibri" w:eastAsia="Calibri" w:hAnsi="Calibri" w:cs="Calibri"/>
              </w:rPr>
            </w:pPr>
            <w:r>
              <w:rPr>
                <w:rFonts w:ascii="Calibri" w:hAnsi="Calibri"/>
              </w:rPr>
              <w:t xml:space="preserve">Increasing the efficiency of the Romanian public administration and its receptivity to citizen needs </w:t>
            </w:r>
          </w:p>
          <w:p w:rsidR="00413333" w:rsidRPr="00CE1614" w:rsidRDefault="00413333" w:rsidP="00916FF8">
            <w:pPr>
              <w:numPr>
                <w:ilvl w:val="0"/>
                <w:numId w:val="134"/>
              </w:numPr>
              <w:spacing w:before="120" w:after="160" w:line="259" w:lineRule="auto"/>
              <w:jc w:val="both"/>
              <w:rPr>
                <w:rFonts w:ascii="Calibri" w:eastAsia="Calibri" w:hAnsi="Calibri" w:cs="Calibri"/>
              </w:rPr>
            </w:pPr>
            <w:r>
              <w:rPr>
                <w:rFonts w:ascii="Calibri" w:hAnsi="Calibri"/>
              </w:rPr>
              <w:t xml:space="preserve">To contribute to reducing the economic and social disparities between Romania and the </w:t>
            </w:r>
            <w:r w:rsidR="00916FF8">
              <w:rPr>
                <w:rFonts w:ascii="Calibri" w:hAnsi="Calibri"/>
              </w:rPr>
              <w:t>more</w:t>
            </w:r>
            <w:r>
              <w:rPr>
                <w:rFonts w:ascii="Calibri" w:hAnsi="Calibri"/>
              </w:rPr>
              <w:t xml:space="preserve"> developed countries in the extended European Union (EU) and/or to contribute to reducing the economic and social disparities in Romania, between the dynamic urban centers and the peripheral regions which are weak in structural terms.</w:t>
            </w:r>
          </w:p>
        </w:tc>
      </w:tr>
      <w:tr w:rsidR="00413333" w:rsidRPr="00CE1614" w:rsidTr="003C772A">
        <w:trPr>
          <w:jc w:val="center"/>
        </w:trPr>
        <w:tc>
          <w:tcPr>
            <w:tcW w:w="1588" w:type="dxa"/>
            <w:vAlign w:val="center"/>
          </w:tcPr>
          <w:p w:rsidR="00413333" w:rsidRPr="00CE1614" w:rsidRDefault="00413333" w:rsidP="00413333">
            <w:pPr>
              <w:spacing w:before="120"/>
              <w:jc w:val="center"/>
              <w:rPr>
                <w:rFonts w:ascii="Calibri" w:eastAsia="Calibri" w:hAnsi="Calibri" w:cs="Calibri"/>
              </w:rPr>
            </w:pPr>
            <w:r>
              <w:rPr>
                <w:rFonts w:ascii="Calibri" w:hAnsi="Calibri"/>
              </w:rPr>
              <w:t>Specific objectives/Implementation measures for the period 2019-2021</w:t>
            </w:r>
          </w:p>
        </w:tc>
        <w:tc>
          <w:tcPr>
            <w:tcW w:w="8188" w:type="dxa"/>
          </w:tcPr>
          <w:p w:rsidR="00413333" w:rsidRPr="00CE1614" w:rsidRDefault="00413333" w:rsidP="00021698">
            <w:pPr>
              <w:numPr>
                <w:ilvl w:val="0"/>
                <w:numId w:val="137"/>
              </w:numPr>
              <w:pBdr>
                <w:top w:val="nil"/>
                <w:left w:val="nil"/>
                <w:bottom w:val="nil"/>
                <w:right w:val="nil"/>
                <w:between w:val="nil"/>
              </w:pBdr>
              <w:tabs>
                <w:tab w:val="center" w:pos="203"/>
              </w:tabs>
              <w:spacing w:before="120" w:after="160" w:line="259" w:lineRule="auto"/>
              <w:ind w:left="203" w:hanging="203"/>
              <w:contextualSpacing/>
              <w:jc w:val="both"/>
              <w:rPr>
                <w:rFonts w:ascii="Calibri" w:eastAsia="Calibri" w:hAnsi="Calibri" w:cs="Calibri"/>
                <w:color w:val="000000"/>
              </w:rPr>
            </w:pPr>
            <w:r>
              <w:rPr>
                <w:rFonts w:ascii="Calibri" w:hAnsi="Calibri"/>
                <w:b/>
                <w:color w:val="000000"/>
              </w:rPr>
              <w:t>Implementation of the actions for which the MRDPA is responsible from the Strategy of Consolidation of the Public Administration for 2014-2020 (SCAP 2014-2020)</w:t>
            </w:r>
          </w:p>
          <w:p w:rsidR="00413333" w:rsidRPr="00CE1614" w:rsidRDefault="00413333" w:rsidP="00413333">
            <w:pPr>
              <w:jc w:val="both"/>
              <w:rPr>
                <w:rFonts w:ascii="Calibri" w:eastAsia="Calibri" w:hAnsi="Calibri" w:cs="Calibri"/>
                <w:lang w:val="ro-RO" w:eastAsia="ro-RO"/>
              </w:rPr>
            </w:pPr>
          </w:p>
          <w:p w:rsidR="00413333" w:rsidRPr="00CE1614" w:rsidRDefault="00413333" w:rsidP="00413333">
            <w:pPr>
              <w:jc w:val="both"/>
              <w:rPr>
                <w:rFonts w:ascii="Calibri" w:eastAsia="Calibri" w:hAnsi="Calibri" w:cs="Calibri"/>
              </w:rPr>
            </w:pPr>
            <w:r>
              <w:rPr>
                <w:rFonts w:ascii="Calibri" w:hAnsi="Calibri"/>
              </w:rPr>
              <w:t>The measures included in this objective refer to:</w:t>
            </w:r>
          </w:p>
          <w:p w:rsidR="00413333" w:rsidRPr="00CE1614" w:rsidRDefault="00413333" w:rsidP="00021698">
            <w:pPr>
              <w:numPr>
                <w:ilvl w:val="0"/>
                <w:numId w:val="141"/>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The implementation of the actions that correspond to the criteria of the ex-ante condition imposed by the European Commission for OT 11 - “Consolidating the institutional capacity and an efficient public administration” in the context of scheduling of European funds for 2014-2020: simplification and rationalization of administrative procedures for the citizens, and promotion of quality management, implementation of strategies and policies regarding human resources which would cover the main gaps identified in this field, developing competences at all levels of the professional hierarchy from the public authorities;</w:t>
            </w:r>
          </w:p>
          <w:p w:rsidR="00413333" w:rsidRPr="00CE1614" w:rsidRDefault="00413333" w:rsidP="00021698">
            <w:pPr>
              <w:numPr>
                <w:ilvl w:val="0"/>
                <w:numId w:val="141"/>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Systematization/coding of the public administration legislation. Elaboration of the draft Administrative Code and Administrative Procedure Code;</w:t>
            </w:r>
          </w:p>
          <w:p w:rsidR="00413333" w:rsidRPr="00CE1614" w:rsidRDefault="00413333" w:rsidP="00021698">
            <w:pPr>
              <w:numPr>
                <w:ilvl w:val="0"/>
                <w:numId w:val="141"/>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 xml:space="preserve">Consolidating the framework for increasing the quality of public services and for supporting local development, in accordance with the provisions of SCAP and which contributes to reaching the Specific Objective 1.1 of the Operational Program of Administrative Capacity for 2014-2020, respectively </w:t>
            </w:r>
            <w:r>
              <w:rPr>
                <w:rFonts w:ascii="Calibri" w:hAnsi="Calibri"/>
                <w:i/>
                <w:color w:val="000000"/>
              </w:rPr>
              <w:t>Development and introduction of common systems and standards in the public administration which optimize the decisional processes oriented towards the citizens and the business environment, in accordance with the SCAP.</w:t>
            </w:r>
          </w:p>
          <w:p w:rsidR="00413333" w:rsidRPr="00CE1614" w:rsidRDefault="00413333" w:rsidP="00021698">
            <w:pPr>
              <w:numPr>
                <w:ilvl w:val="0"/>
                <w:numId w:val="137"/>
              </w:numPr>
              <w:pBdr>
                <w:top w:val="nil"/>
                <w:left w:val="nil"/>
                <w:bottom w:val="nil"/>
                <w:right w:val="nil"/>
                <w:between w:val="nil"/>
              </w:pBdr>
              <w:tabs>
                <w:tab w:val="center" w:pos="203"/>
              </w:tabs>
              <w:spacing w:after="160" w:line="259" w:lineRule="auto"/>
              <w:ind w:left="203" w:hanging="203"/>
              <w:contextualSpacing/>
              <w:jc w:val="both"/>
              <w:rPr>
                <w:rFonts w:ascii="Calibri" w:eastAsia="Calibri" w:hAnsi="Calibri" w:cs="Calibri"/>
                <w:color w:val="000000"/>
              </w:rPr>
            </w:pPr>
            <w:r>
              <w:rPr>
                <w:rFonts w:ascii="Calibri" w:hAnsi="Calibri"/>
                <w:b/>
                <w:color w:val="000000"/>
              </w:rPr>
              <w:t>Consolidating the administrative and financial capacity of the administrative-territorial units</w:t>
            </w:r>
          </w:p>
          <w:p w:rsidR="00413333" w:rsidRPr="00CE1614" w:rsidRDefault="00413333" w:rsidP="00413333">
            <w:pPr>
              <w:spacing w:before="120"/>
              <w:jc w:val="both"/>
              <w:rPr>
                <w:rFonts w:ascii="Calibri" w:eastAsia="Calibri" w:hAnsi="Calibri" w:cs="Calibri"/>
              </w:rPr>
            </w:pPr>
            <w:r>
              <w:rPr>
                <w:rFonts w:ascii="Calibri" w:hAnsi="Calibri"/>
              </w:rPr>
              <w:t>The measures included in this objective refer to: technical assistance in the decentralization process; consolidating the financial capacity in the public administration; financing programs that correspond to the public administration field.</w:t>
            </w:r>
          </w:p>
        </w:tc>
      </w:tr>
      <w:tr w:rsidR="00413333" w:rsidRPr="00CE1614" w:rsidTr="003C772A">
        <w:trPr>
          <w:jc w:val="center"/>
        </w:trPr>
        <w:tc>
          <w:tcPr>
            <w:tcW w:w="1588" w:type="dxa"/>
            <w:vAlign w:val="center"/>
          </w:tcPr>
          <w:p w:rsidR="00413333" w:rsidRPr="00CE1614" w:rsidRDefault="00413333" w:rsidP="00413333">
            <w:pPr>
              <w:spacing w:before="120"/>
              <w:jc w:val="center"/>
              <w:rPr>
                <w:rFonts w:ascii="Calibri" w:eastAsia="Calibri" w:hAnsi="Calibri" w:cs="Calibri"/>
              </w:rPr>
            </w:pPr>
            <w:r>
              <w:rPr>
                <w:rFonts w:ascii="Calibri" w:hAnsi="Calibri"/>
              </w:rPr>
              <w:t>Priority programs/projects for 2019-2021</w:t>
            </w:r>
          </w:p>
        </w:tc>
        <w:tc>
          <w:tcPr>
            <w:tcW w:w="8188" w:type="dxa"/>
          </w:tcPr>
          <w:p w:rsidR="00413333" w:rsidRPr="00CE1614" w:rsidRDefault="00413333" w:rsidP="00413333">
            <w:pPr>
              <w:spacing w:before="120"/>
              <w:jc w:val="both"/>
              <w:rPr>
                <w:rFonts w:ascii="Calibri" w:eastAsia="Calibri" w:hAnsi="Calibri" w:cs="Calibri"/>
                <w:u w:val="single"/>
              </w:rPr>
            </w:pPr>
            <w:r>
              <w:rPr>
                <w:rFonts w:ascii="Calibri" w:hAnsi="Calibri"/>
                <w:b/>
                <w:u w:val="single"/>
              </w:rPr>
              <w:t>Main expected results - with regard to the specific objective (SO) 1</w:t>
            </w:r>
          </w:p>
          <w:p w:rsidR="00413333" w:rsidRPr="00CE1614" w:rsidRDefault="00413333" w:rsidP="00021698">
            <w:pPr>
              <w:numPr>
                <w:ilvl w:val="0"/>
                <w:numId w:val="135"/>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Mechanism for assessment of the impact of simplification measures,</w:t>
            </w:r>
          </w:p>
          <w:p w:rsidR="00413333" w:rsidRPr="00CE1614" w:rsidRDefault="00413333" w:rsidP="00021698">
            <w:pPr>
              <w:numPr>
                <w:ilvl w:val="0"/>
                <w:numId w:val="135"/>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Implementation of the actions under the responsibility of the MRDPA from the Action plan for implementation of quality management,</w:t>
            </w:r>
          </w:p>
          <w:p w:rsidR="00413333" w:rsidRPr="00CE1614" w:rsidRDefault="00413333" w:rsidP="00021698">
            <w:pPr>
              <w:numPr>
                <w:ilvl w:val="0"/>
                <w:numId w:val="135"/>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Monitoring mechanism of the use of quality management systems and instruments in public administration,</w:t>
            </w:r>
          </w:p>
          <w:p w:rsidR="00413333" w:rsidRPr="00CE1614" w:rsidRDefault="00413333" w:rsidP="00021698">
            <w:pPr>
              <w:numPr>
                <w:ilvl w:val="0"/>
                <w:numId w:val="135"/>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Implementing the actions under the responsibility of the MRDPA from the Strategy of development of the public administration for 2016-2020, approved through GD no. 525/2016</w:t>
            </w:r>
          </w:p>
          <w:p w:rsidR="00413333" w:rsidRPr="00CE1614" w:rsidRDefault="00413333" w:rsidP="00021698">
            <w:pPr>
              <w:numPr>
                <w:ilvl w:val="0"/>
                <w:numId w:val="135"/>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 xml:space="preserve">Implementing the actions under the responsibility of the MRDPA from the Strategy of professional training in public administration for the period 2016-2020, approved through GD no. 650/2016, </w:t>
            </w:r>
          </w:p>
          <w:p w:rsidR="00413333" w:rsidRPr="00CE1614" w:rsidRDefault="00413333" w:rsidP="00021698">
            <w:pPr>
              <w:numPr>
                <w:ilvl w:val="0"/>
                <w:numId w:val="135"/>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Analysis of the public services supplied/provided by the public administration,</w:t>
            </w:r>
          </w:p>
          <w:p w:rsidR="00413333" w:rsidRPr="00CE1614" w:rsidRDefault="00413333" w:rsidP="00021698">
            <w:pPr>
              <w:numPr>
                <w:ilvl w:val="0"/>
                <w:numId w:val="135"/>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Proposals of quality and cost standards for the decentralized public services,</w:t>
            </w:r>
          </w:p>
          <w:p w:rsidR="00413333" w:rsidRPr="00CE1614" w:rsidRDefault="00413333" w:rsidP="00021698">
            <w:pPr>
              <w:numPr>
                <w:ilvl w:val="0"/>
                <w:numId w:val="135"/>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System of monitoring and assessment of the administrative capacity of the administrative-territorial units and of the decentralized competences,</w:t>
            </w:r>
          </w:p>
          <w:p w:rsidR="00413333" w:rsidRPr="00CE1614" w:rsidRDefault="00413333" w:rsidP="00021698">
            <w:pPr>
              <w:numPr>
                <w:ilvl w:val="0"/>
                <w:numId w:val="135"/>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Elaboration of the draft Administrative Procedure Code,</w:t>
            </w:r>
          </w:p>
          <w:p w:rsidR="00413333" w:rsidRPr="00CE1614" w:rsidRDefault="00413333" w:rsidP="00021698">
            <w:pPr>
              <w:numPr>
                <w:ilvl w:val="0"/>
                <w:numId w:val="135"/>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Elaboration of the code of territory arrangement and urbanism,</w:t>
            </w:r>
          </w:p>
          <w:p w:rsidR="00413333" w:rsidRPr="00CE1614" w:rsidRDefault="00413333" w:rsidP="00021698">
            <w:pPr>
              <w:numPr>
                <w:ilvl w:val="0"/>
                <w:numId w:val="135"/>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Systematization of the technical regulations from the field of constructions,</w:t>
            </w:r>
          </w:p>
          <w:p w:rsidR="00413333" w:rsidRPr="00CE1614" w:rsidRDefault="00413333" w:rsidP="00021698">
            <w:pPr>
              <w:numPr>
                <w:ilvl w:val="0"/>
                <w:numId w:val="135"/>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Creation of the national register of buildings,</w:t>
            </w:r>
          </w:p>
          <w:p w:rsidR="00413333" w:rsidRPr="00CE1614" w:rsidRDefault="00413333" w:rsidP="00021698">
            <w:pPr>
              <w:numPr>
                <w:ilvl w:val="0"/>
                <w:numId w:val="135"/>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Identification of the needs and solutions necessary for the introduction of the e-government systems in the field of urbanism and construction authorization,</w:t>
            </w:r>
          </w:p>
          <w:p w:rsidR="00413333" w:rsidRPr="00CE1614" w:rsidRDefault="00413333" w:rsidP="00021698">
            <w:pPr>
              <w:numPr>
                <w:ilvl w:val="0"/>
                <w:numId w:val="135"/>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Analysis and monitoring of the territorial impact of investment policies.</w:t>
            </w:r>
          </w:p>
          <w:p w:rsidR="00413333" w:rsidRPr="00CE1614" w:rsidRDefault="00413333" w:rsidP="00413333">
            <w:pPr>
              <w:spacing w:before="120"/>
              <w:jc w:val="both"/>
              <w:rPr>
                <w:rFonts w:ascii="Calibri" w:eastAsia="Calibri" w:hAnsi="Calibri" w:cs="Calibri"/>
              </w:rPr>
            </w:pPr>
            <w:r>
              <w:rPr>
                <w:rFonts w:ascii="Calibri" w:hAnsi="Calibri"/>
              </w:rPr>
              <w:t xml:space="preserve">The measures included in this objective refer to </w:t>
            </w:r>
            <w:r>
              <w:rPr>
                <w:rFonts w:ascii="Calibri" w:hAnsi="Calibri"/>
                <w:b/>
              </w:rPr>
              <w:t>technical assistance</w:t>
            </w:r>
            <w:r>
              <w:rPr>
                <w:rFonts w:ascii="Calibri" w:hAnsi="Calibri"/>
              </w:rPr>
              <w:t xml:space="preserve"> in the </w:t>
            </w:r>
            <w:r>
              <w:rPr>
                <w:rFonts w:ascii="Calibri" w:hAnsi="Calibri"/>
                <w:b/>
                <w:i/>
                <w:u w:val="single"/>
              </w:rPr>
              <w:t>decentralization process</w:t>
            </w:r>
            <w:r>
              <w:rPr>
                <w:rFonts w:ascii="Calibri" w:hAnsi="Calibri"/>
              </w:rPr>
              <w:t xml:space="preserve">; </w:t>
            </w:r>
            <w:r>
              <w:rPr>
                <w:rFonts w:ascii="Calibri" w:hAnsi="Calibri"/>
                <w:b/>
              </w:rPr>
              <w:t>consolidating the financial capacity in the public administration</w:t>
            </w:r>
            <w:r>
              <w:rPr>
                <w:rFonts w:ascii="Calibri" w:hAnsi="Calibri"/>
              </w:rPr>
              <w:t xml:space="preserve">, as well as </w:t>
            </w:r>
            <w:r>
              <w:rPr>
                <w:rFonts w:ascii="Calibri" w:hAnsi="Calibri"/>
                <w:b/>
              </w:rPr>
              <w:t>financing programs that correspond to the public administration field.</w:t>
            </w:r>
          </w:p>
          <w:p w:rsidR="00413333" w:rsidRPr="00CE1614" w:rsidRDefault="00413333" w:rsidP="00413333">
            <w:pPr>
              <w:spacing w:before="120"/>
              <w:jc w:val="both"/>
              <w:rPr>
                <w:rFonts w:ascii="Calibri" w:eastAsia="Calibri" w:hAnsi="Calibri" w:cs="Calibri"/>
                <w:u w:val="single"/>
              </w:rPr>
            </w:pPr>
            <w:r>
              <w:rPr>
                <w:rFonts w:ascii="Calibri" w:hAnsi="Calibri"/>
                <w:b/>
                <w:u w:val="single"/>
              </w:rPr>
              <w:t xml:space="preserve">ADMINISTRATIVE CAPACITY DEVELOPMENT </w:t>
            </w:r>
          </w:p>
          <w:p w:rsidR="00413333" w:rsidRPr="00CE1614" w:rsidRDefault="00413333" w:rsidP="00413333">
            <w:pPr>
              <w:spacing w:before="120"/>
              <w:jc w:val="both"/>
              <w:rPr>
                <w:rFonts w:ascii="Calibri" w:eastAsia="Calibri" w:hAnsi="Calibri" w:cs="Calibri"/>
              </w:rPr>
            </w:pPr>
            <w:r>
              <w:rPr>
                <w:rFonts w:ascii="Calibri" w:hAnsi="Calibri"/>
              </w:rPr>
              <w:t xml:space="preserve">MRDPA is the Management Authority for the </w:t>
            </w:r>
            <w:r>
              <w:rPr>
                <w:rFonts w:ascii="Calibri" w:hAnsi="Calibri"/>
                <w:b/>
              </w:rPr>
              <w:t>POCA 2014-2020</w:t>
            </w:r>
            <w:r>
              <w:rPr>
                <w:rFonts w:ascii="Calibri" w:hAnsi="Calibri"/>
              </w:rPr>
              <w:t xml:space="preserve">, a program approved through Decision C(2015) 1290 on February 25, 2015, which seeks to consolidate the administrative capacity of the public authorities and institutions of supporting a modern and competitive economy, approaching challenge 5 “Administration and governance” and challenge 2 “People and society” from Romania’s Partnership Agreement. </w:t>
            </w:r>
            <w:r>
              <w:rPr>
                <w:rFonts w:ascii="Calibri" w:hAnsi="Calibri"/>
                <w:b/>
              </w:rPr>
              <w:t>POCA 2014-2020 ensures continuity of the strategic vision of PODCA 2007-2013</w:t>
            </w:r>
            <w:r>
              <w:rPr>
                <w:rFonts w:ascii="Calibri" w:hAnsi="Calibri"/>
              </w:rPr>
              <w:t xml:space="preserve"> on consolidating the institutional capacity of public authorities and stakeholders and public administration efficiency.</w:t>
            </w:r>
          </w:p>
          <w:p w:rsidR="00413333" w:rsidRPr="00CE1614" w:rsidRDefault="00413333" w:rsidP="00413333">
            <w:pPr>
              <w:spacing w:before="120"/>
              <w:jc w:val="both"/>
              <w:rPr>
                <w:rFonts w:ascii="Calibri" w:eastAsia="Calibri" w:hAnsi="Calibri" w:cs="Calibri"/>
              </w:rPr>
            </w:pPr>
            <w:r>
              <w:rPr>
                <w:rFonts w:ascii="Calibri" w:hAnsi="Calibri"/>
              </w:rPr>
              <w:t>The program will be implemented by the end of 2023, benefiting of a total budget of 658.29 million EUR, of which 553.19 million EUR are EU support, through the European Social Fund, respectively approximately 105.10 million EUR are national contribution, ensured from national public funds (State budget, local budgets).</w:t>
            </w:r>
          </w:p>
        </w:tc>
      </w:tr>
      <w:tr w:rsidR="00413333" w:rsidRPr="00CE1614" w:rsidTr="003C772A">
        <w:trPr>
          <w:jc w:val="center"/>
        </w:trPr>
        <w:tc>
          <w:tcPr>
            <w:tcW w:w="1588" w:type="dxa"/>
            <w:vAlign w:val="center"/>
          </w:tcPr>
          <w:p w:rsidR="00413333" w:rsidRPr="00CE1614" w:rsidRDefault="00413333" w:rsidP="00413333">
            <w:pPr>
              <w:spacing w:before="120"/>
              <w:jc w:val="center"/>
              <w:rPr>
                <w:rFonts w:ascii="Calibri" w:eastAsia="Calibri" w:hAnsi="Calibri" w:cs="Calibri"/>
              </w:rPr>
            </w:pPr>
            <w:r>
              <w:rPr>
                <w:rFonts w:ascii="Calibri" w:hAnsi="Calibri"/>
              </w:rPr>
              <w:t>Line of action</w:t>
            </w:r>
          </w:p>
        </w:tc>
        <w:tc>
          <w:tcPr>
            <w:tcW w:w="8188" w:type="dxa"/>
          </w:tcPr>
          <w:p w:rsidR="00413333" w:rsidRPr="00CE1614" w:rsidRDefault="00413333" w:rsidP="00413333">
            <w:pPr>
              <w:spacing w:before="120"/>
              <w:jc w:val="both"/>
              <w:rPr>
                <w:rFonts w:ascii="Calibri" w:eastAsia="Calibri" w:hAnsi="Calibri" w:cs="Calibri"/>
              </w:rPr>
            </w:pPr>
            <w:r>
              <w:rPr>
                <w:rFonts w:ascii="Calibri" w:hAnsi="Calibri"/>
                <w:b/>
              </w:rPr>
              <w:t>European funds</w:t>
            </w:r>
          </w:p>
          <w:p w:rsidR="00413333" w:rsidRPr="00CE1614" w:rsidRDefault="00413333" w:rsidP="00413333">
            <w:pPr>
              <w:pBdr>
                <w:top w:val="nil"/>
                <w:left w:val="nil"/>
                <w:bottom w:val="nil"/>
                <w:right w:val="nil"/>
                <w:between w:val="nil"/>
              </w:pBdr>
              <w:jc w:val="both"/>
              <w:rPr>
                <w:rFonts w:ascii="Calibri" w:eastAsia="Calibri" w:hAnsi="Calibri" w:cs="Calibri"/>
                <w:color w:val="000000"/>
              </w:rPr>
            </w:pPr>
            <w:r>
              <w:rPr>
                <w:rFonts w:ascii="Calibri" w:hAnsi="Calibri"/>
                <w:color w:val="000000"/>
              </w:rPr>
              <w:t>The European Funds Strategic Line refers to:</w:t>
            </w:r>
          </w:p>
          <w:p w:rsidR="00413333" w:rsidRPr="00CE1614" w:rsidRDefault="00413333" w:rsidP="00021698">
            <w:pPr>
              <w:numPr>
                <w:ilvl w:val="0"/>
                <w:numId w:val="159"/>
              </w:numPr>
              <w:spacing w:after="160" w:line="259" w:lineRule="auto"/>
              <w:jc w:val="both"/>
              <w:rPr>
                <w:rFonts w:ascii="Calibri" w:eastAsia="Calibri" w:hAnsi="Calibri" w:cs="Calibri"/>
              </w:rPr>
            </w:pPr>
            <w:r>
              <w:rPr>
                <w:rFonts w:ascii="Calibri" w:hAnsi="Calibri"/>
              </w:rPr>
              <w:t>Structural and Cohesion Funds</w:t>
            </w:r>
          </w:p>
          <w:p w:rsidR="00413333" w:rsidRPr="00CE1614" w:rsidRDefault="00413333" w:rsidP="00021698">
            <w:pPr>
              <w:numPr>
                <w:ilvl w:val="0"/>
                <w:numId w:val="159"/>
              </w:numPr>
              <w:spacing w:after="160" w:line="259" w:lineRule="auto"/>
              <w:jc w:val="both"/>
              <w:rPr>
                <w:rFonts w:ascii="Calibri" w:eastAsia="Calibri" w:hAnsi="Calibri" w:cs="Calibri"/>
              </w:rPr>
            </w:pPr>
            <w:r>
              <w:rPr>
                <w:rFonts w:ascii="Calibri" w:hAnsi="Calibri"/>
              </w:rPr>
              <w:t>European Structural and Investment Funds - CFM 2014-2020</w:t>
            </w:r>
          </w:p>
          <w:p w:rsidR="00413333" w:rsidRPr="00CE1614" w:rsidRDefault="00413333" w:rsidP="00021698">
            <w:pPr>
              <w:numPr>
                <w:ilvl w:val="0"/>
                <w:numId w:val="153"/>
              </w:numPr>
              <w:spacing w:after="160" w:line="259" w:lineRule="auto"/>
              <w:jc w:val="both"/>
              <w:rPr>
                <w:rFonts w:ascii="Calibri" w:eastAsia="Calibri" w:hAnsi="Calibri" w:cs="Calibri"/>
              </w:rPr>
            </w:pPr>
            <w:r>
              <w:rPr>
                <w:rFonts w:ascii="Calibri" w:hAnsi="Calibri"/>
              </w:rPr>
              <w:t xml:space="preserve">PHARE </w:t>
            </w:r>
          </w:p>
        </w:tc>
      </w:tr>
      <w:tr w:rsidR="00413333" w:rsidRPr="00CE1614" w:rsidTr="003C772A">
        <w:trPr>
          <w:jc w:val="center"/>
        </w:trPr>
        <w:tc>
          <w:tcPr>
            <w:tcW w:w="1588" w:type="dxa"/>
            <w:vAlign w:val="center"/>
          </w:tcPr>
          <w:p w:rsidR="00413333" w:rsidRPr="00CE1614" w:rsidRDefault="00413333" w:rsidP="00413333">
            <w:pPr>
              <w:spacing w:before="120"/>
              <w:jc w:val="center"/>
              <w:rPr>
                <w:rFonts w:ascii="Calibri" w:eastAsia="Calibri" w:hAnsi="Calibri" w:cs="Calibri"/>
              </w:rPr>
            </w:pPr>
            <w:r>
              <w:rPr>
                <w:rFonts w:ascii="Calibri" w:hAnsi="Calibri"/>
              </w:rPr>
              <w:t>General target/objective</w:t>
            </w:r>
          </w:p>
        </w:tc>
        <w:tc>
          <w:tcPr>
            <w:tcW w:w="8188" w:type="dxa"/>
          </w:tcPr>
          <w:p w:rsidR="00413333" w:rsidRPr="00CE1614" w:rsidRDefault="00413333" w:rsidP="00413333">
            <w:pPr>
              <w:spacing w:before="120"/>
              <w:jc w:val="both"/>
              <w:rPr>
                <w:rFonts w:ascii="Calibri" w:eastAsia="Calibri" w:hAnsi="Calibri" w:cs="Calibri"/>
                <w:u w:val="single"/>
              </w:rPr>
            </w:pPr>
            <w:r>
              <w:rPr>
                <w:rFonts w:ascii="Calibri" w:hAnsi="Calibri"/>
                <w:b/>
                <w:u w:val="single"/>
              </w:rPr>
              <w:t xml:space="preserve">Improving the absorption and efficient management of European Funds </w:t>
            </w:r>
          </w:p>
          <w:p w:rsidR="00413333" w:rsidRPr="00CE1614" w:rsidRDefault="00413333" w:rsidP="00413333">
            <w:pPr>
              <w:spacing w:before="120"/>
              <w:jc w:val="both"/>
              <w:rPr>
                <w:rFonts w:ascii="Calibri" w:eastAsia="Calibri" w:hAnsi="Calibri" w:cs="Calibri"/>
                <w:u w:val="single"/>
                <w:lang w:val="ro-RO" w:eastAsia="ro-RO"/>
              </w:rPr>
            </w:pPr>
          </w:p>
        </w:tc>
      </w:tr>
      <w:tr w:rsidR="00413333" w:rsidRPr="00CE1614" w:rsidTr="003C772A">
        <w:trPr>
          <w:jc w:val="center"/>
        </w:trPr>
        <w:tc>
          <w:tcPr>
            <w:tcW w:w="1588" w:type="dxa"/>
            <w:vAlign w:val="center"/>
          </w:tcPr>
          <w:p w:rsidR="00413333" w:rsidRPr="00CE1614" w:rsidRDefault="00413333" w:rsidP="00413333">
            <w:pPr>
              <w:spacing w:before="120"/>
              <w:jc w:val="center"/>
              <w:rPr>
                <w:rFonts w:ascii="Calibri" w:eastAsia="Calibri" w:hAnsi="Calibri" w:cs="Calibri"/>
              </w:rPr>
            </w:pPr>
            <w:r>
              <w:rPr>
                <w:rFonts w:ascii="Calibri" w:hAnsi="Calibri"/>
              </w:rPr>
              <w:t>Specific objectives/Implementation measures for the period 2019-2021</w:t>
            </w:r>
          </w:p>
        </w:tc>
        <w:tc>
          <w:tcPr>
            <w:tcW w:w="8188" w:type="dxa"/>
          </w:tcPr>
          <w:p w:rsidR="00413333" w:rsidRPr="00CE1614" w:rsidRDefault="00413333" w:rsidP="00413333">
            <w:pPr>
              <w:spacing w:before="120"/>
              <w:jc w:val="both"/>
              <w:rPr>
                <w:rFonts w:ascii="Calibri" w:eastAsia="Calibri" w:hAnsi="Calibri" w:cs="Calibri"/>
              </w:rPr>
            </w:pPr>
            <w:r>
              <w:rPr>
                <w:rFonts w:ascii="Calibri" w:hAnsi="Calibri"/>
                <w:b/>
              </w:rPr>
              <w:t>Planned measures for the implementation of European Funds</w:t>
            </w:r>
          </w:p>
          <w:p w:rsidR="00413333" w:rsidRPr="00CE1614" w:rsidRDefault="00413333" w:rsidP="00413333">
            <w:pPr>
              <w:spacing w:before="120"/>
              <w:jc w:val="both"/>
              <w:rPr>
                <w:rFonts w:ascii="Calibri" w:eastAsia="Calibri" w:hAnsi="Calibri" w:cs="Calibri"/>
              </w:rPr>
            </w:pPr>
            <w:r>
              <w:rPr>
                <w:rFonts w:ascii="Calibri" w:hAnsi="Calibri"/>
              </w:rPr>
              <w:t xml:space="preserve">With regard to the measures of acceleration of funds’ absorption, special focus will be placed on the following: </w:t>
            </w:r>
          </w:p>
          <w:p w:rsidR="00413333" w:rsidRPr="00CE1614" w:rsidRDefault="00413333" w:rsidP="00021698">
            <w:pPr>
              <w:numPr>
                <w:ilvl w:val="0"/>
                <w:numId w:val="144"/>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 xml:space="preserve">Short assessment times for the submitted projects and fast signing of financing agreements. </w:t>
            </w:r>
          </w:p>
          <w:p w:rsidR="00413333" w:rsidRPr="00CE1614" w:rsidRDefault="00413333" w:rsidP="00021698">
            <w:pPr>
              <w:numPr>
                <w:ilvl w:val="0"/>
                <w:numId w:val="144"/>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Payment without delay of the beneficiaries’ invoices, through the creation of a transparent invoice monitoring mechanism, as of the time of submission and until the payment thereof by the Management Authorities.</w:t>
            </w:r>
          </w:p>
          <w:p w:rsidR="00413333" w:rsidRPr="00CE1614" w:rsidRDefault="00413333" w:rsidP="00021698">
            <w:pPr>
              <w:numPr>
                <w:ilvl w:val="0"/>
                <w:numId w:val="144"/>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Analysis of each operational program and reallocation of funds to the sectors with maximum absorption potential both within and between the operational programs, in order to avoid the risk of disengagement of funds allocated to Romania.</w:t>
            </w:r>
          </w:p>
          <w:p w:rsidR="00413333" w:rsidRPr="00CE1614" w:rsidRDefault="00413333" w:rsidP="00021698">
            <w:pPr>
              <w:numPr>
                <w:ilvl w:val="0"/>
                <w:numId w:val="144"/>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Measures of simplification and avoidance of many procedures and excessive bureaucracy through simplification of the guidelines for the applicants, operationalization of SMIS 2014+, simplification of the procurement procedures for private beneficiaries, introduction of simplified cost options, of flat rates and standards for the unitary costs in the national and regional norms related to eligibility, simplification of the procedures for construction permits.</w:t>
            </w:r>
          </w:p>
          <w:p w:rsidR="00413333" w:rsidRPr="00CE1614" w:rsidRDefault="00413333" w:rsidP="00021698">
            <w:pPr>
              <w:numPr>
                <w:ilvl w:val="0"/>
                <w:numId w:val="144"/>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Improving the administrative system and the capacity of absorption of these funds.</w:t>
            </w:r>
          </w:p>
          <w:p w:rsidR="00413333" w:rsidRPr="00CE1614" w:rsidRDefault="00413333" w:rsidP="00021698">
            <w:pPr>
              <w:numPr>
                <w:ilvl w:val="0"/>
                <w:numId w:val="144"/>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Using the financial instruments and territorial instruments.</w:t>
            </w:r>
          </w:p>
          <w:p w:rsidR="00413333" w:rsidRPr="00CE1614" w:rsidRDefault="00413333" w:rsidP="00021698">
            <w:pPr>
              <w:numPr>
                <w:ilvl w:val="0"/>
                <w:numId w:val="144"/>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Simplifying the legislation corresponding to the promotion and approval of investment projects in Romania.</w:t>
            </w:r>
          </w:p>
          <w:p w:rsidR="00413333" w:rsidRPr="00CE1614" w:rsidRDefault="00413333" w:rsidP="00021698">
            <w:pPr>
              <w:numPr>
                <w:ilvl w:val="0"/>
                <w:numId w:val="144"/>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Stimulating the exchange of good practices in the implementation of mechanisms of increasing the absorption of European funds with other EU Member States.</w:t>
            </w:r>
          </w:p>
          <w:p w:rsidR="00413333" w:rsidRPr="00CE1614" w:rsidRDefault="00413333" w:rsidP="00021698">
            <w:pPr>
              <w:numPr>
                <w:ilvl w:val="0"/>
                <w:numId w:val="144"/>
              </w:numPr>
              <w:pBdr>
                <w:top w:val="nil"/>
                <w:left w:val="nil"/>
                <w:bottom w:val="nil"/>
                <w:right w:val="nil"/>
                <w:between w:val="nil"/>
              </w:pBdr>
              <w:spacing w:after="160" w:line="259" w:lineRule="auto"/>
              <w:contextualSpacing/>
              <w:jc w:val="both"/>
              <w:rPr>
                <w:rFonts w:ascii="Calibri" w:eastAsia="Calibri" w:hAnsi="Calibri" w:cs="Calibri"/>
                <w:color w:val="000000"/>
              </w:rPr>
            </w:pPr>
            <w:r>
              <w:rPr>
                <w:rFonts w:ascii="Calibri" w:hAnsi="Calibri"/>
                <w:color w:val="000000"/>
              </w:rPr>
              <w:t>Periodical consulting of the stakeholders through consolidation of the decisional structures from the monitoring committees and the CCMAP.</w:t>
            </w:r>
          </w:p>
        </w:tc>
      </w:tr>
      <w:tr w:rsidR="00413333" w:rsidRPr="00CE1614" w:rsidTr="003C772A">
        <w:trPr>
          <w:jc w:val="center"/>
        </w:trPr>
        <w:tc>
          <w:tcPr>
            <w:tcW w:w="1588" w:type="dxa"/>
            <w:vAlign w:val="center"/>
          </w:tcPr>
          <w:p w:rsidR="00413333" w:rsidRPr="00CE1614" w:rsidRDefault="00413333" w:rsidP="00413333">
            <w:pPr>
              <w:spacing w:before="120"/>
              <w:jc w:val="center"/>
              <w:rPr>
                <w:rFonts w:ascii="Calibri" w:eastAsia="Calibri" w:hAnsi="Calibri" w:cs="Calibri"/>
              </w:rPr>
            </w:pPr>
            <w:r>
              <w:rPr>
                <w:rFonts w:ascii="Calibri" w:hAnsi="Calibri"/>
              </w:rPr>
              <w:t>Line of action</w:t>
            </w:r>
          </w:p>
        </w:tc>
        <w:tc>
          <w:tcPr>
            <w:tcW w:w="8188" w:type="dxa"/>
          </w:tcPr>
          <w:p w:rsidR="00413333" w:rsidRPr="00CE1614" w:rsidRDefault="00413333" w:rsidP="00413333">
            <w:pPr>
              <w:spacing w:before="120"/>
              <w:jc w:val="both"/>
              <w:rPr>
                <w:rFonts w:ascii="Calibri" w:eastAsia="Calibri" w:hAnsi="Calibri" w:cs="Calibri"/>
              </w:rPr>
            </w:pPr>
            <w:r>
              <w:rPr>
                <w:rFonts w:ascii="Calibri" w:hAnsi="Calibri"/>
                <w:b/>
              </w:rPr>
              <w:t>Performing activity management</w:t>
            </w:r>
          </w:p>
          <w:p w:rsidR="00413333" w:rsidRPr="00CE1614" w:rsidRDefault="00413333" w:rsidP="00413333">
            <w:pPr>
              <w:spacing w:before="120"/>
              <w:jc w:val="both"/>
              <w:rPr>
                <w:rFonts w:ascii="Calibri" w:eastAsia="Calibri" w:hAnsi="Calibri" w:cs="Calibri"/>
              </w:rPr>
            </w:pPr>
            <w:r>
              <w:rPr>
                <w:rFonts w:ascii="Calibri" w:hAnsi="Calibri"/>
              </w:rPr>
              <w:t>MRDPA has an operational administrative section to ensure the administration of the institution’s administration in a manner as efficient and effective as possible. At the same time, it is based on the standard management principles - corresponding to the Internal Management Control System (SCIM), introduced in the institution ever since 2006.</w:t>
            </w:r>
          </w:p>
          <w:p w:rsidR="00413333" w:rsidRPr="00CE1614" w:rsidRDefault="00413333" w:rsidP="00413333">
            <w:pPr>
              <w:spacing w:before="120"/>
              <w:jc w:val="both"/>
              <w:rPr>
                <w:rFonts w:ascii="Calibri" w:eastAsia="Calibri" w:hAnsi="Calibri" w:cs="Calibri"/>
              </w:rPr>
            </w:pPr>
            <w:r>
              <w:rPr>
                <w:rFonts w:ascii="Calibri" w:hAnsi="Calibri"/>
              </w:rPr>
              <w:t xml:space="preserve">Also, in the following period, in order to make more efficient the activity of the MRDPA, it is considered even </w:t>
            </w:r>
            <w:r>
              <w:rPr>
                <w:rFonts w:ascii="Calibri" w:hAnsi="Calibri"/>
                <w:b/>
              </w:rPr>
              <w:t>to implement modern management instruments (ISO 9001, CAF)</w:t>
            </w:r>
            <w:r>
              <w:rPr>
                <w:rFonts w:ascii="Calibri" w:hAnsi="Calibri"/>
              </w:rPr>
              <w:t>, and to consolidate the SCIM.</w:t>
            </w:r>
          </w:p>
        </w:tc>
      </w:tr>
      <w:tr w:rsidR="00413333" w:rsidRPr="00CE1614" w:rsidTr="003C772A">
        <w:trPr>
          <w:jc w:val="center"/>
        </w:trPr>
        <w:tc>
          <w:tcPr>
            <w:tcW w:w="1588" w:type="dxa"/>
            <w:vAlign w:val="center"/>
          </w:tcPr>
          <w:p w:rsidR="00413333" w:rsidRPr="00CE1614" w:rsidRDefault="00413333" w:rsidP="00413333">
            <w:pPr>
              <w:spacing w:before="120"/>
              <w:jc w:val="center"/>
              <w:rPr>
                <w:rFonts w:ascii="Calibri" w:eastAsia="Calibri" w:hAnsi="Calibri" w:cs="Calibri"/>
              </w:rPr>
            </w:pPr>
            <w:r>
              <w:rPr>
                <w:rFonts w:ascii="Calibri" w:hAnsi="Calibri"/>
              </w:rPr>
              <w:t>General target/objective</w:t>
            </w:r>
          </w:p>
        </w:tc>
        <w:tc>
          <w:tcPr>
            <w:tcW w:w="8188" w:type="dxa"/>
          </w:tcPr>
          <w:p w:rsidR="00413333" w:rsidRPr="00CE1614" w:rsidRDefault="00413333" w:rsidP="00021698">
            <w:pPr>
              <w:numPr>
                <w:ilvl w:val="0"/>
                <w:numId w:val="149"/>
              </w:numPr>
              <w:spacing w:before="120" w:after="160" w:line="259" w:lineRule="auto"/>
              <w:ind w:left="0" w:firstLine="0"/>
              <w:jc w:val="both"/>
              <w:rPr>
                <w:rFonts w:ascii="Calibri" w:eastAsia="Calibri" w:hAnsi="Calibri" w:cs="Calibri"/>
              </w:rPr>
            </w:pPr>
            <w:r>
              <w:rPr>
                <w:rFonts w:ascii="Calibri" w:hAnsi="Calibri"/>
              </w:rPr>
              <w:t xml:space="preserve">Strengthening the MRDPA’s administrative capacity </w:t>
            </w:r>
          </w:p>
        </w:tc>
      </w:tr>
      <w:tr w:rsidR="00413333" w:rsidRPr="00CE1614" w:rsidTr="003C772A">
        <w:trPr>
          <w:jc w:val="center"/>
        </w:trPr>
        <w:tc>
          <w:tcPr>
            <w:tcW w:w="1588" w:type="dxa"/>
            <w:vAlign w:val="center"/>
          </w:tcPr>
          <w:p w:rsidR="00413333" w:rsidRPr="00CE1614" w:rsidRDefault="00413333" w:rsidP="00413333">
            <w:pPr>
              <w:spacing w:before="120"/>
              <w:jc w:val="center"/>
              <w:rPr>
                <w:rFonts w:ascii="Calibri" w:eastAsia="Calibri" w:hAnsi="Calibri" w:cs="Calibri"/>
              </w:rPr>
            </w:pPr>
            <w:r>
              <w:rPr>
                <w:rFonts w:ascii="Calibri" w:hAnsi="Calibri"/>
              </w:rPr>
              <w:t>Specific objectives/Implementation measures for the period 2019-2021</w:t>
            </w:r>
          </w:p>
        </w:tc>
        <w:tc>
          <w:tcPr>
            <w:tcW w:w="8188" w:type="dxa"/>
          </w:tcPr>
          <w:p w:rsidR="00413333" w:rsidRPr="00CE1614" w:rsidRDefault="00413333" w:rsidP="00021698">
            <w:pPr>
              <w:numPr>
                <w:ilvl w:val="0"/>
                <w:numId w:val="138"/>
              </w:numPr>
              <w:pBdr>
                <w:top w:val="nil"/>
                <w:left w:val="nil"/>
                <w:bottom w:val="nil"/>
                <w:right w:val="nil"/>
                <w:between w:val="nil"/>
              </w:pBdr>
              <w:tabs>
                <w:tab w:val="center" w:pos="203"/>
              </w:tabs>
              <w:spacing w:before="120" w:after="160" w:line="259" w:lineRule="auto"/>
              <w:ind w:left="0" w:firstLine="0"/>
              <w:contextualSpacing/>
              <w:jc w:val="both"/>
              <w:rPr>
                <w:rFonts w:ascii="Calibri" w:eastAsia="Calibri" w:hAnsi="Calibri" w:cs="Calibri"/>
                <w:color w:val="000000"/>
              </w:rPr>
            </w:pPr>
            <w:r>
              <w:rPr>
                <w:rFonts w:ascii="Calibri" w:hAnsi="Calibri"/>
                <w:b/>
                <w:color w:val="000000"/>
              </w:rPr>
              <w:t xml:space="preserve">Efficient and effective allocation of financial, human, logistics resources </w:t>
            </w:r>
          </w:p>
          <w:p w:rsidR="00413333" w:rsidRPr="00CE1614" w:rsidRDefault="00413333" w:rsidP="00021698">
            <w:pPr>
              <w:numPr>
                <w:ilvl w:val="0"/>
                <w:numId w:val="138"/>
              </w:numPr>
              <w:pBdr>
                <w:top w:val="nil"/>
                <w:left w:val="nil"/>
                <w:bottom w:val="nil"/>
                <w:right w:val="nil"/>
                <w:between w:val="nil"/>
              </w:pBdr>
              <w:tabs>
                <w:tab w:val="center" w:pos="203"/>
              </w:tabs>
              <w:spacing w:after="160" w:line="259" w:lineRule="auto"/>
              <w:ind w:left="0" w:firstLine="0"/>
              <w:contextualSpacing/>
              <w:jc w:val="both"/>
              <w:rPr>
                <w:rFonts w:ascii="Calibri" w:eastAsia="Calibri" w:hAnsi="Calibri" w:cs="Calibri"/>
                <w:color w:val="000000"/>
              </w:rPr>
            </w:pPr>
            <w:r>
              <w:rPr>
                <w:rFonts w:ascii="Calibri" w:hAnsi="Calibri"/>
                <w:b/>
                <w:color w:val="000000"/>
              </w:rPr>
              <w:t>Improving transparency and the decisional process</w:t>
            </w:r>
          </w:p>
          <w:p w:rsidR="00413333" w:rsidRPr="00CE1614" w:rsidRDefault="00413333" w:rsidP="00021698">
            <w:pPr>
              <w:numPr>
                <w:ilvl w:val="0"/>
                <w:numId w:val="138"/>
              </w:numPr>
              <w:pBdr>
                <w:top w:val="nil"/>
                <w:left w:val="nil"/>
                <w:bottom w:val="nil"/>
                <w:right w:val="nil"/>
                <w:between w:val="nil"/>
              </w:pBdr>
              <w:tabs>
                <w:tab w:val="center" w:pos="203"/>
              </w:tabs>
              <w:spacing w:after="120" w:line="259" w:lineRule="auto"/>
              <w:ind w:left="0" w:firstLine="0"/>
              <w:contextualSpacing/>
              <w:jc w:val="both"/>
              <w:rPr>
                <w:rFonts w:ascii="Calibri" w:eastAsia="Calibri" w:hAnsi="Calibri" w:cs="Calibri"/>
                <w:color w:val="000000"/>
              </w:rPr>
            </w:pPr>
            <w:r>
              <w:rPr>
                <w:rFonts w:ascii="Calibri" w:hAnsi="Calibri"/>
                <w:b/>
                <w:color w:val="000000"/>
              </w:rPr>
              <w:t>Ensuring the framework of prevention, monitoring, and control</w:t>
            </w:r>
          </w:p>
          <w:p w:rsidR="00413333" w:rsidRPr="00CE1614" w:rsidRDefault="00413333" w:rsidP="00413333">
            <w:pPr>
              <w:tabs>
                <w:tab w:val="center" w:pos="203"/>
              </w:tabs>
              <w:jc w:val="both"/>
              <w:rPr>
                <w:rFonts w:ascii="Calibri" w:eastAsia="Calibri" w:hAnsi="Calibri" w:cs="Calibri"/>
                <w:lang w:val="ro-RO" w:eastAsia="ro-RO"/>
              </w:rPr>
            </w:pPr>
          </w:p>
        </w:tc>
      </w:tr>
      <w:tr w:rsidR="00413333" w:rsidRPr="00CE1614" w:rsidTr="003C772A">
        <w:trPr>
          <w:jc w:val="center"/>
        </w:trPr>
        <w:tc>
          <w:tcPr>
            <w:tcW w:w="1588" w:type="dxa"/>
            <w:vAlign w:val="center"/>
          </w:tcPr>
          <w:p w:rsidR="00413333" w:rsidRPr="00CE1614" w:rsidRDefault="00413333" w:rsidP="00413333">
            <w:pPr>
              <w:spacing w:before="120"/>
              <w:jc w:val="center"/>
              <w:rPr>
                <w:rFonts w:ascii="Calibri" w:eastAsia="Calibri" w:hAnsi="Calibri" w:cs="Calibri"/>
              </w:rPr>
            </w:pPr>
            <w:r>
              <w:rPr>
                <w:rFonts w:ascii="Calibri" w:hAnsi="Calibri"/>
              </w:rPr>
              <w:t>Priority programs/projects for 2019-2021</w:t>
            </w:r>
          </w:p>
        </w:tc>
        <w:tc>
          <w:tcPr>
            <w:tcW w:w="8188" w:type="dxa"/>
          </w:tcPr>
          <w:p w:rsidR="00413333" w:rsidRPr="00CE1614" w:rsidRDefault="00413333" w:rsidP="00021698">
            <w:pPr>
              <w:numPr>
                <w:ilvl w:val="0"/>
                <w:numId w:val="132"/>
              </w:numPr>
              <w:pBdr>
                <w:top w:val="nil"/>
                <w:left w:val="nil"/>
                <w:bottom w:val="nil"/>
                <w:right w:val="nil"/>
                <w:between w:val="nil"/>
              </w:pBdr>
              <w:tabs>
                <w:tab w:val="center" w:pos="203"/>
              </w:tabs>
              <w:spacing w:before="120" w:after="160" w:line="259" w:lineRule="auto"/>
              <w:contextualSpacing/>
              <w:jc w:val="both"/>
              <w:rPr>
                <w:rFonts w:ascii="Calibri" w:eastAsia="Calibri" w:hAnsi="Calibri" w:cs="Calibri"/>
                <w:color w:val="000000"/>
              </w:rPr>
            </w:pPr>
            <w:r>
              <w:rPr>
                <w:rFonts w:ascii="Calibri" w:hAnsi="Calibri"/>
                <w:b/>
                <w:color w:val="000000"/>
              </w:rPr>
              <w:t xml:space="preserve">   “Consolidating the integrity systems - the best strategy of prevention of corruption in public administration”</w:t>
            </w:r>
            <w:r>
              <w:rPr>
                <w:rFonts w:ascii="Calibri" w:hAnsi="Calibri"/>
                <w:color w:val="000000"/>
              </w:rPr>
              <w:t xml:space="preserve"> (a project co-financed from the ESF through POCA for 2014-2020). The purpose of the project is to consolidate the integrity in the MDRAPFE, of the structures subordinated to it/under its authority, as well as at the level of the local public administration authorities, through the development, promotion and use of specific instruments to prevent corruption.</w:t>
            </w:r>
          </w:p>
          <w:p w:rsidR="00413333" w:rsidRPr="00CE1614" w:rsidRDefault="00413333" w:rsidP="00021698">
            <w:pPr>
              <w:numPr>
                <w:ilvl w:val="0"/>
                <w:numId w:val="132"/>
              </w:numPr>
              <w:pBdr>
                <w:top w:val="nil"/>
                <w:left w:val="nil"/>
                <w:bottom w:val="nil"/>
                <w:right w:val="nil"/>
                <w:between w:val="nil"/>
              </w:pBdr>
              <w:tabs>
                <w:tab w:val="center" w:pos="203"/>
              </w:tabs>
              <w:spacing w:after="160" w:line="259" w:lineRule="auto"/>
              <w:contextualSpacing/>
              <w:jc w:val="both"/>
              <w:rPr>
                <w:rFonts w:ascii="Calibri" w:eastAsia="Calibri" w:hAnsi="Calibri" w:cs="Calibri"/>
                <w:color w:val="000000"/>
              </w:rPr>
            </w:pPr>
            <w:r>
              <w:rPr>
                <w:rFonts w:ascii="Calibri" w:hAnsi="Calibri"/>
                <w:b/>
                <w:color w:val="000000"/>
              </w:rPr>
              <w:t xml:space="preserve">   “Quality, standards, performance - the assumptions of an efficient management in the Ministry of Regional Development and Public Administration”</w:t>
            </w:r>
            <w:r>
              <w:rPr>
                <w:rFonts w:ascii="Calibri" w:hAnsi="Calibri"/>
                <w:color w:val="000000"/>
              </w:rPr>
              <w:t xml:space="preserve"> (project co-financed from the ESF through POCA for 2014-2020).  The purpose of the project is to make more efficient the activity of the MRDPA and of the institutions subordinate thereto/under the authority of the MRDPA through the implementation of quality management standards and instruments: ISO 9001:2015, ISO 37001:2016, and of a self-assessment system of CAF type. </w:t>
            </w:r>
          </w:p>
          <w:p w:rsidR="00413333" w:rsidRPr="00CE1614" w:rsidRDefault="00413333" w:rsidP="00021698">
            <w:pPr>
              <w:numPr>
                <w:ilvl w:val="0"/>
                <w:numId w:val="132"/>
              </w:numPr>
              <w:pBdr>
                <w:top w:val="nil"/>
                <w:left w:val="nil"/>
                <w:bottom w:val="nil"/>
                <w:right w:val="nil"/>
                <w:between w:val="nil"/>
              </w:pBdr>
              <w:tabs>
                <w:tab w:val="center" w:pos="203"/>
              </w:tabs>
              <w:spacing w:after="160" w:line="259" w:lineRule="auto"/>
              <w:contextualSpacing/>
              <w:jc w:val="both"/>
              <w:rPr>
                <w:rFonts w:ascii="Calibri" w:eastAsia="Calibri" w:hAnsi="Calibri" w:cs="Calibri"/>
                <w:color w:val="000000"/>
              </w:rPr>
            </w:pPr>
            <w:r>
              <w:rPr>
                <w:rFonts w:ascii="Calibri" w:hAnsi="Calibri"/>
                <w:b/>
                <w:color w:val="000000"/>
              </w:rPr>
              <w:t xml:space="preserve">   “Consolidating the implementation of the internal management control system at central and local level”</w:t>
            </w:r>
            <w:r>
              <w:rPr>
                <w:rFonts w:ascii="Calibri" w:hAnsi="Calibri"/>
                <w:color w:val="000000"/>
              </w:rPr>
              <w:t xml:space="preserve"> (project co-financed from the ESF through POCA for 2014-2020 whose beneficiary is the General Secretariat of the Government and the MRDPA is a partner). </w:t>
            </w:r>
          </w:p>
          <w:p w:rsidR="00413333" w:rsidRPr="00CE1614" w:rsidRDefault="00413333" w:rsidP="00413333">
            <w:pPr>
              <w:pBdr>
                <w:top w:val="nil"/>
                <w:left w:val="nil"/>
                <w:bottom w:val="nil"/>
                <w:right w:val="nil"/>
                <w:between w:val="nil"/>
              </w:pBdr>
              <w:tabs>
                <w:tab w:val="center" w:pos="203"/>
              </w:tabs>
              <w:ind w:left="360" w:hanging="720"/>
              <w:jc w:val="both"/>
              <w:rPr>
                <w:rFonts w:ascii="Calibri" w:eastAsia="Calibri" w:hAnsi="Calibri" w:cs="Calibri"/>
                <w:color w:val="000000"/>
                <w:lang w:val="ro-RO" w:eastAsia="ro-RO"/>
              </w:rPr>
            </w:pPr>
          </w:p>
        </w:tc>
      </w:tr>
    </w:tbl>
    <w:p w:rsidR="00A37269" w:rsidRPr="00C86702" w:rsidRDefault="00A37269" w:rsidP="00A37269">
      <w:pPr>
        <w:shd w:val="clear" w:color="auto" w:fill="99CCFF"/>
        <w:ind w:right="-511"/>
        <w:rPr>
          <w:rFonts w:ascii="Calibri" w:hAnsi="Calibri" w:cs="Arial Narrow"/>
          <w:b/>
          <w:color w:val="000080"/>
        </w:rPr>
      </w:pPr>
      <w:r>
        <w:rPr>
          <w:rFonts w:ascii="Calibri" w:hAnsi="Calibri"/>
          <w:b/>
          <w:color w:val="000080"/>
        </w:rPr>
        <w:t>Policy in the field of agriculture and rural development</w:t>
      </w:r>
    </w:p>
    <w:p w:rsidR="00311D99" w:rsidRPr="00311D99" w:rsidRDefault="00311D99" w:rsidP="00311D99">
      <w:pPr>
        <w:spacing w:line="276" w:lineRule="auto"/>
        <w:ind w:right="144"/>
        <w:jc w:val="both"/>
        <w:rPr>
          <w:rFonts w:ascii="Calibri" w:hAnsi="Calibri"/>
          <w:b/>
          <w:lang w:val="it-IT"/>
        </w:rPr>
      </w:pPr>
    </w:p>
    <w:p w:rsidR="00311D99" w:rsidRPr="00311D99" w:rsidRDefault="00311D99" w:rsidP="00311D99">
      <w:pPr>
        <w:numPr>
          <w:ilvl w:val="0"/>
          <w:numId w:val="70"/>
        </w:numPr>
        <w:spacing w:line="276" w:lineRule="auto"/>
        <w:ind w:right="144"/>
        <w:contextualSpacing/>
        <w:jc w:val="both"/>
        <w:rPr>
          <w:rFonts w:ascii="Calibri" w:eastAsia="Calibri" w:hAnsi="Calibri"/>
          <w:b/>
          <w:i/>
          <w:szCs w:val="22"/>
        </w:rPr>
      </w:pPr>
      <w:r>
        <w:rPr>
          <w:rFonts w:ascii="Calibri" w:hAnsi="Calibri"/>
          <w:b/>
          <w:i/>
          <w:szCs w:val="22"/>
        </w:rPr>
        <w:t>NATIONAL RURAL DEVELOPMENT PROGRAM (PNDR)</w:t>
      </w:r>
    </w:p>
    <w:p w:rsidR="00311D99" w:rsidRPr="003964D3" w:rsidRDefault="00311D99" w:rsidP="00311D99">
      <w:pPr>
        <w:jc w:val="both"/>
        <w:rPr>
          <w:rFonts w:ascii="Calibri" w:hAnsi="Calibri"/>
          <w:bCs/>
          <w:lang w:val="fr-FR"/>
        </w:rPr>
      </w:pPr>
    </w:p>
    <w:p w:rsidR="00311D99" w:rsidRPr="00311D99" w:rsidRDefault="00311D99" w:rsidP="00311D99">
      <w:pPr>
        <w:shd w:val="clear" w:color="auto" w:fill="FFFFFF"/>
        <w:spacing w:after="225"/>
        <w:jc w:val="both"/>
        <w:rPr>
          <w:rFonts w:ascii="Calibri" w:hAnsi="Calibri"/>
        </w:rPr>
      </w:pPr>
      <w:r>
        <w:rPr>
          <w:rFonts w:ascii="Calibri" w:hAnsi="Calibri"/>
        </w:rPr>
        <w:t>The National Rural Development Program for 2014-2020 was adopted by the European Commission through the Commission’s Implementation Decision no. 3508 of May 26, 2015 approving the rural development program of Romania for support from the European Agricultural Fund for Rural Development, drawing the priorities of Romania for the use of the approximately 9.5 billion EUR available public funds (</w:t>
      </w:r>
      <w:r>
        <w:rPr>
          <w:rFonts w:ascii="Calibri" w:hAnsi="Calibri"/>
          <w:i/>
        </w:rPr>
        <w:t>8.1 billion EUR from the budget of the EAFRD and 1.4 billion EUR representing national co-financing</w:t>
      </w:r>
      <w:r>
        <w:rPr>
          <w:rFonts w:ascii="Calibri" w:hAnsi="Calibri"/>
        </w:rPr>
        <w:t xml:space="preserve">). </w:t>
      </w:r>
    </w:p>
    <w:p w:rsidR="00311D99" w:rsidRPr="00311D99" w:rsidRDefault="00311D99" w:rsidP="00311D99">
      <w:pPr>
        <w:shd w:val="clear" w:color="auto" w:fill="FFFFFF"/>
        <w:rPr>
          <w:rFonts w:ascii="Calibri" w:hAnsi="Calibri"/>
        </w:rPr>
      </w:pPr>
      <w:r>
        <w:rPr>
          <w:rFonts w:ascii="Calibri" w:hAnsi="Calibri"/>
        </w:rPr>
        <w:t>The financial allocation of the PNDR for 2014-2020, distributed on years, is the following:</w:t>
      </w:r>
    </w:p>
    <w:p w:rsidR="00311D99" w:rsidRPr="00311D99" w:rsidRDefault="00311D99" w:rsidP="00311D99">
      <w:pPr>
        <w:shd w:val="clear" w:color="auto" w:fill="FFFFFF"/>
        <w:spacing w:line="300" w:lineRule="atLeast"/>
        <w:jc w:val="right"/>
        <w:rPr>
          <w:rFonts w:ascii="Calibri" w:hAnsi="Calibri"/>
          <w:i/>
          <w:sz w:val="22"/>
          <w:szCs w:val="22"/>
        </w:rPr>
      </w:pPr>
      <w:r>
        <w:rPr>
          <w:rFonts w:ascii="Calibri" w:hAnsi="Calibri"/>
          <w:i/>
          <w:sz w:val="22"/>
          <w:szCs w:val="22"/>
        </w:rPr>
        <w:t>Million EUR</w:t>
      </w:r>
    </w:p>
    <w:tbl>
      <w:tblPr>
        <w:tblW w:w="9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5"/>
        <w:gridCol w:w="1134"/>
        <w:gridCol w:w="1134"/>
        <w:gridCol w:w="1134"/>
        <w:gridCol w:w="1134"/>
        <w:gridCol w:w="1134"/>
        <w:gridCol w:w="1134"/>
        <w:gridCol w:w="1559"/>
      </w:tblGrid>
      <w:tr w:rsidR="00311D99" w:rsidRPr="00311D99" w:rsidTr="00311D99">
        <w:trPr>
          <w:trHeight w:val="363"/>
          <w:jc w:val="center"/>
        </w:trPr>
        <w:tc>
          <w:tcPr>
            <w:tcW w:w="775" w:type="dxa"/>
            <w:shd w:val="clear" w:color="auto" w:fill="DEEAF6"/>
            <w:vAlign w:val="center"/>
          </w:tcPr>
          <w:p w:rsidR="00311D99" w:rsidRPr="00311D99" w:rsidRDefault="00311D99" w:rsidP="00311D99">
            <w:pPr>
              <w:spacing w:line="300" w:lineRule="atLeast"/>
              <w:jc w:val="center"/>
              <w:rPr>
                <w:rFonts w:ascii="Calibri" w:hAnsi="Calibri"/>
                <w:b/>
                <w:sz w:val="22"/>
                <w:szCs w:val="22"/>
              </w:rPr>
            </w:pPr>
            <w:r>
              <w:rPr>
                <w:rFonts w:ascii="Calibri" w:hAnsi="Calibri"/>
                <w:b/>
                <w:sz w:val="22"/>
                <w:szCs w:val="22"/>
              </w:rPr>
              <w:t>2014</w:t>
            </w:r>
          </w:p>
        </w:tc>
        <w:tc>
          <w:tcPr>
            <w:tcW w:w="1134" w:type="dxa"/>
            <w:shd w:val="clear" w:color="auto" w:fill="DEEAF6"/>
            <w:vAlign w:val="center"/>
          </w:tcPr>
          <w:p w:rsidR="00311D99" w:rsidRPr="00311D99" w:rsidRDefault="00311D99" w:rsidP="00311D99">
            <w:pPr>
              <w:spacing w:line="300" w:lineRule="atLeast"/>
              <w:jc w:val="center"/>
              <w:rPr>
                <w:rFonts w:ascii="Calibri" w:hAnsi="Calibri"/>
                <w:b/>
                <w:sz w:val="22"/>
                <w:szCs w:val="22"/>
              </w:rPr>
            </w:pPr>
            <w:r>
              <w:rPr>
                <w:rFonts w:ascii="Calibri" w:hAnsi="Calibri"/>
                <w:b/>
                <w:sz w:val="22"/>
                <w:szCs w:val="22"/>
              </w:rPr>
              <w:t>2015</w:t>
            </w:r>
          </w:p>
        </w:tc>
        <w:tc>
          <w:tcPr>
            <w:tcW w:w="1134" w:type="dxa"/>
            <w:shd w:val="clear" w:color="auto" w:fill="DEEAF6"/>
            <w:vAlign w:val="center"/>
          </w:tcPr>
          <w:p w:rsidR="00311D99" w:rsidRPr="00311D99" w:rsidRDefault="00311D99" w:rsidP="00311D99">
            <w:pPr>
              <w:spacing w:line="300" w:lineRule="atLeast"/>
              <w:jc w:val="center"/>
              <w:rPr>
                <w:rFonts w:ascii="Calibri" w:hAnsi="Calibri"/>
                <w:b/>
                <w:sz w:val="22"/>
                <w:szCs w:val="22"/>
              </w:rPr>
            </w:pPr>
            <w:r>
              <w:rPr>
                <w:rFonts w:ascii="Calibri" w:hAnsi="Calibri"/>
                <w:b/>
                <w:sz w:val="22"/>
                <w:szCs w:val="22"/>
              </w:rPr>
              <w:t>2016</w:t>
            </w:r>
          </w:p>
        </w:tc>
        <w:tc>
          <w:tcPr>
            <w:tcW w:w="1134" w:type="dxa"/>
            <w:shd w:val="clear" w:color="auto" w:fill="DEEAF6"/>
            <w:vAlign w:val="center"/>
          </w:tcPr>
          <w:p w:rsidR="00311D99" w:rsidRPr="00311D99" w:rsidRDefault="00311D99" w:rsidP="00311D99">
            <w:pPr>
              <w:spacing w:line="300" w:lineRule="atLeast"/>
              <w:jc w:val="center"/>
              <w:rPr>
                <w:rFonts w:ascii="Calibri" w:hAnsi="Calibri"/>
                <w:b/>
                <w:sz w:val="22"/>
                <w:szCs w:val="22"/>
              </w:rPr>
            </w:pPr>
            <w:r>
              <w:rPr>
                <w:rFonts w:ascii="Calibri" w:hAnsi="Calibri"/>
                <w:b/>
                <w:sz w:val="22"/>
                <w:szCs w:val="22"/>
              </w:rPr>
              <w:t>2017</w:t>
            </w:r>
          </w:p>
        </w:tc>
        <w:tc>
          <w:tcPr>
            <w:tcW w:w="1134" w:type="dxa"/>
            <w:shd w:val="clear" w:color="auto" w:fill="DEEAF6"/>
            <w:vAlign w:val="center"/>
          </w:tcPr>
          <w:p w:rsidR="00311D99" w:rsidRPr="00311D99" w:rsidRDefault="00311D99" w:rsidP="00311D99">
            <w:pPr>
              <w:spacing w:line="300" w:lineRule="atLeast"/>
              <w:jc w:val="center"/>
              <w:rPr>
                <w:rFonts w:ascii="Calibri" w:hAnsi="Calibri"/>
                <w:b/>
                <w:sz w:val="22"/>
                <w:szCs w:val="22"/>
              </w:rPr>
            </w:pPr>
            <w:r>
              <w:rPr>
                <w:rFonts w:ascii="Calibri" w:hAnsi="Calibri"/>
                <w:b/>
                <w:sz w:val="22"/>
                <w:szCs w:val="22"/>
              </w:rPr>
              <w:t>2018</w:t>
            </w:r>
          </w:p>
        </w:tc>
        <w:tc>
          <w:tcPr>
            <w:tcW w:w="1134" w:type="dxa"/>
            <w:shd w:val="clear" w:color="auto" w:fill="DEEAF6"/>
            <w:vAlign w:val="center"/>
          </w:tcPr>
          <w:p w:rsidR="00311D99" w:rsidRPr="00311D99" w:rsidRDefault="00311D99" w:rsidP="00311D99">
            <w:pPr>
              <w:spacing w:line="300" w:lineRule="atLeast"/>
              <w:jc w:val="center"/>
              <w:rPr>
                <w:rFonts w:ascii="Calibri" w:hAnsi="Calibri"/>
                <w:b/>
                <w:sz w:val="22"/>
                <w:szCs w:val="22"/>
              </w:rPr>
            </w:pPr>
            <w:r>
              <w:rPr>
                <w:rFonts w:ascii="Calibri" w:hAnsi="Calibri"/>
                <w:b/>
                <w:sz w:val="22"/>
                <w:szCs w:val="22"/>
              </w:rPr>
              <w:t>2019</w:t>
            </w:r>
          </w:p>
        </w:tc>
        <w:tc>
          <w:tcPr>
            <w:tcW w:w="1134" w:type="dxa"/>
            <w:shd w:val="clear" w:color="auto" w:fill="DEEAF6"/>
            <w:vAlign w:val="center"/>
          </w:tcPr>
          <w:p w:rsidR="00311D99" w:rsidRPr="00311D99" w:rsidRDefault="00311D99" w:rsidP="00311D99">
            <w:pPr>
              <w:spacing w:line="300" w:lineRule="atLeast"/>
              <w:jc w:val="center"/>
              <w:rPr>
                <w:rFonts w:ascii="Calibri" w:hAnsi="Calibri"/>
                <w:b/>
                <w:sz w:val="22"/>
                <w:szCs w:val="22"/>
              </w:rPr>
            </w:pPr>
            <w:r>
              <w:rPr>
                <w:rFonts w:ascii="Calibri" w:hAnsi="Calibri"/>
                <w:b/>
                <w:sz w:val="22"/>
                <w:szCs w:val="22"/>
              </w:rPr>
              <w:t>2020</w:t>
            </w:r>
          </w:p>
        </w:tc>
        <w:tc>
          <w:tcPr>
            <w:tcW w:w="1559" w:type="dxa"/>
            <w:shd w:val="clear" w:color="auto" w:fill="DEEAF6"/>
            <w:vAlign w:val="center"/>
          </w:tcPr>
          <w:p w:rsidR="00311D99" w:rsidRPr="00311D99" w:rsidRDefault="00311D99" w:rsidP="00311D99">
            <w:pPr>
              <w:spacing w:line="300" w:lineRule="atLeast"/>
              <w:jc w:val="center"/>
              <w:rPr>
                <w:rFonts w:ascii="Calibri" w:hAnsi="Calibri"/>
                <w:b/>
                <w:sz w:val="22"/>
                <w:szCs w:val="22"/>
              </w:rPr>
            </w:pPr>
            <w:r>
              <w:rPr>
                <w:rFonts w:ascii="Calibri" w:hAnsi="Calibri"/>
                <w:b/>
                <w:sz w:val="22"/>
                <w:szCs w:val="22"/>
              </w:rPr>
              <w:t>TOTAL</w:t>
            </w:r>
          </w:p>
        </w:tc>
      </w:tr>
      <w:tr w:rsidR="00311D99" w:rsidRPr="00311D99" w:rsidTr="00311D99">
        <w:trPr>
          <w:jc w:val="center"/>
        </w:trPr>
        <w:tc>
          <w:tcPr>
            <w:tcW w:w="775" w:type="dxa"/>
            <w:shd w:val="clear" w:color="auto" w:fill="auto"/>
            <w:vAlign w:val="center"/>
          </w:tcPr>
          <w:p w:rsidR="00311D99" w:rsidRPr="00311D99" w:rsidRDefault="00311D99" w:rsidP="00311D99">
            <w:pPr>
              <w:spacing w:line="300" w:lineRule="atLeast"/>
              <w:jc w:val="center"/>
              <w:rPr>
                <w:rFonts w:ascii="Calibri" w:hAnsi="Calibri"/>
                <w:sz w:val="22"/>
                <w:szCs w:val="22"/>
              </w:rPr>
            </w:pPr>
            <w:r>
              <w:rPr>
                <w:rFonts w:ascii="Calibri" w:hAnsi="Calibri"/>
                <w:sz w:val="22"/>
                <w:szCs w:val="22"/>
              </w:rPr>
              <w:t>0.0</w:t>
            </w:r>
          </w:p>
        </w:tc>
        <w:tc>
          <w:tcPr>
            <w:tcW w:w="1134" w:type="dxa"/>
            <w:shd w:val="clear" w:color="auto" w:fill="auto"/>
            <w:vAlign w:val="center"/>
          </w:tcPr>
          <w:p w:rsidR="00311D99" w:rsidRPr="00311D99" w:rsidRDefault="00311D99" w:rsidP="00311D99">
            <w:pPr>
              <w:spacing w:line="300" w:lineRule="atLeast"/>
              <w:jc w:val="center"/>
              <w:rPr>
                <w:rFonts w:ascii="Calibri" w:hAnsi="Calibri"/>
                <w:sz w:val="22"/>
                <w:szCs w:val="22"/>
              </w:rPr>
            </w:pPr>
            <w:r>
              <w:rPr>
                <w:rFonts w:ascii="Calibri" w:hAnsi="Calibri"/>
                <w:sz w:val="22"/>
                <w:szCs w:val="22"/>
              </w:rPr>
              <w:t>1,723.26</w:t>
            </w:r>
          </w:p>
        </w:tc>
        <w:tc>
          <w:tcPr>
            <w:tcW w:w="1134" w:type="dxa"/>
            <w:shd w:val="clear" w:color="auto" w:fill="auto"/>
            <w:vAlign w:val="center"/>
          </w:tcPr>
          <w:p w:rsidR="00311D99" w:rsidRPr="00311D99" w:rsidRDefault="00311D99" w:rsidP="00311D99">
            <w:pPr>
              <w:spacing w:line="300" w:lineRule="atLeast"/>
              <w:jc w:val="center"/>
              <w:rPr>
                <w:rFonts w:ascii="Calibri" w:hAnsi="Calibri"/>
                <w:sz w:val="22"/>
                <w:szCs w:val="22"/>
              </w:rPr>
            </w:pPr>
            <w:r>
              <w:rPr>
                <w:rFonts w:ascii="Calibri" w:hAnsi="Calibri"/>
                <w:sz w:val="22"/>
                <w:szCs w:val="22"/>
              </w:rPr>
              <w:t>1,751.61</w:t>
            </w:r>
          </w:p>
        </w:tc>
        <w:tc>
          <w:tcPr>
            <w:tcW w:w="1134" w:type="dxa"/>
            <w:shd w:val="clear" w:color="auto" w:fill="auto"/>
            <w:vAlign w:val="center"/>
          </w:tcPr>
          <w:p w:rsidR="00311D99" w:rsidRPr="00311D99" w:rsidRDefault="00311D99" w:rsidP="00311D99">
            <w:pPr>
              <w:spacing w:line="300" w:lineRule="atLeast"/>
              <w:jc w:val="center"/>
              <w:rPr>
                <w:rFonts w:ascii="Calibri" w:hAnsi="Calibri"/>
                <w:sz w:val="22"/>
                <w:szCs w:val="22"/>
              </w:rPr>
            </w:pPr>
            <w:r>
              <w:rPr>
                <w:rFonts w:ascii="Calibri" w:hAnsi="Calibri"/>
                <w:sz w:val="22"/>
                <w:szCs w:val="22"/>
              </w:rPr>
              <w:t>1,186.54</w:t>
            </w:r>
          </w:p>
        </w:tc>
        <w:tc>
          <w:tcPr>
            <w:tcW w:w="1134" w:type="dxa"/>
            <w:shd w:val="clear" w:color="auto" w:fill="auto"/>
            <w:vAlign w:val="center"/>
          </w:tcPr>
          <w:p w:rsidR="00311D99" w:rsidRPr="00311D99" w:rsidRDefault="00311D99" w:rsidP="00311D99">
            <w:pPr>
              <w:spacing w:line="300" w:lineRule="atLeast"/>
              <w:jc w:val="center"/>
              <w:rPr>
                <w:rFonts w:ascii="Calibri" w:hAnsi="Calibri"/>
                <w:sz w:val="22"/>
                <w:szCs w:val="22"/>
              </w:rPr>
            </w:pPr>
            <w:r>
              <w:rPr>
                <w:rFonts w:ascii="Calibri" w:hAnsi="Calibri"/>
                <w:sz w:val="22"/>
                <w:szCs w:val="22"/>
              </w:rPr>
              <w:t>1,184.73</w:t>
            </w:r>
          </w:p>
        </w:tc>
        <w:tc>
          <w:tcPr>
            <w:tcW w:w="1134" w:type="dxa"/>
            <w:shd w:val="clear" w:color="auto" w:fill="auto"/>
            <w:vAlign w:val="center"/>
          </w:tcPr>
          <w:p w:rsidR="00311D99" w:rsidRPr="00311D99" w:rsidRDefault="00311D99" w:rsidP="00311D99">
            <w:pPr>
              <w:spacing w:line="300" w:lineRule="atLeast"/>
              <w:jc w:val="center"/>
              <w:rPr>
                <w:rFonts w:ascii="Calibri" w:hAnsi="Calibri"/>
                <w:sz w:val="22"/>
                <w:szCs w:val="22"/>
              </w:rPr>
            </w:pPr>
            <w:r>
              <w:rPr>
                <w:rFonts w:ascii="Calibri" w:hAnsi="Calibri"/>
                <w:sz w:val="22"/>
                <w:szCs w:val="22"/>
              </w:rPr>
              <w:t>1,141.93</w:t>
            </w:r>
          </w:p>
        </w:tc>
        <w:tc>
          <w:tcPr>
            <w:tcW w:w="1134" w:type="dxa"/>
            <w:shd w:val="clear" w:color="auto" w:fill="auto"/>
            <w:vAlign w:val="center"/>
          </w:tcPr>
          <w:p w:rsidR="00311D99" w:rsidRPr="00311D99" w:rsidRDefault="00311D99" w:rsidP="00311D99">
            <w:pPr>
              <w:spacing w:line="300" w:lineRule="atLeast"/>
              <w:jc w:val="center"/>
              <w:rPr>
                <w:rFonts w:ascii="Calibri" w:hAnsi="Calibri"/>
                <w:sz w:val="22"/>
                <w:szCs w:val="22"/>
              </w:rPr>
            </w:pPr>
            <w:r>
              <w:rPr>
                <w:rFonts w:ascii="Calibri" w:hAnsi="Calibri"/>
                <w:sz w:val="22"/>
                <w:szCs w:val="22"/>
              </w:rPr>
              <w:t>1,139.93</w:t>
            </w:r>
          </w:p>
        </w:tc>
        <w:tc>
          <w:tcPr>
            <w:tcW w:w="1559" w:type="dxa"/>
            <w:shd w:val="clear" w:color="auto" w:fill="auto"/>
            <w:vAlign w:val="center"/>
          </w:tcPr>
          <w:p w:rsidR="00311D99" w:rsidRPr="00311D99" w:rsidRDefault="00311D99" w:rsidP="00311D99">
            <w:pPr>
              <w:spacing w:line="300" w:lineRule="atLeast"/>
              <w:jc w:val="center"/>
              <w:rPr>
                <w:rFonts w:ascii="Calibri" w:hAnsi="Calibri"/>
                <w:sz w:val="22"/>
                <w:szCs w:val="22"/>
              </w:rPr>
            </w:pPr>
            <w:r>
              <w:rPr>
                <w:rFonts w:ascii="Calibri" w:hAnsi="Calibri"/>
                <w:sz w:val="22"/>
                <w:szCs w:val="22"/>
              </w:rPr>
              <w:t>8,128.00</w:t>
            </w:r>
          </w:p>
        </w:tc>
      </w:tr>
    </w:tbl>
    <w:p w:rsidR="00311D99" w:rsidRPr="00311D99" w:rsidRDefault="00311D99" w:rsidP="00311D99">
      <w:pPr>
        <w:shd w:val="clear" w:color="auto" w:fill="FFFFFF"/>
        <w:spacing w:line="300" w:lineRule="atLeast"/>
        <w:rPr>
          <w:rFonts w:ascii="Trebuchet MS" w:hAnsi="Trebuchet MS"/>
          <w:sz w:val="22"/>
          <w:szCs w:val="22"/>
          <w:lang w:val="ro-RO"/>
        </w:rPr>
      </w:pPr>
    </w:p>
    <w:p w:rsidR="00311D99" w:rsidRPr="00311D99" w:rsidRDefault="00311D99" w:rsidP="00311D99">
      <w:pPr>
        <w:tabs>
          <w:tab w:val="left" w:pos="284"/>
        </w:tabs>
        <w:ind w:right="-1"/>
        <w:contextualSpacing/>
        <w:jc w:val="both"/>
        <w:rPr>
          <w:rFonts w:ascii="Calibri" w:eastAsia="Calibri" w:hAnsi="Calibri"/>
          <w:i/>
          <w:szCs w:val="22"/>
        </w:rPr>
      </w:pPr>
      <w:r>
        <w:rPr>
          <w:rFonts w:ascii="Calibri" w:hAnsi="Calibri"/>
          <w:i/>
          <w:szCs w:val="22"/>
        </w:rPr>
        <w:t>Absorption rate of PNDR for 2014-2020</w:t>
      </w:r>
    </w:p>
    <w:p w:rsidR="00311D99" w:rsidRPr="00311D99" w:rsidRDefault="00311D99" w:rsidP="00311D99">
      <w:pPr>
        <w:ind w:right="-1"/>
        <w:jc w:val="both"/>
        <w:rPr>
          <w:rFonts w:ascii="Calibri" w:hAnsi="Calibri"/>
          <w:lang w:val="ro-RO"/>
        </w:rPr>
      </w:pPr>
    </w:p>
    <w:p w:rsidR="00311D99" w:rsidRPr="00311D99" w:rsidRDefault="00311D99" w:rsidP="00311D99">
      <w:pPr>
        <w:shd w:val="clear" w:color="auto" w:fill="FFFFFF"/>
        <w:contextualSpacing/>
        <w:jc w:val="both"/>
        <w:rPr>
          <w:rFonts w:ascii="Calibri" w:hAnsi="Calibri" w:cs="Calibri"/>
          <w:i/>
        </w:rPr>
      </w:pPr>
      <w:r>
        <w:rPr>
          <w:rFonts w:ascii="Calibri" w:hAnsi="Calibri"/>
          <w:b/>
        </w:rPr>
        <w:t>The value of the payments made from the EAFRD</w:t>
      </w:r>
      <w:r>
        <w:rPr>
          <w:rFonts w:ascii="Calibri" w:hAnsi="Calibri"/>
        </w:rPr>
        <w:t xml:space="preserve"> to the beneficiaries of all measures is of 3,173.77 million EUR, to which is added the pre-financing collected in 2015, respectively 2016, from the budget of the EAFRD, in order to ensure the financing necessary to start and implement the Program, amounting to EUR 325.12 million, which leads to a </w:t>
      </w:r>
      <w:r>
        <w:rPr>
          <w:rFonts w:ascii="Calibri" w:hAnsi="Calibri"/>
          <w:b/>
        </w:rPr>
        <w:t>degree of absorption of EAFRD for 2014-2020 of 43.1%</w:t>
      </w:r>
      <w:r>
        <w:rPr>
          <w:rFonts w:ascii="Calibri" w:hAnsi="Calibri"/>
        </w:rPr>
        <w:t xml:space="preserve"> (</w:t>
      </w:r>
      <w:r>
        <w:rPr>
          <w:rFonts w:ascii="Calibri" w:hAnsi="Calibri"/>
          <w:i/>
        </w:rPr>
        <w:t>according to the expenditure declarations corresponding to years 2016-2018 reimbursed by the European Commission, as well as of the payments made to the beneficiaries between July and October 2018</w:t>
      </w:r>
      <w:r>
        <w:rPr>
          <w:rFonts w:ascii="Calibri" w:hAnsi="Calibri"/>
        </w:rPr>
        <w:t>).</w:t>
      </w:r>
    </w:p>
    <w:p w:rsidR="00311D99" w:rsidRPr="00311D99" w:rsidRDefault="00311D99" w:rsidP="00311D99">
      <w:pPr>
        <w:ind w:right="-1"/>
        <w:jc w:val="both"/>
        <w:rPr>
          <w:rFonts w:ascii="Calibri" w:hAnsi="Calibri"/>
          <w:lang w:val="ro-RO"/>
        </w:rPr>
      </w:pPr>
    </w:p>
    <w:p w:rsidR="00311D99" w:rsidRPr="003964D3" w:rsidRDefault="00311D99" w:rsidP="00311D99">
      <w:pPr>
        <w:ind w:right="-1"/>
        <w:jc w:val="both"/>
        <w:rPr>
          <w:rFonts w:ascii="Calibri" w:hAnsi="Calibri"/>
        </w:rPr>
      </w:pPr>
      <w:r>
        <w:rPr>
          <w:rFonts w:ascii="Calibri" w:hAnsi="Calibri"/>
        </w:rPr>
        <w:t>Measures of PNDR for 2014-2020 launched</w:t>
      </w:r>
    </w:p>
    <w:p w:rsidR="00311D99" w:rsidRPr="003964D3" w:rsidRDefault="00311D99" w:rsidP="00311D99">
      <w:pPr>
        <w:ind w:right="-1"/>
        <w:jc w:val="both"/>
        <w:rPr>
          <w:rFonts w:ascii="Calibri" w:hAnsi="Calibri"/>
          <w:lang w:val="fr-FR"/>
        </w:rPr>
      </w:pPr>
    </w:p>
    <w:p w:rsidR="00311D99" w:rsidRPr="00311D99" w:rsidRDefault="00311D99" w:rsidP="00311D99">
      <w:pPr>
        <w:spacing w:line="276" w:lineRule="auto"/>
        <w:ind w:right="-1"/>
        <w:contextualSpacing/>
        <w:jc w:val="both"/>
        <w:rPr>
          <w:rFonts w:ascii="Calibri" w:eastAsia="Calibri" w:hAnsi="Calibri"/>
          <w:szCs w:val="22"/>
        </w:rPr>
      </w:pPr>
      <w:r>
        <w:rPr>
          <w:rFonts w:ascii="Calibri" w:hAnsi="Calibri"/>
          <w:szCs w:val="22"/>
        </w:rPr>
        <w:t>41 (sub)measures/components/schemes are active, of which 34 (sub)measures/components/schemes are implemented by the Agency for Financing of Rural Investments/Management Authority for the PNDR and 6 measures by the Agency of Payments and Intervention for Agriculture, to which is added the measure of strengthening the administrative capacity of the authorities responsible for the implementation of the NRDP, respectively Technical Assistance.</w:t>
      </w:r>
    </w:p>
    <w:p w:rsidR="00311D99" w:rsidRPr="000E0129" w:rsidRDefault="00311D99" w:rsidP="00311D99">
      <w:pPr>
        <w:spacing w:line="276" w:lineRule="auto"/>
        <w:ind w:right="-1"/>
        <w:contextualSpacing/>
        <w:jc w:val="both"/>
        <w:rPr>
          <w:rFonts w:ascii="Calibri" w:eastAsia="Calibri" w:hAnsi="Calibri"/>
          <w:sz w:val="12"/>
          <w:szCs w:val="22"/>
          <w:lang w:val="ro-RO"/>
        </w:rPr>
      </w:pPr>
    </w:p>
    <w:p w:rsidR="00311D99" w:rsidRPr="00311D99" w:rsidRDefault="00311D99" w:rsidP="00311D99">
      <w:pPr>
        <w:numPr>
          <w:ilvl w:val="0"/>
          <w:numId w:val="11"/>
        </w:numPr>
        <w:autoSpaceDE w:val="0"/>
        <w:autoSpaceDN w:val="0"/>
        <w:adjustRightInd w:val="0"/>
        <w:spacing w:line="276" w:lineRule="auto"/>
        <w:ind w:left="360"/>
        <w:contextualSpacing/>
        <w:jc w:val="both"/>
        <w:rPr>
          <w:rFonts w:ascii="Calibri" w:eastAsia="Calibri" w:hAnsi="Calibri"/>
          <w:color w:val="000000" w:themeColor="text1"/>
        </w:rPr>
      </w:pPr>
      <w:r>
        <w:rPr>
          <w:rFonts w:ascii="Calibri" w:hAnsi="Calibri"/>
          <w:color w:val="000000" w:themeColor="text1"/>
        </w:rPr>
        <w:t xml:space="preserve">3 sub-measures are not launched, and they shall be launched by AFIR/MA PNDR. </w:t>
      </w:r>
    </w:p>
    <w:p w:rsidR="00311D99" w:rsidRPr="00311D99" w:rsidRDefault="00311D99" w:rsidP="00311D99">
      <w:pPr>
        <w:numPr>
          <w:ilvl w:val="0"/>
          <w:numId w:val="11"/>
        </w:numPr>
        <w:spacing w:line="276" w:lineRule="auto"/>
        <w:ind w:left="360"/>
        <w:contextualSpacing/>
        <w:jc w:val="both"/>
        <w:rPr>
          <w:rFonts w:ascii="Calibri" w:eastAsia="Calibri" w:hAnsi="Calibri" w:cs="Calibri"/>
          <w:b/>
          <w:color w:val="000000" w:themeColor="text1"/>
        </w:rPr>
      </w:pPr>
      <w:r>
        <w:rPr>
          <w:rFonts w:ascii="Calibri" w:hAnsi="Calibri"/>
          <w:b/>
          <w:color w:val="000000" w:themeColor="text1"/>
        </w:rPr>
        <w:t xml:space="preserve">Following the sessions carried out in the four years of implementation, on a cumulative basis, the number of submitted projects is of 55,339, with a public value of 8,243.33 million EUR. </w:t>
      </w:r>
    </w:p>
    <w:p w:rsidR="00311D99" w:rsidRPr="00311D99" w:rsidRDefault="00311D99" w:rsidP="00311D99">
      <w:pPr>
        <w:numPr>
          <w:ilvl w:val="0"/>
          <w:numId w:val="11"/>
        </w:numPr>
        <w:spacing w:line="276" w:lineRule="auto"/>
        <w:ind w:left="360"/>
        <w:contextualSpacing/>
        <w:jc w:val="both"/>
        <w:rPr>
          <w:rFonts w:ascii="Calibri" w:eastAsia="Calibri" w:hAnsi="Calibri" w:cs="Calibri"/>
          <w:b/>
          <w:color w:val="000000" w:themeColor="text1"/>
        </w:rPr>
      </w:pPr>
      <w:r>
        <w:rPr>
          <w:rFonts w:ascii="Calibri" w:hAnsi="Calibri"/>
          <w:b/>
          <w:color w:val="000000" w:themeColor="text1"/>
        </w:rPr>
        <w:t>The number of projects selected for financing is of 29,345 in public value of 4,114.67 million EUR, of which 28,224 projects were contracted, in public value of 3,575.86 million EUR. For these contracts were made payments of a public value of 1,696.49 million EUR.</w:t>
      </w:r>
    </w:p>
    <w:p w:rsidR="00311D99" w:rsidRPr="00311D99" w:rsidRDefault="00311D99" w:rsidP="00311D99">
      <w:pPr>
        <w:numPr>
          <w:ilvl w:val="0"/>
          <w:numId w:val="11"/>
        </w:numPr>
        <w:spacing w:line="276" w:lineRule="auto"/>
        <w:ind w:left="360"/>
        <w:contextualSpacing/>
        <w:jc w:val="both"/>
        <w:rPr>
          <w:rFonts w:ascii="Calibri" w:eastAsia="Calibri" w:hAnsi="Calibri"/>
          <w:color w:val="000000" w:themeColor="text1"/>
        </w:rPr>
      </w:pPr>
      <w:r>
        <w:rPr>
          <w:rFonts w:ascii="Calibri" w:hAnsi="Calibri"/>
          <w:color w:val="000000" w:themeColor="text1"/>
        </w:rPr>
        <w:t xml:space="preserve">In addition,  </w:t>
      </w:r>
      <w:r>
        <w:rPr>
          <w:rFonts w:ascii="Calibri" w:hAnsi="Calibri"/>
          <w:b/>
          <w:color w:val="000000" w:themeColor="text1"/>
        </w:rPr>
        <w:t>22,627 projects with a public value of 435.84 million EUR</w:t>
      </w:r>
      <w:r>
        <w:rPr>
          <w:rFonts w:ascii="Calibri" w:hAnsi="Calibri"/>
          <w:color w:val="000000" w:themeColor="text1"/>
        </w:rPr>
        <w:t xml:space="preserve"> (the value left to be paid in order to finalize these contracts) were transferred through the </w:t>
      </w:r>
      <w:r>
        <w:rPr>
          <w:rFonts w:ascii="Calibri" w:hAnsi="Calibri"/>
          <w:b/>
          <w:color w:val="000000" w:themeColor="text1"/>
        </w:rPr>
        <w:t>transition</w:t>
      </w:r>
      <w:r>
        <w:rPr>
          <w:rFonts w:ascii="Calibri" w:hAnsi="Calibri"/>
          <w:color w:val="000000" w:themeColor="text1"/>
        </w:rPr>
        <w:t xml:space="preserve"> procedure from the PNDR for 2007-2013 in PNDR for 2014-2020. For these contracts were made payments of a public value of 254.42 million EUR. </w:t>
      </w:r>
    </w:p>
    <w:p w:rsidR="00311D99" w:rsidRPr="00311D99" w:rsidRDefault="00311D99" w:rsidP="00311D99">
      <w:pPr>
        <w:numPr>
          <w:ilvl w:val="0"/>
          <w:numId w:val="11"/>
        </w:numPr>
        <w:spacing w:line="276" w:lineRule="auto"/>
        <w:ind w:left="360"/>
        <w:contextualSpacing/>
        <w:jc w:val="both"/>
        <w:rPr>
          <w:rFonts w:ascii="Calibri" w:eastAsia="Calibri" w:hAnsi="Calibri" w:cs="Calibri"/>
          <w:color w:val="000000" w:themeColor="text1"/>
        </w:rPr>
      </w:pPr>
      <w:r>
        <w:rPr>
          <w:rFonts w:ascii="Calibri" w:hAnsi="Calibri"/>
          <w:color w:val="000000" w:themeColor="text1"/>
        </w:rPr>
        <w:t xml:space="preserve">Also, </w:t>
      </w:r>
      <w:r>
        <w:rPr>
          <w:rFonts w:ascii="Calibri" w:hAnsi="Calibri"/>
          <w:b/>
          <w:color w:val="000000" w:themeColor="text1"/>
        </w:rPr>
        <w:t>payments of a public value of 1,511.15 million EUR were made for the measures of compensatory payments per area/animals implemented by APIA</w:t>
      </w:r>
      <w:r>
        <w:rPr>
          <w:rFonts w:ascii="Calibri" w:hAnsi="Calibri"/>
          <w:color w:val="000000" w:themeColor="text1"/>
        </w:rPr>
        <w:t>, corresponding to the payment requests submitted in the campaigns carried out in the previous year.</w:t>
      </w:r>
    </w:p>
    <w:p w:rsidR="00311D99" w:rsidRPr="00311D99" w:rsidRDefault="00311D99" w:rsidP="00311D99">
      <w:pPr>
        <w:numPr>
          <w:ilvl w:val="0"/>
          <w:numId w:val="11"/>
        </w:numPr>
        <w:spacing w:line="276" w:lineRule="auto"/>
        <w:ind w:left="360"/>
        <w:contextualSpacing/>
        <w:jc w:val="both"/>
        <w:rPr>
          <w:rFonts w:ascii="Calibri" w:eastAsia="Calibri" w:hAnsi="Calibri" w:cs="Calibri"/>
          <w:color w:val="000000" w:themeColor="text1"/>
        </w:rPr>
      </w:pPr>
      <w:r>
        <w:rPr>
          <w:rFonts w:ascii="Calibri" w:hAnsi="Calibri"/>
          <w:color w:val="000000" w:themeColor="text1"/>
        </w:rPr>
        <w:t xml:space="preserve">Within the </w:t>
      </w:r>
      <w:r>
        <w:rPr>
          <w:rFonts w:ascii="Calibri" w:hAnsi="Calibri"/>
          <w:b/>
          <w:color w:val="000000" w:themeColor="text1"/>
        </w:rPr>
        <w:t>support measures</w:t>
      </w:r>
      <w:r>
        <w:rPr>
          <w:rFonts w:ascii="Calibri" w:hAnsi="Calibri"/>
          <w:color w:val="000000" w:themeColor="text1"/>
        </w:rPr>
        <w:t xml:space="preserve"> were contracted 9 projects with a public value of 3.90 million EUR - sub-measure 2.1 “Services of counseling for farmers, young farmers, microenterprises, and small enterprises”, 79 projects with a public value of 8.70 million EUR.</w:t>
      </w:r>
    </w:p>
    <w:p w:rsidR="00311D99" w:rsidRPr="00311D99" w:rsidRDefault="00311D99" w:rsidP="00311D99">
      <w:pPr>
        <w:numPr>
          <w:ilvl w:val="0"/>
          <w:numId w:val="11"/>
        </w:numPr>
        <w:spacing w:line="276" w:lineRule="auto"/>
        <w:ind w:left="360"/>
        <w:contextualSpacing/>
        <w:jc w:val="both"/>
        <w:rPr>
          <w:rFonts w:ascii="Calibri" w:eastAsia="Calibri" w:hAnsi="Calibri" w:cs="Calibri"/>
          <w:color w:val="000000" w:themeColor="text1"/>
        </w:rPr>
      </w:pPr>
      <w:r>
        <w:rPr>
          <w:rFonts w:ascii="Calibri" w:hAnsi="Calibri"/>
          <w:color w:val="000000" w:themeColor="text1"/>
        </w:rPr>
        <w:t xml:space="preserve">The Technical Assistance Measure, 239 projects with a public value of 69.97 million EUR - sub-measure 19.4 “Support for operating and animation expenditures” awarded to GALs. For these contracts were made payments of a public value of 109.64 million EUR. </w:t>
      </w:r>
    </w:p>
    <w:p w:rsidR="00311D99" w:rsidRPr="00311D99" w:rsidRDefault="00311D99" w:rsidP="00311D99">
      <w:pPr>
        <w:numPr>
          <w:ilvl w:val="0"/>
          <w:numId w:val="11"/>
        </w:numPr>
        <w:spacing w:line="276" w:lineRule="auto"/>
        <w:ind w:left="360"/>
        <w:contextualSpacing/>
        <w:jc w:val="both"/>
        <w:rPr>
          <w:rFonts w:ascii="Calibri" w:eastAsia="Calibri" w:hAnsi="Calibri" w:cs="Calibri"/>
          <w:color w:val="000000" w:themeColor="text1"/>
        </w:rPr>
      </w:pPr>
      <w:r>
        <w:rPr>
          <w:rFonts w:ascii="Calibri" w:hAnsi="Calibri"/>
          <w:color w:val="000000" w:themeColor="text1"/>
        </w:rPr>
        <w:t xml:space="preserve">In order to facilitate access to capital for the agricultural sector was signed with the </w:t>
      </w:r>
      <w:r>
        <w:rPr>
          <w:rFonts w:ascii="Calibri" w:hAnsi="Calibri"/>
          <w:b/>
          <w:color w:val="000000" w:themeColor="text1"/>
        </w:rPr>
        <w:t>European Investment Fund</w:t>
      </w:r>
      <w:r>
        <w:rPr>
          <w:rFonts w:ascii="Calibri" w:hAnsi="Calibri"/>
          <w:color w:val="000000" w:themeColor="text1"/>
        </w:rPr>
        <w:t xml:space="preserve"> a contract with a public value of 93.88 million EUR, which refers to the award of loans for investments under advantageous conditions, being made payments with a public value of 46.94 million EUR.</w:t>
      </w:r>
    </w:p>
    <w:p w:rsidR="00311D99" w:rsidRPr="000E0129" w:rsidRDefault="00311D99" w:rsidP="00311D99">
      <w:pPr>
        <w:spacing w:line="276" w:lineRule="auto"/>
        <w:ind w:left="360" w:right="-1"/>
        <w:contextualSpacing/>
        <w:jc w:val="both"/>
        <w:rPr>
          <w:rFonts w:ascii="Calibri" w:eastAsia="Calibri" w:hAnsi="Calibri"/>
          <w:noProof/>
          <w:sz w:val="18"/>
          <w:szCs w:val="22"/>
          <w:lang w:val="ro-RO" w:eastAsia="ro-RO"/>
        </w:rPr>
      </w:pPr>
    </w:p>
    <w:p w:rsidR="00311D99" w:rsidRPr="00311D99" w:rsidRDefault="00311D99" w:rsidP="00311D99">
      <w:pPr>
        <w:numPr>
          <w:ilvl w:val="0"/>
          <w:numId w:val="70"/>
        </w:numPr>
        <w:spacing w:line="276" w:lineRule="auto"/>
        <w:ind w:right="-1"/>
        <w:contextualSpacing/>
        <w:jc w:val="both"/>
        <w:rPr>
          <w:rFonts w:ascii="Calibri" w:eastAsia="Calibri" w:hAnsi="Calibri"/>
          <w:b/>
          <w:i/>
        </w:rPr>
      </w:pPr>
      <w:r>
        <w:rPr>
          <w:rFonts w:ascii="Calibri" w:hAnsi="Calibri"/>
          <w:b/>
          <w:i/>
        </w:rPr>
        <w:t>EUROPEAN AGRICULTURAL GUARANTEE FUND (EAGF)</w:t>
      </w:r>
    </w:p>
    <w:p w:rsidR="00311D99" w:rsidRPr="00125E1A" w:rsidRDefault="00311D99" w:rsidP="00311D99">
      <w:pPr>
        <w:spacing w:line="276" w:lineRule="auto"/>
        <w:ind w:right="-1"/>
        <w:contextualSpacing/>
        <w:jc w:val="both"/>
        <w:rPr>
          <w:rFonts w:ascii="Calibri" w:eastAsia="Calibri" w:hAnsi="Calibri"/>
          <w:sz w:val="16"/>
          <w:szCs w:val="16"/>
          <w:lang w:val="ro-RO"/>
        </w:rPr>
      </w:pPr>
    </w:p>
    <w:p w:rsidR="00311D99" w:rsidRPr="00311D99" w:rsidRDefault="00311D99" w:rsidP="00311D99">
      <w:pPr>
        <w:tabs>
          <w:tab w:val="left" w:pos="90"/>
          <w:tab w:val="left" w:pos="960"/>
        </w:tabs>
        <w:spacing w:line="276" w:lineRule="auto"/>
        <w:jc w:val="both"/>
        <w:rPr>
          <w:rFonts w:ascii="Calibri" w:hAnsi="Calibri"/>
          <w:b/>
        </w:rPr>
      </w:pPr>
      <w:r>
        <w:rPr>
          <w:rFonts w:ascii="Calibri" w:hAnsi="Calibri"/>
          <w:b/>
        </w:rPr>
        <w:t>MAIN ACHIEVEMENTS IN THE FIELD OF EAGF EUROPEAN FUNDS IN THE CAMPAIGN OF 2017</w:t>
      </w:r>
    </w:p>
    <w:p w:rsidR="00311D99" w:rsidRPr="00125E1A" w:rsidRDefault="00311D99" w:rsidP="00311D99">
      <w:pPr>
        <w:ind w:right="-1"/>
        <w:jc w:val="both"/>
        <w:rPr>
          <w:rFonts w:ascii="Calibri" w:hAnsi="Calibri"/>
          <w:sz w:val="16"/>
          <w:szCs w:val="16"/>
          <w:lang w:val="ro-RO"/>
        </w:rPr>
      </w:pPr>
    </w:p>
    <w:p w:rsidR="00311D99" w:rsidRPr="003964D3" w:rsidRDefault="00311D99" w:rsidP="00311D99">
      <w:pPr>
        <w:jc w:val="both"/>
        <w:rPr>
          <w:rFonts w:ascii="Calibri" w:hAnsi="Calibri" w:cs="Tahoma"/>
        </w:rPr>
      </w:pPr>
      <w:r>
        <w:rPr>
          <w:rFonts w:ascii="Calibri" w:hAnsi="Calibri"/>
        </w:rPr>
        <w:t>The Agency for Payments and Intervention for Agriculture (APIA) operates as a subordinate of the Ministry of Agriculture and Rural Development (MARD) and manages the support schemes awarded to farmers, financed from:</w:t>
      </w:r>
    </w:p>
    <w:p w:rsidR="00311D99" w:rsidRPr="003964D3" w:rsidRDefault="00311D99" w:rsidP="00311D99">
      <w:pPr>
        <w:numPr>
          <w:ilvl w:val="0"/>
          <w:numId w:val="68"/>
        </w:numPr>
        <w:tabs>
          <w:tab w:val="num" w:pos="450"/>
        </w:tabs>
        <w:spacing w:line="276" w:lineRule="auto"/>
        <w:ind w:hanging="540"/>
        <w:jc w:val="both"/>
        <w:rPr>
          <w:rFonts w:ascii="Calibri" w:hAnsi="Calibri" w:cs="Tahoma"/>
        </w:rPr>
      </w:pPr>
      <w:r>
        <w:rPr>
          <w:rFonts w:ascii="Calibri" w:hAnsi="Calibri"/>
        </w:rPr>
        <w:t xml:space="preserve">EAGF - European Agricultural Guarantee Fund  </w:t>
      </w:r>
    </w:p>
    <w:p w:rsidR="00311D99" w:rsidRPr="00311D99" w:rsidRDefault="00311D99" w:rsidP="00311D99">
      <w:pPr>
        <w:numPr>
          <w:ilvl w:val="0"/>
          <w:numId w:val="68"/>
        </w:numPr>
        <w:tabs>
          <w:tab w:val="num" w:pos="450"/>
        </w:tabs>
        <w:spacing w:line="276" w:lineRule="auto"/>
        <w:ind w:hanging="540"/>
        <w:jc w:val="both"/>
        <w:rPr>
          <w:rFonts w:ascii="Calibri" w:hAnsi="Calibri" w:cs="Tahoma"/>
        </w:rPr>
      </w:pPr>
      <w:r>
        <w:rPr>
          <w:rFonts w:ascii="Calibri" w:hAnsi="Calibri"/>
        </w:rPr>
        <w:t>EARDF - European Agriculture and Rural Development Fund (through the measures delegated from PNDR for 2014-2020)</w:t>
      </w:r>
    </w:p>
    <w:p w:rsidR="00311D99" w:rsidRPr="00311D99" w:rsidRDefault="00311D99" w:rsidP="00311D99">
      <w:pPr>
        <w:numPr>
          <w:ilvl w:val="0"/>
          <w:numId w:val="68"/>
        </w:numPr>
        <w:tabs>
          <w:tab w:val="num" w:pos="450"/>
        </w:tabs>
        <w:spacing w:line="276" w:lineRule="auto"/>
        <w:ind w:hanging="540"/>
        <w:jc w:val="both"/>
        <w:rPr>
          <w:rFonts w:ascii="Calibri" w:hAnsi="Calibri" w:cs="Tahoma"/>
        </w:rPr>
      </w:pPr>
      <w:r>
        <w:rPr>
          <w:rFonts w:ascii="Calibri" w:hAnsi="Calibri"/>
        </w:rPr>
        <w:t xml:space="preserve"> NB - National Budget </w:t>
      </w:r>
    </w:p>
    <w:p w:rsidR="00311D99" w:rsidRPr="00125E1A" w:rsidRDefault="00311D99" w:rsidP="00311D99">
      <w:pPr>
        <w:spacing w:line="276" w:lineRule="auto"/>
        <w:jc w:val="both"/>
        <w:rPr>
          <w:rFonts w:ascii="Calibri" w:hAnsi="Calibri"/>
          <w:sz w:val="16"/>
          <w:szCs w:val="16"/>
          <w:lang w:val="it-IT"/>
        </w:rPr>
      </w:pPr>
    </w:p>
    <w:p w:rsidR="00311D99" w:rsidRPr="00311D99" w:rsidRDefault="00311D99" w:rsidP="00311D99">
      <w:pPr>
        <w:spacing w:line="276" w:lineRule="auto"/>
        <w:jc w:val="both"/>
        <w:rPr>
          <w:rFonts w:ascii="Calibri" w:hAnsi="Calibri" w:cs="Tahoma"/>
          <w:b/>
        </w:rPr>
      </w:pPr>
      <w:r>
        <w:rPr>
          <w:rFonts w:ascii="Calibri" w:hAnsi="Calibri"/>
        </w:rPr>
        <w:t xml:space="preserve">The Ministry of Agriculture and Rural Development, through the Agency for Payments and Intervention for Agriculture, implements the </w:t>
      </w:r>
      <w:r>
        <w:rPr>
          <w:rFonts w:ascii="Calibri" w:hAnsi="Calibri"/>
          <w:b/>
        </w:rPr>
        <w:t>European Agricultural Guarantee Fund (EAGF)</w:t>
      </w:r>
      <w:r>
        <w:rPr>
          <w:rFonts w:ascii="Calibri" w:hAnsi="Calibri"/>
        </w:rPr>
        <w:t>.</w:t>
      </w:r>
    </w:p>
    <w:p w:rsidR="00311D99" w:rsidRPr="00125E1A" w:rsidRDefault="00311D99" w:rsidP="00311D99">
      <w:pPr>
        <w:spacing w:line="276" w:lineRule="auto"/>
        <w:jc w:val="both"/>
        <w:rPr>
          <w:rFonts w:ascii="Calibri" w:hAnsi="Calibri" w:cs="Tahoma"/>
          <w:b/>
          <w:sz w:val="16"/>
          <w:szCs w:val="16"/>
          <w:lang w:val="fr-FR"/>
        </w:rPr>
      </w:pPr>
    </w:p>
    <w:p w:rsidR="00311D99" w:rsidRDefault="00311D99" w:rsidP="00125E1A">
      <w:pPr>
        <w:jc w:val="both"/>
        <w:rPr>
          <w:rFonts w:ascii="Calibri" w:hAnsi="Calibri"/>
        </w:rPr>
      </w:pPr>
      <w:r>
        <w:rPr>
          <w:rFonts w:ascii="Calibri" w:hAnsi="Calibri"/>
          <w:b/>
        </w:rPr>
        <w:t>Transitional national aid</w:t>
      </w:r>
      <w:r>
        <w:rPr>
          <w:rFonts w:ascii="Calibri" w:hAnsi="Calibri"/>
        </w:rPr>
        <w:t xml:space="preserve"> - TNA are awarded </w:t>
      </w:r>
      <w:r>
        <w:rPr>
          <w:rFonts w:ascii="Calibri" w:hAnsi="Calibri"/>
          <w:b/>
          <w:u w:val="single"/>
        </w:rPr>
        <w:t>in the vegetable and zootechnic fields</w:t>
      </w:r>
      <w:r>
        <w:rPr>
          <w:rFonts w:ascii="Calibri" w:hAnsi="Calibri"/>
        </w:rPr>
        <w:t xml:space="preserve">, within the limit of budgetary provisions allocated to the Ministry of Agriculture and Rural Development. </w:t>
      </w:r>
    </w:p>
    <w:p w:rsidR="000E0129" w:rsidRPr="003964D3" w:rsidRDefault="000E0129" w:rsidP="00125E1A">
      <w:pPr>
        <w:jc w:val="both"/>
        <w:rPr>
          <w:rFonts w:ascii="Calibri" w:hAnsi="Calibri" w:cs="Tahoma"/>
        </w:rPr>
      </w:pPr>
    </w:p>
    <w:p w:rsidR="00311D99" w:rsidRDefault="00311D99" w:rsidP="00DC0750">
      <w:pPr>
        <w:keepNext/>
        <w:spacing w:before="120"/>
        <w:jc w:val="both"/>
        <w:outlineLvl w:val="1"/>
        <w:rPr>
          <w:rFonts w:ascii="Calibri" w:hAnsi="Calibri"/>
          <w:b/>
          <w:bCs/>
          <w:i/>
          <w:iCs/>
        </w:rPr>
      </w:pPr>
      <w:r>
        <w:rPr>
          <w:rFonts w:ascii="Calibri" w:hAnsi="Calibri"/>
          <w:b/>
          <w:bCs/>
          <w:i/>
          <w:iCs/>
        </w:rPr>
        <w:t xml:space="preserve">EAGF ALLOCATION - DIRECT PAYMENTS </w:t>
      </w:r>
    </w:p>
    <w:p w:rsidR="000E0129" w:rsidRPr="003964D3" w:rsidRDefault="000E0129" w:rsidP="00DC0750">
      <w:pPr>
        <w:keepNext/>
        <w:spacing w:before="120"/>
        <w:jc w:val="both"/>
        <w:outlineLvl w:val="1"/>
        <w:rPr>
          <w:rFonts w:ascii="Calibri" w:hAnsi="Calibri" w:cs="Arial"/>
          <w:b/>
          <w:bCs/>
          <w:i/>
          <w:iCs/>
        </w:rPr>
      </w:pPr>
    </w:p>
    <w:p w:rsidR="00311D99" w:rsidRDefault="00311D99" w:rsidP="003D06D4">
      <w:pPr>
        <w:keepNext/>
        <w:spacing w:before="120" w:after="60" w:line="276" w:lineRule="auto"/>
        <w:jc w:val="both"/>
        <w:outlineLvl w:val="1"/>
        <w:rPr>
          <w:rFonts w:ascii="Calibri" w:hAnsi="Calibri"/>
          <w:bCs/>
          <w:iCs/>
        </w:rPr>
      </w:pPr>
      <w:r>
        <w:rPr>
          <w:rFonts w:ascii="Calibri" w:hAnsi="Calibri"/>
          <w:bCs/>
          <w:iCs/>
        </w:rPr>
        <w:t>The Delegated regulation (EU) 2015/851 OF THE COMMISSION of March 27, 2015 amending annexes II, III, and VI of the Regulation (EU) no. 1307/2013 of the European Parliament and of the Council establishing certain norms regarding direct payments awarded to farmers through support schemes within the common agricultural policy provides the financial ceiling allocated to Romania from the EAGF for direct payments, as follows:</w:t>
      </w:r>
    </w:p>
    <w:p w:rsidR="000E0129" w:rsidRPr="000E0129" w:rsidRDefault="000E0129" w:rsidP="003D06D4">
      <w:pPr>
        <w:keepNext/>
        <w:spacing w:before="120" w:after="60" w:line="276" w:lineRule="auto"/>
        <w:jc w:val="both"/>
        <w:outlineLvl w:val="1"/>
        <w:rPr>
          <w:rFonts w:ascii="Calibri" w:hAnsi="Calibri"/>
          <w:bCs/>
          <w:iCs/>
          <w:sz w:val="8"/>
        </w:rPr>
      </w:pPr>
    </w:p>
    <w:p w:rsidR="000E0129" w:rsidRPr="000E0129" w:rsidRDefault="000E0129" w:rsidP="003D06D4">
      <w:pPr>
        <w:keepNext/>
        <w:spacing w:before="120" w:after="60" w:line="276" w:lineRule="auto"/>
        <w:jc w:val="both"/>
        <w:outlineLvl w:val="1"/>
        <w:rPr>
          <w:rFonts w:ascii="Calibri" w:hAnsi="Calibri"/>
          <w:bCs/>
          <w:iCs/>
          <w:sz w:val="12"/>
        </w:rPr>
      </w:pPr>
    </w:p>
    <w:tbl>
      <w:tblPr>
        <w:tblW w:w="10050" w:type="dxa"/>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978"/>
        <w:gridCol w:w="1276"/>
        <w:gridCol w:w="1276"/>
        <w:gridCol w:w="1275"/>
        <w:gridCol w:w="1276"/>
        <w:gridCol w:w="1276"/>
        <w:gridCol w:w="1276"/>
        <w:gridCol w:w="1417"/>
      </w:tblGrid>
      <w:tr w:rsidR="00311D99" w:rsidRPr="00311D99" w:rsidTr="000E0129">
        <w:trPr>
          <w:trHeight w:val="519"/>
        </w:trPr>
        <w:tc>
          <w:tcPr>
            <w:tcW w:w="978" w:type="dxa"/>
            <w:vMerge w:val="restart"/>
            <w:shd w:val="clear" w:color="auto" w:fill="BDD6EE"/>
            <w:tcMar>
              <w:top w:w="15" w:type="dxa"/>
              <w:left w:w="108" w:type="dxa"/>
              <w:bottom w:w="0" w:type="dxa"/>
              <w:right w:w="108" w:type="dxa"/>
            </w:tcMar>
            <w:hideMark/>
          </w:tcPr>
          <w:p w:rsidR="00311D99" w:rsidRPr="003964D3" w:rsidRDefault="00311D99" w:rsidP="00311D99">
            <w:pPr>
              <w:rPr>
                <w:rFonts w:ascii="Calibri" w:hAnsi="Calibri"/>
                <w:sz w:val="18"/>
                <w:szCs w:val="18"/>
              </w:rPr>
            </w:pPr>
            <w:r>
              <w:rPr>
                <w:rFonts w:ascii="Calibri" w:hAnsi="Calibri"/>
                <w:b/>
                <w:bCs/>
                <w:sz w:val="18"/>
                <w:szCs w:val="18"/>
              </w:rPr>
              <w:t xml:space="preserve">EAGF allocation - direct payments </w:t>
            </w:r>
          </w:p>
          <w:p w:rsidR="00311D99" w:rsidRPr="003964D3" w:rsidRDefault="00311D99" w:rsidP="00311D99">
            <w:pPr>
              <w:rPr>
                <w:rFonts w:ascii="Calibri" w:hAnsi="Calibri"/>
                <w:sz w:val="18"/>
                <w:szCs w:val="18"/>
              </w:rPr>
            </w:pPr>
            <w:r>
              <w:rPr>
                <w:rFonts w:ascii="Calibri" w:hAnsi="Calibri"/>
                <w:b/>
                <w:bCs/>
                <w:sz w:val="18"/>
                <w:szCs w:val="18"/>
              </w:rPr>
              <w:t xml:space="preserve">(EUR) </w:t>
            </w:r>
          </w:p>
        </w:tc>
        <w:tc>
          <w:tcPr>
            <w:tcW w:w="1276" w:type="dxa"/>
            <w:shd w:val="clear" w:color="auto" w:fill="BDD6EE"/>
            <w:tcMar>
              <w:top w:w="15" w:type="dxa"/>
              <w:left w:w="108" w:type="dxa"/>
              <w:bottom w:w="0" w:type="dxa"/>
              <w:right w:w="108" w:type="dxa"/>
            </w:tcMar>
            <w:vAlign w:val="bottom"/>
            <w:hideMark/>
          </w:tcPr>
          <w:p w:rsidR="00311D99" w:rsidRPr="00311D99" w:rsidRDefault="00311D99" w:rsidP="00311D99">
            <w:pPr>
              <w:jc w:val="center"/>
              <w:rPr>
                <w:rFonts w:ascii="Calibri" w:hAnsi="Calibri"/>
                <w:sz w:val="18"/>
                <w:szCs w:val="18"/>
              </w:rPr>
            </w:pPr>
            <w:r>
              <w:rPr>
                <w:rFonts w:ascii="Calibri" w:hAnsi="Calibri"/>
                <w:b/>
                <w:bCs/>
                <w:sz w:val="18"/>
                <w:szCs w:val="18"/>
              </w:rPr>
              <w:t>2015</w:t>
            </w:r>
          </w:p>
        </w:tc>
        <w:tc>
          <w:tcPr>
            <w:tcW w:w="1276" w:type="dxa"/>
            <w:shd w:val="clear" w:color="auto" w:fill="BDD6EE"/>
            <w:tcMar>
              <w:top w:w="15" w:type="dxa"/>
              <w:left w:w="108" w:type="dxa"/>
              <w:bottom w:w="0" w:type="dxa"/>
              <w:right w:w="108" w:type="dxa"/>
            </w:tcMar>
            <w:vAlign w:val="bottom"/>
            <w:hideMark/>
          </w:tcPr>
          <w:p w:rsidR="00311D99" w:rsidRPr="00311D99" w:rsidRDefault="00311D99" w:rsidP="00311D99">
            <w:pPr>
              <w:jc w:val="center"/>
              <w:rPr>
                <w:rFonts w:ascii="Calibri" w:hAnsi="Calibri"/>
                <w:sz w:val="18"/>
                <w:szCs w:val="18"/>
              </w:rPr>
            </w:pPr>
            <w:r>
              <w:rPr>
                <w:rFonts w:ascii="Calibri" w:hAnsi="Calibri"/>
                <w:b/>
                <w:bCs/>
                <w:sz w:val="18"/>
                <w:szCs w:val="18"/>
              </w:rPr>
              <w:t>2016</w:t>
            </w:r>
          </w:p>
        </w:tc>
        <w:tc>
          <w:tcPr>
            <w:tcW w:w="1275" w:type="dxa"/>
            <w:shd w:val="clear" w:color="auto" w:fill="BDD6EE"/>
            <w:tcMar>
              <w:top w:w="15" w:type="dxa"/>
              <w:left w:w="108" w:type="dxa"/>
              <w:bottom w:w="0" w:type="dxa"/>
              <w:right w:w="108" w:type="dxa"/>
            </w:tcMar>
            <w:vAlign w:val="bottom"/>
            <w:hideMark/>
          </w:tcPr>
          <w:p w:rsidR="00311D99" w:rsidRPr="00311D99" w:rsidRDefault="00311D99" w:rsidP="00311D99">
            <w:pPr>
              <w:jc w:val="center"/>
              <w:rPr>
                <w:rFonts w:ascii="Calibri" w:hAnsi="Calibri"/>
                <w:sz w:val="18"/>
                <w:szCs w:val="18"/>
              </w:rPr>
            </w:pPr>
            <w:r>
              <w:rPr>
                <w:rFonts w:ascii="Calibri" w:hAnsi="Calibri"/>
                <w:b/>
                <w:bCs/>
                <w:sz w:val="18"/>
                <w:szCs w:val="18"/>
              </w:rPr>
              <w:t>2017</w:t>
            </w:r>
          </w:p>
        </w:tc>
        <w:tc>
          <w:tcPr>
            <w:tcW w:w="1276" w:type="dxa"/>
            <w:shd w:val="clear" w:color="auto" w:fill="BDD6EE"/>
            <w:tcMar>
              <w:top w:w="15" w:type="dxa"/>
              <w:left w:w="108" w:type="dxa"/>
              <w:bottom w:w="0" w:type="dxa"/>
              <w:right w:w="108" w:type="dxa"/>
            </w:tcMar>
            <w:vAlign w:val="bottom"/>
            <w:hideMark/>
          </w:tcPr>
          <w:p w:rsidR="00311D99" w:rsidRPr="00311D99" w:rsidRDefault="00311D99" w:rsidP="00311D99">
            <w:pPr>
              <w:jc w:val="center"/>
              <w:rPr>
                <w:rFonts w:ascii="Calibri" w:hAnsi="Calibri"/>
                <w:sz w:val="18"/>
                <w:szCs w:val="18"/>
              </w:rPr>
            </w:pPr>
            <w:r>
              <w:rPr>
                <w:rFonts w:ascii="Calibri" w:hAnsi="Calibri"/>
                <w:b/>
                <w:bCs/>
                <w:sz w:val="18"/>
                <w:szCs w:val="18"/>
              </w:rPr>
              <w:t>2018</w:t>
            </w:r>
          </w:p>
        </w:tc>
        <w:tc>
          <w:tcPr>
            <w:tcW w:w="1276" w:type="dxa"/>
            <w:shd w:val="clear" w:color="auto" w:fill="BDD6EE"/>
            <w:tcMar>
              <w:top w:w="15" w:type="dxa"/>
              <w:left w:w="108" w:type="dxa"/>
              <w:bottom w:w="0" w:type="dxa"/>
              <w:right w:w="108" w:type="dxa"/>
            </w:tcMar>
            <w:vAlign w:val="bottom"/>
            <w:hideMark/>
          </w:tcPr>
          <w:p w:rsidR="00311D99" w:rsidRPr="00311D99" w:rsidRDefault="00311D99" w:rsidP="00311D99">
            <w:pPr>
              <w:jc w:val="center"/>
              <w:rPr>
                <w:rFonts w:ascii="Calibri" w:hAnsi="Calibri"/>
                <w:sz w:val="18"/>
                <w:szCs w:val="18"/>
              </w:rPr>
            </w:pPr>
            <w:r>
              <w:rPr>
                <w:rFonts w:ascii="Calibri" w:hAnsi="Calibri"/>
                <w:b/>
                <w:bCs/>
                <w:sz w:val="18"/>
                <w:szCs w:val="18"/>
              </w:rPr>
              <w:t>2019</w:t>
            </w:r>
          </w:p>
        </w:tc>
        <w:tc>
          <w:tcPr>
            <w:tcW w:w="1276" w:type="dxa"/>
            <w:shd w:val="clear" w:color="auto" w:fill="BDD6EE"/>
            <w:tcMar>
              <w:top w:w="15" w:type="dxa"/>
              <w:left w:w="108" w:type="dxa"/>
              <w:bottom w:w="0" w:type="dxa"/>
              <w:right w:w="108" w:type="dxa"/>
            </w:tcMar>
            <w:vAlign w:val="bottom"/>
            <w:hideMark/>
          </w:tcPr>
          <w:p w:rsidR="00311D99" w:rsidRPr="00311D99" w:rsidRDefault="00311D99" w:rsidP="00311D99">
            <w:pPr>
              <w:jc w:val="center"/>
              <w:rPr>
                <w:rFonts w:ascii="Calibri" w:hAnsi="Calibri"/>
                <w:sz w:val="18"/>
                <w:szCs w:val="18"/>
              </w:rPr>
            </w:pPr>
            <w:r>
              <w:rPr>
                <w:rFonts w:ascii="Calibri" w:hAnsi="Calibri"/>
                <w:b/>
                <w:bCs/>
                <w:sz w:val="18"/>
                <w:szCs w:val="18"/>
              </w:rPr>
              <w:t>2020</w:t>
            </w:r>
          </w:p>
        </w:tc>
        <w:tc>
          <w:tcPr>
            <w:tcW w:w="1417" w:type="dxa"/>
            <w:shd w:val="clear" w:color="auto" w:fill="BDD6EE"/>
            <w:tcMar>
              <w:top w:w="15" w:type="dxa"/>
              <w:left w:w="108" w:type="dxa"/>
              <w:bottom w:w="0" w:type="dxa"/>
              <w:right w:w="108" w:type="dxa"/>
            </w:tcMar>
            <w:hideMark/>
          </w:tcPr>
          <w:p w:rsidR="00311D99" w:rsidRPr="00311D99" w:rsidRDefault="00311D99" w:rsidP="00311D99">
            <w:pPr>
              <w:jc w:val="center"/>
              <w:rPr>
                <w:rFonts w:ascii="Calibri" w:hAnsi="Calibri"/>
                <w:b/>
                <w:bCs/>
                <w:sz w:val="18"/>
                <w:szCs w:val="18"/>
              </w:rPr>
            </w:pPr>
          </w:p>
          <w:p w:rsidR="00311D99" w:rsidRPr="00311D99" w:rsidRDefault="00311D99" w:rsidP="00311D99">
            <w:pPr>
              <w:jc w:val="center"/>
              <w:rPr>
                <w:rFonts w:ascii="Calibri" w:hAnsi="Calibri"/>
                <w:b/>
                <w:bCs/>
                <w:sz w:val="18"/>
                <w:szCs w:val="18"/>
              </w:rPr>
            </w:pPr>
          </w:p>
          <w:p w:rsidR="00311D99" w:rsidRPr="00311D99" w:rsidRDefault="00311D99" w:rsidP="00311D99">
            <w:pPr>
              <w:jc w:val="center"/>
              <w:rPr>
                <w:rFonts w:ascii="Calibri" w:hAnsi="Calibri"/>
                <w:b/>
                <w:bCs/>
                <w:sz w:val="18"/>
                <w:szCs w:val="18"/>
              </w:rPr>
            </w:pPr>
          </w:p>
          <w:p w:rsidR="00311D99" w:rsidRPr="00311D99" w:rsidRDefault="00311D99" w:rsidP="00311D99">
            <w:pPr>
              <w:jc w:val="center"/>
              <w:rPr>
                <w:rFonts w:ascii="Calibri" w:hAnsi="Calibri"/>
                <w:sz w:val="18"/>
                <w:szCs w:val="18"/>
                <w:vertAlign w:val="superscript"/>
              </w:rPr>
            </w:pPr>
            <w:r>
              <w:rPr>
                <w:rFonts w:ascii="Calibri" w:hAnsi="Calibri"/>
                <w:b/>
                <w:bCs/>
                <w:sz w:val="18"/>
                <w:szCs w:val="18"/>
              </w:rPr>
              <w:t>TOTAL</w:t>
            </w:r>
            <w:r>
              <w:rPr>
                <w:rFonts w:ascii="Calibri" w:hAnsi="Calibri"/>
                <w:b/>
                <w:bCs/>
                <w:sz w:val="18"/>
                <w:szCs w:val="18"/>
                <w:vertAlign w:val="superscript"/>
              </w:rPr>
              <w:t>*</w:t>
            </w:r>
          </w:p>
        </w:tc>
      </w:tr>
      <w:tr w:rsidR="00311D99" w:rsidRPr="00311D99" w:rsidTr="000E0129">
        <w:trPr>
          <w:cantSplit/>
          <w:trHeight w:val="992"/>
        </w:trPr>
        <w:tc>
          <w:tcPr>
            <w:tcW w:w="978" w:type="dxa"/>
            <w:vMerge/>
            <w:shd w:val="clear" w:color="auto" w:fill="BDD6EE"/>
            <w:vAlign w:val="center"/>
            <w:hideMark/>
          </w:tcPr>
          <w:p w:rsidR="00311D99" w:rsidRPr="00311D99" w:rsidRDefault="00311D99" w:rsidP="00311D99">
            <w:pPr>
              <w:rPr>
                <w:rFonts w:ascii="Calibri" w:hAnsi="Calibri"/>
                <w:sz w:val="18"/>
                <w:szCs w:val="18"/>
              </w:rPr>
            </w:pPr>
          </w:p>
        </w:tc>
        <w:tc>
          <w:tcPr>
            <w:tcW w:w="1276" w:type="dxa"/>
            <w:shd w:val="clear" w:color="auto" w:fill="FFFFFF"/>
            <w:tcMar>
              <w:top w:w="15" w:type="dxa"/>
              <w:left w:w="108" w:type="dxa"/>
              <w:bottom w:w="0" w:type="dxa"/>
              <w:right w:w="108" w:type="dxa"/>
            </w:tcMar>
            <w:vAlign w:val="center"/>
            <w:hideMark/>
          </w:tcPr>
          <w:p w:rsidR="00311D99" w:rsidRPr="00311D99" w:rsidRDefault="00311D99" w:rsidP="00311D99">
            <w:pPr>
              <w:rPr>
                <w:rFonts w:ascii="Calibri" w:hAnsi="Calibri"/>
                <w:sz w:val="18"/>
                <w:szCs w:val="18"/>
              </w:rPr>
            </w:pPr>
            <w:r>
              <w:rPr>
                <w:rFonts w:ascii="Calibri" w:hAnsi="Calibri"/>
                <w:b/>
                <w:bCs/>
                <w:sz w:val="18"/>
                <w:szCs w:val="18"/>
              </w:rPr>
              <w:t>1,599,992,519</w:t>
            </w:r>
          </w:p>
        </w:tc>
        <w:tc>
          <w:tcPr>
            <w:tcW w:w="1276" w:type="dxa"/>
            <w:shd w:val="clear" w:color="auto" w:fill="FFFFFF"/>
            <w:tcMar>
              <w:top w:w="15" w:type="dxa"/>
              <w:left w:w="108" w:type="dxa"/>
              <w:bottom w:w="0" w:type="dxa"/>
              <w:right w:w="108" w:type="dxa"/>
            </w:tcMar>
            <w:vAlign w:val="center"/>
            <w:hideMark/>
          </w:tcPr>
          <w:p w:rsidR="00311D99" w:rsidRPr="00311D99" w:rsidRDefault="00311D99" w:rsidP="00311D99">
            <w:pPr>
              <w:rPr>
                <w:rFonts w:ascii="Calibri" w:hAnsi="Calibri"/>
                <w:sz w:val="18"/>
                <w:szCs w:val="18"/>
              </w:rPr>
            </w:pPr>
            <w:r>
              <w:rPr>
                <w:rFonts w:ascii="Calibri" w:hAnsi="Calibri"/>
                <w:b/>
                <w:bCs/>
                <w:sz w:val="18"/>
                <w:szCs w:val="18"/>
              </w:rPr>
              <w:t>1,772,469,112</w:t>
            </w:r>
          </w:p>
        </w:tc>
        <w:tc>
          <w:tcPr>
            <w:tcW w:w="1275" w:type="dxa"/>
            <w:shd w:val="clear" w:color="auto" w:fill="FFFFFF"/>
            <w:tcMar>
              <w:top w:w="15" w:type="dxa"/>
              <w:left w:w="108" w:type="dxa"/>
              <w:bottom w:w="0" w:type="dxa"/>
              <w:right w:w="108" w:type="dxa"/>
            </w:tcMar>
            <w:vAlign w:val="center"/>
          </w:tcPr>
          <w:p w:rsidR="00311D99" w:rsidRPr="00311D99" w:rsidRDefault="00311D99" w:rsidP="00311D99">
            <w:pPr>
              <w:rPr>
                <w:rFonts w:ascii="Calibri" w:hAnsi="Calibri"/>
                <w:sz w:val="18"/>
                <w:szCs w:val="18"/>
              </w:rPr>
            </w:pPr>
            <w:r>
              <w:rPr>
                <w:rFonts w:ascii="Calibri" w:hAnsi="Calibri"/>
                <w:b/>
                <w:bCs/>
                <w:sz w:val="18"/>
                <w:szCs w:val="18"/>
              </w:rPr>
              <w:t>1,801,335,000</w:t>
            </w:r>
          </w:p>
        </w:tc>
        <w:tc>
          <w:tcPr>
            <w:tcW w:w="1276" w:type="dxa"/>
            <w:shd w:val="clear" w:color="auto" w:fill="FFFFFF"/>
            <w:tcMar>
              <w:top w:w="15" w:type="dxa"/>
              <w:left w:w="108" w:type="dxa"/>
              <w:bottom w:w="0" w:type="dxa"/>
              <w:right w:w="108" w:type="dxa"/>
            </w:tcMar>
            <w:vAlign w:val="center"/>
            <w:hideMark/>
          </w:tcPr>
          <w:p w:rsidR="00311D99" w:rsidRPr="00311D99" w:rsidRDefault="00311D99" w:rsidP="00311D99">
            <w:pPr>
              <w:rPr>
                <w:rFonts w:ascii="Calibri" w:hAnsi="Calibri"/>
                <w:sz w:val="18"/>
                <w:szCs w:val="18"/>
              </w:rPr>
            </w:pPr>
            <w:r>
              <w:rPr>
                <w:rFonts w:ascii="Calibri" w:hAnsi="Calibri"/>
                <w:b/>
                <w:bCs/>
                <w:sz w:val="18"/>
                <w:szCs w:val="18"/>
              </w:rPr>
              <w:t>1,912,150,000</w:t>
            </w:r>
          </w:p>
        </w:tc>
        <w:tc>
          <w:tcPr>
            <w:tcW w:w="1276" w:type="dxa"/>
            <w:shd w:val="clear" w:color="auto" w:fill="FFFFFF"/>
            <w:tcMar>
              <w:top w:w="15" w:type="dxa"/>
              <w:left w:w="108" w:type="dxa"/>
              <w:bottom w:w="0" w:type="dxa"/>
              <w:right w:w="108" w:type="dxa"/>
            </w:tcMar>
            <w:vAlign w:val="center"/>
            <w:hideMark/>
          </w:tcPr>
          <w:p w:rsidR="00311D99" w:rsidRPr="00311D99" w:rsidRDefault="00311D99" w:rsidP="00311D99">
            <w:pPr>
              <w:rPr>
                <w:rFonts w:ascii="Calibri" w:hAnsi="Calibri"/>
                <w:sz w:val="18"/>
                <w:szCs w:val="18"/>
              </w:rPr>
            </w:pPr>
            <w:r>
              <w:rPr>
                <w:rFonts w:ascii="Calibri" w:hAnsi="Calibri"/>
                <w:b/>
                <w:bCs/>
                <w:sz w:val="18"/>
                <w:szCs w:val="18"/>
              </w:rPr>
              <w:t>1,903,195,000</w:t>
            </w:r>
          </w:p>
        </w:tc>
        <w:tc>
          <w:tcPr>
            <w:tcW w:w="1276" w:type="dxa"/>
            <w:shd w:val="clear" w:color="auto" w:fill="FFFFFF"/>
            <w:tcMar>
              <w:top w:w="15" w:type="dxa"/>
              <w:left w:w="108" w:type="dxa"/>
              <w:bottom w:w="0" w:type="dxa"/>
              <w:right w:w="108" w:type="dxa"/>
            </w:tcMar>
            <w:vAlign w:val="center"/>
            <w:hideMark/>
          </w:tcPr>
          <w:p w:rsidR="00311D99" w:rsidRPr="00311D99" w:rsidRDefault="00311D99" w:rsidP="00311D99">
            <w:pPr>
              <w:rPr>
                <w:rFonts w:ascii="Calibri" w:hAnsi="Calibri"/>
                <w:sz w:val="18"/>
                <w:szCs w:val="18"/>
              </w:rPr>
            </w:pPr>
            <w:r>
              <w:rPr>
                <w:rFonts w:ascii="Calibri" w:hAnsi="Calibri"/>
                <w:b/>
                <w:bCs/>
                <w:sz w:val="18"/>
                <w:szCs w:val="18"/>
              </w:rPr>
              <w:t>1,903,195,000</w:t>
            </w:r>
          </w:p>
        </w:tc>
        <w:tc>
          <w:tcPr>
            <w:tcW w:w="1417" w:type="dxa"/>
            <w:shd w:val="clear" w:color="auto" w:fill="FFFFFF"/>
            <w:tcMar>
              <w:top w:w="15" w:type="dxa"/>
              <w:left w:w="108" w:type="dxa"/>
              <w:bottom w:w="0" w:type="dxa"/>
              <w:right w:w="108" w:type="dxa"/>
            </w:tcMar>
            <w:vAlign w:val="center"/>
            <w:hideMark/>
          </w:tcPr>
          <w:p w:rsidR="00311D99" w:rsidRPr="00311D99" w:rsidRDefault="00311D99" w:rsidP="00311D99">
            <w:pPr>
              <w:rPr>
                <w:rFonts w:ascii="Calibri" w:hAnsi="Calibri"/>
                <w:sz w:val="18"/>
                <w:szCs w:val="18"/>
              </w:rPr>
            </w:pPr>
            <w:r>
              <w:rPr>
                <w:rFonts w:ascii="Calibri" w:hAnsi="Calibri"/>
                <w:b/>
                <w:bCs/>
                <w:sz w:val="18"/>
                <w:szCs w:val="18"/>
              </w:rPr>
              <w:t>10,892,336,63</w:t>
            </w:r>
            <w:r>
              <w:rPr>
                <w:rFonts w:ascii="Calibri" w:hAnsi="Calibri"/>
                <w:sz w:val="18"/>
                <w:szCs w:val="18"/>
              </w:rPr>
              <w:t>1</w:t>
            </w:r>
          </w:p>
        </w:tc>
      </w:tr>
    </w:tbl>
    <w:p w:rsidR="00311D99" w:rsidRPr="00311D99" w:rsidRDefault="00311D99" w:rsidP="00311D99">
      <w:pPr>
        <w:rPr>
          <w:rFonts w:ascii="Calibri" w:hAnsi="Calibri"/>
          <w:sz w:val="18"/>
          <w:szCs w:val="18"/>
        </w:rPr>
      </w:pPr>
    </w:p>
    <w:p w:rsidR="00311D99" w:rsidRPr="00311D99" w:rsidRDefault="00311D99" w:rsidP="00311D99">
      <w:pPr>
        <w:rPr>
          <w:rFonts w:ascii="Calibri" w:hAnsi="Calibri"/>
        </w:rPr>
      </w:pPr>
      <w:r>
        <w:rPr>
          <w:rFonts w:ascii="Calibri" w:hAnsi="Calibri"/>
        </w:rPr>
        <w:t xml:space="preserve">*To the aforementioned financial ceilings from the EAGF shall be added those estimated for market and foreign trade measures of approximately 400 million EUR for the period 2015-2020. </w:t>
      </w:r>
    </w:p>
    <w:p w:rsidR="00311D99" w:rsidRPr="003D06D4" w:rsidRDefault="00311D99" w:rsidP="00311D99">
      <w:pPr>
        <w:rPr>
          <w:rFonts w:ascii="Calibri" w:hAnsi="Calibri"/>
          <w:sz w:val="20"/>
          <w:szCs w:val="20"/>
        </w:rPr>
      </w:pPr>
    </w:p>
    <w:p w:rsidR="00311D99" w:rsidRPr="00311D99" w:rsidRDefault="00311D99" w:rsidP="00311D99">
      <w:pPr>
        <w:spacing w:line="276" w:lineRule="auto"/>
        <w:jc w:val="both"/>
        <w:rPr>
          <w:rFonts w:ascii="Calibri" w:hAnsi="Calibri"/>
          <w:b/>
          <w:bCs/>
          <w:u w:val="single"/>
        </w:rPr>
      </w:pPr>
      <w:r>
        <w:rPr>
          <w:rFonts w:ascii="Calibri" w:hAnsi="Calibri"/>
          <w:b/>
          <w:bCs/>
          <w:u w:val="single"/>
        </w:rPr>
        <w:t>The schemes of direct payments financed from the EAGF are the following:</w:t>
      </w:r>
    </w:p>
    <w:p w:rsidR="00311D99" w:rsidRPr="00311D99" w:rsidRDefault="00311D99" w:rsidP="00311D99">
      <w:pPr>
        <w:spacing w:line="276" w:lineRule="auto"/>
        <w:jc w:val="both"/>
        <w:rPr>
          <w:rFonts w:ascii="Calibri" w:hAnsi="Calibri"/>
        </w:rPr>
      </w:pPr>
    </w:p>
    <w:p w:rsidR="00311D99" w:rsidRPr="00311D99" w:rsidRDefault="00311D99" w:rsidP="00311D99">
      <w:pPr>
        <w:numPr>
          <w:ilvl w:val="0"/>
          <w:numId w:val="8"/>
        </w:numPr>
        <w:spacing w:line="276" w:lineRule="auto"/>
        <w:rPr>
          <w:rFonts w:ascii="Calibri" w:hAnsi="Calibri"/>
        </w:rPr>
      </w:pPr>
      <w:r>
        <w:rPr>
          <w:rFonts w:ascii="Calibri" w:hAnsi="Calibri"/>
        </w:rPr>
        <w:t>the scheme of single payment per area;</w:t>
      </w:r>
    </w:p>
    <w:p w:rsidR="00311D99" w:rsidRPr="00311D99" w:rsidRDefault="00311D99" w:rsidP="00311D99">
      <w:pPr>
        <w:numPr>
          <w:ilvl w:val="0"/>
          <w:numId w:val="8"/>
        </w:numPr>
        <w:spacing w:line="276" w:lineRule="auto"/>
        <w:rPr>
          <w:rFonts w:ascii="Calibri" w:hAnsi="Calibri"/>
        </w:rPr>
      </w:pPr>
      <w:r>
        <w:rPr>
          <w:rFonts w:ascii="Calibri" w:hAnsi="Calibri"/>
        </w:rPr>
        <w:t>the redistributive payment;</w:t>
      </w:r>
    </w:p>
    <w:p w:rsidR="00311D99" w:rsidRPr="00311D99" w:rsidRDefault="00311D99" w:rsidP="00311D99">
      <w:pPr>
        <w:numPr>
          <w:ilvl w:val="0"/>
          <w:numId w:val="8"/>
        </w:numPr>
        <w:spacing w:line="276" w:lineRule="auto"/>
        <w:rPr>
          <w:rFonts w:ascii="Calibri" w:hAnsi="Calibri"/>
        </w:rPr>
      </w:pPr>
      <w:r>
        <w:rPr>
          <w:rFonts w:ascii="Calibri" w:hAnsi="Calibri"/>
        </w:rPr>
        <w:t>the payment for agricultural practices which are beneficial for the climate and the environment;</w:t>
      </w:r>
    </w:p>
    <w:p w:rsidR="00311D99" w:rsidRPr="00311D99" w:rsidRDefault="00311D99" w:rsidP="00311D99">
      <w:pPr>
        <w:numPr>
          <w:ilvl w:val="0"/>
          <w:numId w:val="8"/>
        </w:numPr>
        <w:spacing w:line="276" w:lineRule="auto"/>
        <w:rPr>
          <w:rFonts w:ascii="Calibri" w:hAnsi="Calibri"/>
        </w:rPr>
      </w:pPr>
      <w:r>
        <w:rPr>
          <w:rFonts w:ascii="Calibri" w:hAnsi="Calibri"/>
        </w:rPr>
        <w:t>the payment for young farmers;</w:t>
      </w:r>
    </w:p>
    <w:p w:rsidR="00311D99" w:rsidRPr="00311D99" w:rsidRDefault="00311D99" w:rsidP="00311D99">
      <w:pPr>
        <w:numPr>
          <w:ilvl w:val="0"/>
          <w:numId w:val="8"/>
        </w:numPr>
        <w:spacing w:line="276" w:lineRule="auto"/>
        <w:rPr>
          <w:rFonts w:ascii="Calibri" w:hAnsi="Calibri"/>
        </w:rPr>
      </w:pPr>
      <w:r>
        <w:rPr>
          <w:rFonts w:ascii="Calibri" w:hAnsi="Calibri"/>
        </w:rPr>
        <w:t>the coupled support schemes for the vegetable and zootechnic sectors;</w:t>
      </w:r>
    </w:p>
    <w:p w:rsidR="00311D99" w:rsidRPr="00311D99" w:rsidRDefault="00311D99" w:rsidP="00311D99">
      <w:pPr>
        <w:numPr>
          <w:ilvl w:val="0"/>
          <w:numId w:val="8"/>
        </w:numPr>
        <w:spacing w:line="276" w:lineRule="auto"/>
        <w:rPr>
          <w:rFonts w:ascii="Calibri" w:hAnsi="Calibri"/>
        </w:rPr>
      </w:pPr>
      <w:r>
        <w:rPr>
          <w:rFonts w:ascii="Calibri" w:hAnsi="Calibri"/>
        </w:rPr>
        <w:t>the simplified scheme for small farmers. </w:t>
      </w:r>
    </w:p>
    <w:p w:rsidR="00311D99" w:rsidRPr="003D06D4" w:rsidRDefault="00311D99" w:rsidP="00311D99">
      <w:pPr>
        <w:spacing w:line="276" w:lineRule="auto"/>
        <w:jc w:val="both"/>
        <w:rPr>
          <w:rFonts w:ascii="Calibri" w:hAnsi="Calibri"/>
          <w:sz w:val="20"/>
          <w:szCs w:val="20"/>
          <w:lang w:val="de-DE"/>
        </w:rPr>
      </w:pPr>
    </w:p>
    <w:p w:rsidR="00311D99" w:rsidRPr="003964D3" w:rsidRDefault="00311D99" w:rsidP="00311D99">
      <w:pPr>
        <w:jc w:val="both"/>
        <w:rPr>
          <w:rFonts w:ascii="Calibri" w:hAnsi="Calibri"/>
          <w:bCs/>
        </w:rPr>
      </w:pPr>
      <w:r>
        <w:rPr>
          <w:rFonts w:ascii="Calibri" w:hAnsi="Calibri"/>
        </w:rPr>
        <w:t xml:space="preserve">With regard to the 2017 Campaign, the APIA has authorized for payment the amount of </w:t>
      </w:r>
      <w:r>
        <w:rPr>
          <w:rFonts w:ascii="Calibri" w:hAnsi="Calibri"/>
          <w:b/>
        </w:rPr>
        <w:t>2.636 billion EUR</w:t>
      </w:r>
      <w:r>
        <w:rPr>
          <w:rFonts w:ascii="Calibri" w:hAnsi="Calibri"/>
        </w:rPr>
        <w:t xml:space="preserve">, which represents a percentage of absorption of </w:t>
      </w:r>
      <w:r>
        <w:rPr>
          <w:rFonts w:ascii="Calibri" w:hAnsi="Calibri"/>
          <w:b/>
        </w:rPr>
        <w:t>97.5%</w:t>
      </w:r>
      <w:r>
        <w:rPr>
          <w:rFonts w:ascii="Calibri" w:hAnsi="Calibri"/>
        </w:rPr>
        <w:t xml:space="preserve"> from the financial ceiling allocated to Romania in the 2017 Campaign of </w:t>
      </w:r>
      <w:r>
        <w:rPr>
          <w:rFonts w:ascii="Calibri" w:hAnsi="Calibri"/>
          <w:b/>
        </w:rPr>
        <w:t>1.801 billion EUR</w:t>
      </w:r>
      <w:r>
        <w:rPr>
          <w:rFonts w:ascii="Calibri" w:hAnsi="Calibri"/>
        </w:rPr>
        <w:t>.</w:t>
      </w:r>
    </w:p>
    <w:p w:rsidR="00311D99" w:rsidRPr="00715536" w:rsidRDefault="00311D99" w:rsidP="00311D99">
      <w:pPr>
        <w:spacing w:line="276" w:lineRule="auto"/>
        <w:jc w:val="both"/>
        <w:rPr>
          <w:rFonts w:ascii="Calibri" w:hAnsi="Calibri"/>
          <w:sz w:val="20"/>
          <w:szCs w:val="20"/>
          <w:lang w:val="fr-FR"/>
        </w:rPr>
      </w:pPr>
    </w:p>
    <w:p w:rsidR="00311D99" w:rsidRPr="007050FD" w:rsidRDefault="00311D99" w:rsidP="007050FD">
      <w:pPr>
        <w:autoSpaceDE w:val="0"/>
        <w:autoSpaceDN w:val="0"/>
        <w:adjustRightInd w:val="0"/>
        <w:spacing w:after="120"/>
        <w:jc w:val="both"/>
        <w:rPr>
          <w:rFonts w:ascii="Calibri" w:hAnsi="Calibri"/>
        </w:rPr>
      </w:pPr>
      <w:r>
        <w:rPr>
          <w:rFonts w:ascii="Calibri" w:hAnsi="Calibri"/>
        </w:rPr>
        <w:t xml:space="preserve">The payments are made at the exchange rate of </w:t>
      </w:r>
      <w:r>
        <w:rPr>
          <w:rFonts w:ascii="Calibri" w:hAnsi="Calibri"/>
          <w:b/>
        </w:rPr>
        <w:t>4.5993 Lei for one EUR</w:t>
      </w:r>
      <w:r>
        <w:rPr>
          <w:rFonts w:ascii="Calibri" w:hAnsi="Calibri"/>
        </w:rPr>
        <w:t xml:space="preserve">, as set by the Central European Bank on September 29, 2017 and published in the Official Journal of the European Union, series C, no. 329/05 of September 30, 2017. </w:t>
      </w:r>
    </w:p>
    <w:p w:rsidR="00311D99" w:rsidRDefault="00311D99" w:rsidP="00311D99">
      <w:pPr>
        <w:autoSpaceDE w:val="0"/>
        <w:autoSpaceDN w:val="0"/>
        <w:adjustRightInd w:val="0"/>
        <w:spacing w:line="276" w:lineRule="auto"/>
        <w:jc w:val="both"/>
        <w:rPr>
          <w:rFonts w:ascii="Calibri" w:hAnsi="Calibri"/>
          <w:b/>
        </w:rPr>
      </w:pPr>
      <w:r>
        <w:rPr>
          <w:rFonts w:ascii="Calibri" w:hAnsi="Calibri"/>
          <w:b/>
        </w:rPr>
        <w:t>With regard to the amounts reimbursed by the European Commission in calendar years 2017 and 2018, following the request through the monthly declarations of expenditures (financial years 2017 and 2018), we mention the fact that until this date the European Commission has reimbursed the amount of 3.51 billion EUR.</w:t>
      </w:r>
    </w:p>
    <w:p w:rsidR="000E0129" w:rsidRPr="00311D99" w:rsidRDefault="000E0129" w:rsidP="00311D99">
      <w:pPr>
        <w:autoSpaceDE w:val="0"/>
        <w:autoSpaceDN w:val="0"/>
        <w:adjustRightInd w:val="0"/>
        <w:spacing w:line="276" w:lineRule="auto"/>
        <w:jc w:val="both"/>
        <w:rPr>
          <w:rFonts w:ascii="Calibri" w:hAnsi="Calibri"/>
          <w:b/>
        </w:rPr>
      </w:pPr>
    </w:p>
    <w:p w:rsidR="00311D99" w:rsidRPr="003D06D4" w:rsidRDefault="00311D99" w:rsidP="00311D99">
      <w:pPr>
        <w:autoSpaceDE w:val="0"/>
        <w:autoSpaceDN w:val="0"/>
        <w:adjustRightInd w:val="0"/>
        <w:spacing w:line="276" w:lineRule="auto"/>
        <w:jc w:val="both"/>
        <w:rPr>
          <w:rFonts w:ascii="Calibri" w:hAnsi="Calibri"/>
          <w:sz w:val="20"/>
          <w:szCs w:val="20"/>
          <w:lang w:val="fr-FR"/>
        </w:rPr>
      </w:pPr>
    </w:p>
    <w:tbl>
      <w:tblPr>
        <w:tblW w:w="5103" w:type="dxa"/>
        <w:tblInd w:w="2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1"/>
        <w:gridCol w:w="3402"/>
      </w:tblGrid>
      <w:tr w:rsidR="00311D99" w:rsidRPr="00AC4302" w:rsidTr="00311D99">
        <w:trPr>
          <w:trHeight w:val="703"/>
        </w:trPr>
        <w:tc>
          <w:tcPr>
            <w:tcW w:w="1701" w:type="dxa"/>
            <w:shd w:val="clear" w:color="auto" w:fill="BDD6EE"/>
            <w:tcMar>
              <w:top w:w="15" w:type="dxa"/>
              <w:left w:w="108" w:type="dxa"/>
              <w:bottom w:w="0" w:type="dxa"/>
              <w:right w:w="108" w:type="dxa"/>
            </w:tcMar>
            <w:vAlign w:val="bottom"/>
            <w:hideMark/>
          </w:tcPr>
          <w:p w:rsidR="00311D99" w:rsidRPr="00311D99" w:rsidRDefault="00311D99" w:rsidP="00311D99">
            <w:pPr>
              <w:jc w:val="center"/>
              <w:rPr>
                <w:rFonts w:ascii="Calibri" w:hAnsi="Calibri"/>
              </w:rPr>
            </w:pPr>
            <w:r>
              <w:rPr>
                <w:rFonts w:ascii="Calibri" w:hAnsi="Calibri"/>
                <w:b/>
                <w:bCs/>
              </w:rPr>
              <w:t>Financial year</w:t>
            </w:r>
          </w:p>
        </w:tc>
        <w:tc>
          <w:tcPr>
            <w:tcW w:w="3402" w:type="dxa"/>
            <w:shd w:val="clear" w:color="auto" w:fill="BDD6EE"/>
            <w:tcMar>
              <w:top w:w="15" w:type="dxa"/>
              <w:left w:w="108" w:type="dxa"/>
              <w:bottom w:w="0" w:type="dxa"/>
              <w:right w:w="108" w:type="dxa"/>
            </w:tcMar>
            <w:vAlign w:val="bottom"/>
            <w:hideMark/>
          </w:tcPr>
          <w:p w:rsidR="00311D99" w:rsidRPr="003964D3" w:rsidRDefault="00311D99" w:rsidP="00311D99">
            <w:pPr>
              <w:jc w:val="center"/>
              <w:rPr>
                <w:rFonts w:ascii="Calibri" w:hAnsi="Calibri"/>
                <w:b/>
                <w:bCs/>
              </w:rPr>
            </w:pPr>
            <w:r>
              <w:rPr>
                <w:rFonts w:ascii="Calibri" w:hAnsi="Calibri"/>
                <w:b/>
                <w:bCs/>
              </w:rPr>
              <w:t>Amount communicated in the EC decision</w:t>
            </w:r>
          </w:p>
          <w:p w:rsidR="00311D99" w:rsidRPr="003964D3" w:rsidRDefault="00311D99" w:rsidP="00311D99">
            <w:pPr>
              <w:jc w:val="center"/>
              <w:rPr>
                <w:rFonts w:ascii="Calibri" w:hAnsi="Calibri"/>
                <w:b/>
                <w:bCs/>
                <w:lang w:val="fr-FR"/>
              </w:rPr>
            </w:pPr>
          </w:p>
          <w:p w:rsidR="00311D99" w:rsidRPr="003964D3" w:rsidRDefault="00311D99" w:rsidP="00311D99">
            <w:pPr>
              <w:ind w:firstLine="1169"/>
              <w:rPr>
                <w:rFonts w:ascii="Calibri" w:hAnsi="Calibri"/>
              </w:rPr>
            </w:pPr>
            <w:r>
              <w:rPr>
                <w:rFonts w:ascii="Calibri" w:hAnsi="Calibri"/>
              </w:rPr>
              <w:t>-EUR-</w:t>
            </w:r>
          </w:p>
        </w:tc>
      </w:tr>
      <w:tr w:rsidR="00311D99" w:rsidRPr="00311D99" w:rsidTr="00311D99">
        <w:trPr>
          <w:cantSplit/>
          <w:trHeight w:val="447"/>
        </w:trPr>
        <w:tc>
          <w:tcPr>
            <w:tcW w:w="1701" w:type="dxa"/>
            <w:shd w:val="clear" w:color="auto" w:fill="FFFFFF"/>
            <w:tcMar>
              <w:top w:w="15" w:type="dxa"/>
              <w:left w:w="108" w:type="dxa"/>
              <w:bottom w:w="0" w:type="dxa"/>
              <w:right w:w="108" w:type="dxa"/>
            </w:tcMar>
            <w:vAlign w:val="center"/>
            <w:hideMark/>
          </w:tcPr>
          <w:p w:rsidR="00311D99" w:rsidRPr="00311D99" w:rsidRDefault="00311D99" w:rsidP="00311D99">
            <w:pPr>
              <w:jc w:val="center"/>
              <w:rPr>
                <w:rFonts w:ascii="Calibri" w:hAnsi="Calibri"/>
              </w:rPr>
            </w:pPr>
            <w:r>
              <w:rPr>
                <w:rFonts w:ascii="Calibri" w:hAnsi="Calibri"/>
                <w:b/>
                <w:bCs/>
              </w:rPr>
              <w:t>2017</w:t>
            </w:r>
          </w:p>
        </w:tc>
        <w:tc>
          <w:tcPr>
            <w:tcW w:w="3402" w:type="dxa"/>
            <w:shd w:val="clear" w:color="auto" w:fill="FFFFFF"/>
            <w:tcMar>
              <w:top w:w="15" w:type="dxa"/>
              <w:left w:w="108" w:type="dxa"/>
              <w:bottom w:w="0" w:type="dxa"/>
              <w:right w:w="108" w:type="dxa"/>
            </w:tcMar>
            <w:vAlign w:val="center"/>
            <w:hideMark/>
          </w:tcPr>
          <w:p w:rsidR="00311D99" w:rsidRPr="00311D99" w:rsidRDefault="00311D99" w:rsidP="00311D99">
            <w:pPr>
              <w:jc w:val="center"/>
              <w:rPr>
                <w:rFonts w:ascii="Calibri" w:hAnsi="Calibri"/>
              </w:rPr>
            </w:pPr>
            <w:r>
              <w:rPr>
                <w:rFonts w:ascii="Calibri" w:hAnsi="Calibri"/>
                <w:b/>
                <w:bCs/>
              </w:rPr>
              <w:t>1,772,508,497.61</w:t>
            </w:r>
          </w:p>
        </w:tc>
      </w:tr>
      <w:tr w:rsidR="00311D99" w:rsidRPr="00311D99" w:rsidTr="00311D99">
        <w:trPr>
          <w:cantSplit/>
          <w:trHeight w:val="400"/>
        </w:trPr>
        <w:tc>
          <w:tcPr>
            <w:tcW w:w="1701" w:type="dxa"/>
            <w:shd w:val="clear" w:color="auto" w:fill="FFFFFF"/>
            <w:tcMar>
              <w:top w:w="15" w:type="dxa"/>
              <w:left w:w="108" w:type="dxa"/>
              <w:bottom w:w="0" w:type="dxa"/>
              <w:right w:w="108" w:type="dxa"/>
            </w:tcMar>
            <w:vAlign w:val="center"/>
          </w:tcPr>
          <w:p w:rsidR="00311D99" w:rsidRPr="00311D99" w:rsidRDefault="00311D99" w:rsidP="00311D99">
            <w:pPr>
              <w:jc w:val="center"/>
              <w:rPr>
                <w:rFonts w:ascii="Calibri" w:hAnsi="Calibri"/>
                <w:b/>
                <w:bCs/>
              </w:rPr>
            </w:pPr>
            <w:r>
              <w:rPr>
                <w:rFonts w:ascii="Calibri" w:hAnsi="Calibri"/>
                <w:b/>
                <w:bCs/>
              </w:rPr>
              <w:t>2018</w:t>
            </w:r>
          </w:p>
        </w:tc>
        <w:tc>
          <w:tcPr>
            <w:tcW w:w="3402" w:type="dxa"/>
            <w:shd w:val="clear" w:color="auto" w:fill="FFFFFF"/>
            <w:tcMar>
              <w:top w:w="15" w:type="dxa"/>
              <w:left w:w="108" w:type="dxa"/>
              <w:bottom w:w="0" w:type="dxa"/>
              <w:right w:w="108" w:type="dxa"/>
            </w:tcMar>
            <w:vAlign w:val="center"/>
          </w:tcPr>
          <w:p w:rsidR="00311D99" w:rsidRPr="00311D99" w:rsidRDefault="00311D99" w:rsidP="00311D99">
            <w:pPr>
              <w:jc w:val="center"/>
              <w:rPr>
                <w:rFonts w:ascii="Calibri" w:hAnsi="Calibri"/>
                <w:b/>
                <w:bCs/>
              </w:rPr>
            </w:pPr>
            <w:r>
              <w:rPr>
                <w:rFonts w:ascii="Calibri" w:hAnsi="Calibri"/>
                <w:b/>
                <w:bCs/>
              </w:rPr>
              <w:t>1,736,792,339.41</w:t>
            </w:r>
          </w:p>
        </w:tc>
      </w:tr>
      <w:tr w:rsidR="00311D99" w:rsidRPr="00311D99" w:rsidTr="00311D99">
        <w:trPr>
          <w:cantSplit/>
          <w:trHeight w:val="532"/>
        </w:trPr>
        <w:tc>
          <w:tcPr>
            <w:tcW w:w="1701" w:type="dxa"/>
            <w:shd w:val="clear" w:color="auto" w:fill="FFFFFF"/>
            <w:tcMar>
              <w:top w:w="15" w:type="dxa"/>
              <w:left w:w="108" w:type="dxa"/>
              <w:bottom w:w="0" w:type="dxa"/>
              <w:right w:w="108" w:type="dxa"/>
            </w:tcMar>
            <w:vAlign w:val="center"/>
          </w:tcPr>
          <w:p w:rsidR="00311D99" w:rsidRPr="00311D99" w:rsidRDefault="00311D99" w:rsidP="00311D99">
            <w:pPr>
              <w:jc w:val="center"/>
              <w:rPr>
                <w:rFonts w:ascii="Calibri" w:hAnsi="Calibri"/>
                <w:b/>
                <w:bCs/>
              </w:rPr>
            </w:pPr>
            <w:r>
              <w:rPr>
                <w:rFonts w:ascii="Calibri" w:hAnsi="Calibri"/>
                <w:b/>
                <w:bCs/>
              </w:rPr>
              <w:t>Total</w:t>
            </w:r>
          </w:p>
        </w:tc>
        <w:tc>
          <w:tcPr>
            <w:tcW w:w="3402" w:type="dxa"/>
            <w:shd w:val="clear" w:color="auto" w:fill="FFFFFF"/>
            <w:tcMar>
              <w:top w:w="15" w:type="dxa"/>
              <w:left w:w="108" w:type="dxa"/>
              <w:bottom w:w="0" w:type="dxa"/>
              <w:right w:w="108" w:type="dxa"/>
            </w:tcMar>
            <w:vAlign w:val="center"/>
          </w:tcPr>
          <w:p w:rsidR="00311D99" w:rsidRPr="00311D99" w:rsidRDefault="00311D99" w:rsidP="00311D99">
            <w:pPr>
              <w:jc w:val="center"/>
              <w:rPr>
                <w:rFonts w:ascii="Calibri" w:hAnsi="Calibri"/>
                <w:b/>
                <w:bCs/>
              </w:rPr>
            </w:pPr>
            <w:r>
              <w:rPr>
                <w:rFonts w:ascii="Calibri" w:hAnsi="Calibri"/>
                <w:b/>
                <w:bCs/>
              </w:rPr>
              <w:t>3,509,300,837.02</w:t>
            </w:r>
          </w:p>
        </w:tc>
      </w:tr>
    </w:tbl>
    <w:p w:rsidR="00311D99" w:rsidRPr="00311D99" w:rsidRDefault="00311D99" w:rsidP="00311D99">
      <w:pPr>
        <w:autoSpaceDE w:val="0"/>
        <w:autoSpaceDN w:val="0"/>
        <w:adjustRightInd w:val="0"/>
        <w:spacing w:line="276" w:lineRule="auto"/>
        <w:jc w:val="both"/>
        <w:rPr>
          <w:rFonts w:ascii="Calibri" w:hAnsi="Calibri"/>
        </w:rPr>
      </w:pPr>
      <w:r>
        <w:rPr>
          <w:rFonts w:ascii="Calibri" w:hAnsi="Calibri"/>
        </w:rPr>
        <w:t>With regard to the Campaign of receipt of single payment requests for year 2018, between March 1 and May 15 of 2018 were submitted at the Agency 867,067 applications for an area of 9,640,942 hectares.</w:t>
      </w:r>
    </w:p>
    <w:p w:rsidR="00311D99" w:rsidRPr="00311D99" w:rsidRDefault="00311D99" w:rsidP="00311D99">
      <w:pPr>
        <w:autoSpaceDE w:val="0"/>
        <w:autoSpaceDN w:val="0"/>
        <w:adjustRightInd w:val="0"/>
        <w:spacing w:line="276" w:lineRule="auto"/>
        <w:jc w:val="both"/>
        <w:rPr>
          <w:rFonts w:ascii="Calibri" w:hAnsi="Calibri"/>
          <w:lang w:val="fr-FR"/>
        </w:rPr>
      </w:pPr>
    </w:p>
    <w:p w:rsidR="00311D99" w:rsidRPr="00311D99" w:rsidRDefault="00311D99" w:rsidP="00311D99">
      <w:pPr>
        <w:autoSpaceDE w:val="0"/>
        <w:autoSpaceDN w:val="0"/>
        <w:adjustRightInd w:val="0"/>
        <w:spacing w:line="276" w:lineRule="auto"/>
        <w:jc w:val="both"/>
        <w:rPr>
          <w:rFonts w:ascii="Calibri" w:hAnsi="Calibri"/>
        </w:rPr>
      </w:pPr>
      <w:r>
        <w:rPr>
          <w:rFonts w:ascii="Calibri" w:hAnsi="Calibri"/>
        </w:rPr>
        <w:t>Compared to 2017, it is found a decrease of the number of farmers who submitted single payment requests, namely of 884,397, but an increase of the area for which support was requested, because in 2017 was requested for payment a smaller area, of 9,541,389.</w:t>
      </w:r>
    </w:p>
    <w:p w:rsidR="00DC0750" w:rsidRDefault="00DC0750" w:rsidP="00311D99">
      <w:pPr>
        <w:shd w:val="clear" w:color="auto" w:fill="FFFFFF"/>
        <w:tabs>
          <w:tab w:val="left" w:pos="0"/>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Calibri" w:eastAsia="Calibri" w:hAnsi="Calibri" w:cs="Courier New"/>
          <w:bCs/>
          <w:lang w:val="ro-RO"/>
        </w:rPr>
      </w:pPr>
    </w:p>
    <w:p w:rsidR="00DC0750" w:rsidRPr="00311D99" w:rsidRDefault="00DC0750" w:rsidP="00311D99">
      <w:pPr>
        <w:shd w:val="clear" w:color="auto" w:fill="FFFFFF"/>
        <w:tabs>
          <w:tab w:val="left" w:pos="0"/>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Calibri" w:eastAsia="Calibri" w:hAnsi="Calibri" w:cs="Courier New"/>
          <w:bCs/>
          <w:lang w:val="ro-RO"/>
        </w:rPr>
      </w:pPr>
    </w:p>
    <w:p w:rsidR="00311D99" w:rsidRPr="00311D99" w:rsidRDefault="00311D99" w:rsidP="00311D99">
      <w:pPr>
        <w:shd w:val="clear" w:color="auto" w:fill="99CCFF"/>
        <w:ind w:right="-511"/>
        <w:rPr>
          <w:rFonts w:ascii="Calibri" w:hAnsi="Calibri" w:cs="Arial Narrow"/>
          <w:b/>
          <w:color w:val="000080"/>
        </w:rPr>
      </w:pPr>
      <w:r>
        <w:rPr>
          <w:rFonts w:ascii="Calibri" w:hAnsi="Calibri"/>
          <w:b/>
          <w:color w:val="000080"/>
        </w:rPr>
        <w:t>European Agricultural and Rural Development Fund</w:t>
      </w:r>
    </w:p>
    <w:p w:rsidR="00311D99" w:rsidRPr="003964D3" w:rsidRDefault="00311D99" w:rsidP="00311D99">
      <w:pPr>
        <w:autoSpaceDE w:val="0"/>
        <w:autoSpaceDN w:val="0"/>
        <w:adjustRightInd w:val="0"/>
        <w:spacing w:line="276" w:lineRule="auto"/>
        <w:jc w:val="both"/>
        <w:rPr>
          <w:rFonts w:ascii="Calibri" w:hAnsi="Calibri"/>
          <w:lang w:val="fr-FR"/>
        </w:rPr>
      </w:pPr>
    </w:p>
    <w:p w:rsidR="00311D99" w:rsidRPr="003964D3" w:rsidRDefault="00311D99" w:rsidP="00311D99">
      <w:pPr>
        <w:autoSpaceDE w:val="0"/>
        <w:autoSpaceDN w:val="0"/>
        <w:adjustRightInd w:val="0"/>
        <w:spacing w:line="276" w:lineRule="auto"/>
        <w:jc w:val="both"/>
        <w:rPr>
          <w:rFonts w:ascii="Calibri" w:hAnsi="Calibri"/>
        </w:rPr>
      </w:pPr>
      <w:r>
        <w:rPr>
          <w:rFonts w:ascii="Calibri" w:hAnsi="Calibri"/>
        </w:rPr>
        <w:t>The Agency for Payments and Intervention in Agriculture implements on the basis of the delegation agreements concluded with the Agency for Financing of Rural Investments (AFIR) the following measures financed from the EARDF:</w:t>
      </w:r>
    </w:p>
    <w:p w:rsidR="00311D99" w:rsidRPr="003964D3" w:rsidRDefault="00311D99" w:rsidP="00311D99">
      <w:pPr>
        <w:autoSpaceDE w:val="0"/>
        <w:autoSpaceDN w:val="0"/>
        <w:adjustRightInd w:val="0"/>
        <w:spacing w:line="276" w:lineRule="auto"/>
        <w:jc w:val="both"/>
        <w:rPr>
          <w:rFonts w:ascii="Calibri" w:hAnsi="Calibri"/>
          <w:lang w:val="fr-FR"/>
        </w:rPr>
      </w:pPr>
    </w:p>
    <w:p w:rsidR="00311D99" w:rsidRPr="00311D99" w:rsidRDefault="00311D99" w:rsidP="00311D99">
      <w:pPr>
        <w:numPr>
          <w:ilvl w:val="0"/>
          <w:numId w:val="9"/>
        </w:numPr>
        <w:spacing w:line="276" w:lineRule="auto"/>
        <w:rPr>
          <w:rFonts w:ascii="Calibri" w:hAnsi="Calibri"/>
          <w:noProof/>
          <w:color w:val="000000"/>
        </w:rPr>
      </w:pPr>
      <w:r>
        <w:rPr>
          <w:rFonts w:ascii="Calibri" w:hAnsi="Calibri"/>
          <w:b/>
        </w:rPr>
        <w:t>MEASURE 08</w:t>
      </w:r>
      <w:r>
        <w:rPr>
          <w:rFonts w:ascii="Calibri" w:hAnsi="Calibri"/>
        </w:rPr>
        <w:t xml:space="preserve"> - Investments in the development of wooded areas and in the improvement of forest viability - sub-measure 8.1 - </w:t>
      </w:r>
      <w:r w:rsidR="00916FF8">
        <w:rPr>
          <w:rFonts w:ascii="Calibri" w:hAnsi="Calibri"/>
        </w:rPr>
        <w:t>Afforestation</w:t>
      </w:r>
      <w:r>
        <w:rPr>
          <w:rFonts w:ascii="Calibri" w:hAnsi="Calibri"/>
        </w:rPr>
        <w:t xml:space="preserve"> and creation of wooded areas</w:t>
      </w:r>
    </w:p>
    <w:p w:rsidR="00311D99" w:rsidRPr="00311D99" w:rsidRDefault="00311D99" w:rsidP="00311D99">
      <w:pPr>
        <w:numPr>
          <w:ilvl w:val="0"/>
          <w:numId w:val="10"/>
        </w:numPr>
        <w:spacing w:line="276" w:lineRule="auto"/>
        <w:rPr>
          <w:rFonts w:ascii="Calibri" w:hAnsi="Calibri" w:cs="Arial"/>
          <w:spacing w:val="-3"/>
        </w:rPr>
      </w:pPr>
      <w:r>
        <w:rPr>
          <w:rFonts w:ascii="Calibri" w:hAnsi="Calibri"/>
          <w:b/>
        </w:rPr>
        <w:t>MEASURE 10</w:t>
      </w:r>
      <w:r>
        <w:rPr>
          <w:rFonts w:ascii="Calibri" w:hAnsi="Calibri"/>
        </w:rPr>
        <w:t xml:space="preserve"> - Agro-environment and climate</w:t>
      </w:r>
    </w:p>
    <w:p w:rsidR="00311D99" w:rsidRPr="00311D99" w:rsidRDefault="00311D99" w:rsidP="00311D99">
      <w:pPr>
        <w:numPr>
          <w:ilvl w:val="0"/>
          <w:numId w:val="10"/>
        </w:numPr>
        <w:spacing w:line="276" w:lineRule="auto"/>
        <w:rPr>
          <w:rFonts w:ascii="Calibri" w:hAnsi="Calibri" w:cs="Arial"/>
          <w:spacing w:val="-3"/>
        </w:rPr>
      </w:pPr>
      <w:r>
        <w:rPr>
          <w:rFonts w:ascii="Calibri" w:hAnsi="Calibri"/>
          <w:b/>
        </w:rPr>
        <w:t>MEASURE 11</w:t>
      </w:r>
      <w:r>
        <w:rPr>
          <w:rFonts w:ascii="Calibri" w:hAnsi="Calibri"/>
        </w:rPr>
        <w:t xml:space="preserve"> - Ecologic agriculture </w:t>
      </w:r>
    </w:p>
    <w:p w:rsidR="00311D99" w:rsidRPr="00311D99" w:rsidRDefault="00311D99" w:rsidP="00311D99">
      <w:pPr>
        <w:numPr>
          <w:ilvl w:val="0"/>
          <w:numId w:val="10"/>
        </w:numPr>
        <w:spacing w:line="276" w:lineRule="auto"/>
        <w:rPr>
          <w:rFonts w:ascii="Calibri" w:hAnsi="Calibri" w:cs="Arial"/>
          <w:bCs/>
        </w:rPr>
      </w:pPr>
      <w:r>
        <w:rPr>
          <w:rFonts w:ascii="Calibri" w:hAnsi="Calibri"/>
          <w:b/>
          <w:bCs/>
        </w:rPr>
        <w:t>MEASURE 13</w:t>
      </w:r>
      <w:r>
        <w:rPr>
          <w:rFonts w:ascii="Calibri" w:hAnsi="Calibri"/>
          <w:bCs/>
        </w:rPr>
        <w:t xml:space="preserve"> - Payments for areas facing natural restrictions or other specific restrictions</w:t>
      </w:r>
    </w:p>
    <w:p w:rsidR="00311D99" w:rsidRPr="003964D3" w:rsidRDefault="00311D99" w:rsidP="00311D99">
      <w:pPr>
        <w:numPr>
          <w:ilvl w:val="0"/>
          <w:numId w:val="10"/>
        </w:numPr>
        <w:spacing w:line="276" w:lineRule="auto"/>
        <w:rPr>
          <w:rFonts w:ascii="Calibri" w:hAnsi="Calibri" w:cs="Arial"/>
          <w:bCs/>
        </w:rPr>
      </w:pPr>
      <w:r>
        <w:rPr>
          <w:rFonts w:ascii="Calibri" w:hAnsi="Calibri"/>
          <w:b/>
        </w:rPr>
        <w:t>MEASURE 14</w:t>
      </w:r>
      <w:r>
        <w:rPr>
          <w:rFonts w:ascii="Calibri" w:hAnsi="Calibri"/>
        </w:rPr>
        <w:t xml:space="preserve"> (former measure 215) - Payments in favor of animal welfare</w:t>
      </w:r>
    </w:p>
    <w:p w:rsidR="00311D99" w:rsidRPr="003964D3" w:rsidRDefault="00311D99" w:rsidP="00311D99">
      <w:pPr>
        <w:numPr>
          <w:ilvl w:val="0"/>
          <w:numId w:val="10"/>
        </w:numPr>
        <w:spacing w:line="276" w:lineRule="auto"/>
        <w:rPr>
          <w:rFonts w:ascii="Calibri" w:hAnsi="Calibri" w:cs="Arial-BoldMT"/>
          <w:bCs/>
        </w:rPr>
      </w:pPr>
      <w:r>
        <w:rPr>
          <w:rFonts w:ascii="Calibri" w:hAnsi="Calibri"/>
          <w:b/>
        </w:rPr>
        <w:t>MEASURE 15</w:t>
      </w:r>
      <w:r>
        <w:rPr>
          <w:rFonts w:ascii="Calibri" w:hAnsi="Calibri"/>
        </w:rPr>
        <w:t xml:space="preserve"> - Forestry and environment services, climate services and wood preservation - 15.1 - Payments for forestry and environment commitments</w:t>
      </w:r>
    </w:p>
    <w:p w:rsidR="00311D99" w:rsidRPr="00311D99" w:rsidRDefault="00311D99" w:rsidP="00311D99">
      <w:pPr>
        <w:numPr>
          <w:ilvl w:val="0"/>
          <w:numId w:val="10"/>
        </w:numPr>
        <w:spacing w:line="276" w:lineRule="auto"/>
        <w:rPr>
          <w:rFonts w:ascii="Calibri" w:hAnsi="Calibri" w:cs="Arial-BoldMT"/>
          <w:bCs/>
        </w:rPr>
      </w:pPr>
      <w:r>
        <w:rPr>
          <w:rFonts w:ascii="Calibri" w:hAnsi="Calibri"/>
          <w:b/>
        </w:rPr>
        <w:t>Measure 214</w:t>
      </w:r>
      <w:r>
        <w:rPr>
          <w:rFonts w:ascii="Calibri" w:hAnsi="Calibri"/>
        </w:rPr>
        <w:t xml:space="preserve"> - Payments regarding the agricultural environment</w:t>
      </w:r>
    </w:p>
    <w:p w:rsidR="00311D99" w:rsidRPr="00311D99" w:rsidRDefault="00311D99" w:rsidP="00311D99">
      <w:pPr>
        <w:autoSpaceDE w:val="0"/>
        <w:autoSpaceDN w:val="0"/>
        <w:adjustRightInd w:val="0"/>
        <w:spacing w:line="276" w:lineRule="auto"/>
        <w:jc w:val="both"/>
        <w:rPr>
          <w:rFonts w:ascii="Calibri" w:hAnsi="Calibri" w:cs="Arial"/>
          <w:color w:val="000000"/>
        </w:rPr>
      </w:pPr>
    </w:p>
    <w:p w:rsidR="00311D99" w:rsidRPr="003964D3" w:rsidRDefault="00311D99" w:rsidP="00311D99">
      <w:pPr>
        <w:autoSpaceDE w:val="0"/>
        <w:autoSpaceDN w:val="0"/>
        <w:adjustRightInd w:val="0"/>
        <w:spacing w:line="276" w:lineRule="auto"/>
        <w:jc w:val="both"/>
        <w:rPr>
          <w:rFonts w:ascii="Calibri" w:hAnsi="Calibri" w:cs="Arial"/>
          <w:bCs/>
          <w:color w:val="000000"/>
        </w:rPr>
      </w:pPr>
      <w:r>
        <w:rPr>
          <w:rFonts w:ascii="Calibri" w:hAnsi="Calibri"/>
          <w:color w:val="000000"/>
        </w:rPr>
        <w:t>EARDF allocation + co-financing from the National Budget:</w:t>
      </w:r>
      <w:r>
        <w:rPr>
          <w:rFonts w:ascii="Calibri" w:hAnsi="Calibri"/>
          <w:bCs/>
          <w:color w:val="000000"/>
        </w:rPr>
        <w:t xml:space="preserve">  3.59 billion EUR</w:t>
      </w:r>
    </w:p>
    <w:p w:rsidR="00311D99" w:rsidRPr="003964D3" w:rsidRDefault="00311D99" w:rsidP="00311D99">
      <w:pPr>
        <w:jc w:val="both"/>
        <w:rPr>
          <w:rFonts w:ascii="Calibri" w:hAnsi="Calibri"/>
          <w:i/>
          <w:iCs/>
          <w:color w:val="000000"/>
        </w:rPr>
      </w:pPr>
      <w:r>
        <w:rPr>
          <w:rFonts w:ascii="Calibri" w:hAnsi="Calibri"/>
          <w:b/>
          <w:bCs/>
          <w:color w:val="000000"/>
        </w:rPr>
        <w:t>Approximately 409 thousand farmers requested support for rural development measures in the 2017 campaign</w:t>
      </w:r>
      <w:r>
        <w:rPr>
          <w:rFonts w:ascii="Calibri" w:hAnsi="Calibri"/>
          <w:bCs/>
          <w:color w:val="000000"/>
        </w:rPr>
        <w:t xml:space="preserve"> (</w:t>
      </w:r>
      <w:r>
        <w:rPr>
          <w:rFonts w:ascii="Calibri" w:hAnsi="Calibri"/>
          <w:bCs/>
          <w:i/>
          <w:color w:val="000000"/>
        </w:rPr>
        <w:t>one request may refer to several types of payments</w:t>
      </w:r>
      <w:r>
        <w:rPr>
          <w:rFonts w:ascii="Calibri" w:hAnsi="Calibri"/>
          <w:bCs/>
          <w:color w:val="000000"/>
        </w:rPr>
        <w:t>).</w:t>
      </w:r>
    </w:p>
    <w:p w:rsidR="00311D99" w:rsidRDefault="00311D99" w:rsidP="00311D99">
      <w:pPr>
        <w:jc w:val="both"/>
        <w:rPr>
          <w:rFonts w:ascii="Calibri" w:hAnsi="Calibri"/>
          <w:i/>
          <w:iCs/>
          <w:color w:val="000000"/>
          <w:lang w:val="fr-FR"/>
        </w:rPr>
      </w:pPr>
    </w:p>
    <w:p w:rsidR="000E0129" w:rsidRDefault="000E0129" w:rsidP="00311D99">
      <w:pPr>
        <w:jc w:val="both"/>
        <w:rPr>
          <w:rFonts w:ascii="Calibri" w:hAnsi="Calibri"/>
          <w:i/>
          <w:iCs/>
          <w:color w:val="000000"/>
          <w:lang w:val="fr-FR"/>
        </w:rPr>
      </w:pPr>
    </w:p>
    <w:p w:rsidR="000E0129" w:rsidRDefault="000E0129" w:rsidP="00311D99">
      <w:pPr>
        <w:jc w:val="both"/>
        <w:rPr>
          <w:rFonts w:ascii="Calibri" w:hAnsi="Calibri"/>
          <w:i/>
          <w:iCs/>
          <w:color w:val="000000"/>
          <w:lang w:val="fr-FR"/>
        </w:rPr>
      </w:pPr>
    </w:p>
    <w:p w:rsidR="000E0129" w:rsidRDefault="000E0129" w:rsidP="00311D99">
      <w:pPr>
        <w:jc w:val="both"/>
        <w:rPr>
          <w:rFonts w:ascii="Calibri" w:hAnsi="Calibri"/>
          <w:i/>
          <w:iCs/>
          <w:color w:val="000000"/>
          <w:lang w:val="fr-FR"/>
        </w:rPr>
      </w:pPr>
    </w:p>
    <w:p w:rsidR="000E0129" w:rsidRPr="003964D3" w:rsidRDefault="000E0129" w:rsidP="00311D99">
      <w:pPr>
        <w:jc w:val="both"/>
        <w:rPr>
          <w:rFonts w:ascii="Calibri" w:hAnsi="Calibri"/>
          <w:i/>
          <w:iCs/>
          <w:color w:val="000000"/>
          <w:lang w:val="fr-FR"/>
        </w:rPr>
      </w:pPr>
    </w:p>
    <w:p w:rsidR="00311D99" w:rsidRPr="003964D3" w:rsidRDefault="00311D99" w:rsidP="00311D99">
      <w:pPr>
        <w:jc w:val="both"/>
        <w:rPr>
          <w:rFonts w:ascii="Calibri" w:hAnsi="Calibri"/>
          <w:i/>
          <w:iCs/>
          <w:color w:val="000000"/>
          <w:lang w:val="fr-FR"/>
        </w:rPr>
      </w:pPr>
    </w:p>
    <w:p w:rsidR="00311D99" w:rsidRPr="003964D3" w:rsidRDefault="00311D99" w:rsidP="00311D99">
      <w:pPr>
        <w:jc w:val="center"/>
        <w:rPr>
          <w:rFonts w:ascii="Calibri" w:hAnsi="Calibri"/>
          <w:b/>
          <w:color w:val="000000"/>
        </w:rPr>
      </w:pPr>
      <w:r>
        <w:rPr>
          <w:rFonts w:ascii="Calibri" w:hAnsi="Calibri"/>
          <w:b/>
          <w:color w:val="000000"/>
        </w:rPr>
        <w:t>CEILINGS ALLOCATED FROM THE EARDF FOR THE PROGRAMMING PERIOD 2014-2020 - MEASURES IMPLEMENTED BY APIA BASED ON THE DELEGATION RECEIVED FROM THE AFIR*</w:t>
      </w:r>
    </w:p>
    <w:p w:rsidR="00311D99" w:rsidRPr="003964D3" w:rsidRDefault="00311D99" w:rsidP="00311D99">
      <w:pPr>
        <w:jc w:val="center"/>
        <w:rPr>
          <w:rFonts w:ascii="Calibri" w:hAnsi="Calibri"/>
          <w:b/>
          <w:color w:val="000000"/>
          <w:lang w:val="fr-FR"/>
        </w:rPr>
      </w:pPr>
    </w:p>
    <w:p w:rsidR="00311D99" w:rsidRPr="003964D3" w:rsidRDefault="00311D99" w:rsidP="00311D99">
      <w:pPr>
        <w:jc w:val="center"/>
        <w:rPr>
          <w:rFonts w:ascii="Calibri" w:hAnsi="Calibri"/>
          <w:b/>
          <w:color w:val="000000"/>
          <w:lang w:val="fr-FR"/>
        </w:rPr>
      </w:pPr>
    </w:p>
    <w:tbl>
      <w:tblPr>
        <w:tblW w:w="9521" w:type="dxa"/>
        <w:tblInd w:w="108" w:type="dxa"/>
        <w:tblLook w:val="04A0" w:firstRow="1" w:lastRow="0" w:firstColumn="1" w:lastColumn="0" w:noHBand="0" w:noVBand="1"/>
      </w:tblPr>
      <w:tblGrid>
        <w:gridCol w:w="1264"/>
        <w:gridCol w:w="3120"/>
        <w:gridCol w:w="1726"/>
        <w:gridCol w:w="1685"/>
        <w:gridCol w:w="1726"/>
      </w:tblGrid>
      <w:tr w:rsidR="00311D99" w:rsidRPr="00311D99" w:rsidTr="00311D99">
        <w:trPr>
          <w:trHeight w:val="529"/>
        </w:trPr>
        <w:tc>
          <w:tcPr>
            <w:tcW w:w="1264" w:type="dxa"/>
            <w:tcBorders>
              <w:top w:val="single" w:sz="8" w:space="0" w:color="auto"/>
              <w:left w:val="single" w:sz="4" w:space="0" w:color="auto"/>
              <w:bottom w:val="single" w:sz="4" w:space="0" w:color="auto"/>
              <w:right w:val="single" w:sz="4" w:space="0" w:color="auto"/>
            </w:tcBorders>
            <w:shd w:val="clear" w:color="auto" w:fill="BDD6EE" w:themeFill="accent1" w:themeFillTint="66"/>
            <w:vAlign w:val="center"/>
            <w:hideMark/>
          </w:tcPr>
          <w:p w:rsidR="00311D99" w:rsidRPr="00311D99" w:rsidRDefault="00311D99" w:rsidP="00311D99">
            <w:pPr>
              <w:jc w:val="center"/>
              <w:rPr>
                <w:rFonts w:ascii="Calibri" w:hAnsi="Calibri" w:cs="Arial"/>
                <w:b/>
                <w:bCs/>
              </w:rPr>
            </w:pPr>
            <w:r>
              <w:rPr>
                <w:rFonts w:ascii="Calibri" w:hAnsi="Calibri"/>
                <w:b/>
                <w:bCs/>
              </w:rPr>
              <w:t>MEASURE</w:t>
            </w:r>
          </w:p>
        </w:tc>
        <w:tc>
          <w:tcPr>
            <w:tcW w:w="3120" w:type="dxa"/>
            <w:tcBorders>
              <w:top w:val="single" w:sz="8" w:space="0" w:color="auto"/>
              <w:left w:val="nil"/>
              <w:bottom w:val="single" w:sz="4" w:space="0" w:color="auto"/>
              <w:right w:val="single" w:sz="4" w:space="0" w:color="auto"/>
            </w:tcBorders>
            <w:shd w:val="clear" w:color="auto" w:fill="BDD6EE" w:themeFill="accent1" w:themeFillTint="66"/>
            <w:vAlign w:val="center"/>
            <w:hideMark/>
          </w:tcPr>
          <w:p w:rsidR="00311D99" w:rsidRPr="00311D99" w:rsidRDefault="00311D99" w:rsidP="00311D99">
            <w:pPr>
              <w:jc w:val="center"/>
              <w:rPr>
                <w:rFonts w:ascii="Calibri" w:hAnsi="Calibri" w:cs="Arial"/>
                <w:b/>
                <w:bCs/>
              </w:rPr>
            </w:pPr>
            <w:r>
              <w:rPr>
                <w:rFonts w:ascii="Calibri" w:hAnsi="Calibri"/>
                <w:b/>
                <w:bCs/>
              </w:rPr>
              <w:t xml:space="preserve">Programming period </w:t>
            </w:r>
          </w:p>
          <w:p w:rsidR="00311D99" w:rsidRPr="00311D99" w:rsidRDefault="00311D99" w:rsidP="00311D99">
            <w:pPr>
              <w:jc w:val="center"/>
              <w:rPr>
                <w:rFonts w:ascii="Calibri" w:hAnsi="Calibri" w:cs="Arial"/>
                <w:b/>
                <w:bCs/>
              </w:rPr>
            </w:pPr>
            <w:r>
              <w:rPr>
                <w:rFonts w:ascii="Calibri" w:hAnsi="Calibri"/>
                <w:b/>
                <w:bCs/>
              </w:rPr>
              <w:t>2014 - 2020</w:t>
            </w:r>
          </w:p>
        </w:tc>
        <w:tc>
          <w:tcPr>
            <w:tcW w:w="1726" w:type="dxa"/>
            <w:tcBorders>
              <w:top w:val="single" w:sz="8" w:space="0" w:color="auto"/>
              <w:left w:val="nil"/>
              <w:bottom w:val="single" w:sz="4" w:space="0" w:color="auto"/>
              <w:right w:val="single" w:sz="4" w:space="0" w:color="auto"/>
            </w:tcBorders>
            <w:shd w:val="clear" w:color="auto" w:fill="BDD6EE" w:themeFill="accent1" w:themeFillTint="66"/>
            <w:vAlign w:val="center"/>
            <w:hideMark/>
          </w:tcPr>
          <w:p w:rsidR="00311D99" w:rsidRPr="00311D99" w:rsidRDefault="00311D99" w:rsidP="00311D99">
            <w:pPr>
              <w:jc w:val="center"/>
              <w:rPr>
                <w:rFonts w:ascii="Calibri" w:hAnsi="Calibri" w:cs="Arial"/>
                <w:b/>
                <w:bCs/>
              </w:rPr>
            </w:pPr>
            <w:r>
              <w:rPr>
                <w:rFonts w:ascii="Calibri" w:hAnsi="Calibri"/>
                <w:b/>
                <w:bCs/>
              </w:rPr>
              <w:t>EARDF (EUR)</w:t>
            </w:r>
          </w:p>
        </w:tc>
        <w:tc>
          <w:tcPr>
            <w:tcW w:w="1685" w:type="dxa"/>
            <w:tcBorders>
              <w:top w:val="single" w:sz="8" w:space="0" w:color="auto"/>
              <w:left w:val="nil"/>
              <w:bottom w:val="single" w:sz="4" w:space="0" w:color="auto"/>
              <w:right w:val="single" w:sz="4" w:space="0" w:color="auto"/>
            </w:tcBorders>
            <w:shd w:val="clear" w:color="auto" w:fill="BDD6EE" w:themeFill="accent1" w:themeFillTint="66"/>
            <w:vAlign w:val="center"/>
            <w:hideMark/>
          </w:tcPr>
          <w:p w:rsidR="00311D99" w:rsidRPr="00311D99" w:rsidRDefault="00311D99" w:rsidP="00311D99">
            <w:pPr>
              <w:jc w:val="center"/>
              <w:rPr>
                <w:rFonts w:ascii="Calibri" w:hAnsi="Calibri" w:cs="Arial"/>
                <w:b/>
                <w:bCs/>
              </w:rPr>
            </w:pPr>
            <w:r>
              <w:rPr>
                <w:rFonts w:ascii="Calibri" w:hAnsi="Calibri"/>
                <w:b/>
                <w:bCs/>
              </w:rPr>
              <w:t>BN (EUR)</w:t>
            </w:r>
          </w:p>
        </w:tc>
        <w:tc>
          <w:tcPr>
            <w:tcW w:w="1726"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311D99" w:rsidRPr="00311D99" w:rsidRDefault="00311D99" w:rsidP="00311D99">
            <w:pPr>
              <w:jc w:val="center"/>
              <w:rPr>
                <w:rFonts w:ascii="Calibri" w:hAnsi="Calibri" w:cs="Arial"/>
                <w:b/>
                <w:bCs/>
              </w:rPr>
            </w:pPr>
            <w:r>
              <w:rPr>
                <w:rFonts w:ascii="Calibri" w:hAnsi="Calibri"/>
                <w:b/>
                <w:bCs/>
              </w:rPr>
              <w:t>Total (EUR)</w:t>
            </w:r>
          </w:p>
        </w:tc>
      </w:tr>
      <w:tr w:rsidR="00311D99" w:rsidRPr="00311D99" w:rsidTr="00311D99">
        <w:trPr>
          <w:trHeight w:val="680"/>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311D99" w:rsidRPr="00311D99" w:rsidRDefault="00311D99" w:rsidP="00311D99">
            <w:pPr>
              <w:jc w:val="center"/>
              <w:rPr>
                <w:rFonts w:ascii="Calibri" w:hAnsi="Calibri" w:cs="Arial"/>
                <w:b/>
                <w:bCs/>
              </w:rPr>
            </w:pPr>
            <w:r>
              <w:rPr>
                <w:rFonts w:ascii="Calibri" w:hAnsi="Calibri"/>
                <w:b/>
                <w:bCs/>
              </w:rPr>
              <w:t>8</w:t>
            </w:r>
          </w:p>
        </w:tc>
        <w:tc>
          <w:tcPr>
            <w:tcW w:w="3120" w:type="dxa"/>
            <w:tcBorders>
              <w:top w:val="single" w:sz="4" w:space="0" w:color="auto"/>
              <w:left w:val="nil"/>
              <w:bottom w:val="single" w:sz="4" w:space="0" w:color="auto"/>
              <w:right w:val="single" w:sz="4" w:space="0" w:color="auto"/>
            </w:tcBorders>
            <w:shd w:val="clear" w:color="auto" w:fill="auto"/>
            <w:vAlign w:val="center"/>
            <w:hideMark/>
          </w:tcPr>
          <w:p w:rsidR="00311D99" w:rsidRPr="00311D99" w:rsidRDefault="00311D99" w:rsidP="00311D99">
            <w:pPr>
              <w:jc w:val="both"/>
              <w:rPr>
                <w:rFonts w:ascii="Calibri" w:hAnsi="Calibri" w:cs="Arial"/>
              </w:rPr>
            </w:pPr>
            <w:r>
              <w:rPr>
                <w:rFonts w:ascii="Calibri" w:hAnsi="Calibri"/>
              </w:rPr>
              <w:t xml:space="preserve">Investments in the development of wooded areas and in the improvement of forest viability </w:t>
            </w:r>
          </w:p>
        </w:tc>
        <w:tc>
          <w:tcPr>
            <w:tcW w:w="1726" w:type="dxa"/>
            <w:tcBorders>
              <w:top w:val="nil"/>
              <w:left w:val="nil"/>
              <w:bottom w:val="single" w:sz="8"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Pr>
                <w:rFonts w:ascii="Calibri" w:hAnsi="Calibri"/>
              </w:rPr>
              <w:t>105,695,160</w:t>
            </w:r>
          </w:p>
        </w:tc>
        <w:tc>
          <w:tcPr>
            <w:tcW w:w="1685"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Pr>
                <w:rFonts w:ascii="Calibri" w:hAnsi="Calibri"/>
              </w:rPr>
              <w:t>21,106,472</w:t>
            </w:r>
          </w:p>
        </w:tc>
        <w:tc>
          <w:tcPr>
            <w:tcW w:w="1726"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Pr>
                <w:rFonts w:ascii="Calibri" w:hAnsi="Calibri"/>
              </w:rPr>
              <w:t>126,801,632</w:t>
            </w:r>
          </w:p>
        </w:tc>
      </w:tr>
      <w:tr w:rsidR="00311D99" w:rsidRPr="00311D99" w:rsidTr="00311D99">
        <w:trPr>
          <w:trHeight w:val="318"/>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311D99" w:rsidRPr="00311D99" w:rsidRDefault="00311D99" w:rsidP="00311D99">
            <w:pPr>
              <w:jc w:val="center"/>
              <w:rPr>
                <w:rFonts w:ascii="Calibri" w:hAnsi="Calibri" w:cs="Arial"/>
                <w:b/>
                <w:bCs/>
              </w:rPr>
            </w:pPr>
            <w:r>
              <w:rPr>
                <w:rFonts w:ascii="Calibri" w:hAnsi="Calibri"/>
                <w:b/>
                <w:bCs/>
              </w:rPr>
              <w:t>10</w:t>
            </w:r>
          </w:p>
        </w:tc>
        <w:tc>
          <w:tcPr>
            <w:tcW w:w="3120" w:type="dxa"/>
            <w:tcBorders>
              <w:top w:val="single" w:sz="4" w:space="0" w:color="auto"/>
              <w:left w:val="nil"/>
              <w:bottom w:val="single" w:sz="4" w:space="0" w:color="auto"/>
              <w:right w:val="single" w:sz="4" w:space="0" w:color="auto"/>
            </w:tcBorders>
            <w:shd w:val="clear" w:color="auto" w:fill="auto"/>
            <w:vAlign w:val="center"/>
            <w:hideMark/>
          </w:tcPr>
          <w:p w:rsidR="00311D99" w:rsidRPr="00311D99" w:rsidRDefault="00311D99" w:rsidP="00311D99">
            <w:pPr>
              <w:jc w:val="both"/>
              <w:rPr>
                <w:rFonts w:ascii="Calibri" w:hAnsi="Calibri" w:cs="Arial"/>
              </w:rPr>
            </w:pPr>
            <w:r>
              <w:rPr>
                <w:rFonts w:ascii="Calibri" w:hAnsi="Calibri"/>
              </w:rPr>
              <w:t>Agro-environment and climate</w:t>
            </w: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Pr>
                <w:rFonts w:ascii="Calibri" w:hAnsi="Calibri"/>
              </w:rPr>
              <w:t>909,964,916</w:t>
            </w:r>
          </w:p>
        </w:tc>
        <w:tc>
          <w:tcPr>
            <w:tcW w:w="1685"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Pr>
                <w:rFonts w:ascii="Calibri" w:hAnsi="Calibri"/>
              </w:rPr>
              <w:t>159,032,069</w:t>
            </w:r>
          </w:p>
        </w:tc>
        <w:tc>
          <w:tcPr>
            <w:tcW w:w="1726"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Pr>
                <w:rFonts w:ascii="Calibri" w:hAnsi="Calibri"/>
              </w:rPr>
              <w:t>1,068,996,985</w:t>
            </w:r>
          </w:p>
        </w:tc>
      </w:tr>
      <w:tr w:rsidR="00311D99" w:rsidRPr="00311D99" w:rsidTr="00311D99">
        <w:trPr>
          <w:trHeight w:val="333"/>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311D99" w:rsidRPr="00311D99" w:rsidRDefault="00311D99" w:rsidP="00311D99">
            <w:pPr>
              <w:jc w:val="center"/>
              <w:rPr>
                <w:rFonts w:ascii="Calibri" w:hAnsi="Calibri" w:cs="Arial"/>
                <w:b/>
                <w:bCs/>
              </w:rPr>
            </w:pPr>
            <w:r>
              <w:rPr>
                <w:rFonts w:ascii="Calibri" w:hAnsi="Calibri"/>
                <w:b/>
                <w:bCs/>
              </w:rPr>
              <w:t>11</w:t>
            </w:r>
          </w:p>
        </w:tc>
        <w:tc>
          <w:tcPr>
            <w:tcW w:w="3120" w:type="dxa"/>
            <w:tcBorders>
              <w:top w:val="single" w:sz="4" w:space="0" w:color="auto"/>
              <w:left w:val="nil"/>
              <w:bottom w:val="single" w:sz="8" w:space="0" w:color="auto"/>
              <w:right w:val="single" w:sz="4" w:space="0" w:color="auto"/>
            </w:tcBorders>
            <w:shd w:val="clear" w:color="auto" w:fill="auto"/>
            <w:vAlign w:val="center"/>
            <w:hideMark/>
          </w:tcPr>
          <w:p w:rsidR="00311D99" w:rsidRPr="00311D99" w:rsidRDefault="00311D99" w:rsidP="00311D99">
            <w:pPr>
              <w:jc w:val="both"/>
              <w:rPr>
                <w:rFonts w:ascii="Calibri" w:hAnsi="Calibri" w:cs="Arial"/>
              </w:rPr>
            </w:pPr>
            <w:r>
              <w:rPr>
                <w:rFonts w:ascii="Calibri" w:hAnsi="Calibri"/>
              </w:rPr>
              <w:t>Ecologic agriculture</w:t>
            </w:r>
          </w:p>
        </w:tc>
        <w:tc>
          <w:tcPr>
            <w:tcW w:w="1726" w:type="dxa"/>
            <w:tcBorders>
              <w:top w:val="nil"/>
              <w:left w:val="nil"/>
              <w:bottom w:val="single" w:sz="8"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Pr>
                <w:rFonts w:ascii="Calibri" w:hAnsi="Calibri"/>
              </w:rPr>
              <w:t>200,686,161</w:t>
            </w:r>
          </w:p>
        </w:tc>
        <w:tc>
          <w:tcPr>
            <w:tcW w:w="1685" w:type="dxa"/>
            <w:tcBorders>
              <w:top w:val="nil"/>
              <w:left w:val="nil"/>
              <w:bottom w:val="single" w:sz="8"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Pr>
                <w:rFonts w:ascii="Calibri" w:hAnsi="Calibri"/>
              </w:rPr>
              <w:t>35,011,337</w:t>
            </w:r>
          </w:p>
        </w:tc>
        <w:tc>
          <w:tcPr>
            <w:tcW w:w="1726"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Pr>
                <w:rFonts w:ascii="Calibri" w:hAnsi="Calibri"/>
              </w:rPr>
              <w:t>235,697,498</w:t>
            </w:r>
          </w:p>
        </w:tc>
      </w:tr>
      <w:tr w:rsidR="00311D99" w:rsidRPr="00311D99" w:rsidTr="00311D99">
        <w:trPr>
          <w:trHeight w:val="651"/>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311D99" w:rsidRPr="00311D99" w:rsidRDefault="00311D99" w:rsidP="00311D99">
            <w:pPr>
              <w:jc w:val="center"/>
              <w:rPr>
                <w:rFonts w:ascii="Calibri" w:hAnsi="Calibri" w:cs="Arial"/>
                <w:b/>
                <w:bCs/>
              </w:rPr>
            </w:pPr>
            <w:r>
              <w:rPr>
                <w:rFonts w:ascii="Calibri" w:hAnsi="Calibri"/>
                <w:b/>
                <w:bCs/>
              </w:rPr>
              <w:t>13</w:t>
            </w:r>
          </w:p>
        </w:tc>
        <w:tc>
          <w:tcPr>
            <w:tcW w:w="3120" w:type="dxa"/>
            <w:tcBorders>
              <w:top w:val="single" w:sz="4" w:space="0" w:color="auto"/>
              <w:left w:val="nil"/>
              <w:bottom w:val="single" w:sz="4" w:space="0" w:color="auto"/>
              <w:right w:val="single" w:sz="4" w:space="0" w:color="auto"/>
            </w:tcBorders>
            <w:shd w:val="clear" w:color="auto" w:fill="auto"/>
            <w:vAlign w:val="center"/>
            <w:hideMark/>
          </w:tcPr>
          <w:p w:rsidR="00311D99" w:rsidRPr="003964D3" w:rsidRDefault="00311D99" w:rsidP="00311D99">
            <w:pPr>
              <w:jc w:val="both"/>
              <w:rPr>
                <w:rFonts w:ascii="Calibri" w:hAnsi="Calibri" w:cs="Arial"/>
              </w:rPr>
            </w:pPr>
            <w:r>
              <w:rPr>
                <w:rFonts w:ascii="Calibri" w:hAnsi="Calibri"/>
              </w:rPr>
              <w:t>Payments for areas facing natural restrictions or other specific restrictions</w:t>
            </w: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Pr>
                <w:rFonts w:ascii="Calibri" w:hAnsi="Calibri"/>
              </w:rPr>
              <w:t>1,150,796,418</w:t>
            </w:r>
          </w:p>
        </w:tc>
        <w:tc>
          <w:tcPr>
            <w:tcW w:w="1685" w:type="dxa"/>
            <w:tcBorders>
              <w:top w:val="single" w:sz="4" w:space="0" w:color="auto"/>
              <w:left w:val="nil"/>
              <w:bottom w:val="single" w:sz="4"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Pr>
                <w:rFonts w:ascii="Calibri" w:hAnsi="Calibri"/>
              </w:rPr>
              <w:t>166,798,226</w:t>
            </w:r>
          </w:p>
        </w:tc>
        <w:tc>
          <w:tcPr>
            <w:tcW w:w="1726"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Pr>
                <w:rFonts w:ascii="Calibri" w:hAnsi="Calibri"/>
              </w:rPr>
              <w:t>1,317,594,644</w:t>
            </w:r>
          </w:p>
        </w:tc>
      </w:tr>
      <w:tr w:rsidR="00311D99" w:rsidRPr="00311D99" w:rsidTr="00311D99">
        <w:trPr>
          <w:trHeight w:val="514"/>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311D99" w:rsidRPr="00311D99" w:rsidRDefault="00311D99" w:rsidP="00311D99">
            <w:pPr>
              <w:jc w:val="center"/>
              <w:rPr>
                <w:rFonts w:ascii="Calibri" w:hAnsi="Calibri" w:cs="Arial"/>
                <w:b/>
                <w:bCs/>
              </w:rPr>
            </w:pPr>
            <w:r>
              <w:rPr>
                <w:rFonts w:ascii="Calibri" w:hAnsi="Calibri"/>
                <w:b/>
                <w:bCs/>
              </w:rPr>
              <w:t>14</w:t>
            </w:r>
          </w:p>
        </w:tc>
        <w:tc>
          <w:tcPr>
            <w:tcW w:w="3120" w:type="dxa"/>
            <w:tcBorders>
              <w:top w:val="single" w:sz="4" w:space="0" w:color="auto"/>
              <w:left w:val="nil"/>
              <w:bottom w:val="single" w:sz="4" w:space="0" w:color="auto"/>
              <w:right w:val="single" w:sz="4" w:space="0" w:color="auto"/>
            </w:tcBorders>
            <w:shd w:val="clear" w:color="auto" w:fill="auto"/>
            <w:vAlign w:val="center"/>
            <w:hideMark/>
          </w:tcPr>
          <w:p w:rsidR="00311D99" w:rsidRPr="00311D99" w:rsidRDefault="00311D99" w:rsidP="00311D99">
            <w:pPr>
              <w:jc w:val="both"/>
              <w:rPr>
                <w:rFonts w:ascii="Calibri" w:hAnsi="Calibri" w:cs="Arial"/>
              </w:rPr>
            </w:pPr>
            <w:r>
              <w:rPr>
                <w:rFonts w:ascii="Calibri" w:hAnsi="Calibri"/>
              </w:rPr>
              <w:t>Animal welfare</w:t>
            </w:r>
          </w:p>
        </w:tc>
        <w:tc>
          <w:tcPr>
            <w:tcW w:w="1726"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Pr>
                <w:rFonts w:ascii="Calibri" w:hAnsi="Calibri"/>
              </w:rPr>
              <w:t>687,938,706</w:t>
            </w:r>
          </w:p>
        </w:tc>
        <w:tc>
          <w:tcPr>
            <w:tcW w:w="1685"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Pr>
                <w:rFonts w:ascii="Calibri" w:hAnsi="Calibri"/>
              </w:rPr>
              <w:t>88,522,854</w:t>
            </w:r>
          </w:p>
        </w:tc>
        <w:tc>
          <w:tcPr>
            <w:tcW w:w="1726"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Pr>
                <w:rFonts w:ascii="Calibri" w:hAnsi="Calibri"/>
              </w:rPr>
              <w:t>776,461,560</w:t>
            </w:r>
          </w:p>
        </w:tc>
      </w:tr>
      <w:tr w:rsidR="00311D99" w:rsidRPr="00311D99" w:rsidTr="00311D99">
        <w:trPr>
          <w:trHeight w:val="562"/>
        </w:trPr>
        <w:tc>
          <w:tcPr>
            <w:tcW w:w="1264" w:type="dxa"/>
            <w:tcBorders>
              <w:top w:val="nil"/>
              <w:left w:val="single" w:sz="4" w:space="0" w:color="auto"/>
              <w:bottom w:val="single" w:sz="4" w:space="0" w:color="auto"/>
              <w:right w:val="single" w:sz="4" w:space="0" w:color="auto"/>
            </w:tcBorders>
            <w:shd w:val="clear" w:color="auto" w:fill="auto"/>
            <w:vAlign w:val="center"/>
            <w:hideMark/>
          </w:tcPr>
          <w:p w:rsidR="00311D99" w:rsidRPr="00311D99" w:rsidRDefault="00311D99" w:rsidP="00311D99">
            <w:pPr>
              <w:jc w:val="center"/>
              <w:rPr>
                <w:rFonts w:ascii="Calibri" w:hAnsi="Calibri" w:cs="Arial"/>
                <w:b/>
                <w:bCs/>
              </w:rPr>
            </w:pPr>
            <w:r>
              <w:rPr>
                <w:rFonts w:ascii="Calibri" w:hAnsi="Calibri"/>
                <w:b/>
                <w:bCs/>
              </w:rPr>
              <w:t>15</w:t>
            </w:r>
          </w:p>
        </w:tc>
        <w:tc>
          <w:tcPr>
            <w:tcW w:w="3120" w:type="dxa"/>
            <w:tcBorders>
              <w:top w:val="single" w:sz="4" w:space="0" w:color="auto"/>
              <w:left w:val="nil"/>
              <w:bottom w:val="single" w:sz="4" w:space="0" w:color="auto"/>
              <w:right w:val="single" w:sz="4" w:space="0" w:color="000000"/>
            </w:tcBorders>
            <w:shd w:val="clear" w:color="auto" w:fill="auto"/>
            <w:vAlign w:val="center"/>
            <w:hideMark/>
          </w:tcPr>
          <w:p w:rsidR="00311D99" w:rsidRPr="00311D99" w:rsidRDefault="00311D99" w:rsidP="00311D99">
            <w:pPr>
              <w:jc w:val="both"/>
              <w:rPr>
                <w:rFonts w:ascii="Calibri" w:hAnsi="Calibri" w:cs="Arial"/>
              </w:rPr>
            </w:pPr>
            <w:r>
              <w:rPr>
                <w:rFonts w:ascii="Calibri" w:hAnsi="Calibri"/>
              </w:rPr>
              <w:t xml:space="preserve">Forestry and environment services, climate services and wood preservation </w:t>
            </w:r>
          </w:p>
        </w:tc>
        <w:tc>
          <w:tcPr>
            <w:tcW w:w="1726"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Pr>
                <w:rFonts w:ascii="Calibri" w:hAnsi="Calibri"/>
              </w:rPr>
              <w:t>58,415,000</w:t>
            </w:r>
          </w:p>
        </w:tc>
        <w:tc>
          <w:tcPr>
            <w:tcW w:w="1685"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Pr>
                <w:rFonts w:ascii="Calibri" w:hAnsi="Calibri"/>
              </w:rPr>
              <w:t>11,732,754</w:t>
            </w:r>
          </w:p>
        </w:tc>
        <w:tc>
          <w:tcPr>
            <w:tcW w:w="1726"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Pr>
                <w:rFonts w:ascii="Calibri" w:hAnsi="Calibri"/>
              </w:rPr>
              <w:t>70,147,754</w:t>
            </w:r>
          </w:p>
        </w:tc>
      </w:tr>
      <w:tr w:rsidR="00311D99" w:rsidRPr="00311D99" w:rsidTr="00311D99">
        <w:trPr>
          <w:trHeight w:val="423"/>
        </w:trPr>
        <w:tc>
          <w:tcPr>
            <w:tcW w:w="1264"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rsidR="00311D99" w:rsidRPr="00311D99" w:rsidRDefault="00311D99" w:rsidP="00311D99">
            <w:pPr>
              <w:rPr>
                <w:rFonts w:ascii="Calibri" w:hAnsi="Calibri" w:cs="Calibri"/>
                <w:color w:val="000000"/>
              </w:rPr>
            </w:pPr>
            <w:r>
              <w:rPr>
                <w:rFonts w:ascii="Calibri" w:hAnsi="Calibri"/>
                <w:color w:val="000000"/>
              </w:rPr>
              <w:t> </w:t>
            </w:r>
          </w:p>
        </w:tc>
        <w:tc>
          <w:tcPr>
            <w:tcW w:w="3120" w:type="dxa"/>
            <w:tcBorders>
              <w:top w:val="single" w:sz="4" w:space="0" w:color="auto"/>
              <w:left w:val="nil"/>
              <w:bottom w:val="single" w:sz="4" w:space="0" w:color="auto"/>
              <w:right w:val="single" w:sz="4" w:space="0" w:color="000000"/>
            </w:tcBorders>
            <w:shd w:val="clear" w:color="auto" w:fill="BDD6EE" w:themeFill="accent1" w:themeFillTint="66"/>
            <w:vAlign w:val="bottom"/>
            <w:hideMark/>
          </w:tcPr>
          <w:p w:rsidR="00311D99" w:rsidRPr="00311D99" w:rsidRDefault="00311D99" w:rsidP="00311D99">
            <w:pPr>
              <w:jc w:val="both"/>
              <w:rPr>
                <w:rFonts w:ascii="Calibri" w:hAnsi="Calibri" w:cs="Calibri"/>
                <w:b/>
                <w:bCs/>
                <w:color w:val="000000"/>
              </w:rPr>
            </w:pPr>
            <w:r>
              <w:rPr>
                <w:rFonts w:ascii="Calibri" w:hAnsi="Calibri"/>
                <w:b/>
                <w:bCs/>
                <w:color w:val="000000"/>
              </w:rPr>
              <w:t>TOTAL</w:t>
            </w:r>
          </w:p>
        </w:tc>
        <w:tc>
          <w:tcPr>
            <w:tcW w:w="1726" w:type="dxa"/>
            <w:tcBorders>
              <w:top w:val="nil"/>
              <w:left w:val="nil"/>
              <w:bottom w:val="single" w:sz="4" w:space="0" w:color="auto"/>
              <w:right w:val="single" w:sz="4" w:space="0" w:color="auto"/>
            </w:tcBorders>
            <w:shd w:val="clear" w:color="auto" w:fill="BDD6EE" w:themeFill="accent1" w:themeFillTint="66"/>
            <w:noWrap/>
            <w:vAlign w:val="center"/>
            <w:hideMark/>
          </w:tcPr>
          <w:p w:rsidR="00311D99" w:rsidRPr="00311D99" w:rsidRDefault="00311D99" w:rsidP="00311D99">
            <w:pPr>
              <w:jc w:val="center"/>
              <w:rPr>
                <w:rFonts w:ascii="Calibri" w:hAnsi="Calibri" w:cs="Arial"/>
                <w:b/>
                <w:bCs/>
              </w:rPr>
            </w:pPr>
            <w:r>
              <w:rPr>
                <w:rFonts w:ascii="Calibri" w:hAnsi="Calibri"/>
                <w:b/>
                <w:bCs/>
              </w:rPr>
              <w:t>3,113,496,361</w:t>
            </w:r>
          </w:p>
        </w:tc>
        <w:tc>
          <w:tcPr>
            <w:tcW w:w="1685" w:type="dxa"/>
            <w:tcBorders>
              <w:top w:val="nil"/>
              <w:left w:val="nil"/>
              <w:bottom w:val="single" w:sz="4" w:space="0" w:color="auto"/>
              <w:right w:val="single" w:sz="4" w:space="0" w:color="auto"/>
            </w:tcBorders>
            <w:shd w:val="clear" w:color="auto" w:fill="BDD6EE" w:themeFill="accent1" w:themeFillTint="66"/>
            <w:noWrap/>
            <w:vAlign w:val="center"/>
            <w:hideMark/>
          </w:tcPr>
          <w:p w:rsidR="00311D99" w:rsidRPr="00311D99" w:rsidRDefault="00311D99" w:rsidP="00311D99">
            <w:pPr>
              <w:jc w:val="center"/>
              <w:rPr>
                <w:rFonts w:ascii="Calibri" w:hAnsi="Calibri" w:cs="Arial"/>
                <w:b/>
                <w:bCs/>
              </w:rPr>
            </w:pPr>
            <w:r>
              <w:rPr>
                <w:rFonts w:ascii="Calibri" w:hAnsi="Calibri"/>
                <w:b/>
                <w:bCs/>
              </w:rPr>
              <w:t>482,203,712</w:t>
            </w:r>
          </w:p>
        </w:tc>
        <w:tc>
          <w:tcPr>
            <w:tcW w:w="1726" w:type="dxa"/>
            <w:tcBorders>
              <w:top w:val="nil"/>
              <w:left w:val="nil"/>
              <w:bottom w:val="single" w:sz="4" w:space="0" w:color="auto"/>
              <w:right w:val="single" w:sz="4" w:space="0" w:color="auto"/>
            </w:tcBorders>
            <w:shd w:val="clear" w:color="auto" w:fill="BDD6EE" w:themeFill="accent1" w:themeFillTint="66"/>
            <w:noWrap/>
            <w:vAlign w:val="center"/>
            <w:hideMark/>
          </w:tcPr>
          <w:p w:rsidR="00311D99" w:rsidRPr="00311D99" w:rsidRDefault="00311D99" w:rsidP="00311D99">
            <w:pPr>
              <w:jc w:val="center"/>
              <w:rPr>
                <w:rFonts w:ascii="Calibri" w:hAnsi="Calibri" w:cs="Arial"/>
                <w:b/>
                <w:bCs/>
              </w:rPr>
            </w:pPr>
            <w:r>
              <w:rPr>
                <w:rFonts w:ascii="Calibri" w:hAnsi="Calibri"/>
                <w:b/>
                <w:bCs/>
              </w:rPr>
              <w:t>3,595,700,073</w:t>
            </w:r>
          </w:p>
        </w:tc>
      </w:tr>
    </w:tbl>
    <w:p w:rsidR="00311D99" w:rsidRPr="00311D99" w:rsidRDefault="00311D99" w:rsidP="00311D99">
      <w:pPr>
        <w:spacing w:after="160" w:line="252" w:lineRule="auto"/>
        <w:contextualSpacing/>
        <w:jc w:val="both"/>
        <w:rPr>
          <w:rFonts w:ascii="Calibri" w:hAnsi="Calibri" w:cs="Arial"/>
          <w:b/>
          <w:bCs/>
          <w:color w:val="000000"/>
        </w:rPr>
      </w:pPr>
    </w:p>
    <w:p w:rsidR="00311D99" w:rsidRPr="00311D99" w:rsidRDefault="00311D99" w:rsidP="00311D99">
      <w:pPr>
        <w:spacing w:after="160" w:line="252" w:lineRule="auto"/>
        <w:contextualSpacing/>
        <w:jc w:val="both"/>
        <w:rPr>
          <w:rFonts w:ascii="Calibri" w:hAnsi="Calibri"/>
          <w:b/>
          <w:bCs/>
        </w:rPr>
      </w:pPr>
    </w:p>
    <w:p w:rsidR="00311D99" w:rsidRPr="00311D99" w:rsidRDefault="00311D99" w:rsidP="00311D99">
      <w:pPr>
        <w:spacing w:after="160" w:line="252" w:lineRule="auto"/>
        <w:jc w:val="both"/>
        <w:rPr>
          <w:rFonts w:ascii="Calibri" w:hAnsi="Calibri"/>
          <w:bCs/>
        </w:rPr>
      </w:pPr>
      <w:r>
        <w:rPr>
          <w:rFonts w:ascii="Calibri" w:hAnsi="Calibri"/>
          <w:bCs/>
        </w:rPr>
        <w:t xml:space="preserve">*The ceilings allocated are compliant with the </w:t>
      </w:r>
      <w:r>
        <w:rPr>
          <w:rFonts w:ascii="Calibri" w:hAnsi="Calibri"/>
          <w:b/>
          <w:bCs/>
        </w:rPr>
        <w:t>National Rural Development Program for 2014-2020 - version 6.1</w:t>
      </w:r>
      <w:r>
        <w:rPr>
          <w:rFonts w:ascii="Calibri" w:hAnsi="Calibri"/>
          <w:bCs/>
        </w:rPr>
        <w:t xml:space="preserve">, officially sent by the European Commission for analysis and approval on June 18, 2018. </w:t>
      </w:r>
    </w:p>
    <w:p w:rsidR="00311D99" w:rsidRPr="00311D99" w:rsidRDefault="00311D99" w:rsidP="00311D99">
      <w:pPr>
        <w:spacing w:after="160" w:line="252" w:lineRule="auto"/>
        <w:contextualSpacing/>
        <w:jc w:val="both"/>
        <w:rPr>
          <w:rFonts w:ascii="Calibri" w:hAnsi="Calibri"/>
          <w:bCs/>
        </w:rPr>
      </w:pPr>
      <w:r>
        <w:rPr>
          <w:rFonts w:ascii="Calibri" w:hAnsi="Calibri"/>
        </w:rPr>
        <w:t xml:space="preserve">From the financial allocation of 3.59 billion EUR, APIA requested through the annual declarations for financial years 2016, 2017, respectively the expenditure declarations corresponding to the period October 16, 2017 - December 31, 2017, and January 1, 2018 - June 30, 2018, the amount of </w:t>
      </w:r>
      <w:r>
        <w:rPr>
          <w:rFonts w:ascii="Calibri" w:hAnsi="Calibri"/>
          <w:b/>
        </w:rPr>
        <w:t>1.341 billion EUR.</w:t>
      </w:r>
    </w:p>
    <w:p w:rsidR="00311D99" w:rsidRPr="00311D99" w:rsidRDefault="00311D99" w:rsidP="00311D99">
      <w:pPr>
        <w:spacing w:after="160" w:line="252" w:lineRule="auto"/>
        <w:contextualSpacing/>
        <w:jc w:val="both"/>
        <w:rPr>
          <w:rFonts w:ascii="Calibri" w:hAnsi="Calibri"/>
          <w:bCs/>
        </w:rPr>
      </w:pPr>
    </w:p>
    <w:tbl>
      <w:tblPr>
        <w:tblW w:w="9639" w:type="dxa"/>
        <w:tblInd w:w="279" w:type="dxa"/>
        <w:tblLook w:val="04A0" w:firstRow="1" w:lastRow="0" w:firstColumn="1" w:lastColumn="0" w:noHBand="0" w:noVBand="1"/>
      </w:tblPr>
      <w:tblGrid>
        <w:gridCol w:w="2525"/>
        <w:gridCol w:w="3505"/>
        <w:gridCol w:w="3609"/>
      </w:tblGrid>
      <w:tr w:rsidR="00311D99" w:rsidRPr="00311D99" w:rsidTr="00311D99">
        <w:trPr>
          <w:trHeight w:val="529"/>
        </w:trPr>
        <w:tc>
          <w:tcPr>
            <w:tcW w:w="2525" w:type="dxa"/>
            <w:tcBorders>
              <w:top w:val="single" w:sz="8" w:space="0" w:color="auto"/>
              <w:left w:val="single" w:sz="4" w:space="0" w:color="auto"/>
              <w:bottom w:val="single" w:sz="4" w:space="0" w:color="auto"/>
              <w:right w:val="single" w:sz="4" w:space="0" w:color="auto"/>
            </w:tcBorders>
            <w:shd w:val="clear" w:color="auto" w:fill="BDD6EE" w:themeFill="accent1" w:themeFillTint="66"/>
            <w:vAlign w:val="center"/>
            <w:hideMark/>
          </w:tcPr>
          <w:p w:rsidR="00311D99" w:rsidRPr="00311D99" w:rsidRDefault="00311D99" w:rsidP="00311D99">
            <w:pPr>
              <w:jc w:val="center"/>
              <w:rPr>
                <w:rFonts w:ascii="Calibri" w:hAnsi="Calibri" w:cs="Arial"/>
                <w:b/>
                <w:bCs/>
              </w:rPr>
            </w:pPr>
            <w:r>
              <w:rPr>
                <w:rFonts w:ascii="Calibri" w:hAnsi="Calibri"/>
                <w:b/>
                <w:bCs/>
              </w:rPr>
              <w:t>Financial year</w:t>
            </w:r>
          </w:p>
        </w:tc>
        <w:tc>
          <w:tcPr>
            <w:tcW w:w="3505" w:type="dxa"/>
            <w:tcBorders>
              <w:top w:val="single" w:sz="8" w:space="0" w:color="auto"/>
              <w:left w:val="nil"/>
              <w:bottom w:val="single" w:sz="4" w:space="0" w:color="auto"/>
              <w:right w:val="single" w:sz="4" w:space="0" w:color="auto"/>
            </w:tcBorders>
            <w:shd w:val="clear" w:color="auto" w:fill="BDD6EE" w:themeFill="accent1" w:themeFillTint="66"/>
            <w:vAlign w:val="center"/>
            <w:hideMark/>
          </w:tcPr>
          <w:p w:rsidR="00311D99" w:rsidRPr="00311D99" w:rsidRDefault="00311D99" w:rsidP="00311D99">
            <w:pPr>
              <w:jc w:val="center"/>
              <w:rPr>
                <w:rFonts w:ascii="Calibri" w:hAnsi="Calibri" w:cs="Arial"/>
                <w:b/>
                <w:bCs/>
              </w:rPr>
            </w:pPr>
            <w:r>
              <w:rPr>
                <w:rFonts w:ascii="Calibri" w:hAnsi="Calibri"/>
                <w:b/>
                <w:bCs/>
              </w:rPr>
              <w:t xml:space="preserve">PNDR </w:t>
            </w:r>
          </w:p>
          <w:p w:rsidR="00311D99" w:rsidRPr="00311D99" w:rsidRDefault="00311D99" w:rsidP="00311D99">
            <w:pPr>
              <w:jc w:val="center"/>
              <w:rPr>
                <w:rFonts w:ascii="Calibri" w:hAnsi="Calibri" w:cs="Arial"/>
                <w:b/>
                <w:bCs/>
              </w:rPr>
            </w:pPr>
            <w:r>
              <w:rPr>
                <w:rFonts w:ascii="Calibri" w:hAnsi="Calibri"/>
                <w:b/>
                <w:bCs/>
              </w:rPr>
              <w:t>2007 – 2013 (EUR)</w:t>
            </w:r>
          </w:p>
        </w:tc>
        <w:tc>
          <w:tcPr>
            <w:tcW w:w="3609" w:type="dxa"/>
            <w:tcBorders>
              <w:top w:val="single" w:sz="8" w:space="0" w:color="auto"/>
              <w:left w:val="nil"/>
              <w:bottom w:val="single" w:sz="4" w:space="0" w:color="auto"/>
              <w:right w:val="single" w:sz="4" w:space="0" w:color="auto"/>
            </w:tcBorders>
            <w:shd w:val="clear" w:color="auto" w:fill="BDD6EE" w:themeFill="accent1" w:themeFillTint="66"/>
            <w:vAlign w:val="center"/>
            <w:hideMark/>
          </w:tcPr>
          <w:p w:rsidR="00311D99" w:rsidRPr="00311D99" w:rsidRDefault="00311D99" w:rsidP="00311D99">
            <w:pPr>
              <w:jc w:val="center"/>
              <w:rPr>
                <w:rFonts w:ascii="Calibri" w:hAnsi="Calibri" w:cs="Arial"/>
                <w:b/>
                <w:bCs/>
              </w:rPr>
            </w:pPr>
            <w:r>
              <w:rPr>
                <w:rFonts w:ascii="Calibri" w:hAnsi="Calibri"/>
                <w:b/>
                <w:bCs/>
              </w:rPr>
              <w:t xml:space="preserve">PNDR </w:t>
            </w:r>
          </w:p>
          <w:p w:rsidR="00311D99" w:rsidRPr="00311D99" w:rsidRDefault="00311D99" w:rsidP="00311D99">
            <w:pPr>
              <w:jc w:val="center"/>
              <w:rPr>
                <w:rFonts w:ascii="Calibri" w:hAnsi="Calibri" w:cs="Arial"/>
                <w:b/>
                <w:bCs/>
              </w:rPr>
            </w:pPr>
            <w:r>
              <w:rPr>
                <w:rFonts w:ascii="Calibri" w:hAnsi="Calibri"/>
                <w:b/>
                <w:bCs/>
              </w:rPr>
              <w:t>2014 – 2020 (EUR)</w:t>
            </w:r>
          </w:p>
        </w:tc>
      </w:tr>
      <w:tr w:rsidR="00311D99" w:rsidRPr="00311D99" w:rsidTr="00311D99">
        <w:trPr>
          <w:trHeight w:val="680"/>
        </w:trPr>
        <w:tc>
          <w:tcPr>
            <w:tcW w:w="2525" w:type="dxa"/>
            <w:tcBorders>
              <w:top w:val="nil"/>
              <w:left w:val="single" w:sz="4" w:space="0" w:color="auto"/>
              <w:bottom w:val="single" w:sz="4" w:space="0" w:color="auto"/>
              <w:right w:val="single" w:sz="4" w:space="0" w:color="auto"/>
            </w:tcBorders>
            <w:shd w:val="clear" w:color="auto" w:fill="auto"/>
            <w:vAlign w:val="center"/>
            <w:hideMark/>
          </w:tcPr>
          <w:p w:rsidR="00311D99" w:rsidRPr="00311D99" w:rsidRDefault="00311D99" w:rsidP="00311D99">
            <w:pPr>
              <w:jc w:val="center"/>
              <w:rPr>
                <w:rFonts w:ascii="Calibri" w:hAnsi="Calibri" w:cs="Arial"/>
                <w:b/>
                <w:bCs/>
              </w:rPr>
            </w:pPr>
            <w:r>
              <w:rPr>
                <w:rFonts w:ascii="Calibri" w:hAnsi="Calibri"/>
                <w:b/>
                <w:bCs/>
              </w:rPr>
              <w:t>2016</w:t>
            </w:r>
          </w:p>
        </w:tc>
        <w:tc>
          <w:tcPr>
            <w:tcW w:w="3505" w:type="dxa"/>
            <w:tcBorders>
              <w:top w:val="single" w:sz="4" w:space="0" w:color="auto"/>
              <w:left w:val="nil"/>
              <w:bottom w:val="single" w:sz="4" w:space="0" w:color="auto"/>
              <w:right w:val="single" w:sz="4" w:space="0" w:color="auto"/>
            </w:tcBorders>
            <w:shd w:val="clear" w:color="auto" w:fill="auto"/>
            <w:vAlign w:val="center"/>
            <w:hideMark/>
          </w:tcPr>
          <w:p w:rsidR="00311D99" w:rsidRPr="00311D99" w:rsidRDefault="00311D99" w:rsidP="00311D99">
            <w:pPr>
              <w:jc w:val="center"/>
              <w:rPr>
                <w:rFonts w:ascii="Calibri" w:hAnsi="Calibri" w:cs="Arial"/>
              </w:rPr>
            </w:pPr>
            <w:r>
              <w:rPr>
                <w:rFonts w:ascii="Calibri" w:hAnsi="Calibri"/>
              </w:rPr>
              <w:t>97,588,061.91</w:t>
            </w:r>
          </w:p>
        </w:tc>
        <w:tc>
          <w:tcPr>
            <w:tcW w:w="3609" w:type="dxa"/>
            <w:tcBorders>
              <w:top w:val="nil"/>
              <w:left w:val="nil"/>
              <w:bottom w:val="single" w:sz="8"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Pr>
                <w:rFonts w:ascii="Calibri" w:hAnsi="Calibri"/>
              </w:rPr>
              <w:t>338,787,633.67</w:t>
            </w:r>
          </w:p>
        </w:tc>
      </w:tr>
      <w:tr w:rsidR="00311D99" w:rsidRPr="00311D99" w:rsidTr="00311D99">
        <w:trPr>
          <w:trHeight w:val="318"/>
        </w:trPr>
        <w:tc>
          <w:tcPr>
            <w:tcW w:w="2525" w:type="dxa"/>
            <w:tcBorders>
              <w:top w:val="nil"/>
              <w:left w:val="single" w:sz="4" w:space="0" w:color="auto"/>
              <w:bottom w:val="single" w:sz="4" w:space="0" w:color="auto"/>
              <w:right w:val="single" w:sz="4" w:space="0" w:color="auto"/>
            </w:tcBorders>
            <w:shd w:val="clear" w:color="auto" w:fill="auto"/>
            <w:vAlign w:val="center"/>
            <w:hideMark/>
          </w:tcPr>
          <w:p w:rsidR="00311D99" w:rsidRPr="00311D99" w:rsidRDefault="00311D99" w:rsidP="00311D99">
            <w:pPr>
              <w:jc w:val="center"/>
              <w:rPr>
                <w:rFonts w:ascii="Calibri" w:hAnsi="Calibri" w:cs="Arial"/>
                <w:b/>
                <w:bCs/>
              </w:rPr>
            </w:pPr>
            <w:r>
              <w:rPr>
                <w:rFonts w:ascii="Calibri" w:hAnsi="Calibri"/>
                <w:b/>
                <w:bCs/>
              </w:rPr>
              <w:t>2017</w:t>
            </w:r>
          </w:p>
        </w:tc>
        <w:tc>
          <w:tcPr>
            <w:tcW w:w="3505" w:type="dxa"/>
            <w:tcBorders>
              <w:top w:val="single" w:sz="4" w:space="0" w:color="auto"/>
              <w:left w:val="nil"/>
              <w:bottom w:val="single" w:sz="4" w:space="0" w:color="auto"/>
              <w:right w:val="single" w:sz="4" w:space="0" w:color="auto"/>
            </w:tcBorders>
            <w:shd w:val="clear" w:color="auto" w:fill="DEEAF6" w:themeFill="accent1" w:themeFillTint="33"/>
            <w:vAlign w:val="center"/>
          </w:tcPr>
          <w:p w:rsidR="00311D99" w:rsidRPr="00311D99" w:rsidRDefault="00311D99" w:rsidP="00311D99">
            <w:pPr>
              <w:jc w:val="both"/>
              <w:rPr>
                <w:rFonts w:ascii="Calibri" w:hAnsi="Calibri" w:cs="Arial"/>
              </w:rPr>
            </w:pPr>
          </w:p>
        </w:tc>
        <w:tc>
          <w:tcPr>
            <w:tcW w:w="3609" w:type="dxa"/>
            <w:tcBorders>
              <w:top w:val="single" w:sz="4" w:space="0" w:color="auto"/>
              <w:left w:val="nil"/>
              <w:bottom w:val="single" w:sz="4"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Pr>
                <w:rFonts w:ascii="Calibri" w:hAnsi="Calibri"/>
              </w:rPr>
              <w:t>513,783,019.10</w:t>
            </w:r>
          </w:p>
        </w:tc>
      </w:tr>
      <w:tr w:rsidR="00311D99" w:rsidRPr="00311D99" w:rsidTr="00311D99">
        <w:trPr>
          <w:trHeight w:val="333"/>
        </w:trPr>
        <w:tc>
          <w:tcPr>
            <w:tcW w:w="2525" w:type="dxa"/>
            <w:tcBorders>
              <w:top w:val="nil"/>
              <w:left w:val="single" w:sz="4" w:space="0" w:color="auto"/>
              <w:bottom w:val="single" w:sz="4" w:space="0" w:color="auto"/>
              <w:right w:val="single" w:sz="4" w:space="0" w:color="auto"/>
            </w:tcBorders>
            <w:shd w:val="clear" w:color="auto" w:fill="auto"/>
            <w:vAlign w:val="center"/>
            <w:hideMark/>
          </w:tcPr>
          <w:p w:rsidR="00311D99" w:rsidRPr="00311D99" w:rsidRDefault="00311D99" w:rsidP="00311D99">
            <w:pPr>
              <w:jc w:val="center"/>
              <w:rPr>
                <w:rFonts w:ascii="Calibri" w:hAnsi="Calibri" w:cs="Arial"/>
                <w:b/>
                <w:bCs/>
              </w:rPr>
            </w:pPr>
            <w:r>
              <w:rPr>
                <w:rFonts w:ascii="Calibri" w:hAnsi="Calibri"/>
                <w:b/>
                <w:bCs/>
              </w:rPr>
              <w:t>2018</w:t>
            </w:r>
          </w:p>
        </w:tc>
        <w:tc>
          <w:tcPr>
            <w:tcW w:w="3505" w:type="dxa"/>
            <w:tcBorders>
              <w:top w:val="single" w:sz="4" w:space="0" w:color="auto"/>
              <w:left w:val="nil"/>
              <w:bottom w:val="single" w:sz="8" w:space="0" w:color="auto"/>
              <w:right w:val="single" w:sz="4" w:space="0" w:color="auto"/>
            </w:tcBorders>
            <w:shd w:val="clear" w:color="auto" w:fill="DEEAF6" w:themeFill="accent1" w:themeFillTint="33"/>
            <w:vAlign w:val="center"/>
          </w:tcPr>
          <w:p w:rsidR="00311D99" w:rsidRPr="00311D99" w:rsidRDefault="00311D99" w:rsidP="00311D99">
            <w:pPr>
              <w:jc w:val="both"/>
              <w:rPr>
                <w:rFonts w:ascii="Calibri" w:hAnsi="Calibri" w:cs="Arial"/>
              </w:rPr>
            </w:pPr>
          </w:p>
        </w:tc>
        <w:tc>
          <w:tcPr>
            <w:tcW w:w="3609" w:type="dxa"/>
            <w:tcBorders>
              <w:top w:val="nil"/>
              <w:left w:val="nil"/>
              <w:bottom w:val="single" w:sz="8"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Pr>
                <w:rFonts w:ascii="Calibri" w:hAnsi="Calibri"/>
              </w:rPr>
              <w:t>488,959,731.10</w:t>
            </w:r>
          </w:p>
        </w:tc>
      </w:tr>
      <w:tr w:rsidR="00311D99" w:rsidRPr="00311D99" w:rsidTr="00311D99">
        <w:trPr>
          <w:trHeight w:val="486"/>
        </w:trPr>
        <w:tc>
          <w:tcPr>
            <w:tcW w:w="2525" w:type="dxa"/>
            <w:tcBorders>
              <w:top w:val="nil"/>
              <w:left w:val="single" w:sz="4" w:space="0" w:color="auto"/>
              <w:bottom w:val="single" w:sz="4" w:space="0" w:color="auto"/>
              <w:right w:val="single" w:sz="4" w:space="0" w:color="auto"/>
            </w:tcBorders>
            <w:shd w:val="clear" w:color="auto" w:fill="auto"/>
            <w:vAlign w:val="center"/>
            <w:hideMark/>
          </w:tcPr>
          <w:p w:rsidR="00311D99" w:rsidRPr="00311D99" w:rsidRDefault="00311D99" w:rsidP="00311D99">
            <w:pPr>
              <w:jc w:val="center"/>
              <w:rPr>
                <w:rFonts w:ascii="Calibri" w:hAnsi="Calibri" w:cs="Arial"/>
                <w:b/>
                <w:bCs/>
              </w:rPr>
            </w:pPr>
            <w:r>
              <w:rPr>
                <w:rFonts w:ascii="Calibri" w:hAnsi="Calibri"/>
                <w:b/>
                <w:bCs/>
              </w:rPr>
              <w:t>TOTAL</w:t>
            </w:r>
          </w:p>
        </w:tc>
        <w:tc>
          <w:tcPr>
            <w:tcW w:w="3505" w:type="dxa"/>
            <w:tcBorders>
              <w:top w:val="single" w:sz="4" w:space="0" w:color="auto"/>
              <w:left w:val="nil"/>
              <w:bottom w:val="single" w:sz="4" w:space="0" w:color="auto"/>
              <w:right w:val="single" w:sz="4" w:space="0" w:color="auto"/>
            </w:tcBorders>
            <w:shd w:val="clear" w:color="auto" w:fill="auto"/>
            <w:vAlign w:val="center"/>
            <w:hideMark/>
          </w:tcPr>
          <w:p w:rsidR="00311D99" w:rsidRPr="00311D99" w:rsidRDefault="00311D99" w:rsidP="00311D99">
            <w:pPr>
              <w:jc w:val="center"/>
              <w:rPr>
                <w:rFonts w:ascii="Calibri" w:hAnsi="Calibri" w:cs="Arial"/>
                <w:b/>
              </w:rPr>
            </w:pPr>
            <w:r>
              <w:rPr>
                <w:rFonts w:ascii="Calibri" w:hAnsi="Calibri"/>
                <w:b/>
              </w:rPr>
              <w:t>97,588,061.91</w:t>
            </w:r>
          </w:p>
        </w:tc>
        <w:tc>
          <w:tcPr>
            <w:tcW w:w="3609" w:type="dxa"/>
            <w:tcBorders>
              <w:top w:val="single" w:sz="4" w:space="0" w:color="auto"/>
              <w:left w:val="nil"/>
              <w:bottom w:val="single" w:sz="4"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b/>
              </w:rPr>
            </w:pPr>
            <w:r>
              <w:rPr>
                <w:rFonts w:ascii="Calibri" w:hAnsi="Calibri"/>
                <w:b/>
              </w:rPr>
              <w:t>1,341,530,383.87</w:t>
            </w:r>
          </w:p>
        </w:tc>
      </w:tr>
    </w:tbl>
    <w:p w:rsidR="00311D99" w:rsidRPr="00311D99" w:rsidRDefault="00311D99" w:rsidP="00311D99">
      <w:pPr>
        <w:ind w:right="-1"/>
        <w:jc w:val="both"/>
        <w:rPr>
          <w:rFonts w:ascii="Calibri" w:hAnsi="Calibri"/>
          <w:lang w:val="ro-RO"/>
        </w:rPr>
      </w:pPr>
    </w:p>
    <w:p w:rsidR="00311D99" w:rsidRPr="00311D99" w:rsidRDefault="00311D99" w:rsidP="00311D99">
      <w:pPr>
        <w:ind w:right="-1"/>
        <w:jc w:val="both"/>
        <w:rPr>
          <w:rFonts w:ascii="Calibri" w:hAnsi="Calibri"/>
          <w:lang w:val="ro-RO"/>
        </w:rPr>
      </w:pPr>
    </w:p>
    <w:p w:rsidR="00311D99" w:rsidRPr="00311D99" w:rsidRDefault="00311D99" w:rsidP="00311D99">
      <w:pPr>
        <w:ind w:right="-1"/>
        <w:jc w:val="both"/>
        <w:rPr>
          <w:rFonts w:ascii="Calibri" w:hAnsi="Calibri"/>
        </w:rPr>
      </w:pPr>
      <w:r>
        <w:rPr>
          <w:rFonts w:ascii="Calibri" w:hAnsi="Calibri"/>
        </w:rPr>
        <w:t>The situation broken down on measures is as follows:</w:t>
      </w:r>
    </w:p>
    <w:p w:rsidR="00311D99" w:rsidRPr="00311D99" w:rsidRDefault="00311D99" w:rsidP="00311D99">
      <w:pPr>
        <w:ind w:right="-1"/>
        <w:jc w:val="both"/>
        <w:rPr>
          <w:rFonts w:ascii="Calibri" w:hAnsi="Calibri"/>
          <w:lang w:val="ro-RO"/>
        </w:rPr>
      </w:pPr>
    </w:p>
    <w:tbl>
      <w:tblPr>
        <w:tblW w:w="9810" w:type="dxa"/>
        <w:tblInd w:w="108" w:type="dxa"/>
        <w:tblLook w:val="04A0" w:firstRow="1" w:lastRow="0" w:firstColumn="1" w:lastColumn="0" w:noHBand="0" w:noVBand="1"/>
      </w:tblPr>
      <w:tblGrid>
        <w:gridCol w:w="1098"/>
        <w:gridCol w:w="1926"/>
        <w:gridCol w:w="1807"/>
        <w:gridCol w:w="1621"/>
        <w:gridCol w:w="1754"/>
        <w:gridCol w:w="1742"/>
      </w:tblGrid>
      <w:tr w:rsidR="00311D99" w:rsidRPr="00311D99" w:rsidTr="00311D99">
        <w:trPr>
          <w:trHeight w:val="1914"/>
        </w:trPr>
        <w:tc>
          <w:tcPr>
            <w:tcW w:w="1057" w:type="dxa"/>
            <w:tcBorders>
              <w:top w:val="single" w:sz="8" w:space="0" w:color="auto"/>
              <w:left w:val="single" w:sz="4" w:space="0" w:color="auto"/>
              <w:bottom w:val="single" w:sz="4" w:space="0" w:color="auto"/>
              <w:right w:val="single" w:sz="4" w:space="0" w:color="auto"/>
            </w:tcBorders>
            <w:shd w:val="clear" w:color="auto" w:fill="BDD6EE" w:themeFill="accent1" w:themeFillTint="66"/>
            <w:vAlign w:val="center"/>
            <w:hideMark/>
          </w:tcPr>
          <w:p w:rsidR="00311D99" w:rsidRPr="00311D99" w:rsidRDefault="00311D99" w:rsidP="00311D99">
            <w:pPr>
              <w:jc w:val="center"/>
              <w:rPr>
                <w:rFonts w:ascii="Calibri" w:hAnsi="Calibri" w:cs="Arial"/>
                <w:b/>
                <w:bCs/>
              </w:rPr>
            </w:pPr>
            <w:r>
              <w:rPr>
                <w:rFonts w:ascii="Calibri" w:hAnsi="Calibri"/>
                <w:b/>
                <w:bCs/>
              </w:rPr>
              <w:t>Financial year</w:t>
            </w:r>
          </w:p>
        </w:tc>
        <w:tc>
          <w:tcPr>
            <w:tcW w:w="1859" w:type="dxa"/>
            <w:tcBorders>
              <w:top w:val="single" w:sz="8" w:space="0" w:color="auto"/>
              <w:left w:val="nil"/>
              <w:bottom w:val="single" w:sz="4" w:space="0" w:color="auto"/>
              <w:right w:val="single" w:sz="4" w:space="0" w:color="auto"/>
            </w:tcBorders>
            <w:shd w:val="clear" w:color="auto" w:fill="BDD6EE" w:themeFill="accent1" w:themeFillTint="66"/>
            <w:vAlign w:val="center"/>
            <w:hideMark/>
          </w:tcPr>
          <w:p w:rsidR="00311D99" w:rsidRPr="00311D99" w:rsidRDefault="00311D99" w:rsidP="00311D99">
            <w:pPr>
              <w:jc w:val="center"/>
              <w:rPr>
                <w:rFonts w:ascii="Calibri" w:hAnsi="Calibri" w:cs="Arial"/>
                <w:b/>
                <w:bCs/>
              </w:rPr>
            </w:pPr>
            <w:r>
              <w:rPr>
                <w:rFonts w:ascii="Calibri" w:hAnsi="Calibri"/>
                <w:b/>
                <w:bCs/>
              </w:rPr>
              <w:t xml:space="preserve">PNDR </w:t>
            </w:r>
          </w:p>
          <w:p w:rsidR="00311D99" w:rsidRPr="00311D99" w:rsidRDefault="00311D99" w:rsidP="00311D99">
            <w:pPr>
              <w:jc w:val="center"/>
              <w:rPr>
                <w:rFonts w:ascii="Calibri" w:hAnsi="Calibri" w:cs="Arial"/>
                <w:b/>
                <w:bCs/>
              </w:rPr>
            </w:pPr>
            <w:r>
              <w:rPr>
                <w:rFonts w:ascii="Calibri" w:hAnsi="Calibri"/>
                <w:b/>
                <w:bCs/>
              </w:rPr>
              <w:t>2014 – 2020 (EUR)</w:t>
            </w:r>
          </w:p>
        </w:tc>
        <w:tc>
          <w:tcPr>
            <w:tcW w:w="1807" w:type="dxa"/>
            <w:tcBorders>
              <w:top w:val="single" w:sz="8" w:space="0" w:color="auto"/>
              <w:left w:val="nil"/>
              <w:bottom w:val="single" w:sz="4" w:space="0" w:color="auto"/>
              <w:right w:val="single" w:sz="4" w:space="0" w:color="auto"/>
            </w:tcBorders>
            <w:shd w:val="clear" w:color="auto" w:fill="BDD6EE" w:themeFill="accent1" w:themeFillTint="66"/>
            <w:vAlign w:val="center"/>
            <w:hideMark/>
          </w:tcPr>
          <w:p w:rsidR="00311D99" w:rsidRPr="00311D99" w:rsidRDefault="00311D99" w:rsidP="00311D99">
            <w:pPr>
              <w:jc w:val="center"/>
              <w:rPr>
                <w:rFonts w:ascii="Calibri" w:hAnsi="Calibri" w:cs="Arial"/>
                <w:b/>
                <w:bCs/>
              </w:rPr>
            </w:pPr>
            <w:r>
              <w:rPr>
                <w:rFonts w:ascii="Calibri" w:hAnsi="Calibri"/>
                <w:b/>
              </w:rPr>
              <w:t>M10 - Agro-environment and climate (EUR)</w:t>
            </w:r>
          </w:p>
        </w:tc>
        <w:tc>
          <w:tcPr>
            <w:tcW w:w="1566" w:type="dxa"/>
            <w:tcBorders>
              <w:top w:val="single" w:sz="8" w:space="0" w:color="auto"/>
              <w:left w:val="nil"/>
              <w:bottom w:val="single" w:sz="4" w:space="0" w:color="auto"/>
              <w:right w:val="single" w:sz="4" w:space="0" w:color="auto"/>
            </w:tcBorders>
            <w:shd w:val="clear" w:color="auto" w:fill="BDD6EE" w:themeFill="accent1" w:themeFillTint="66"/>
            <w:vAlign w:val="center"/>
            <w:hideMark/>
          </w:tcPr>
          <w:p w:rsidR="00311D99" w:rsidRPr="00311D99" w:rsidRDefault="00311D99" w:rsidP="00311D99">
            <w:pPr>
              <w:jc w:val="both"/>
              <w:rPr>
                <w:rFonts w:ascii="Calibri" w:hAnsi="Calibri" w:cs="Arial"/>
                <w:b/>
              </w:rPr>
            </w:pPr>
            <w:r>
              <w:rPr>
                <w:rFonts w:ascii="Calibri" w:hAnsi="Calibri"/>
                <w:b/>
              </w:rPr>
              <w:t>M11 - Ecologic agriculture (EUR)</w:t>
            </w:r>
          </w:p>
        </w:tc>
        <w:tc>
          <w:tcPr>
            <w:tcW w:w="1754"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311D99" w:rsidRPr="003964D3" w:rsidRDefault="00311D99" w:rsidP="00311D99">
            <w:pPr>
              <w:jc w:val="center"/>
              <w:rPr>
                <w:rFonts w:ascii="Calibri" w:hAnsi="Calibri" w:cs="Arial"/>
                <w:b/>
                <w:bCs/>
              </w:rPr>
            </w:pPr>
            <w:r>
              <w:rPr>
                <w:rFonts w:ascii="Calibri" w:hAnsi="Calibri"/>
                <w:b/>
              </w:rPr>
              <w:t>M13 - Payments for areas facing natural restrictions or other specific restrictions (EUR)</w:t>
            </w:r>
          </w:p>
        </w:tc>
        <w:tc>
          <w:tcPr>
            <w:tcW w:w="1767" w:type="dxa"/>
            <w:tcBorders>
              <w:top w:val="single" w:sz="4" w:space="0" w:color="auto"/>
              <w:left w:val="nil"/>
              <w:bottom w:val="single" w:sz="4" w:space="0" w:color="auto"/>
              <w:right w:val="single" w:sz="4" w:space="0" w:color="auto"/>
            </w:tcBorders>
            <w:shd w:val="clear" w:color="auto" w:fill="BDD6EE" w:themeFill="accent1" w:themeFillTint="66"/>
          </w:tcPr>
          <w:p w:rsidR="00311D99" w:rsidRPr="00311D99" w:rsidRDefault="00311D99" w:rsidP="00311D99">
            <w:pPr>
              <w:jc w:val="center"/>
              <w:rPr>
                <w:rFonts w:ascii="Calibri" w:hAnsi="Calibri" w:cs="Arial"/>
                <w:b/>
                <w:bCs/>
              </w:rPr>
            </w:pPr>
            <w:r>
              <w:rPr>
                <w:rFonts w:ascii="Calibri" w:hAnsi="Calibri"/>
                <w:b/>
              </w:rPr>
              <w:t>M14 - Animal welfare (EUR)</w:t>
            </w:r>
          </w:p>
        </w:tc>
      </w:tr>
      <w:tr w:rsidR="00311D99" w:rsidRPr="00311D99" w:rsidTr="00311D99">
        <w:trPr>
          <w:trHeight w:val="680"/>
        </w:trPr>
        <w:tc>
          <w:tcPr>
            <w:tcW w:w="1057" w:type="dxa"/>
            <w:tcBorders>
              <w:top w:val="nil"/>
              <w:left w:val="single" w:sz="4" w:space="0" w:color="auto"/>
              <w:bottom w:val="single" w:sz="4" w:space="0" w:color="auto"/>
              <w:right w:val="single" w:sz="4" w:space="0" w:color="auto"/>
            </w:tcBorders>
            <w:shd w:val="clear" w:color="auto" w:fill="auto"/>
            <w:vAlign w:val="center"/>
            <w:hideMark/>
          </w:tcPr>
          <w:p w:rsidR="00311D99" w:rsidRPr="00311D99" w:rsidRDefault="00311D99" w:rsidP="00311D99">
            <w:pPr>
              <w:jc w:val="center"/>
              <w:rPr>
                <w:rFonts w:ascii="Calibri" w:hAnsi="Calibri" w:cs="Arial"/>
                <w:b/>
                <w:bCs/>
              </w:rPr>
            </w:pPr>
            <w:r>
              <w:rPr>
                <w:rFonts w:ascii="Calibri" w:hAnsi="Calibri"/>
                <w:b/>
                <w:bCs/>
              </w:rPr>
              <w:t>2016</w:t>
            </w:r>
          </w:p>
        </w:tc>
        <w:tc>
          <w:tcPr>
            <w:tcW w:w="1859" w:type="dxa"/>
            <w:tcBorders>
              <w:top w:val="single" w:sz="4" w:space="0" w:color="auto"/>
              <w:left w:val="nil"/>
              <w:bottom w:val="single" w:sz="4" w:space="0" w:color="auto"/>
              <w:right w:val="single" w:sz="4" w:space="0" w:color="auto"/>
            </w:tcBorders>
            <w:shd w:val="clear" w:color="auto" w:fill="auto"/>
            <w:vAlign w:val="center"/>
            <w:hideMark/>
          </w:tcPr>
          <w:p w:rsidR="00311D99" w:rsidRPr="00311D99" w:rsidRDefault="00311D99" w:rsidP="00311D99">
            <w:pPr>
              <w:jc w:val="both"/>
              <w:rPr>
                <w:rFonts w:ascii="Calibri" w:hAnsi="Calibri" w:cs="Arial"/>
              </w:rPr>
            </w:pPr>
            <w:r>
              <w:rPr>
                <w:rFonts w:ascii="Calibri" w:hAnsi="Calibri"/>
              </w:rPr>
              <w:t>338,787,633.67</w:t>
            </w:r>
          </w:p>
        </w:tc>
        <w:tc>
          <w:tcPr>
            <w:tcW w:w="1807" w:type="dxa"/>
            <w:tcBorders>
              <w:top w:val="nil"/>
              <w:left w:val="nil"/>
              <w:bottom w:val="single" w:sz="8"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Pr>
                <w:rFonts w:ascii="Calibri" w:hAnsi="Calibri"/>
              </w:rPr>
              <w:t>41,343,388.88</w:t>
            </w:r>
          </w:p>
        </w:tc>
        <w:tc>
          <w:tcPr>
            <w:tcW w:w="1566"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Pr>
                <w:rFonts w:ascii="Calibri" w:hAnsi="Calibri"/>
              </w:rPr>
              <w:t>8,377,434.73</w:t>
            </w:r>
          </w:p>
        </w:tc>
        <w:tc>
          <w:tcPr>
            <w:tcW w:w="1754"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Pr>
                <w:rFonts w:ascii="Calibri" w:hAnsi="Calibri"/>
              </w:rPr>
              <w:t>206,971,753.24</w:t>
            </w:r>
          </w:p>
        </w:tc>
        <w:tc>
          <w:tcPr>
            <w:tcW w:w="1767" w:type="dxa"/>
            <w:tcBorders>
              <w:top w:val="nil"/>
              <w:left w:val="nil"/>
              <w:bottom w:val="single" w:sz="4" w:space="0" w:color="auto"/>
              <w:right w:val="single" w:sz="4" w:space="0" w:color="auto"/>
            </w:tcBorders>
            <w:vAlign w:val="center"/>
          </w:tcPr>
          <w:p w:rsidR="00311D99" w:rsidRPr="00311D99" w:rsidRDefault="00311D99" w:rsidP="00311D99">
            <w:pPr>
              <w:jc w:val="center"/>
              <w:rPr>
                <w:rFonts w:ascii="Calibri" w:hAnsi="Calibri" w:cs="Arial"/>
              </w:rPr>
            </w:pPr>
            <w:r>
              <w:rPr>
                <w:rFonts w:ascii="Calibri" w:hAnsi="Calibri"/>
              </w:rPr>
              <w:t>82,095,056.82</w:t>
            </w:r>
          </w:p>
        </w:tc>
      </w:tr>
      <w:tr w:rsidR="00311D99" w:rsidRPr="00311D99" w:rsidTr="00311D99">
        <w:trPr>
          <w:trHeight w:val="318"/>
        </w:trPr>
        <w:tc>
          <w:tcPr>
            <w:tcW w:w="1057" w:type="dxa"/>
            <w:tcBorders>
              <w:top w:val="nil"/>
              <w:left w:val="single" w:sz="4" w:space="0" w:color="auto"/>
              <w:bottom w:val="single" w:sz="4" w:space="0" w:color="auto"/>
              <w:right w:val="single" w:sz="4" w:space="0" w:color="auto"/>
            </w:tcBorders>
            <w:shd w:val="clear" w:color="auto" w:fill="auto"/>
            <w:vAlign w:val="center"/>
            <w:hideMark/>
          </w:tcPr>
          <w:p w:rsidR="00311D99" w:rsidRPr="00311D99" w:rsidRDefault="00311D99" w:rsidP="00311D99">
            <w:pPr>
              <w:jc w:val="center"/>
              <w:rPr>
                <w:rFonts w:ascii="Calibri" w:hAnsi="Calibri" w:cs="Arial"/>
                <w:b/>
                <w:bCs/>
              </w:rPr>
            </w:pPr>
            <w:r>
              <w:rPr>
                <w:rFonts w:ascii="Calibri" w:hAnsi="Calibri"/>
                <w:b/>
                <w:bCs/>
              </w:rPr>
              <w:t>2017</w:t>
            </w:r>
          </w:p>
        </w:tc>
        <w:tc>
          <w:tcPr>
            <w:tcW w:w="1859" w:type="dxa"/>
            <w:tcBorders>
              <w:top w:val="single" w:sz="4" w:space="0" w:color="auto"/>
              <w:left w:val="nil"/>
              <w:bottom w:val="single" w:sz="4" w:space="0" w:color="auto"/>
              <w:right w:val="single" w:sz="4" w:space="0" w:color="auto"/>
            </w:tcBorders>
            <w:shd w:val="clear" w:color="auto" w:fill="auto"/>
            <w:vAlign w:val="center"/>
            <w:hideMark/>
          </w:tcPr>
          <w:p w:rsidR="00311D99" w:rsidRPr="00311D99" w:rsidRDefault="00311D99" w:rsidP="00311D99">
            <w:pPr>
              <w:jc w:val="both"/>
              <w:rPr>
                <w:rFonts w:ascii="Calibri" w:hAnsi="Calibri" w:cs="Arial"/>
              </w:rPr>
            </w:pPr>
            <w:r>
              <w:rPr>
                <w:rFonts w:ascii="Calibri" w:hAnsi="Calibri"/>
              </w:rPr>
              <w:t>513,783,019.10</w:t>
            </w:r>
          </w:p>
        </w:tc>
        <w:tc>
          <w:tcPr>
            <w:tcW w:w="1807" w:type="dxa"/>
            <w:tcBorders>
              <w:top w:val="single" w:sz="4" w:space="0" w:color="auto"/>
              <w:left w:val="nil"/>
              <w:bottom w:val="single" w:sz="4"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Pr>
                <w:rFonts w:ascii="Calibri" w:hAnsi="Calibri"/>
              </w:rPr>
              <w:t>111,652,752.24</w:t>
            </w:r>
          </w:p>
        </w:tc>
        <w:tc>
          <w:tcPr>
            <w:tcW w:w="1566"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Pr>
                <w:rFonts w:ascii="Calibri" w:hAnsi="Calibri"/>
              </w:rPr>
              <w:t>30,605,168.56</w:t>
            </w:r>
          </w:p>
        </w:tc>
        <w:tc>
          <w:tcPr>
            <w:tcW w:w="1754"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Pr>
                <w:rFonts w:ascii="Calibri" w:hAnsi="Calibri"/>
              </w:rPr>
              <w:t>220,664,570.45</w:t>
            </w:r>
          </w:p>
        </w:tc>
        <w:tc>
          <w:tcPr>
            <w:tcW w:w="1767" w:type="dxa"/>
            <w:tcBorders>
              <w:top w:val="nil"/>
              <w:left w:val="nil"/>
              <w:bottom w:val="single" w:sz="4" w:space="0" w:color="auto"/>
              <w:right w:val="single" w:sz="4" w:space="0" w:color="auto"/>
            </w:tcBorders>
            <w:vAlign w:val="center"/>
          </w:tcPr>
          <w:p w:rsidR="00311D99" w:rsidRPr="00311D99" w:rsidRDefault="00311D99" w:rsidP="00311D99">
            <w:pPr>
              <w:jc w:val="center"/>
              <w:rPr>
                <w:rFonts w:ascii="Calibri" w:hAnsi="Calibri" w:cs="Arial"/>
              </w:rPr>
            </w:pPr>
            <w:r>
              <w:rPr>
                <w:rFonts w:ascii="Calibri" w:hAnsi="Calibri"/>
              </w:rPr>
              <w:t>150,860,527.85</w:t>
            </w:r>
          </w:p>
        </w:tc>
      </w:tr>
      <w:tr w:rsidR="00311D99" w:rsidRPr="00311D99" w:rsidTr="00311D99">
        <w:trPr>
          <w:trHeight w:val="333"/>
        </w:trPr>
        <w:tc>
          <w:tcPr>
            <w:tcW w:w="1057" w:type="dxa"/>
            <w:tcBorders>
              <w:top w:val="nil"/>
              <w:left w:val="single" w:sz="4" w:space="0" w:color="auto"/>
              <w:bottom w:val="single" w:sz="4" w:space="0" w:color="auto"/>
              <w:right w:val="single" w:sz="4" w:space="0" w:color="auto"/>
            </w:tcBorders>
            <w:shd w:val="clear" w:color="auto" w:fill="auto"/>
            <w:vAlign w:val="center"/>
            <w:hideMark/>
          </w:tcPr>
          <w:p w:rsidR="00311D99" w:rsidRPr="00311D99" w:rsidRDefault="00311D99" w:rsidP="00311D99">
            <w:pPr>
              <w:jc w:val="center"/>
              <w:rPr>
                <w:rFonts w:ascii="Calibri" w:hAnsi="Calibri" w:cs="Arial"/>
                <w:b/>
                <w:bCs/>
              </w:rPr>
            </w:pPr>
            <w:r>
              <w:rPr>
                <w:rFonts w:ascii="Calibri" w:hAnsi="Calibri"/>
                <w:b/>
                <w:bCs/>
              </w:rPr>
              <w:t>2018</w:t>
            </w:r>
          </w:p>
        </w:tc>
        <w:tc>
          <w:tcPr>
            <w:tcW w:w="1859" w:type="dxa"/>
            <w:tcBorders>
              <w:top w:val="single" w:sz="4" w:space="0" w:color="auto"/>
              <w:left w:val="nil"/>
              <w:bottom w:val="single" w:sz="8" w:space="0" w:color="auto"/>
              <w:right w:val="single" w:sz="4" w:space="0" w:color="auto"/>
            </w:tcBorders>
            <w:shd w:val="clear" w:color="auto" w:fill="auto"/>
            <w:vAlign w:val="center"/>
            <w:hideMark/>
          </w:tcPr>
          <w:p w:rsidR="00311D99" w:rsidRPr="00311D99" w:rsidRDefault="00311D99" w:rsidP="00311D99">
            <w:pPr>
              <w:jc w:val="both"/>
              <w:rPr>
                <w:rFonts w:ascii="Calibri" w:hAnsi="Calibri" w:cs="Arial"/>
              </w:rPr>
            </w:pPr>
            <w:r>
              <w:rPr>
                <w:rFonts w:ascii="Calibri" w:hAnsi="Calibri"/>
              </w:rPr>
              <w:t>488,959,731.10</w:t>
            </w:r>
          </w:p>
        </w:tc>
        <w:tc>
          <w:tcPr>
            <w:tcW w:w="1807" w:type="dxa"/>
            <w:tcBorders>
              <w:top w:val="nil"/>
              <w:left w:val="nil"/>
              <w:bottom w:val="single" w:sz="8"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Pr>
                <w:rFonts w:ascii="Calibri" w:hAnsi="Calibri"/>
              </w:rPr>
              <w:t>96,234,954.17</w:t>
            </w:r>
          </w:p>
        </w:tc>
        <w:tc>
          <w:tcPr>
            <w:tcW w:w="1566" w:type="dxa"/>
            <w:tcBorders>
              <w:top w:val="nil"/>
              <w:left w:val="nil"/>
              <w:bottom w:val="single" w:sz="8"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Pr>
                <w:rFonts w:ascii="Calibri" w:hAnsi="Calibri"/>
              </w:rPr>
              <w:t>24,270,532.45</w:t>
            </w:r>
          </w:p>
        </w:tc>
        <w:tc>
          <w:tcPr>
            <w:tcW w:w="1754"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rPr>
            </w:pPr>
            <w:r>
              <w:rPr>
                <w:rFonts w:ascii="Calibri" w:hAnsi="Calibri"/>
              </w:rPr>
              <w:t>214,654,355.87</w:t>
            </w:r>
          </w:p>
        </w:tc>
        <w:tc>
          <w:tcPr>
            <w:tcW w:w="1767" w:type="dxa"/>
            <w:tcBorders>
              <w:top w:val="nil"/>
              <w:left w:val="nil"/>
              <w:bottom w:val="single" w:sz="4" w:space="0" w:color="auto"/>
              <w:right w:val="single" w:sz="4" w:space="0" w:color="auto"/>
            </w:tcBorders>
            <w:vAlign w:val="center"/>
          </w:tcPr>
          <w:p w:rsidR="00311D99" w:rsidRPr="00311D99" w:rsidRDefault="00311D99" w:rsidP="00311D99">
            <w:pPr>
              <w:jc w:val="center"/>
              <w:rPr>
                <w:rFonts w:ascii="Calibri" w:hAnsi="Calibri" w:cs="Arial"/>
              </w:rPr>
            </w:pPr>
            <w:r>
              <w:rPr>
                <w:rFonts w:ascii="Calibri" w:hAnsi="Calibri"/>
              </w:rPr>
              <w:t>153,799,888.61</w:t>
            </w:r>
          </w:p>
        </w:tc>
      </w:tr>
      <w:tr w:rsidR="00311D99" w:rsidRPr="00311D99" w:rsidTr="00311D99">
        <w:trPr>
          <w:trHeight w:val="651"/>
        </w:trPr>
        <w:tc>
          <w:tcPr>
            <w:tcW w:w="1057" w:type="dxa"/>
            <w:tcBorders>
              <w:top w:val="nil"/>
              <w:left w:val="single" w:sz="4" w:space="0" w:color="auto"/>
              <w:bottom w:val="single" w:sz="4" w:space="0" w:color="auto"/>
              <w:right w:val="single" w:sz="4" w:space="0" w:color="auto"/>
            </w:tcBorders>
            <w:shd w:val="clear" w:color="auto" w:fill="auto"/>
            <w:vAlign w:val="center"/>
            <w:hideMark/>
          </w:tcPr>
          <w:p w:rsidR="00311D99" w:rsidRPr="00311D99" w:rsidRDefault="00311D99" w:rsidP="00311D99">
            <w:pPr>
              <w:jc w:val="center"/>
              <w:rPr>
                <w:rFonts w:ascii="Calibri" w:hAnsi="Calibri" w:cs="Arial"/>
                <w:b/>
                <w:bCs/>
              </w:rPr>
            </w:pPr>
            <w:r>
              <w:rPr>
                <w:rFonts w:ascii="Calibri" w:hAnsi="Calibri"/>
                <w:b/>
                <w:bCs/>
              </w:rPr>
              <w:t>TOTAL</w:t>
            </w:r>
          </w:p>
        </w:tc>
        <w:tc>
          <w:tcPr>
            <w:tcW w:w="1859" w:type="dxa"/>
            <w:tcBorders>
              <w:top w:val="single" w:sz="4" w:space="0" w:color="auto"/>
              <w:left w:val="nil"/>
              <w:bottom w:val="single" w:sz="4" w:space="0" w:color="auto"/>
              <w:right w:val="single" w:sz="4" w:space="0" w:color="auto"/>
            </w:tcBorders>
            <w:shd w:val="clear" w:color="auto" w:fill="auto"/>
            <w:vAlign w:val="center"/>
            <w:hideMark/>
          </w:tcPr>
          <w:p w:rsidR="00311D99" w:rsidRPr="00311D99" w:rsidRDefault="00311D99" w:rsidP="00311D99">
            <w:pPr>
              <w:jc w:val="both"/>
              <w:rPr>
                <w:rFonts w:ascii="Calibri" w:hAnsi="Calibri" w:cs="Arial"/>
              </w:rPr>
            </w:pPr>
            <w:r>
              <w:rPr>
                <w:rFonts w:ascii="Calibri" w:hAnsi="Calibri"/>
                <w:b/>
              </w:rPr>
              <w:t>1,341,530,383.87</w:t>
            </w:r>
          </w:p>
        </w:tc>
        <w:tc>
          <w:tcPr>
            <w:tcW w:w="1807" w:type="dxa"/>
            <w:tcBorders>
              <w:top w:val="single" w:sz="4" w:space="0" w:color="auto"/>
              <w:left w:val="nil"/>
              <w:bottom w:val="single" w:sz="4"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b/>
              </w:rPr>
            </w:pPr>
            <w:r>
              <w:rPr>
                <w:rFonts w:ascii="Calibri" w:hAnsi="Calibri"/>
                <w:b/>
              </w:rPr>
              <w:t>249,231,095.29</w:t>
            </w:r>
          </w:p>
        </w:tc>
        <w:tc>
          <w:tcPr>
            <w:tcW w:w="1566" w:type="dxa"/>
            <w:tcBorders>
              <w:top w:val="single" w:sz="4" w:space="0" w:color="auto"/>
              <w:left w:val="nil"/>
              <w:bottom w:val="single" w:sz="4"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b/>
              </w:rPr>
            </w:pPr>
            <w:r>
              <w:rPr>
                <w:rFonts w:ascii="Calibri" w:hAnsi="Calibri"/>
                <w:b/>
              </w:rPr>
              <w:t>63,253,136.74</w:t>
            </w:r>
          </w:p>
        </w:tc>
        <w:tc>
          <w:tcPr>
            <w:tcW w:w="1754"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center"/>
              <w:rPr>
                <w:rFonts w:ascii="Calibri" w:hAnsi="Calibri" w:cs="Arial"/>
                <w:b/>
              </w:rPr>
            </w:pPr>
            <w:r>
              <w:rPr>
                <w:rFonts w:ascii="Calibri" w:hAnsi="Calibri"/>
                <w:b/>
              </w:rPr>
              <w:t>642,290,679.56</w:t>
            </w:r>
          </w:p>
        </w:tc>
        <w:tc>
          <w:tcPr>
            <w:tcW w:w="1767" w:type="dxa"/>
            <w:tcBorders>
              <w:top w:val="nil"/>
              <w:left w:val="nil"/>
              <w:bottom w:val="single" w:sz="4" w:space="0" w:color="auto"/>
              <w:right w:val="single" w:sz="4" w:space="0" w:color="auto"/>
            </w:tcBorders>
            <w:vAlign w:val="center"/>
          </w:tcPr>
          <w:p w:rsidR="00311D99" w:rsidRPr="00311D99" w:rsidRDefault="00311D99" w:rsidP="00311D99">
            <w:pPr>
              <w:jc w:val="center"/>
              <w:rPr>
                <w:rFonts w:ascii="Calibri" w:hAnsi="Calibri" w:cs="Arial"/>
                <w:b/>
              </w:rPr>
            </w:pPr>
            <w:r>
              <w:rPr>
                <w:rFonts w:ascii="Calibri" w:hAnsi="Calibri"/>
                <w:b/>
              </w:rPr>
              <w:t>386,755,473.28</w:t>
            </w:r>
          </w:p>
        </w:tc>
      </w:tr>
    </w:tbl>
    <w:p w:rsidR="00311D99" w:rsidRPr="00311D99" w:rsidRDefault="00311D99" w:rsidP="00311D99">
      <w:pPr>
        <w:ind w:right="-1"/>
        <w:jc w:val="both"/>
        <w:rPr>
          <w:rFonts w:ascii="Calibri" w:hAnsi="Calibri"/>
          <w:lang w:val="ro-RO"/>
        </w:rPr>
      </w:pPr>
    </w:p>
    <w:p w:rsidR="00311D99" w:rsidRPr="00311D99" w:rsidRDefault="00311D99" w:rsidP="00311D99">
      <w:pPr>
        <w:autoSpaceDE w:val="0"/>
        <w:autoSpaceDN w:val="0"/>
        <w:adjustRightInd w:val="0"/>
        <w:spacing w:line="276" w:lineRule="auto"/>
        <w:jc w:val="both"/>
        <w:rPr>
          <w:rFonts w:ascii="Calibri" w:hAnsi="Calibri"/>
          <w:b/>
        </w:rPr>
      </w:pPr>
      <w:r>
        <w:rPr>
          <w:rFonts w:ascii="Calibri" w:hAnsi="Calibri"/>
        </w:rPr>
        <w:t xml:space="preserve">The Agency for Payments and Intervention in Agriculture authorized for payment between October 16, 2017 and October 15, 2018 for the rural development measure in the 2017 Campaign, the total amount of </w:t>
      </w:r>
      <w:r>
        <w:rPr>
          <w:rFonts w:ascii="Calibri" w:hAnsi="Calibri"/>
          <w:b/>
        </w:rPr>
        <w:t>590.54 million EUR.</w:t>
      </w:r>
    </w:p>
    <w:p w:rsidR="00311D99" w:rsidRPr="00311D99" w:rsidRDefault="00311D99" w:rsidP="00311D99">
      <w:pPr>
        <w:autoSpaceDE w:val="0"/>
        <w:autoSpaceDN w:val="0"/>
        <w:adjustRightInd w:val="0"/>
        <w:spacing w:line="276" w:lineRule="auto"/>
        <w:jc w:val="both"/>
        <w:rPr>
          <w:rFonts w:ascii="Calibri" w:hAnsi="Calibri"/>
          <w:lang w:val="fr-FR"/>
        </w:rPr>
      </w:pPr>
    </w:p>
    <w:p w:rsidR="00311D99" w:rsidRPr="00311D99" w:rsidRDefault="00311D99" w:rsidP="00311D99">
      <w:pPr>
        <w:autoSpaceDE w:val="0"/>
        <w:autoSpaceDN w:val="0"/>
        <w:adjustRightInd w:val="0"/>
        <w:spacing w:line="276" w:lineRule="auto"/>
        <w:jc w:val="both"/>
        <w:rPr>
          <w:rFonts w:ascii="Calibri" w:hAnsi="Calibri"/>
        </w:rPr>
      </w:pPr>
      <w:r>
        <w:rPr>
          <w:rFonts w:ascii="Calibri" w:hAnsi="Calibri"/>
        </w:rPr>
        <w:t>We mention that the payments are made at the foreign exchange rates established by the Central European Bank, as follows:</w:t>
      </w:r>
    </w:p>
    <w:p w:rsidR="00311D99" w:rsidRPr="00311D99" w:rsidRDefault="00311D99" w:rsidP="00311D99">
      <w:pPr>
        <w:numPr>
          <w:ilvl w:val="0"/>
          <w:numId w:val="69"/>
        </w:numPr>
        <w:autoSpaceDE w:val="0"/>
        <w:autoSpaceDN w:val="0"/>
        <w:adjustRightInd w:val="0"/>
        <w:spacing w:line="276" w:lineRule="auto"/>
        <w:contextualSpacing/>
        <w:jc w:val="both"/>
        <w:rPr>
          <w:rFonts w:ascii="Calibri" w:eastAsia="Calibri" w:hAnsi="Calibri"/>
          <w:szCs w:val="22"/>
        </w:rPr>
      </w:pPr>
      <w:r>
        <w:rPr>
          <w:rFonts w:ascii="Calibri" w:hAnsi="Calibri"/>
          <w:szCs w:val="22"/>
        </w:rPr>
        <w:t xml:space="preserve">4.5390 Lei for one EUR, established by the Central European Bank on December 30, 2016 and published in the Official Journal of the European Union, series C, no. 491/01 of December 31, 2016, for the payments financed from the EARDF (European Agricultural and Rural Development Fund); </w:t>
      </w:r>
    </w:p>
    <w:p w:rsidR="00311D99" w:rsidRPr="00311D99" w:rsidRDefault="00311D99" w:rsidP="00311D99">
      <w:pPr>
        <w:tabs>
          <w:tab w:val="left" w:pos="284"/>
        </w:tabs>
        <w:ind w:right="-1"/>
        <w:jc w:val="both"/>
        <w:rPr>
          <w:rFonts w:ascii="Calibri" w:hAnsi="Calibri"/>
          <w:i/>
          <w:lang w:val="ro-RO"/>
        </w:rPr>
      </w:pPr>
    </w:p>
    <w:p w:rsidR="00311D99" w:rsidRPr="00311D99" w:rsidRDefault="00311D99" w:rsidP="00311D99">
      <w:pPr>
        <w:numPr>
          <w:ilvl w:val="0"/>
          <w:numId w:val="70"/>
        </w:numPr>
        <w:spacing w:line="276" w:lineRule="auto"/>
        <w:ind w:right="144"/>
        <w:contextualSpacing/>
        <w:jc w:val="both"/>
        <w:rPr>
          <w:rFonts w:ascii="Calibri" w:eastAsia="Calibri" w:hAnsi="Calibri"/>
          <w:b/>
          <w:szCs w:val="22"/>
        </w:rPr>
      </w:pPr>
      <w:r>
        <w:rPr>
          <w:rFonts w:ascii="Calibri" w:hAnsi="Calibri"/>
          <w:b/>
          <w:szCs w:val="22"/>
        </w:rPr>
        <w:t>EUROPEAN MARITIME AND FISHERIES FUND</w:t>
      </w:r>
    </w:p>
    <w:p w:rsidR="00311D99" w:rsidRPr="003964D3" w:rsidRDefault="00311D99" w:rsidP="00311D99">
      <w:pPr>
        <w:jc w:val="both"/>
        <w:rPr>
          <w:rFonts w:ascii="Calibri" w:hAnsi="Calibri"/>
          <w:b/>
          <w:color w:val="000000"/>
          <w:lang w:val="fr-FR"/>
        </w:rPr>
      </w:pPr>
    </w:p>
    <w:p w:rsidR="00311D99" w:rsidRPr="00311D99" w:rsidRDefault="00311D99" w:rsidP="00311D99">
      <w:pPr>
        <w:jc w:val="both"/>
        <w:rPr>
          <w:rFonts w:ascii="Calibri" w:hAnsi="Calibri"/>
          <w:color w:val="000000"/>
        </w:rPr>
      </w:pPr>
      <w:r>
        <w:rPr>
          <w:rFonts w:ascii="Calibri" w:hAnsi="Calibri"/>
          <w:b/>
          <w:color w:val="000000"/>
        </w:rPr>
        <w:t>Annual financial allocation from EMFF:</w:t>
      </w:r>
    </w:p>
    <w:p w:rsidR="00311D99" w:rsidRPr="00311D99" w:rsidRDefault="00311D99" w:rsidP="00311D99">
      <w:pPr>
        <w:spacing w:line="276" w:lineRule="auto"/>
        <w:contextualSpacing/>
        <w:jc w:val="both"/>
        <w:rPr>
          <w:rFonts w:ascii="Calibri" w:eastAsia="Calibri" w:hAnsi="Calibri"/>
          <w:color w:val="000000"/>
          <w:szCs w:val="22"/>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420" w:firstRow="1" w:lastRow="0" w:firstColumn="0" w:lastColumn="0" w:noHBand="0" w:noVBand="1"/>
      </w:tblPr>
      <w:tblGrid>
        <w:gridCol w:w="1439"/>
        <w:gridCol w:w="2312"/>
        <w:gridCol w:w="3323"/>
        <w:gridCol w:w="2940"/>
      </w:tblGrid>
      <w:tr w:rsidR="00311D99" w:rsidRPr="00AC4302" w:rsidTr="00311D99">
        <w:trPr>
          <w:trHeight w:val="353"/>
        </w:trPr>
        <w:tc>
          <w:tcPr>
            <w:tcW w:w="718" w:type="pct"/>
            <w:shd w:val="clear" w:color="auto" w:fill="FFFFFF" w:themeFill="background1"/>
            <w:tcMar>
              <w:top w:w="72" w:type="dxa"/>
              <w:left w:w="144" w:type="dxa"/>
              <w:bottom w:w="72" w:type="dxa"/>
              <w:right w:w="144" w:type="dxa"/>
            </w:tcMar>
            <w:hideMark/>
          </w:tcPr>
          <w:p w:rsidR="00311D99" w:rsidRPr="00311D99" w:rsidRDefault="00311D99" w:rsidP="00311D99">
            <w:pPr>
              <w:ind w:left="360"/>
              <w:jc w:val="center"/>
              <w:rPr>
                <w:rFonts w:ascii="Calibri" w:hAnsi="Calibri"/>
                <w:color w:val="000000"/>
                <w:sz w:val="22"/>
                <w:szCs w:val="22"/>
              </w:rPr>
            </w:pPr>
            <w:r>
              <w:rPr>
                <w:rFonts w:ascii="Calibri" w:hAnsi="Calibri"/>
                <w:b/>
                <w:bCs/>
                <w:color w:val="000000"/>
                <w:sz w:val="22"/>
                <w:szCs w:val="22"/>
              </w:rPr>
              <w:t>Allocation year</w:t>
            </w:r>
          </w:p>
        </w:tc>
        <w:tc>
          <w:tcPr>
            <w:tcW w:w="1154" w:type="pct"/>
            <w:shd w:val="clear" w:color="auto" w:fill="FFFFFF" w:themeFill="background1"/>
            <w:tcMar>
              <w:top w:w="72" w:type="dxa"/>
              <w:left w:w="144" w:type="dxa"/>
              <w:bottom w:w="72" w:type="dxa"/>
              <w:right w:w="144" w:type="dxa"/>
            </w:tcMar>
            <w:hideMark/>
          </w:tcPr>
          <w:p w:rsidR="00311D99" w:rsidRPr="00311D99" w:rsidRDefault="00311D99" w:rsidP="00311D99">
            <w:pPr>
              <w:ind w:left="360"/>
              <w:jc w:val="center"/>
              <w:rPr>
                <w:rFonts w:ascii="Calibri" w:hAnsi="Calibri"/>
                <w:color w:val="000000"/>
                <w:sz w:val="22"/>
                <w:szCs w:val="22"/>
              </w:rPr>
            </w:pPr>
            <w:r>
              <w:rPr>
                <w:rFonts w:ascii="Calibri" w:hAnsi="Calibri"/>
                <w:b/>
                <w:bCs/>
                <w:color w:val="000000"/>
                <w:sz w:val="22"/>
                <w:szCs w:val="22"/>
              </w:rPr>
              <w:t>Main allocation from EMFF</w:t>
            </w:r>
          </w:p>
        </w:tc>
        <w:tc>
          <w:tcPr>
            <w:tcW w:w="1659" w:type="pct"/>
            <w:shd w:val="clear" w:color="auto" w:fill="FFFFFF" w:themeFill="background1"/>
          </w:tcPr>
          <w:p w:rsidR="00311D99" w:rsidRPr="00311D99" w:rsidRDefault="00311D99" w:rsidP="00311D99">
            <w:pPr>
              <w:ind w:left="360"/>
              <w:jc w:val="center"/>
              <w:rPr>
                <w:rFonts w:ascii="Calibri" w:hAnsi="Calibri"/>
                <w:b/>
                <w:bCs/>
                <w:color w:val="000000"/>
                <w:kern w:val="24"/>
                <w:sz w:val="22"/>
                <w:szCs w:val="22"/>
              </w:rPr>
            </w:pPr>
            <w:r>
              <w:rPr>
                <w:rFonts w:ascii="Calibri" w:hAnsi="Calibri"/>
                <w:b/>
                <w:bCs/>
                <w:color w:val="000000"/>
                <w:sz w:val="22"/>
                <w:szCs w:val="22"/>
              </w:rPr>
              <w:t>Maximum corresponding contribution from the National budget</w:t>
            </w:r>
          </w:p>
        </w:tc>
        <w:tc>
          <w:tcPr>
            <w:tcW w:w="1468" w:type="pct"/>
            <w:shd w:val="clear" w:color="auto" w:fill="FFFFFF" w:themeFill="background1"/>
          </w:tcPr>
          <w:p w:rsidR="00311D99" w:rsidRPr="00311D99" w:rsidRDefault="00311D99" w:rsidP="00311D99">
            <w:pPr>
              <w:ind w:left="360"/>
              <w:jc w:val="center"/>
              <w:rPr>
                <w:rFonts w:ascii="Calibri" w:hAnsi="Calibri"/>
                <w:b/>
                <w:bCs/>
                <w:color w:val="000000"/>
                <w:kern w:val="24"/>
                <w:sz w:val="22"/>
                <w:szCs w:val="22"/>
              </w:rPr>
            </w:pPr>
            <w:r>
              <w:rPr>
                <w:rFonts w:ascii="Calibri" w:hAnsi="Calibri"/>
                <w:b/>
                <w:bCs/>
                <w:color w:val="000000"/>
                <w:sz w:val="22"/>
                <w:szCs w:val="22"/>
              </w:rPr>
              <w:t>Deadline year for spending of the allocation</w:t>
            </w:r>
          </w:p>
        </w:tc>
      </w:tr>
      <w:tr w:rsidR="00311D99" w:rsidRPr="00311D99" w:rsidTr="00311D99">
        <w:trPr>
          <w:trHeight w:val="310"/>
        </w:trPr>
        <w:tc>
          <w:tcPr>
            <w:tcW w:w="718" w:type="pct"/>
            <w:shd w:val="clear" w:color="auto" w:fill="FFFFFF" w:themeFill="background1"/>
            <w:tcMar>
              <w:top w:w="72" w:type="dxa"/>
              <w:left w:w="144" w:type="dxa"/>
              <w:bottom w:w="72" w:type="dxa"/>
              <w:right w:w="144" w:type="dxa"/>
            </w:tcMar>
            <w:hideMark/>
          </w:tcPr>
          <w:p w:rsidR="00311D99" w:rsidRPr="00311D99" w:rsidRDefault="00311D99" w:rsidP="00311D99">
            <w:pPr>
              <w:ind w:left="360"/>
              <w:jc w:val="center"/>
              <w:rPr>
                <w:rFonts w:ascii="Calibri" w:hAnsi="Calibri"/>
                <w:color w:val="000000"/>
                <w:sz w:val="22"/>
                <w:szCs w:val="22"/>
              </w:rPr>
            </w:pPr>
            <w:r>
              <w:rPr>
                <w:rFonts w:ascii="Calibri" w:hAnsi="Calibri"/>
                <w:bCs/>
                <w:color w:val="000000"/>
                <w:sz w:val="22"/>
                <w:szCs w:val="22"/>
              </w:rPr>
              <w:t>2015</w:t>
            </w:r>
          </w:p>
        </w:tc>
        <w:tc>
          <w:tcPr>
            <w:tcW w:w="1154" w:type="pct"/>
            <w:shd w:val="clear" w:color="auto" w:fill="FFFFFF" w:themeFill="background1"/>
            <w:tcMar>
              <w:top w:w="72" w:type="dxa"/>
              <w:left w:w="144" w:type="dxa"/>
              <w:bottom w:w="72" w:type="dxa"/>
              <w:right w:w="144" w:type="dxa"/>
            </w:tcMar>
            <w:hideMark/>
          </w:tcPr>
          <w:p w:rsidR="00311D99" w:rsidRPr="00311D99" w:rsidRDefault="00311D99" w:rsidP="00311D99">
            <w:pPr>
              <w:ind w:left="360"/>
              <w:jc w:val="center"/>
              <w:rPr>
                <w:rFonts w:ascii="Calibri" w:hAnsi="Calibri"/>
                <w:color w:val="000000"/>
                <w:sz w:val="22"/>
                <w:szCs w:val="22"/>
              </w:rPr>
            </w:pPr>
            <w:r>
              <w:rPr>
                <w:rFonts w:ascii="Calibri" w:hAnsi="Calibri"/>
                <w:bCs/>
                <w:color w:val="000000"/>
                <w:sz w:val="22"/>
                <w:szCs w:val="22"/>
              </w:rPr>
              <w:t>46,465,937.00</w:t>
            </w:r>
          </w:p>
        </w:tc>
        <w:tc>
          <w:tcPr>
            <w:tcW w:w="1659" w:type="pct"/>
            <w:shd w:val="clear" w:color="auto" w:fill="FFFFFF" w:themeFill="background1"/>
          </w:tcPr>
          <w:p w:rsidR="00311D99" w:rsidRPr="00311D99" w:rsidRDefault="00311D99" w:rsidP="00311D99">
            <w:pPr>
              <w:ind w:left="360"/>
              <w:jc w:val="center"/>
              <w:rPr>
                <w:rFonts w:ascii="Calibri" w:hAnsi="Calibri"/>
                <w:bCs/>
                <w:color w:val="000000"/>
                <w:kern w:val="24"/>
                <w:sz w:val="22"/>
                <w:szCs w:val="22"/>
              </w:rPr>
            </w:pPr>
            <w:r>
              <w:rPr>
                <w:rFonts w:ascii="Calibri" w:hAnsi="Calibri"/>
                <w:bCs/>
                <w:color w:val="000000"/>
                <w:sz w:val="22"/>
                <w:szCs w:val="22"/>
              </w:rPr>
              <w:t>15,488,645.67</w:t>
            </w:r>
          </w:p>
        </w:tc>
        <w:tc>
          <w:tcPr>
            <w:tcW w:w="1468" w:type="pct"/>
            <w:shd w:val="clear" w:color="auto" w:fill="FFFFFF" w:themeFill="background1"/>
          </w:tcPr>
          <w:p w:rsidR="00311D99" w:rsidRPr="00311D99" w:rsidRDefault="00311D99" w:rsidP="00311D99">
            <w:pPr>
              <w:ind w:left="360"/>
              <w:jc w:val="center"/>
              <w:rPr>
                <w:rFonts w:ascii="Calibri" w:hAnsi="Calibri"/>
                <w:bCs/>
                <w:color w:val="000000"/>
                <w:kern w:val="24"/>
                <w:sz w:val="22"/>
                <w:szCs w:val="22"/>
              </w:rPr>
            </w:pPr>
            <w:r>
              <w:rPr>
                <w:rFonts w:ascii="Calibri" w:hAnsi="Calibri"/>
                <w:bCs/>
                <w:color w:val="000000"/>
                <w:sz w:val="22"/>
                <w:szCs w:val="22"/>
              </w:rPr>
              <w:t>2018</w:t>
            </w:r>
          </w:p>
        </w:tc>
      </w:tr>
      <w:tr w:rsidR="00311D99" w:rsidRPr="00311D99" w:rsidTr="00311D99">
        <w:trPr>
          <w:trHeight w:val="312"/>
        </w:trPr>
        <w:tc>
          <w:tcPr>
            <w:tcW w:w="718" w:type="pct"/>
            <w:shd w:val="clear" w:color="auto" w:fill="FFFFFF" w:themeFill="background1"/>
            <w:tcMar>
              <w:top w:w="72" w:type="dxa"/>
              <w:left w:w="144" w:type="dxa"/>
              <w:bottom w:w="72" w:type="dxa"/>
              <w:right w:w="144" w:type="dxa"/>
            </w:tcMar>
            <w:hideMark/>
          </w:tcPr>
          <w:p w:rsidR="00311D99" w:rsidRPr="00311D99" w:rsidRDefault="00311D99" w:rsidP="00311D99">
            <w:pPr>
              <w:ind w:left="360"/>
              <w:jc w:val="center"/>
              <w:rPr>
                <w:rFonts w:ascii="Calibri" w:hAnsi="Calibri"/>
                <w:color w:val="000000"/>
                <w:sz w:val="22"/>
                <w:szCs w:val="22"/>
              </w:rPr>
            </w:pPr>
            <w:r>
              <w:rPr>
                <w:rFonts w:ascii="Calibri" w:hAnsi="Calibri"/>
                <w:color w:val="000000"/>
                <w:sz w:val="22"/>
                <w:szCs w:val="22"/>
              </w:rPr>
              <w:t>2016</w:t>
            </w:r>
          </w:p>
        </w:tc>
        <w:tc>
          <w:tcPr>
            <w:tcW w:w="1154" w:type="pct"/>
            <w:shd w:val="clear" w:color="auto" w:fill="FFFFFF" w:themeFill="background1"/>
            <w:tcMar>
              <w:top w:w="72" w:type="dxa"/>
              <w:left w:w="144" w:type="dxa"/>
              <w:bottom w:w="72" w:type="dxa"/>
              <w:right w:w="144" w:type="dxa"/>
            </w:tcMar>
            <w:hideMark/>
          </w:tcPr>
          <w:p w:rsidR="00311D99" w:rsidRPr="00311D99" w:rsidRDefault="00311D99" w:rsidP="00311D99">
            <w:pPr>
              <w:ind w:left="360"/>
              <w:jc w:val="center"/>
              <w:rPr>
                <w:rFonts w:ascii="Calibri" w:hAnsi="Calibri"/>
                <w:color w:val="000000"/>
                <w:sz w:val="22"/>
                <w:szCs w:val="22"/>
              </w:rPr>
            </w:pPr>
            <w:r>
              <w:rPr>
                <w:rFonts w:ascii="Calibri" w:hAnsi="Calibri"/>
                <w:color w:val="000000"/>
                <w:sz w:val="22"/>
                <w:szCs w:val="22"/>
              </w:rPr>
              <w:t>23,594,150.00</w:t>
            </w:r>
          </w:p>
        </w:tc>
        <w:tc>
          <w:tcPr>
            <w:tcW w:w="1659" w:type="pct"/>
            <w:shd w:val="clear" w:color="auto" w:fill="FFFFFF" w:themeFill="background1"/>
          </w:tcPr>
          <w:p w:rsidR="00311D99" w:rsidRPr="00311D99" w:rsidRDefault="00311D99" w:rsidP="00311D99">
            <w:pPr>
              <w:ind w:left="360"/>
              <w:jc w:val="center"/>
              <w:rPr>
                <w:rFonts w:ascii="Calibri" w:hAnsi="Calibri"/>
                <w:color w:val="000000"/>
                <w:sz w:val="22"/>
                <w:szCs w:val="22"/>
              </w:rPr>
            </w:pPr>
            <w:r>
              <w:rPr>
                <w:rFonts w:ascii="Calibri" w:hAnsi="Calibri"/>
                <w:color w:val="000000"/>
                <w:sz w:val="22"/>
                <w:szCs w:val="22"/>
              </w:rPr>
              <w:t>7,864,716.67</w:t>
            </w:r>
          </w:p>
        </w:tc>
        <w:tc>
          <w:tcPr>
            <w:tcW w:w="1468" w:type="pct"/>
            <w:shd w:val="clear" w:color="auto" w:fill="FFFFFF" w:themeFill="background1"/>
          </w:tcPr>
          <w:p w:rsidR="00311D99" w:rsidRPr="00311D99" w:rsidRDefault="00311D99" w:rsidP="00311D99">
            <w:pPr>
              <w:ind w:left="360"/>
              <w:jc w:val="center"/>
              <w:rPr>
                <w:rFonts w:ascii="Calibri" w:hAnsi="Calibri"/>
                <w:color w:val="000000"/>
                <w:sz w:val="22"/>
                <w:szCs w:val="22"/>
              </w:rPr>
            </w:pPr>
            <w:r>
              <w:rPr>
                <w:rFonts w:ascii="Calibri" w:hAnsi="Calibri"/>
                <w:color w:val="000000"/>
                <w:sz w:val="22"/>
                <w:szCs w:val="22"/>
              </w:rPr>
              <w:t>2019</w:t>
            </w:r>
          </w:p>
        </w:tc>
      </w:tr>
      <w:tr w:rsidR="00311D99" w:rsidRPr="00311D99" w:rsidTr="00311D99">
        <w:trPr>
          <w:trHeight w:val="312"/>
        </w:trPr>
        <w:tc>
          <w:tcPr>
            <w:tcW w:w="718" w:type="pct"/>
            <w:shd w:val="clear" w:color="auto" w:fill="FFFFFF" w:themeFill="background1"/>
            <w:tcMar>
              <w:top w:w="72" w:type="dxa"/>
              <w:left w:w="144" w:type="dxa"/>
              <w:bottom w:w="72" w:type="dxa"/>
              <w:right w:w="144" w:type="dxa"/>
            </w:tcMar>
          </w:tcPr>
          <w:p w:rsidR="00311D99" w:rsidRPr="00311D99" w:rsidRDefault="00311D99" w:rsidP="00311D99">
            <w:pPr>
              <w:ind w:left="360"/>
              <w:jc w:val="center"/>
              <w:rPr>
                <w:rFonts w:ascii="Calibri" w:hAnsi="Calibri"/>
                <w:color w:val="000000"/>
                <w:sz w:val="22"/>
                <w:szCs w:val="22"/>
              </w:rPr>
            </w:pPr>
            <w:r>
              <w:rPr>
                <w:rFonts w:ascii="Calibri" w:hAnsi="Calibri"/>
                <w:color w:val="000000"/>
                <w:sz w:val="22"/>
                <w:szCs w:val="22"/>
              </w:rPr>
              <w:t>2017</w:t>
            </w:r>
          </w:p>
        </w:tc>
        <w:tc>
          <w:tcPr>
            <w:tcW w:w="1154" w:type="pct"/>
            <w:shd w:val="clear" w:color="auto" w:fill="FFFFFF" w:themeFill="background1"/>
            <w:tcMar>
              <w:top w:w="72" w:type="dxa"/>
              <w:left w:w="144" w:type="dxa"/>
              <w:bottom w:w="72" w:type="dxa"/>
              <w:right w:w="144" w:type="dxa"/>
            </w:tcMar>
          </w:tcPr>
          <w:p w:rsidR="00311D99" w:rsidRPr="00311D99" w:rsidRDefault="00311D99" w:rsidP="00311D99">
            <w:pPr>
              <w:ind w:left="360"/>
              <w:jc w:val="center"/>
              <w:rPr>
                <w:rFonts w:ascii="Calibri" w:hAnsi="Calibri"/>
                <w:color w:val="000000"/>
                <w:sz w:val="22"/>
                <w:szCs w:val="22"/>
              </w:rPr>
            </w:pPr>
            <w:r>
              <w:rPr>
                <w:rFonts w:ascii="Calibri" w:hAnsi="Calibri"/>
                <w:color w:val="000000"/>
                <w:sz w:val="22"/>
                <w:szCs w:val="22"/>
              </w:rPr>
              <w:t>23,976,562.00</w:t>
            </w:r>
          </w:p>
        </w:tc>
        <w:tc>
          <w:tcPr>
            <w:tcW w:w="1659" w:type="pct"/>
            <w:shd w:val="clear" w:color="auto" w:fill="FFFFFF" w:themeFill="background1"/>
          </w:tcPr>
          <w:p w:rsidR="00311D99" w:rsidRPr="00311D99" w:rsidRDefault="00311D99" w:rsidP="00311D99">
            <w:pPr>
              <w:ind w:left="360"/>
              <w:jc w:val="center"/>
              <w:rPr>
                <w:rFonts w:ascii="Calibri" w:hAnsi="Calibri"/>
                <w:color w:val="000000"/>
                <w:sz w:val="22"/>
                <w:szCs w:val="22"/>
              </w:rPr>
            </w:pPr>
            <w:r>
              <w:rPr>
                <w:rFonts w:ascii="Calibri" w:hAnsi="Calibri"/>
                <w:color w:val="000000"/>
                <w:sz w:val="22"/>
                <w:szCs w:val="22"/>
              </w:rPr>
              <w:t>7,992,187.33</w:t>
            </w:r>
          </w:p>
        </w:tc>
        <w:tc>
          <w:tcPr>
            <w:tcW w:w="1468" w:type="pct"/>
            <w:shd w:val="clear" w:color="auto" w:fill="FFFFFF" w:themeFill="background1"/>
          </w:tcPr>
          <w:p w:rsidR="00311D99" w:rsidRPr="00311D99" w:rsidRDefault="00311D99" w:rsidP="00311D99">
            <w:pPr>
              <w:ind w:left="360"/>
              <w:jc w:val="center"/>
              <w:rPr>
                <w:rFonts w:ascii="Calibri" w:hAnsi="Calibri"/>
                <w:color w:val="000000"/>
                <w:sz w:val="22"/>
                <w:szCs w:val="22"/>
              </w:rPr>
            </w:pPr>
            <w:r>
              <w:rPr>
                <w:rFonts w:ascii="Calibri" w:hAnsi="Calibri"/>
                <w:color w:val="000000"/>
                <w:sz w:val="22"/>
                <w:szCs w:val="22"/>
              </w:rPr>
              <w:t>2020</w:t>
            </w:r>
          </w:p>
        </w:tc>
      </w:tr>
      <w:tr w:rsidR="00311D99" w:rsidRPr="00311D99" w:rsidTr="00311D99">
        <w:trPr>
          <w:trHeight w:val="312"/>
        </w:trPr>
        <w:tc>
          <w:tcPr>
            <w:tcW w:w="718" w:type="pct"/>
            <w:shd w:val="clear" w:color="auto" w:fill="FFFFFF" w:themeFill="background1"/>
            <w:tcMar>
              <w:top w:w="72" w:type="dxa"/>
              <w:left w:w="144" w:type="dxa"/>
              <w:bottom w:w="72" w:type="dxa"/>
              <w:right w:w="144" w:type="dxa"/>
            </w:tcMar>
          </w:tcPr>
          <w:p w:rsidR="00311D99" w:rsidRPr="00311D99" w:rsidRDefault="00311D99" w:rsidP="00311D99">
            <w:pPr>
              <w:ind w:left="360"/>
              <w:jc w:val="center"/>
              <w:rPr>
                <w:rFonts w:ascii="Calibri" w:hAnsi="Calibri"/>
                <w:color w:val="000000"/>
                <w:sz w:val="22"/>
                <w:szCs w:val="22"/>
              </w:rPr>
            </w:pPr>
            <w:r>
              <w:rPr>
                <w:rFonts w:ascii="Calibri" w:hAnsi="Calibri"/>
                <w:color w:val="000000"/>
                <w:sz w:val="22"/>
                <w:szCs w:val="22"/>
              </w:rPr>
              <w:t>2018</w:t>
            </w:r>
          </w:p>
        </w:tc>
        <w:tc>
          <w:tcPr>
            <w:tcW w:w="1154" w:type="pct"/>
            <w:shd w:val="clear" w:color="auto" w:fill="FFFFFF" w:themeFill="background1"/>
            <w:tcMar>
              <w:top w:w="72" w:type="dxa"/>
              <w:left w:w="144" w:type="dxa"/>
              <w:bottom w:w="72" w:type="dxa"/>
              <w:right w:w="144" w:type="dxa"/>
            </w:tcMar>
          </w:tcPr>
          <w:p w:rsidR="00311D99" w:rsidRPr="00311D99" w:rsidRDefault="00311D99" w:rsidP="00311D99">
            <w:pPr>
              <w:ind w:left="360"/>
              <w:jc w:val="center"/>
              <w:rPr>
                <w:rFonts w:ascii="Calibri" w:hAnsi="Calibri"/>
                <w:color w:val="000000"/>
                <w:sz w:val="22"/>
                <w:szCs w:val="22"/>
              </w:rPr>
            </w:pPr>
            <w:r>
              <w:rPr>
                <w:rFonts w:ascii="Calibri" w:hAnsi="Calibri"/>
                <w:color w:val="000000"/>
                <w:sz w:val="22"/>
                <w:szCs w:val="22"/>
              </w:rPr>
              <w:t>24,534,471.00</w:t>
            </w:r>
          </w:p>
        </w:tc>
        <w:tc>
          <w:tcPr>
            <w:tcW w:w="1659" w:type="pct"/>
            <w:shd w:val="clear" w:color="auto" w:fill="FFFFFF" w:themeFill="background1"/>
          </w:tcPr>
          <w:p w:rsidR="00311D99" w:rsidRPr="00311D99" w:rsidRDefault="00311D99" w:rsidP="00311D99">
            <w:pPr>
              <w:ind w:left="360"/>
              <w:jc w:val="center"/>
              <w:rPr>
                <w:rFonts w:ascii="Calibri" w:hAnsi="Calibri"/>
                <w:color w:val="000000"/>
                <w:sz w:val="22"/>
                <w:szCs w:val="22"/>
              </w:rPr>
            </w:pPr>
            <w:r>
              <w:rPr>
                <w:rFonts w:ascii="Calibri" w:hAnsi="Calibri"/>
                <w:color w:val="000000"/>
                <w:sz w:val="22"/>
                <w:szCs w:val="22"/>
              </w:rPr>
              <w:t>8,178,157.00</w:t>
            </w:r>
          </w:p>
        </w:tc>
        <w:tc>
          <w:tcPr>
            <w:tcW w:w="1468" w:type="pct"/>
            <w:shd w:val="clear" w:color="auto" w:fill="FFFFFF" w:themeFill="background1"/>
          </w:tcPr>
          <w:p w:rsidR="00311D99" w:rsidRPr="00311D99" w:rsidRDefault="00311D99" w:rsidP="00311D99">
            <w:pPr>
              <w:ind w:left="360"/>
              <w:jc w:val="center"/>
              <w:rPr>
                <w:rFonts w:ascii="Calibri" w:hAnsi="Calibri"/>
                <w:color w:val="000000"/>
                <w:sz w:val="22"/>
                <w:szCs w:val="22"/>
              </w:rPr>
            </w:pPr>
            <w:r>
              <w:rPr>
                <w:rFonts w:ascii="Calibri" w:hAnsi="Calibri"/>
                <w:color w:val="000000"/>
                <w:sz w:val="22"/>
                <w:szCs w:val="22"/>
              </w:rPr>
              <w:t>2021</w:t>
            </w:r>
          </w:p>
        </w:tc>
      </w:tr>
      <w:tr w:rsidR="00311D99" w:rsidRPr="00311D99" w:rsidTr="00311D99">
        <w:trPr>
          <w:trHeight w:val="312"/>
        </w:trPr>
        <w:tc>
          <w:tcPr>
            <w:tcW w:w="718" w:type="pct"/>
            <w:shd w:val="clear" w:color="auto" w:fill="FFFFFF" w:themeFill="background1"/>
            <w:tcMar>
              <w:top w:w="72" w:type="dxa"/>
              <w:left w:w="144" w:type="dxa"/>
              <w:bottom w:w="72" w:type="dxa"/>
              <w:right w:w="144" w:type="dxa"/>
            </w:tcMar>
          </w:tcPr>
          <w:p w:rsidR="00311D99" w:rsidRPr="00311D99" w:rsidRDefault="00311D99" w:rsidP="00311D99">
            <w:pPr>
              <w:ind w:left="360"/>
              <w:jc w:val="center"/>
              <w:rPr>
                <w:rFonts w:ascii="Calibri" w:hAnsi="Calibri"/>
                <w:color w:val="000000"/>
                <w:sz w:val="22"/>
                <w:szCs w:val="22"/>
              </w:rPr>
            </w:pPr>
            <w:r>
              <w:rPr>
                <w:rFonts w:ascii="Calibri" w:hAnsi="Calibri"/>
                <w:color w:val="000000"/>
                <w:sz w:val="22"/>
                <w:szCs w:val="22"/>
              </w:rPr>
              <w:t>2019</w:t>
            </w:r>
          </w:p>
        </w:tc>
        <w:tc>
          <w:tcPr>
            <w:tcW w:w="1154" w:type="pct"/>
            <w:shd w:val="clear" w:color="auto" w:fill="FFFFFF" w:themeFill="background1"/>
            <w:tcMar>
              <w:top w:w="72" w:type="dxa"/>
              <w:left w:w="144" w:type="dxa"/>
              <w:bottom w:w="72" w:type="dxa"/>
              <w:right w:w="144" w:type="dxa"/>
            </w:tcMar>
          </w:tcPr>
          <w:p w:rsidR="00311D99" w:rsidRPr="00311D99" w:rsidRDefault="00311D99" w:rsidP="00311D99">
            <w:pPr>
              <w:ind w:left="360"/>
              <w:jc w:val="center"/>
              <w:rPr>
                <w:rFonts w:ascii="Calibri" w:hAnsi="Calibri"/>
                <w:color w:val="000000"/>
                <w:sz w:val="22"/>
                <w:szCs w:val="22"/>
              </w:rPr>
            </w:pPr>
            <w:r>
              <w:rPr>
                <w:rFonts w:ascii="Calibri" w:hAnsi="Calibri"/>
                <w:color w:val="000000"/>
                <w:sz w:val="22"/>
                <w:szCs w:val="22"/>
              </w:rPr>
              <w:t>24,702,232.00</w:t>
            </w:r>
          </w:p>
        </w:tc>
        <w:tc>
          <w:tcPr>
            <w:tcW w:w="1659" w:type="pct"/>
            <w:shd w:val="clear" w:color="auto" w:fill="FFFFFF" w:themeFill="background1"/>
          </w:tcPr>
          <w:p w:rsidR="00311D99" w:rsidRPr="00311D99" w:rsidRDefault="00311D99" w:rsidP="00311D99">
            <w:pPr>
              <w:ind w:left="360"/>
              <w:jc w:val="center"/>
              <w:rPr>
                <w:rFonts w:ascii="Calibri" w:hAnsi="Calibri"/>
                <w:color w:val="000000"/>
                <w:sz w:val="22"/>
                <w:szCs w:val="22"/>
              </w:rPr>
            </w:pPr>
            <w:r>
              <w:rPr>
                <w:rFonts w:ascii="Calibri" w:hAnsi="Calibri"/>
                <w:color w:val="000000"/>
                <w:sz w:val="22"/>
                <w:szCs w:val="22"/>
              </w:rPr>
              <w:t>8,234,077.33</w:t>
            </w:r>
          </w:p>
        </w:tc>
        <w:tc>
          <w:tcPr>
            <w:tcW w:w="1468" w:type="pct"/>
            <w:shd w:val="clear" w:color="auto" w:fill="FFFFFF" w:themeFill="background1"/>
          </w:tcPr>
          <w:p w:rsidR="00311D99" w:rsidRPr="00311D99" w:rsidRDefault="00311D99" w:rsidP="00311D99">
            <w:pPr>
              <w:ind w:left="360"/>
              <w:jc w:val="center"/>
              <w:rPr>
                <w:rFonts w:ascii="Calibri" w:hAnsi="Calibri"/>
                <w:color w:val="000000"/>
                <w:sz w:val="22"/>
                <w:szCs w:val="22"/>
              </w:rPr>
            </w:pPr>
            <w:r>
              <w:rPr>
                <w:rFonts w:ascii="Calibri" w:hAnsi="Calibri"/>
                <w:color w:val="000000"/>
                <w:sz w:val="22"/>
                <w:szCs w:val="22"/>
              </w:rPr>
              <w:t>2022</w:t>
            </w:r>
          </w:p>
        </w:tc>
      </w:tr>
      <w:tr w:rsidR="00311D99" w:rsidRPr="00311D99" w:rsidTr="00311D99">
        <w:trPr>
          <w:trHeight w:val="312"/>
        </w:trPr>
        <w:tc>
          <w:tcPr>
            <w:tcW w:w="718" w:type="pct"/>
            <w:shd w:val="clear" w:color="auto" w:fill="FFFFFF" w:themeFill="background1"/>
            <w:tcMar>
              <w:top w:w="72" w:type="dxa"/>
              <w:left w:w="144" w:type="dxa"/>
              <w:bottom w:w="72" w:type="dxa"/>
              <w:right w:w="144" w:type="dxa"/>
            </w:tcMar>
          </w:tcPr>
          <w:p w:rsidR="00311D99" w:rsidRPr="00311D99" w:rsidRDefault="00311D99" w:rsidP="00311D99">
            <w:pPr>
              <w:ind w:left="360"/>
              <w:jc w:val="center"/>
              <w:rPr>
                <w:rFonts w:ascii="Calibri" w:hAnsi="Calibri"/>
                <w:color w:val="000000"/>
                <w:sz w:val="22"/>
                <w:szCs w:val="22"/>
              </w:rPr>
            </w:pPr>
            <w:r>
              <w:rPr>
                <w:rFonts w:ascii="Calibri" w:hAnsi="Calibri"/>
                <w:color w:val="000000"/>
                <w:sz w:val="22"/>
                <w:szCs w:val="22"/>
              </w:rPr>
              <w:t>2020</w:t>
            </w:r>
          </w:p>
        </w:tc>
        <w:tc>
          <w:tcPr>
            <w:tcW w:w="1154" w:type="pct"/>
            <w:shd w:val="clear" w:color="auto" w:fill="FFFFFF" w:themeFill="background1"/>
            <w:tcMar>
              <w:top w:w="72" w:type="dxa"/>
              <w:left w:w="144" w:type="dxa"/>
              <w:bottom w:w="72" w:type="dxa"/>
              <w:right w:w="144" w:type="dxa"/>
            </w:tcMar>
          </w:tcPr>
          <w:p w:rsidR="00311D99" w:rsidRPr="00311D99" w:rsidRDefault="00311D99" w:rsidP="00311D99">
            <w:pPr>
              <w:ind w:left="360"/>
              <w:jc w:val="center"/>
              <w:rPr>
                <w:rFonts w:ascii="Calibri" w:hAnsi="Calibri"/>
                <w:color w:val="000000"/>
                <w:sz w:val="22"/>
                <w:szCs w:val="22"/>
              </w:rPr>
            </w:pPr>
            <w:r>
              <w:rPr>
                <w:rFonts w:ascii="Calibri" w:hAnsi="Calibri"/>
                <w:color w:val="000000"/>
                <w:sz w:val="22"/>
                <w:szCs w:val="22"/>
              </w:rPr>
              <w:t>25,148,019.00</w:t>
            </w:r>
          </w:p>
        </w:tc>
        <w:tc>
          <w:tcPr>
            <w:tcW w:w="1659" w:type="pct"/>
            <w:shd w:val="clear" w:color="auto" w:fill="FFFFFF" w:themeFill="background1"/>
          </w:tcPr>
          <w:p w:rsidR="00311D99" w:rsidRPr="00311D99" w:rsidRDefault="00311D99" w:rsidP="00311D99">
            <w:pPr>
              <w:ind w:left="360"/>
              <w:jc w:val="center"/>
              <w:rPr>
                <w:rFonts w:ascii="Calibri" w:hAnsi="Calibri"/>
                <w:color w:val="000000"/>
                <w:sz w:val="22"/>
                <w:szCs w:val="22"/>
              </w:rPr>
            </w:pPr>
            <w:r>
              <w:rPr>
                <w:rFonts w:ascii="Calibri" w:hAnsi="Calibri"/>
                <w:color w:val="000000"/>
                <w:sz w:val="22"/>
                <w:szCs w:val="22"/>
              </w:rPr>
              <w:t>7,529,926.50</w:t>
            </w:r>
          </w:p>
        </w:tc>
        <w:tc>
          <w:tcPr>
            <w:tcW w:w="1468" w:type="pct"/>
            <w:shd w:val="clear" w:color="auto" w:fill="FFFFFF" w:themeFill="background1"/>
          </w:tcPr>
          <w:p w:rsidR="00311D99" w:rsidRPr="00311D99" w:rsidRDefault="00311D99" w:rsidP="00311D99">
            <w:pPr>
              <w:ind w:left="360"/>
              <w:jc w:val="center"/>
              <w:rPr>
                <w:rFonts w:ascii="Calibri" w:hAnsi="Calibri"/>
                <w:color w:val="000000"/>
                <w:sz w:val="22"/>
                <w:szCs w:val="22"/>
              </w:rPr>
            </w:pPr>
            <w:r>
              <w:rPr>
                <w:rFonts w:ascii="Calibri" w:hAnsi="Calibri"/>
                <w:color w:val="000000"/>
                <w:sz w:val="22"/>
                <w:szCs w:val="22"/>
              </w:rPr>
              <w:t>2023</w:t>
            </w:r>
          </w:p>
        </w:tc>
      </w:tr>
      <w:tr w:rsidR="00311D99" w:rsidRPr="00311D99" w:rsidTr="00311D99">
        <w:trPr>
          <w:trHeight w:val="312"/>
        </w:trPr>
        <w:tc>
          <w:tcPr>
            <w:tcW w:w="718" w:type="pct"/>
            <w:shd w:val="clear" w:color="auto" w:fill="FFFFFF" w:themeFill="background1"/>
            <w:tcMar>
              <w:top w:w="72" w:type="dxa"/>
              <w:left w:w="144" w:type="dxa"/>
              <w:bottom w:w="72" w:type="dxa"/>
              <w:right w:w="144" w:type="dxa"/>
            </w:tcMar>
          </w:tcPr>
          <w:p w:rsidR="00311D99" w:rsidRPr="00311D99" w:rsidRDefault="00311D99" w:rsidP="00311D99">
            <w:pPr>
              <w:ind w:left="360"/>
              <w:jc w:val="center"/>
              <w:rPr>
                <w:rFonts w:ascii="Calibri" w:hAnsi="Calibri"/>
                <w:b/>
                <w:color w:val="000000"/>
                <w:sz w:val="22"/>
                <w:szCs w:val="22"/>
              </w:rPr>
            </w:pPr>
            <w:r>
              <w:rPr>
                <w:rFonts w:ascii="Calibri" w:hAnsi="Calibri"/>
                <w:b/>
                <w:color w:val="000000"/>
                <w:sz w:val="22"/>
                <w:szCs w:val="22"/>
              </w:rPr>
              <w:t>Total</w:t>
            </w:r>
          </w:p>
        </w:tc>
        <w:tc>
          <w:tcPr>
            <w:tcW w:w="1154" w:type="pct"/>
            <w:shd w:val="clear" w:color="auto" w:fill="FFFFFF" w:themeFill="background1"/>
            <w:tcMar>
              <w:top w:w="72" w:type="dxa"/>
              <w:left w:w="144" w:type="dxa"/>
              <w:bottom w:w="72" w:type="dxa"/>
              <w:right w:w="144" w:type="dxa"/>
            </w:tcMar>
          </w:tcPr>
          <w:p w:rsidR="00311D99" w:rsidRPr="00311D99" w:rsidRDefault="00311D99" w:rsidP="00311D99">
            <w:pPr>
              <w:ind w:left="360"/>
              <w:jc w:val="center"/>
              <w:rPr>
                <w:rFonts w:ascii="Calibri" w:hAnsi="Calibri"/>
                <w:b/>
                <w:color w:val="000000"/>
                <w:sz w:val="22"/>
                <w:szCs w:val="22"/>
              </w:rPr>
            </w:pPr>
            <w:r>
              <w:rPr>
                <w:rFonts w:ascii="Calibri" w:hAnsi="Calibri"/>
                <w:b/>
                <w:color w:val="000000"/>
                <w:sz w:val="22"/>
                <w:szCs w:val="22"/>
              </w:rPr>
              <w:t>168,421,371</w:t>
            </w:r>
          </w:p>
        </w:tc>
        <w:tc>
          <w:tcPr>
            <w:tcW w:w="1659" w:type="pct"/>
            <w:shd w:val="clear" w:color="auto" w:fill="FFFFFF" w:themeFill="background1"/>
          </w:tcPr>
          <w:p w:rsidR="00311D99" w:rsidRPr="00311D99" w:rsidRDefault="00311D99" w:rsidP="00311D99">
            <w:pPr>
              <w:ind w:left="360"/>
              <w:jc w:val="center"/>
              <w:rPr>
                <w:rFonts w:ascii="Calibri" w:hAnsi="Calibri"/>
                <w:b/>
                <w:color w:val="000000"/>
                <w:sz w:val="22"/>
                <w:szCs w:val="22"/>
              </w:rPr>
            </w:pPr>
            <w:r>
              <w:rPr>
                <w:rFonts w:ascii="Calibri" w:hAnsi="Calibri"/>
                <w:b/>
                <w:color w:val="000000"/>
                <w:sz w:val="22"/>
                <w:szCs w:val="22"/>
              </w:rPr>
              <w:t>55,287,710.5</w:t>
            </w:r>
          </w:p>
        </w:tc>
        <w:tc>
          <w:tcPr>
            <w:tcW w:w="1468" w:type="pct"/>
            <w:shd w:val="clear" w:color="auto" w:fill="FFFFFF" w:themeFill="background1"/>
          </w:tcPr>
          <w:p w:rsidR="00311D99" w:rsidRPr="00311D99" w:rsidRDefault="00311D99" w:rsidP="00311D99">
            <w:pPr>
              <w:ind w:left="360"/>
              <w:jc w:val="center"/>
              <w:rPr>
                <w:rFonts w:ascii="Calibri" w:hAnsi="Calibri"/>
                <w:b/>
                <w:color w:val="000000"/>
                <w:sz w:val="22"/>
                <w:szCs w:val="22"/>
                <w:lang w:eastAsia="ro-RO"/>
              </w:rPr>
            </w:pPr>
          </w:p>
        </w:tc>
      </w:tr>
    </w:tbl>
    <w:p w:rsidR="00311D99" w:rsidRPr="00311D99" w:rsidRDefault="00311D99" w:rsidP="00311D99">
      <w:pPr>
        <w:rPr>
          <w:rFonts w:ascii="Calibri" w:hAnsi="Calibri"/>
          <w:color w:val="000000"/>
          <w:sz w:val="22"/>
          <w:szCs w:val="22"/>
          <w:lang w:val="ro-RO" w:eastAsia="ro-RO"/>
        </w:rPr>
      </w:pPr>
    </w:p>
    <w:p w:rsidR="00311D99" w:rsidRPr="00311D99" w:rsidRDefault="00311D99" w:rsidP="00311D99">
      <w:pPr>
        <w:spacing w:line="276" w:lineRule="auto"/>
        <w:contextualSpacing/>
        <w:rPr>
          <w:rFonts w:ascii="Calibri" w:eastAsia="Calibri" w:hAnsi="Calibri"/>
          <w:b/>
          <w:color w:val="000000"/>
          <w:szCs w:val="22"/>
        </w:rPr>
      </w:pPr>
      <w:r>
        <w:rPr>
          <w:rFonts w:ascii="Calibri" w:hAnsi="Calibri"/>
          <w:b/>
          <w:color w:val="000000"/>
          <w:szCs w:val="22"/>
        </w:rPr>
        <w:t>Budget commitments on October 22, 2018:</w:t>
      </w:r>
    </w:p>
    <w:p w:rsidR="00311D99" w:rsidRPr="00311D99" w:rsidRDefault="00311D99" w:rsidP="00311D99">
      <w:pPr>
        <w:spacing w:line="276" w:lineRule="auto"/>
        <w:contextualSpacing/>
        <w:rPr>
          <w:rFonts w:ascii="Calibri" w:eastAsia="Calibri" w:hAnsi="Calibri"/>
          <w:b/>
          <w:color w:val="000000"/>
          <w:szCs w:val="22"/>
          <w:lang w:val="ro-RO"/>
        </w:rPr>
      </w:pPr>
    </w:p>
    <w:p w:rsidR="00311D99" w:rsidRPr="00311D99" w:rsidRDefault="00311D99" w:rsidP="00311D99">
      <w:pPr>
        <w:tabs>
          <w:tab w:val="left" w:pos="709"/>
          <w:tab w:val="left" w:pos="1899"/>
        </w:tabs>
        <w:ind w:right="-108"/>
        <w:jc w:val="both"/>
        <w:rPr>
          <w:rFonts w:ascii="Calibri" w:eastAsia="Calibri" w:hAnsi="Calibri" w:cs="Arial"/>
          <w:b/>
          <w:color w:val="000000" w:themeColor="text1"/>
        </w:rPr>
      </w:pPr>
      <w:r>
        <w:rPr>
          <w:rFonts w:ascii="Calibri" w:hAnsi="Calibri"/>
          <w:b/>
          <w:color w:val="000000" w:themeColor="text1"/>
        </w:rPr>
        <w:t>FINANCING AGREEMENTS WITH THE BENEFICIARIES: 168</w:t>
      </w:r>
    </w:p>
    <w:p w:rsidR="00311D99" w:rsidRPr="00311D99" w:rsidRDefault="00311D99" w:rsidP="00311D99">
      <w:pPr>
        <w:tabs>
          <w:tab w:val="left" w:pos="709"/>
          <w:tab w:val="left" w:pos="1899"/>
        </w:tabs>
        <w:ind w:right="-108"/>
        <w:jc w:val="both"/>
        <w:rPr>
          <w:rFonts w:ascii="Calibri" w:eastAsia="Calibri" w:hAnsi="Calibri" w:cs="Arial"/>
          <w:color w:val="000000" w:themeColor="text1"/>
        </w:rPr>
      </w:pPr>
      <w:r>
        <w:rPr>
          <w:rFonts w:ascii="Calibri" w:hAnsi="Calibri"/>
          <w:color w:val="000000" w:themeColor="text1"/>
        </w:rPr>
        <w:t>Total eligible value from the FINANCING AGREEMENTS WITH THE BENEFICIARIES: Lei 518,394,414.40</w:t>
      </w:r>
    </w:p>
    <w:p w:rsidR="00311D99" w:rsidRPr="00311D99" w:rsidRDefault="00311D99" w:rsidP="00311D99">
      <w:pPr>
        <w:tabs>
          <w:tab w:val="left" w:pos="709"/>
          <w:tab w:val="left" w:pos="1899"/>
        </w:tabs>
        <w:ind w:right="-108"/>
        <w:jc w:val="both"/>
        <w:rPr>
          <w:rFonts w:ascii="Calibri" w:eastAsia="Calibri" w:hAnsi="Calibri" w:cs="Arial"/>
          <w:color w:val="000000" w:themeColor="text1"/>
        </w:rPr>
      </w:pPr>
      <w:r>
        <w:rPr>
          <w:rFonts w:ascii="Calibri" w:hAnsi="Calibri"/>
          <w:color w:val="000000" w:themeColor="text1"/>
        </w:rPr>
        <w:t>Value of non-reimbursable contribution from the FINANCING AGREEMENTS WITH THE BENEFICIARIES: 374,199,886.84 Lei (of which EU contribution: Lei 283,240,145.47)</w:t>
      </w:r>
    </w:p>
    <w:p w:rsidR="00311D99" w:rsidRPr="00311D99" w:rsidRDefault="00311D99" w:rsidP="00311D99">
      <w:pPr>
        <w:tabs>
          <w:tab w:val="left" w:pos="709"/>
          <w:tab w:val="left" w:pos="1899"/>
        </w:tabs>
        <w:ind w:right="-108"/>
        <w:jc w:val="both"/>
        <w:rPr>
          <w:rFonts w:ascii="Calibri" w:eastAsia="Calibri" w:hAnsi="Calibri" w:cs="Arial"/>
          <w:color w:val="000000" w:themeColor="text1"/>
        </w:rPr>
      </w:pPr>
      <w:r>
        <w:rPr>
          <w:rFonts w:ascii="Calibri" w:hAnsi="Calibri"/>
          <w:color w:val="000000" w:themeColor="text1"/>
        </w:rPr>
        <w:t>of which:</w:t>
      </w:r>
    </w:p>
    <w:p w:rsidR="00311D99" w:rsidRPr="00311D99" w:rsidRDefault="00311D99" w:rsidP="00311D99">
      <w:pPr>
        <w:numPr>
          <w:ilvl w:val="0"/>
          <w:numId w:val="71"/>
        </w:numPr>
        <w:tabs>
          <w:tab w:val="left" w:pos="709"/>
          <w:tab w:val="left" w:pos="1899"/>
        </w:tabs>
        <w:ind w:right="-108"/>
        <w:contextualSpacing/>
        <w:jc w:val="both"/>
        <w:rPr>
          <w:rFonts w:ascii="Calibri" w:eastAsia="Calibri" w:hAnsi="Calibri" w:cs="Arial"/>
          <w:color w:val="000000" w:themeColor="text1"/>
        </w:rPr>
      </w:pPr>
      <w:r>
        <w:rPr>
          <w:rFonts w:ascii="Calibri" w:hAnsi="Calibri"/>
          <w:color w:val="000000" w:themeColor="text1"/>
        </w:rPr>
        <w:t>Terminated agreements: 4</w:t>
      </w:r>
    </w:p>
    <w:p w:rsidR="00311D99" w:rsidRPr="00311D99" w:rsidRDefault="00311D99" w:rsidP="00311D99">
      <w:pPr>
        <w:tabs>
          <w:tab w:val="left" w:pos="709"/>
          <w:tab w:val="left" w:pos="1899"/>
        </w:tabs>
        <w:ind w:right="-108"/>
        <w:jc w:val="both"/>
        <w:rPr>
          <w:rFonts w:ascii="Calibri" w:eastAsia="Calibri" w:hAnsi="Calibri" w:cs="Arial"/>
          <w:color w:val="000000" w:themeColor="text1"/>
        </w:rPr>
      </w:pPr>
      <w:r>
        <w:rPr>
          <w:rFonts w:ascii="Calibri" w:hAnsi="Calibri"/>
          <w:color w:val="000000" w:themeColor="text1"/>
        </w:rPr>
        <w:t>Total eligible value of terminated agreements: 7,631,347.46 Lei (of which EU contribution: Lei 3,793,531.70)</w:t>
      </w:r>
    </w:p>
    <w:p w:rsidR="00311D99" w:rsidRPr="00311D99" w:rsidRDefault="00311D99" w:rsidP="00311D99">
      <w:pPr>
        <w:numPr>
          <w:ilvl w:val="0"/>
          <w:numId w:val="71"/>
        </w:numPr>
        <w:tabs>
          <w:tab w:val="left" w:pos="709"/>
          <w:tab w:val="left" w:pos="1899"/>
        </w:tabs>
        <w:ind w:right="-108"/>
        <w:contextualSpacing/>
        <w:jc w:val="both"/>
        <w:rPr>
          <w:rFonts w:ascii="Calibri" w:eastAsia="Calibri" w:hAnsi="Calibri" w:cs="Arial"/>
          <w:color w:val="000000" w:themeColor="text1"/>
        </w:rPr>
      </w:pPr>
      <w:r>
        <w:rPr>
          <w:rFonts w:ascii="Calibri" w:hAnsi="Calibri"/>
          <w:color w:val="000000" w:themeColor="text1"/>
        </w:rPr>
        <w:t>Completed agreements: 75</w:t>
      </w:r>
    </w:p>
    <w:p w:rsidR="00311D99" w:rsidRPr="00311D99" w:rsidRDefault="00311D99" w:rsidP="00311D99">
      <w:pPr>
        <w:tabs>
          <w:tab w:val="left" w:pos="709"/>
          <w:tab w:val="left" w:pos="1899"/>
        </w:tabs>
        <w:ind w:right="-108"/>
        <w:jc w:val="both"/>
        <w:rPr>
          <w:rFonts w:ascii="Calibri" w:eastAsia="Calibri" w:hAnsi="Calibri" w:cs="Arial"/>
          <w:color w:val="000000" w:themeColor="text1"/>
        </w:rPr>
      </w:pPr>
      <w:r>
        <w:rPr>
          <w:rFonts w:ascii="Calibri" w:hAnsi="Calibri"/>
          <w:color w:val="000000" w:themeColor="text1"/>
        </w:rPr>
        <w:t>Total eligible value of completed agreements: 140,336,820.91 Lei (of which EU contribution: Lei 94,943,989.97)</w:t>
      </w:r>
    </w:p>
    <w:p w:rsidR="00311D99" w:rsidRPr="00311D99" w:rsidRDefault="00311D99" w:rsidP="00311D99">
      <w:pPr>
        <w:numPr>
          <w:ilvl w:val="0"/>
          <w:numId w:val="71"/>
        </w:numPr>
        <w:tabs>
          <w:tab w:val="left" w:pos="709"/>
          <w:tab w:val="left" w:pos="1899"/>
        </w:tabs>
        <w:ind w:right="-108"/>
        <w:contextualSpacing/>
        <w:jc w:val="both"/>
        <w:rPr>
          <w:rFonts w:ascii="Calibri" w:eastAsia="Calibri" w:hAnsi="Calibri" w:cs="Arial"/>
          <w:color w:val="000000" w:themeColor="text1"/>
        </w:rPr>
      </w:pPr>
      <w:r>
        <w:rPr>
          <w:rFonts w:ascii="Calibri" w:hAnsi="Calibri"/>
          <w:color w:val="000000" w:themeColor="text1"/>
        </w:rPr>
        <w:t>Agreements under implementation: 89</w:t>
      </w:r>
    </w:p>
    <w:p w:rsidR="00311D99" w:rsidRPr="00311D99" w:rsidRDefault="00311D99" w:rsidP="00311D99">
      <w:pPr>
        <w:tabs>
          <w:tab w:val="left" w:pos="709"/>
          <w:tab w:val="left" w:pos="1899"/>
        </w:tabs>
        <w:ind w:right="-108"/>
        <w:jc w:val="both"/>
        <w:rPr>
          <w:rFonts w:ascii="Calibri" w:eastAsia="Calibri" w:hAnsi="Calibri" w:cs="Arial"/>
          <w:color w:val="000000" w:themeColor="text1"/>
        </w:rPr>
      </w:pPr>
      <w:r>
        <w:rPr>
          <w:rFonts w:ascii="Calibri" w:hAnsi="Calibri"/>
          <w:color w:val="000000" w:themeColor="text1"/>
        </w:rPr>
        <w:t>Total eligible value of agreements under implementation: Lei 370,426,246.02</w:t>
      </w:r>
    </w:p>
    <w:p w:rsidR="00311D99" w:rsidRPr="00311D99" w:rsidRDefault="00311D99" w:rsidP="00311D99">
      <w:pPr>
        <w:spacing w:line="276" w:lineRule="auto"/>
        <w:contextualSpacing/>
        <w:rPr>
          <w:rFonts w:ascii="Calibri" w:eastAsia="Calibri" w:hAnsi="Calibri"/>
          <w:color w:val="000000"/>
          <w:szCs w:val="22"/>
          <w:lang w:val="ro-RO"/>
        </w:rPr>
      </w:pPr>
    </w:p>
    <w:p w:rsidR="00311D99" w:rsidRPr="00311D99" w:rsidRDefault="00311D99" w:rsidP="00311D99">
      <w:pPr>
        <w:tabs>
          <w:tab w:val="left" w:pos="709"/>
          <w:tab w:val="left" w:pos="1899"/>
        </w:tabs>
        <w:ind w:right="-108"/>
        <w:jc w:val="both"/>
        <w:rPr>
          <w:rFonts w:ascii="Calibri" w:eastAsia="Calibri" w:hAnsi="Calibri" w:cs="Arial"/>
          <w:b/>
          <w:color w:val="000000" w:themeColor="text1"/>
        </w:rPr>
      </w:pPr>
      <w:r>
        <w:rPr>
          <w:rFonts w:ascii="Calibri" w:hAnsi="Calibri"/>
          <w:b/>
          <w:color w:val="000000" w:themeColor="text1"/>
        </w:rPr>
        <w:t>Degree of commitment of the allocated amounts = 35.82%.</w:t>
      </w:r>
    </w:p>
    <w:p w:rsidR="00311D99" w:rsidRPr="00311D99" w:rsidRDefault="00311D99" w:rsidP="00311D99">
      <w:pPr>
        <w:tabs>
          <w:tab w:val="left" w:pos="709"/>
          <w:tab w:val="left" w:pos="1899"/>
        </w:tabs>
        <w:spacing w:before="120"/>
        <w:ind w:right="-108"/>
        <w:jc w:val="both"/>
        <w:rPr>
          <w:rFonts w:ascii="Calibri" w:eastAsia="Calibri" w:hAnsi="Calibri" w:cs="Arial"/>
          <w:b/>
          <w:color w:val="000000" w:themeColor="text1"/>
        </w:rPr>
      </w:pPr>
      <w:r>
        <w:rPr>
          <w:rFonts w:ascii="Calibri" w:hAnsi="Calibri"/>
          <w:b/>
          <w:color w:val="000000" w:themeColor="text1"/>
        </w:rPr>
        <w:t>Payments to beneficiaries as of October 22, 2018:</w:t>
      </w:r>
    </w:p>
    <w:p w:rsidR="00311D99" w:rsidRPr="00311D99" w:rsidRDefault="00311D99" w:rsidP="00311D99">
      <w:pPr>
        <w:tabs>
          <w:tab w:val="left" w:pos="709"/>
          <w:tab w:val="left" w:pos="1899"/>
        </w:tabs>
        <w:ind w:right="-108"/>
        <w:jc w:val="both"/>
        <w:rPr>
          <w:rFonts w:ascii="Calibri" w:eastAsia="Calibri" w:hAnsi="Calibri" w:cs="Arial"/>
          <w:color w:val="000000" w:themeColor="text1"/>
          <w:lang w:val="ro-RO"/>
        </w:rPr>
      </w:pPr>
    </w:p>
    <w:tbl>
      <w:tblPr>
        <w:tblStyle w:val="Tabelgril13"/>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1492"/>
        <w:gridCol w:w="1736"/>
        <w:gridCol w:w="1614"/>
        <w:gridCol w:w="1736"/>
        <w:gridCol w:w="1610"/>
      </w:tblGrid>
      <w:tr w:rsidR="00311D99" w:rsidRPr="00AC4302" w:rsidTr="00311D99">
        <w:trPr>
          <w:trHeight w:val="274"/>
        </w:trPr>
        <w:tc>
          <w:tcPr>
            <w:tcW w:w="2915" w:type="dxa"/>
            <w:gridSpan w:val="2"/>
            <w:tcBorders>
              <w:top w:val="single" w:sz="4" w:space="0" w:color="auto"/>
            </w:tcBorders>
            <w:noWrap/>
            <w:vAlign w:val="center"/>
            <w:hideMark/>
          </w:tcPr>
          <w:p w:rsidR="00311D99" w:rsidRPr="00311D99" w:rsidRDefault="00311D99" w:rsidP="00311D99">
            <w:pPr>
              <w:tabs>
                <w:tab w:val="left" w:pos="709"/>
                <w:tab w:val="left" w:pos="1899"/>
              </w:tabs>
              <w:ind w:right="-108"/>
              <w:jc w:val="both"/>
              <w:rPr>
                <w:rFonts w:ascii="Calibri" w:hAnsi="Calibri" w:cs="Arial"/>
                <w:b/>
                <w:color w:val="000000" w:themeColor="text1"/>
              </w:rPr>
            </w:pPr>
            <w:r>
              <w:rPr>
                <w:rFonts w:ascii="Calibri" w:hAnsi="Calibri"/>
                <w:b/>
                <w:color w:val="000000" w:themeColor="text1"/>
              </w:rPr>
              <w:t>Pre-financing (Lei)</w:t>
            </w:r>
          </w:p>
        </w:tc>
        <w:tc>
          <w:tcPr>
            <w:tcW w:w="3350" w:type="dxa"/>
            <w:gridSpan w:val="2"/>
            <w:tcBorders>
              <w:top w:val="single" w:sz="4" w:space="0" w:color="auto"/>
            </w:tcBorders>
            <w:noWrap/>
            <w:vAlign w:val="center"/>
            <w:hideMark/>
          </w:tcPr>
          <w:p w:rsidR="00311D99" w:rsidRPr="00311D99" w:rsidRDefault="00311D99" w:rsidP="00311D99">
            <w:pPr>
              <w:tabs>
                <w:tab w:val="left" w:pos="709"/>
                <w:tab w:val="left" w:pos="1899"/>
              </w:tabs>
              <w:ind w:right="-108"/>
              <w:jc w:val="both"/>
              <w:rPr>
                <w:rFonts w:ascii="Calibri" w:hAnsi="Calibri" w:cs="Arial"/>
                <w:b/>
                <w:color w:val="000000" w:themeColor="text1"/>
              </w:rPr>
            </w:pPr>
            <w:r>
              <w:rPr>
                <w:rFonts w:ascii="Calibri" w:hAnsi="Calibri"/>
                <w:b/>
                <w:color w:val="000000" w:themeColor="text1"/>
              </w:rPr>
              <w:t>Reimbursements (Lei)</w:t>
            </w:r>
          </w:p>
        </w:tc>
        <w:tc>
          <w:tcPr>
            <w:tcW w:w="1736" w:type="dxa"/>
            <w:vMerge w:val="restart"/>
            <w:tcBorders>
              <w:top w:val="single" w:sz="4" w:space="0" w:color="auto"/>
            </w:tcBorders>
            <w:vAlign w:val="center"/>
            <w:hideMark/>
          </w:tcPr>
          <w:p w:rsidR="00311D99" w:rsidRPr="00311D99" w:rsidRDefault="00311D99" w:rsidP="00311D99">
            <w:pPr>
              <w:tabs>
                <w:tab w:val="left" w:pos="709"/>
                <w:tab w:val="left" w:pos="1899"/>
              </w:tabs>
              <w:ind w:right="-108"/>
              <w:jc w:val="center"/>
              <w:rPr>
                <w:rFonts w:ascii="Calibri" w:hAnsi="Calibri" w:cs="Arial"/>
                <w:b/>
                <w:color w:val="000000" w:themeColor="text1"/>
              </w:rPr>
            </w:pPr>
            <w:r>
              <w:rPr>
                <w:rFonts w:ascii="Calibri" w:hAnsi="Calibri"/>
                <w:b/>
                <w:color w:val="000000" w:themeColor="text1"/>
              </w:rPr>
              <w:t>Total (Lei)</w:t>
            </w:r>
          </w:p>
        </w:tc>
        <w:tc>
          <w:tcPr>
            <w:tcW w:w="1610" w:type="dxa"/>
            <w:vMerge w:val="restart"/>
            <w:tcBorders>
              <w:top w:val="single" w:sz="4" w:space="0" w:color="auto"/>
            </w:tcBorders>
            <w:vAlign w:val="center"/>
            <w:hideMark/>
          </w:tcPr>
          <w:p w:rsidR="00311D99" w:rsidRPr="00311D99" w:rsidRDefault="00311D99" w:rsidP="00311D99">
            <w:pPr>
              <w:tabs>
                <w:tab w:val="left" w:pos="709"/>
                <w:tab w:val="left" w:pos="1899"/>
              </w:tabs>
              <w:ind w:right="-108"/>
              <w:jc w:val="center"/>
              <w:rPr>
                <w:rFonts w:ascii="Calibri" w:hAnsi="Calibri" w:cs="Arial"/>
                <w:b/>
                <w:color w:val="000000" w:themeColor="text1"/>
              </w:rPr>
            </w:pPr>
            <w:r>
              <w:rPr>
                <w:rFonts w:ascii="Calibri" w:hAnsi="Calibri"/>
                <w:b/>
                <w:color w:val="000000" w:themeColor="text1"/>
              </w:rPr>
              <w:t>Payment installment for the beneficiary %</w:t>
            </w:r>
          </w:p>
        </w:tc>
      </w:tr>
      <w:tr w:rsidR="00311D99" w:rsidRPr="00311D99" w:rsidTr="00311D99">
        <w:trPr>
          <w:trHeight w:val="293"/>
        </w:trPr>
        <w:tc>
          <w:tcPr>
            <w:tcW w:w="1492" w:type="dxa"/>
            <w:vMerge w:val="restart"/>
            <w:vAlign w:val="center"/>
            <w:hideMark/>
          </w:tcPr>
          <w:p w:rsidR="00311D99" w:rsidRPr="00311D99" w:rsidRDefault="00311D99" w:rsidP="00311D99">
            <w:pPr>
              <w:tabs>
                <w:tab w:val="left" w:pos="709"/>
                <w:tab w:val="left" w:pos="1899"/>
              </w:tabs>
              <w:ind w:right="-108"/>
              <w:jc w:val="center"/>
              <w:rPr>
                <w:rFonts w:ascii="Calibri" w:hAnsi="Calibri" w:cs="Arial"/>
                <w:b/>
                <w:color w:val="000000" w:themeColor="text1"/>
              </w:rPr>
            </w:pPr>
            <w:r>
              <w:rPr>
                <w:rFonts w:ascii="Calibri" w:hAnsi="Calibri"/>
                <w:b/>
                <w:color w:val="000000" w:themeColor="text1"/>
              </w:rPr>
              <w:t>EU contribution</w:t>
            </w:r>
          </w:p>
        </w:tc>
        <w:tc>
          <w:tcPr>
            <w:tcW w:w="1423" w:type="dxa"/>
            <w:vMerge w:val="restart"/>
            <w:vAlign w:val="center"/>
            <w:hideMark/>
          </w:tcPr>
          <w:p w:rsidR="00311D99" w:rsidRPr="00311D99" w:rsidRDefault="00311D99" w:rsidP="00311D99">
            <w:pPr>
              <w:tabs>
                <w:tab w:val="left" w:pos="709"/>
                <w:tab w:val="left" w:pos="1899"/>
              </w:tabs>
              <w:ind w:right="-108"/>
              <w:jc w:val="center"/>
              <w:rPr>
                <w:rFonts w:ascii="Calibri" w:hAnsi="Calibri" w:cs="Arial"/>
                <w:b/>
                <w:color w:val="000000" w:themeColor="text1"/>
              </w:rPr>
            </w:pPr>
            <w:r>
              <w:rPr>
                <w:rFonts w:ascii="Calibri" w:hAnsi="Calibri"/>
                <w:b/>
                <w:color w:val="000000" w:themeColor="text1"/>
              </w:rPr>
              <w:t>National contribution</w:t>
            </w:r>
          </w:p>
        </w:tc>
        <w:tc>
          <w:tcPr>
            <w:tcW w:w="1736" w:type="dxa"/>
            <w:vMerge w:val="restart"/>
            <w:vAlign w:val="center"/>
            <w:hideMark/>
          </w:tcPr>
          <w:p w:rsidR="00311D99" w:rsidRPr="00311D99" w:rsidRDefault="00311D99" w:rsidP="00311D99">
            <w:pPr>
              <w:tabs>
                <w:tab w:val="left" w:pos="709"/>
                <w:tab w:val="left" w:pos="1899"/>
              </w:tabs>
              <w:ind w:right="-108"/>
              <w:jc w:val="both"/>
              <w:rPr>
                <w:rFonts w:ascii="Calibri" w:hAnsi="Calibri" w:cs="Arial"/>
                <w:b/>
                <w:color w:val="000000" w:themeColor="text1"/>
              </w:rPr>
            </w:pPr>
            <w:r>
              <w:rPr>
                <w:rFonts w:ascii="Calibri" w:hAnsi="Calibri"/>
                <w:b/>
                <w:color w:val="000000" w:themeColor="text1"/>
              </w:rPr>
              <w:t>EU contribution</w:t>
            </w:r>
          </w:p>
        </w:tc>
        <w:tc>
          <w:tcPr>
            <w:tcW w:w="1614" w:type="dxa"/>
            <w:vMerge w:val="restart"/>
            <w:vAlign w:val="center"/>
            <w:hideMark/>
          </w:tcPr>
          <w:p w:rsidR="00311D99" w:rsidRPr="00311D99" w:rsidRDefault="00311D99" w:rsidP="00311D99">
            <w:pPr>
              <w:tabs>
                <w:tab w:val="left" w:pos="709"/>
                <w:tab w:val="left" w:pos="1899"/>
              </w:tabs>
              <w:ind w:right="-108"/>
              <w:jc w:val="center"/>
              <w:rPr>
                <w:rFonts w:ascii="Calibri" w:hAnsi="Calibri" w:cs="Arial"/>
                <w:b/>
                <w:color w:val="000000" w:themeColor="text1"/>
              </w:rPr>
            </w:pPr>
            <w:r>
              <w:rPr>
                <w:rFonts w:ascii="Calibri" w:hAnsi="Calibri"/>
                <w:b/>
                <w:color w:val="000000" w:themeColor="text1"/>
              </w:rPr>
              <w:t>National contribution</w:t>
            </w:r>
          </w:p>
        </w:tc>
        <w:tc>
          <w:tcPr>
            <w:tcW w:w="1736" w:type="dxa"/>
            <w:vMerge/>
            <w:vAlign w:val="center"/>
            <w:hideMark/>
          </w:tcPr>
          <w:p w:rsidR="00311D99" w:rsidRPr="00311D99" w:rsidRDefault="00311D99" w:rsidP="00311D99">
            <w:pPr>
              <w:tabs>
                <w:tab w:val="left" w:pos="709"/>
                <w:tab w:val="left" w:pos="1899"/>
              </w:tabs>
              <w:ind w:right="-108"/>
              <w:jc w:val="both"/>
              <w:rPr>
                <w:rFonts w:ascii="Calibri" w:hAnsi="Calibri" w:cs="Arial"/>
                <w:color w:val="000000" w:themeColor="text1"/>
                <w:lang w:val="ro-RO"/>
              </w:rPr>
            </w:pPr>
          </w:p>
        </w:tc>
        <w:tc>
          <w:tcPr>
            <w:tcW w:w="1610" w:type="dxa"/>
            <w:vMerge/>
            <w:vAlign w:val="center"/>
            <w:hideMark/>
          </w:tcPr>
          <w:p w:rsidR="00311D99" w:rsidRPr="00311D99" w:rsidRDefault="00311D99" w:rsidP="00311D99">
            <w:pPr>
              <w:tabs>
                <w:tab w:val="left" w:pos="709"/>
                <w:tab w:val="left" w:pos="1899"/>
              </w:tabs>
              <w:ind w:right="-108"/>
              <w:jc w:val="both"/>
              <w:rPr>
                <w:rFonts w:ascii="Calibri" w:hAnsi="Calibri" w:cs="Arial"/>
                <w:color w:val="000000" w:themeColor="text1"/>
                <w:lang w:val="ro-RO"/>
              </w:rPr>
            </w:pPr>
          </w:p>
        </w:tc>
      </w:tr>
      <w:tr w:rsidR="00311D99" w:rsidRPr="00311D99" w:rsidTr="00311D99">
        <w:trPr>
          <w:trHeight w:val="293"/>
        </w:trPr>
        <w:tc>
          <w:tcPr>
            <w:tcW w:w="1492" w:type="dxa"/>
            <w:vMerge/>
            <w:hideMark/>
          </w:tcPr>
          <w:p w:rsidR="00311D99" w:rsidRPr="00311D99" w:rsidRDefault="00311D99" w:rsidP="00311D99">
            <w:pPr>
              <w:tabs>
                <w:tab w:val="left" w:pos="709"/>
                <w:tab w:val="left" w:pos="1899"/>
              </w:tabs>
              <w:ind w:right="-108"/>
              <w:jc w:val="both"/>
              <w:rPr>
                <w:rFonts w:ascii="Calibri" w:hAnsi="Calibri" w:cs="Arial"/>
                <w:color w:val="000000" w:themeColor="text1"/>
                <w:lang w:val="ro-RO"/>
              </w:rPr>
            </w:pPr>
          </w:p>
        </w:tc>
        <w:tc>
          <w:tcPr>
            <w:tcW w:w="1423" w:type="dxa"/>
            <w:vMerge/>
            <w:hideMark/>
          </w:tcPr>
          <w:p w:rsidR="00311D99" w:rsidRPr="00311D99" w:rsidRDefault="00311D99" w:rsidP="00311D99">
            <w:pPr>
              <w:tabs>
                <w:tab w:val="left" w:pos="709"/>
                <w:tab w:val="left" w:pos="1899"/>
              </w:tabs>
              <w:ind w:right="-108"/>
              <w:jc w:val="both"/>
              <w:rPr>
                <w:rFonts w:ascii="Calibri" w:hAnsi="Calibri" w:cs="Arial"/>
                <w:color w:val="000000" w:themeColor="text1"/>
                <w:lang w:val="ro-RO"/>
              </w:rPr>
            </w:pPr>
          </w:p>
        </w:tc>
        <w:tc>
          <w:tcPr>
            <w:tcW w:w="1736" w:type="dxa"/>
            <w:vMerge/>
            <w:hideMark/>
          </w:tcPr>
          <w:p w:rsidR="00311D99" w:rsidRPr="00311D99" w:rsidRDefault="00311D99" w:rsidP="00311D99">
            <w:pPr>
              <w:tabs>
                <w:tab w:val="left" w:pos="709"/>
                <w:tab w:val="left" w:pos="1899"/>
              </w:tabs>
              <w:ind w:right="-108"/>
              <w:jc w:val="both"/>
              <w:rPr>
                <w:rFonts w:ascii="Calibri" w:hAnsi="Calibri" w:cs="Arial"/>
                <w:color w:val="000000" w:themeColor="text1"/>
                <w:lang w:val="ro-RO"/>
              </w:rPr>
            </w:pPr>
          </w:p>
        </w:tc>
        <w:tc>
          <w:tcPr>
            <w:tcW w:w="1614" w:type="dxa"/>
            <w:vMerge/>
            <w:hideMark/>
          </w:tcPr>
          <w:p w:rsidR="00311D99" w:rsidRPr="00311D99" w:rsidRDefault="00311D99" w:rsidP="00311D99">
            <w:pPr>
              <w:tabs>
                <w:tab w:val="left" w:pos="709"/>
                <w:tab w:val="left" w:pos="1899"/>
              </w:tabs>
              <w:ind w:right="-108"/>
              <w:jc w:val="both"/>
              <w:rPr>
                <w:rFonts w:ascii="Calibri" w:hAnsi="Calibri" w:cs="Arial"/>
                <w:color w:val="000000" w:themeColor="text1"/>
                <w:lang w:val="ro-RO"/>
              </w:rPr>
            </w:pPr>
          </w:p>
        </w:tc>
        <w:tc>
          <w:tcPr>
            <w:tcW w:w="1736" w:type="dxa"/>
            <w:vMerge/>
            <w:hideMark/>
          </w:tcPr>
          <w:p w:rsidR="00311D99" w:rsidRPr="00311D99" w:rsidRDefault="00311D99" w:rsidP="00311D99">
            <w:pPr>
              <w:tabs>
                <w:tab w:val="left" w:pos="709"/>
                <w:tab w:val="left" w:pos="1899"/>
              </w:tabs>
              <w:ind w:right="-108"/>
              <w:jc w:val="both"/>
              <w:rPr>
                <w:rFonts w:ascii="Calibri" w:hAnsi="Calibri" w:cs="Arial"/>
                <w:color w:val="000000" w:themeColor="text1"/>
                <w:lang w:val="ro-RO"/>
              </w:rPr>
            </w:pPr>
          </w:p>
        </w:tc>
        <w:tc>
          <w:tcPr>
            <w:tcW w:w="1610" w:type="dxa"/>
            <w:vMerge/>
            <w:hideMark/>
          </w:tcPr>
          <w:p w:rsidR="00311D99" w:rsidRPr="00311D99" w:rsidRDefault="00311D99" w:rsidP="00311D99">
            <w:pPr>
              <w:tabs>
                <w:tab w:val="left" w:pos="709"/>
                <w:tab w:val="left" w:pos="1899"/>
              </w:tabs>
              <w:ind w:right="-108"/>
              <w:jc w:val="both"/>
              <w:rPr>
                <w:rFonts w:ascii="Calibri" w:hAnsi="Calibri" w:cs="Arial"/>
                <w:color w:val="000000" w:themeColor="text1"/>
                <w:lang w:val="ro-RO"/>
              </w:rPr>
            </w:pPr>
          </w:p>
        </w:tc>
      </w:tr>
      <w:tr w:rsidR="00311D99" w:rsidRPr="00311D99" w:rsidTr="00311D99">
        <w:trPr>
          <w:trHeight w:val="310"/>
        </w:trPr>
        <w:tc>
          <w:tcPr>
            <w:tcW w:w="1492" w:type="dxa"/>
            <w:noWrap/>
          </w:tcPr>
          <w:p w:rsidR="00311D99" w:rsidRPr="00311D99" w:rsidRDefault="00311D99" w:rsidP="00311D99">
            <w:pPr>
              <w:tabs>
                <w:tab w:val="left" w:pos="709"/>
                <w:tab w:val="left" w:pos="1899"/>
              </w:tabs>
              <w:jc w:val="right"/>
              <w:rPr>
                <w:rFonts w:ascii="Calibri" w:hAnsi="Calibri" w:cs="Arial"/>
                <w:color w:val="000000" w:themeColor="text1"/>
              </w:rPr>
            </w:pPr>
            <w:r>
              <w:rPr>
                <w:rFonts w:ascii="Calibri" w:hAnsi="Calibri"/>
                <w:color w:val="000000" w:themeColor="text1"/>
              </w:rPr>
              <w:t>6,590,268.20</w:t>
            </w:r>
          </w:p>
        </w:tc>
        <w:tc>
          <w:tcPr>
            <w:tcW w:w="1423" w:type="dxa"/>
            <w:noWrap/>
          </w:tcPr>
          <w:p w:rsidR="00311D99" w:rsidRPr="00311D99" w:rsidRDefault="00311D99" w:rsidP="00311D99">
            <w:pPr>
              <w:tabs>
                <w:tab w:val="left" w:pos="709"/>
                <w:tab w:val="left" w:pos="1899"/>
              </w:tabs>
              <w:jc w:val="right"/>
              <w:rPr>
                <w:rFonts w:ascii="Calibri" w:hAnsi="Calibri" w:cs="Arial"/>
                <w:color w:val="000000" w:themeColor="text1"/>
              </w:rPr>
            </w:pPr>
            <w:r>
              <w:rPr>
                <w:rFonts w:ascii="Calibri" w:hAnsi="Calibri"/>
                <w:color w:val="000000" w:themeColor="text1"/>
              </w:rPr>
              <w:t>2,196,756.07</w:t>
            </w:r>
          </w:p>
        </w:tc>
        <w:tc>
          <w:tcPr>
            <w:tcW w:w="1736" w:type="dxa"/>
            <w:noWrap/>
          </w:tcPr>
          <w:p w:rsidR="00311D99" w:rsidRPr="00311D99" w:rsidRDefault="00311D99" w:rsidP="00311D99">
            <w:pPr>
              <w:tabs>
                <w:tab w:val="left" w:pos="709"/>
                <w:tab w:val="left" w:pos="1899"/>
              </w:tabs>
              <w:jc w:val="right"/>
              <w:rPr>
                <w:rFonts w:ascii="Calibri" w:hAnsi="Calibri" w:cs="Arial"/>
                <w:color w:val="000000" w:themeColor="text1"/>
              </w:rPr>
            </w:pPr>
            <w:r>
              <w:rPr>
                <w:rFonts w:ascii="Calibri" w:hAnsi="Calibri"/>
                <w:color w:val="000000" w:themeColor="text1"/>
              </w:rPr>
              <w:t>140,795,733.59</w:t>
            </w:r>
          </w:p>
        </w:tc>
        <w:tc>
          <w:tcPr>
            <w:tcW w:w="1614" w:type="dxa"/>
            <w:noWrap/>
          </w:tcPr>
          <w:p w:rsidR="00311D99" w:rsidRPr="00311D99" w:rsidRDefault="00311D99" w:rsidP="00311D99">
            <w:pPr>
              <w:tabs>
                <w:tab w:val="left" w:pos="709"/>
                <w:tab w:val="left" w:pos="1899"/>
              </w:tabs>
              <w:jc w:val="right"/>
              <w:rPr>
                <w:rFonts w:ascii="Calibri" w:hAnsi="Calibri" w:cs="Arial"/>
                <w:color w:val="000000" w:themeColor="text1"/>
              </w:rPr>
            </w:pPr>
            <w:r>
              <w:rPr>
                <w:rFonts w:ascii="Calibri" w:hAnsi="Calibri"/>
                <w:color w:val="000000" w:themeColor="text1"/>
              </w:rPr>
              <w:t>46,931,911.20</w:t>
            </w:r>
          </w:p>
        </w:tc>
        <w:tc>
          <w:tcPr>
            <w:tcW w:w="1736" w:type="dxa"/>
            <w:noWrap/>
          </w:tcPr>
          <w:p w:rsidR="00311D99" w:rsidRPr="00311D99" w:rsidRDefault="00311D99" w:rsidP="00311D99">
            <w:pPr>
              <w:tabs>
                <w:tab w:val="left" w:pos="709"/>
                <w:tab w:val="left" w:pos="1899"/>
              </w:tabs>
              <w:jc w:val="right"/>
              <w:rPr>
                <w:rFonts w:ascii="Calibri" w:hAnsi="Calibri" w:cs="Arial"/>
                <w:color w:val="000000" w:themeColor="text1"/>
              </w:rPr>
            </w:pPr>
            <w:r>
              <w:rPr>
                <w:rFonts w:ascii="Calibri" w:hAnsi="Calibri"/>
                <w:color w:val="000000" w:themeColor="text1"/>
              </w:rPr>
              <w:t>196,254,669.05</w:t>
            </w:r>
          </w:p>
        </w:tc>
        <w:tc>
          <w:tcPr>
            <w:tcW w:w="1610" w:type="dxa"/>
            <w:noWrap/>
            <w:hideMark/>
          </w:tcPr>
          <w:p w:rsidR="00311D99" w:rsidRPr="00311D99" w:rsidRDefault="00311D99" w:rsidP="00311D99">
            <w:pPr>
              <w:tabs>
                <w:tab w:val="left" w:pos="709"/>
                <w:tab w:val="left" w:pos="1899"/>
              </w:tabs>
              <w:jc w:val="center"/>
              <w:rPr>
                <w:rFonts w:ascii="Calibri" w:hAnsi="Calibri" w:cs="Arial"/>
                <w:color w:val="000000" w:themeColor="text1"/>
              </w:rPr>
            </w:pPr>
            <w:r>
              <w:rPr>
                <w:rFonts w:ascii="Calibri" w:hAnsi="Calibri"/>
                <w:color w:val="000000" w:themeColor="text1"/>
              </w:rPr>
              <w:t>18.78</w:t>
            </w:r>
          </w:p>
        </w:tc>
      </w:tr>
    </w:tbl>
    <w:p w:rsidR="00311D99" w:rsidRPr="00311D99" w:rsidRDefault="00311D99" w:rsidP="00311D99">
      <w:pPr>
        <w:tabs>
          <w:tab w:val="left" w:pos="709"/>
          <w:tab w:val="left" w:pos="1899"/>
        </w:tabs>
        <w:ind w:right="-108"/>
        <w:jc w:val="both"/>
        <w:rPr>
          <w:rFonts w:ascii="Calibri" w:eastAsia="Calibri" w:hAnsi="Calibri" w:cs="Arial"/>
          <w:color w:val="000000" w:themeColor="text1"/>
          <w:lang w:val="ro-RO"/>
        </w:rPr>
      </w:pPr>
    </w:p>
    <w:p w:rsidR="00311D99" w:rsidRPr="00311D99" w:rsidRDefault="00311D99" w:rsidP="00311D99">
      <w:pPr>
        <w:tabs>
          <w:tab w:val="left" w:pos="709"/>
          <w:tab w:val="left" w:pos="1899"/>
        </w:tabs>
        <w:ind w:right="-108"/>
        <w:jc w:val="both"/>
        <w:rPr>
          <w:rFonts w:ascii="Calibri" w:eastAsia="Calibri" w:hAnsi="Calibri" w:cs="Arial"/>
          <w:b/>
          <w:color w:val="000000" w:themeColor="text1"/>
        </w:rPr>
      </w:pPr>
      <w:r>
        <w:rPr>
          <w:rFonts w:ascii="Calibri" w:hAnsi="Calibri"/>
          <w:b/>
          <w:color w:val="000000" w:themeColor="text1"/>
        </w:rPr>
        <w:t>Amounts collected from the EC</w:t>
      </w:r>
    </w:p>
    <w:p w:rsidR="00311D99" w:rsidRPr="00311D99" w:rsidRDefault="00311D99" w:rsidP="00311D99">
      <w:pPr>
        <w:tabs>
          <w:tab w:val="left" w:pos="709"/>
          <w:tab w:val="left" w:pos="1899"/>
        </w:tabs>
        <w:ind w:right="-108"/>
        <w:jc w:val="both"/>
        <w:rPr>
          <w:rFonts w:ascii="Calibri" w:eastAsia="Calibri" w:hAnsi="Calibri" w:cs="Arial"/>
          <w:color w:val="000000" w:themeColor="text1"/>
        </w:rPr>
      </w:pPr>
      <w:r>
        <w:rPr>
          <w:rFonts w:ascii="Calibri" w:hAnsi="Calibri"/>
          <w:color w:val="000000" w:themeColor="text1"/>
        </w:rPr>
        <w:t>Pre-financing received from the EC = 10,464,336.01 EUR.</w:t>
      </w:r>
    </w:p>
    <w:p w:rsidR="00311D99" w:rsidRPr="00311D99" w:rsidRDefault="00311D99" w:rsidP="00311D99">
      <w:pPr>
        <w:tabs>
          <w:tab w:val="left" w:pos="709"/>
          <w:tab w:val="left" w:pos="1899"/>
        </w:tabs>
        <w:ind w:right="-108"/>
        <w:jc w:val="both"/>
        <w:rPr>
          <w:rFonts w:ascii="Calibri" w:eastAsia="Calibri" w:hAnsi="Calibri" w:cs="Arial"/>
          <w:color w:val="000000" w:themeColor="text1"/>
          <w:lang w:val="ro-RO"/>
        </w:rPr>
      </w:pPr>
    </w:p>
    <w:tbl>
      <w:tblPr>
        <w:tblStyle w:val="Tabelgril13"/>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1614"/>
        <w:gridCol w:w="1736"/>
        <w:gridCol w:w="1614"/>
        <w:gridCol w:w="1736"/>
        <w:gridCol w:w="1325"/>
      </w:tblGrid>
      <w:tr w:rsidR="00311D99" w:rsidRPr="00311D99" w:rsidTr="00311D99">
        <w:trPr>
          <w:trHeight w:val="274"/>
        </w:trPr>
        <w:tc>
          <w:tcPr>
            <w:tcW w:w="3228" w:type="dxa"/>
            <w:gridSpan w:val="2"/>
            <w:tcBorders>
              <w:top w:val="single" w:sz="4" w:space="0" w:color="auto"/>
            </w:tcBorders>
            <w:noWrap/>
            <w:hideMark/>
          </w:tcPr>
          <w:p w:rsidR="00311D99" w:rsidRPr="00311D99" w:rsidRDefault="00311D99" w:rsidP="00311D99">
            <w:pPr>
              <w:tabs>
                <w:tab w:val="left" w:pos="709"/>
                <w:tab w:val="left" w:pos="1899"/>
              </w:tabs>
              <w:ind w:right="-108"/>
              <w:jc w:val="center"/>
              <w:rPr>
                <w:rFonts w:ascii="Calibri" w:hAnsi="Calibri" w:cs="Arial"/>
                <w:b/>
                <w:color w:val="000000" w:themeColor="text1"/>
              </w:rPr>
            </w:pPr>
            <w:r>
              <w:rPr>
                <w:rFonts w:ascii="Calibri" w:hAnsi="Calibri"/>
                <w:b/>
                <w:color w:val="000000" w:themeColor="text1"/>
              </w:rPr>
              <w:t>Expenditures declared by the MA to the CA (EUR)</w:t>
            </w:r>
          </w:p>
        </w:tc>
        <w:tc>
          <w:tcPr>
            <w:tcW w:w="3350" w:type="dxa"/>
            <w:gridSpan w:val="2"/>
            <w:tcBorders>
              <w:top w:val="single" w:sz="4" w:space="0" w:color="auto"/>
            </w:tcBorders>
            <w:noWrap/>
            <w:hideMark/>
          </w:tcPr>
          <w:p w:rsidR="00311D99" w:rsidRPr="00311D99" w:rsidRDefault="00311D99" w:rsidP="00311D99">
            <w:pPr>
              <w:tabs>
                <w:tab w:val="left" w:pos="709"/>
                <w:tab w:val="left" w:pos="1899"/>
              </w:tabs>
              <w:ind w:right="-108"/>
              <w:jc w:val="center"/>
              <w:rPr>
                <w:rFonts w:ascii="Calibri" w:hAnsi="Calibri" w:cs="Arial"/>
                <w:b/>
                <w:color w:val="000000" w:themeColor="text1"/>
              </w:rPr>
            </w:pPr>
            <w:r>
              <w:rPr>
                <w:rFonts w:ascii="Calibri" w:hAnsi="Calibri"/>
                <w:b/>
                <w:color w:val="000000" w:themeColor="text1"/>
              </w:rPr>
              <w:t>Expenditures certified by the CPA (EUR)</w:t>
            </w:r>
          </w:p>
        </w:tc>
        <w:tc>
          <w:tcPr>
            <w:tcW w:w="1736" w:type="dxa"/>
            <w:vMerge w:val="restart"/>
            <w:tcBorders>
              <w:top w:val="single" w:sz="4" w:space="0" w:color="auto"/>
            </w:tcBorders>
            <w:hideMark/>
          </w:tcPr>
          <w:p w:rsidR="00311D99" w:rsidRPr="00311D99" w:rsidRDefault="00311D99" w:rsidP="00311D99">
            <w:pPr>
              <w:tabs>
                <w:tab w:val="left" w:pos="709"/>
                <w:tab w:val="left" w:pos="1899"/>
              </w:tabs>
              <w:ind w:right="-108"/>
              <w:jc w:val="center"/>
              <w:rPr>
                <w:rFonts w:ascii="Calibri" w:hAnsi="Calibri" w:cs="Arial"/>
                <w:b/>
                <w:color w:val="000000" w:themeColor="text1"/>
              </w:rPr>
            </w:pPr>
            <w:r>
              <w:rPr>
                <w:rFonts w:ascii="Calibri" w:hAnsi="Calibri"/>
                <w:b/>
                <w:color w:val="000000" w:themeColor="text1"/>
              </w:rPr>
              <w:t>Reimbursement from the EC</w:t>
            </w:r>
          </w:p>
          <w:p w:rsidR="00311D99" w:rsidRPr="00311D99" w:rsidRDefault="00311D99" w:rsidP="00311D99">
            <w:pPr>
              <w:tabs>
                <w:tab w:val="left" w:pos="709"/>
                <w:tab w:val="left" w:pos="1899"/>
              </w:tabs>
              <w:ind w:right="-108"/>
              <w:jc w:val="center"/>
              <w:rPr>
                <w:rFonts w:ascii="Calibri" w:hAnsi="Calibri" w:cs="Arial"/>
                <w:b/>
                <w:color w:val="000000" w:themeColor="text1"/>
              </w:rPr>
            </w:pPr>
            <w:r>
              <w:rPr>
                <w:rFonts w:ascii="Calibri" w:hAnsi="Calibri"/>
                <w:b/>
                <w:color w:val="000000" w:themeColor="text1"/>
              </w:rPr>
              <w:t>(EUR)</w:t>
            </w:r>
          </w:p>
        </w:tc>
        <w:tc>
          <w:tcPr>
            <w:tcW w:w="1325" w:type="dxa"/>
            <w:vMerge w:val="restart"/>
            <w:tcBorders>
              <w:top w:val="single" w:sz="4" w:space="0" w:color="auto"/>
            </w:tcBorders>
            <w:vAlign w:val="center"/>
          </w:tcPr>
          <w:p w:rsidR="00311D99" w:rsidRPr="00311D99" w:rsidRDefault="00311D99" w:rsidP="00311D99">
            <w:pPr>
              <w:jc w:val="center"/>
              <w:rPr>
                <w:rFonts w:ascii="Calibri" w:hAnsi="Calibri" w:cs="Arial"/>
                <w:b/>
                <w:color w:val="000000" w:themeColor="text1"/>
              </w:rPr>
            </w:pPr>
            <w:r>
              <w:rPr>
                <w:rFonts w:ascii="Calibri" w:hAnsi="Calibri"/>
                <w:b/>
                <w:color w:val="000000" w:themeColor="text1"/>
              </w:rPr>
              <w:t xml:space="preserve">Effective absorption rate </w:t>
            </w:r>
            <w:r>
              <w:rPr>
                <w:rFonts w:ascii="Calibri" w:hAnsi="Calibri"/>
                <w:b/>
                <w:color w:val="000000" w:themeColor="text1"/>
              </w:rPr>
              <w:br/>
              <w:t>(%)</w:t>
            </w:r>
          </w:p>
        </w:tc>
      </w:tr>
      <w:tr w:rsidR="00311D99" w:rsidRPr="00311D99" w:rsidTr="00311D99">
        <w:trPr>
          <w:trHeight w:val="293"/>
        </w:trPr>
        <w:tc>
          <w:tcPr>
            <w:tcW w:w="1614" w:type="dxa"/>
            <w:vMerge w:val="restart"/>
            <w:hideMark/>
          </w:tcPr>
          <w:p w:rsidR="00311D99" w:rsidRPr="00311D99" w:rsidRDefault="00311D99" w:rsidP="00311D99">
            <w:pPr>
              <w:tabs>
                <w:tab w:val="left" w:pos="709"/>
                <w:tab w:val="left" w:pos="1899"/>
              </w:tabs>
              <w:ind w:right="-108"/>
              <w:jc w:val="center"/>
              <w:rPr>
                <w:rFonts w:ascii="Calibri" w:hAnsi="Calibri" w:cs="Arial"/>
                <w:b/>
                <w:color w:val="000000" w:themeColor="text1"/>
              </w:rPr>
            </w:pPr>
            <w:r>
              <w:rPr>
                <w:rFonts w:ascii="Calibri" w:hAnsi="Calibri"/>
                <w:b/>
                <w:color w:val="000000" w:themeColor="text1"/>
              </w:rPr>
              <w:t>Public value</w:t>
            </w:r>
          </w:p>
        </w:tc>
        <w:tc>
          <w:tcPr>
            <w:tcW w:w="1614" w:type="dxa"/>
            <w:vMerge w:val="restart"/>
            <w:hideMark/>
          </w:tcPr>
          <w:p w:rsidR="00311D99" w:rsidRPr="00311D99" w:rsidRDefault="00311D99" w:rsidP="00311D99">
            <w:pPr>
              <w:tabs>
                <w:tab w:val="left" w:pos="709"/>
                <w:tab w:val="left" w:pos="1899"/>
              </w:tabs>
              <w:ind w:right="-108"/>
              <w:jc w:val="both"/>
              <w:rPr>
                <w:rFonts w:ascii="Calibri" w:hAnsi="Calibri" w:cs="Arial"/>
                <w:b/>
                <w:color w:val="000000" w:themeColor="text1"/>
              </w:rPr>
            </w:pPr>
            <w:r>
              <w:rPr>
                <w:rFonts w:ascii="Calibri" w:hAnsi="Calibri"/>
                <w:b/>
                <w:color w:val="000000" w:themeColor="text1"/>
              </w:rPr>
              <w:t>EU contribution</w:t>
            </w:r>
          </w:p>
        </w:tc>
        <w:tc>
          <w:tcPr>
            <w:tcW w:w="1736" w:type="dxa"/>
            <w:vMerge w:val="restart"/>
          </w:tcPr>
          <w:p w:rsidR="00311D99" w:rsidRPr="00311D99" w:rsidRDefault="00311D99" w:rsidP="00311D99">
            <w:pPr>
              <w:tabs>
                <w:tab w:val="left" w:pos="709"/>
                <w:tab w:val="left" w:pos="1899"/>
              </w:tabs>
              <w:ind w:right="-108"/>
              <w:jc w:val="both"/>
              <w:rPr>
                <w:rFonts w:ascii="Calibri" w:hAnsi="Calibri" w:cs="Arial"/>
                <w:b/>
                <w:color w:val="000000" w:themeColor="text1"/>
              </w:rPr>
            </w:pPr>
            <w:r>
              <w:rPr>
                <w:rFonts w:ascii="Calibri" w:hAnsi="Calibri"/>
                <w:b/>
                <w:color w:val="000000" w:themeColor="text1"/>
              </w:rPr>
              <w:t>Public value</w:t>
            </w:r>
          </w:p>
        </w:tc>
        <w:tc>
          <w:tcPr>
            <w:tcW w:w="1614" w:type="dxa"/>
            <w:vMerge w:val="restart"/>
          </w:tcPr>
          <w:p w:rsidR="00311D99" w:rsidRPr="00311D99" w:rsidRDefault="00311D99" w:rsidP="00311D99">
            <w:pPr>
              <w:tabs>
                <w:tab w:val="left" w:pos="709"/>
                <w:tab w:val="left" w:pos="1899"/>
              </w:tabs>
              <w:ind w:right="-108"/>
              <w:jc w:val="both"/>
              <w:rPr>
                <w:rFonts w:ascii="Calibri" w:hAnsi="Calibri" w:cs="Arial"/>
                <w:b/>
                <w:color w:val="000000" w:themeColor="text1"/>
              </w:rPr>
            </w:pPr>
            <w:r>
              <w:rPr>
                <w:rFonts w:ascii="Calibri" w:hAnsi="Calibri"/>
                <w:b/>
                <w:color w:val="000000" w:themeColor="text1"/>
              </w:rPr>
              <w:t>EU contribution</w:t>
            </w:r>
          </w:p>
        </w:tc>
        <w:tc>
          <w:tcPr>
            <w:tcW w:w="1736" w:type="dxa"/>
            <w:vMerge/>
            <w:hideMark/>
          </w:tcPr>
          <w:p w:rsidR="00311D99" w:rsidRPr="00311D99" w:rsidRDefault="00311D99" w:rsidP="00311D99">
            <w:pPr>
              <w:tabs>
                <w:tab w:val="left" w:pos="709"/>
                <w:tab w:val="left" w:pos="1899"/>
              </w:tabs>
              <w:ind w:right="-108"/>
              <w:jc w:val="both"/>
              <w:rPr>
                <w:rFonts w:ascii="Calibri" w:hAnsi="Calibri" w:cs="Arial"/>
                <w:color w:val="000000" w:themeColor="text1"/>
                <w:lang w:val="ro-RO"/>
              </w:rPr>
            </w:pPr>
          </w:p>
        </w:tc>
        <w:tc>
          <w:tcPr>
            <w:tcW w:w="1325" w:type="dxa"/>
            <w:vMerge/>
            <w:hideMark/>
          </w:tcPr>
          <w:p w:rsidR="00311D99" w:rsidRPr="00311D99" w:rsidRDefault="00311D99" w:rsidP="00311D99">
            <w:pPr>
              <w:tabs>
                <w:tab w:val="left" w:pos="709"/>
                <w:tab w:val="left" w:pos="1899"/>
              </w:tabs>
              <w:ind w:right="-108"/>
              <w:jc w:val="both"/>
              <w:rPr>
                <w:rFonts w:ascii="Calibri" w:hAnsi="Calibri" w:cs="Arial"/>
                <w:color w:val="000000" w:themeColor="text1"/>
                <w:lang w:val="ro-RO"/>
              </w:rPr>
            </w:pPr>
          </w:p>
        </w:tc>
      </w:tr>
      <w:tr w:rsidR="00311D99" w:rsidRPr="00311D99" w:rsidTr="00311D99">
        <w:trPr>
          <w:trHeight w:val="293"/>
        </w:trPr>
        <w:tc>
          <w:tcPr>
            <w:tcW w:w="1614" w:type="dxa"/>
            <w:vMerge/>
            <w:hideMark/>
          </w:tcPr>
          <w:p w:rsidR="00311D99" w:rsidRPr="00311D99" w:rsidRDefault="00311D99" w:rsidP="00311D99">
            <w:pPr>
              <w:tabs>
                <w:tab w:val="left" w:pos="709"/>
                <w:tab w:val="left" w:pos="1899"/>
              </w:tabs>
              <w:ind w:right="-108"/>
              <w:jc w:val="both"/>
              <w:rPr>
                <w:rFonts w:ascii="Calibri" w:hAnsi="Calibri" w:cs="Arial"/>
                <w:color w:val="000000" w:themeColor="text1"/>
                <w:lang w:val="ro-RO"/>
              </w:rPr>
            </w:pPr>
          </w:p>
        </w:tc>
        <w:tc>
          <w:tcPr>
            <w:tcW w:w="1614" w:type="dxa"/>
            <w:vMerge/>
            <w:hideMark/>
          </w:tcPr>
          <w:p w:rsidR="00311D99" w:rsidRPr="00311D99" w:rsidRDefault="00311D99" w:rsidP="00311D99">
            <w:pPr>
              <w:tabs>
                <w:tab w:val="left" w:pos="709"/>
                <w:tab w:val="left" w:pos="1899"/>
              </w:tabs>
              <w:ind w:right="-108"/>
              <w:jc w:val="both"/>
              <w:rPr>
                <w:rFonts w:ascii="Calibri" w:hAnsi="Calibri" w:cs="Arial"/>
                <w:color w:val="000000" w:themeColor="text1"/>
                <w:lang w:val="ro-RO"/>
              </w:rPr>
            </w:pPr>
          </w:p>
        </w:tc>
        <w:tc>
          <w:tcPr>
            <w:tcW w:w="1736" w:type="dxa"/>
            <w:vMerge/>
          </w:tcPr>
          <w:p w:rsidR="00311D99" w:rsidRPr="00311D99" w:rsidRDefault="00311D99" w:rsidP="00311D99">
            <w:pPr>
              <w:tabs>
                <w:tab w:val="left" w:pos="709"/>
                <w:tab w:val="left" w:pos="1899"/>
              </w:tabs>
              <w:ind w:right="-108"/>
              <w:jc w:val="both"/>
              <w:rPr>
                <w:rFonts w:ascii="Calibri" w:hAnsi="Calibri" w:cs="Arial"/>
                <w:color w:val="000000" w:themeColor="text1"/>
                <w:lang w:val="ro-RO"/>
              </w:rPr>
            </w:pPr>
          </w:p>
        </w:tc>
        <w:tc>
          <w:tcPr>
            <w:tcW w:w="1614" w:type="dxa"/>
            <w:vMerge/>
          </w:tcPr>
          <w:p w:rsidR="00311D99" w:rsidRPr="00311D99" w:rsidRDefault="00311D99" w:rsidP="00311D99">
            <w:pPr>
              <w:tabs>
                <w:tab w:val="left" w:pos="709"/>
                <w:tab w:val="left" w:pos="1899"/>
              </w:tabs>
              <w:ind w:right="-108"/>
              <w:jc w:val="both"/>
              <w:rPr>
                <w:rFonts w:ascii="Calibri" w:hAnsi="Calibri" w:cs="Arial"/>
                <w:color w:val="000000" w:themeColor="text1"/>
                <w:lang w:val="ro-RO"/>
              </w:rPr>
            </w:pPr>
          </w:p>
        </w:tc>
        <w:tc>
          <w:tcPr>
            <w:tcW w:w="1736" w:type="dxa"/>
            <w:vMerge/>
            <w:hideMark/>
          </w:tcPr>
          <w:p w:rsidR="00311D99" w:rsidRPr="00311D99" w:rsidRDefault="00311D99" w:rsidP="00311D99">
            <w:pPr>
              <w:tabs>
                <w:tab w:val="left" w:pos="709"/>
                <w:tab w:val="left" w:pos="1899"/>
              </w:tabs>
              <w:ind w:right="-108"/>
              <w:jc w:val="both"/>
              <w:rPr>
                <w:rFonts w:ascii="Calibri" w:hAnsi="Calibri" w:cs="Arial"/>
                <w:color w:val="000000" w:themeColor="text1"/>
                <w:lang w:val="ro-RO"/>
              </w:rPr>
            </w:pPr>
          </w:p>
        </w:tc>
        <w:tc>
          <w:tcPr>
            <w:tcW w:w="1325" w:type="dxa"/>
            <w:vMerge/>
            <w:hideMark/>
          </w:tcPr>
          <w:p w:rsidR="00311D99" w:rsidRPr="00311D99" w:rsidRDefault="00311D99" w:rsidP="00311D99">
            <w:pPr>
              <w:tabs>
                <w:tab w:val="left" w:pos="709"/>
                <w:tab w:val="left" w:pos="1899"/>
              </w:tabs>
              <w:ind w:right="-108"/>
              <w:jc w:val="both"/>
              <w:rPr>
                <w:rFonts w:ascii="Calibri" w:hAnsi="Calibri" w:cs="Arial"/>
                <w:color w:val="000000" w:themeColor="text1"/>
                <w:lang w:val="ro-RO"/>
              </w:rPr>
            </w:pPr>
          </w:p>
        </w:tc>
      </w:tr>
      <w:tr w:rsidR="00311D99" w:rsidRPr="00311D99" w:rsidTr="00311D99">
        <w:trPr>
          <w:trHeight w:val="322"/>
        </w:trPr>
        <w:tc>
          <w:tcPr>
            <w:tcW w:w="1614" w:type="dxa"/>
            <w:noWrap/>
          </w:tcPr>
          <w:p w:rsidR="00311D99" w:rsidRPr="00311D99" w:rsidRDefault="00311D99" w:rsidP="00311D99">
            <w:pPr>
              <w:tabs>
                <w:tab w:val="left" w:pos="709"/>
                <w:tab w:val="left" w:pos="1899"/>
              </w:tabs>
              <w:jc w:val="right"/>
              <w:rPr>
                <w:rFonts w:ascii="Calibri" w:hAnsi="Calibri" w:cs="Arial"/>
                <w:color w:val="000000" w:themeColor="text1"/>
              </w:rPr>
            </w:pPr>
            <w:r>
              <w:rPr>
                <w:rFonts w:ascii="Calibri" w:hAnsi="Calibri"/>
                <w:color w:val="000000" w:themeColor="text1"/>
              </w:rPr>
              <w:t>36,417,226.92</w:t>
            </w:r>
          </w:p>
        </w:tc>
        <w:tc>
          <w:tcPr>
            <w:tcW w:w="1614" w:type="dxa"/>
            <w:noWrap/>
          </w:tcPr>
          <w:p w:rsidR="00311D99" w:rsidRPr="00311D99" w:rsidRDefault="00311D99" w:rsidP="00311D99">
            <w:pPr>
              <w:tabs>
                <w:tab w:val="left" w:pos="709"/>
                <w:tab w:val="left" w:pos="1899"/>
              </w:tabs>
              <w:jc w:val="right"/>
              <w:rPr>
                <w:rFonts w:ascii="Calibri" w:hAnsi="Calibri" w:cs="Arial"/>
                <w:color w:val="000000" w:themeColor="text1"/>
              </w:rPr>
            </w:pPr>
            <w:r>
              <w:rPr>
                <w:rFonts w:ascii="Calibri" w:hAnsi="Calibri"/>
                <w:color w:val="000000" w:themeColor="text1"/>
              </w:rPr>
              <w:t>27,312,920.19</w:t>
            </w:r>
          </w:p>
        </w:tc>
        <w:tc>
          <w:tcPr>
            <w:tcW w:w="1736" w:type="dxa"/>
            <w:noWrap/>
          </w:tcPr>
          <w:p w:rsidR="00311D99" w:rsidRPr="00311D99" w:rsidRDefault="00311D99" w:rsidP="00311D99">
            <w:pPr>
              <w:tabs>
                <w:tab w:val="left" w:pos="709"/>
                <w:tab w:val="left" w:pos="1899"/>
              </w:tabs>
              <w:jc w:val="right"/>
              <w:rPr>
                <w:rFonts w:ascii="Calibri" w:hAnsi="Calibri" w:cs="Arial"/>
                <w:color w:val="000000" w:themeColor="text1"/>
              </w:rPr>
            </w:pPr>
            <w:r>
              <w:rPr>
                <w:rFonts w:ascii="Calibri" w:hAnsi="Calibri"/>
                <w:color w:val="000000" w:themeColor="text1"/>
              </w:rPr>
              <w:t>25,900,639.02</w:t>
            </w:r>
          </w:p>
        </w:tc>
        <w:tc>
          <w:tcPr>
            <w:tcW w:w="1614" w:type="dxa"/>
            <w:noWrap/>
          </w:tcPr>
          <w:p w:rsidR="00311D99" w:rsidRPr="00311D99" w:rsidRDefault="00311D99" w:rsidP="00311D99">
            <w:pPr>
              <w:tabs>
                <w:tab w:val="left" w:pos="709"/>
                <w:tab w:val="left" w:pos="1899"/>
              </w:tabs>
              <w:jc w:val="right"/>
              <w:rPr>
                <w:rFonts w:ascii="Calibri" w:hAnsi="Calibri" w:cs="Arial"/>
                <w:color w:val="000000" w:themeColor="text1"/>
              </w:rPr>
            </w:pPr>
            <w:r>
              <w:rPr>
                <w:rFonts w:ascii="Calibri" w:hAnsi="Calibri"/>
                <w:color w:val="000000" w:themeColor="text1"/>
              </w:rPr>
              <w:t>19,425,479.27</w:t>
            </w:r>
          </w:p>
        </w:tc>
        <w:tc>
          <w:tcPr>
            <w:tcW w:w="1736" w:type="dxa"/>
            <w:noWrap/>
          </w:tcPr>
          <w:p w:rsidR="00311D99" w:rsidRPr="00311D99" w:rsidRDefault="00311D99" w:rsidP="00311D99">
            <w:pPr>
              <w:tabs>
                <w:tab w:val="left" w:pos="709"/>
                <w:tab w:val="left" w:pos="1899"/>
              </w:tabs>
              <w:jc w:val="right"/>
              <w:rPr>
                <w:rFonts w:ascii="Calibri" w:hAnsi="Calibri" w:cs="Arial"/>
                <w:color w:val="000000" w:themeColor="text1"/>
              </w:rPr>
            </w:pPr>
            <w:r>
              <w:rPr>
                <w:rFonts w:ascii="Calibri" w:hAnsi="Calibri"/>
                <w:color w:val="000000" w:themeColor="text1"/>
              </w:rPr>
              <w:t>17,482,931.30</w:t>
            </w:r>
          </w:p>
        </w:tc>
        <w:tc>
          <w:tcPr>
            <w:tcW w:w="1325" w:type="dxa"/>
            <w:noWrap/>
          </w:tcPr>
          <w:p w:rsidR="00311D99" w:rsidRPr="00311D99" w:rsidRDefault="00311D99" w:rsidP="00311D99">
            <w:pPr>
              <w:tabs>
                <w:tab w:val="left" w:pos="709"/>
                <w:tab w:val="left" w:pos="1899"/>
              </w:tabs>
              <w:jc w:val="center"/>
              <w:rPr>
                <w:rFonts w:ascii="Calibri" w:hAnsi="Calibri" w:cs="Arial"/>
                <w:color w:val="000000" w:themeColor="text1"/>
              </w:rPr>
            </w:pPr>
            <w:r>
              <w:rPr>
                <w:rFonts w:ascii="Calibri" w:hAnsi="Calibri"/>
                <w:color w:val="000000" w:themeColor="text1"/>
              </w:rPr>
              <w:t>12.35</w:t>
            </w:r>
          </w:p>
        </w:tc>
      </w:tr>
    </w:tbl>
    <w:p w:rsidR="00311D99" w:rsidRPr="00311D99" w:rsidRDefault="00311D99" w:rsidP="00311D99">
      <w:pPr>
        <w:tabs>
          <w:tab w:val="left" w:pos="709"/>
          <w:tab w:val="left" w:pos="1899"/>
        </w:tabs>
        <w:ind w:right="-108"/>
        <w:jc w:val="both"/>
        <w:rPr>
          <w:rFonts w:ascii="Calibri" w:eastAsia="Calibri" w:hAnsi="Calibri" w:cs="Arial"/>
          <w:color w:val="000000" w:themeColor="text1"/>
          <w:lang w:val="ro-RO"/>
        </w:rPr>
      </w:pPr>
    </w:p>
    <w:p w:rsidR="00311D99" w:rsidRPr="00311D99" w:rsidRDefault="00311D99" w:rsidP="00311D99">
      <w:pPr>
        <w:tabs>
          <w:tab w:val="left" w:pos="709"/>
          <w:tab w:val="left" w:pos="1899"/>
        </w:tabs>
        <w:ind w:right="-108"/>
        <w:jc w:val="both"/>
        <w:rPr>
          <w:rFonts w:ascii="Calibri" w:eastAsia="Calibri" w:hAnsi="Calibri" w:cs="Arial"/>
          <w:color w:val="000000" w:themeColor="text1"/>
        </w:rPr>
      </w:pPr>
      <w:r>
        <w:rPr>
          <w:rFonts w:ascii="Calibri" w:hAnsi="Calibri"/>
          <w:color w:val="000000" w:themeColor="text1"/>
        </w:rPr>
        <w:t>The transformation of the amounts from Lei into EUR in this document was made at the INFOREURO exchange rate corresponding to the month of OCTOBER 2018: 1 EUR = 4.6701 Lei</w:t>
      </w:r>
    </w:p>
    <w:p w:rsidR="00311D99" w:rsidRPr="00311D99" w:rsidRDefault="00311D99" w:rsidP="00311D99">
      <w:pPr>
        <w:spacing w:line="276" w:lineRule="auto"/>
        <w:contextualSpacing/>
        <w:jc w:val="both"/>
        <w:rPr>
          <w:rFonts w:ascii="Calibri" w:eastAsia="Calibri" w:hAnsi="Calibri"/>
          <w:color w:val="000000"/>
          <w:lang w:val="ro-RO"/>
        </w:rPr>
      </w:pPr>
    </w:p>
    <w:p w:rsidR="00311D99" w:rsidRPr="00311D99" w:rsidRDefault="00311D99" w:rsidP="00311D99">
      <w:pPr>
        <w:spacing w:line="276" w:lineRule="auto"/>
        <w:contextualSpacing/>
        <w:jc w:val="both"/>
        <w:rPr>
          <w:rFonts w:ascii="Calibri" w:eastAsia="Calibri" w:hAnsi="Calibri"/>
          <w:color w:val="000000"/>
          <w:lang w:val="ro-RO"/>
        </w:rPr>
      </w:pPr>
    </w:p>
    <w:p w:rsidR="00311D99" w:rsidRPr="00311D99" w:rsidRDefault="00311D99" w:rsidP="00311D99">
      <w:pPr>
        <w:numPr>
          <w:ilvl w:val="0"/>
          <w:numId w:val="70"/>
        </w:numPr>
        <w:spacing w:line="276" w:lineRule="auto"/>
        <w:contextualSpacing/>
        <w:jc w:val="both"/>
        <w:outlineLvl w:val="0"/>
        <w:rPr>
          <w:rFonts w:ascii="Calibri" w:eastAsia="Calibri" w:hAnsi="Calibri"/>
          <w:b/>
          <w:bCs/>
          <w:kern w:val="36"/>
          <w:szCs w:val="22"/>
        </w:rPr>
      </w:pPr>
      <w:r>
        <w:rPr>
          <w:rFonts w:ascii="Calibri" w:hAnsi="Calibri"/>
          <w:b/>
          <w:bCs/>
          <w:szCs w:val="22"/>
        </w:rPr>
        <w:t xml:space="preserve">MEASURES FINANCED FROM THE NATIONAL BUDGET ON THE VEGETABLES, ZOOTECHNICAL AND RESEARCH SECTORS </w:t>
      </w:r>
    </w:p>
    <w:p w:rsidR="00311D99" w:rsidRPr="00311D99" w:rsidRDefault="00311D99" w:rsidP="00311D99">
      <w:pPr>
        <w:jc w:val="center"/>
        <w:rPr>
          <w:rFonts w:ascii="Calibri" w:hAnsi="Calibri"/>
          <w:b/>
          <w:color w:val="FF0000"/>
          <w:lang w:val="ro-RO" w:eastAsia="ro-RO"/>
        </w:rPr>
      </w:pPr>
    </w:p>
    <w:p w:rsidR="00311D99" w:rsidRPr="00311D99" w:rsidRDefault="00311D99" w:rsidP="00311D99">
      <w:pPr>
        <w:jc w:val="both"/>
        <w:rPr>
          <w:rFonts w:ascii="Calibri" w:hAnsi="Calibri"/>
        </w:rPr>
      </w:pPr>
      <w:r>
        <w:rPr>
          <w:rFonts w:ascii="Calibri" w:hAnsi="Calibri"/>
          <w:b/>
          <w:color w:val="FF0000"/>
        </w:rPr>
        <w:tab/>
      </w:r>
    </w:p>
    <w:p w:rsidR="00311D99" w:rsidRPr="003964D3" w:rsidRDefault="00311D99" w:rsidP="00311D99">
      <w:pPr>
        <w:numPr>
          <w:ilvl w:val="0"/>
          <w:numId w:val="23"/>
        </w:numPr>
        <w:jc w:val="both"/>
        <w:rPr>
          <w:rFonts w:ascii="Calibri" w:hAnsi="Calibri"/>
        </w:rPr>
      </w:pPr>
      <w:r>
        <w:rPr>
          <w:rFonts w:ascii="Calibri" w:hAnsi="Calibri"/>
        </w:rPr>
        <w:t>National transitional aid (NTA) in the vegetable and zoo-technical sector, with the purpose of increasing revenues for agricultural producers.</w:t>
      </w:r>
    </w:p>
    <w:p w:rsidR="00311D99" w:rsidRPr="003964D3" w:rsidRDefault="00311D99" w:rsidP="00311D99">
      <w:pPr>
        <w:jc w:val="both"/>
        <w:rPr>
          <w:rFonts w:ascii="Calibri" w:hAnsi="Calibri"/>
          <w:lang w:val="ro-RO"/>
        </w:rPr>
      </w:pPr>
    </w:p>
    <w:p w:rsidR="00311D99" w:rsidRPr="00311D99" w:rsidRDefault="00311D99" w:rsidP="00311D99">
      <w:pPr>
        <w:shd w:val="clear" w:color="auto" w:fill="FFFFFF"/>
        <w:jc w:val="both"/>
        <w:rPr>
          <w:rFonts w:ascii="Calibri" w:hAnsi="Calibri"/>
        </w:rPr>
      </w:pPr>
      <w:r>
        <w:rPr>
          <w:rFonts w:ascii="Calibri" w:hAnsi="Calibri"/>
        </w:rPr>
        <w:t>The maximum ceilings (thousand EUR) are presented in the table below:</w:t>
      </w:r>
    </w:p>
    <w:tbl>
      <w:tblPr>
        <w:tblW w:w="10065" w:type="dxa"/>
        <w:tblInd w:w="-147" w:type="dxa"/>
        <w:tblLayout w:type="fixed"/>
        <w:tblLook w:val="04A0" w:firstRow="1" w:lastRow="0" w:firstColumn="1" w:lastColumn="0" w:noHBand="0" w:noVBand="1"/>
      </w:tblPr>
      <w:tblGrid>
        <w:gridCol w:w="4962"/>
        <w:gridCol w:w="1276"/>
        <w:gridCol w:w="1275"/>
        <w:gridCol w:w="1276"/>
        <w:gridCol w:w="1276"/>
      </w:tblGrid>
      <w:tr w:rsidR="00311D99" w:rsidRPr="00311D99" w:rsidTr="00311D99">
        <w:trPr>
          <w:trHeight w:val="529"/>
        </w:trPr>
        <w:tc>
          <w:tcPr>
            <w:tcW w:w="4962"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311D99" w:rsidRPr="00311D99" w:rsidRDefault="00311D99" w:rsidP="00311D99">
            <w:pPr>
              <w:jc w:val="center"/>
              <w:rPr>
                <w:rFonts w:ascii="Calibri" w:hAnsi="Calibri" w:cs="Arial"/>
                <w:b/>
                <w:bCs/>
              </w:rPr>
            </w:pPr>
            <w:r>
              <w:rPr>
                <w:rFonts w:ascii="Calibri" w:hAnsi="Calibri"/>
                <w:b/>
                <w:bCs/>
              </w:rPr>
              <w:t>Specification</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311D99" w:rsidRPr="00311D99" w:rsidRDefault="00311D99" w:rsidP="00311D99">
            <w:pPr>
              <w:jc w:val="center"/>
              <w:rPr>
                <w:rFonts w:ascii="Calibri" w:hAnsi="Calibri" w:cs="Arial"/>
                <w:b/>
                <w:bCs/>
              </w:rPr>
            </w:pPr>
            <w:r>
              <w:rPr>
                <w:rFonts w:ascii="Calibri" w:hAnsi="Calibri"/>
                <w:b/>
                <w:bCs/>
              </w:rPr>
              <w:t>2018</w:t>
            </w:r>
          </w:p>
        </w:tc>
        <w:tc>
          <w:tcPr>
            <w:tcW w:w="1275" w:type="dxa"/>
            <w:tcBorders>
              <w:top w:val="single" w:sz="8" w:space="0" w:color="auto"/>
              <w:left w:val="nil"/>
              <w:bottom w:val="single" w:sz="4" w:space="0" w:color="auto"/>
              <w:right w:val="single" w:sz="4" w:space="0" w:color="auto"/>
            </w:tcBorders>
            <w:shd w:val="clear" w:color="auto" w:fill="auto"/>
            <w:vAlign w:val="center"/>
            <w:hideMark/>
          </w:tcPr>
          <w:p w:rsidR="00311D99" w:rsidRPr="00311D99" w:rsidRDefault="00311D99" w:rsidP="00311D99">
            <w:pPr>
              <w:jc w:val="center"/>
              <w:rPr>
                <w:rFonts w:ascii="Calibri" w:hAnsi="Calibri" w:cs="Arial"/>
                <w:b/>
                <w:bCs/>
              </w:rPr>
            </w:pPr>
            <w:r>
              <w:rPr>
                <w:rFonts w:ascii="Calibri" w:hAnsi="Calibri"/>
                <w:b/>
                <w:bCs/>
              </w:rPr>
              <w:t>2019</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311D99" w:rsidRPr="00311D99" w:rsidRDefault="00311D99" w:rsidP="00311D99">
            <w:pPr>
              <w:jc w:val="center"/>
              <w:rPr>
                <w:rFonts w:ascii="Calibri" w:hAnsi="Calibri" w:cs="Arial"/>
                <w:b/>
                <w:bCs/>
              </w:rPr>
            </w:pPr>
            <w:r>
              <w:rPr>
                <w:rFonts w:ascii="Calibri" w:hAnsi="Calibri"/>
                <w:b/>
                <w:bCs/>
              </w:rPr>
              <w:t>2020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11D99" w:rsidRPr="00311D99" w:rsidRDefault="00311D99" w:rsidP="00311D99">
            <w:pPr>
              <w:jc w:val="center"/>
              <w:rPr>
                <w:rFonts w:ascii="Calibri" w:hAnsi="Calibri" w:cs="Arial"/>
                <w:b/>
                <w:bCs/>
              </w:rPr>
            </w:pPr>
            <w:r>
              <w:rPr>
                <w:rFonts w:ascii="Calibri" w:hAnsi="Calibri"/>
                <w:b/>
                <w:bCs/>
              </w:rPr>
              <w:t>2021</w:t>
            </w:r>
          </w:p>
        </w:tc>
      </w:tr>
      <w:tr w:rsidR="00311D99" w:rsidRPr="00311D99" w:rsidTr="00311D99">
        <w:trPr>
          <w:trHeight w:val="385"/>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311D99" w:rsidRPr="003964D3" w:rsidRDefault="00311D99" w:rsidP="00311D99">
            <w:pPr>
              <w:rPr>
                <w:rFonts w:ascii="Calibri" w:hAnsi="Calibri" w:cs="Arial"/>
                <w:bCs/>
                <w:sz w:val="22"/>
                <w:szCs w:val="22"/>
              </w:rPr>
            </w:pPr>
            <w:r>
              <w:rPr>
                <w:rFonts w:ascii="Calibri" w:hAnsi="Calibri"/>
                <w:bCs/>
                <w:sz w:val="22"/>
                <w:szCs w:val="22"/>
              </w:rPr>
              <w:t>NTA 1 - payment decoupled on area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11D99" w:rsidRPr="00311D99" w:rsidRDefault="00311D99" w:rsidP="00311D99">
            <w:pPr>
              <w:jc w:val="right"/>
              <w:rPr>
                <w:rFonts w:ascii="Calibri" w:hAnsi="Calibri" w:cs="Arial"/>
                <w:sz w:val="22"/>
                <w:szCs w:val="22"/>
              </w:rPr>
            </w:pPr>
            <w:r>
              <w:rPr>
                <w:rFonts w:ascii="Calibri" w:hAnsi="Calibri"/>
                <w:sz w:val="22"/>
                <w:szCs w:val="22"/>
              </w:rPr>
              <w:t xml:space="preserve">110891.950 </w:t>
            </w:r>
          </w:p>
        </w:tc>
        <w:tc>
          <w:tcPr>
            <w:tcW w:w="1275" w:type="dxa"/>
            <w:tcBorders>
              <w:top w:val="nil"/>
              <w:left w:val="nil"/>
              <w:bottom w:val="single" w:sz="8" w:space="0" w:color="auto"/>
              <w:right w:val="single" w:sz="4" w:space="0" w:color="auto"/>
            </w:tcBorders>
            <w:shd w:val="clear" w:color="auto" w:fill="auto"/>
            <w:noWrap/>
            <w:vAlign w:val="center"/>
            <w:hideMark/>
          </w:tcPr>
          <w:p w:rsidR="00311D99" w:rsidRPr="00311D99" w:rsidRDefault="00311D99" w:rsidP="00311D99">
            <w:pPr>
              <w:jc w:val="right"/>
              <w:rPr>
                <w:rFonts w:ascii="Calibri" w:hAnsi="Calibri" w:cs="Arial"/>
                <w:sz w:val="22"/>
                <w:szCs w:val="22"/>
              </w:rPr>
            </w:pPr>
            <w:r>
              <w:rPr>
                <w:rFonts w:ascii="Calibri" w:hAnsi="Calibri"/>
                <w:sz w:val="22"/>
                <w:szCs w:val="22"/>
              </w:rPr>
              <w:t>102361.800</w:t>
            </w:r>
          </w:p>
        </w:tc>
        <w:tc>
          <w:tcPr>
            <w:tcW w:w="1276"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right"/>
              <w:rPr>
                <w:rFonts w:ascii="Calibri" w:hAnsi="Calibri" w:cs="Arial"/>
                <w:sz w:val="22"/>
                <w:szCs w:val="22"/>
              </w:rPr>
            </w:pPr>
            <w:r>
              <w:rPr>
                <w:rFonts w:ascii="Calibri" w:hAnsi="Calibri"/>
                <w:sz w:val="22"/>
                <w:szCs w:val="22"/>
              </w:rPr>
              <w:t>93831.650</w:t>
            </w:r>
          </w:p>
        </w:tc>
        <w:tc>
          <w:tcPr>
            <w:tcW w:w="1276"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right"/>
              <w:rPr>
                <w:rFonts w:ascii="Calibri" w:hAnsi="Calibri" w:cs="Arial"/>
                <w:sz w:val="22"/>
                <w:szCs w:val="22"/>
              </w:rPr>
            </w:pPr>
            <w:r>
              <w:rPr>
                <w:rFonts w:ascii="Calibri" w:hAnsi="Calibri"/>
                <w:sz w:val="22"/>
                <w:szCs w:val="22"/>
              </w:rPr>
              <w:t>85301.500</w:t>
            </w:r>
          </w:p>
        </w:tc>
      </w:tr>
      <w:tr w:rsidR="00311D99" w:rsidRPr="00311D99" w:rsidTr="00311D99">
        <w:trPr>
          <w:trHeight w:val="318"/>
        </w:trPr>
        <w:tc>
          <w:tcPr>
            <w:tcW w:w="4962" w:type="dxa"/>
            <w:tcBorders>
              <w:top w:val="nil"/>
              <w:left w:val="single" w:sz="4" w:space="0" w:color="auto"/>
              <w:bottom w:val="single" w:sz="4" w:space="0" w:color="auto"/>
              <w:right w:val="single" w:sz="4" w:space="0" w:color="auto"/>
            </w:tcBorders>
            <w:shd w:val="clear" w:color="auto" w:fill="auto"/>
            <w:vAlign w:val="center"/>
          </w:tcPr>
          <w:p w:rsidR="00311D99" w:rsidRPr="00311D99" w:rsidRDefault="00311D99" w:rsidP="00311D99">
            <w:pPr>
              <w:rPr>
                <w:rFonts w:ascii="Calibri" w:hAnsi="Calibri" w:cs="Arial"/>
                <w:bCs/>
                <w:sz w:val="22"/>
                <w:szCs w:val="22"/>
              </w:rPr>
            </w:pPr>
            <w:r>
              <w:rPr>
                <w:rFonts w:ascii="Calibri" w:hAnsi="Calibri"/>
                <w:bCs/>
                <w:sz w:val="22"/>
                <w:szCs w:val="22"/>
              </w:rPr>
              <w:t>NTA 2, 3 - payment decoupled on flax and heap for fiber</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11D99" w:rsidRPr="00311D99" w:rsidRDefault="00311D99" w:rsidP="00311D99">
            <w:pPr>
              <w:jc w:val="right"/>
              <w:rPr>
                <w:rFonts w:ascii="Calibri" w:hAnsi="Calibri" w:cs="Arial"/>
                <w:sz w:val="22"/>
                <w:szCs w:val="22"/>
              </w:rPr>
            </w:pPr>
            <w:r>
              <w:rPr>
                <w:rFonts w:ascii="Calibri" w:hAnsi="Calibri"/>
                <w:sz w:val="22"/>
                <w:szCs w:val="22"/>
              </w:rPr>
              <w:t>7.150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311D99" w:rsidRPr="00311D99" w:rsidRDefault="00311D99" w:rsidP="00311D99">
            <w:pPr>
              <w:jc w:val="right"/>
              <w:rPr>
                <w:rFonts w:ascii="Calibri" w:hAnsi="Calibri" w:cs="Arial"/>
                <w:sz w:val="22"/>
                <w:szCs w:val="22"/>
              </w:rPr>
            </w:pPr>
            <w:r>
              <w:rPr>
                <w:rFonts w:ascii="Calibri" w:hAnsi="Calibri"/>
                <w:sz w:val="22"/>
                <w:szCs w:val="22"/>
              </w:rPr>
              <w:t>6.600</w:t>
            </w:r>
          </w:p>
        </w:tc>
        <w:tc>
          <w:tcPr>
            <w:tcW w:w="1276"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right"/>
              <w:rPr>
                <w:rFonts w:ascii="Calibri" w:hAnsi="Calibri" w:cs="Arial"/>
                <w:sz w:val="22"/>
                <w:szCs w:val="22"/>
              </w:rPr>
            </w:pPr>
            <w:r>
              <w:rPr>
                <w:rFonts w:ascii="Calibri" w:hAnsi="Calibri"/>
                <w:sz w:val="22"/>
                <w:szCs w:val="22"/>
              </w:rPr>
              <w:t>6.050</w:t>
            </w:r>
          </w:p>
        </w:tc>
        <w:tc>
          <w:tcPr>
            <w:tcW w:w="1276"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right"/>
              <w:rPr>
                <w:rFonts w:ascii="Calibri" w:hAnsi="Calibri" w:cs="Arial"/>
                <w:sz w:val="22"/>
                <w:szCs w:val="22"/>
              </w:rPr>
            </w:pPr>
            <w:r>
              <w:rPr>
                <w:rFonts w:ascii="Calibri" w:hAnsi="Calibri"/>
                <w:sz w:val="22"/>
                <w:szCs w:val="22"/>
              </w:rPr>
              <w:t>5,500</w:t>
            </w:r>
          </w:p>
        </w:tc>
      </w:tr>
      <w:tr w:rsidR="00311D99" w:rsidRPr="00311D99" w:rsidTr="00311D99">
        <w:trPr>
          <w:trHeight w:val="333"/>
        </w:trPr>
        <w:tc>
          <w:tcPr>
            <w:tcW w:w="4962" w:type="dxa"/>
            <w:tcBorders>
              <w:top w:val="nil"/>
              <w:left w:val="single" w:sz="4" w:space="0" w:color="auto"/>
              <w:bottom w:val="single" w:sz="4" w:space="0" w:color="auto"/>
              <w:right w:val="single" w:sz="4" w:space="0" w:color="auto"/>
            </w:tcBorders>
            <w:shd w:val="clear" w:color="auto" w:fill="auto"/>
            <w:vAlign w:val="center"/>
          </w:tcPr>
          <w:p w:rsidR="00311D99" w:rsidRPr="00311D99" w:rsidRDefault="00311D99" w:rsidP="00311D99">
            <w:pPr>
              <w:rPr>
                <w:rFonts w:ascii="Calibri" w:hAnsi="Calibri" w:cs="Arial"/>
                <w:bCs/>
                <w:sz w:val="22"/>
                <w:szCs w:val="22"/>
              </w:rPr>
            </w:pPr>
            <w:r>
              <w:rPr>
                <w:rFonts w:ascii="Calibri" w:hAnsi="Calibri"/>
                <w:bCs/>
                <w:sz w:val="22"/>
                <w:szCs w:val="22"/>
              </w:rPr>
              <w:t>NTA 4 - payment decoupled for tobacco</w:t>
            </w:r>
          </w:p>
        </w:tc>
        <w:tc>
          <w:tcPr>
            <w:tcW w:w="1276" w:type="dxa"/>
            <w:tcBorders>
              <w:top w:val="single" w:sz="4" w:space="0" w:color="auto"/>
              <w:left w:val="nil"/>
              <w:bottom w:val="single" w:sz="8" w:space="0" w:color="auto"/>
              <w:right w:val="single" w:sz="4" w:space="0" w:color="auto"/>
            </w:tcBorders>
            <w:shd w:val="clear" w:color="auto" w:fill="auto"/>
            <w:vAlign w:val="center"/>
            <w:hideMark/>
          </w:tcPr>
          <w:p w:rsidR="00311D99" w:rsidRPr="00311D99" w:rsidRDefault="00311D99" w:rsidP="00311D99">
            <w:pPr>
              <w:jc w:val="right"/>
              <w:rPr>
                <w:rFonts w:ascii="Calibri" w:hAnsi="Calibri" w:cs="Arial"/>
                <w:sz w:val="22"/>
                <w:szCs w:val="22"/>
              </w:rPr>
            </w:pPr>
            <w:r>
              <w:rPr>
                <w:rFonts w:ascii="Calibri" w:hAnsi="Calibri"/>
                <w:sz w:val="22"/>
                <w:szCs w:val="22"/>
              </w:rPr>
              <w:t>1656.200</w:t>
            </w:r>
          </w:p>
        </w:tc>
        <w:tc>
          <w:tcPr>
            <w:tcW w:w="1275" w:type="dxa"/>
            <w:tcBorders>
              <w:top w:val="nil"/>
              <w:left w:val="nil"/>
              <w:bottom w:val="single" w:sz="8" w:space="0" w:color="auto"/>
              <w:right w:val="single" w:sz="4" w:space="0" w:color="auto"/>
            </w:tcBorders>
            <w:shd w:val="clear" w:color="auto" w:fill="auto"/>
            <w:noWrap/>
            <w:vAlign w:val="center"/>
            <w:hideMark/>
          </w:tcPr>
          <w:p w:rsidR="00311D99" w:rsidRPr="00311D99" w:rsidRDefault="00311D99" w:rsidP="00311D99">
            <w:pPr>
              <w:jc w:val="right"/>
              <w:rPr>
                <w:rFonts w:ascii="Calibri" w:hAnsi="Calibri" w:cs="Arial"/>
                <w:sz w:val="22"/>
                <w:szCs w:val="22"/>
              </w:rPr>
            </w:pPr>
            <w:r>
              <w:rPr>
                <w:rFonts w:ascii="Calibri" w:hAnsi="Calibri"/>
                <w:sz w:val="22"/>
                <w:szCs w:val="22"/>
              </w:rPr>
              <w:t>1656.200</w:t>
            </w:r>
          </w:p>
        </w:tc>
        <w:tc>
          <w:tcPr>
            <w:tcW w:w="1276" w:type="dxa"/>
            <w:tcBorders>
              <w:top w:val="nil"/>
              <w:left w:val="nil"/>
              <w:bottom w:val="single" w:sz="8" w:space="0" w:color="auto"/>
              <w:right w:val="single" w:sz="4" w:space="0" w:color="auto"/>
            </w:tcBorders>
            <w:shd w:val="clear" w:color="auto" w:fill="auto"/>
            <w:noWrap/>
            <w:vAlign w:val="center"/>
            <w:hideMark/>
          </w:tcPr>
          <w:p w:rsidR="00311D99" w:rsidRPr="00311D99" w:rsidRDefault="00311D99" w:rsidP="00311D99">
            <w:pPr>
              <w:jc w:val="right"/>
              <w:rPr>
                <w:rFonts w:ascii="Calibri" w:hAnsi="Calibri" w:cs="Arial"/>
                <w:sz w:val="22"/>
                <w:szCs w:val="22"/>
              </w:rPr>
            </w:pPr>
            <w:r>
              <w:rPr>
                <w:rFonts w:ascii="Calibri" w:hAnsi="Calibri"/>
                <w:sz w:val="22"/>
                <w:szCs w:val="22"/>
              </w:rPr>
              <w:t>1656.200</w:t>
            </w:r>
          </w:p>
        </w:tc>
        <w:tc>
          <w:tcPr>
            <w:tcW w:w="1276"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right"/>
              <w:rPr>
                <w:rFonts w:ascii="Calibri" w:hAnsi="Calibri" w:cs="Arial"/>
                <w:sz w:val="22"/>
                <w:szCs w:val="22"/>
              </w:rPr>
            </w:pPr>
            <w:r>
              <w:rPr>
                <w:rFonts w:ascii="Calibri" w:hAnsi="Calibri"/>
                <w:sz w:val="22"/>
                <w:szCs w:val="22"/>
              </w:rPr>
              <w:t>1656.200</w:t>
            </w:r>
          </w:p>
        </w:tc>
      </w:tr>
      <w:tr w:rsidR="00311D99" w:rsidRPr="00311D99" w:rsidTr="00311D99">
        <w:trPr>
          <w:trHeight w:val="304"/>
        </w:trPr>
        <w:tc>
          <w:tcPr>
            <w:tcW w:w="4962" w:type="dxa"/>
            <w:tcBorders>
              <w:top w:val="nil"/>
              <w:left w:val="single" w:sz="4" w:space="0" w:color="auto"/>
              <w:bottom w:val="single" w:sz="4" w:space="0" w:color="auto"/>
              <w:right w:val="single" w:sz="4" w:space="0" w:color="auto"/>
            </w:tcBorders>
            <w:shd w:val="clear" w:color="auto" w:fill="auto"/>
            <w:vAlign w:val="center"/>
          </w:tcPr>
          <w:p w:rsidR="00311D99" w:rsidRPr="00311D99" w:rsidRDefault="00311D99" w:rsidP="00311D99">
            <w:pPr>
              <w:rPr>
                <w:rFonts w:ascii="Calibri" w:hAnsi="Calibri" w:cs="Arial"/>
                <w:bCs/>
                <w:sz w:val="22"/>
                <w:szCs w:val="22"/>
              </w:rPr>
            </w:pPr>
            <w:r>
              <w:rPr>
                <w:rFonts w:ascii="Calibri" w:hAnsi="Calibri"/>
                <w:bCs/>
                <w:sz w:val="22"/>
                <w:szCs w:val="22"/>
              </w:rPr>
              <w:t>NTA 5 - payment decoupled for hop</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11D99" w:rsidRPr="00311D99" w:rsidRDefault="00311D99" w:rsidP="00311D99">
            <w:pPr>
              <w:jc w:val="right"/>
              <w:rPr>
                <w:rFonts w:ascii="Calibri" w:hAnsi="Calibri" w:cs="Arial"/>
                <w:sz w:val="22"/>
                <w:szCs w:val="22"/>
              </w:rPr>
            </w:pPr>
            <w:r>
              <w:rPr>
                <w:rFonts w:ascii="Calibri" w:hAnsi="Calibri"/>
                <w:sz w:val="22"/>
                <w:szCs w:val="22"/>
              </w:rPr>
              <w:t>109.200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311D99" w:rsidRPr="00311D99" w:rsidRDefault="00311D99" w:rsidP="00311D99">
            <w:pPr>
              <w:jc w:val="right"/>
              <w:rPr>
                <w:rFonts w:ascii="Calibri" w:hAnsi="Calibri" w:cs="Arial"/>
                <w:sz w:val="22"/>
                <w:szCs w:val="22"/>
              </w:rPr>
            </w:pPr>
            <w:r>
              <w:rPr>
                <w:rFonts w:ascii="Calibri" w:hAnsi="Calibri"/>
                <w:sz w:val="22"/>
                <w:szCs w:val="22"/>
              </w:rPr>
              <w:t>100.800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11D99" w:rsidRPr="00311D99" w:rsidRDefault="00311D99" w:rsidP="00311D99">
            <w:pPr>
              <w:jc w:val="right"/>
              <w:rPr>
                <w:rFonts w:ascii="Calibri" w:hAnsi="Calibri" w:cs="Arial"/>
                <w:sz w:val="22"/>
                <w:szCs w:val="22"/>
              </w:rPr>
            </w:pPr>
            <w:r>
              <w:rPr>
                <w:rFonts w:ascii="Calibri" w:hAnsi="Calibri"/>
                <w:sz w:val="22"/>
                <w:szCs w:val="22"/>
              </w:rPr>
              <w:t>92.400</w:t>
            </w:r>
          </w:p>
        </w:tc>
        <w:tc>
          <w:tcPr>
            <w:tcW w:w="1276"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right"/>
              <w:rPr>
                <w:rFonts w:ascii="Calibri" w:hAnsi="Calibri" w:cs="Arial"/>
                <w:sz w:val="22"/>
                <w:szCs w:val="22"/>
              </w:rPr>
            </w:pPr>
            <w:r>
              <w:rPr>
                <w:rFonts w:ascii="Calibri" w:hAnsi="Calibri"/>
                <w:sz w:val="22"/>
                <w:szCs w:val="22"/>
              </w:rPr>
              <w:t>84.000</w:t>
            </w:r>
          </w:p>
        </w:tc>
      </w:tr>
      <w:tr w:rsidR="00311D99" w:rsidRPr="00311D99" w:rsidTr="00311D99">
        <w:trPr>
          <w:trHeight w:val="411"/>
        </w:trPr>
        <w:tc>
          <w:tcPr>
            <w:tcW w:w="4962" w:type="dxa"/>
            <w:tcBorders>
              <w:top w:val="nil"/>
              <w:left w:val="single" w:sz="4" w:space="0" w:color="auto"/>
              <w:bottom w:val="single" w:sz="4" w:space="0" w:color="auto"/>
              <w:right w:val="single" w:sz="4" w:space="0" w:color="auto"/>
            </w:tcBorders>
            <w:shd w:val="clear" w:color="auto" w:fill="auto"/>
            <w:vAlign w:val="center"/>
          </w:tcPr>
          <w:p w:rsidR="00311D99" w:rsidRPr="003964D3" w:rsidRDefault="00311D99" w:rsidP="00311D99">
            <w:pPr>
              <w:rPr>
                <w:rFonts w:ascii="Calibri" w:hAnsi="Calibri" w:cs="Arial"/>
                <w:bCs/>
                <w:sz w:val="22"/>
                <w:szCs w:val="22"/>
              </w:rPr>
            </w:pPr>
            <w:r>
              <w:rPr>
                <w:rFonts w:ascii="Calibri" w:hAnsi="Calibri"/>
                <w:bCs/>
                <w:sz w:val="22"/>
                <w:szCs w:val="22"/>
              </w:rPr>
              <w:t>NTA 6 - payment decoupled for sugar cane</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11D99" w:rsidRPr="00311D99" w:rsidRDefault="00311D99" w:rsidP="00311D99">
            <w:pPr>
              <w:jc w:val="right"/>
              <w:rPr>
                <w:rFonts w:ascii="Calibri" w:hAnsi="Calibri" w:cs="Arial"/>
                <w:sz w:val="22"/>
                <w:szCs w:val="22"/>
              </w:rPr>
            </w:pPr>
            <w:r>
              <w:rPr>
                <w:rFonts w:ascii="Calibri" w:hAnsi="Calibri"/>
                <w:sz w:val="22"/>
                <w:szCs w:val="22"/>
              </w:rPr>
              <w:t>1970.150</w:t>
            </w:r>
          </w:p>
        </w:tc>
        <w:tc>
          <w:tcPr>
            <w:tcW w:w="1275"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right"/>
              <w:rPr>
                <w:rFonts w:ascii="Calibri" w:hAnsi="Calibri" w:cs="Arial"/>
                <w:sz w:val="22"/>
                <w:szCs w:val="22"/>
              </w:rPr>
            </w:pPr>
            <w:r>
              <w:rPr>
                <w:rFonts w:ascii="Calibri" w:hAnsi="Calibri"/>
                <w:sz w:val="22"/>
                <w:szCs w:val="22"/>
              </w:rPr>
              <w:t>1818.600</w:t>
            </w:r>
          </w:p>
        </w:tc>
        <w:tc>
          <w:tcPr>
            <w:tcW w:w="1276"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right"/>
              <w:rPr>
                <w:rFonts w:ascii="Calibri" w:hAnsi="Calibri" w:cs="Arial"/>
                <w:sz w:val="22"/>
                <w:szCs w:val="22"/>
              </w:rPr>
            </w:pPr>
            <w:r>
              <w:rPr>
                <w:rFonts w:ascii="Calibri" w:hAnsi="Calibri"/>
                <w:sz w:val="22"/>
                <w:szCs w:val="22"/>
              </w:rPr>
              <w:t>1667.050</w:t>
            </w:r>
          </w:p>
        </w:tc>
        <w:tc>
          <w:tcPr>
            <w:tcW w:w="1276"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right"/>
              <w:rPr>
                <w:rFonts w:ascii="Calibri" w:hAnsi="Calibri" w:cs="Arial"/>
                <w:sz w:val="22"/>
                <w:szCs w:val="22"/>
              </w:rPr>
            </w:pPr>
            <w:r>
              <w:rPr>
                <w:rFonts w:ascii="Calibri" w:hAnsi="Calibri"/>
                <w:sz w:val="22"/>
                <w:szCs w:val="22"/>
              </w:rPr>
              <w:t>1515.500</w:t>
            </w:r>
          </w:p>
        </w:tc>
      </w:tr>
      <w:tr w:rsidR="00311D99" w:rsidRPr="00311D99" w:rsidTr="00311D99">
        <w:trPr>
          <w:trHeight w:val="416"/>
        </w:trPr>
        <w:tc>
          <w:tcPr>
            <w:tcW w:w="4962" w:type="dxa"/>
            <w:tcBorders>
              <w:top w:val="nil"/>
              <w:left w:val="single" w:sz="4" w:space="0" w:color="auto"/>
              <w:bottom w:val="single" w:sz="4" w:space="0" w:color="auto"/>
              <w:right w:val="single" w:sz="4" w:space="0" w:color="auto"/>
            </w:tcBorders>
            <w:shd w:val="clear" w:color="auto" w:fill="auto"/>
            <w:vAlign w:val="center"/>
          </w:tcPr>
          <w:p w:rsidR="00311D99" w:rsidRPr="003964D3" w:rsidRDefault="00311D99" w:rsidP="00311D99">
            <w:pPr>
              <w:rPr>
                <w:rFonts w:ascii="Calibri" w:hAnsi="Calibri" w:cs="Arial"/>
                <w:bCs/>
                <w:sz w:val="22"/>
                <w:szCs w:val="22"/>
              </w:rPr>
            </w:pPr>
            <w:r>
              <w:rPr>
                <w:rFonts w:ascii="Calibri" w:hAnsi="Calibri"/>
                <w:bCs/>
                <w:sz w:val="22"/>
                <w:szCs w:val="22"/>
              </w:rPr>
              <w:t>NTA 7 - cow’s milk - payment decoupled by production</w:t>
            </w:r>
          </w:p>
        </w:tc>
        <w:tc>
          <w:tcPr>
            <w:tcW w:w="1276" w:type="dxa"/>
            <w:tcBorders>
              <w:top w:val="single" w:sz="4" w:space="0" w:color="auto"/>
              <w:left w:val="nil"/>
              <w:bottom w:val="single" w:sz="4" w:space="0" w:color="auto"/>
              <w:right w:val="single" w:sz="4" w:space="0" w:color="000000"/>
            </w:tcBorders>
            <w:shd w:val="clear" w:color="auto" w:fill="auto"/>
            <w:vAlign w:val="center"/>
            <w:hideMark/>
          </w:tcPr>
          <w:p w:rsidR="00311D99" w:rsidRPr="00311D99" w:rsidRDefault="00311D99" w:rsidP="00311D99">
            <w:pPr>
              <w:jc w:val="right"/>
              <w:rPr>
                <w:rFonts w:ascii="Calibri" w:hAnsi="Calibri" w:cs="Arial"/>
                <w:sz w:val="22"/>
                <w:szCs w:val="22"/>
              </w:rPr>
            </w:pPr>
            <w:r>
              <w:rPr>
                <w:rFonts w:ascii="Calibri" w:hAnsi="Calibri"/>
                <w:sz w:val="22"/>
                <w:szCs w:val="22"/>
              </w:rPr>
              <w:t xml:space="preserve">24081.200 </w:t>
            </w:r>
          </w:p>
        </w:tc>
        <w:tc>
          <w:tcPr>
            <w:tcW w:w="1275"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right"/>
              <w:rPr>
                <w:rFonts w:ascii="Calibri" w:hAnsi="Calibri" w:cs="Arial"/>
                <w:sz w:val="22"/>
                <w:szCs w:val="22"/>
              </w:rPr>
            </w:pPr>
            <w:r>
              <w:rPr>
                <w:rFonts w:ascii="Calibri" w:hAnsi="Calibri"/>
                <w:sz w:val="22"/>
                <w:szCs w:val="22"/>
              </w:rPr>
              <w:t>22228.800</w:t>
            </w:r>
          </w:p>
        </w:tc>
        <w:tc>
          <w:tcPr>
            <w:tcW w:w="1276"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right"/>
              <w:rPr>
                <w:rFonts w:ascii="Calibri" w:hAnsi="Calibri" w:cs="Arial"/>
                <w:sz w:val="22"/>
                <w:szCs w:val="22"/>
              </w:rPr>
            </w:pPr>
            <w:r>
              <w:rPr>
                <w:rFonts w:ascii="Calibri" w:hAnsi="Calibri"/>
                <w:sz w:val="22"/>
                <w:szCs w:val="22"/>
              </w:rPr>
              <w:t>20376.400</w:t>
            </w:r>
          </w:p>
        </w:tc>
        <w:tc>
          <w:tcPr>
            <w:tcW w:w="1276" w:type="dxa"/>
            <w:tcBorders>
              <w:top w:val="nil"/>
              <w:left w:val="nil"/>
              <w:bottom w:val="single" w:sz="4" w:space="0" w:color="auto"/>
              <w:right w:val="single" w:sz="4" w:space="0" w:color="auto"/>
            </w:tcBorders>
            <w:shd w:val="clear" w:color="auto" w:fill="auto"/>
            <w:noWrap/>
            <w:vAlign w:val="center"/>
            <w:hideMark/>
          </w:tcPr>
          <w:p w:rsidR="00311D99" w:rsidRPr="00311D99" w:rsidRDefault="00311D99" w:rsidP="00311D99">
            <w:pPr>
              <w:jc w:val="right"/>
              <w:rPr>
                <w:rFonts w:ascii="Calibri" w:hAnsi="Calibri" w:cs="Arial"/>
                <w:sz w:val="22"/>
                <w:szCs w:val="22"/>
              </w:rPr>
            </w:pPr>
            <w:r>
              <w:rPr>
                <w:rFonts w:ascii="Calibri" w:hAnsi="Calibri"/>
                <w:sz w:val="22"/>
                <w:szCs w:val="22"/>
              </w:rPr>
              <w:t>18524.000</w:t>
            </w:r>
          </w:p>
        </w:tc>
      </w:tr>
      <w:tr w:rsidR="00311D99" w:rsidRPr="00311D99" w:rsidTr="00311D99">
        <w:trPr>
          <w:trHeight w:val="42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D99" w:rsidRPr="003964D3" w:rsidRDefault="00311D99" w:rsidP="00311D99">
            <w:pPr>
              <w:rPr>
                <w:rFonts w:ascii="Calibri" w:hAnsi="Calibri" w:cs="Arial"/>
                <w:bCs/>
                <w:sz w:val="22"/>
                <w:szCs w:val="22"/>
              </w:rPr>
            </w:pPr>
            <w:r>
              <w:rPr>
                <w:rFonts w:ascii="Calibri" w:hAnsi="Calibri"/>
                <w:bCs/>
                <w:sz w:val="22"/>
                <w:szCs w:val="22"/>
              </w:rPr>
              <w:t>NTA 8 - beef and veal - payment decoupled by production</w:t>
            </w:r>
          </w:p>
        </w:tc>
        <w:tc>
          <w:tcPr>
            <w:tcW w:w="1276" w:type="dxa"/>
            <w:tcBorders>
              <w:top w:val="single" w:sz="4" w:space="0" w:color="auto"/>
              <w:left w:val="nil"/>
              <w:bottom w:val="single" w:sz="4" w:space="0" w:color="auto"/>
              <w:right w:val="single" w:sz="4" w:space="0" w:color="000000"/>
            </w:tcBorders>
            <w:shd w:val="clear" w:color="auto" w:fill="auto"/>
            <w:vAlign w:val="bottom"/>
            <w:hideMark/>
          </w:tcPr>
          <w:p w:rsidR="00311D99" w:rsidRPr="00311D99" w:rsidRDefault="00311D99" w:rsidP="00311D99">
            <w:pPr>
              <w:jc w:val="right"/>
              <w:rPr>
                <w:rFonts w:ascii="Calibri" w:hAnsi="Calibri" w:cs="Calibri"/>
                <w:bCs/>
                <w:color w:val="000000"/>
                <w:sz w:val="22"/>
                <w:szCs w:val="22"/>
              </w:rPr>
            </w:pPr>
            <w:r>
              <w:rPr>
                <w:rFonts w:ascii="Calibri" w:hAnsi="Calibri"/>
                <w:bCs/>
                <w:color w:val="000000"/>
                <w:sz w:val="22"/>
                <w:szCs w:val="22"/>
              </w:rPr>
              <w:t>101201.100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311D99" w:rsidRPr="00311D99" w:rsidRDefault="00311D99" w:rsidP="00311D99">
            <w:pPr>
              <w:jc w:val="right"/>
              <w:rPr>
                <w:rFonts w:ascii="Calibri" w:hAnsi="Calibri" w:cs="Arial"/>
                <w:bCs/>
                <w:sz w:val="22"/>
                <w:szCs w:val="22"/>
              </w:rPr>
            </w:pPr>
            <w:r>
              <w:rPr>
                <w:rFonts w:ascii="Calibri" w:hAnsi="Calibri"/>
                <w:bCs/>
                <w:sz w:val="22"/>
                <w:szCs w:val="22"/>
              </w:rPr>
              <w:t>93416.400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11D99" w:rsidRPr="00311D99" w:rsidRDefault="00311D99" w:rsidP="00311D99">
            <w:pPr>
              <w:jc w:val="right"/>
              <w:rPr>
                <w:rFonts w:ascii="Calibri" w:hAnsi="Calibri" w:cs="Arial"/>
                <w:bCs/>
                <w:sz w:val="22"/>
                <w:szCs w:val="22"/>
              </w:rPr>
            </w:pPr>
            <w:r>
              <w:rPr>
                <w:rFonts w:ascii="Calibri" w:hAnsi="Calibri"/>
                <w:bCs/>
                <w:sz w:val="22"/>
                <w:szCs w:val="22"/>
              </w:rPr>
              <w:t>85631.700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11D99" w:rsidRPr="00311D99" w:rsidRDefault="00311D99" w:rsidP="00311D99">
            <w:pPr>
              <w:jc w:val="right"/>
              <w:rPr>
                <w:rFonts w:ascii="Calibri" w:hAnsi="Calibri" w:cs="Arial"/>
                <w:bCs/>
                <w:sz w:val="22"/>
                <w:szCs w:val="22"/>
              </w:rPr>
            </w:pPr>
            <w:r>
              <w:rPr>
                <w:rFonts w:ascii="Calibri" w:hAnsi="Calibri"/>
                <w:bCs/>
                <w:sz w:val="22"/>
                <w:szCs w:val="22"/>
              </w:rPr>
              <w:t>77847.000</w:t>
            </w:r>
          </w:p>
        </w:tc>
      </w:tr>
      <w:tr w:rsidR="00311D99" w:rsidRPr="00311D99" w:rsidTr="00311D99">
        <w:trPr>
          <w:trHeight w:val="42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1D99" w:rsidRPr="003964D3" w:rsidRDefault="00311D99" w:rsidP="00311D99">
            <w:pPr>
              <w:rPr>
                <w:rFonts w:ascii="Calibri" w:hAnsi="Calibri" w:cs="Arial"/>
                <w:bCs/>
                <w:sz w:val="22"/>
                <w:szCs w:val="22"/>
              </w:rPr>
            </w:pPr>
            <w:r>
              <w:rPr>
                <w:rFonts w:ascii="Calibri" w:hAnsi="Calibri"/>
                <w:bCs/>
                <w:sz w:val="22"/>
                <w:szCs w:val="22"/>
              </w:rPr>
              <w:t>NTA 9 - female sheep and goats - payment coupled by production</w:t>
            </w:r>
          </w:p>
        </w:tc>
        <w:tc>
          <w:tcPr>
            <w:tcW w:w="1276" w:type="dxa"/>
            <w:tcBorders>
              <w:top w:val="single" w:sz="4" w:space="0" w:color="auto"/>
              <w:left w:val="nil"/>
              <w:bottom w:val="single" w:sz="4" w:space="0" w:color="auto"/>
              <w:right w:val="single" w:sz="4" w:space="0" w:color="000000"/>
            </w:tcBorders>
            <w:shd w:val="clear" w:color="auto" w:fill="auto"/>
            <w:vAlign w:val="bottom"/>
          </w:tcPr>
          <w:p w:rsidR="00311D99" w:rsidRPr="00311D99" w:rsidRDefault="00311D99" w:rsidP="00311D99">
            <w:pPr>
              <w:jc w:val="right"/>
              <w:rPr>
                <w:rFonts w:ascii="Calibri" w:hAnsi="Calibri" w:cs="Calibri"/>
                <w:bCs/>
                <w:color w:val="000000"/>
                <w:sz w:val="22"/>
                <w:szCs w:val="22"/>
              </w:rPr>
            </w:pPr>
            <w:r>
              <w:rPr>
                <w:rFonts w:ascii="Calibri" w:hAnsi="Calibri"/>
                <w:bCs/>
                <w:color w:val="000000"/>
                <w:sz w:val="22"/>
                <w:szCs w:val="22"/>
              </w:rPr>
              <w:t>50783.850</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311D99" w:rsidRPr="00311D99" w:rsidRDefault="00311D99" w:rsidP="00311D99">
            <w:pPr>
              <w:jc w:val="right"/>
              <w:rPr>
                <w:rFonts w:ascii="Calibri" w:hAnsi="Calibri" w:cs="Arial"/>
                <w:bCs/>
                <w:sz w:val="22"/>
                <w:szCs w:val="22"/>
              </w:rPr>
            </w:pPr>
            <w:r>
              <w:rPr>
                <w:rFonts w:ascii="Calibri" w:hAnsi="Calibri"/>
                <w:bCs/>
                <w:sz w:val="22"/>
                <w:szCs w:val="22"/>
              </w:rPr>
              <w:t>46877.400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311D99" w:rsidRPr="00311D99" w:rsidRDefault="00311D99" w:rsidP="00311D99">
            <w:pPr>
              <w:jc w:val="right"/>
              <w:rPr>
                <w:rFonts w:ascii="Calibri" w:hAnsi="Calibri" w:cs="Arial"/>
                <w:bCs/>
                <w:sz w:val="22"/>
                <w:szCs w:val="22"/>
              </w:rPr>
            </w:pPr>
            <w:r>
              <w:rPr>
                <w:rFonts w:ascii="Calibri" w:hAnsi="Calibri"/>
                <w:bCs/>
                <w:sz w:val="22"/>
                <w:szCs w:val="22"/>
              </w:rPr>
              <w:t>42970.950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311D99" w:rsidRPr="00311D99" w:rsidRDefault="00311D99" w:rsidP="00311D99">
            <w:pPr>
              <w:jc w:val="right"/>
              <w:rPr>
                <w:rFonts w:ascii="Calibri" w:hAnsi="Calibri" w:cs="Arial"/>
                <w:bCs/>
                <w:sz w:val="22"/>
                <w:szCs w:val="22"/>
              </w:rPr>
            </w:pPr>
            <w:r>
              <w:rPr>
                <w:rFonts w:ascii="Calibri" w:hAnsi="Calibri"/>
                <w:bCs/>
                <w:sz w:val="22"/>
                <w:szCs w:val="22"/>
              </w:rPr>
              <w:t>39064.500</w:t>
            </w:r>
          </w:p>
        </w:tc>
      </w:tr>
    </w:tbl>
    <w:p w:rsidR="00311D99" w:rsidRPr="00311D99" w:rsidRDefault="00311D99" w:rsidP="00311D99">
      <w:pPr>
        <w:tabs>
          <w:tab w:val="left" w:pos="405"/>
        </w:tabs>
        <w:rPr>
          <w:rFonts w:ascii="Calibri" w:eastAsia="MS Mincho" w:hAnsi="Calibri"/>
        </w:rPr>
      </w:pPr>
    </w:p>
    <w:p w:rsidR="00311D99" w:rsidRPr="00311D99" w:rsidRDefault="00311D99" w:rsidP="00311D99">
      <w:pPr>
        <w:rPr>
          <w:rFonts w:ascii="Calibri" w:hAnsi="Calibri"/>
          <w:b/>
          <w:u w:val="single"/>
          <w:lang w:val="ro-RO" w:eastAsia="ro-RO"/>
        </w:rPr>
      </w:pPr>
    </w:p>
    <w:p w:rsidR="00311D99" w:rsidRPr="00311D99" w:rsidRDefault="00311D99" w:rsidP="00311D99">
      <w:pPr>
        <w:numPr>
          <w:ilvl w:val="0"/>
          <w:numId w:val="23"/>
        </w:numPr>
        <w:jc w:val="both"/>
        <w:rPr>
          <w:rFonts w:ascii="Calibri" w:hAnsi="Calibri"/>
          <w:b/>
        </w:rPr>
      </w:pPr>
      <w:r>
        <w:rPr>
          <w:rFonts w:ascii="Calibri" w:hAnsi="Calibri"/>
        </w:rPr>
        <w:t xml:space="preserve">State aid for procurement of diesel with reduced excise duty - 1.7385 Lei shall be given per liter of diesel used in performing the mechanized works in agriculture, respectively in the vegetable, zoo-technical sectors and land improvement. </w:t>
      </w:r>
    </w:p>
    <w:p w:rsidR="00311D99" w:rsidRPr="00311D99" w:rsidRDefault="00311D99" w:rsidP="00311D99">
      <w:pPr>
        <w:jc w:val="both"/>
        <w:rPr>
          <w:rFonts w:ascii="Calibri" w:hAnsi="Calibri"/>
          <w:b/>
          <w:lang w:val="ro-RO" w:eastAsia="ro-RO"/>
        </w:rPr>
      </w:pPr>
    </w:p>
    <w:p w:rsidR="00311D99" w:rsidRPr="00311D99" w:rsidRDefault="00311D99" w:rsidP="00311D99">
      <w:pPr>
        <w:jc w:val="both"/>
        <w:rPr>
          <w:rFonts w:ascii="Calibri" w:hAnsi="Calibri"/>
          <w:b/>
          <w:strike/>
          <w:color w:val="FF0000"/>
          <w:lang w:val="ro-RO" w:eastAsia="ro-RO"/>
        </w:rPr>
      </w:pPr>
    </w:p>
    <w:p w:rsidR="00311D99" w:rsidRPr="00311D99" w:rsidRDefault="00311D99" w:rsidP="00311D99">
      <w:pPr>
        <w:numPr>
          <w:ilvl w:val="0"/>
          <w:numId w:val="24"/>
        </w:numPr>
        <w:jc w:val="both"/>
        <w:rPr>
          <w:rFonts w:ascii="Calibri" w:hAnsi="Calibri"/>
          <w:b/>
        </w:rPr>
      </w:pPr>
      <w:r>
        <w:rPr>
          <w:rFonts w:ascii="Calibri" w:hAnsi="Calibri"/>
          <w:b/>
        </w:rPr>
        <w:t>State aid in the field of animal breeding, in order to improve the genetic quality</w:t>
      </w:r>
      <w:r>
        <w:rPr>
          <w:rFonts w:ascii="Calibri" w:hAnsi="Calibri"/>
        </w:rPr>
        <w:t xml:space="preserve"> of livestock and implicitly the production potential in animal breeds which have improvement programs established. Benefits approximately 20 thousand farms.</w:t>
      </w:r>
    </w:p>
    <w:p w:rsidR="00311D99" w:rsidRPr="00311D99" w:rsidRDefault="00311D99" w:rsidP="00311D99">
      <w:pPr>
        <w:ind w:left="720"/>
        <w:jc w:val="both"/>
        <w:rPr>
          <w:rFonts w:ascii="Calibri" w:hAnsi="Calibri"/>
          <w:b/>
          <w:lang w:val="ro-RO" w:eastAsia="ro-RO"/>
        </w:rPr>
      </w:pPr>
    </w:p>
    <w:p w:rsidR="00311D99" w:rsidRPr="00311D99" w:rsidRDefault="00311D99" w:rsidP="00311D99">
      <w:pPr>
        <w:numPr>
          <w:ilvl w:val="0"/>
          <w:numId w:val="23"/>
        </w:numPr>
        <w:jc w:val="both"/>
        <w:rPr>
          <w:rFonts w:ascii="Calibri" w:hAnsi="Calibri"/>
        </w:rPr>
      </w:pPr>
      <w:r>
        <w:rPr>
          <w:rFonts w:ascii="Calibri" w:hAnsi="Calibri"/>
          <w:b/>
        </w:rPr>
        <w:t>State aid for neutralization of animal waste</w:t>
      </w:r>
    </w:p>
    <w:p w:rsidR="00311D99" w:rsidRPr="00311D99" w:rsidRDefault="00311D99" w:rsidP="00311D99">
      <w:pPr>
        <w:rPr>
          <w:rFonts w:ascii="Calibri" w:hAnsi="Calibri"/>
        </w:rPr>
      </w:pPr>
    </w:p>
    <w:p w:rsidR="00311D99" w:rsidRPr="00311D99" w:rsidRDefault="00311D99" w:rsidP="00311D99">
      <w:pPr>
        <w:jc w:val="both"/>
        <w:rPr>
          <w:rFonts w:ascii="Calibri" w:hAnsi="Calibri"/>
        </w:rPr>
      </w:pPr>
      <w:r>
        <w:rPr>
          <w:rFonts w:ascii="Calibri" w:hAnsi="Calibri"/>
          <w:b/>
        </w:rPr>
        <w:sym w:font="Wingdings" w:char="F0D8"/>
      </w:r>
      <w:r>
        <w:rPr>
          <w:rFonts w:ascii="Calibri" w:hAnsi="Calibri"/>
          <w:b/>
        </w:rPr>
        <w:t xml:space="preserve"> De minimis aid for implementation of the support program for the product “tomatoes in protected areas”</w:t>
      </w:r>
      <w:r>
        <w:rPr>
          <w:rFonts w:ascii="Calibri" w:hAnsi="Calibri"/>
        </w:rPr>
        <w:t xml:space="preserve"> - 3,000 EUR/beneficiary/year are given to the farmers with at least 1,000 sq.m., who obtain at least 2 kg/sq.m. And trade their production between January and June 15, inclusive, and/or November - December 20, inclusive.</w:t>
      </w:r>
    </w:p>
    <w:p w:rsidR="00311D99" w:rsidRPr="00311D99" w:rsidRDefault="00311D99" w:rsidP="00311D99">
      <w:pPr>
        <w:jc w:val="both"/>
        <w:rPr>
          <w:rFonts w:ascii="Calibri" w:hAnsi="Calibri"/>
        </w:rPr>
      </w:pPr>
    </w:p>
    <w:p w:rsidR="00311D99" w:rsidRPr="00311D99" w:rsidRDefault="00311D99" w:rsidP="00311D99">
      <w:pPr>
        <w:tabs>
          <w:tab w:val="left" w:pos="450"/>
        </w:tabs>
        <w:jc w:val="both"/>
        <w:rPr>
          <w:rFonts w:ascii="Trebuchet MS" w:eastAsia="Calibri" w:hAnsi="Trebuchet MS" w:cs="Arial"/>
          <w:color w:val="000000" w:themeColor="text1"/>
          <w:sz w:val="22"/>
          <w:szCs w:val="22"/>
        </w:rPr>
      </w:pPr>
      <w:r>
        <w:rPr>
          <w:rFonts w:ascii="Calibri" w:hAnsi="Calibri"/>
        </w:rPr>
        <w:t xml:space="preserve">Approximately 8,000 farmers benefited of this program in 2017, the amount paid being of 108201 thousand Lei. </w:t>
      </w:r>
      <w:r>
        <w:rPr>
          <w:rFonts w:ascii="Trebuchet MS" w:hAnsi="Trebuchet MS"/>
          <w:color w:val="000000" w:themeColor="text1"/>
          <w:sz w:val="22"/>
          <w:szCs w:val="22"/>
        </w:rPr>
        <w:t xml:space="preserve">Approximately 16,200 farmers registered for the program until October 15, 2018. </w:t>
      </w:r>
    </w:p>
    <w:p w:rsidR="00311D99" w:rsidRPr="00311D99" w:rsidRDefault="00311D99" w:rsidP="00311D99">
      <w:pPr>
        <w:tabs>
          <w:tab w:val="left" w:pos="450"/>
        </w:tabs>
        <w:jc w:val="both"/>
        <w:rPr>
          <w:rFonts w:ascii="Trebuchet MS" w:eastAsia="Calibri" w:hAnsi="Trebuchet MS" w:cs="Arial"/>
          <w:color w:val="000000" w:themeColor="text1"/>
          <w:sz w:val="22"/>
          <w:szCs w:val="22"/>
        </w:rPr>
      </w:pPr>
      <w:r>
        <w:rPr>
          <w:rFonts w:ascii="Trebuchet MS" w:hAnsi="Trebuchet MS"/>
          <w:color w:val="000000" w:themeColor="text1"/>
          <w:sz w:val="22"/>
          <w:szCs w:val="22"/>
        </w:rPr>
        <w:t>The amount paid in cycle I for 10,946 farmers is of 151,031,813.40 Lei.</w:t>
      </w:r>
    </w:p>
    <w:p w:rsidR="00311D99" w:rsidRPr="003964D3" w:rsidRDefault="00311D99" w:rsidP="00311D99">
      <w:pPr>
        <w:jc w:val="both"/>
        <w:rPr>
          <w:rFonts w:ascii="Calibri" w:hAnsi="Calibri"/>
          <w:lang w:val="fr-FR"/>
        </w:rPr>
      </w:pPr>
    </w:p>
    <w:p w:rsidR="00311D99" w:rsidRPr="003964D3" w:rsidRDefault="00311D99" w:rsidP="00311D99">
      <w:pPr>
        <w:jc w:val="both"/>
        <w:rPr>
          <w:rFonts w:ascii="Calibri" w:hAnsi="Calibri"/>
          <w:lang w:val="fr-FR"/>
        </w:rPr>
      </w:pPr>
    </w:p>
    <w:p w:rsidR="00311D99" w:rsidRPr="003964D3" w:rsidRDefault="00311D99" w:rsidP="00311D99">
      <w:pPr>
        <w:ind w:left="567" w:hanging="283"/>
        <w:jc w:val="both"/>
        <w:rPr>
          <w:rFonts w:ascii="Calibri" w:hAnsi="Calibri"/>
        </w:rPr>
      </w:pPr>
      <w:r>
        <w:rPr>
          <w:rFonts w:ascii="Calibri" w:hAnsi="Calibri"/>
          <w:b/>
        </w:rPr>
        <w:sym w:font="Wingdings" w:char="F0D8"/>
      </w:r>
      <w:r>
        <w:rPr>
          <w:rFonts w:ascii="Calibri" w:hAnsi="Calibri"/>
          <w:b/>
        </w:rPr>
        <w:t xml:space="preserve"> De minimis aid for implementation of the support program for pig breeders from the Bazna and Mangalita breeds in order to produce pork</w:t>
      </w:r>
      <w:r>
        <w:rPr>
          <w:rFonts w:ascii="Calibri" w:hAnsi="Calibri"/>
        </w:rPr>
        <w:t xml:space="preserve"> - amount of 250 Lei/head</w:t>
      </w:r>
    </w:p>
    <w:p w:rsidR="00311D99" w:rsidRPr="003964D3" w:rsidRDefault="00311D99" w:rsidP="00311D99">
      <w:pPr>
        <w:jc w:val="both"/>
        <w:rPr>
          <w:rFonts w:ascii="Calibri" w:hAnsi="Calibri"/>
          <w:lang w:val="fr-FR"/>
        </w:rPr>
      </w:pPr>
    </w:p>
    <w:p w:rsidR="00311D99" w:rsidRPr="003964D3" w:rsidRDefault="00311D99" w:rsidP="00311D99">
      <w:pPr>
        <w:ind w:left="567" w:hanging="283"/>
        <w:jc w:val="both"/>
        <w:rPr>
          <w:rFonts w:ascii="Calibri" w:hAnsi="Calibri"/>
        </w:rPr>
      </w:pPr>
      <w:r>
        <w:rPr>
          <w:rFonts w:ascii="Calibri" w:hAnsi="Calibri"/>
          <w:b/>
        </w:rPr>
        <w:sym w:font="Wingdings" w:char="F0D8"/>
      </w:r>
      <w:r>
        <w:rPr>
          <w:rFonts w:ascii="Calibri" w:hAnsi="Calibri"/>
          <w:b/>
        </w:rPr>
        <w:t xml:space="preserve"> De minimis aid for implementation of the support program for sheep breeders for trading of wool</w:t>
      </w:r>
      <w:r>
        <w:rPr>
          <w:rFonts w:ascii="Calibri" w:hAnsi="Calibri"/>
        </w:rPr>
        <w:t xml:space="preserve"> - 1 Leu/kg</w:t>
      </w:r>
    </w:p>
    <w:p w:rsidR="00311D99" w:rsidRPr="003964D3" w:rsidRDefault="00311D99" w:rsidP="00311D99">
      <w:pPr>
        <w:jc w:val="both"/>
        <w:rPr>
          <w:rFonts w:ascii="Calibri" w:hAnsi="Calibri"/>
          <w:b/>
          <w:lang w:val="fr-FR"/>
        </w:rPr>
      </w:pPr>
    </w:p>
    <w:p w:rsidR="00311D99" w:rsidRPr="003964D3" w:rsidRDefault="00311D99" w:rsidP="00311D99">
      <w:pPr>
        <w:jc w:val="both"/>
        <w:rPr>
          <w:rFonts w:ascii="Calibri" w:hAnsi="Calibri"/>
        </w:rPr>
      </w:pPr>
      <w:r>
        <w:rPr>
          <w:rFonts w:ascii="Calibri" w:hAnsi="Calibri"/>
        </w:rPr>
        <w:t>Approximately 32,300 beneficiaries are registered in the program in 2018, the estimated quantity of wool being of 23 thousand tons.</w:t>
      </w:r>
    </w:p>
    <w:p w:rsidR="00311D99" w:rsidRPr="003964D3" w:rsidRDefault="00311D99" w:rsidP="00311D99">
      <w:pPr>
        <w:rPr>
          <w:rFonts w:ascii="Calibri" w:hAnsi="Calibri"/>
          <w:lang w:val="fr-FR"/>
        </w:rPr>
      </w:pPr>
    </w:p>
    <w:p w:rsidR="00311D99" w:rsidRPr="003964D3" w:rsidRDefault="00311D99" w:rsidP="00311D99">
      <w:pPr>
        <w:ind w:left="567" w:hanging="283"/>
        <w:jc w:val="both"/>
        <w:rPr>
          <w:rFonts w:ascii="Calibri" w:hAnsi="Calibri"/>
        </w:rPr>
      </w:pPr>
      <w:r>
        <w:rPr>
          <w:rFonts w:ascii="Calibri" w:hAnsi="Calibri"/>
          <w:b/>
        </w:rPr>
        <w:sym w:font="Wingdings" w:char="F0D8"/>
      </w:r>
      <w:r>
        <w:rPr>
          <w:rFonts w:ascii="Calibri" w:hAnsi="Calibri"/>
          <w:b/>
        </w:rPr>
        <w:t xml:space="preserve"> Support program for the reproduction, incubation and breeding activity in the poultry sector</w:t>
      </w:r>
      <w:r>
        <w:rPr>
          <w:rFonts w:ascii="Calibri" w:hAnsi="Calibri"/>
        </w:rPr>
        <w:t xml:space="preserve"> - State aid scheme</w:t>
      </w:r>
    </w:p>
    <w:p w:rsidR="00311D99" w:rsidRPr="003964D3" w:rsidRDefault="00311D99" w:rsidP="00311D99">
      <w:pPr>
        <w:jc w:val="both"/>
        <w:rPr>
          <w:rFonts w:ascii="Calibri" w:hAnsi="Calibri"/>
          <w:lang w:val="fr-FR"/>
        </w:rPr>
      </w:pPr>
    </w:p>
    <w:p w:rsidR="00311D99" w:rsidRPr="003964D3" w:rsidRDefault="00311D99" w:rsidP="00311D99">
      <w:pPr>
        <w:jc w:val="both"/>
        <w:rPr>
          <w:rFonts w:ascii="Calibri" w:hAnsi="Calibri"/>
        </w:rPr>
      </w:pPr>
      <w:r>
        <w:rPr>
          <w:rFonts w:ascii="Calibri" w:hAnsi="Calibri"/>
        </w:rPr>
        <w:t xml:space="preserve">The program seeks to maintain the stocks of poultry, to ensure products from domestic production, to increase the farmers’ interest for poultry breeding. </w:t>
      </w:r>
    </w:p>
    <w:p w:rsidR="00311D99" w:rsidRPr="003964D3" w:rsidRDefault="00311D99" w:rsidP="00311D99">
      <w:pPr>
        <w:rPr>
          <w:rFonts w:ascii="Calibri" w:hAnsi="Calibri"/>
          <w:lang w:val="fr-FR"/>
        </w:rPr>
      </w:pPr>
    </w:p>
    <w:p w:rsidR="00311D99" w:rsidRPr="003964D3" w:rsidRDefault="00311D99" w:rsidP="00311D99">
      <w:pPr>
        <w:ind w:left="567" w:hanging="283"/>
        <w:jc w:val="both"/>
        <w:rPr>
          <w:rFonts w:ascii="Calibri" w:hAnsi="Calibri"/>
        </w:rPr>
      </w:pPr>
      <w:r>
        <w:rPr>
          <w:rFonts w:ascii="Calibri" w:hAnsi="Calibri"/>
          <w:b/>
        </w:rPr>
        <w:sym w:font="Wingdings" w:char="F0D8"/>
      </w:r>
      <w:r>
        <w:rPr>
          <w:rFonts w:ascii="Calibri" w:hAnsi="Calibri"/>
          <w:b/>
        </w:rPr>
        <w:t xml:space="preserve"> Support program for swine breeders for the reproduction activity</w:t>
      </w:r>
      <w:r>
        <w:rPr>
          <w:rFonts w:ascii="Calibri" w:hAnsi="Calibri"/>
        </w:rPr>
        <w:t xml:space="preserve"> - State aid scheme</w:t>
      </w:r>
    </w:p>
    <w:p w:rsidR="00311D99" w:rsidRPr="003964D3" w:rsidRDefault="00311D99" w:rsidP="00311D99">
      <w:pPr>
        <w:jc w:val="both"/>
        <w:rPr>
          <w:rFonts w:ascii="Calibri" w:hAnsi="Calibri"/>
          <w:lang w:val="fr-FR"/>
        </w:rPr>
      </w:pPr>
    </w:p>
    <w:p w:rsidR="00311D99" w:rsidRPr="003964D3" w:rsidRDefault="00311D99" w:rsidP="00311D99">
      <w:pPr>
        <w:jc w:val="both"/>
        <w:rPr>
          <w:rFonts w:ascii="Calibri" w:hAnsi="Calibri"/>
        </w:rPr>
      </w:pPr>
      <w:r>
        <w:rPr>
          <w:rFonts w:ascii="Calibri" w:hAnsi="Calibri"/>
        </w:rPr>
        <w:t xml:space="preserve">The program seeks to maintain the stocks of pigs, to ensure products from domestic production and reduce imports, to make the sector more efficient, to increase breeders’ interest for farm development. </w:t>
      </w:r>
    </w:p>
    <w:p w:rsidR="00311D99" w:rsidRPr="003964D3" w:rsidRDefault="00311D99" w:rsidP="00311D99">
      <w:pPr>
        <w:jc w:val="both"/>
        <w:rPr>
          <w:rFonts w:ascii="Calibri" w:hAnsi="Calibri"/>
          <w:lang w:val="fr-FR"/>
        </w:rPr>
      </w:pPr>
    </w:p>
    <w:p w:rsidR="00311D99" w:rsidRPr="003964D3" w:rsidRDefault="00311D99" w:rsidP="00311D99">
      <w:pPr>
        <w:jc w:val="both"/>
        <w:rPr>
          <w:rFonts w:ascii="Calibri" w:hAnsi="Calibri"/>
          <w:lang w:val="fr-FR"/>
        </w:rPr>
      </w:pPr>
    </w:p>
    <w:p w:rsidR="00311D99" w:rsidRPr="003964D3" w:rsidRDefault="00311D99" w:rsidP="00311D99">
      <w:pPr>
        <w:jc w:val="both"/>
        <w:rPr>
          <w:rFonts w:ascii="Calibri" w:hAnsi="Calibri"/>
        </w:rPr>
      </w:pPr>
      <w:r>
        <w:rPr>
          <w:rFonts w:ascii="Calibri" w:hAnsi="Calibri"/>
          <w:b/>
        </w:rPr>
        <w:sym w:font="Wingdings" w:char="F0D8"/>
      </w:r>
      <w:r>
        <w:rPr>
          <w:rFonts w:ascii="Calibri" w:hAnsi="Calibri"/>
          <w:b/>
        </w:rPr>
        <w:t xml:space="preserve"> The program of establishment of fruit/vegetables collection and processing centers</w:t>
      </w:r>
      <w:r>
        <w:rPr>
          <w:rFonts w:ascii="Calibri" w:hAnsi="Calibri"/>
        </w:rPr>
        <w:t xml:space="preserve"> is addressed to the producers from the fruit and vegetables sector in order to capitalize the entire production, to increase the revenues of agricultural producers, to avoid losses and offer good supplies to consumers.</w:t>
      </w:r>
    </w:p>
    <w:p w:rsidR="00311D99" w:rsidRPr="003964D3" w:rsidRDefault="00311D99" w:rsidP="00311D99">
      <w:pPr>
        <w:jc w:val="both"/>
        <w:rPr>
          <w:rFonts w:ascii="Calibri" w:hAnsi="Calibri"/>
          <w:lang w:val="fr-FR"/>
        </w:rPr>
      </w:pPr>
    </w:p>
    <w:p w:rsidR="00311D99" w:rsidRPr="003964D3" w:rsidRDefault="00311D99" w:rsidP="00311D99">
      <w:pPr>
        <w:jc w:val="both"/>
        <w:rPr>
          <w:rFonts w:ascii="Calibri" w:hAnsi="Calibri"/>
        </w:rPr>
      </w:pPr>
      <w:r>
        <w:rPr>
          <w:rFonts w:ascii="Calibri" w:hAnsi="Calibri"/>
        </w:rPr>
        <w:t>The beneficiaries are fruit/vegetables producers in order to develop new production capacities, obtain additional revenues to the State budget through the complete capitalization of the production of approximately 490 thousand tons of vegetables and increase the number of jobs.</w:t>
      </w:r>
    </w:p>
    <w:p w:rsidR="00311D99" w:rsidRPr="003964D3" w:rsidRDefault="00311D99" w:rsidP="00311D99">
      <w:pPr>
        <w:jc w:val="both"/>
        <w:rPr>
          <w:rFonts w:ascii="Calibri" w:hAnsi="Calibri"/>
          <w:lang w:val="fr-FR"/>
        </w:rPr>
      </w:pPr>
    </w:p>
    <w:p w:rsidR="00311D99" w:rsidRPr="003964D3" w:rsidRDefault="00311D99" w:rsidP="00311D99">
      <w:pPr>
        <w:jc w:val="both"/>
        <w:rPr>
          <w:rFonts w:ascii="Calibri" w:hAnsi="Calibri"/>
        </w:rPr>
      </w:pPr>
      <w:r>
        <w:rPr>
          <w:rFonts w:ascii="Calibri" w:hAnsi="Calibri"/>
          <w:b/>
        </w:rPr>
        <w:sym w:font="Wingdings" w:char="F0D8"/>
      </w:r>
      <w:r>
        <w:rPr>
          <w:rFonts w:ascii="Calibri" w:hAnsi="Calibri"/>
          <w:b/>
        </w:rPr>
        <w:t xml:space="preserve"> The program of establishment of wool and skins collection centers</w:t>
      </w:r>
      <w:r>
        <w:rPr>
          <w:rFonts w:ascii="Calibri" w:hAnsi="Calibri"/>
        </w:rPr>
        <w:t xml:space="preserve"> is addressed to sheep and goat breeders in order to increase the revenues, avoid losses, reduce environmental pollution, as well as to create new jobs.</w:t>
      </w:r>
    </w:p>
    <w:p w:rsidR="00311D99" w:rsidRPr="003964D3" w:rsidRDefault="00311D99" w:rsidP="00311D99">
      <w:pPr>
        <w:jc w:val="both"/>
        <w:rPr>
          <w:rFonts w:ascii="Calibri" w:hAnsi="Calibri"/>
          <w:lang w:val="fr-FR"/>
        </w:rPr>
      </w:pPr>
    </w:p>
    <w:p w:rsidR="00311D99" w:rsidRPr="003964D3" w:rsidRDefault="00311D99" w:rsidP="00311D99">
      <w:pPr>
        <w:jc w:val="both"/>
        <w:rPr>
          <w:rFonts w:ascii="Calibri" w:hAnsi="Calibri"/>
        </w:rPr>
      </w:pPr>
      <w:r>
        <w:rPr>
          <w:rFonts w:ascii="Calibri" w:hAnsi="Calibri"/>
        </w:rPr>
        <w:t>The beneficiaries are sheep and goat breeders who can obtain additional revenues, contributing to the State budget through complete capitalization of their production in order to develop new production capacities and increase the number of jobs.</w:t>
      </w:r>
    </w:p>
    <w:p w:rsidR="00311D99" w:rsidRPr="003964D3" w:rsidRDefault="00311D99" w:rsidP="00311D99">
      <w:pPr>
        <w:jc w:val="both"/>
        <w:rPr>
          <w:rFonts w:ascii="Calibri" w:hAnsi="Calibri"/>
          <w:lang w:val="fr-FR"/>
        </w:rPr>
      </w:pPr>
    </w:p>
    <w:p w:rsidR="00311D99" w:rsidRPr="003964D3" w:rsidRDefault="00311D99" w:rsidP="00311D99">
      <w:pPr>
        <w:rPr>
          <w:rFonts w:ascii="Calibri" w:hAnsi="Calibri"/>
        </w:rPr>
      </w:pPr>
      <w:r>
        <w:rPr>
          <w:rFonts w:ascii="Calibri" w:hAnsi="Calibri"/>
        </w:rPr>
        <w:t>It is foreseen that 8 regional collection centers shall be established.</w:t>
      </w:r>
    </w:p>
    <w:p w:rsidR="00311D99" w:rsidRPr="003964D3" w:rsidRDefault="00311D99" w:rsidP="00311D99">
      <w:pPr>
        <w:rPr>
          <w:rFonts w:ascii="Calibri" w:hAnsi="Calibri"/>
          <w:lang w:val="fr-FR"/>
        </w:rPr>
      </w:pPr>
    </w:p>
    <w:p w:rsidR="00311D99" w:rsidRPr="00311D99" w:rsidRDefault="00311D99" w:rsidP="00311D99">
      <w:pPr>
        <w:jc w:val="both"/>
        <w:rPr>
          <w:rFonts w:ascii="Calibri" w:hAnsi="Calibri"/>
        </w:rPr>
      </w:pPr>
      <w:r>
        <w:rPr>
          <w:rFonts w:ascii="Calibri" w:hAnsi="Calibri"/>
          <w:b/>
        </w:rPr>
        <w:sym w:font="Wingdings" w:char="F0D8"/>
      </w:r>
      <w:r>
        <w:rPr>
          <w:rFonts w:ascii="Calibri" w:hAnsi="Calibri"/>
          <w:b/>
        </w:rPr>
        <w:t xml:space="preserve"> Pastoral arrangements</w:t>
      </w:r>
    </w:p>
    <w:p w:rsidR="00311D99" w:rsidRPr="00311D99" w:rsidRDefault="00311D99" w:rsidP="00311D99">
      <w:pPr>
        <w:jc w:val="both"/>
        <w:rPr>
          <w:rFonts w:ascii="Calibri" w:hAnsi="Calibri"/>
        </w:rPr>
      </w:pPr>
    </w:p>
    <w:p w:rsidR="00311D99" w:rsidRPr="00311D99" w:rsidRDefault="00311D99" w:rsidP="00311D99">
      <w:pPr>
        <w:numPr>
          <w:ilvl w:val="0"/>
          <w:numId w:val="23"/>
        </w:numPr>
        <w:ind w:left="284" w:hanging="284"/>
        <w:jc w:val="both"/>
        <w:rPr>
          <w:rFonts w:ascii="Calibri" w:eastAsia="Calibri" w:hAnsi="Calibri"/>
        </w:rPr>
      </w:pPr>
      <w:r>
        <w:rPr>
          <w:rFonts w:ascii="Calibri" w:hAnsi="Calibri"/>
          <w:b/>
          <w:bCs/>
        </w:rPr>
        <w:t>Scheme of guarantee of the financing given by financing institutions based on deposit certificates</w:t>
      </w:r>
    </w:p>
    <w:p w:rsidR="00311D99" w:rsidRPr="00311D99" w:rsidRDefault="00311D99" w:rsidP="00311D99">
      <w:pPr>
        <w:jc w:val="both"/>
        <w:rPr>
          <w:rFonts w:ascii="Calibri" w:eastAsia="Calibri" w:hAnsi="Calibri"/>
          <w:lang w:val="ro-RO"/>
        </w:rPr>
      </w:pPr>
    </w:p>
    <w:p w:rsidR="00311D99" w:rsidRPr="003964D3" w:rsidRDefault="00311D99" w:rsidP="00311D99">
      <w:pPr>
        <w:rPr>
          <w:rFonts w:ascii="Calibri" w:hAnsi="Calibri"/>
        </w:rPr>
      </w:pPr>
      <w:r>
        <w:rPr>
          <w:rFonts w:ascii="Calibri" w:hAnsi="Calibri"/>
        </w:rPr>
        <w:t>It is foreseen that 100 thousand tons of consumption seeds shall be deposited, amounting to 70,000 Lei, for which deposit certificates are requested and bank loans are accessed.</w:t>
      </w:r>
    </w:p>
    <w:p w:rsidR="00311D99" w:rsidRPr="003964D3" w:rsidRDefault="00311D99" w:rsidP="00311D99">
      <w:pPr>
        <w:rPr>
          <w:rFonts w:ascii="Calibri" w:hAnsi="Calibri"/>
          <w:lang w:val="fr-FR"/>
        </w:rPr>
      </w:pPr>
    </w:p>
    <w:p w:rsidR="00311D99" w:rsidRPr="00311D99" w:rsidRDefault="00311D99" w:rsidP="00311D99">
      <w:pPr>
        <w:jc w:val="both"/>
        <w:rPr>
          <w:rFonts w:ascii="Calibri" w:eastAsia="Calibri" w:hAnsi="Calibri"/>
        </w:rPr>
      </w:pPr>
      <w:r>
        <w:rPr>
          <w:rFonts w:ascii="Calibri" w:hAnsi="Calibri"/>
          <w:b/>
          <w:bCs/>
        </w:rPr>
        <w:t>Maintenance and development of the EA information system</w:t>
      </w:r>
    </w:p>
    <w:p w:rsidR="00311D99" w:rsidRPr="00311D99" w:rsidRDefault="00311D99" w:rsidP="00311D99">
      <w:pPr>
        <w:jc w:val="both"/>
        <w:rPr>
          <w:rFonts w:ascii="Calibri" w:eastAsia="Calibri" w:hAnsi="Calibri"/>
          <w:lang w:val="ro-RO"/>
        </w:rPr>
      </w:pPr>
    </w:p>
    <w:p w:rsidR="00311D99" w:rsidRPr="003964D3" w:rsidRDefault="00311D99" w:rsidP="00311D99">
      <w:pPr>
        <w:jc w:val="both"/>
        <w:rPr>
          <w:rFonts w:ascii="Calibri" w:hAnsi="Calibri"/>
        </w:rPr>
      </w:pPr>
      <w:r>
        <w:rPr>
          <w:rFonts w:ascii="Calibri" w:hAnsi="Calibri"/>
        </w:rPr>
        <w:t xml:space="preserve">MADR is currently implementing the award procedure of the framework agreement whose object is the </w:t>
      </w:r>
      <w:r>
        <w:rPr>
          <w:rFonts w:ascii="Calibri" w:hAnsi="Calibri"/>
          <w:i/>
        </w:rPr>
        <w:t>Procurement of maintenance and technical support services for the Integrated Information System for Ecologic Agriculture (IIS - EA).</w:t>
      </w:r>
      <w:r>
        <w:rPr>
          <w:rFonts w:ascii="Calibri" w:hAnsi="Calibri"/>
        </w:rPr>
        <w:t xml:space="preserve"> The public procurement agreement has as general objective the maintenance of the functionalities of the Integrated Information System for Ecologic Agriculture (IIS - EA) in agreement with the amendments of the European and national legislation for assurance of a correct management of payment requests.</w:t>
      </w:r>
    </w:p>
    <w:p w:rsidR="00E440EC" w:rsidRPr="003964D3" w:rsidRDefault="00E440EC" w:rsidP="00E440EC">
      <w:pPr>
        <w:jc w:val="both"/>
        <w:rPr>
          <w:rFonts w:ascii="Calibri" w:hAnsi="Calibri"/>
          <w:lang w:val="fr-FR"/>
        </w:rPr>
      </w:pPr>
    </w:p>
    <w:p w:rsidR="00573232" w:rsidRPr="00C86702" w:rsidRDefault="00573232" w:rsidP="001E0D47">
      <w:pPr>
        <w:pStyle w:val="Frspaiere1"/>
        <w:jc w:val="both"/>
        <w:rPr>
          <w:sz w:val="24"/>
          <w:szCs w:val="24"/>
          <w:lang w:val="ro-RO"/>
        </w:rPr>
      </w:pPr>
    </w:p>
    <w:tbl>
      <w:tblPr>
        <w:tblW w:w="5000" w:type="pct"/>
        <w:shd w:val="clear" w:color="auto" w:fill="FFFFFF"/>
        <w:tblLook w:val="01E0" w:firstRow="1" w:lastRow="1" w:firstColumn="1" w:lastColumn="1" w:noHBand="0" w:noVBand="0"/>
      </w:tblPr>
      <w:tblGrid>
        <w:gridCol w:w="10081"/>
      </w:tblGrid>
      <w:tr w:rsidR="00581A64" w:rsidRPr="00C86702" w:rsidTr="00D7373B">
        <w:tc>
          <w:tcPr>
            <w:tcW w:w="5000" w:type="pct"/>
            <w:shd w:val="clear" w:color="auto" w:fill="99CCFF"/>
          </w:tcPr>
          <w:p w:rsidR="00581A64" w:rsidRPr="00C86702" w:rsidRDefault="00581A64" w:rsidP="00BE7071">
            <w:pPr>
              <w:spacing w:line="269" w:lineRule="auto"/>
              <w:jc w:val="both"/>
              <w:rPr>
                <w:rFonts w:ascii="Calibri" w:hAnsi="Calibri"/>
                <w:b/>
                <w:color w:val="000080"/>
              </w:rPr>
            </w:pPr>
            <w:r>
              <w:rPr>
                <w:rFonts w:ascii="Calibri" w:hAnsi="Calibri"/>
                <w:b/>
                <w:color w:val="000080"/>
              </w:rPr>
              <w:t>Local budgets</w:t>
            </w:r>
          </w:p>
        </w:tc>
      </w:tr>
    </w:tbl>
    <w:p w:rsidR="00DE78ED" w:rsidRPr="007A7502" w:rsidRDefault="00DE78ED" w:rsidP="00623A55">
      <w:pPr>
        <w:spacing w:line="269" w:lineRule="auto"/>
        <w:jc w:val="both"/>
        <w:rPr>
          <w:rFonts w:ascii="Calibri" w:hAnsi="Calibri" w:cs="Arial"/>
          <w:sz w:val="12"/>
          <w:lang w:val="ro-RO"/>
        </w:rPr>
      </w:pPr>
    </w:p>
    <w:p w:rsidR="003D4AE3" w:rsidRPr="00BB06DB" w:rsidRDefault="003D4AE3" w:rsidP="003D4AE3">
      <w:pPr>
        <w:pStyle w:val="BodyText"/>
        <w:spacing w:after="0" w:line="269" w:lineRule="auto"/>
        <w:jc w:val="both"/>
        <w:rPr>
          <w:rFonts w:ascii="Calibri" w:hAnsi="Calibri" w:cs="Arial"/>
        </w:rPr>
      </w:pPr>
      <w:r>
        <w:rPr>
          <w:rFonts w:ascii="Calibri" w:hAnsi="Calibri"/>
        </w:rPr>
        <w:t>The amounts broken down from value-added tax for the local budgets have been estimated on the reference horizon on the basis of the legislation in force.</w:t>
      </w:r>
    </w:p>
    <w:p w:rsidR="003D4AE3" w:rsidRDefault="003D4AE3" w:rsidP="003D4AE3">
      <w:pPr>
        <w:pStyle w:val="BodyText"/>
        <w:spacing w:after="0" w:line="269" w:lineRule="auto"/>
        <w:jc w:val="both"/>
        <w:rPr>
          <w:rFonts w:ascii="Calibri" w:hAnsi="Calibri" w:cs="Arial"/>
        </w:rPr>
      </w:pPr>
      <w:r>
        <w:rPr>
          <w:rFonts w:ascii="Calibri" w:hAnsi="Calibri"/>
        </w:rPr>
        <w:t>As of 2010, for the purpose of establishment of criteria to make more efficient the use of funds awarded from the State budget to the local budgets, for current expenditures, the amounts broken down from the value-added tax were substantiated on the basis of cost standards approved through Government decisions in the fields of education and social services.</w:t>
      </w:r>
    </w:p>
    <w:p w:rsidR="003D4AE3" w:rsidRPr="00BB06DB" w:rsidRDefault="003D4AE3" w:rsidP="003D4AE3">
      <w:pPr>
        <w:pStyle w:val="BodyText"/>
        <w:spacing w:after="0" w:line="269" w:lineRule="auto"/>
        <w:jc w:val="both"/>
        <w:rPr>
          <w:rFonts w:ascii="Calibri" w:hAnsi="Calibri" w:cs="Arial"/>
          <w:b/>
          <w:bCs/>
        </w:rPr>
      </w:pPr>
      <w:r>
        <w:rPr>
          <w:rFonts w:ascii="Calibri" w:hAnsi="Calibri"/>
          <w:b/>
          <w:bCs/>
        </w:rPr>
        <w:t>The amounts broken down from value-added tax are dedicated to financing:</w:t>
      </w:r>
    </w:p>
    <w:p w:rsidR="003D4AE3" w:rsidRPr="00BB06DB" w:rsidRDefault="003D4AE3" w:rsidP="003D4AE3">
      <w:pPr>
        <w:pStyle w:val="BodyText"/>
        <w:numPr>
          <w:ilvl w:val="0"/>
          <w:numId w:val="130"/>
        </w:numPr>
        <w:spacing w:after="0" w:line="269" w:lineRule="auto"/>
        <w:jc w:val="both"/>
        <w:rPr>
          <w:rFonts w:ascii="Calibri" w:hAnsi="Calibri" w:cs="Arial"/>
          <w:b/>
          <w:bCs/>
        </w:rPr>
      </w:pPr>
      <w:r>
        <w:rPr>
          <w:rFonts w:ascii="Calibri" w:hAnsi="Calibri"/>
          <w:b/>
          <w:bCs/>
        </w:rPr>
        <w:t xml:space="preserve">the decentralized expenditures at county level: </w:t>
      </w:r>
    </w:p>
    <w:p w:rsidR="003D4AE3" w:rsidRPr="005D1F66" w:rsidRDefault="003D4AE3" w:rsidP="003D4AE3">
      <w:pPr>
        <w:pStyle w:val="ListParagraph"/>
        <w:numPr>
          <w:ilvl w:val="0"/>
          <w:numId w:val="232"/>
        </w:numPr>
        <w:autoSpaceDE w:val="0"/>
        <w:spacing w:line="269" w:lineRule="auto"/>
        <w:jc w:val="both"/>
        <w:rPr>
          <w:rFonts w:ascii="Calibri" w:hAnsi="Calibri" w:cs="Arial"/>
        </w:rPr>
      </w:pPr>
      <w:r>
        <w:t>Financing of Romania’s Program for schools, between January and June of the school year 2018-2019, according to the provisions of Government Decision no. 533/2018 on the establishment of the budget for implementation of Romania’s Program for schools between 2017 and 2023 for school year 2018-2019, as well as the amendment and supplementation of Government Decision no. 640/2017 approving Romania’s Program for schools between 2017 and 2023 and on the establishment of the budget for implementation thereof in school year 2017-2018;</w:t>
      </w:r>
    </w:p>
    <w:p w:rsidR="003D4AE3" w:rsidRDefault="003D4AE3" w:rsidP="003D4AE3">
      <w:pPr>
        <w:pStyle w:val="ListParagraph"/>
        <w:numPr>
          <w:ilvl w:val="0"/>
          <w:numId w:val="232"/>
        </w:numPr>
        <w:autoSpaceDE w:val="0"/>
        <w:autoSpaceDN w:val="0"/>
        <w:adjustRightInd w:val="0"/>
        <w:spacing w:line="269" w:lineRule="auto"/>
        <w:jc w:val="both"/>
        <w:rPr>
          <w:rFonts w:ascii="Calibri" w:hAnsi="Calibri" w:cs="Arial"/>
        </w:rPr>
      </w:pPr>
      <w:r>
        <w:t>financing the rights of children with special educational needs who go to special education institutions, according to the provisions of Government Decision no. 564/2017 on the manner of award of rights for children with special educational needs registered in the pre-university education system, in accordance with the provisions of letter A in the annex to Government Decision no. 904/2014 on the establishment of minimum expenditure ceilings corresponding to the rights provided by art. 129 para. (1) in the Law of national education no. 272/2004 on the protection and promotion of children’s rights;</w:t>
      </w:r>
    </w:p>
    <w:p w:rsidR="003D4AE3" w:rsidRDefault="003D4AE3" w:rsidP="003D4AE3">
      <w:pPr>
        <w:pStyle w:val="ListParagraph"/>
        <w:numPr>
          <w:ilvl w:val="0"/>
          <w:numId w:val="232"/>
        </w:numPr>
        <w:autoSpaceDE w:val="0"/>
        <w:autoSpaceDN w:val="0"/>
        <w:adjustRightInd w:val="0"/>
        <w:spacing w:line="269" w:lineRule="auto"/>
        <w:jc w:val="both"/>
        <w:rPr>
          <w:rFonts w:ascii="Calibri" w:hAnsi="Calibri" w:cs="Arial"/>
        </w:rPr>
      </w:pPr>
      <w:r>
        <w:rPr>
          <w:rFonts w:ascii="Calibri" w:hAnsi="Calibri"/>
        </w:rPr>
        <w:t xml:space="preserve"> </w:t>
      </w:r>
      <w:r>
        <w:t>financing the expenditures for goods and services for current maintenance of the units of special education and of county centers for resources and educational assistance in special education;</w:t>
      </w:r>
    </w:p>
    <w:p w:rsidR="003D4AE3" w:rsidRPr="000D3066" w:rsidRDefault="003D4AE3" w:rsidP="003D4AE3">
      <w:pPr>
        <w:pStyle w:val="ListParagraph"/>
        <w:numPr>
          <w:ilvl w:val="0"/>
          <w:numId w:val="234"/>
        </w:numPr>
        <w:suppressAutoHyphens/>
        <w:autoSpaceDE w:val="0"/>
        <w:autoSpaceDN w:val="0"/>
        <w:adjustRightInd w:val="0"/>
        <w:spacing w:line="269" w:lineRule="auto"/>
        <w:jc w:val="both"/>
        <w:rPr>
          <w:rFonts w:asciiTheme="minorHAnsi" w:hAnsiTheme="minorHAnsi" w:cs="Arial"/>
          <w:szCs w:val="24"/>
        </w:rPr>
      </w:pPr>
      <w:r>
        <w:rPr>
          <w:rFonts w:asciiTheme="minorHAnsi" w:hAnsiTheme="minorHAnsi"/>
        </w:rPr>
        <w:t>financing decentralized cultural institutions as of 2002;</w:t>
      </w:r>
    </w:p>
    <w:p w:rsidR="003D4AE3" w:rsidRPr="007A7502" w:rsidRDefault="003D4AE3" w:rsidP="003D4AE3">
      <w:pPr>
        <w:pStyle w:val="ListParagraph"/>
        <w:numPr>
          <w:ilvl w:val="0"/>
          <w:numId w:val="234"/>
        </w:numPr>
        <w:suppressAutoHyphens/>
        <w:autoSpaceDE w:val="0"/>
        <w:autoSpaceDN w:val="0"/>
        <w:adjustRightInd w:val="0"/>
        <w:spacing w:line="269" w:lineRule="auto"/>
        <w:jc w:val="both"/>
        <w:rPr>
          <w:rFonts w:asciiTheme="minorHAnsi" w:hAnsiTheme="minorHAnsi" w:cs="Arial"/>
          <w:szCs w:val="24"/>
        </w:rPr>
      </w:pPr>
      <w:r>
        <w:rPr>
          <w:rFonts w:asciiTheme="minorHAnsi" w:hAnsiTheme="minorHAnsi"/>
        </w:rPr>
        <w:t>payment of support in the form of contributions which will ensure the supplementation of the salary rights not covered from own funds of local cult units, for the non-clerical personnel employed by the cult units from the country, in accordance with the provisions of Framework-law no. 153/2017 on salaries of personnel paid from public funds, as subsequently amended and supplemented;</w:t>
      </w:r>
    </w:p>
    <w:p w:rsidR="003D4AE3" w:rsidRPr="000D3066" w:rsidRDefault="003D4AE3" w:rsidP="003D4AE3">
      <w:pPr>
        <w:pStyle w:val="ListParagraph"/>
        <w:numPr>
          <w:ilvl w:val="0"/>
          <w:numId w:val="234"/>
        </w:numPr>
        <w:suppressAutoHyphens/>
        <w:autoSpaceDE w:val="0"/>
        <w:autoSpaceDN w:val="0"/>
        <w:adjustRightInd w:val="0"/>
        <w:spacing w:line="269" w:lineRule="auto"/>
        <w:jc w:val="both"/>
        <w:rPr>
          <w:rFonts w:ascii="Calibri" w:hAnsi="Calibri" w:cs="Arial"/>
          <w:szCs w:val="24"/>
        </w:rPr>
      </w:pPr>
      <w:r>
        <w:t>financing of Community public services of civil records under authority of county councils;</w:t>
      </w:r>
    </w:p>
    <w:p w:rsidR="003D4AE3" w:rsidRDefault="003D4AE3" w:rsidP="003D4AE3">
      <w:pPr>
        <w:pStyle w:val="ListParagraph"/>
        <w:numPr>
          <w:ilvl w:val="0"/>
          <w:numId w:val="234"/>
        </w:numPr>
        <w:suppressAutoHyphens/>
        <w:autoSpaceDE w:val="0"/>
        <w:spacing w:line="269" w:lineRule="auto"/>
        <w:jc w:val="both"/>
        <w:rPr>
          <w:rFonts w:ascii="Calibri" w:hAnsi="Calibri" w:cs="Arial"/>
          <w:szCs w:val="24"/>
        </w:rPr>
      </w:pPr>
      <w:r>
        <w:rPr>
          <w:rFonts w:ascii="Calibri" w:hAnsi="Calibri"/>
          <w:szCs w:val="24"/>
        </w:rPr>
        <w:t xml:space="preserve">financing of operating expenditures of homes for the elderly at county level, according to the provisions of art. 18 para. (5) letter c) in Law no. 17/2000 on social assistance for the elderly, republished, as subsequently amended and supplemented; </w:t>
      </w:r>
    </w:p>
    <w:p w:rsidR="003D4AE3" w:rsidRPr="005D1F66" w:rsidRDefault="003D4AE3" w:rsidP="003D4AE3">
      <w:pPr>
        <w:pStyle w:val="ListParagraph"/>
        <w:numPr>
          <w:ilvl w:val="0"/>
          <w:numId w:val="234"/>
        </w:numPr>
        <w:suppressAutoHyphens/>
        <w:autoSpaceDE w:val="0"/>
        <w:spacing w:line="269" w:lineRule="auto"/>
        <w:jc w:val="both"/>
        <w:rPr>
          <w:rFonts w:ascii="Calibri" w:hAnsi="Calibri" w:cs="Arial"/>
          <w:szCs w:val="24"/>
        </w:rPr>
      </w:pPr>
      <w:r>
        <w:rPr>
          <w:rFonts w:ascii="Calibri" w:hAnsi="Calibri"/>
          <w:szCs w:val="24"/>
        </w:rPr>
        <w:t>financing of the rights established by Law no. 248/2015 on stimulating participation to pre-school education of children coming from disadvantaged families, as subsequently amended and supplemented.</w:t>
      </w:r>
    </w:p>
    <w:p w:rsidR="003D4AE3" w:rsidRPr="007A7502" w:rsidRDefault="003D4AE3" w:rsidP="003D4AE3">
      <w:pPr>
        <w:autoSpaceDE w:val="0"/>
        <w:spacing w:line="269" w:lineRule="auto"/>
        <w:jc w:val="both"/>
        <w:rPr>
          <w:rFonts w:ascii="Calibri" w:hAnsi="Calibri" w:cs="Arial"/>
          <w:sz w:val="14"/>
          <w:lang w:val="ro-RO"/>
        </w:rPr>
      </w:pPr>
    </w:p>
    <w:p w:rsidR="003D4AE3" w:rsidRDefault="003D4AE3" w:rsidP="003D4AE3">
      <w:pPr>
        <w:pStyle w:val="BodyText"/>
        <w:numPr>
          <w:ilvl w:val="0"/>
          <w:numId w:val="130"/>
        </w:numPr>
        <w:spacing w:after="0" w:line="269" w:lineRule="auto"/>
        <w:jc w:val="both"/>
        <w:rPr>
          <w:rFonts w:ascii="Calibri" w:hAnsi="Calibri" w:cs="Arial"/>
          <w:b/>
          <w:bCs/>
        </w:rPr>
      </w:pPr>
      <w:r>
        <w:rPr>
          <w:rFonts w:ascii="Calibri" w:hAnsi="Calibri"/>
          <w:b/>
          <w:bCs/>
        </w:rPr>
        <w:t>decentralized expenditures at the level of communes, cities, municipalities and sectors of Bucharest;</w:t>
      </w:r>
    </w:p>
    <w:p w:rsidR="003D4AE3" w:rsidRPr="007A7502" w:rsidRDefault="003D4AE3" w:rsidP="003D4AE3">
      <w:pPr>
        <w:pStyle w:val="BodyText"/>
        <w:spacing w:after="0" w:line="269" w:lineRule="auto"/>
        <w:ind w:left="720"/>
        <w:jc w:val="both"/>
        <w:rPr>
          <w:rFonts w:ascii="Calibri" w:hAnsi="Calibri" w:cs="Arial"/>
          <w:b/>
          <w:bCs/>
          <w:sz w:val="10"/>
          <w:lang w:val="ro-RO"/>
        </w:rPr>
      </w:pPr>
    </w:p>
    <w:p w:rsidR="003D4AE3" w:rsidRPr="005D1F66" w:rsidRDefault="003D4AE3" w:rsidP="003D4AE3">
      <w:pPr>
        <w:pStyle w:val="ListParagraph"/>
        <w:numPr>
          <w:ilvl w:val="0"/>
          <w:numId w:val="233"/>
        </w:numPr>
        <w:autoSpaceDE w:val="0"/>
        <w:autoSpaceDN w:val="0"/>
        <w:adjustRightInd w:val="0"/>
        <w:spacing w:line="269" w:lineRule="auto"/>
        <w:jc w:val="both"/>
        <w:rPr>
          <w:rFonts w:ascii="Calibri" w:hAnsi="Calibri" w:cs="Arial"/>
        </w:rPr>
      </w:pPr>
      <w:r>
        <w:rPr>
          <w:rFonts w:ascii="Calibri" w:hAnsi="Calibri"/>
        </w:rPr>
        <w:t>basic financing of State-owned pre-university educational units for the categories of expenditures provided by art. 104 para. (2) letters b) - d) in the Law on national education no. 1/2011, as subsequently amended and supplemented;</w:t>
      </w:r>
    </w:p>
    <w:p w:rsidR="003D4AE3" w:rsidRPr="00BB06DB" w:rsidRDefault="003D4AE3" w:rsidP="003D4AE3">
      <w:pPr>
        <w:pStyle w:val="BodyText"/>
        <w:numPr>
          <w:ilvl w:val="0"/>
          <w:numId w:val="233"/>
        </w:numPr>
        <w:spacing w:after="0" w:line="269" w:lineRule="auto"/>
        <w:jc w:val="both"/>
        <w:rPr>
          <w:rFonts w:ascii="Calibri" w:hAnsi="Calibri" w:cs="Arial"/>
        </w:rPr>
      </w:pPr>
      <w:r>
        <w:rPr>
          <w:rFonts w:ascii="Calibri" w:hAnsi="Calibri"/>
        </w:rPr>
        <w:t>aid for house heating with wood, coal and oil fuels, for State aid beneficiaries;</w:t>
      </w:r>
    </w:p>
    <w:p w:rsidR="003D4AE3" w:rsidRPr="00BB06DB" w:rsidRDefault="003D4AE3" w:rsidP="003D4AE3">
      <w:pPr>
        <w:pStyle w:val="BodyText"/>
        <w:numPr>
          <w:ilvl w:val="0"/>
          <w:numId w:val="233"/>
        </w:numPr>
        <w:spacing w:after="0" w:line="269" w:lineRule="auto"/>
        <w:jc w:val="both"/>
        <w:rPr>
          <w:rFonts w:ascii="Calibri" w:hAnsi="Calibri" w:cs="Arial"/>
        </w:rPr>
      </w:pPr>
      <w:r>
        <w:rPr>
          <w:rFonts w:ascii="Calibri" w:hAnsi="Calibri"/>
        </w:rPr>
        <w:t>community public services of civil records under the authority of the local councils of the communes, cities, municipalities, sectors and the General Council of Bucharest Municipality;</w:t>
      </w:r>
    </w:p>
    <w:p w:rsidR="003D4AE3" w:rsidRPr="00BB06DB" w:rsidRDefault="003D4AE3" w:rsidP="003D4AE3">
      <w:pPr>
        <w:pStyle w:val="S1"/>
        <w:numPr>
          <w:ilvl w:val="0"/>
          <w:numId w:val="233"/>
        </w:numPr>
        <w:suppressAutoHyphens/>
        <w:spacing w:line="269" w:lineRule="auto"/>
        <w:ind w:right="0"/>
        <w:rPr>
          <w:rFonts w:ascii="Calibri" w:hAnsi="Calibri" w:cs="Arial"/>
          <w:sz w:val="24"/>
          <w:szCs w:val="24"/>
        </w:rPr>
      </w:pPr>
      <w:r>
        <w:rPr>
          <w:rFonts w:ascii="Calibri" w:hAnsi="Calibri"/>
          <w:sz w:val="24"/>
          <w:szCs w:val="24"/>
        </w:rPr>
        <w:t>financing of nursery expenditures;</w:t>
      </w:r>
    </w:p>
    <w:p w:rsidR="003D4AE3" w:rsidRPr="007A7502" w:rsidRDefault="003D4AE3" w:rsidP="003D4AE3">
      <w:pPr>
        <w:pStyle w:val="ListParagraph"/>
        <w:numPr>
          <w:ilvl w:val="0"/>
          <w:numId w:val="233"/>
        </w:numPr>
        <w:autoSpaceDE w:val="0"/>
        <w:autoSpaceDN w:val="0"/>
        <w:adjustRightInd w:val="0"/>
        <w:spacing w:line="269" w:lineRule="auto"/>
        <w:jc w:val="both"/>
        <w:rPr>
          <w:rFonts w:asciiTheme="minorHAnsi" w:hAnsiTheme="minorHAnsi" w:cs="Arial"/>
        </w:rPr>
      </w:pPr>
      <w:r>
        <w:rPr>
          <w:rFonts w:ascii="Calibri" w:hAnsi="Calibri"/>
        </w:rPr>
        <w:t xml:space="preserve">financing of expenditures decentralized at the level of sectors and of Bucharest, respectively for: </w:t>
      </w:r>
      <w:r>
        <w:rPr>
          <w:rFonts w:asciiTheme="minorHAnsi" w:hAnsiTheme="minorHAnsi"/>
        </w:rPr>
        <w:t xml:space="preserve">financing of expenditures determined by the implementation of the Program for Romanian schools between January and June of school year 2018-2019, according to the provisions of Government Decision no. 533/2018, of the expenditures for goods and services for current maintenance of special education units and centers for educational resources and assistance, decentralized culture institutions starting with 2002 and payment of support under the form of contributions to ensure the supplementation of salary rights not covered from own funds of the local cult units for non-clerical personnel employed in cult units, according to the provisions of Framework law no. 153/2017, as subsequently amended and supplemented; </w:t>
      </w:r>
    </w:p>
    <w:p w:rsidR="003D4AE3" w:rsidRPr="00BB06DB" w:rsidRDefault="003D4AE3" w:rsidP="003D4AE3">
      <w:pPr>
        <w:pStyle w:val="S1"/>
        <w:numPr>
          <w:ilvl w:val="0"/>
          <w:numId w:val="233"/>
        </w:numPr>
        <w:suppressAutoHyphens/>
        <w:spacing w:line="269" w:lineRule="auto"/>
        <w:ind w:right="0"/>
        <w:rPr>
          <w:rFonts w:ascii="Calibri" w:hAnsi="Calibri" w:cs="Arial"/>
          <w:sz w:val="24"/>
          <w:szCs w:val="24"/>
        </w:rPr>
      </w:pPr>
      <w:r>
        <w:rPr>
          <w:sz w:val="24"/>
          <w:szCs w:val="24"/>
        </w:rPr>
        <w:t>financing of the rights established by Law no. 248/2015 on stimulating participation to pre-school education of children coming from disadvantaged families, as subsequently amended;</w:t>
      </w:r>
    </w:p>
    <w:p w:rsidR="003D4AE3" w:rsidRPr="00BB06DB" w:rsidRDefault="003D4AE3" w:rsidP="003D4AE3">
      <w:pPr>
        <w:pStyle w:val="S1"/>
        <w:numPr>
          <w:ilvl w:val="0"/>
          <w:numId w:val="233"/>
        </w:numPr>
        <w:suppressAutoHyphens/>
        <w:spacing w:line="269" w:lineRule="auto"/>
        <w:ind w:right="0"/>
        <w:rPr>
          <w:rFonts w:ascii="Calibri" w:hAnsi="Calibri" w:cs="Arial"/>
          <w:sz w:val="24"/>
          <w:szCs w:val="24"/>
        </w:rPr>
      </w:pPr>
      <w:r>
        <w:rPr>
          <w:rFonts w:ascii="Calibri" w:hAnsi="Calibri"/>
          <w:sz w:val="24"/>
          <w:szCs w:val="24"/>
        </w:rPr>
        <w:t>financing the rights of children with special educational needs integrated in mass education, according to the provisions of Government Decision no. 564/2017, in accordance with the provisions of letter A in the annex to Government Decision no. 904/2014 on the establishment of minimum expenditure ceilings corresponding to the rights provided by art. 129 para. (1) in the Law of national education no. 272/2004 on the protection and promotion of children’s rights;</w:t>
      </w:r>
    </w:p>
    <w:p w:rsidR="003D4AE3" w:rsidRDefault="003D4AE3" w:rsidP="003D4AE3">
      <w:pPr>
        <w:pStyle w:val="S1"/>
        <w:numPr>
          <w:ilvl w:val="0"/>
          <w:numId w:val="233"/>
        </w:numPr>
        <w:suppressAutoHyphens/>
        <w:spacing w:line="269" w:lineRule="auto"/>
        <w:ind w:right="0"/>
        <w:rPr>
          <w:rFonts w:ascii="Calibri" w:hAnsi="Calibri" w:cs="Arial"/>
          <w:sz w:val="24"/>
          <w:szCs w:val="24"/>
        </w:rPr>
      </w:pPr>
      <w:r>
        <w:rPr>
          <w:rFonts w:ascii="Calibri" w:hAnsi="Calibri"/>
          <w:sz w:val="24"/>
          <w:szCs w:val="24"/>
        </w:rPr>
        <w:t>financing of operating expenditures of homes for the elderly at the level of communes, cities, municipalities, sectors of Bucharest municipality, according to the provisions of art. 18 para. (5) letter c) in Law no. 17/2000 on social assistance for the elderly, republished, as subsequently amended and supplemented;</w:t>
      </w:r>
    </w:p>
    <w:p w:rsidR="003D4AE3" w:rsidRPr="005D1F66" w:rsidRDefault="003D4AE3" w:rsidP="003D4AE3">
      <w:pPr>
        <w:pStyle w:val="S1"/>
        <w:numPr>
          <w:ilvl w:val="0"/>
          <w:numId w:val="233"/>
        </w:numPr>
        <w:suppressAutoHyphens/>
        <w:spacing w:line="269" w:lineRule="auto"/>
        <w:ind w:right="0"/>
        <w:rPr>
          <w:rFonts w:ascii="Calibri" w:hAnsi="Calibri" w:cs="Arial"/>
          <w:sz w:val="24"/>
          <w:szCs w:val="24"/>
        </w:rPr>
      </w:pPr>
      <w:r>
        <w:rPr>
          <w:rFonts w:asciiTheme="minorHAnsi" w:hAnsiTheme="minorHAnsi"/>
          <w:sz w:val="24"/>
          <w:szCs w:val="24"/>
        </w:rPr>
        <w:t xml:space="preserve"> financing the expenditures for award of food support, in accordance with the provisions of Government Emergency Ordinance no. 97/2018 approving the Pilot program of award of food support for </w:t>
      </w:r>
      <w:r w:rsidR="00916FF8">
        <w:rPr>
          <w:rFonts w:asciiTheme="minorHAnsi" w:hAnsiTheme="minorHAnsi"/>
          <w:sz w:val="24"/>
          <w:szCs w:val="24"/>
        </w:rPr>
        <w:t>preschoolers</w:t>
      </w:r>
      <w:r>
        <w:rPr>
          <w:rFonts w:asciiTheme="minorHAnsi" w:hAnsiTheme="minorHAnsi"/>
          <w:sz w:val="24"/>
          <w:szCs w:val="24"/>
        </w:rPr>
        <w:t xml:space="preserve"> and pupils in 50 State-owned pre-university educational units.</w:t>
      </w:r>
    </w:p>
    <w:p w:rsidR="003D4AE3" w:rsidRPr="007A7502" w:rsidRDefault="003D4AE3" w:rsidP="003D4AE3">
      <w:pPr>
        <w:pStyle w:val="S1"/>
        <w:suppressAutoHyphens/>
        <w:spacing w:line="269" w:lineRule="auto"/>
        <w:ind w:left="0" w:right="0" w:firstLine="0"/>
        <w:rPr>
          <w:rFonts w:ascii="Calibri" w:hAnsi="Calibri" w:cs="Arial"/>
          <w:sz w:val="10"/>
          <w:szCs w:val="24"/>
          <w:lang w:val="ro-RO" w:eastAsia="ro-RO"/>
        </w:rPr>
      </w:pPr>
    </w:p>
    <w:p w:rsidR="003D4AE3" w:rsidRPr="00BB06DB" w:rsidRDefault="003D4AE3" w:rsidP="003D4AE3">
      <w:pPr>
        <w:pStyle w:val="BodyText"/>
        <w:numPr>
          <w:ilvl w:val="0"/>
          <w:numId w:val="130"/>
        </w:numPr>
        <w:spacing w:after="0" w:line="269" w:lineRule="auto"/>
        <w:jc w:val="both"/>
        <w:rPr>
          <w:rFonts w:ascii="Calibri" w:hAnsi="Calibri" w:cs="Arial"/>
          <w:b/>
          <w:bCs/>
        </w:rPr>
      </w:pPr>
      <w:r>
        <w:rPr>
          <w:rFonts w:ascii="Calibri" w:hAnsi="Calibri"/>
          <w:b/>
          <w:bCs/>
        </w:rPr>
        <w:t>financing the expenditures related to county and communal roads;</w:t>
      </w:r>
    </w:p>
    <w:p w:rsidR="003D4AE3" w:rsidRPr="007A7502" w:rsidRDefault="003D4AE3" w:rsidP="003D4AE3">
      <w:pPr>
        <w:pStyle w:val="BodyText"/>
        <w:spacing w:after="0" w:line="269" w:lineRule="auto"/>
        <w:ind w:left="720"/>
        <w:jc w:val="both"/>
        <w:rPr>
          <w:rFonts w:ascii="Calibri" w:hAnsi="Calibri" w:cs="Arial"/>
          <w:b/>
          <w:bCs/>
          <w:sz w:val="14"/>
          <w:lang w:val="ro-RO"/>
        </w:rPr>
      </w:pPr>
    </w:p>
    <w:p w:rsidR="003D4AE3" w:rsidRPr="00BB06DB" w:rsidRDefault="003D4AE3" w:rsidP="003D4AE3">
      <w:pPr>
        <w:pStyle w:val="BodyText"/>
        <w:numPr>
          <w:ilvl w:val="0"/>
          <w:numId w:val="130"/>
        </w:numPr>
        <w:spacing w:after="0" w:line="269" w:lineRule="auto"/>
        <w:jc w:val="both"/>
        <w:rPr>
          <w:rFonts w:ascii="Calibri" w:hAnsi="Calibri" w:cs="Arial"/>
          <w:b/>
          <w:bCs/>
        </w:rPr>
      </w:pPr>
      <w:r>
        <w:rPr>
          <w:rFonts w:ascii="Calibri" w:hAnsi="Calibri"/>
          <w:b/>
          <w:bCs/>
        </w:rPr>
        <w:t>balancing the local budgets of communes, cities, municipalities and counties;</w:t>
      </w:r>
    </w:p>
    <w:p w:rsidR="003D4AE3" w:rsidRPr="007A7502" w:rsidRDefault="003D4AE3" w:rsidP="003D4AE3">
      <w:pPr>
        <w:pStyle w:val="BodyText"/>
        <w:spacing w:after="0" w:line="269" w:lineRule="auto"/>
        <w:ind w:left="720"/>
        <w:jc w:val="both"/>
        <w:rPr>
          <w:rFonts w:ascii="Calibri" w:hAnsi="Calibri" w:cs="Arial"/>
          <w:b/>
          <w:bCs/>
          <w:sz w:val="14"/>
          <w:lang w:val="ro-RO"/>
        </w:rPr>
      </w:pPr>
    </w:p>
    <w:p w:rsidR="003D4AE3" w:rsidRPr="00BB06DB" w:rsidRDefault="003D4AE3" w:rsidP="003D4AE3">
      <w:pPr>
        <w:pStyle w:val="BodyText"/>
        <w:numPr>
          <w:ilvl w:val="0"/>
          <w:numId w:val="130"/>
        </w:numPr>
        <w:spacing w:after="0" w:line="269" w:lineRule="auto"/>
        <w:jc w:val="both"/>
        <w:rPr>
          <w:rFonts w:ascii="Calibri" w:hAnsi="Calibri" w:cs="Arial"/>
        </w:rPr>
      </w:pPr>
      <w:r>
        <w:rPr>
          <w:b/>
        </w:rPr>
        <w:t>financing accredited private and confessional education.</w:t>
      </w:r>
    </w:p>
    <w:p w:rsidR="003D4AE3" w:rsidRPr="007A7502" w:rsidRDefault="003D4AE3" w:rsidP="003D4AE3">
      <w:pPr>
        <w:pStyle w:val="BodyText"/>
        <w:spacing w:after="0" w:line="269" w:lineRule="auto"/>
        <w:ind w:left="720"/>
        <w:jc w:val="both"/>
        <w:rPr>
          <w:rFonts w:ascii="Calibri" w:hAnsi="Calibri" w:cs="Arial"/>
          <w:sz w:val="14"/>
          <w:lang w:val="ro-RO"/>
        </w:rPr>
      </w:pPr>
    </w:p>
    <w:p w:rsidR="003D4AE3" w:rsidRPr="0030468A" w:rsidRDefault="003D4AE3" w:rsidP="0030468A">
      <w:pPr>
        <w:pStyle w:val="BodyText"/>
        <w:spacing w:after="0" w:line="269" w:lineRule="auto"/>
        <w:jc w:val="both"/>
        <w:rPr>
          <w:rFonts w:ascii="Calibri" w:hAnsi="Calibri" w:cs="Arial"/>
        </w:rPr>
      </w:pPr>
      <w:r>
        <w:rPr>
          <w:rFonts w:ascii="Calibri" w:hAnsi="Calibri"/>
        </w:rPr>
        <w:t xml:space="preserve">The destination of the amounts broken down from value-added tax for the local budgets, as well as the subsidies allocated from the State budget, through the budgets of certain ministries, to the administrative-territorial units on the reference horizon is presented in the table below.  </w:t>
      </w:r>
    </w:p>
    <w:p w:rsidR="003D4AE3" w:rsidRPr="00BB06DB" w:rsidRDefault="0030468A" w:rsidP="0030468A">
      <w:pPr>
        <w:pStyle w:val="BodyText"/>
        <w:spacing w:after="0" w:line="288" w:lineRule="auto"/>
        <w:jc w:val="both"/>
        <w:rPr>
          <w:rFonts w:ascii="Calibri" w:hAnsi="Calibri" w:cs="Arial"/>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 xml:space="preserve">                    - thousand Lei -</w:t>
      </w:r>
    </w:p>
    <w:tbl>
      <w:tblPr>
        <w:tblW w:w="10529" w:type="dxa"/>
        <w:jc w:val="center"/>
        <w:tblLayout w:type="fixed"/>
        <w:tblLook w:val="04A0" w:firstRow="1" w:lastRow="0" w:firstColumn="1" w:lastColumn="0" w:noHBand="0" w:noVBand="1"/>
      </w:tblPr>
      <w:tblGrid>
        <w:gridCol w:w="3823"/>
        <w:gridCol w:w="1134"/>
        <w:gridCol w:w="1134"/>
        <w:gridCol w:w="1134"/>
        <w:gridCol w:w="1134"/>
        <w:gridCol w:w="1134"/>
        <w:gridCol w:w="1036"/>
      </w:tblGrid>
      <w:tr w:rsidR="003D4AE3" w:rsidRPr="00BB06DB" w:rsidTr="00C41DD6">
        <w:trPr>
          <w:trHeight w:val="255"/>
          <w:jc w:val="center"/>
        </w:trPr>
        <w:tc>
          <w:tcPr>
            <w:tcW w:w="38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4AE3" w:rsidRPr="00BB06DB" w:rsidRDefault="003D4AE3" w:rsidP="00C41DD6">
            <w:pPr>
              <w:jc w:val="center"/>
              <w:rPr>
                <w:rFonts w:ascii="Arial" w:hAnsi="Arial" w:cs="Arial"/>
                <w:b/>
                <w:bCs/>
                <w:sz w:val="16"/>
                <w:szCs w:val="16"/>
              </w:rPr>
            </w:pPr>
            <w:r>
              <w:rPr>
                <w:rFonts w:ascii="Arial" w:hAnsi="Arial"/>
                <w:b/>
                <w:bCs/>
                <w:sz w:val="16"/>
                <w:szCs w:val="16"/>
              </w:rPr>
              <w:t>INDICATOR NAME</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4AE3" w:rsidRPr="00BB06DB" w:rsidRDefault="003D4AE3" w:rsidP="00C41DD6">
            <w:pPr>
              <w:jc w:val="center"/>
              <w:rPr>
                <w:rFonts w:ascii="Arial" w:hAnsi="Arial" w:cs="Arial"/>
                <w:b/>
                <w:bCs/>
                <w:sz w:val="16"/>
                <w:szCs w:val="16"/>
              </w:rPr>
            </w:pPr>
            <w:r>
              <w:rPr>
                <w:rFonts w:ascii="Arial" w:hAnsi="Arial"/>
                <w:b/>
                <w:bCs/>
                <w:sz w:val="16"/>
                <w:szCs w:val="16"/>
              </w:rPr>
              <w:t>Achievements of 2017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4AE3" w:rsidRPr="00BB06DB" w:rsidRDefault="003D4AE3" w:rsidP="00C41DD6">
            <w:pPr>
              <w:jc w:val="center"/>
              <w:rPr>
                <w:rFonts w:ascii="Arial" w:hAnsi="Arial" w:cs="Arial"/>
                <w:b/>
                <w:bCs/>
                <w:sz w:val="16"/>
                <w:szCs w:val="16"/>
              </w:rPr>
            </w:pPr>
            <w:r>
              <w:rPr>
                <w:rFonts w:ascii="Arial" w:hAnsi="Arial"/>
                <w:b/>
                <w:bCs/>
                <w:sz w:val="16"/>
                <w:szCs w:val="16"/>
              </w:rPr>
              <w:t>Achievements of 2018</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4AE3" w:rsidRPr="00BB06DB" w:rsidRDefault="003D4AE3" w:rsidP="00C41DD6">
            <w:pPr>
              <w:jc w:val="center"/>
              <w:rPr>
                <w:rFonts w:ascii="Arial" w:hAnsi="Arial" w:cs="Arial"/>
                <w:b/>
                <w:bCs/>
                <w:sz w:val="16"/>
                <w:szCs w:val="16"/>
              </w:rPr>
            </w:pPr>
            <w:r>
              <w:rPr>
                <w:rFonts w:ascii="Arial" w:hAnsi="Arial"/>
                <w:b/>
                <w:bCs/>
                <w:sz w:val="16"/>
                <w:szCs w:val="16"/>
              </w:rPr>
              <w:t>Budget proposal for 2019</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4AE3" w:rsidRPr="00BB06DB" w:rsidRDefault="003D4AE3" w:rsidP="00C41DD6">
            <w:pPr>
              <w:jc w:val="center"/>
              <w:rPr>
                <w:rFonts w:ascii="Arial" w:hAnsi="Arial" w:cs="Arial"/>
                <w:b/>
                <w:bCs/>
                <w:sz w:val="16"/>
                <w:szCs w:val="16"/>
              </w:rPr>
            </w:pPr>
            <w:r>
              <w:rPr>
                <w:rFonts w:ascii="Arial" w:hAnsi="Arial"/>
                <w:b/>
                <w:bCs/>
                <w:sz w:val="16"/>
                <w:szCs w:val="16"/>
              </w:rPr>
              <w:t>ESTIMATES FOR 2020</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4AE3" w:rsidRPr="00BB06DB" w:rsidRDefault="003D4AE3" w:rsidP="00C41DD6">
            <w:pPr>
              <w:jc w:val="center"/>
              <w:rPr>
                <w:rFonts w:ascii="Arial" w:hAnsi="Arial" w:cs="Arial"/>
                <w:b/>
                <w:bCs/>
                <w:sz w:val="16"/>
                <w:szCs w:val="16"/>
              </w:rPr>
            </w:pPr>
            <w:r>
              <w:rPr>
                <w:rFonts w:ascii="Arial" w:hAnsi="Arial"/>
                <w:b/>
                <w:bCs/>
                <w:sz w:val="16"/>
                <w:szCs w:val="16"/>
              </w:rPr>
              <w:t>ESTIMATES FOR 2021</w:t>
            </w:r>
          </w:p>
        </w:tc>
        <w:tc>
          <w:tcPr>
            <w:tcW w:w="10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4AE3" w:rsidRPr="00BB06DB" w:rsidRDefault="003D4AE3" w:rsidP="00C41DD6">
            <w:pPr>
              <w:jc w:val="center"/>
              <w:rPr>
                <w:rFonts w:ascii="Arial" w:hAnsi="Arial" w:cs="Arial"/>
                <w:b/>
                <w:bCs/>
                <w:sz w:val="16"/>
                <w:szCs w:val="16"/>
              </w:rPr>
            </w:pPr>
            <w:r>
              <w:rPr>
                <w:rFonts w:ascii="Arial" w:hAnsi="Arial"/>
                <w:b/>
                <w:bCs/>
                <w:sz w:val="16"/>
                <w:szCs w:val="16"/>
              </w:rPr>
              <w:t>ESTIMATES FOR 2022</w:t>
            </w:r>
          </w:p>
        </w:tc>
      </w:tr>
      <w:tr w:rsidR="003D4AE3" w:rsidRPr="00BB06DB" w:rsidTr="00C41DD6">
        <w:trPr>
          <w:trHeight w:val="930"/>
          <w:jc w:val="center"/>
        </w:trPr>
        <w:tc>
          <w:tcPr>
            <w:tcW w:w="3823" w:type="dxa"/>
            <w:vMerge/>
            <w:tcBorders>
              <w:top w:val="single" w:sz="4" w:space="0" w:color="auto"/>
              <w:left w:val="single" w:sz="4" w:space="0" w:color="auto"/>
              <w:bottom w:val="single" w:sz="4" w:space="0" w:color="auto"/>
              <w:right w:val="single" w:sz="4" w:space="0" w:color="auto"/>
            </w:tcBorders>
            <w:vAlign w:val="center"/>
            <w:hideMark/>
          </w:tcPr>
          <w:p w:rsidR="003D4AE3" w:rsidRPr="00BB06DB" w:rsidRDefault="003D4AE3" w:rsidP="00C41DD6">
            <w:pPr>
              <w:rPr>
                <w:rFonts w:ascii="Arial" w:hAnsi="Arial" w:cs="Arial"/>
                <w:b/>
                <w:bCs/>
                <w:sz w:val="16"/>
                <w:szCs w:val="16"/>
                <w:highlight w:val="yellow"/>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D4AE3" w:rsidRPr="00BB06DB" w:rsidRDefault="003D4AE3" w:rsidP="00C41DD6">
            <w:pPr>
              <w:rPr>
                <w:rFonts w:ascii="Arial" w:hAnsi="Arial" w:cs="Arial"/>
                <w:b/>
                <w:bCs/>
                <w:sz w:val="16"/>
                <w:szCs w:val="16"/>
                <w:highlight w:val="yellow"/>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D4AE3" w:rsidRPr="00BB06DB" w:rsidRDefault="003D4AE3" w:rsidP="00C41DD6">
            <w:pPr>
              <w:rPr>
                <w:rFonts w:ascii="Arial" w:hAnsi="Arial" w:cs="Arial"/>
                <w:b/>
                <w:bCs/>
                <w:sz w:val="16"/>
                <w:szCs w:val="16"/>
                <w:highlight w:val="yellow"/>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D4AE3" w:rsidRPr="00BB06DB" w:rsidRDefault="003D4AE3" w:rsidP="00C41DD6">
            <w:pPr>
              <w:rPr>
                <w:rFonts w:ascii="Arial" w:hAnsi="Arial" w:cs="Arial"/>
                <w:b/>
                <w:bCs/>
                <w:sz w:val="16"/>
                <w:szCs w:val="16"/>
                <w:highlight w:val="yellow"/>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D4AE3" w:rsidRPr="00BB06DB" w:rsidRDefault="003D4AE3" w:rsidP="00C41DD6">
            <w:pPr>
              <w:rPr>
                <w:rFonts w:ascii="Arial" w:hAnsi="Arial" w:cs="Arial"/>
                <w:b/>
                <w:bCs/>
                <w:sz w:val="16"/>
                <w:szCs w:val="16"/>
                <w:highlight w:val="yellow"/>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D4AE3" w:rsidRPr="00BB06DB" w:rsidRDefault="003D4AE3" w:rsidP="00C41DD6">
            <w:pPr>
              <w:rPr>
                <w:rFonts w:ascii="Arial" w:hAnsi="Arial" w:cs="Arial"/>
                <w:b/>
                <w:bCs/>
                <w:sz w:val="16"/>
                <w:szCs w:val="16"/>
                <w:highlight w:val="yellow"/>
              </w:rPr>
            </w:pPr>
          </w:p>
        </w:tc>
        <w:tc>
          <w:tcPr>
            <w:tcW w:w="1036" w:type="dxa"/>
            <w:vMerge/>
            <w:tcBorders>
              <w:top w:val="single" w:sz="4" w:space="0" w:color="auto"/>
              <w:left w:val="single" w:sz="4" w:space="0" w:color="auto"/>
              <w:bottom w:val="single" w:sz="4" w:space="0" w:color="auto"/>
              <w:right w:val="single" w:sz="4" w:space="0" w:color="auto"/>
            </w:tcBorders>
            <w:vAlign w:val="center"/>
            <w:hideMark/>
          </w:tcPr>
          <w:p w:rsidR="003D4AE3" w:rsidRPr="00BB06DB" w:rsidRDefault="003D4AE3" w:rsidP="00C41DD6">
            <w:pPr>
              <w:rPr>
                <w:rFonts w:ascii="Arial" w:hAnsi="Arial" w:cs="Arial"/>
                <w:b/>
                <w:bCs/>
                <w:sz w:val="16"/>
                <w:szCs w:val="16"/>
                <w:highlight w:val="yellow"/>
              </w:rPr>
            </w:pPr>
          </w:p>
        </w:tc>
      </w:tr>
      <w:tr w:rsidR="003D4AE3" w:rsidRPr="00BB06DB" w:rsidTr="00C41DD6">
        <w:trPr>
          <w:trHeight w:val="255"/>
          <w:jc w:val="center"/>
        </w:trPr>
        <w:tc>
          <w:tcPr>
            <w:tcW w:w="3823"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3D4AE3" w:rsidRPr="00BB06DB" w:rsidRDefault="003D4AE3" w:rsidP="00C41DD6">
            <w:pPr>
              <w:rPr>
                <w:rFonts w:ascii="Arial" w:hAnsi="Arial" w:cs="Arial"/>
                <w:b/>
                <w:bCs/>
                <w:sz w:val="16"/>
                <w:szCs w:val="16"/>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3D4AE3" w:rsidRPr="00BB06DB" w:rsidRDefault="003D4AE3" w:rsidP="00C41DD6">
            <w:pPr>
              <w:jc w:val="center"/>
              <w:rPr>
                <w:rFonts w:ascii="Arial" w:hAnsi="Arial" w:cs="Arial"/>
                <w:sz w:val="14"/>
                <w:szCs w:val="14"/>
              </w:rPr>
            </w:pPr>
            <w:r>
              <w:rPr>
                <w:rFonts w:ascii="Arial" w:hAnsi="Arial"/>
                <w:sz w:val="14"/>
                <w:szCs w:val="14"/>
              </w:rPr>
              <w:t>1</w:t>
            </w:r>
          </w:p>
        </w:tc>
        <w:tc>
          <w:tcPr>
            <w:tcW w:w="1134" w:type="dxa"/>
            <w:tcBorders>
              <w:top w:val="nil"/>
              <w:left w:val="nil"/>
              <w:bottom w:val="single" w:sz="4" w:space="0" w:color="auto"/>
              <w:right w:val="single" w:sz="4" w:space="0" w:color="auto"/>
            </w:tcBorders>
            <w:shd w:val="clear" w:color="auto" w:fill="auto"/>
            <w:vAlign w:val="center"/>
            <w:hideMark/>
          </w:tcPr>
          <w:p w:rsidR="003D4AE3" w:rsidRPr="00BB06DB" w:rsidRDefault="003D4AE3" w:rsidP="00C41DD6">
            <w:pPr>
              <w:jc w:val="center"/>
              <w:rPr>
                <w:rFonts w:ascii="Arial" w:hAnsi="Arial" w:cs="Arial"/>
                <w:sz w:val="14"/>
                <w:szCs w:val="14"/>
              </w:rPr>
            </w:pPr>
            <w:r>
              <w:rPr>
                <w:rFonts w:ascii="Arial" w:hAnsi="Arial"/>
                <w:sz w:val="14"/>
                <w:szCs w:val="14"/>
              </w:rPr>
              <w:t>2</w:t>
            </w:r>
          </w:p>
        </w:tc>
        <w:tc>
          <w:tcPr>
            <w:tcW w:w="1134" w:type="dxa"/>
            <w:tcBorders>
              <w:top w:val="nil"/>
              <w:left w:val="nil"/>
              <w:bottom w:val="single" w:sz="4" w:space="0" w:color="auto"/>
              <w:right w:val="single" w:sz="4" w:space="0" w:color="auto"/>
            </w:tcBorders>
            <w:shd w:val="clear" w:color="auto" w:fill="auto"/>
            <w:vAlign w:val="center"/>
            <w:hideMark/>
          </w:tcPr>
          <w:p w:rsidR="003D4AE3" w:rsidRPr="00BB06DB" w:rsidRDefault="003D4AE3" w:rsidP="00C41DD6">
            <w:pPr>
              <w:jc w:val="center"/>
              <w:rPr>
                <w:rFonts w:ascii="Arial" w:hAnsi="Arial" w:cs="Arial"/>
                <w:sz w:val="14"/>
                <w:szCs w:val="14"/>
              </w:rPr>
            </w:pPr>
            <w:r>
              <w:rPr>
                <w:rFonts w:ascii="Arial" w:hAnsi="Arial"/>
                <w:sz w:val="14"/>
                <w:szCs w:val="14"/>
              </w:rPr>
              <w:t>3</w:t>
            </w:r>
          </w:p>
        </w:tc>
        <w:tc>
          <w:tcPr>
            <w:tcW w:w="1134" w:type="dxa"/>
            <w:tcBorders>
              <w:top w:val="nil"/>
              <w:left w:val="nil"/>
              <w:bottom w:val="single" w:sz="4" w:space="0" w:color="auto"/>
              <w:right w:val="single" w:sz="4" w:space="0" w:color="auto"/>
            </w:tcBorders>
            <w:shd w:val="clear" w:color="auto" w:fill="auto"/>
            <w:vAlign w:val="center"/>
            <w:hideMark/>
          </w:tcPr>
          <w:p w:rsidR="003D4AE3" w:rsidRPr="00BB06DB" w:rsidRDefault="003D4AE3" w:rsidP="00C41DD6">
            <w:pPr>
              <w:jc w:val="center"/>
              <w:rPr>
                <w:rFonts w:ascii="Arial" w:hAnsi="Arial" w:cs="Arial"/>
                <w:sz w:val="14"/>
                <w:szCs w:val="14"/>
              </w:rPr>
            </w:pPr>
            <w:r>
              <w:rPr>
                <w:rFonts w:ascii="Arial" w:hAnsi="Arial"/>
                <w:sz w:val="14"/>
                <w:szCs w:val="14"/>
              </w:rPr>
              <w:t>4</w:t>
            </w:r>
          </w:p>
        </w:tc>
        <w:tc>
          <w:tcPr>
            <w:tcW w:w="1134" w:type="dxa"/>
            <w:tcBorders>
              <w:top w:val="nil"/>
              <w:left w:val="nil"/>
              <w:bottom w:val="single" w:sz="4" w:space="0" w:color="auto"/>
              <w:right w:val="single" w:sz="4" w:space="0" w:color="auto"/>
            </w:tcBorders>
            <w:shd w:val="clear" w:color="auto" w:fill="auto"/>
            <w:vAlign w:val="center"/>
            <w:hideMark/>
          </w:tcPr>
          <w:p w:rsidR="003D4AE3" w:rsidRPr="00BB06DB" w:rsidRDefault="003D4AE3" w:rsidP="00C41DD6">
            <w:pPr>
              <w:jc w:val="center"/>
              <w:rPr>
                <w:rFonts w:ascii="Arial" w:hAnsi="Arial" w:cs="Arial"/>
                <w:sz w:val="14"/>
                <w:szCs w:val="14"/>
              </w:rPr>
            </w:pPr>
            <w:r>
              <w:rPr>
                <w:rFonts w:ascii="Arial" w:hAnsi="Arial"/>
                <w:sz w:val="14"/>
                <w:szCs w:val="14"/>
              </w:rPr>
              <w:t>5</w:t>
            </w:r>
          </w:p>
        </w:tc>
        <w:tc>
          <w:tcPr>
            <w:tcW w:w="1036" w:type="dxa"/>
            <w:tcBorders>
              <w:top w:val="nil"/>
              <w:left w:val="nil"/>
              <w:bottom w:val="single" w:sz="4" w:space="0" w:color="auto"/>
              <w:right w:val="single" w:sz="4" w:space="0" w:color="auto"/>
            </w:tcBorders>
            <w:shd w:val="clear" w:color="auto" w:fill="auto"/>
            <w:vAlign w:val="center"/>
            <w:hideMark/>
          </w:tcPr>
          <w:p w:rsidR="003D4AE3" w:rsidRPr="00BB06DB" w:rsidRDefault="003D4AE3" w:rsidP="00C41DD6">
            <w:pPr>
              <w:jc w:val="center"/>
              <w:rPr>
                <w:rFonts w:ascii="Arial" w:hAnsi="Arial" w:cs="Arial"/>
                <w:sz w:val="14"/>
                <w:szCs w:val="14"/>
              </w:rPr>
            </w:pPr>
            <w:r>
              <w:rPr>
                <w:rFonts w:ascii="Arial" w:hAnsi="Arial"/>
                <w:sz w:val="14"/>
                <w:szCs w:val="14"/>
              </w:rPr>
              <w:t>6</w:t>
            </w:r>
          </w:p>
        </w:tc>
      </w:tr>
      <w:tr w:rsidR="003D4AE3" w:rsidRPr="00BB06DB" w:rsidTr="00C41DD6">
        <w:trPr>
          <w:trHeight w:val="49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rPr>
                <w:rFonts w:ascii="Arial" w:hAnsi="Arial" w:cs="Arial"/>
                <w:b/>
                <w:bCs/>
                <w:sz w:val="16"/>
                <w:szCs w:val="16"/>
              </w:rPr>
            </w:pPr>
            <w:r>
              <w:rPr>
                <w:rFonts w:ascii="Arial" w:hAnsi="Arial"/>
                <w:b/>
                <w:bCs/>
                <w:sz w:val="16"/>
                <w:szCs w:val="16"/>
              </w:rPr>
              <w:t xml:space="preserve">Amounts broken down from VAT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b/>
                <w:bCs/>
                <w:sz w:val="16"/>
                <w:szCs w:val="16"/>
              </w:rPr>
            </w:pPr>
            <w:r>
              <w:rPr>
                <w:rFonts w:ascii="Arial" w:hAnsi="Arial"/>
                <w:b/>
                <w:bCs/>
                <w:sz w:val="16"/>
                <w:szCs w:val="16"/>
              </w:rPr>
              <w:t>23,549,351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b/>
                <w:bCs/>
                <w:sz w:val="16"/>
                <w:szCs w:val="16"/>
              </w:rPr>
            </w:pPr>
            <w:r>
              <w:rPr>
                <w:rFonts w:ascii="Arial" w:hAnsi="Arial"/>
                <w:b/>
                <w:bCs/>
                <w:sz w:val="16"/>
                <w:szCs w:val="16"/>
              </w:rPr>
              <w:t>15,369,842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5D1F66" w:rsidRDefault="003D4AE3" w:rsidP="00C41DD6">
            <w:pPr>
              <w:jc w:val="right"/>
              <w:rPr>
                <w:rFonts w:ascii="Arial" w:hAnsi="Arial" w:cs="Arial"/>
                <w:b/>
                <w:bCs/>
                <w:sz w:val="16"/>
                <w:szCs w:val="16"/>
              </w:rPr>
            </w:pPr>
            <w:r>
              <w:rPr>
                <w:rFonts w:ascii="Arial" w:hAnsi="Arial"/>
                <w:b/>
                <w:bCs/>
                <w:sz w:val="16"/>
                <w:szCs w:val="16"/>
              </w:rPr>
              <w:t>14,792,359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b/>
                <w:bCs/>
                <w:sz w:val="16"/>
                <w:szCs w:val="16"/>
              </w:rPr>
            </w:pPr>
            <w:r>
              <w:rPr>
                <w:rFonts w:ascii="Arial" w:hAnsi="Arial"/>
                <w:b/>
                <w:bCs/>
                <w:sz w:val="16"/>
                <w:szCs w:val="16"/>
              </w:rPr>
              <w:t>19,841,110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b/>
                <w:bCs/>
                <w:sz w:val="16"/>
                <w:szCs w:val="16"/>
              </w:rPr>
            </w:pPr>
            <w:r>
              <w:rPr>
                <w:rFonts w:ascii="Arial" w:hAnsi="Arial"/>
                <w:b/>
                <w:bCs/>
                <w:sz w:val="16"/>
                <w:szCs w:val="16"/>
              </w:rPr>
              <w:t>20,801,154</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b/>
                <w:bCs/>
                <w:sz w:val="16"/>
                <w:szCs w:val="16"/>
              </w:rPr>
            </w:pPr>
            <w:r>
              <w:rPr>
                <w:rFonts w:ascii="Arial" w:hAnsi="Arial"/>
                <w:b/>
                <w:bCs/>
                <w:sz w:val="16"/>
                <w:szCs w:val="16"/>
              </w:rPr>
              <w:t>21,555,933</w:t>
            </w:r>
          </w:p>
        </w:tc>
      </w:tr>
      <w:tr w:rsidR="003D4AE3" w:rsidRPr="00BB06DB" w:rsidTr="00C41DD6">
        <w:trPr>
          <w:trHeight w:val="555"/>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AE3" w:rsidRPr="00BB06DB" w:rsidRDefault="003D4AE3" w:rsidP="00C41DD6">
            <w:pPr>
              <w:rPr>
                <w:rFonts w:ascii="Arial" w:hAnsi="Arial" w:cs="Arial"/>
                <w:sz w:val="16"/>
                <w:szCs w:val="16"/>
              </w:rPr>
            </w:pPr>
            <w:r>
              <w:rPr>
                <w:rFonts w:ascii="Arial" w:hAnsi="Arial"/>
                <w:sz w:val="16"/>
                <w:szCs w:val="16"/>
              </w:rPr>
              <w:t xml:space="preserve">Amounts broken down from value-added tax to finance the expenditures decentralized at county level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2,903,904</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sz w:val="16"/>
                <w:szCs w:val="16"/>
              </w:rPr>
            </w:pPr>
            <w:r>
              <w:rPr>
                <w:rFonts w:ascii="Arial" w:hAnsi="Arial"/>
                <w:sz w:val="16"/>
                <w:szCs w:val="16"/>
              </w:rPr>
              <w:t>2,296,277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Pr="005D1F66" w:rsidRDefault="003D4AE3" w:rsidP="00C41DD6">
            <w:pPr>
              <w:jc w:val="right"/>
              <w:rPr>
                <w:rFonts w:ascii="Arial" w:hAnsi="Arial" w:cs="Arial"/>
                <w:sz w:val="16"/>
                <w:szCs w:val="16"/>
              </w:rPr>
            </w:pPr>
            <w:r>
              <w:rPr>
                <w:rFonts w:ascii="Arial" w:hAnsi="Arial"/>
                <w:sz w:val="16"/>
                <w:szCs w:val="16"/>
              </w:rPr>
              <w:t>938,772</w:t>
            </w:r>
          </w:p>
        </w:tc>
        <w:tc>
          <w:tcPr>
            <w:tcW w:w="1134" w:type="dxa"/>
            <w:tcBorders>
              <w:top w:val="nil"/>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2,205,532</w:t>
            </w:r>
          </w:p>
        </w:tc>
        <w:tc>
          <w:tcPr>
            <w:tcW w:w="1134" w:type="dxa"/>
            <w:tcBorders>
              <w:top w:val="nil"/>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2,208,009</w:t>
            </w:r>
          </w:p>
        </w:tc>
        <w:tc>
          <w:tcPr>
            <w:tcW w:w="1036" w:type="dxa"/>
            <w:tcBorders>
              <w:top w:val="nil"/>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2,210,446</w:t>
            </w:r>
          </w:p>
        </w:tc>
      </w:tr>
      <w:tr w:rsidR="003D4AE3" w:rsidRPr="00BB06DB" w:rsidTr="00C41DD6">
        <w:trPr>
          <w:trHeight w:val="780"/>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AE3" w:rsidRPr="00BB06DB" w:rsidRDefault="003D4AE3" w:rsidP="00C41DD6">
            <w:pPr>
              <w:rPr>
                <w:rFonts w:ascii="Arial" w:hAnsi="Arial" w:cs="Arial"/>
                <w:sz w:val="16"/>
                <w:szCs w:val="16"/>
              </w:rPr>
            </w:pPr>
            <w:r>
              <w:rPr>
                <w:rFonts w:ascii="Arial" w:hAnsi="Arial"/>
                <w:sz w:val="16"/>
                <w:szCs w:val="16"/>
              </w:rPr>
              <w:t>Amounts broken down from VAT to finance the expenditures decentralized at the level of communes, cities, municipalities and sectors of Bucharest Municipality</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17,121,825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sz w:val="16"/>
                <w:szCs w:val="16"/>
              </w:rPr>
            </w:pPr>
            <w:r>
              <w:rPr>
                <w:rFonts w:ascii="Arial" w:hAnsi="Arial"/>
                <w:sz w:val="16"/>
                <w:szCs w:val="16"/>
              </w:rPr>
              <w:t>5,013,041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Pr="005D1F66" w:rsidRDefault="003D4AE3" w:rsidP="00C41DD6">
            <w:pPr>
              <w:jc w:val="right"/>
              <w:rPr>
                <w:rFonts w:ascii="Arial" w:hAnsi="Arial" w:cs="Arial"/>
                <w:sz w:val="16"/>
                <w:szCs w:val="16"/>
              </w:rPr>
            </w:pPr>
            <w:r>
              <w:rPr>
                <w:rFonts w:ascii="Arial" w:hAnsi="Arial"/>
                <w:sz w:val="16"/>
                <w:szCs w:val="16"/>
              </w:rPr>
              <w:t>1,665,041</w:t>
            </w:r>
          </w:p>
        </w:tc>
        <w:tc>
          <w:tcPr>
            <w:tcW w:w="1134" w:type="dxa"/>
            <w:tcBorders>
              <w:top w:val="nil"/>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6,620,478</w:t>
            </w:r>
          </w:p>
        </w:tc>
        <w:tc>
          <w:tcPr>
            <w:tcW w:w="1134" w:type="dxa"/>
            <w:tcBorders>
              <w:top w:val="nil"/>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6,653,919</w:t>
            </w:r>
          </w:p>
        </w:tc>
        <w:tc>
          <w:tcPr>
            <w:tcW w:w="1036" w:type="dxa"/>
            <w:tcBorders>
              <w:top w:val="nil"/>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6,686,824</w:t>
            </w:r>
          </w:p>
        </w:tc>
      </w:tr>
      <w:tr w:rsidR="003D4AE3" w:rsidRPr="00BB06DB" w:rsidTr="00C41DD6">
        <w:trPr>
          <w:trHeight w:val="46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rPr>
                <w:rFonts w:ascii="Arial" w:hAnsi="Arial" w:cs="Arial"/>
                <w:sz w:val="16"/>
                <w:szCs w:val="16"/>
              </w:rPr>
            </w:pPr>
            <w:r>
              <w:rPr>
                <w:rFonts w:ascii="Arial" w:hAnsi="Arial"/>
                <w:sz w:val="16"/>
                <w:szCs w:val="16"/>
              </w:rPr>
              <w:t xml:space="preserve">Amounts broken down from value-added tax for roads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426,464</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sz w:val="16"/>
                <w:szCs w:val="16"/>
              </w:rPr>
            </w:pPr>
            <w:r>
              <w:rPr>
                <w:rFonts w:ascii="Arial" w:hAnsi="Arial"/>
                <w:sz w:val="16"/>
                <w:szCs w:val="16"/>
              </w:rPr>
              <w:t>435,307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Pr="005D1F66" w:rsidRDefault="003D4AE3" w:rsidP="00C41DD6">
            <w:pPr>
              <w:jc w:val="right"/>
              <w:rPr>
                <w:rFonts w:ascii="Arial" w:hAnsi="Arial" w:cs="Arial"/>
                <w:sz w:val="16"/>
                <w:szCs w:val="16"/>
              </w:rPr>
            </w:pPr>
            <w:r>
              <w:rPr>
                <w:rFonts w:ascii="Arial" w:hAnsi="Arial"/>
                <w:sz w:val="16"/>
                <w:szCs w:val="16"/>
              </w:rPr>
              <w:t>600,000</w:t>
            </w:r>
          </w:p>
        </w:tc>
        <w:tc>
          <w:tcPr>
            <w:tcW w:w="1134" w:type="dxa"/>
            <w:tcBorders>
              <w:top w:val="nil"/>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300,000</w:t>
            </w:r>
          </w:p>
        </w:tc>
        <w:tc>
          <w:tcPr>
            <w:tcW w:w="1134" w:type="dxa"/>
            <w:tcBorders>
              <w:top w:val="nil"/>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300,000</w:t>
            </w:r>
          </w:p>
        </w:tc>
        <w:tc>
          <w:tcPr>
            <w:tcW w:w="1036" w:type="dxa"/>
            <w:tcBorders>
              <w:top w:val="nil"/>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300,000</w:t>
            </w:r>
          </w:p>
        </w:tc>
      </w:tr>
      <w:tr w:rsidR="003D4AE3" w:rsidRPr="00BB06DB" w:rsidTr="00C41DD6">
        <w:trPr>
          <w:trHeight w:val="405"/>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AE3" w:rsidRPr="00BB06DB" w:rsidRDefault="003D4AE3" w:rsidP="00C41DD6">
            <w:pPr>
              <w:rPr>
                <w:rFonts w:ascii="Arial" w:hAnsi="Arial" w:cs="Arial"/>
                <w:sz w:val="16"/>
                <w:szCs w:val="16"/>
              </w:rPr>
            </w:pPr>
            <w:r>
              <w:rPr>
                <w:rFonts w:ascii="Arial" w:hAnsi="Arial"/>
                <w:sz w:val="16"/>
                <w:szCs w:val="16"/>
              </w:rPr>
              <w:t>Amounts broken down from value-added tax to balance the local budgets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2,990,338</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sz w:val="16"/>
                <w:szCs w:val="16"/>
              </w:rPr>
            </w:pPr>
            <w:r>
              <w:rPr>
                <w:rFonts w:ascii="Arial" w:hAnsi="Arial"/>
                <w:sz w:val="16"/>
                <w:szCs w:val="16"/>
              </w:rPr>
              <w:t>7,459,079</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Pr="005D1F66" w:rsidRDefault="003D4AE3" w:rsidP="00C41DD6">
            <w:pPr>
              <w:jc w:val="right"/>
              <w:rPr>
                <w:rFonts w:ascii="Arial" w:hAnsi="Arial" w:cs="Arial"/>
                <w:sz w:val="16"/>
                <w:szCs w:val="16"/>
              </w:rPr>
            </w:pPr>
            <w:r>
              <w:rPr>
                <w:rFonts w:ascii="Arial" w:hAnsi="Arial"/>
                <w:sz w:val="16"/>
                <w:szCs w:val="16"/>
              </w:rPr>
              <w:t>11,409,946</w:t>
            </w:r>
          </w:p>
        </w:tc>
        <w:tc>
          <w:tcPr>
            <w:tcW w:w="1134" w:type="dxa"/>
            <w:tcBorders>
              <w:top w:val="nil"/>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10,536,500</w:t>
            </w:r>
          </w:p>
        </w:tc>
        <w:tc>
          <w:tcPr>
            <w:tcW w:w="1134" w:type="dxa"/>
            <w:tcBorders>
              <w:top w:val="nil"/>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11,460,626</w:t>
            </w:r>
          </w:p>
        </w:tc>
        <w:tc>
          <w:tcPr>
            <w:tcW w:w="1036" w:type="dxa"/>
            <w:tcBorders>
              <w:top w:val="nil"/>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12,180,063</w:t>
            </w:r>
          </w:p>
        </w:tc>
      </w:tr>
      <w:tr w:rsidR="003D4AE3" w:rsidRPr="00BB06DB" w:rsidTr="00C41DD6">
        <w:trPr>
          <w:trHeight w:val="525"/>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AE3" w:rsidRPr="00BB06DB" w:rsidRDefault="003D4AE3" w:rsidP="00C41DD6">
            <w:pPr>
              <w:rPr>
                <w:rFonts w:ascii="Arial" w:hAnsi="Arial" w:cs="Arial"/>
                <w:sz w:val="16"/>
                <w:szCs w:val="16"/>
              </w:rPr>
            </w:pPr>
            <w:r>
              <w:rPr>
                <w:rFonts w:ascii="Arial" w:hAnsi="Arial"/>
                <w:sz w:val="16"/>
                <w:szCs w:val="16"/>
              </w:rPr>
              <w:t>Amounts broken down from value-added tax to finance accredited private or confessional education</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106,820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5D1F66" w:rsidRDefault="003D4AE3" w:rsidP="00C41DD6">
            <w:pPr>
              <w:jc w:val="right"/>
              <w:rPr>
                <w:rFonts w:ascii="Arial" w:hAnsi="Arial" w:cs="Arial"/>
                <w:sz w:val="16"/>
                <w:szCs w:val="16"/>
              </w:rPr>
            </w:pPr>
            <w:r>
              <w:rPr>
                <w:rFonts w:ascii="Arial" w:hAnsi="Arial"/>
                <w:sz w:val="16"/>
                <w:szCs w:val="16"/>
              </w:rPr>
              <w:t>166,138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5D1F66" w:rsidRDefault="003D4AE3" w:rsidP="00C41DD6">
            <w:pPr>
              <w:jc w:val="right"/>
              <w:rPr>
                <w:rFonts w:ascii="Arial" w:hAnsi="Arial" w:cs="Arial"/>
                <w:sz w:val="16"/>
                <w:szCs w:val="16"/>
              </w:rPr>
            </w:pPr>
            <w:r>
              <w:rPr>
                <w:rFonts w:ascii="Arial" w:hAnsi="Arial"/>
                <w:sz w:val="16"/>
                <w:szCs w:val="16"/>
              </w:rPr>
              <w:t>178,600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178,600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178,600</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178,600</w:t>
            </w:r>
          </w:p>
        </w:tc>
      </w:tr>
      <w:tr w:rsidR="003D4AE3" w:rsidRPr="00BB06DB" w:rsidTr="00C41DD6">
        <w:trPr>
          <w:trHeight w:val="42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rPr>
                <w:rFonts w:ascii="Arial" w:hAnsi="Arial" w:cs="Arial"/>
                <w:b/>
                <w:bCs/>
                <w:sz w:val="16"/>
                <w:szCs w:val="16"/>
              </w:rPr>
            </w:pPr>
            <w:r>
              <w:rPr>
                <w:rFonts w:ascii="Arial" w:hAnsi="Arial"/>
                <w:b/>
                <w:bCs/>
                <w:sz w:val="16"/>
                <w:szCs w:val="16"/>
              </w:rPr>
              <w:t xml:space="preserve">IV.  SUBSIDIES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b/>
                <w:bCs/>
                <w:sz w:val="16"/>
                <w:szCs w:val="16"/>
              </w:rPr>
            </w:pPr>
            <w:r>
              <w:rPr>
                <w:rFonts w:ascii="Arial" w:hAnsi="Arial"/>
                <w:b/>
                <w:bCs/>
                <w:sz w:val="16"/>
                <w:szCs w:val="16"/>
              </w:rPr>
              <w:t>6,517,695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b/>
                <w:bCs/>
                <w:sz w:val="16"/>
                <w:szCs w:val="16"/>
              </w:rPr>
            </w:pPr>
            <w:r>
              <w:rPr>
                <w:rFonts w:ascii="Arial" w:hAnsi="Arial"/>
                <w:b/>
                <w:bCs/>
                <w:sz w:val="16"/>
                <w:szCs w:val="16"/>
              </w:rPr>
              <w:t>10,449,219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b/>
                <w:bCs/>
                <w:sz w:val="16"/>
                <w:szCs w:val="16"/>
              </w:rPr>
            </w:pPr>
            <w:r>
              <w:rPr>
                <w:rFonts w:ascii="Arial" w:hAnsi="Arial"/>
                <w:b/>
                <w:bCs/>
                <w:sz w:val="16"/>
                <w:szCs w:val="16"/>
              </w:rPr>
              <w:t>4,996,199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b/>
                <w:bCs/>
                <w:sz w:val="16"/>
                <w:szCs w:val="16"/>
              </w:rPr>
            </w:pPr>
            <w:r>
              <w:rPr>
                <w:rFonts w:ascii="Arial" w:hAnsi="Arial"/>
                <w:b/>
                <w:bCs/>
                <w:sz w:val="16"/>
                <w:szCs w:val="16"/>
              </w:rPr>
              <w:t>4,447,531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b/>
                <w:bCs/>
                <w:sz w:val="16"/>
                <w:szCs w:val="16"/>
              </w:rPr>
            </w:pPr>
            <w:r>
              <w:rPr>
                <w:rFonts w:ascii="Arial" w:hAnsi="Arial"/>
                <w:b/>
                <w:bCs/>
                <w:sz w:val="16"/>
                <w:szCs w:val="16"/>
              </w:rPr>
              <w:t>4,610,613</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b/>
                <w:bCs/>
                <w:sz w:val="16"/>
                <w:szCs w:val="16"/>
              </w:rPr>
            </w:pPr>
            <w:r>
              <w:rPr>
                <w:rFonts w:ascii="Arial" w:hAnsi="Arial"/>
                <w:b/>
                <w:bCs/>
                <w:sz w:val="16"/>
                <w:szCs w:val="16"/>
              </w:rPr>
              <w:t>5,084,328</w:t>
            </w:r>
          </w:p>
        </w:tc>
      </w:tr>
      <w:tr w:rsidR="003D4AE3" w:rsidRPr="00BB06DB" w:rsidTr="00C41DD6">
        <w:trPr>
          <w:trHeight w:val="25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715536" w:rsidRDefault="003D4AE3" w:rsidP="00C41DD6">
            <w:pPr>
              <w:rPr>
                <w:rFonts w:ascii="Arial" w:hAnsi="Arial" w:cs="Arial"/>
                <w:b/>
                <w:bCs/>
                <w:sz w:val="16"/>
                <w:szCs w:val="16"/>
              </w:rPr>
            </w:pPr>
            <w:r>
              <w:rPr>
                <w:rFonts w:ascii="Arial" w:hAnsi="Arial"/>
                <w:b/>
                <w:bCs/>
                <w:sz w:val="16"/>
                <w:szCs w:val="16"/>
              </w:rPr>
              <w:t xml:space="preserve">SUBSIDIES FROM OTHER LEVELS OF THE PUBLIC ADMINISTRATION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b/>
                <w:bCs/>
                <w:sz w:val="16"/>
                <w:szCs w:val="16"/>
              </w:rPr>
            </w:pPr>
            <w:r>
              <w:rPr>
                <w:rFonts w:ascii="Arial" w:hAnsi="Arial"/>
                <w:b/>
                <w:bCs/>
                <w:sz w:val="16"/>
                <w:szCs w:val="16"/>
              </w:rPr>
              <w:t>6,517,695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b/>
                <w:bCs/>
                <w:sz w:val="16"/>
                <w:szCs w:val="16"/>
              </w:rPr>
            </w:pPr>
            <w:r>
              <w:rPr>
                <w:rFonts w:ascii="Arial" w:hAnsi="Arial"/>
                <w:b/>
                <w:bCs/>
                <w:sz w:val="16"/>
                <w:szCs w:val="16"/>
              </w:rPr>
              <w:t>10,449,219</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b/>
                <w:bCs/>
                <w:sz w:val="16"/>
                <w:szCs w:val="16"/>
              </w:rPr>
            </w:pPr>
            <w:r>
              <w:rPr>
                <w:rFonts w:ascii="Arial" w:hAnsi="Arial"/>
                <w:b/>
                <w:bCs/>
                <w:sz w:val="16"/>
                <w:szCs w:val="16"/>
              </w:rPr>
              <w:t>4,996,199</w:t>
            </w:r>
          </w:p>
        </w:tc>
        <w:tc>
          <w:tcPr>
            <w:tcW w:w="1134" w:type="dxa"/>
            <w:tcBorders>
              <w:top w:val="nil"/>
              <w:left w:val="nil"/>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b/>
                <w:bCs/>
                <w:sz w:val="16"/>
                <w:szCs w:val="16"/>
              </w:rPr>
            </w:pPr>
            <w:r>
              <w:rPr>
                <w:rFonts w:ascii="Arial" w:hAnsi="Arial"/>
                <w:b/>
                <w:bCs/>
                <w:sz w:val="16"/>
                <w:szCs w:val="16"/>
              </w:rPr>
              <w:t>4,447,531</w:t>
            </w:r>
          </w:p>
        </w:tc>
        <w:tc>
          <w:tcPr>
            <w:tcW w:w="1134" w:type="dxa"/>
            <w:tcBorders>
              <w:top w:val="nil"/>
              <w:left w:val="nil"/>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b/>
                <w:bCs/>
                <w:sz w:val="16"/>
                <w:szCs w:val="16"/>
              </w:rPr>
            </w:pPr>
            <w:r>
              <w:rPr>
                <w:rFonts w:ascii="Arial" w:hAnsi="Arial"/>
                <w:b/>
                <w:bCs/>
                <w:sz w:val="16"/>
                <w:szCs w:val="16"/>
              </w:rPr>
              <w:t>4,610,613</w:t>
            </w:r>
          </w:p>
        </w:tc>
        <w:tc>
          <w:tcPr>
            <w:tcW w:w="1036" w:type="dxa"/>
            <w:tcBorders>
              <w:top w:val="nil"/>
              <w:left w:val="nil"/>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b/>
                <w:bCs/>
                <w:sz w:val="16"/>
                <w:szCs w:val="16"/>
              </w:rPr>
            </w:pPr>
            <w:r>
              <w:rPr>
                <w:rFonts w:ascii="Arial" w:hAnsi="Arial"/>
                <w:b/>
                <w:bCs/>
                <w:sz w:val="16"/>
                <w:szCs w:val="16"/>
              </w:rPr>
              <w:t>5,084,328</w:t>
            </w:r>
          </w:p>
        </w:tc>
      </w:tr>
      <w:tr w:rsidR="003D4AE3" w:rsidRPr="00BB06DB" w:rsidTr="00C41DD6">
        <w:trPr>
          <w:trHeight w:val="43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715536" w:rsidRDefault="003D4AE3" w:rsidP="00C41DD6">
            <w:pPr>
              <w:rPr>
                <w:rFonts w:ascii="Arial" w:hAnsi="Arial" w:cs="Arial"/>
                <w:b/>
                <w:bCs/>
                <w:sz w:val="16"/>
                <w:szCs w:val="16"/>
              </w:rPr>
            </w:pPr>
            <w:r>
              <w:rPr>
                <w:rFonts w:ascii="Arial" w:hAnsi="Arial"/>
                <w:b/>
                <w:bCs/>
                <w:sz w:val="16"/>
                <w:szCs w:val="16"/>
              </w:rPr>
              <w:t>Subsidies from the State budget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b/>
                <w:bCs/>
                <w:sz w:val="16"/>
                <w:szCs w:val="16"/>
              </w:rPr>
            </w:pPr>
            <w:r>
              <w:rPr>
                <w:rFonts w:ascii="Arial" w:hAnsi="Arial"/>
                <w:b/>
                <w:bCs/>
                <w:sz w:val="16"/>
                <w:szCs w:val="16"/>
              </w:rPr>
              <w:t>5,876,676</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b/>
                <w:bCs/>
                <w:sz w:val="16"/>
                <w:szCs w:val="16"/>
              </w:rPr>
            </w:pPr>
            <w:r>
              <w:rPr>
                <w:rFonts w:ascii="Arial" w:hAnsi="Arial"/>
                <w:b/>
                <w:bCs/>
                <w:sz w:val="16"/>
                <w:szCs w:val="16"/>
              </w:rPr>
              <w:t>9,904,743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b/>
                <w:bCs/>
                <w:sz w:val="16"/>
                <w:szCs w:val="16"/>
              </w:rPr>
            </w:pPr>
            <w:r>
              <w:rPr>
                <w:rFonts w:ascii="Arial" w:hAnsi="Arial"/>
                <w:b/>
                <w:bCs/>
                <w:sz w:val="16"/>
                <w:szCs w:val="16"/>
              </w:rPr>
              <w:t>4,986,199</w:t>
            </w:r>
          </w:p>
        </w:tc>
        <w:tc>
          <w:tcPr>
            <w:tcW w:w="1134" w:type="dxa"/>
            <w:tcBorders>
              <w:top w:val="nil"/>
              <w:left w:val="nil"/>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b/>
                <w:bCs/>
                <w:sz w:val="16"/>
                <w:szCs w:val="16"/>
              </w:rPr>
            </w:pPr>
            <w:r>
              <w:rPr>
                <w:rFonts w:ascii="Arial" w:hAnsi="Arial"/>
                <w:b/>
                <w:bCs/>
                <w:sz w:val="16"/>
                <w:szCs w:val="16"/>
              </w:rPr>
              <w:t>4,435,086</w:t>
            </w:r>
          </w:p>
        </w:tc>
        <w:tc>
          <w:tcPr>
            <w:tcW w:w="1134" w:type="dxa"/>
            <w:tcBorders>
              <w:top w:val="nil"/>
              <w:left w:val="nil"/>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b/>
                <w:bCs/>
                <w:sz w:val="16"/>
                <w:szCs w:val="16"/>
              </w:rPr>
            </w:pPr>
            <w:r>
              <w:rPr>
                <w:rFonts w:ascii="Arial" w:hAnsi="Arial"/>
                <w:b/>
                <w:bCs/>
                <w:sz w:val="16"/>
                <w:szCs w:val="16"/>
              </w:rPr>
              <w:t>4,598,168</w:t>
            </w:r>
          </w:p>
        </w:tc>
        <w:tc>
          <w:tcPr>
            <w:tcW w:w="1036" w:type="dxa"/>
            <w:tcBorders>
              <w:top w:val="nil"/>
              <w:left w:val="nil"/>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b/>
                <w:bCs/>
                <w:sz w:val="16"/>
                <w:szCs w:val="16"/>
              </w:rPr>
            </w:pPr>
            <w:r>
              <w:rPr>
                <w:rFonts w:ascii="Arial" w:hAnsi="Arial"/>
                <w:b/>
                <w:bCs/>
                <w:sz w:val="16"/>
                <w:szCs w:val="16"/>
              </w:rPr>
              <w:t>5,071,883</w:t>
            </w:r>
          </w:p>
        </w:tc>
      </w:tr>
      <w:tr w:rsidR="003D4AE3" w:rsidRPr="00BB06DB" w:rsidTr="00C41DD6">
        <w:trPr>
          <w:trHeight w:val="43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rPr>
                <w:rFonts w:ascii="Arial" w:hAnsi="Arial" w:cs="Arial"/>
                <w:b/>
                <w:bCs/>
                <w:sz w:val="16"/>
                <w:szCs w:val="16"/>
              </w:rPr>
            </w:pPr>
            <w:r>
              <w:rPr>
                <w:rFonts w:ascii="Arial" w:hAnsi="Arial"/>
                <w:b/>
                <w:bCs/>
                <w:sz w:val="16"/>
                <w:szCs w:val="16"/>
              </w:rPr>
              <w:t xml:space="preserve">A. Of capital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b/>
                <w:bCs/>
                <w:sz w:val="16"/>
                <w:szCs w:val="16"/>
              </w:rPr>
            </w:pPr>
            <w:r>
              <w:rPr>
                <w:rFonts w:ascii="Arial" w:hAnsi="Arial"/>
                <w:b/>
                <w:bCs/>
                <w:sz w:val="16"/>
                <w:szCs w:val="16"/>
              </w:rPr>
              <w:t>2,621,137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b/>
                <w:bCs/>
                <w:sz w:val="16"/>
                <w:szCs w:val="16"/>
              </w:rPr>
            </w:pPr>
            <w:r>
              <w:rPr>
                <w:rFonts w:ascii="Arial" w:hAnsi="Arial"/>
                <w:b/>
                <w:bCs/>
                <w:sz w:val="16"/>
                <w:szCs w:val="16"/>
              </w:rPr>
              <w:t>5,207,111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b/>
                <w:bCs/>
                <w:sz w:val="16"/>
                <w:szCs w:val="16"/>
              </w:rPr>
            </w:pPr>
            <w:r>
              <w:rPr>
                <w:rFonts w:ascii="Arial" w:hAnsi="Arial"/>
                <w:b/>
                <w:bCs/>
                <w:sz w:val="16"/>
                <w:szCs w:val="16"/>
              </w:rPr>
              <w:t>4,590,599</w:t>
            </w:r>
          </w:p>
        </w:tc>
        <w:tc>
          <w:tcPr>
            <w:tcW w:w="1134" w:type="dxa"/>
            <w:tcBorders>
              <w:top w:val="nil"/>
              <w:left w:val="nil"/>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b/>
                <w:bCs/>
                <w:sz w:val="16"/>
                <w:szCs w:val="16"/>
              </w:rPr>
            </w:pPr>
            <w:r>
              <w:rPr>
                <w:rFonts w:ascii="Arial" w:hAnsi="Arial"/>
                <w:b/>
                <w:bCs/>
                <w:sz w:val="16"/>
                <w:szCs w:val="16"/>
              </w:rPr>
              <w:t>4,018,435</w:t>
            </w:r>
          </w:p>
        </w:tc>
        <w:tc>
          <w:tcPr>
            <w:tcW w:w="1134" w:type="dxa"/>
            <w:tcBorders>
              <w:top w:val="nil"/>
              <w:left w:val="nil"/>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b/>
                <w:bCs/>
                <w:sz w:val="16"/>
                <w:szCs w:val="16"/>
              </w:rPr>
            </w:pPr>
            <w:r>
              <w:rPr>
                <w:rFonts w:ascii="Arial" w:hAnsi="Arial"/>
                <w:b/>
                <w:bCs/>
                <w:sz w:val="16"/>
                <w:szCs w:val="16"/>
              </w:rPr>
              <w:t>4,173,034</w:t>
            </w:r>
          </w:p>
        </w:tc>
        <w:tc>
          <w:tcPr>
            <w:tcW w:w="1036" w:type="dxa"/>
            <w:tcBorders>
              <w:top w:val="nil"/>
              <w:left w:val="nil"/>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b/>
                <w:bCs/>
                <w:sz w:val="16"/>
                <w:szCs w:val="16"/>
              </w:rPr>
            </w:pPr>
            <w:r>
              <w:rPr>
                <w:rFonts w:ascii="Arial" w:hAnsi="Arial"/>
                <w:b/>
                <w:bCs/>
                <w:sz w:val="16"/>
                <w:szCs w:val="16"/>
              </w:rPr>
              <w:t>4,637,319</w:t>
            </w:r>
          </w:p>
        </w:tc>
      </w:tr>
      <w:tr w:rsidR="003D4AE3" w:rsidRPr="00BB06DB" w:rsidTr="00C41DD6">
        <w:trPr>
          <w:trHeight w:val="43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rPr>
                <w:rFonts w:ascii="Arial" w:hAnsi="Arial" w:cs="Arial"/>
                <w:sz w:val="16"/>
                <w:szCs w:val="16"/>
              </w:rPr>
            </w:pPr>
            <w:r>
              <w:rPr>
                <w:rFonts w:ascii="Arial" w:hAnsi="Arial"/>
                <w:sz w:val="16"/>
                <w:szCs w:val="16"/>
              </w:rPr>
              <w:t xml:space="preserve">Reengineering of heating and district heating plants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24,245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sz w:val="16"/>
                <w:szCs w:val="16"/>
              </w:rPr>
            </w:pPr>
            <w:r>
              <w:rPr>
                <w:rFonts w:ascii="Arial" w:hAnsi="Arial"/>
                <w:sz w:val="16"/>
                <w:szCs w:val="16"/>
              </w:rPr>
              <w:t>23,299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70,000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70,000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70,000</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70,000</w:t>
            </w:r>
          </w:p>
        </w:tc>
      </w:tr>
      <w:tr w:rsidR="003D4AE3" w:rsidRPr="00BB06DB" w:rsidTr="00C41DD6">
        <w:trPr>
          <w:trHeight w:val="43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715536" w:rsidRDefault="003D4AE3" w:rsidP="00C41DD6">
            <w:pPr>
              <w:rPr>
                <w:rFonts w:ascii="Arial" w:hAnsi="Arial" w:cs="Arial"/>
                <w:sz w:val="16"/>
                <w:szCs w:val="16"/>
              </w:rPr>
            </w:pPr>
            <w:r>
              <w:rPr>
                <w:rFonts w:ascii="Arial" w:hAnsi="Arial"/>
                <w:sz w:val="16"/>
                <w:szCs w:val="16"/>
              </w:rPr>
              <w:t xml:space="preserve">Urban plans and regulations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16,013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18,075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20,000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20,000</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20,000</w:t>
            </w:r>
          </w:p>
        </w:tc>
      </w:tr>
      <w:tr w:rsidR="003D4AE3" w:rsidRPr="00BB06DB" w:rsidTr="00C41DD6">
        <w:trPr>
          <w:trHeight w:val="435"/>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AE3" w:rsidRPr="00BB06DB" w:rsidRDefault="003D4AE3" w:rsidP="00C41DD6">
            <w:pPr>
              <w:rPr>
                <w:rFonts w:ascii="Arial" w:hAnsi="Arial" w:cs="Arial"/>
                <w:sz w:val="16"/>
                <w:szCs w:val="16"/>
              </w:rPr>
            </w:pPr>
            <w:r>
              <w:rPr>
                <w:rFonts w:ascii="Arial" w:hAnsi="Arial"/>
                <w:sz w:val="16"/>
                <w:szCs w:val="16"/>
              </w:rPr>
              <w:t xml:space="preserve">Financing the sub-program for water supply for villages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p>
          <w:p w:rsidR="003D4AE3" w:rsidRPr="00BB06DB" w:rsidRDefault="003D4AE3" w:rsidP="00C41DD6">
            <w:pPr>
              <w:jc w:val="right"/>
              <w:rPr>
                <w:rFonts w:ascii="Arial" w:hAnsi="Arial" w:cs="Arial"/>
                <w:sz w:val="16"/>
                <w:szCs w:val="16"/>
              </w:rPr>
            </w:pPr>
            <w:r>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 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0 </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0 </w:t>
            </w:r>
          </w:p>
        </w:tc>
      </w:tr>
      <w:tr w:rsidR="003D4AE3" w:rsidRPr="00BB06DB" w:rsidTr="00C41DD6">
        <w:trPr>
          <w:trHeight w:val="435"/>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AE3" w:rsidRPr="00BB06DB" w:rsidRDefault="003D4AE3" w:rsidP="00C41DD6">
            <w:pPr>
              <w:rPr>
                <w:rFonts w:ascii="Arial" w:hAnsi="Arial" w:cs="Arial"/>
                <w:sz w:val="16"/>
                <w:szCs w:val="16"/>
              </w:rPr>
            </w:pPr>
            <w:r>
              <w:rPr>
                <w:rFonts w:ascii="Arial" w:hAnsi="Arial"/>
                <w:sz w:val="16"/>
                <w:szCs w:val="16"/>
              </w:rPr>
              <w:t xml:space="preserve">Financing the actions for reducing seismic risk of existing constructions used as homes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635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F2678B" w:rsidRDefault="003D4AE3" w:rsidP="00C41DD6">
            <w:pPr>
              <w:jc w:val="right"/>
              <w:rPr>
                <w:rFonts w:ascii="Arial" w:hAnsi="Arial" w:cs="Arial"/>
                <w:bCs/>
                <w:sz w:val="16"/>
                <w:szCs w:val="16"/>
              </w:rPr>
            </w:pPr>
            <w:r>
              <w:rPr>
                <w:rFonts w:ascii="Arial" w:hAnsi="Arial"/>
                <w:bCs/>
                <w:sz w:val="16"/>
                <w:szCs w:val="16"/>
              </w:rPr>
              <w:t>356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20,000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20,000</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20,000</w:t>
            </w:r>
          </w:p>
        </w:tc>
      </w:tr>
      <w:tr w:rsidR="003D4AE3" w:rsidRPr="00BB06DB" w:rsidTr="00C41DD6">
        <w:trPr>
          <w:trHeight w:val="435"/>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AE3" w:rsidRPr="00715536" w:rsidRDefault="003D4AE3" w:rsidP="00C41DD6">
            <w:pPr>
              <w:rPr>
                <w:rFonts w:ascii="Arial" w:hAnsi="Arial" w:cs="Arial"/>
                <w:sz w:val="16"/>
                <w:szCs w:val="16"/>
              </w:rPr>
            </w:pPr>
            <w:r>
              <w:rPr>
                <w:rFonts w:ascii="Arial" w:hAnsi="Arial"/>
                <w:sz w:val="16"/>
                <w:szCs w:val="16"/>
              </w:rPr>
              <w:t xml:space="preserve">Subsidies for thermal rehabilitation of houses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7,190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Pr="00F2678B" w:rsidRDefault="003D4AE3" w:rsidP="00C41DD6">
            <w:pPr>
              <w:jc w:val="right"/>
              <w:rPr>
                <w:rFonts w:ascii="Arial" w:hAnsi="Arial" w:cs="Arial"/>
                <w:bCs/>
                <w:sz w:val="16"/>
                <w:szCs w:val="16"/>
              </w:rPr>
            </w:pPr>
            <w:r>
              <w:rPr>
                <w:rFonts w:ascii="Arial" w:hAnsi="Arial"/>
                <w:bCs/>
                <w:sz w:val="16"/>
                <w:szCs w:val="16"/>
              </w:rPr>
              <w:t>5,597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20,000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20,000</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15,000</w:t>
            </w:r>
          </w:p>
        </w:tc>
      </w:tr>
      <w:tr w:rsidR="003D4AE3" w:rsidRPr="00BB06DB" w:rsidTr="00C41DD6">
        <w:trPr>
          <w:trHeight w:val="435"/>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AE3" w:rsidRPr="00715536" w:rsidRDefault="003D4AE3" w:rsidP="00C41DD6">
            <w:pPr>
              <w:rPr>
                <w:rFonts w:ascii="Arial" w:hAnsi="Arial" w:cs="Arial"/>
                <w:sz w:val="16"/>
                <w:szCs w:val="16"/>
              </w:rPr>
            </w:pPr>
            <w:r>
              <w:rPr>
                <w:rFonts w:ascii="Arial" w:hAnsi="Arial"/>
                <w:sz w:val="16"/>
                <w:szCs w:val="16"/>
              </w:rPr>
              <w:t xml:space="preserve">Subsidies for financing of priority multi-annual programs for the environment and water management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265343" w:rsidRDefault="003D4AE3" w:rsidP="00C41DD6">
            <w:pPr>
              <w:jc w:val="right"/>
              <w:rPr>
                <w:rFonts w:ascii="Arial" w:hAnsi="Arial" w:cs="Arial"/>
                <w:sz w:val="16"/>
                <w:szCs w:val="16"/>
              </w:rPr>
            </w:pPr>
            <w:r>
              <w:rPr>
                <w:rFonts w:ascii="Arial" w:hAnsi="Arial"/>
                <w:sz w:val="16"/>
                <w:szCs w:val="16"/>
              </w:rPr>
              <w:t>24,396</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Pr="008F7B96" w:rsidRDefault="003D4AE3" w:rsidP="00C41DD6">
            <w:pPr>
              <w:jc w:val="right"/>
              <w:rPr>
                <w:rFonts w:ascii="Arial" w:hAnsi="Arial" w:cs="Arial"/>
                <w:bCs/>
                <w:sz w:val="16"/>
                <w:szCs w:val="16"/>
              </w:rPr>
            </w:pPr>
            <w:r>
              <w:rPr>
                <w:rFonts w:ascii="Arial" w:hAnsi="Arial"/>
                <w:bCs/>
                <w:sz w:val="16"/>
                <w:szCs w:val="16"/>
              </w:rPr>
              <w:t>9,041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8F7B96" w:rsidRDefault="003D4AE3" w:rsidP="00C41DD6">
            <w:pPr>
              <w:jc w:val="right"/>
              <w:rPr>
                <w:rFonts w:ascii="Arial" w:hAnsi="Arial" w:cs="Arial"/>
                <w:bCs/>
                <w:sz w:val="16"/>
                <w:szCs w:val="16"/>
              </w:rPr>
            </w:pPr>
            <w:r>
              <w:rPr>
                <w:rFonts w:ascii="Arial" w:hAnsi="Arial"/>
                <w:bCs/>
                <w:sz w:val="16"/>
                <w:szCs w:val="16"/>
              </w:rPr>
              <w:t>4,653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FC6DED" w:rsidRDefault="003D4AE3" w:rsidP="00C41DD6">
            <w:pPr>
              <w:jc w:val="right"/>
              <w:rPr>
                <w:rFonts w:ascii="Arial" w:hAnsi="Arial" w:cs="Arial"/>
                <w:bCs/>
                <w:sz w:val="16"/>
                <w:szCs w:val="16"/>
              </w:rPr>
            </w:pPr>
            <w:r>
              <w:rPr>
                <w:rFonts w:ascii="Arial" w:hAnsi="Arial"/>
                <w:bCs/>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F2678B" w:rsidRDefault="003D4AE3" w:rsidP="00C41DD6">
            <w:pPr>
              <w:jc w:val="right"/>
              <w:rPr>
                <w:rFonts w:ascii="Arial" w:hAnsi="Arial" w:cs="Arial"/>
                <w:bCs/>
                <w:sz w:val="16"/>
                <w:szCs w:val="16"/>
              </w:rPr>
            </w:pPr>
            <w:r>
              <w:rPr>
                <w:rFonts w:ascii="Arial" w:hAnsi="Arial"/>
                <w:bCs/>
                <w:sz w:val="16"/>
                <w:szCs w:val="16"/>
              </w:rPr>
              <w:t>0</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F2678B" w:rsidRDefault="003D4AE3" w:rsidP="00C41DD6">
            <w:pPr>
              <w:jc w:val="right"/>
              <w:rPr>
                <w:rFonts w:ascii="Arial" w:hAnsi="Arial" w:cs="Arial"/>
                <w:bCs/>
                <w:sz w:val="16"/>
                <w:szCs w:val="16"/>
              </w:rPr>
            </w:pPr>
            <w:r>
              <w:rPr>
                <w:rFonts w:ascii="Arial" w:hAnsi="Arial"/>
                <w:bCs/>
                <w:sz w:val="16"/>
                <w:szCs w:val="16"/>
              </w:rPr>
              <w:t>0</w:t>
            </w:r>
          </w:p>
        </w:tc>
      </w:tr>
      <w:tr w:rsidR="003D4AE3" w:rsidRPr="00BB06DB" w:rsidTr="00C41DD6">
        <w:trPr>
          <w:trHeight w:val="435"/>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AE3" w:rsidRPr="00715536" w:rsidRDefault="003D4AE3" w:rsidP="00C41DD6">
            <w:pPr>
              <w:rPr>
                <w:rFonts w:ascii="Arial" w:hAnsi="Arial" w:cs="Arial"/>
                <w:sz w:val="16"/>
                <w:szCs w:val="16"/>
              </w:rPr>
            </w:pPr>
            <w:r>
              <w:rPr>
                <w:rFonts w:ascii="Arial" w:hAnsi="Arial"/>
                <w:sz w:val="16"/>
                <w:szCs w:val="16"/>
              </w:rPr>
              <w:t xml:space="preserve">Financing capital expenditures of pre-university education units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265343" w:rsidRDefault="003D4AE3" w:rsidP="00C41DD6">
            <w:pPr>
              <w:jc w:val="right"/>
              <w:rPr>
                <w:rFonts w:ascii="Arial" w:hAnsi="Arial" w:cs="Arial"/>
                <w:sz w:val="16"/>
                <w:szCs w:val="16"/>
              </w:rPr>
            </w:pPr>
            <w:r>
              <w:rPr>
                <w:rFonts w:ascii="Arial" w:hAnsi="Arial"/>
                <w:sz w:val="16"/>
                <w:szCs w:val="16"/>
              </w:rPr>
              <w:t>-163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sz w:val="16"/>
                <w:szCs w:val="16"/>
              </w:rPr>
            </w:pPr>
            <w:r>
              <w:rPr>
                <w:rFonts w:ascii="Arial" w:hAnsi="Arial"/>
                <w:sz w:val="16"/>
                <w:szCs w:val="16"/>
              </w:rPr>
              <w:t>-376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265343" w:rsidRDefault="003D4AE3" w:rsidP="00C41DD6">
            <w:pPr>
              <w:jc w:val="right"/>
              <w:rPr>
                <w:rFonts w:ascii="Arial" w:hAnsi="Arial" w:cs="Arial"/>
                <w:sz w:val="16"/>
                <w:szCs w:val="16"/>
              </w:rPr>
            </w:pPr>
            <w:r>
              <w:rPr>
                <w:rFonts w:ascii="Arial" w:hAnsi="Arial"/>
                <w:sz w:val="16"/>
                <w:szCs w:val="16"/>
              </w:rPr>
              <w:t>65,000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265343" w:rsidRDefault="003D4AE3" w:rsidP="00C41DD6">
            <w:pPr>
              <w:jc w:val="right"/>
              <w:rPr>
                <w:rFonts w:ascii="Arial" w:hAnsi="Arial" w:cs="Arial"/>
                <w:sz w:val="16"/>
                <w:szCs w:val="16"/>
              </w:rPr>
            </w:pPr>
            <w:r>
              <w:rPr>
                <w:rFonts w:ascii="Arial" w:hAnsi="Arial"/>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0</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0</w:t>
            </w:r>
          </w:p>
        </w:tc>
      </w:tr>
      <w:tr w:rsidR="003D4AE3" w:rsidRPr="00BB06DB" w:rsidTr="00C41DD6">
        <w:trPr>
          <w:trHeight w:val="540"/>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AE3" w:rsidRPr="00715536" w:rsidRDefault="003D4AE3" w:rsidP="00C41DD6">
            <w:pPr>
              <w:rPr>
                <w:rFonts w:ascii="Arial" w:hAnsi="Arial" w:cs="Arial"/>
                <w:sz w:val="16"/>
                <w:szCs w:val="16"/>
              </w:rPr>
            </w:pPr>
            <w:r>
              <w:rPr>
                <w:rFonts w:ascii="Arial" w:hAnsi="Arial"/>
                <w:sz w:val="16"/>
                <w:szCs w:val="16"/>
              </w:rPr>
              <w:t>Subsidies from the State budget to the local budgets for financing health investments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265343" w:rsidRDefault="003D4AE3" w:rsidP="00C41DD6">
            <w:pPr>
              <w:jc w:val="right"/>
              <w:rPr>
                <w:rFonts w:ascii="Arial" w:hAnsi="Arial" w:cs="Arial"/>
                <w:i/>
                <w:iCs/>
                <w:sz w:val="16"/>
                <w:szCs w:val="16"/>
              </w:rPr>
            </w:pPr>
            <w:r>
              <w:rPr>
                <w:rFonts w:ascii="Arial" w:hAnsi="Arial"/>
                <w:i/>
                <w:iCs/>
                <w:sz w:val="16"/>
                <w:szCs w:val="16"/>
              </w:rPr>
              <w:t>36,597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265343" w:rsidRDefault="003D4AE3" w:rsidP="00C41DD6">
            <w:pPr>
              <w:jc w:val="right"/>
              <w:rPr>
                <w:rFonts w:ascii="Arial" w:hAnsi="Arial" w:cs="Arial"/>
                <w:i/>
                <w:iCs/>
                <w:sz w:val="16"/>
                <w:szCs w:val="16"/>
              </w:rPr>
            </w:pPr>
            <w:r>
              <w:rPr>
                <w:rFonts w:ascii="Arial" w:hAnsi="Arial"/>
                <w:i/>
                <w:iCs/>
                <w:sz w:val="16"/>
                <w:szCs w:val="16"/>
              </w:rPr>
              <w:t>12,350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265343" w:rsidRDefault="003D4AE3" w:rsidP="00C41DD6">
            <w:pPr>
              <w:jc w:val="right"/>
              <w:rPr>
                <w:rFonts w:ascii="Arial" w:hAnsi="Arial" w:cs="Arial"/>
                <w:i/>
                <w:iCs/>
                <w:sz w:val="16"/>
                <w:szCs w:val="16"/>
              </w:rPr>
            </w:pPr>
            <w:r>
              <w:rPr>
                <w:rFonts w:ascii="Arial" w:hAnsi="Arial"/>
                <w:i/>
                <w:iCs/>
                <w:sz w:val="16"/>
                <w:szCs w:val="16"/>
              </w:rPr>
              <w:t>614,513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265343" w:rsidRDefault="003D4AE3" w:rsidP="00C41DD6">
            <w:pPr>
              <w:jc w:val="right"/>
              <w:rPr>
                <w:rFonts w:ascii="Arial" w:hAnsi="Arial" w:cs="Arial"/>
                <w:i/>
                <w:iCs/>
                <w:sz w:val="16"/>
                <w:szCs w:val="16"/>
              </w:rPr>
            </w:pPr>
            <w:r>
              <w:rPr>
                <w:rFonts w:ascii="Arial" w:hAnsi="Arial"/>
                <w:i/>
                <w:iCs/>
                <w:sz w:val="16"/>
                <w:szCs w:val="16"/>
              </w:rPr>
              <w:t>61,000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i/>
                <w:iCs/>
                <w:sz w:val="16"/>
                <w:szCs w:val="16"/>
              </w:rPr>
            </w:pPr>
            <w:r>
              <w:rPr>
                <w:rFonts w:ascii="Arial" w:hAnsi="Arial"/>
                <w:i/>
                <w:iCs/>
                <w:sz w:val="16"/>
                <w:szCs w:val="16"/>
              </w:rPr>
              <w:t>61,000</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i/>
                <w:iCs/>
                <w:sz w:val="16"/>
                <w:szCs w:val="16"/>
              </w:rPr>
            </w:pPr>
            <w:r>
              <w:rPr>
                <w:rFonts w:ascii="Arial" w:hAnsi="Arial"/>
                <w:i/>
                <w:iCs/>
                <w:sz w:val="16"/>
                <w:szCs w:val="16"/>
              </w:rPr>
              <w:t>61,000</w:t>
            </w:r>
          </w:p>
        </w:tc>
      </w:tr>
      <w:tr w:rsidR="003D4AE3" w:rsidRPr="00BB06DB" w:rsidTr="00C41DD6">
        <w:trPr>
          <w:trHeight w:val="720"/>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AE3" w:rsidRPr="00715536" w:rsidRDefault="003D4AE3" w:rsidP="00C41DD6">
            <w:pPr>
              <w:rPr>
                <w:rFonts w:ascii="Arial" w:hAnsi="Arial" w:cs="Arial"/>
                <w:i/>
                <w:iCs/>
                <w:sz w:val="16"/>
                <w:szCs w:val="16"/>
              </w:rPr>
            </w:pPr>
            <w:r>
              <w:rPr>
                <w:rFonts w:ascii="Arial" w:hAnsi="Arial"/>
                <w:i/>
                <w:iCs/>
                <w:sz w:val="16"/>
                <w:szCs w:val="16"/>
              </w:rPr>
              <w:t>Subsidies from the State budget to the local budgets for financing medical devices and health emergency communication equipment.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265343" w:rsidRDefault="003D4AE3" w:rsidP="00C41DD6">
            <w:pPr>
              <w:jc w:val="right"/>
              <w:rPr>
                <w:rFonts w:ascii="Arial" w:hAnsi="Arial" w:cs="Arial"/>
                <w:sz w:val="16"/>
                <w:szCs w:val="16"/>
              </w:rPr>
            </w:pPr>
            <w:r>
              <w:rPr>
                <w:rFonts w:ascii="Arial" w:hAnsi="Arial"/>
                <w:sz w:val="16"/>
                <w:szCs w:val="16"/>
              </w:rPr>
              <w:t>10,578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sz w:val="16"/>
                <w:szCs w:val="16"/>
              </w:rPr>
            </w:pPr>
            <w:r>
              <w:rPr>
                <w:rFonts w:ascii="Arial" w:hAnsi="Arial"/>
                <w:sz w:val="16"/>
                <w:szCs w:val="16"/>
              </w:rPr>
              <w:t>6,983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Pr="00265343" w:rsidRDefault="003D4AE3" w:rsidP="00C41DD6">
            <w:pPr>
              <w:jc w:val="right"/>
              <w:rPr>
                <w:rFonts w:ascii="Arial" w:hAnsi="Arial" w:cs="Arial"/>
                <w:sz w:val="16"/>
                <w:szCs w:val="16"/>
              </w:rPr>
            </w:pPr>
            <w:r>
              <w:rPr>
                <w:rFonts w:ascii="Arial" w:hAnsi="Arial"/>
                <w:sz w:val="16"/>
                <w:szCs w:val="16"/>
              </w:rPr>
              <w:t>483,000</w:t>
            </w:r>
          </w:p>
        </w:tc>
        <w:tc>
          <w:tcPr>
            <w:tcW w:w="1134" w:type="dxa"/>
            <w:tcBorders>
              <w:top w:val="nil"/>
              <w:left w:val="nil"/>
              <w:bottom w:val="single" w:sz="4" w:space="0" w:color="auto"/>
              <w:right w:val="single" w:sz="4" w:space="0" w:color="auto"/>
            </w:tcBorders>
            <w:shd w:val="clear" w:color="auto" w:fill="auto"/>
            <w:noWrap/>
            <w:vAlign w:val="bottom"/>
            <w:hideMark/>
          </w:tcPr>
          <w:p w:rsidR="003D4AE3" w:rsidRPr="00265343" w:rsidRDefault="003D4AE3" w:rsidP="00C41DD6">
            <w:pPr>
              <w:jc w:val="right"/>
              <w:rPr>
                <w:rFonts w:ascii="Arial" w:hAnsi="Arial" w:cs="Arial"/>
                <w:sz w:val="16"/>
                <w:szCs w:val="16"/>
              </w:rPr>
            </w:pPr>
            <w:r>
              <w:rPr>
                <w:rFonts w:ascii="Arial" w:hAnsi="Arial"/>
                <w:sz w:val="16"/>
                <w:szCs w:val="16"/>
              </w:rPr>
              <w:t>25,000</w:t>
            </w:r>
          </w:p>
        </w:tc>
        <w:tc>
          <w:tcPr>
            <w:tcW w:w="1134" w:type="dxa"/>
            <w:tcBorders>
              <w:top w:val="nil"/>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25,000</w:t>
            </w:r>
          </w:p>
        </w:tc>
        <w:tc>
          <w:tcPr>
            <w:tcW w:w="1036" w:type="dxa"/>
            <w:tcBorders>
              <w:top w:val="nil"/>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25,000</w:t>
            </w:r>
          </w:p>
        </w:tc>
      </w:tr>
      <w:tr w:rsidR="003D4AE3" w:rsidRPr="00BB06DB" w:rsidTr="00C41DD6">
        <w:trPr>
          <w:trHeight w:val="540"/>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AE3" w:rsidRPr="00715536" w:rsidRDefault="003D4AE3" w:rsidP="00C41DD6">
            <w:pPr>
              <w:rPr>
                <w:rFonts w:ascii="Arial" w:hAnsi="Arial" w:cs="Arial"/>
                <w:i/>
                <w:iCs/>
                <w:sz w:val="16"/>
                <w:szCs w:val="16"/>
              </w:rPr>
            </w:pPr>
            <w:r>
              <w:rPr>
                <w:rFonts w:ascii="Arial" w:hAnsi="Arial"/>
                <w:i/>
                <w:iCs/>
                <w:sz w:val="16"/>
                <w:szCs w:val="16"/>
              </w:rPr>
              <w:t>Subsidies from the State budget to the local budgets for financing of capital repairs in the health field.</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265343" w:rsidRDefault="003D4AE3" w:rsidP="00C41DD6">
            <w:pPr>
              <w:jc w:val="right"/>
              <w:rPr>
                <w:rFonts w:ascii="Arial" w:hAnsi="Arial" w:cs="Arial"/>
                <w:sz w:val="16"/>
                <w:szCs w:val="16"/>
              </w:rPr>
            </w:pPr>
            <w:r>
              <w:rPr>
                <w:rFonts w:ascii="Arial" w:hAnsi="Arial"/>
                <w:sz w:val="16"/>
                <w:szCs w:val="16"/>
              </w:rPr>
              <w:t>14,258</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sz w:val="16"/>
                <w:szCs w:val="16"/>
              </w:rPr>
            </w:pPr>
            <w:r>
              <w:rPr>
                <w:rFonts w:ascii="Arial" w:hAnsi="Arial"/>
                <w:sz w:val="16"/>
                <w:szCs w:val="16"/>
              </w:rPr>
              <w:t>1,708</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Pr="00265343" w:rsidRDefault="003D4AE3" w:rsidP="00C41DD6">
            <w:pPr>
              <w:jc w:val="right"/>
              <w:rPr>
                <w:rFonts w:ascii="Arial" w:hAnsi="Arial" w:cs="Arial"/>
                <w:sz w:val="16"/>
                <w:szCs w:val="16"/>
              </w:rPr>
            </w:pPr>
            <w:r>
              <w:rPr>
                <w:rFonts w:ascii="Arial" w:hAnsi="Arial"/>
                <w:sz w:val="16"/>
                <w:szCs w:val="16"/>
              </w:rPr>
              <w:t>26,000</w:t>
            </w:r>
          </w:p>
        </w:tc>
        <w:tc>
          <w:tcPr>
            <w:tcW w:w="1134" w:type="dxa"/>
            <w:tcBorders>
              <w:top w:val="nil"/>
              <w:left w:val="nil"/>
              <w:bottom w:val="single" w:sz="4" w:space="0" w:color="auto"/>
              <w:right w:val="single" w:sz="4" w:space="0" w:color="auto"/>
            </w:tcBorders>
            <w:shd w:val="clear" w:color="auto" w:fill="auto"/>
            <w:noWrap/>
            <w:vAlign w:val="bottom"/>
            <w:hideMark/>
          </w:tcPr>
          <w:p w:rsidR="003D4AE3" w:rsidRPr="00265343" w:rsidRDefault="003D4AE3" w:rsidP="00C41DD6">
            <w:pPr>
              <w:jc w:val="right"/>
              <w:rPr>
                <w:rFonts w:ascii="Arial" w:hAnsi="Arial" w:cs="Arial"/>
                <w:sz w:val="16"/>
                <w:szCs w:val="16"/>
              </w:rPr>
            </w:pPr>
            <w:r>
              <w:rPr>
                <w:rFonts w:ascii="Arial" w:hAnsi="Arial"/>
                <w:sz w:val="16"/>
                <w:szCs w:val="16"/>
              </w:rPr>
              <w:t>10,000</w:t>
            </w:r>
          </w:p>
        </w:tc>
        <w:tc>
          <w:tcPr>
            <w:tcW w:w="1134" w:type="dxa"/>
            <w:tcBorders>
              <w:top w:val="nil"/>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10,000</w:t>
            </w:r>
          </w:p>
        </w:tc>
        <w:tc>
          <w:tcPr>
            <w:tcW w:w="1036" w:type="dxa"/>
            <w:tcBorders>
              <w:top w:val="nil"/>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10,000</w:t>
            </w:r>
          </w:p>
        </w:tc>
      </w:tr>
      <w:tr w:rsidR="003D4AE3" w:rsidRPr="00BB06DB" w:rsidTr="00C41DD6">
        <w:trPr>
          <w:trHeight w:val="540"/>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AE3" w:rsidRPr="00715536" w:rsidRDefault="003D4AE3" w:rsidP="00C41DD6">
            <w:pPr>
              <w:rPr>
                <w:rFonts w:ascii="Arial" w:hAnsi="Arial" w:cs="Arial"/>
                <w:i/>
                <w:iCs/>
                <w:sz w:val="16"/>
                <w:szCs w:val="16"/>
              </w:rPr>
            </w:pPr>
            <w:r>
              <w:rPr>
                <w:rFonts w:ascii="Arial" w:hAnsi="Arial"/>
                <w:i/>
                <w:iCs/>
                <w:sz w:val="16"/>
                <w:szCs w:val="16"/>
              </w:rPr>
              <w:t>Subsidies from the State budget to the local budgets for financing of other health investments.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11,761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sz w:val="16"/>
                <w:szCs w:val="16"/>
              </w:rPr>
            </w:pPr>
            <w:r>
              <w:rPr>
                <w:rFonts w:ascii="Arial" w:hAnsi="Arial"/>
                <w:sz w:val="16"/>
                <w:szCs w:val="16"/>
              </w:rPr>
              <w:t>3,659</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Pr="00265343" w:rsidRDefault="003D4AE3" w:rsidP="00C41DD6">
            <w:pPr>
              <w:jc w:val="right"/>
              <w:rPr>
                <w:rFonts w:ascii="Arial" w:hAnsi="Arial" w:cs="Arial"/>
                <w:sz w:val="16"/>
                <w:szCs w:val="16"/>
              </w:rPr>
            </w:pPr>
            <w:r>
              <w:rPr>
                <w:rFonts w:ascii="Arial" w:hAnsi="Arial"/>
                <w:sz w:val="16"/>
                <w:szCs w:val="16"/>
              </w:rPr>
              <w:t>105,513</w:t>
            </w:r>
          </w:p>
        </w:tc>
        <w:tc>
          <w:tcPr>
            <w:tcW w:w="1134" w:type="dxa"/>
            <w:tcBorders>
              <w:top w:val="nil"/>
              <w:left w:val="nil"/>
              <w:bottom w:val="single" w:sz="4" w:space="0" w:color="auto"/>
              <w:right w:val="single" w:sz="4" w:space="0" w:color="auto"/>
            </w:tcBorders>
            <w:shd w:val="clear" w:color="auto" w:fill="auto"/>
            <w:noWrap/>
            <w:vAlign w:val="bottom"/>
            <w:hideMark/>
          </w:tcPr>
          <w:p w:rsidR="003D4AE3" w:rsidRPr="00265343" w:rsidRDefault="003D4AE3" w:rsidP="00C41DD6">
            <w:pPr>
              <w:jc w:val="right"/>
              <w:rPr>
                <w:rFonts w:ascii="Arial" w:hAnsi="Arial" w:cs="Arial"/>
                <w:sz w:val="16"/>
                <w:szCs w:val="16"/>
              </w:rPr>
            </w:pPr>
            <w:r>
              <w:rPr>
                <w:rFonts w:ascii="Arial" w:hAnsi="Arial"/>
                <w:sz w:val="16"/>
                <w:szCs w:val="16"/>
              </w:rPr>
              <w:t>26,000</w:t>
            </w:r>
          </w:p>
        </w:tc>
        <w:tc>
          <w:tcPr>
            <w:tcW w:w="1134" w:type="dxa"/>
            <w:tcBorders>
              <w:top w:val="nil"/>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26,000</w:t>
            </w:r>
          </w:p>
        </w:tc>
        <w:tc>
          <w:tcPr>
            <w:tcW w:w="1036" w:type="dxa"/>
            <w:tcBorders>
              <w:top w:val="nil"/>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26,000</w:t>
            </w:r>
          </w:p>
        </w:tc>
      </w:tr>
      <w:tr w:rsidR="003D4AE3" w:rsidRPr="00BB06DB" w:rsidTr="00C41DD6">
        <w:trPr>
          <w:trHeight w:val="540"/>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AE3" w:rsidRPr="00715536" w:rsidRDefault="003D4AE3" w:rsidP="00C41DD6">
            <w:pPr>
              <w:rPr>
                <w:rFonts w:ascii="Arial" w:hAnsi="Arial" w:cs="Arial"/>
                <w:sz w:val="16"/>
                <w:szCs w:val="16"/>
              </w:rPr>
            </w:pPr>
            <w:r>
              <w:rPr>
                <w:rFonts w:ascii="Arial" w:hAnsi="Arial"/>
                <w:sz w:val="16"/>
                <w:szCs w:val="16"/>
              </w:rPr>
              <w:t>Subsidies from the MH’s own revenues to the local budgets for financing health investments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i/>
                <w:iCs/>
                <w:sz w:val="16"/>
                <w:szCs w:val="16"/>
              </w:rPr>
            </w:pPr>
            <w:r>
              <w:rPr>
                <w:rFonts w:ascii="Arial" w:hAnsi="Arial"/>
                <w:i/>
                <w:iCs/>
                <w:sz w:val="16"/>
                <w:szCs w:val="16"/>
              </w:rPr>
              <w:t>30,222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i/>
                <w:iCs/>
                <w:sz w:val="16"/>
                <w:szCs w:val="16"/>
              </w:rPr>
            </w:pPr>
            <w:r>
              <w:rPr>
                <w:rFonts w:ascii="Arial" w:hAnsi="Arial"/>
                <w:i/>
                <w:iCs/>
                <w:sz w:val="16"/>
                <w:szCs w:val="16"/>
              </w:rPr>
              <w:t>53,001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265343" w:rsidRDefault="003D4AE3" w:rsidP="00C41DD6">
            <w:pPr>
              <w:jc w:val="right"/>
              <w:rPr>
                <w:rFonts w:ascii="Arial" w:hAnsi="Arial" w:cs="Arial"/>
                <w:i/>
                <w:iCs/>
                <w:sz w:val="16"/>
                <w:szCs w:val="16"/>
              </w:rPr>
            </w:pPr>
            <w:r>
              <w:rPr>
                <w:rFonts w:ascii="Arial" w:hAnsi="Arial"/>
                <w:i/>
                <w:iCs/>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265343" w:rsidRDefault="003D4AE3" w:rsidP="00C41DD6">
            <w:pPr>
              <w:jc w:val="right"/>
              <w:rPr>
                <w:rFonts w:ascii="Arial" w:hAnsi="Arial" w:cs="Arial"/>
                <w:i/>
                <w:iCs/>
                <w:sz w:val="16"/>
                <w:szCs w:val="16"/>
              </w:rPr>
            </w:pPr>
            <w:r>
              <w:rPr>
                <w:rFonts w:ascii="Arial" w:hAnsi="Arial"/>
                <w:i/>
                <w:iCs/>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i/>
                <w:iCs/>
                <w:sz w:val="16"/>
                <w:szCs w:val="16"/>
              </w:rPr>
            </w:pPr>
            <w:r>
              <w:rPr>
                <w:rFonts w:ascii="Arial" w:hAnsi="Arial"/>
                <w:i/>
                <w:iCs/>
                <w:sz w:val="16"/>
                <w:szCs w:val="16"/>
              </w:rPr>
              <w:t>0</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i/>
                <w:iCs/>
                <w:sz w:val="16"/>
                <w:szCs w:val="16"/>
              </w:rPr>
            </w:pPr>
            <w:r>
              <w:rPr>
                <w:rFonts w:ascii="Arial" w:hAnsi="Arial"/>
                <w:i/>
                <w:iCs/>
                <w:sz w:val="16"/>
                <w:szCs w:val="16"/>
              </w:rPr>
              <w:t>0</w:t>
            </w:r>
          </w:p>
        </w:tc>
      </w:tr>
      <w:tr w:rsidR="003D4AE3" w:rsidRPr="00BB06DB" w:rsidTr="00C41DD6">
        <w:trPr>
          <w:trHeight w:val="795"/>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AE3" w:rsidRPr="00BB06DB" w:rsidRDefault="003D4AE3" w:rsidP="00C41DD6">
            <w:pPr>
              <w:rPr>
                <w:rFonts w:ascii="Arial" w:hAnsi="Arial" w:cs="Arial"/>
                <w:i/>
                <w:iCs/>
                <w:sz w:val="16"/>
                <w:szCs w:val="16"/>
              </w:rPr>
            </w:pPr>
            <w:r>
              <w:rPr>
                <w:rFonts w:ascii="Arial" w:hAnsi="Arial"/>
                <w:i/>
                <w:iCs/>
                <w:sz w:val="16"/>
                <w:szCs w:val="16"/>
              </w:rPr>
              <w:t>Subsidies from own revenues of the MH to the local budgets for financing medical devices and health emergency communication equipment.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8,116</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sz w:val="16"/>
                <w:szCs w:val="16"/>
              </w:rPr>
            </w:pPr>
            <w:r>
              <w:rPr>
                <w:rFonts w:ascii="Arial" w:hAnsi="Arial"/>
                <w:sz w:val="16"/>
                <w:szCs w:val="16"/>
              </w:rPr>
              <w:t>32,903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0</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0</w:t>
            </w:r>
          </w:p>
        </w:tc>
      </w:tr>
      <w:tr w:rsidR="003D4AE3" w:rsidRPr="00BB06DB" w:rsidTr="00C41DD6">
        <w:trPr>
          <w:trHeight w:val="540"/>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AE3" w:rsidRPr="00BB06DB" w:rsidRDefault="003D4AE3" w:rsidP="00C41DD6">
            <w:pPr>
              <w:rPr>
                <w:rFonts w:ascii="Arial" w:hAnsi="Arial" w:cs="Arial"/>
                <w:i/>
                <w:iCs/>
                <w:sz w:val="16"/>
                <w:szCs w:val="16"/>
              </w:rPr>
            </w:pPr>
            <w:r>
              <w:rPr>
                <w:rFonts w:ascii="Arial" w:hAnsi="Arial"/>
                <w:i/>
                <w:iCs/>
                <w:sz w:val="16"/>
                <w:szCs w:val="16"/>
              </w:rPr>
              <w:t>Subsidies from the MH’s own revenues to the local budgets for financing capital repairs in the health field.</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7,919</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sz w:val="16"/>
                <w:szCs w:val="16"/>
              </w:rPr>
            </w:pPr>
            <w:r>
              <w:rPr>
                <w:rFonts w:ascii="Arial" w:hAnsi="Arial"/>
                <w:sz w:val="16"/>
                <w:szCs w:val="16"/>
              </w:rPr>
              <w:t>1,942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0</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0</w:t>
            </w:r>
          </w:p>
        </w:tc>
      </w:tr>
      <w:tr w:rsidR="003D4AE3" w:rsidRPr="00BB06DB" w:rsidTr="00C41DD6">
        <w:trPr>
          <w:trHeight w:val="540"/>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AE3" w:rsidRPr="00BB06DB" w:rsidRDefault="003D4AE3" w:rsidP="00C41DD6">
            <w:pPr>
              <w:rPr>
                <w:rFonts w:ascii="Arial" w:hAnsi="Arial" w:cs="Arial"/>
                <w:i/>
                <w:iCs/>
                <w:sz w:val="16"/>
                <w:szCs w:val="16"/>
              </w:rPr>
            </w:pPr>
            <w:r>
              <w:rPr>
                <w:rFonts w:ascii="Arial" w:hAnsi="Arial"/>
                <w:i/>
                <w:iCs/>
                <w:sz w:val="16"/>
                <w:szCs w:val="16"/>
              </w:rPr>
              <w:t>Subsidies from the MH’s own revenues to the local budgets for financing of other investments in the health field.</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14,187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sz w:val="16"/>
                <w:szCs w:val="16"/>
              </w:rPr>
            </w:pPr>
            <w:r>
              <w:rPr>
                <w:rFonts w:ascii="Arial" w:hAnsi="Arial"/>
                <w:sz w:val="16"/>
                <w:szCs w:val="16"/>
              </w:rPr>
              <w:t>18,156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0</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sz w:val="16"/>
                <w:szCs w:val="16"/>
              </w:rPr>
            </w:pPr>
            <w:r>
              <w:rPr>
                <w:rFonts w:ascii="Arial" w:hAnsi="Arial"/>
                <w:sz w:val="16"/>
                <w:szCs w:val="16"/>
              </w:rPr>
              <w:t>0</w:t>
            </w:r>
          </w:p>
        </w:tc>
      </w:tr>
      <w:tr w:rsidR="003D4AE3" w:rsidRPr="00BB06DB" w:rsidTr="00C41DD6">
        <w:trPr>
          <w:trHeight w:val="795"/>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AE3" w:rsidRPr="00715536" w:rsidRDefault="003D4AE3" w:rsidP="00C41DD6">
            <w:pPr>
              <w:rPr>
                <w:rFonts w:ascii="Arial" w:hAnsi="Arial" w:cs="Arial"/>
                <w:sz w:val="16"/>
                <w:szCs w:val="16"/>
              </w:rPr>
            </w:pPr>
            <w:r>
              <w:rPr>
                <w:rFonts w:ascii="Arial" w:hAnsi="Arial"/>
                <w:sz w:val="16"/>
                <w:szCs w:val="16"/>
              </w:rPr>
              <w:t>Subsidies for financing of the multi-annual technical assistance program for preparation of public investment projects financed through the Regional Operational Program for 2007-2013.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0</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0</w:t>
            </w:r>
          </w:p>
        </w:tc>
      </w:tr>
      <w:tr w:rsidR="003D4AE3" w:rsidRPr="00BB06DB" w:rsidTr="00C41DD6">
        <w:trPr>
          <w:trHeight w:val="5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AE3" w:rsidRPr="00715536" w:rsidRDefault="003D4AE3" w:rsidP="00C41DD6">
            <w:pPr>
              <w:rPr>
                <w:rFonts w:ascii="Arial" w:hAnsi="Arial" w:cs="Arial"/>
                <w:sz w:val="16"/>
                <w:szCs w:val="16"/>
              </w:rPr>
            </w:pPr>
            <w:r>
              <w:rPr>
                <w:rFonts w:ascii="Arial" w:hAnsi="Arial"/>
                <w:sz w:val="16"/>
                <w:szCs w:val="16"/>
              </w:rPr>
              <w:t xml:space="preserve">Subsidies from the State budget to the local budgets necessary to support the implementation of projects financed from external post-accession non-reimbursable funds (ENF).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-9,709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12,957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7,271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0</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0</w:t>
            </w:r>
          </w:p>
        </w:tc>
      </w:tr>
      <w:tr w:rsidR="003D4AE3" w:rsidRPr="00BB06DB" w:rsidTr="00C41DD6">
        <w:trPr>
          <w:trHeight w:val="5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AE3" w:rsidRPr="00715536" w:rsidRDefault="003D4AE3" w:rsidP="00C41DD6">
            <w:pPr>
              <w:rPr>
                <w:rFonts w:ascii="Arial" w:hAnsi="Arial" w:cs="Arial"/>
                <w:sz w:val="16"/>
                <w:szCs w:val="16"/>
              </w:rPr>
            </w:pPr>
            <w:r>
              <w:rPr>
                <w:rFonts w:ascii="Arial" w:hAnsi="Arial"/>
                <w:sz w:val="16"/>
                <w:szCs w:val="16"/>
              </w:rPr>
              <w:t xml:space="preserve">Subsidies from the State budget to the local budgets for achievement of investment objectives in tourism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10,453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bCs/>
                <w:sz w:val="16"/>
                <w:szCs w:val="16"/>
              </w:rPr>
            </w:pPr>
            <w:r>
              <w:rPr>
                <w:rFonts w:ascii="Arial" w:hAnsi="Arial"/>
                <w:bCs/>
                <w:sz w:val="16"/>
                <w:szCs w:val="16"/>
              </w:rPr>
              <w:t>6,859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10,000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20,000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20,000</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20,000</w:t>
            </w:r>
          </w:p>
        </w:tc>
      </w:tr>
      <w:tr w:rsidR="003D4AE3" w:rsidRPr="00BB06DB" w:rsidTr="00C41DD6">
        <w:trPr>
          <w:trHeight w:val="780"/>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AE3" w:rsidRPr="00715536" w:rsidRDefault="003D4AE3" w:rsidP="00C41DD6">
            <w:pPr>
              <w:rPr>
                <w:rFonts w:ascii="Arial" w:hAnsi="Arial" w:cs="Arial"/>
                <w:sz w:val="16"/>
                <w:szCs w:val="16"/>
              </w:rPr>
            </w:pPr>
            <w:r>
              <w:rPr>
                <w:rFonts w:ascii="Arial" w:hAnsi="Arial"/>
                <w:sz w:val="16"/>
                <w:szCs w:val="16"/>
              </w:rPr>
              <w:t>Subsidies received from the State budget to finance certain programs of national interest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2,120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19,192</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123,408</w:t>
            </w:r>
          </w:p>
        </w:tc>
        <w:tc>
          <w:tcPr>
            <w:tcW w:w="1134" w:type="dxa"/>
            <w:tcBorders>
              <w:top w:val="nil"/>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68,091</w:t>
            </w:r>
          </w:p>
        </w:tc>
        <w:tc>
          <w:tcPr>
            <w:tcW w:w="1134" w:type="dxa"/>
            <w:tcBorders>
              <w:top w:val="nil"/>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70,000</w:t>
            </w:r>
          </w:p>
        </w:tc>
        <w:tc>
          <w:tcPr>
            <w:tcW w:w="1036" w:type="dxa"/>
            <w:tcBorders>
              <w:top w:val="nil"/>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71,016</w:t>
            </w:r>
          </w:p>
        </w:tc>
      </w:tr>
      <w:tr w:rsidR="003D4AE3" w:rsidRPr="00BB06DB" w:rsidTr="00C41DD6">
        <w:trPr>
          <w:trHeight w:val="5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AE3" w:rsidRPr="00715536" w:rsidRDefault="003D4AE3" w:rsidP="00C41DD6">
            <w:pPr>
              <w:rPr>
                <w:rFonts w:ascii="Arial" w:hAnsi="Arial" w:cs="Arial"/>
                <w:sz w:val="16"/>
                <w:szCs w:val="16"/>
              </w:rPr>
            </w:pPr>
            <w:r>
              <w:rPr>
                <w:rFonts w:ascii="Arial" w:hAnsi="Arial"/>
                <w:sz w:val="16"/>
                <w:szCs w:val="16"/>
              </w:rPr>
              <w:t>Subsidies received from the State budget to finance investments for public institutions of social assistance and medical and social assistance units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4,082</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Pr="001C4FE7" w:rsidRDefault="003D4AE3" w:rsidP="00C41DD6">
            <w:pPr>
              <w:jc w:val="right"/>
              <w:rPr>
                <w:rFonts w:ascii="Arial" w:hAnsi="Arial" w:cs="Arial"/>
                <w:sz w:val="16"/>
                <w:szCs w:val="16"/>
              </w:rPr>
            </w:pPr>
            <w:r>
              <w:rPr>
                <w:rFonts w:ascii="Arial" w:hAnsi="Arial"/>
                <w:sz w:val="16"/>
                <w:szCs w:val="16"/>
              </w:rPr>
              <w:t>5,199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5834F3" w:rsidRDefault="003D4AE3" w:rsidP="00C41DD6">
            <w:pPr>
              <w:jc w:val="right"/>
              <w:rPr>
                <w:rFonts w:ascii="Arial" w:hAnsi="Arial" w:cs="Arial"/>
                <w:bCs/>
                <w:sz w:val="16"/>
                <w:szCs w:val="16"/>
              </w:rPr>
            </w:pPr>
            <w:r>
              <w:rPr>
                <w:rFonts w:ascii="Arial" w:hAnsi="Arial"/>
                <w:bCs/>
                <w:sz w:val="16"/>
                <w:szCs w:val="16"/>
              </w:rPr>
              <w:t>4,000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bCs/>
                <w:sz w:val="16"/>
                <w:szCs w:val="16"/>
              </w:rPr>
            </w:pPr>
            <w:r>
              <w:rPr>
                <w:rFonts w:ascii="Arial" w:hAnsi="Arial"/>
                <w:bCs/>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bCs/>
                <w:sz w:val="16"/>
                <w:szCs w:val="16"/>
              </w:rPr>
            </w:pPr>
            <w:r>
              <w:rPr>
                <w:rFonts w:ascii="Arial" w:hAnsi="Arial"/>
                <w:bCs/>
                <w:sz w:val="16"/>
                <w:szCs w:val="16"/>
              </w:rPr>
              <w:t>0</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bCs/>
                <w:sz w:val="16"/>
                <w:szCs w:val="16"/>
              </w:rPr>
            </w:pPr>
            <w:r>
              <w:rPr>
                <w:rFonts w:ascii="Arial" w:hAnsi="Arial"/>
                <w:bCs/>
                <w:sz w:val="16"/>
                <w:szCs w:val="16"/>
              </w:rPr>
              <w:t>0</w:t>
            </w:r>
          </w:p>
        </w:tc>
      </w:tr>
      <w:tr w:rsidR="003D4AE3" w:rsidRPr="00BB06DB" w:rsidTr="00C41DD6">
        <w:trPr>
          <w:trHeight w:val="34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715536" w:rsidRDefault="003D4AE3" w:rsidP="00C41DD6">
            <w:pPr>
              <w:rPr>
                <w:rFonts w:ascii="Arial" w:hAnsi="Arial" w:cs="Arial"/>
                <w:sz w:val="16"/>
                <w:szCs w:val="16"/>
              </w:rPr>
            </w:pPr>
            <w:r>
              <w:rPr>
                <w:rFonts w:ascii="Arial" w:hAnsi="Arial"/>
                <w:sz w:val="16"/>
                <w:szCs w:val="16"/>
              </w:rPr>
              <w:t>Subsidies to finance social housing</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5,151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Pr="001C4FE7" w:rsidRDefault="003D4AE3" w:rsidP="00C41DD6">
            <w:pPr>
              <w:jc w:val="right"/>
              <w:rPr>
                <w:rFonts w:ascii="Arial" w:hAnsi="Arial" w:cs="Arial"/>
                <w:sz w:val="16"/>
                <w:szCs w:val="16"/>
              </w:rPr>
            </w:pPr>
            <w:r>
              <w:rPr>
                <w:rFonts w:ascii="Arial" w:hAnsi="Arial"/>
                <w:sz w:val="16"/>
                <w:szCs w:val="16"/>
              </w:rPr>
              <w:t>6,566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0 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0 </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0 </w:t>
            </w:r>
          </w:p>
        </w:tc>
      </w:tr>
      <w:tr w:rsidR="003D4AE3" w:rsidRPr="00BB06DB" w:rsidTr="00C41DD6">
        <w:trPr>
          <w:trHeight w:val="51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rPr>
                <w:rFonts w:ascii="Arial" w:hAnsi="Arial" w:cs="Arial"/>
                <w:sz w:val="16"/>
                <w:szCs w:val="16"/>
              </w:rPr>
            </w:pPr>
            <w:r>
              <w:rPr>
                <w:rFonts w:ascii="Arial" w:hAnsi="Arial"/>
                <w:sz w:val="16"/>
                <w:szCs w:val="16"/>
              </w:rPr>
              <w:t>Amounts allocated from the State budget corresponding to financial corrections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816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10,278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65,079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35,000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30,000</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6,323</w:t>
            </w:r>
          </w:p>
        </w:tc>
      </w:tr>
      <w:tr w:rsidR="003D4AE3" w:rsidRPr="00BB06DB" w:rsidTr="00C41DD6">
        <w:trPr>
          <w:trHeight w:val="630"/>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AE3" w:rsidRPr="00715536" w:rsidRDefault="003D4AE3" w:rsidP="00C41DD6">
            <w:pPr>
              <w:rPr>
                <w:rFonts w:ascii="Arial" w:hAnsi="Arial" w:cs="Arial"/>
                <w:sz w:val="16"/>
                <w:szCs w:val="16"/>
              </w:rPr>
            </w:pPr>
            <w:r>
              <w:rPr>
                <w:rFonts w:ascii="Arial" w:hAnsi="Arial"/>
                <w:sz w:val="16"/>
                <w:szCs w:val="16"/>
              </w:rPr>
              <w:t>Financing the National Local Development Program</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2,354,265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bCs/>
                <w:sz w:val="16"/>
                <w:szCs w:val="16"/>
              </w:rPr>
            </w:pPr>
            <w:r>
              <w:rPr>
                <w:rFonts w:ascii="Arial" w:hAnsi="Arial"/>
                <w:bCs/>
                <w:sz w:val="16"/>
                <w:szCs w:val="16"/>
              </w:rPr>
              <w:t>4,606,550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2,500,000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2,769,353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2,867,837</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3,071,345</w:t>
            </w:r>
          </w:p>
        </w:tc>
      </w:tr>
      <w:tr w:rsidR="003D4AE3" w:rsidRPr="00BB06DB" w:rsidTr="00C41DD6">
        <w:trPr>
          <w:trHeight w:val="630"/>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AE3" w:rsidRPr="00715536" w:rsidRDefault="003D4AE3" w:rsidP="00C41DD6">
            <w:pPr>
              <w:rPr>
                <w:rFonts w:ascii="Arial" w:hAnsi="Arial" w:cs="Arial"/>
                <w:sz w:val="16"/>
                <w:szCs w:val="16"/>
              </w:rPr>
            </w:pPr>
            <w:r>
              <w:rPr>
                <w:rFonts w:ascii="Arial" w:hAnsi="Arial"/>
                <w:sz w:val="16"/>
                <w:szCs w:val="16"/>
              </w:rPr>
              <w:t xml:space="preserve">Subsidies from the State budget allocated in accordance with the agreements concluded with public health directorates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14,424</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bCs/>
                <w:sz w:val="16"/>
                <w:szCs w:val="16"/>
              </w:rPr>
            </w:pPr>
            <w:r>
              <w:rPr>
                <w:rFonts w:ascii="Arial" w:hAnsi="Arial"/>
                <w:bCs/>
                <w:sz w:val="16"/>
                <w:szCs w:val="16"/>
              </w:rPr>
              <w:t>23,057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430,000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400,000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410,000</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415,000</w:t>
            </w:r>
          </w:p>
        </w:tc>
      </w:tr>
      <w:tr w:rsidR="003D4AE3" w:rsidRPr="00BB06DB" w:rsidTr="00C41DD6">
        <w:trPr>
          <w:trHeight w:val="30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715536" w:rsidRDefault="003D4AE3" w:rsidP="00C41DD6">
            <w:pPr>
              <w:rPr>
                <w:rFonts w:ascii="Arial" w:hAnsi="Arial" w:cs="Arial"/>
                <w:sz w:val="16"/>
                <w:szCs w:val="16"/>
              </w:rPr>
            </w:pPr>
            <w:r>
              <w:rPr>
                <w:rFonts w:ascii="Arial" w:hAnsi="Arial"/>
                <w:sz w:val="16"/>
                <w:szCs w:val="16"/>
              </w:rPr>
              <w:t>Subsidies from the State budget to the local budgets necessary to support the implementation of projects financed from external non-reimbursable funds (ENF) corresponding to the financial framework 2014-2020.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25,241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bCs/>
                <w:sz w:val="16"/>
                <w:szCs w:val="16"/>
              </w:rPr>
            </w:pPr>
            <w:r>
              <w:rPr>
                <w:rFonts w:ascii="Arial" w:hAnsi="Arial"/>
                <w:bCs/>
                <w:sz w:val="16"/>
                <w:szCs w:val="16"/>
              </w:rPr>
              <w:t>395,110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636,675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534,991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584,197</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867,635</w:t>
            </w:r>
          </w:p>
        </w:tc>
      </w:tr>
      <w:tr w:rsidR="003D4AE3" w:rsidRPr="00BB06DB" w:rsidTr="00C41DD6">
        <w:trPr>
          <w:trHeight w:val="45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rPr>
                <w:rFonts w:ascii="Arial" w:hAnsi="Arial" w:cs="Arial"/>
                <w:b/>
                <w:bCs/>
                <w:sz w:val="16"/>
                <w:szCs w:val="16"/>
              </w:rPr>
            </w:pPr>
            <w:r>
              <w:rPr>
                <w:rFonts w:ascii="Arial" w:hAnsi="Arial"/>
                <w:b/>
                <w:bCs/>
                <w:sz w:val="16"/>
                <w:szCs w:val="16"/>
              </w:rPr>
              <w:t xml:space="preserve">B. Current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b/>
                <w:bCs/>
                <w:sz w:val="16"/>
                <w:szCs w:val="16"/>
              </w:rPr>
            </w:pPr>
            <w:r>
              <w:rPr>
                <w:rFonts w:ascii="Arial" w:hAnsi="Arial"/>
                <w:b/>
                <w:bCs/>
                <w:sz w:val="16"/>
                <w:szCs w:val="16"/>
              </w:rPr>
              <w:t>3,255,539</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Default="003D4AE3" w:rsidP="00C41DD6">
            <w:pPr>
              <w:jc w:val="right"/>
              <w:rPr>
                <w:rFonts w:ascii="Arial" w:hAnsi="Arial" w:cs="Arial"/>
                <w:b/>
                <w:bCs/>
                <w:sz w:val="16"/>
                <w:szCs w:val="16"/>
              </w:rPr>
            </w:pPr>
            <w:r>
              <w:rPr>
                <w:rFonts w:ascii="Arial" w:hAnsi="Arial"/>
                <w:b/>
                <w:bCs/>
                <w:sz w:val="16"/>
                <w:szCs w:val="16"/>
              </w:rPr>
              <w:t>4,697,632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b/>
                <w:bCs/>
                <w:sz w:val="16"/>
                <w:szCs w:val="16"/>
              </w:rPr>
            </w:pPr>
            <w:r>
              <w:rPr>
                <w:rFonts w:ascii="Arial" w:hAnsi="Arial"/>
                <w:b/>
                <w:bCs/>
                <w:sz w:val="16"/>
                <w:szCs w:val="16"/>
              </w:rPr>
              <w:t>395,600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b/>
                <w:bCs/>
                <w:sz w:val="16"/>
                <w:szCs w:val="16"/>
              </w:rPr>
            </w:pPr>
            <w:r>
              <w:rPr>
                <w:rFonts w:ascii="Arial" w:hAnsi="Arial"/>
                <w:b/>
                <w:bCs/>
                <w:sz w:val="16"/>
                <w:szCs w:val="16"/>
              </w:rPr>
              <w:t>376,651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b/>
                <w:bCs/>
                <w:sz w:val="16"/>
                <w:szCs w:val="16"/>
              </w:rPr>
            </w:pPr>
            <w:r>
              <w:rPr>
                <w:rFonts w:ascii="Arial" w:hAnsi="Arial"/>
                <w:b/>
                <w:bCs/>
                <w:sz w:val="16"/>
                <w:szCs w:val="16"/>
              </w:rPr>
              <w:t>291,316</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BB06DB" w:rsidRDefault="003D4AE3" w:rsidP="00C41DD6">
            <w:pPr>
              <w:jc w:val="right"/>
              <w:rPr>
                <w:rFonts w:ascii="Arial" w:hAnsi="Arial" w:cs="Arial"/>
                <w:b/>
                <w:bCs/>
                <w:sz w:val="16"/>
                <w:szCs w:val="16"/>
              </w:rPr>
            </w:pPr>
            <w:r>
              <w:rPr>
                <w:rFonts w:ascii="Arial" w:hAnsi="Arial"/>
                <w:b/>
                <w:bCs/>
                <w:sz w:val="16"/>
                <w:szCs w:val="16"/>
              </w:rPr>
              <w:t>289,564</w:t>
            </w:r>
          </w:p>
        </w:tc>
      </w:tr>
      <w:tr w:rsidR="003D4AE3" w:rsidRPr="00BB06DB" w:rsidTr="00C41DD6">
        <w:trPr>
          <w:trHeight w:val="2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rPr>
                <w:rFonts w:ascii="Arial" w:hAnsi="Arial" w:cs="Arial"/>
                <w:sz w:val="16"/>
                <w:szCs w:val="16"/>
              </w:rPr>
            </w:pPr>
            <w:r>
              <w:rPr>
                <w:rFonts w:ascii="Arial" w:hAnsi="Arial"/>
                <w:sz w:val="16"/>
                <w:szCs w:val="16"/>
              </w:rPr>
              <w:t xml:space="preserve">Financing the rights awarded to people with handicaps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2,955,081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bCs/>
                <w:sz w:val="16"/>
                <w:szCs w:val="16"/>
              </w:rPr>
            </w:pPr>
            <w:r>
              <w:rPr>
                <w:rFonts w:ascii="Arial" w:hAnsi="Arial"/>
                <w:bCs/>
                <w:sz w:val="16"/>
                <w:szCs w:val="16"/>
              </w:rPr>
              <w:t>3,923,794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94,000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96,000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96,000</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98,000</w:t>
            </w:r>
          </w:p>
        </w:tc>
      </w:tr>
      <w:tr w:rsidR="003D4AE3" w:rsidRPr="00BB06DB" w:rsidTr="00C41DD6">
        <w:trPr>
          <w:trHeight w:val="45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715536" w:rsidRDefault="003D4AE3" w:rsidP="00C41DD6">
            <w:pPr>
              <w:rPr>
                <w:rFonts w:ascii="Arial" w:hAnsi="Arial" w:cs="Arial"/>
                <w:sz w:val="16"/>
                <w:szCs w:val="16"/>
              </w:rPr>
            </w:pPr>
            <w:r>
              <w:rPr>
                <w:rFonts w:ascii="Arial" w:hAnsi="Arial"/>
                <w:sz w:val="16"/>
                <w:szCs w:val="16"/>
              </w:rPr>
              <w:t>Subsidies received from the Intervention Fund</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20,721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380,144</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3D4AE3" w:rsidRPr="00A12C15" w:rsidRDefault="003D4AE3" w:rsidP="00C41DD6">
            <w:pPr>
              <w:jc w:val="right"/>
              <w:rPr>
                <w:rFonts w:ascii="Arial" w:hAnsi="Arial" w:cs="Arial"/>
                <w:sz w:val="16"/>
                <w:szCs w:val="16"/>
              </w:rPr>
            </w:pPr>
            <w:r>
              <w:rPr>
                <w:rFonts w:ascii="Arial" w:hAnsi="Arial"/>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3D4AE3" w:rsidRPr="00A12C15" w:rsidRDefault="003D4AE3" w:rsidP="00C41DD6">
            <w:pPr>
              <w:jc w:val="right"/>
              <w:rPr>
                <w:rFonts w:ascii="Arial" w:hAnsi="Arial" w:cs="Arial"/>
                <w:sz w:val="16"/>
                <w:szCs w:val="16"/>
              </w:rPr>
            </w:pPr>
            <w:r>
              <w:rPr>
                <w:rFonts w:ascii="Arial" w:hAnsi="Arial"/>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0</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0</w:t>
            </w:r>
          </w:p>
        </w:tc>
      </w:tr>
      <w:tr w:rsidR="003D4AE3" w:rsidRPr="00BB06DB" w:rsidTr="00C41DD6">
        <w:trPr>
          <w:trHeight w:val="37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BB06DB" w:rsidRDefault="003D4AE3" w:rsidP="00C41DD6">
            <w:pPr>
              <w:rPr>
                <w:rFonts w:ascii="Arial" w:hAnsi="Arial" w:cs="Arial"/>
                <w:sz w:val="16"/>
                <w:szCs w:val="16"/>
              </w:rPr>
            </w:pPr>
            <w:r>
              <w:rPr>
                <w:rFonts w:ascii="Arial" w:hAnsi="Arial"/>
                <w:sz w:val="16"/>
                <w:szCs w:val="16"/>
              </w:rPr>
              <w:t xml:space="preserve">Subsidies for award of home heating aid for use of wood, coal, oil fuels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53,167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bCs/>
                <w:sz w:val="16"/>
                <w:szCs w:val="16"/>
              </w:rPr>
            </w:pPr>
            <w:r>
              <w:rPr>
                <w:rFonts w:ascii="Arial" w:hAnsi="Arial"/>
                <w:bCs/>
                <w:sz w:val="16"/>
                <w:szCs w:val="16"/>
              </w:rPr>
              <w:t>33,449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bCs/>
                <w:sz w:val="16"/>
                <w:szCs w:val="16"/>
              </w:rPr>
            </w:pPr>
            <w:r>
              <w:rPr>
                <w:rFonts w:ascii="Arial" w:hAnsi="Arial"/>
                <w:bCs/>
                <w:sz w:val="16"/>
                <w:szCs w:val="16"/>
              </w:rPr>
              <w:t>50,000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bCs/>
                <w:sz w:val="16"/>
                <w:szCs w:val="16"/>
              </w:rPr>
            </w:pPr>
            <w:r>
              <w:rPr>
                <w:rFonts w:ascii="Arial" w:hAnsi="Arial"/>
                <w:bCs/>
                <w:sz w:val="16"/>
                <w:szCs w:val="16"/>
              </w:rPr>
              <w:t>50,000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bCs/>
                <w:sz w:val="16"/>
                <w:szCs w:val="16"/>
              </w:rPr>
            </w:pPr>
            <w:r>
              <w:rPr>
                <w:rFonts w:ascii="Arial" w:hAnsi="Arial"/>
                <w:bCs/>
                <w:sz w:val="16"/>
                <w:szCs w:val="16"/>
              </w:rPr>
              <w:t>51,826</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bCs/>
                <w:sz w:val="16"/>
                <w:szCs w:val="16"/>
              </w:rPr>
            </w:pPr>
            <w:r>
              <w:rPr>
                <w:rFonts w:ascii="Arial" w:hAnsi="Arial"/>
                <w:bCs/>
                <w:sz w:val="16"/>
                <w:szCs w:val="16"/>
              </w:rPr>
              <w:t>53,000</w:t>
            </w:r>
          </w:p>
        </w:tc>
      </w:tr>
      <w:tr w:rsidR="003D4AE3" w:rsidRPr="00BB06DB" w:rsidTr="00C41DD6">
        <w:trPr>
          <w:trHeight w:val="600"/>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AE3" w:rsidRPr="00715536" w:rsidRDefault="003D4AE3" w:rsidP="00C41DD6">
            <w:pPr>
              <w:rPr>
                <w:rFonts w:ascii="Arial" w:hAnsi="Arial" w:cs="Arial"/>
                <w:sz w:val="16"/>
                <w:szCs w:val="16"/>
              </w:rPr>
            </w:pPr>
            <w:r>
              <w:rPr>
                <w:rFonts w:ascii="Arial" w:hAnsi="Arial"/>
                <w:sz w:val="16"/>
                <w:szCs w:val="16"/>
              </w:rPr>
              <w:t xml:space="preserve">Subsidies from the State budget to finance medical and social assistance units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36,331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bCs/>
                <w:sz w:val="16"/>
                <w:szCs w:val="16"/>
              </w:rPr>
            </w:pPr>
            <w:r>
              <w:rPr>
                <w:rFonts w:ascii="Arial" w:hAnsi="Arial"/>
                <w:bCs/>
                <w:sz w:val="16"/>
                <w:szCs w:val="16"/>
              </w:rPr>
              <w:t>36,635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68,600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70,384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72,143</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73,875</w:t>
            </w:r>
          </w:p>
        </w:tc>
      </w:tr>
      <w:tr w:rsidR="003D4AE3" w:rsidRPr="00BB06DB" w:rsidTr="00C41DD6">
        <w:trPr>
          <w:trHeight w:val="600"/>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AE3" w:rsidRPr="00715536" w:rsidRDefault="003D4AE3" w:rsidP="00C41DD6">
            <w:pPr>
              <w:rPr>
                <w:rFonts w:ascii="Arial" w:hAnsi="Arial" w:cs="Arial"/>
                <w:sz w:val="16"/>
                <w:szCs w:val="16"/>
              </w:rPr>
            </w:pPr>
            <w:r>
              <w:rPr>
                <w:rFonts w:ascii="Arial" w:hAnsi="Arial"/>
                <w:sz w:val="16"/>
                <w:szCs w:val="16"/>
              </w:rPr>
              <w:t xml:space="preserve">Subsidies from the State budget to the local budgets for financing the health field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188,607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bCs/>
                <w:sz w:val="16"/>
                <w:szCs w:val="16"/>
              </w:rPr>
            </w:pPr>
            <w:r>
              <w:rPr>
                <w:rFonts w:ascii="Arial" w:hAnsi="Arial"/>
                <w:bCs/>
                <w:sz w:val="16"/>
                <w:szCs w:val="16"/>
              </w:rPr>
              <w:t>301,562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100,000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102,600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105,165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107,689</w:t>
            </w:r>
          </w:p>
        </w:tc>
      </w:tr>
      <w:tr w:rsidR="003D4AE3" w:rsidRPr="00BB06DB" w:rsidTr="00C41DD6">
        <w:trPr>
          <w:trHeight w:val="450"/>
          <w:jc w:val="center"/>
        </w:trPr>
        <w:tc>
          <w:tcPr>
            <w:tcW w:w="3823"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3D4AE3" w:rsidRPr="00715536" w:rsidRDefault="003D4AE3" w:rsidP="00C41DD6">
            <w:pPr>
              <w:rPr>
                <w:rFonts w:ascii="Arial" w:hAnsi="Arial" w:cs="Arial"/>
                <w:sz w:val="16"/>
                <w:szCs w:val="16"/>
              </w:rPr>
            </w:pPr>
            <w:r>
              <w:rPr>
                <w:rFonts w:ascii="Arial" w:hAnsi="Arial"/>
                <w:sz w:val="16"/>
                <w:szCs w:val="16"/>
              </w:rPr>
              <w:t xml:space="preserve">Amounts received by the local administration within the FEGA programs implemented by APIA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1,632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-493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 </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 </w:t>
            </w:r>
          </w:p>
        </w:tc>
      </w:tr>
      <w:tr w:rsidR="003D4AE3" w:rsidRPr="00BB06DB" w:rsidTr="00C41DD6">
        <w:trPr>
          <w:trHeight w:val="675"/>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AE3" w:rsidRPr="00715536" w:rsidRDefault="003D4AE3" w:rsidP="00C41DD6">
            <w:pPr>
              <w:rPr>
                <w:rFonts w:ascii="Arial" w:hAnsi="Arial" w:cs="Arial"/>
                <w:sz w:val="16"/>
                <w:szCs w:val="16"/>
              </w:rPr>
            </w:pPr>
            <w:r>
              <w:rPr>
                <w:rFonts w:ascii="Arial" w:hAnsi="Arial"/>
                <w:sz w:val="16"/>
                <w:szCs w:val="16"/>
              </w:rPr>
              <w:t>Subsidies received from the State budget to finance certain programs of national interest</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21,892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60,000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87,667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90,000</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92,000</w:t>
            </w:r>
          </w:p>
        </w:tc>
      </w:tr>
      <w:tr w:rsidR="001C4FE7" w:rsidRPr="001C4FE7" w:rsidTr="00C41DD6">
        <w:trPr>
          <w:trHeight w:val="675"/>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rsidR="003D4AE3" w:rsidRPr="001C4FE7" w:rsidRDefault="003D4AE3" w:rsidP="00C41DD6">
            <w:pPr>
              <w:rPr>
                <w:rFonts w:ascii="Arial" w:hAnsi="Arial" w:cs="Arial"/>
                <w:sz w:val="16"/>
                <w:szCs w:val="16"/>
              </w:rPr>
            </w:pPr>
            <w:r>
              <w:rPr>
                <w:rFonts w:ascii="Arial" w:hAnsi="Arial"/>
                <w:sz w:val="16"/>
                <w:szCs w:val="16"/>
              </w:rPr>
              <w:t>Subsidies in support of housing construction</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3D4AE3" w:rsidRPr="001C4FE7" w:rsidRDefault="003D4AE3" w:rsidP="00C41DD6">
            <w:pPr>
              <w:jc w:val="right"/>
              <w:rPr>
                <w:rFonts w:ascii="Arial" w:hAnsi="Arial" w:cs="Arial"/>
                <w:sz w:val="16"/>
                <w:szCs w:val="16"/>
              </w:rPr>
            </w:pPr>
            <w:r>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4AE3" w:rsidRPr="001C4FE7" w:rsidRDefault="003D4AE3" w:rsidP="00C41DD6">
            <w:pPr>
              <w:jc w:val="right"/>
              <w:rPr>
                <w:rFonts w:ascii="Arial" w:hAnsi="Arial" w:cs="Arial"/>
                <w:sz w:val="16"/>
                <w:szCs w:val="16"/>
              </w:rPr>
            </w:pPr>
            <w:r>
              <w:rPr>
                <w:rFonts w:ascii="Arial" w:hAnsi="Arial"/>
                <w:sz w:val="16"/>
                <w:szCs w:val="16"/>
              </w:rPr>
              <w:t>683</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3D4AE3" w:rsidRPr="001C4FE7" w:rsidRDefault="003D4AE3" w:rsidP="00C41DD6">
            <w:pPr>
              <w:jc w:val="right"/>
              <w:rPr>
                <w:rFonts w:ascii="Arial" w:hAnsi="Arial" w:cs="Arial"/>
                <w:sz w:val="16"/>
                <w:szCs w:val="16"/>
              </w:rPr>
            </w:pPr>
            <w:r>
              <w:rPr>
                <w:rFonts w:ascii="Arial" w:hAnsi="Arial"/>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3D4AE3" w:rsidRPr="001C4FE7" w:rsidRDefault="003D4AE3" w:rsidP="00C41DD6">
            <w:pPr>
              <w:jc w:val="right"/>
              <w:rPr>
                <w:rFonts w:ascii="Arial" w:hAnsi="Arial" w:cs="Arial"/>
                <w:sz w:val="16"/>
                <w:szCs w:val="16"/>
              </w:rPr>
            </w:pPr>
            <w:r>
              <w:rPr>
                <w:rFonts w:ascii="Arial" w:hAnsi="Arial"/>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3D4AE3" w:rsidRPr="001C4FE7" w:rsidRDefault="003D4AE3" w:rsidP="00C41DD6">
            <w:pPr>
              <w:jc w:val="right"/>
              <w:rPr>
                <w:rFonts w:ascii="Arial" w:hAnsi="Arial" w:cs="Arial"/>
                <w:sz w:val="16"/>
                <w:szCs w:val="16"/>
              </w:rPr>
            </w:pPr>
            <w:r>
              <w:rPr>
                <w:rFonts w:ascii="Arial" w:hAnsi="Arial"/>
                <w:sz w:val="16"/>
                <w:szCs w:val="16"/>
              </w:rPr>
              <w:t>0</w:t>
            </w:r>
          </w:p>
        </w:tc>
        <w:tc>
          <w:tcPr>
            <w:tcW w:w="1036" w:type="dxa"/>
            <w:tcBorders>
              <w:top w:val="single" w:sz="4" w:space="0" w:color="auto"/>
              <w:left w:val="nil"/>
              <w:bottom w:val="single" w:sz="4" w:space="0" w:color="auto"/>
              <w:right w:val="single" w:sz="4" w:space="0" w:color="auto"/>
            </w:tcBorders>
            <w:shd w:val="clear" w:color="auto" w:fill="auto"/>
            <w:noWrap/>
            <w:vAlign w:val="bottom"/>
          </w:tcPr>
          <w:p w:rsidR="003D4AE3" w:rsidRPr="001C4FE7" w:rsidRDefault="003D4AE3" w:rsidP="00C41DD6">
            <w:pPr>
              <w:jc w:val="right"/>
              <w:rPr>
                <w:rFonts w:ascii="Arial" w:hAnsi="Arial" w:cs="Arial"/>
                <w:sz w:val="16"/>
                <w:szCs w:val="16"/>
              </w:rPr>
            </w:pPr>
            <w:r>
              <w:rPr>
                <w:rFonts w:ascii="Arial" w:hAnsi="Arial"/>
                <w:sz w:val="16"/>
                <w:szCs w:val="16"/>
              </w:rPr>
              <w:t>0</w:t>
            </w:r>
          </w:p>
        </w:tc>
      </w:tr>
      <w:tr w:rsidR="003D4AE3" w:rsidRPr="00BB06DB" w:rsidTr="00C41DD6">
        <w:trPr>
          <w:trHeight w:val="675"/>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AE3" w:rsidRPr="00715536" w:rsidRDefault="003D4AE3" w:rsidP="00C41DD6">
            <w:pPr>
              <w:rPr>
                <w:rFonts w:ascii="Arial" w:hAnsi="Arial" w:cs="Arial"/>
                <w:sz w:val="16"/>
                <w:szCs w:val="16"/>
              </w:rPr>
            </w:pPr>
            <w:r>
              <w:rPr>
                <w:rFonts w:ascii="Arial" w:hAnsi="Arial"/>
                <w:sz w:val="16"/>
                <w:szCs w:val="16"/>
              </w:rPr>
              <w:t>Subsidies from the SB to finance urgent expenditures specific to the cold season, dedicated to SF</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-36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0</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0</w:t>
            </w:r>
          </w:p>
        </w:tc>
      </w:tr>
      <w:tr w:rsidR="003D4AE3" w:rsidRPr="00BB06DB" w:rsidTr="00C41DD6">
        <w:trPr>
          <w:trHeight w:val="834"/>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715536" w:rsidRDefault="003D4AE3" w:rsidP="00C41DD6">
            <w:pPr>
              <w:rPr>
                <w:rFonts w:ascii="Arial" w:hAnsi="Arial" w:cs="Arial"/>
                <w:sz w:val="16"/>
                <w:szCs w:val="16"/>
              </w:rPr>
            </w:pPr>
            <w:r>
              <w:rPr>
                <w:rFonts w:ascii="Arial" w:hAnsi="Arial"/>
                <w:sz w:val="16"/>
                <w:szCs w:val="16"/>
              </w:rPr>
              <w:t>Subsidies to perform the activity of collection, transport, storage and neutralization of animal waste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bCs/>
                <w:sz w:val="16"/>
                <w:szCs w:val="16"/>
              </w:rPr>
            </w:pPr>
            <w:r>
              <w:rPr>
                <w:rFonts w:ascii="Arial" w:hAnsi="Arial"/>
                <w:bCs/>
                <w:sz w:val="16"/>
                <w:szCs w:val="16"/>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23,000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10,000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10,000</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3D4AE3" w:rsidRPr="00A12C15" w:rsidRDefault="003D4AE3" w:rsidP="00C41DD6">
            <w:pPr>
              <w:jc w:val="right"/>
              <w:rPr>
                <w:rFonts w:ascii="Arial" w:hAnsi="Arial" w:cs="Arial"/>
                <w:sz w:val="16"/>
                <w:szCs w:val="16"/>
              </w:rPr>
            </w:pPr>
            <w:r>
              <w:rPr>
                <w:rFonts w:ascii="Arial" w:hAnsi="Arial"/>
                <w:sz w:val="16"/>
                <w:szCs w:val="16"/>
              </w:rPr>
              <w:t>10,000</w:t>
            </w:r>
          </w:p>
        </w:tc>
      </w:tr>
      <w:tr w:rsidR="003D4AE3" w:rsidRPr="00BB06DB" w:rsidTr="00C41DD6">
        <w:trPr>
          <w:trHeight w:val="55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4AE3" w:rsidRPr="00715536" w:rsidRDefault="003D4AE3" w:rsidP="00C41DD6">
            <w:pPr>
              <w:rPr>
                <w:rFonts w:ascii="Arial" w:hAnsi="Arial" w:cs="Arial"/>
                <w:b/>
                <w:bCs/>
                <w:sz w:val="16"/>
                <w:szCs w:val="16"/>
              </w:rPr>
            </w:pPr>
            <w:r>
              <w:rPr>
                <w:rFonts w:ascii="Arial" w:hAnsi="Arial"/>
                <w:b/>
                <w:bCs/>
                <w:sz w:val="16"/>
                <w:szCs w:val="16"/>
              </w:rPr>
              <w:t xml:space="preserve">Subsidies from other administrations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3D4AE3" w:rsidRPr="00BB06DB" w:rsidRDefault="003D4AE3" w:rsidP="00C41DD6">
            <w:pPr>
              <w:jc w:val="right"/>
              <w:rPr>
                <w:rFonts w:ascii="Arial" w:hAnsi="Arial" w:cs="Arial"/>
                <w:b/>
                <w:bCs/>
                <w:sz w:val="16"/>
                <w:szCs w:val="16"/>
              </w:rPr>
            </w:pPr>
            <w:r>
              <w:rPr>
                <w:rFonts w:ascii="Arial" w:hAnsi="Arial"/>
                <w:b/>
                <w:bCs/>
                <w:sz w:val="16"/>
                <w:szCs w:val="16"/>
              </w:rPr>
              <w:t>641,019</w:t>
            </w:r>
          </w:p>
        </w:tc>
        <w:tc>
          <w:tcPr>
            <w:tcW w:w="1134" w:type="dxa"/>
            <w:tcBorders>
              <w:top w:val="nil"/>
              <w:left w:val="nil"/>
              <w:bottom w:val="single" w:sz="4" w:space="0" w:color="auto"/>
              <w:right w:val="single" w:sz="4" w:space="0" w:color="auto"/>
            </w:tcBorders>
            <w:shd w:val="clear" w:color="auto" w:fill="auto"/>
            <w:noWrap/>
            <w:vAlign w:val="bottom"/>
          </w:tcPr>
          <w:p w:rsidR="003D4AE3" w:rsidRPr="00BB06DB" w:rsidRDefault="003D4AE3" w:rsidP="00C41DD6">
            <w:pPr>
              <w:jc w:val="right"/>
              <w:rPr>
                <w:rFonts w:ascii="Arial" w:hAnsi="Arial" w:cs="Arial"/>
                <w:b/>
                <w:bCs/>
                <w:sz w:val="16"/>
                <w:szCs w:val="16"/>
              </w:rPr>
            </w:pPr>
            <w:r>
              <w:rPr>
                <w:rFonts w:ascii="Arial" w:hAnsi="Arial"/>
                <w:b/>
                <w:bCs/>
                <w:sz w:val="16"/>
                <w:szCs w:val="16"/>
              </w:rPr>
              <w:t>544,476</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3D4AE3" w:rsidRPr="00BB06DB" w:rsidRDefault="003D4AE3" w:rsidP="00C41DD6">
            <w:pPr>
              <w:jc w:val="right"/>
              <w:rPr>
                <w:rFonts w:ascii="Arial" w:hAnsi="Arial" w:cs="Arial"/>
                <w:b/>
                <w:bCs/>
                <w:sz w:val="16"/>
                <w:szCs w:val="16"/>
              </w:rPr>
            </w:pPr>
            <w:r>
              <w:rPr>
                <w:rFonts w:ascii="Arial" w:hAnsi="Arial"/>
                <w:b/>
                <w:bCs/>
                <w:sz w:val="16"/>
                <w:szCs w:val="16"/>
              </w:rPr>
              <w:t>10,000</w:t>
            </w:r>
          </w:p>
        </w:tc>
        <w:tc>
          <w:tcPr>
            <w:tcW w:w="1134" w:type="dxa"/>
            <w:tcBorders>
              <w:top w:val="nil"/>
              <w:left w:val="nil"/>
              <w:bottom w:val="single" w:sz="4" w:space="0" w:color="auto"/>
              <w:right w:val="single" w:sz="4" w:space="0" w:color="auto"/>
            </w:tcBorders>
            <w:shd w:val="clear" w:color="auto" w:fill="auto"/>
            <w:noWrap/>
            <w:vAlign w:val="bottom"/>
          </w:tcPr>
          <w:p w:rsidR="003D4AE3" w:rsidRPr="00BB06DB" w:rsidRDefault="003D4AE3" w:rsidP="00C41DD6">
            <w:pPr>
              <w:jc w:val="right"/>
              <w:rPr>
                <w:rFonts w:ascii="Arial" w:hAnsi="Arial" w:cs="Arial"/>
                <w:b/>
                <w:bCs/>
                <w:sz w:val="16"/>
                <w:szCs w:val="16"/>
              </w:rPr>
            </w:pPr>
            <w:r>
              <w:rPr>
                <w:rFonts w:ascii="Arial" w:hAnsi="Arial"/>
                <w:b/>
                <w:bCs/>
                <w:sz w:val="16"/>
                <w:szCs w:val="16"/>
              </w:rPr>
              <w:t>12,445</w:t>
            </w:r>
          </w:p>
        </w:tc>
        <w:tc>
          <w:tcPr>
            <w:tcW w:w="1134" w:type="dxa"/>
            <w:tcBorders>
              <w:top w:val="nil"/>
              <w:left w:val="nil"/>
              <w:bottom w:val="single" w:sz="4" w:space="0" w:color="auto"/>
              <w:right w:val="single" w:sz="4" w:space="0" w:color="auto"/>
            </w:tcBorders>
            <w:shd w:val="clear" w:color="auto" w:fill="auto"/>
            <w:noWrap/>
            <w:vAlign w:val="bottom"/>
          </w:tcPr>
          <w:p w:rsidR="003D4AE3" w:rsidRPr="00BB06DB" w:rsidRDefault="003D4AE3" w:rsidP="00C41DD6">
            <w:pPr>
              <w:jc w:val="right"/>
              <w:rPr>
                <w:rFonts w:ascii="Arial" w:hAnsi="Arial" w:cs="Arial"/>
                <w:b/>
                <w:bCs/>
                <w:sz w:val="16"/>
                <w:szCs w:val="16"/>
              </w:rPr>
            </w:pPr>
            <w:r>
              <w:rPr>
                <w:rFonts w:ascii="Arial" w:hAnsi="Arial"/>
                <w:b/>
                <w:bCs/>
                <w:sz w:val="16"/>
                <w:szCs w:val="16"/>
              </w:rPr>
              <w:t>12,445</w:t>
            </w:r>
          </w:p>
        </w:tc>
        <w:tc>
          <w:tcPr>
            <w:tcW w:w="1036" w:type="dxa"/>
            <w:tcBorders>
              <w:top w:val="nil"/>
              <w:left w:val="nil"/>
              <w:bottom w:val="single" w:sz="4" w:space="0" w:color="auto"/>
              <w:right w:val="single" w:sz="4" w:space="0" w:color="auto"/>
            </w:tcBorders>
            <w:shd w:val="clear" w:color="auto" w:fill="auto"/>
            <w:noWrap/>
            <w:vAlign w:val="bottom"/>
          </w:tcPr>
          <w:p w:rsidR="003D4AE3" w:rsidRPr="00BB06DB" w:rsidRDefault="003D4AE3" w:rsidP="00C41DD6">
            <w:pPr>
              <w:jc w:val="right"/>
              <w:rPr>
                <w:rFonts w:ascii="Arial" w:hAnsi="Arial" w:cs="Arial"/>
                <w:b/>
                <w:bCs/>
                <w:sz w:val="16"/>
                <w:szCs w:val="16"/>
              </w:rPr>
            </w:pPr>
            <w:r>
              <w:rPr>
                <w:rFonts w:ascii="Arial" w:hAnsi="Arial"/>
                <w:b/>
                <w:bCs/>
                <w:sz w:val="16"/>
                <w:szCs w:val="16"/>
              </w:rPr>
              <w:t>12,445</w:t>
            </w:r>
          </w:p>
        </w:tc>
      </w:tr>
    </w:tbl>
    <w:p w:rsidR="003D4AE3" w:rsidRDefault="003D4AE3" w:rsidP="003D4AE3">
      <w:pPr>
        <w:pStyle w:val="BodyText"/>
        <w:spacing w:after="0" w:line="288" w:lineRule="auto"/>
        <w:jc w:val="both"/>
        <w:rPr>
          <w:rFonts w:ascii="Arial" w:hAnsi="Arial" w:cs="Arial"/>
          <w:lang w:val="ro-RO"/>
        </w:rPr>
      </w:pPr>
    </w:p>
    <w:p w:rsidR="00091029" w:rsidRPr="0036525D" w:rsidRDefault="00932083" w:rsidP="0036525D">
      <w:pPr>
        <w:pStyle w:val="Style35001908"/>
        <w:rPr>
          <w:rFonts w:ascii="Calibri" w:hAnsi="Calibri" w:cs="Arial"/>
          <w:b/>
          <w:color w:val="000080"/>
          <w:shd w:val="clear" w:color="auto" w:fill="99CCFF"/>
        </w:rPr>
      </w:pPr>
      <w:r>
        <w:rPr>
          <w:rFonts w:ascii="Calibri" w:hAnsi="Calibri"/>
          <w:b/>
          <w:color w:val="000080"/>
          <w:shd w:val="clear" w:color="auto" w:fill="99CCFF"/>
        </w:rPr>
        <w:t>4.7 Prioritized significant public investments</w:t>
      </w:r>
    </w:p>
    <w:p w:rsidR="0036525D" w:rsidRPr="0036525D" w:rsidRDefault="0036525D" w:rsidP="0036525D">
      <w:pPr>
        <w:spacing w:before="120"/>
        <w:jc w:val="both"/>
        <w:rPr>
          <w:rFonts w:ascii="Calibri" w:eastAsia="SimSun" w:hAnsi="Calibri" w:cs="Mangal"/>
        </w:rPr>
      </w:pPr>
      <w:r>
        <w:rPr>
          <w:rFonts w:ascii="Calibri" w:hAnsi="Calibri"/>
        </w:rPr>
        <w:t xml:space="preserve">In order to improve the management of public investments, in 2018 were supplemented and amended the Methodological norms on the prioritization of public investment projects (Government Decision no. 225/2014) through Government Decision no. 363 (published in the O.G. no. 460/June 5, 2018). The new regulations will ensure a uniform and coherent application by all parties involved, respectively the main credit authorities and the Ministry of Public Finance, of the legal provisions in force regarding the assessment and prioritization of significant public investments. </w:t>
      </w:r>
    </w:p>
    <w:p w:rsidR="0036525D" w:rsidRPr="0036525D" w:rsidRDefault="0036525D" w:rsidP="0036525D">
      <w:pPr>
        <w:spacing w:before="120"/>
        <w:jc w:val="both"/>
        <w:rPr>
          <w:rFonts w:ascii="Calibri" w:eastAsia="SimSun" w:hAnsi="Calibri" w:cs="Mangal"/>
        </w:rPr>
      </w:pPr>
      <w:r>
        <w:rPr>
          <w:rFonts w:ascii="Calibri" w:hAnsi="Calibri"/>
        </w:rPr>
        <w:t xml:space="preserve">According to the provisions of Government Emergency Ordinance no. 88/2013 and of the Methodological norms on the prioritization of public investment projects, approved through Government Decision no. 225/2014, as subsequently amended and supplemented, in April - September 2018, the main credit authorities and the Ministry of Public Finance carried out the assessment process of significant public investment projects, in order for the Ministry of Public Finance to elaborate and present to the Government for approval the list of prioritized significant public investment projects. </w:t>
      </w:r>
    </w:p>
    <w:p w:rsidR="0036525D" w:rsidRPr="0036525D" w:rsidRDefault="0036525D" w:rsidP="0036525D">
      <w:pPr>
        <w:widowControl w:val="0"/>
        <w:suppressAutoHyphens/>
        <w:spacing w:before="120"/>
        <w:jc w:val="both"/>
        <w:rPr>
          <w:rFonts w:ascii="Calibri" w:eastAsia="SimSun" w:hAnsi="Calibri"/>
        </w:rPr>
      </w:pPr>
      <w:r>
        <w:rPr>
          <w:rFonts w:ascii="Calibri" w:hAnsi="Calibri"/>
        </w:rPr>
        <w:t>When elaborating the draft budget for 2019, the main credit authorities will respect the prioritization results in the process of distribution of the  budget resources for the significant public investment projects, in accordance with the provisions of art. 45 para. (4) in Government Emergency Ordinance no. 88/2013.</w:t>
      </w:r>
    </w:p>
    <w:p w:rsidR="0036525D" w:rsidRPr="0036525D" w:rsidRDefault="0036525D" w:rsidP="0036525D">
      <w:pPr>
        <w:widowControl w:val="0"/>
        <w:suppressAutoHyphens/>
        <w:spacing w:before="120"/>
        <w:jc w:val="both"/>
        <w:rPr>
          <w:rFonts w:ascii="Calibri" w:eastAsia="SimSun" w:hAnsi="Calibri" w:cs="Mangal"/>
          <w:bCs/>
        </w:rPr>
      </w:pPr>
      <w:r>
        <w:rPr>
          <w:rFonts w:ascii="Calibri" w:hAnsi="Calibri"/>
        </w:rPr>
        <w:t>In the prioritization process, 10 main credit authorities presented information about 136 significant public investment projects, with a total updated value of 173,842,803 thousand Lei and an amount left for financing for completion purposes of 104,778,498 thousand Lei.</w:t>
      </w:r>
      <w:r>
        <w:rPr>
          <w:rFonts w:ascii="Calibri" w:hAnsi="Calibri"/>
          <w:bCs/>
        </w:rPr>
        <w:t xml:space="preserve"> The biggest weight in this portfolio is held by the Ministry of Transport, which administers 114 significant public investment projects, with a total updated value of 166,019,031 thousand Lei, followed by the Ministry of Waters and Forests with 9 significant public investment projects, with a total updated value of 3,722,720 thousand. At the opposite end </w:t>
      </w:r>
      <w:r w:rsidR="00916FF8">
        <w:rPr>
          <w:rFonts w:ascii="Calibri" w:hAnsi="Calibri"/>
          <w:bCs/>
        </w:rPr>
        <w:t>are</w:t>
      </w:r>
      <w:r>
        <w:rPr>
          <w:rFonts w:ascii="Calibri" w:hAnsi="Calibri"/>
          <w:bCs/>
        </w:rPr>
        <w:t xml:space="preserve"> the Ministry of Economy, the Ministry of Research and Innovation, the Service of Guard and Protection, the Ministry of Communications and the Information Society, and the Ministry of National Defense, which administer one significant public investment project each, as presented in the table below:</w:t>
      </w:r>
    </w:p>
    <w:tbl>
      <w:tblPr>
        <w:tblW w:w="9638" w:type="dxa"/>
        <w:tblBorders>
          <w:top w:val="single" w:sz="4" w:space="0" w:color="000000"/>
          <w:left w:val="single" w:sz="4" w:space="0" w:color="000000"/>
          <w:bottom w:val="single" w:sz="4" w:space="0" w:color="000000"/>
          <w:insideH w:val="single" w:sz="4" w:space="0" w:color="000000"/>
        </w:tblBorders>
        <w:tblCellMar>
          <w:left w:w="-5" w:type="dxa"/>
        </w:tblCellMar>
        <w:tblLook w:val="0000" w:firstRow="0" w:lastRow="0" w:firstColumn="0" w:lastColumn="0" w:noHBand="0" w:noVBand="0"/>
      </w:tblPr>
      <w:tblGrid>
        <w:gridCol w:w="5855"/>
        <w:gridCol w:w="3783"/>
      </w:tblGrid>
      <w:tr w:rsidR="0036525D" w:rsidRPr="00AC4302" w:rsidTr="0036525D">
        <w:trPr>
          <w:trHeight w:hRule="exact" w:val="719"/>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36525D" w:rsidRPr="0036525D" w:rsidRDefault="0036525D" w:rsidP="0036525D">
            <w:pPr>
              <w:widowControl w:val="0"/>
              <w:tabs>
                <w:tab w:val="left" w:pos="4050"/>
                <w:tab w:val="left" w:pos="4110"/>
                <w:tab w:val="center" w:pos="5130"/>
              </w:tabs>
              <w:suppressAutoHyphens/>
              <w:contextualSpacing/>
              <w:jc w:val="center"/>
              <w:rPr>
                <w:rFonts w:ascii="Calibri" w:eastAsia="SimSun" w:hAnsi="Calibri"/>
                <w:b/>
              </w:rPr>
            </w:pPr>
            <w:r>
              <w:rPr>
                <w:rFonts w:ascii="Calibri" w:hAnsi="Calibri"/>
                <w:b/>
              </w:rPr>
              <w:t>Main credit authority</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36525D" w:rsidRPr="0036525D" w:rsidRDefault="0036525D" w:rsidP="0036525D">
            <w:pPr>
              <w:widowControl w:val="0"/>
              <w:tabs>
                <w:tab w:val="left" w:pos="4050"/>
                <w:tab w:val="left" w:pos="4110"/>
                <w:tab w:val="center" w:pos="5130"/>
              </w:tabs>
              <w:suppressAutoHyphens/>
              <w:contextualSpacing/>
              <w:jc w:val="center"/>
              <w:rPr>
                <w:rFonts w:ascii="Calibri" w:eastAsia="SimSun" w:hAnsi="Calibri"/>
              </w:rPr>
            </w:pPr>
            <w:r>
              <w:rPr>
                <w:rFonts w:ascii="Calibri" w:hAnsi="Calibri"/>
                <w:b/>
              </w:rPr>
              <w:t>Number of projects assessed in the prioritization process</w:t>
            </w:r>
          </w:p>
        </w:tc>
      </w:tr>
      <w:tr w:rsidR="0036525D" w:rsidRPr="0036525D" w:rsidTr="0036525D">
        <w:trPr>
          <w:trHeight w:val="410"/>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36525D" w:rsidRPr="0036525D" w:rsidRDefault="0036525D" w:rsidP="0036525D">
            <w:pPr>
              <w:widowControl w:val="0"/>
              <w:tabs>
                <w:tab w:val="left" w:pos="4050"/>
                <w:tab w:val="left" w:pos="4110"/>
                <w:tab w:val="center" w:pos="5130"/>
              </w:tabs>
              <w:suppressAutoHyphens/>
              <w:contextualSpacing/>
              <w:jc w:val="center"/>
              <w:rPr>
                <w:rFonts w:ascii="Calibri" w:eastAsia="SimSun" w:hAnsi="Calibri"/>
              </w:rPr>
            </w:pPr>
            <w:r>
              <w:rPr>
                <w:rFonts w:ascii="Calibri" w:hAnsi="Calibri"/>
              </w:rPr>
              <w:t>Ministry of Transport</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36525D" w:rsidRPr="0036525D" w:rsidRDefault="0036525D" w:rsidP="0036525D">
            <w:pPr>
              <w:widowControl w:val="0"/>
              <w:tabs>
                <w:tab w:val="left" w:pos="4050"/>
                <w:tab w:val="left" w:pos="4110"/>
                <w:tab w:val="center" w:pos="5130"/>
              </w:tabs>
              <w:suppressAutoHyphens/>
              <w:contextualSpacing/>
              <w:jc w:val="center"/>
              <w:rPr>
                <w:rFonts w:ascii="Calibri" w:eastAsia="SimSun" w:hAnsi="Calibri"/>
              </w:rPr>
            </w:pPr>
            <w:r>
              <w:rPr>
                <w:rFonts w:ascii="Calibri" w:hAnsi="Calibri"/>
              </w:rPr>
              <w:t>114</w:t>
            </w:r>
          </w:p>
        </w:tc>
      </w:tr>
      <w:tr w:rsidR="0036525D" w:rsidRPr="0036525D" w:rsidTr="0036525D">
        <w:trPr>
          <w:trHeight w:val="402"/>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36525D" w:rsidRPr="0036525D" w:rsidRDefault="0036525D" w:rsidP="0036525D">
            <w:pPr>
              <w:widowControl w:val="0"/>
              <w:tabs>
                <w:tab w:val="left" w:pos="4050"/>
                <w:tab w:val="left" w:pos="4110"/>
                <w:tab w:val="center" w:pos="5130"/>
              </w:tabs>
              <w:suppressAutoHyphens/>
              <w:contextualSpacing/>
              <w:jc w:val="center"/>
              <w:rPr>
                <w:rFonts w:ascii="Calibri" w:eastAsia="SimSun" w:hAnsi="Calibri"/>
              </w:rPr>
            </w:pPr>
            <w:r>
              <w:rPr>
                <w:rFonts w:ascii="Calibri" w:hAnsi="Calibri"/>
              </w:rPr>
              <w:t>Ministry of Health</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36525D" w:rsidRPr="0036525D" w:rsidRDefault="0036525D" w:rsidP="0036525D">
            <w:pPr>
              <w:widowControl w:val="0"/>
              <w:tabs>
                <w:tab w:val="left" w:pos="4050"/>
                <w:tab w:val="left" w:pos="4110"/>
                <w:tab w:val="center" w:pos="5130"/>
              </w:tabs>
              <w:suppressAutoHyphens/>
              <w:contextualSpacing/>
              <w:jc w:val="center"/>
              <w:rPr>
                <w:rFonts w:ascii="Calibri" w:eastAsia="SimSun" w:hAnsi="Calibri"/>
              </w:rPr>
            </w:pPr>
            <w:r>
              <w:rPr>
                <w:rFonts w:ascii="Calibri" w:hAnsi="Calibri"/>
              </w:rPr>
              <w:t>2</w:t>
            </w:r>
          </w:p>
        </w:tc>
      </w:tr>
      <w:tr w:rsidR="0036525D" w:rsidRPr="0036525D" w:rsidTr="0036525D">
        <w:trPr>
          <w:trHeight w:val="423"/>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36525D" w:rsidRPr="0036525D" w:rsidRDefault="0036525D" w:rsidP="0036525D">
            <w:pPr>
              <w:widowControl w:val="0"/>
              <w:tabs>
                <w:tab w:val="left" w:pos="4050"/>
                <w:tab w:val="left" w:pos="4110"/>
                <w:tab w:val="center" w:pos="5130"/>
              </w:tabs>
              <w:suppressAutoHyphens/>
              <w:contextualSpacing/>
              <w:jc w:val="center"/>
              <w:rPr>
                <w:rFonts w:ascii="Calibri" w:eastAsia="SimSun" w:hAnsi="Calibri"/>
              </w:rPr>
            </w:pPr>
            <w:r>
              <w:rPr>
                <w:rFonts w:ascii="Calibri" w:hAnsi="Calibri"/>
              </w:rPr>
              <w:t>Ministry of Justice</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36525D" w:rsidRPr="0036525D" w:rsidRDefault="0036525D" w:rsidP="0036525D">
            <w:pPr>
              <w:widowControl w:val="0"/>
              <w:tabs>
                <w:tab w:val="left" w:pos="4050"/>
                <w:tab w:val="left" w:pos="4110"/>
                <w:tab w:val="center" w:pos="5130"/>
              </w:tabs>
              <w:suppressAutoHyphens/>
              <w:contextualSpacing/>
              <w:jc w:val="center"/>
              <w:rPr>
                <w:rFonts w:ascii="Calibri" w:eastAsia="SimSun" w:hAnsi="Calibri"/>
              </w:rPr>
            </w:pPr>
            <w:r>
              <w:rPr>
                <w:rFonts w:ascii="Calibri" w:hAnsi="Calibri"/>
              </w:rPr>
              <w:t>2</w:t>
            </w:r>
          </w:p>
        </w:tc>
      </w:tr>
      <w:tr w:rsidR="0036525D" w:rsidRPr="0036525D" w:rsidTr="0036525D">
        <w:trPr>
          <w:trHeight w:val="415"/>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36525D" w:rsidRPr="0036525D" w:rsidRDefault="0036525D" w:rsidP="0036525D">
            <w:pPr>
              <w:widowControl w:val="0"/>
              <w:tabs>
                <w:tab w:val="left" w:pos="4050"/>
                <w:tab w:val="left" w:pos="4110"/>
                <w:tab w:val="center" w:pos="5130"/>
              </w:tabs>
              <w:suppressAutoHyphens/>
              <w:contextualSpacing/>
              <w:jc w:val="center"/>
              <w:rPr>
                <w:rFonts w:ascii="Calibri" w:eastAsia="SimSun" w:hAnsi="Calibri"/>
              </w:rPr>
            </w:pPr>
            <w:r>
              <w:rPr>
                <w:rFonts w:ascii="Calibri" w:hAnsi="Calibri"/>
              </w:rPr>
              <w:t>Ministry of Regional Development and Public Administration</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36525D" w:rsidRPr="0036525D" w:rsidRDefault="0036525D" w:rsidP="0036525D">
            <w:pPr>
              <w:widowControl w:val="0"/>
              <w:tabs>
                <w:tab w:val="left" w:pos="4050"/>
                <w:tab w:val="left" w:pos="4110"/>
                <w:tab w:val="center" w:pos="5130"/>
              </w:tabs>
              <w:suppressAutoHyphens/>
              <w:contextualSpacing/>
              <w:jc w:val="center"/>
              <w:rPr>
                <w:rFonts w:ascii="Calibri" w:eastAsia="SimSun" w:hAnsi="Calibri"/>
              </w:rPr>
            </w:pPr>
            <w:r>
              <w:rPr>
                <w:rFonts w:ascii="Calibri" w:hAnsi="Calibri"/>
              </w:rPr>
              <w:t>4</w:t>
            </w:r>
          </w:p>
        </w:tc>
      </w:tr>
      <w:tr w:rsidR="0036525D" w:rsidRPr="0036525D" w:rsidTr="0036525D">
        <w:trPr>
          <w:trHeight w:val="465"/>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36525D" w:rsidRPr="0036525D" w:rsidRDefault="0036525D" w:rsidP="0036525D">
            <w:pPr>
              <w:widowControl w:val="0"/>
              <w:tabs>
                <w:tab w:val="left" w:pos="4050"/>
                <w:tab w:val="left" w:pos="4110"/>
                <w:tab w:val="center" w:pos="5130"/>
              </w:tabs>
              <w:suppressAutoHyphens/>
              <w:contextualSpacing/>
              <w:jc w:val="center"/>
              <w:rPr>
                <w:rFonts w:ascii="Calibri" w:eastAsia="SimSun" w:hAnsi="Calibri"/>
              </w:rPr>
            </w:pPr>
            <w:r>
              <w:rPr>
                <w:rFonts w:ascii="Calibri" w:hAnsi="Calibri"/>
              </w:rPr>
              <w:t>Ministry of Waters and Forests</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36525D" w:rsidRPr="0036525D" w:rsidRDefault="0036525D" w:rsidP="0036525D">
            <w:pPr>
              <w:widowControl w:val="0"/>
              <w:tabs>
                <w:tab w:val="left" w:pos="4050"/>
                <w:tab w:val="left" w:pos="4110"/>
                <w:tab w:val="center" w:pos="5130"/>
              </w:tabs>
              <w:suppressAutoHyphens/>
              <w:contextualSpacing/>
              <w:jc w:val="center"/>
              <w:rPr>
                <w:rFonts w:ascii="Calibri" w:eastAsia="SimSun" w:hAnsi="Calibri"/>
              </w:rPr>
            </w:pPr>
            <w:r>
              <w:rPr>
                <w:rFonts w:ascii="Calibri" w:hAnsi="Calibri"/>
              </w:rPr>
              <w:t>9</w:t>
            </w:r>
          </w:p>
        </w:tc>
      </w:tr>
      <w:tr w:rsidR="0036525D" w:rsidRPr="0036525D" w:rsidTr="0036525D">
        <w:trPr>
          <w:trHeight w:val="401"/>
        </w:trPr>
        <w:tc>
          <w:tcPr>
            <w:tcW w:w="5855" w:type="dxa"/>
            <w:tcBorders>
              <w:left w:val="single" w:sz="4" w:space="0" w:color="000000"/>
              <w:bottom w:val="single" w:sz="4" w:space="0" w:color="000000"/>
            </w:tcBorders>
            <w:shd w:val="clear" w:color="auto" w:fill="FFFFFF"/>
            <w:tcMar>
              <w:left w:w="-5" w:type="dxa"/>
            </w:tcMar>
            <w:vAlign w:val="center"/>
          </w:tcPr>
          <w:p w:rsidR="0036525D" w:rsidRPr="0036525D" w:rsidRDefault="0036525D" w:rsidP="0036525D">
            <w:pPr>
              <w:widowControl w:val="0"/>
              <w:tabs>
                <w:tab w:val="left" w:pos="4050"/>
                <w:tab w:val="left" w:pos="4110"/>
                <w:tab w:val="center" w:pos="5130"/>
              </w:tabs>
              <w:suppressAutoHyphens/>
              <w:contextualSpacing/>
              <w:jc w:val="center"/>
              <w:rPr>
                <w:rFonts w:ascii="Calibri" w:eastAsia="SimSun" w:hAnsi="Calibri"/>
              </w:rPr>
            </w:pPr>
            <w:r>
              <w:rPr>
                <w:rFonts w:ascii="Calibri" w:hAnsi="Calibri"/>
              </w:rPr>
              <w:t>Ministry of Economy</w:t>
            </w:r>
          </w:p>
        </w:tc>
        <w:tc>
          <w:tcPr>
            <w:tcW w:w="3783" w:type="dxa"/>
            <w:tcBorders>
              <w:left w:val="single" w:sz="4" w:space="0" w:color="000000"/>
              <w:bottom w:val="single" w:sz="4" w:space="0" w:color="000000"/>
              <w:right w:val="single" w:sz="4" w:space="0" w:color="000000"/>
            </w:tcBorders>
            <w:shd w:val="clear" w:color="auto" w:fill="FFFFFF"/>
            <w:tcMar>
              <w:left w:w="-5" w:type="dxa"/>
            </w:tcMar>
            <w:vAlign w:val="center"/>
          </w:tcPr>
          <w:p w:rsidR="0036525D" w:rsidRPr="0036525D" w:rsidRDefault="0036525D" w:rsidP="0036525D">
            <w:pPr>
              <w:widowControl w:val="0"/>
              <w:tabs>
                <w:tab w:val="left" w:pos="4050"/>
                <w:tab w:val="left" w:pos="4110"/>
                <w:tab w:val="center" w:pos="5130"/>
              </w:tabs>
              <w:suppressAutoHyphens/>
              <w:contextualSpacing/>
              <w:jc w:val="center"/>
              <w:rPr>
                <w:rFonts w:ascii="Calibri" w:eastAsia="SimSun" w:hAnsi="Calibri"/>
              </w:rPr>
            </w:pPr>
            <w:r>
              <w:rPr>
                <w:rFonts w:ascii="Calibri" w:hAnsi="Calibri"/>
              </w:rPr>
              <w:t>1</w:t>
            </w:r>
          </w:p>
        </w:tc>
      </w:tr>
      <w:tr w:rsidR="0036525D" w:rsidRPr="0036525D" w:rsidTr="0036525D">
        <w:trPr>
          <w:trHeight w:val="421"/>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36525D" w:rsidRPr="0036525D" w:rsidRDefault="0036525D" w:rsidP="0036525D">
            <w:pPr>
              <w:widowControl w:val="0"/>
              <w:tabs>
                <w:tab w:val="left" w:pos="4050"/>
                <w:tab w:val="left" w:pos="4110"/>
                <w:tab w:val="center" w:pos="5130"/>
              </w:tabs>
              <w:suppressAutoHyphens/>
              <w:contextualSpacing/>
              <w:jc w:val="center"/>
              <w:rPr>
                <w:rFonts w:ascii="Calibri" w:eastAsia="SimSun" w:hAnsi="Calibri"/>
              </w:rPr>
            </w:pPr>
            <w:r>
              <w:rPr>
                <w:rFonts w:ascii="Calibri" w:hAnsi="Calibri"/>
              </w:rPr>
              <w:t>Ministry of Research and Innovation</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36525D" w:rsidRPr="0036525D" w:rsidRDefault="0036525D" w:rsidP="0036525D">
            <w:pPr>
              <w:widowControl w:val="0"/>
              <w:tabs>
                <w:tab w:val="left" w:pos="4050"/>
                <w:tab w:val="left" w:pos="4110"/>
                <w:tab w:val="center" w:pos="5130"/>
              </w:tabs>
              <w:suppressAutoHyphens/>
              <w:contextualSpacing/>
              <w:jc w:val="center"/>
              <w:rPr>
                <w:rFonts w:ascii="Calibri" w:eastAsia="SimSun" w:hAnsi="Calibri"/>
              </w:rPr>
            </w:pPr>
            <w:r>
              <w:rPr>
                <w:rFonts w:ascii="Calibri" w:hAnsi="Calibri"/>
              </w:rPr>
              <w:t>1</w:t>
            </w:r>
          </w:p>
        </w:tc>
      </w:tr>
      <w:tr w:rsidR="0036525D" w:rsidRPr="0036525D" w:rsidTr="0036525D">
        <w:trPr>
          <w:trHeight w:val="414"/>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36525D" w:rsidRPr="0036525D" w:rsidRDefault="0036525D" w:rsidP="0036525D">
            <w:pPr>
              <w:widowControl w:val="0"/>
              <w:tabs>
                <w:tab w:val="left" w:pos="4050"/>
                <w:tab w:val="left" w:pos="4110"/>
                <w:tab w:val="center" w:pos="5130"/>
              </w:tabs>
              <w:suppressAutoHyphens/>
              <w:contextualSpacing/>
              <w:jc w:val="center"/>
              <w:rPr>
                <w:rFonts w:ascii="Calibri" w:eastAsia="SimSun" w:hAnsi="Calibri"/>
              </w:rPr>
            </w:pPr>
            <w:r>
              <w:rPr>
                <w:rFonts w:ascii="Calibri" w:hAnsi="Calibri"/>
              </w:rPr>
              <w:t>Service of Guard and Protection</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36525D" w:rsidRPr="0036525D" w:rsidRDefault="0036525D" w:rsidP="0036525D">
            <w:pPr>
              <w:widowControl w:val="0"/>
              <w:tabs>
                <w:tab w:val="left" w:pos="4050"/>
                <w:tab w:val="left" w:pos="4110"/>
                <w:tab w:val="center" w:pos="5130"/>
              </w:tabs>
              <w:suppressAutoHyphens/>
              <w:contextualSpacing/>
              <w:jc w:val="center"/>
              <w:rPr>
                <w:rFonts w:ascii="Calibri" w:eastAsia="SimSun" w:hAnsi="Calibri"/>
              </w:rPr>
            </w:pPr>
            <w:r>
              <w:rPr>
                <w:rFonts w:ascii="Calibri" w:hAnsi="Calibri"/>
              </w:rPr>
              <w:t>1</w:t>
            </w:r>
          </w:p>
        </w:tc>
      </w:tr>
      <w:tr w:rsidR="0036525D" w:rsidRPr="0036525D" w:rsidTr="0036525D">
        <w:trPr>
          <w:trHeight w:val="433"/>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36525D" w:rsidRPr="0036525D" w:rsidRDefault="0036525D" w:rsidP="0036525D">
            <w:pPr>
              <w:widowControl w:val="0"/>
              <w:tabs>
                <w:tab w:val="left" w:pos="4050"/>
                <w:tab w:val="left" w:pos="4110"/>
                <w:tab w:val="center" w:pos="5130"/>
              </w:tabs>
              <w:suppressAutoHyphens/>
              <w:contextualSpacing/>
              <w:jc w:val="center"/>
              <w:rPr>
                <w:rFonts w:ascii="Calibri" w:eastAsia="SimSun" w:hAnsi="Calibri"/>
              </w:rPr>
            </w:pPr>
            <w:r>
              <w:rPr>
                <w:rFonts w:ascii="Calibri" w:hAnsi="Calibri"/>
              </w:rPr>
              <w:t>Ministry of Communications and Information Society</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36525D" w:rsidRPr="0036525D" w:rsidRDefault="0036525D" w:rsidP="0036525D">
            <w:pPr>
              <w:widowControl w:val="0"/>
              <w:tabs>
                <w:tab w:val="left" w:pos="4050"/>
                <w:tab w:val="left" w:pos="4110"/>
                <w:tab w:val="center" w:pos="5130"/>
              </w:tabs>
              <w:suppressAutoHyphens/>
              <w:contextualSpacing/>
              <w:jc w:val="center"/>
              <w:rPr>
                <w:rFonts w:ascii="Calibri" w:eastAsia="SimSun" w:hAnsi="Calibri"/>
              </w:rPr>
            </w:pPr>
            <w:r>
              <w:rPr>
                <w:rFonts w:ascii="Calibri" w:hAnsi="Calibri"/>
              </w:rPr>
              <w:t>1</w:t>
            </w:r>
          </w:p>
        </w:tc>
      </w:tr>
      <w:tr w:rsidR="0036525D" w:rsidRPr="0036525D" w:rsidTr="0036525D">
        <w:trPr>
          <w:trHeight w:val="397"/>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36525D" w:rsidRPr="0036525D" w:rsidRDefault="0036525D" w:rsidP="0036525D">
            <w:pPr>
              <w:widowControl w:val="0"/>
              <w:tabs>
                <w:tab w:val="left" w:pos="4050"/>
                <w:tab w:val="left" w:pos="4110"/>
                <w:tab w:val="center" w:pos="5130"/>
              </w:tabs>
              <w:suppressAutoHyphens/>
              <w:contextualSpacing/>
              <w:jc w:val="center"/>
              <w:rPr>
                <w:rFonts w:ascii="Calibri" w:eastAsia="SimSun" w:hAnsi="Calibri"/>
              </w:rPr>
            </w:pPr>
            <w:r>
              <w:rPr>
                <w:rFonts w:ascii="Calibri" w:hAnsi="Calibri"/>
              </w:rPr>
              <w:t>Ministry of National Defense</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36525D" w:rsidRPr="0036525D" w:rsidRDefault="0036525D" w:rsidP="0036525D">
            <w:pPr>
              <w:widowControl w:val="0"/>
              <w:tabs>
                <w:tab w:val="left" w:pos="4050"/>
                <w:tab w:val="left" w:pos="4110"/>
                <w:tab w:val="center" w:pos="5130"/>
              </w:tabs>
              <w:suppressAutoHyphens/>
              <w:contextualSpacing/>
              <w:jc w:val="center"/>
              <w:rPr>
                <w:rFonts w:ascii="Calibri" w:eastAsia="SimSun" w:hAnsi="Calibri"/>
              </w:rPr>
            </w:pPr>
            <w:r>
              <w:rPr>
                <w:rFonts w:ascii="Calibri" w:hAnsi="Calibri"/>
              </w:rPr>
              <w:t>1</w:t>
            </w:r>
          </w:p>
        </w:tc>
      </w:tr>
      <w:tr w:rsidR="0036525D" w:rsidRPr="0036525D" w:rsidTr="0036525D">
        <w:trPr>
          <w:trHeight w:hRule="exact" w:val="391"/>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36525D" w:rsidRPr="0036525D" w:rsidRDefault="0036525D" w:rsidP="0036525D">
            <w:pPr>
              <w:widowControl w:val="0"/>
              <w:tabs>
                <w:tab w:val="left" w:pos="4050"/>
                <w:tab w:val="left" w:pos="4110"/>
                <w:tab w:val="center" w:pos="5130"/>
              </w:tabs>
              <w:suppressAutoHyphens/>
              <w:spacing w:line="276" w:lineRule="auto"/>
              <w:contextualSpacing/>
              <w:jc w:val="center"/>
              <w:rPr>
                <w:rFonts w:ascii="Calibri" w:eastAsia="SimSun" w:hAnsi="Calibri"/>
                <w:b/>
              </w:rPr>
            </w:pPr>
            <w:r>
              <w:rPr>
                <w:rFonts w:ascii="Calibri" w:hAnsi="Calibri"/>
                <w:b/>
              </w:rPr>
              <w:t xml:space="preserve">Total: </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36525D" w:rsidRPr="0036525D" w:rsidRDefault="0036525D" w:rsidP="0036525D">
            <w:pPr>
              <w:widowControl w:val="0"/>
              <w:tabs>
                <w:tab w:val="left" w:pos="4050"/>
                <w:tab w:val="left" w:pos="4110"/>
                <w:tab w:val="center" w:pos="5130"/>
              </w:tabs>
              <w:suppressAutoHyphens/>
              <w:spacing w:line="276" w:lineRule="auto"/>
              <w:contextualSpacing/>
              <w:jc w:val="center"/>
              <w:rPr>
                <w:rFonts w:ascii="Calibri" w:eastAsia="SimSun" w:hAnsi="Calibri"/>
                <w:b/>
              </w:rPr>
            </w:pPr>
            <w:r>
              <w:rPr>
                <w:rFonts w:ascii="Calibri" w:hAnsi="Calibri"/>
                <w:b/>
              </w:rPr>
              <w:t>136</w:t>
            </w:r>
          </w:p>
        </w:tc>
      </w:tr>
    </w:tbl>
    <w:p w:rsidR="0036525D" w:rsidRPr="0036525D" w:rsidRDefault="0036525D" w:rsidP="0036525D">
      <w:pPr>
        <w:widowControl w:val="0"/>
        <w:suppressAutoHyphens/>
        <w:jc w:val="both"/>
        <w:rPr>
          <w:rFonts w:ascii="Calibri" w:eastAsia="SimSun" w:hAnsi="Calibri"/>
        </w:rPr>
      </w:pPr>
      <w:r>
        <w:rPr>
          <w:rFonts w:ascii="Calibri" w:hAnsi="Calibri"/>
        </w:rPr>
        <w:t>Following the analysis of the information sent by the 10 main credit authorities, the Ministry of Public Finance elaborated and submitted to the Government for approval the memorandum containing the prioritization results, which was approved in the session of October 11, 2018.</w:t>
      </w:r>
    </w:p>
    <w:p w:rsidR="0036525D" w:rsidRPr="0036525D" w:rsidRDefault="0036525D" w:rsidP="0036525D">
      <w:pPr>
        <w:widowControl w:val="0"/>
        <w:suppressAutoHyphens/>
        <w:spacing w:before="120"/>
        <w:jc w:val="both"/>
        <w:rPr>
          <w:rFonts w:ascii="Calibri" w:eastAsia="SimSun" w:hAnsi="Calibri"/>
        </w:rPr>
      </w:pPr>
      <w:r>
        <w:rPr>
          <w:rFonts w:ascii="Calibri" w:hAnsi="Calibri"/>
        </w:rPr>
        <w:t>We present hereinbelow the main aspects revealed in the memorandum:</w:t>
      </w:r>
    </w:p>
    <w:p w:rsidR="00D91D74" w:rsidRDefault="0036525D" w:rsidP="0036525D">
      <w:pPr>
        <w:widowControl w:val="0"/>
        <w:numPr>
          <w:ilvl w:val="0"/>
          <w:numId w:val="161"/>
        </w:numPr>
        <w:suppressAutoHyphens/>
        <w:spacing w:before="120"/>
        <w:jc w:val="both"/>
        <w:rPr>
          <w:rFonts w:ascii="Calibri" w:hAnsi="Calibri"/>
          <w:bCs/>
          <w:color w:val="00000A"/>
          <w:kern w:val="1"/>
        </w:rPr>
      </w:pPr>
      <w:r>
        <w:rPr>
          <w:rFonts w:ascii="Calibri" w:hAnsi="Calibri"/>
          <w:color w:val="00000A"/>
        </w:rPr>
        <w:t>The distribution of expenditures representing the total updated value of the projects by main credit authorities: it was found that the biggest share of expenditures belong to the Ministry of Transport (95.50%), followed by the Ministry of Waters and Forests (2.14%).</w:t>
      </w:r>
      <w:r>
        <w:rPr>
          <w:rFonts w:ascii="Calibri" w:hAnsi="Calibri"/>
          <w:bCs/>
          <w:color w:val="00000A"/>
        </w:rPr>
        <w:t xml:space="preserve"> The other ministries have a share below 1% (Figure 1).</w:t>
      </w:r>
    </w:p>
    <w:p w:rsidR="0030468A" w:rsidRDefault="0030468A" w:rsidP="0030468A">
      <w:pPr>
        <w:widowControl w:val="0"/>
        <w:suppressAutoHyphens/>
        <w:spacing w:before="120"/>
        <w:jc w:val="both"/>
        <w:rPr>
          <w:rFonts w:ascii="Calibri" w:hAnsi="Calibri"/>
          <w:bCs/>
          <w:color w:val="00000A"/>
          <w:kern w:val="1"/>
        </w:rPr>
      </w:pPr>
    </w:p>
    <w:p w:rsidR="0036525D" w:rsidRDefault="000E0129" w:rsidP="0036525D">
      <w:pPr>
        <w:widowControl w:val="0"/>
        <w:suppressAutoHyphens/>
        <w:spacing w:before="120"/>
        <w:jc w:val="both"/>
        <w:rPr>
          <w:rFonts w:ascii="Calibri" w:hAnsi="Calibri"/>
        </w:rPr>
      </w:pPr>
      <w:r>
        <w:rPr>
          <w:rFonts w:ascii="Calibri" w:hAnsi="Calibri"/>
          <w:bCs/>
          <w:noProof/>
          <w:color w:val="00000A"/>
          <w:kern w:val="1"/>
          <w:lang w:val="ro-RO" w:eastAsia="ro-RO"/>
        </w:rPr>
        <mc:AlternateContent>
          <mc:Choice Requires="wps">
            <w:drawing>
              <wp:anchor distT="0" distB="0" distL="114300" distR="114300" simplePos="0" relativeHeight="251657216" behindDoc="0" locked="0" layoutInCell="1" allowOverlap="1" wp14:anchorId="389261D0" wp14:editId="62BF3E34">
                <wp:simplePos x="0" y="0"/>
                <wp:positionH relativeFrom="column">
                  <wp:posOffset>1356995</wp:posOffset>
                </wp:positionH>
                <wp:positionV relativeFrom="paragraph">
                  <wp:posOffset>240030</wp:posOffset>
                </wp:positionV>
                <wp:extent cx="3179445" cy="370205"/>
                <wp:effectExtent l="13970" t="7620" r="6985" b="12700"/>
                <wp:wrapNone/>
                <wp:docPr id="651"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9445" cy="370205"/>
                        </a:xfrm>
                        <a:prstGeom prst="rect">
                          <a:avLst/>
                        </a:prstGeom>
                        <a:solidFill>
                          <a:srgbClr val="FFFFFF"/>
                        </a:solidFill>
                        <a:ln w="9525">
                          <a:solidFill>
                            <a:srgbClr val="000000"/>
                          </a:solidFill>
                          <a:miter lim="800000"/>
                          <a:headEnd/>
                          <a:tailEnd/>
                        </a:ln>
                      </wps:spPr>
                      <wps:txbx>
                        <w:txbxContent>
                          <w:p w:rsidR="005063CB" w:rsidRPr="00C21188" w:rsidRDefault="005063CB">
                            <w:pPr>
                              <w:rPr>
                                <w:sz w:val="20"/>
                              </w:rPr>
                            </w:pPr>
                            <w:r w:rsidRPr="00C21188">
                              <w:rPr>
                                <w:sz w:val="20"/>
                              </w:rPr>
                              <w:t xml:space="preserve">Percent distribution of the updated value of investment projects by </w:t>
                            </w:r>
                            <w:r>
                              <w:rPr>
                                <w:sz w:val="20"/>
                              </w:rPr>
                              <w:t>main spending authorities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261D0" id="Rectangle 405" o:spid="_x0000_s1102" style="position:absolute;left:0;text-align:left;margin-left:106.85pt;margin-top:18.9pt;width:250.35pt;height:29.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">
                <v:textbox>
                  <w:txbxContent>
                    <w:p w:rsidR="005063CB" w:rsidRPr="00C21188" w:rsidRDefault="005063CB">
                      <w:pPr>
                        <w:rPr>
                          <w:sz w:val="20"/>
                        </w:rPr>
                      </w:pPr>
                      <w:r w:rsidRPr="00C21188">
                        <w:rPr>
                          <w:sz w:val="20"/>
                        </w:rPr>
                        <w:t xml:space="preserve">Percent distribution of the updated value of investment projects by </w:t>
                      </w:r>
                      <w:r>
                        <w:rPr>
                          <w:sz w:val="20"/>
                        </w:rPr>
                        <w:t>main spending authorities</w:t>
                      </w:r>
                    </w:p>
                  </w:txbxContent>
                </v:textbox>
              </v:rect>
            </w:pict>
          </mc:Fallback>
        </mc:AlternateContent>
      </w:r>
      <w:r w:rsidR="0036525D">
        <w:rPr>
          <w:rFonts w:ascii="Calibri" w:hAnsi="Calibri"/>
        </w:rPr>
        <w:t>Figure 1</w:t>
      </w:r>
    </w:p>
    <w:p w:rsidR="000E0129" w:rsidRDefault="000E0129" w:rsidP="0036525D">
      <w:pPr>
        <w:widowControl w:val="0"/>
        <w:suppressAutoHyphens/>
        <w:spacing w:before="120"/>
        <w:jc w:val="both"/>
        <w:rPr>
          <w:rFonts w:ascii="Calibri" w:hAnsi="Calibri"/>
        </w:rPr>
      </w:pPr>
    </w:p>
    <w:p w:rsidR="000E0129" w:rsidRPr="0036525D" w:rsidRDefault="000E0129" w:rsidP="0036525D">
      <w:pPr>
        <w:widowControl w:val="0"/>
        <w:suppressAutoHyphens/>
        <w:spacing w:before="120"/>
        <w:jc w:val="both"/>
        <w:rPr>
          <w:rFonts w:ascii="Calibri" w:eastAsia="SimSun" w:hAnsi="Calibri"/>
        </w:rPr>
      </w:pPr>
    </w:p>
    <w:p w:rsidR="0036525D" w:rsidRPr="0036525D" w:rsidRDefault="0036525D" w:rsidP="0036525D">
      <w:pPr>
        <w:widowControl w:val="0"/>
        <w:suppressAutoHyphens/>
        <w:jc w:val="center"/>
        <w:rPr>
          <w:rFonts w:ascii="Calibri" w:eastAsia="SimSun" w:hAnsi="Calibri"/>
        </w:rPr>
      </w:pPr>
      <w:r>
        <w:rPr>
          <w:rFonts w:ascii="Calibri" w:hAnsi="Calibri"/>
          <w:noProof/>
          <w:lang w:val="ro-RO" w:eastAsia="ro-RO"/>
        </w:rPr>
        <w:drawing>
          <wp:inline distT="0" distB="0" distL="0" distR="0" wp14:anchorId="08411DC3" wp14:editId="451F831A">
            <wp:extent cx="4448175" cy="3038475"/>
            <wp:effectExtent l="0" t="0" r="9525" b="9525"/>
            <wp:docPr id="2" name="Diagramă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6525D" w:rsidRPr="0036525D" w:rsidRDefault="0036525D" w:rsidP="0036525D">
      <w:pPr>
        <w:widowControl w:val="0"/>
        <w:suppressAutoHyphens/>
        <w:rPr>
          <w:rFonts w:ascii="Calibri" w:eastAsia="SimSun" w:hAnsi="Calibri"/>
          <w:lang w:val="ro-RO" w:eastAsia="zh-CN" w:bidi="hi-IN"/>
        </w:rPr>
      </w:pPr>
    </w:p>
    <w:p w:rsidR="0036525D" w:rsidRPr="000E0129" w:rsidRDefault="0036525D" w:rsidP="00021698">
      <w:pPr>
        <w:widowControl w:val="0"/>
        <w:numPr>
          <w:ilvl w:val="0"/>
          <w:numId w:val="160"/>
        </w:numPr>
        <w:suppressAutoHyphens/>
        <w:spacing w:line="276" w:lineRule="auto"/>
        <w:contextualSpacing/>
        <w:jc w:val="both"/>
        <w:rPr>
          <w:rFonts w:ascii="Calibri" w:hAnsi="Calibri"/>
          <w:color w:val="00000A"/>
          <w:kern w:val="1"/>
        </w:rPr>
      </w:pPr>
      <w:r>
        <w:rPr>
          <w:rFonts w:ascii="Calibri" w:hAnsi="Calibri"/>
          <w:color w:val="00000A"/>
        </w:rPr>
        <w:t>Distribution of the rest of financing until completion of the investment projects by credit authorities: from the data presented in Figure 2 it results that the biggest share belongs to the Ministry of Transport (95.88%), followed by the Ministry of Waters and Forests (2.40%). The other ministries have a share below 1%.</w:t>
      </w:r>
    </w:p>
    <w:p w:rsidR="000E0129" w:rsidRDefault="000E0129" w:rsidP="000E0129">
      <w:pPr>
        <w:widowControl w:val="0"/>
        <w:suppressAutoHyphens/>
        <w:spacing w:line="276" w:lineRule="auto"/>
        <w:contextualSpacing/>
        <w:jc w:val="both"/>
        <w:rPr>
          <w:rFonts w:ascii="Calibri" w:hAnsi="Calibri"/>
          <w:color w:val="00000A"/>
        </w:rPr>
      </w:pPr>
    </w:p>
    <w:p w:rsidR="000E0129" w:rsidRPr="0036525D" w:rsidRDefault="000E0129" w:rsidP="000E0129">
      <w:pPr>
        <w:widowControl w:val="0"/>
        <w:suppressAutoHyphens/>
        <w:spacing w:line="276" w:lineRule="auto"/>
        <w:contextualSpacing/>
        <w:jc w:val="both"/>
        <w:rPr>
          <w:rFonts w:ascii="Calibri" w:hAnsi="Calibri"/>
          <w:color w:val="00000A"/>
          <w:kern w:val="1"/>
        </w:rPr>
      </w:pPr>
    </w:p>
    <w:p w:rsidR="0036525D" w:rsidRPr="0036525D" w:rsidRDefault="0036525D" w:rsidP="0036525D">
      <w:pPr>
        <w:widowControl w:val="0"/>
        <w:suppressAutoHyphens/>
        <w:jc w:val="both"/>
        <w:rPr>
          <w:rFonts w:ascii="Calibri" w:eastAsia="SimSun" w:hAnsi="Calibri"/>
          <w:lang w:val="ro-RO" w:eastAsia="zh-CN" w:bidi="hi-IN"/>
        </w:rPr>
      </w:pPr>
    </w:p>
    <w:p w:rsidR="0036525D" w:rsidRDefault="000E0129" w:rsidP="0036525D">
      <w:pPr>
        <w:widowControl w:val="0"/>
        <w:suppressAutoHyphens/>
        <w:jc w:val="both"/>
        <w:rPr>
          <w:rFonts w:ascii="Calibri" w:hAnsi="Calibri"/>
        </w:rPr>
      </w:pPr>
      <w:r>
        <w:rPr>
          <w:rFonts w:ascii="Calibri" w:hAnsi="Calibri"/>
          <w:bCs/>
          <w:noProof/>
          <w:color w:val="00000A"/>
          <w:kern w:val="1"/>
          <w:lang w:val="ro-RO" w:eastAsia="ro-RO"/>
        </w:rPr>
        <mc:AlternateContent>
          <mc:Choice Requires="wps">
            <w:drawing>
              <wp:anchor distT="0" distB="0" distL="114300" distR="114300" simplePos="0" relativeHeight="251660288" behindDoc="0" locked="0" layoutInCell="1" allowOverlap="1" wp14:anchorId="7D0D6684" wp14:editId="0622D1AA">
                <wp:simplePos x="0" y="0"/>
                <wp:positionH relativeFrom="column">
                  <wp:posOffset>1271270</wp:posOffset>
                </wp:positionH>
                <wp:positionV relativeFrom="paragraph">
                  <wp:posOffset>31115</wp:posOffset>
                </wp:positionV>
                <wp:extent cx="3480435" cy="370205"/>
                <wp:effectExtent l="13970" t="6350" r="10795" b="13970"/>
                <wp:wrapNone/>
                <wp:docPr id="650"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0435" cy="370205"/>
                        </a:xfrm>
                        <a:prstGeom prst="rect">
                          <a:avLst/>
                        </a:prstGeom>
                        <a:solidFill>
                          <a:srgbClr val="FFFFFF"/>
                        </a:solidFill>
                        <a:ln w="9525">
                          <a:solidFill>
                            <a:srgbClr val="000000"/>
                          </a:solidFill>
                          <a:miter lim="800000"/>
                          <a:headEnd/>
                          <a:tailEnd/>
                        </a:ln>
                      </wps:spPr>
                      <wps:txbx>
                        <w:txbxContent>
                          <w:p w:rsidR="005063CB" w:rsidRPr="00C21188" w:rsidRDefault="005063CB" w:rsidP="00C21188">
                            <w:pPr>
                              <w:rPr>
                                <w:sz w:val="20"/>
                              </w:rPr>
                            </w:pPr>
                            <w:r w:rsidRPr="00C21188">
                              <w:rPr>
                                <w:sz w:val="20"/>
                              </w:rPr>
                              <w:t xml:space="preserve">Percent distribution of the </w:t>
                            </w:r>
                            <w:r>
                              <w:rPr>
                                <w:sz w:val="20"/>
                              </w:rPr>
                              <w:t>rest of financing until completion</w:t>
                            </w:r>
                            <w:r w:rsidRPr="00C21188">
                              <w:rPr>
                                <w:sz w:val="20"/>
                              </w:rPr>
                              <w:t xml:space="preserve"> by </w:t>
                            </w:r>
                            <w:r>
                              <w:rPr>
                                <w:sz w:val="20"/>
                              </w:rPr>
                              <w:t>main spending authorities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D6684" id="Rectangle 406" o:spid="_x0000_s1103" style="position:absolute;left:0;text-align:left;margin-left:100.1pt;margin-top:2.45pt;width:274.05pt;height:2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">
                <v:textbox>
                  <w:txbxContent>
                    <w:p w:rsidR="005063CB" w:rsidRPr="00C21188" w:rsidRDefault="005063CB" w:rsidP="00C21188">
                      <w:pPr>
                        <w:rPr>
                          <w:sz w:val="20"/>
                        </w:rPr>
                      </w:pPr>
                      <w:r w:rsidRPr="00C21188">
                        <w:rPr>
                          <w:sz w:val="20"/>
                        </w:rPr>
                        <w:t xml:space="preserve">Percent distribution of the </w:t>
                      </w:r>
                      <w:r>
                        <w:rPr>
                          <w:sz w:val="20"/>
                        </w:rPr>
                        <w:t>rest of financing until completion</w:t>
                      </w:r>
                      <w:r w:rsidRPr="00C21188">
                        <w:rPr>
                          <w:sz w:val="20"/>
                        </w:rPr>
                        <w:t xml:space="preserve"> by </w:t>
                      </w:r>
                      <w:r>
                        <w:rPr>
                          <w:sz w:val="20"/>
                        </w:rPr>
                        <w:t>main spending authorities</w:t>
                      </w:r>
                    </w:p>
                  </w:txbxContent>
                </v:textbox>
              </v:rect>
            </w:pict>
          </mc:Fallback>
        </mc:AlternateContent>
      </w:r>
      <w:r w:rsidR="0036525D">
        <w:rPr>
          <w:rFonts w:ascii="Calibri" w:hAnsi="Calibri"/>
        </w:rPr>
        <w:t>Figure 2</w:t>
      </w:r>
    </w:p>
    <w:p w:rsidR="000E0129" w:rsidRDefault="000E0129" w:rsidP="0036525D">
      <w:pPr>
        <w:widowControl w:val="0"/>
        <w:suppressAutoHyphens/>
        <w:jc w:val="both"/>
        <w:rPr>
          <w:rFonts w:ascii="Calibri" w:hAnsi="Calibri"/>
        </w:rPr>
      </w:pPr>
    </w:p>
    <w:p w:rsidR="000E0129" w:rsidRPr="0036525D" w:rsidRDefault="000E0129" w:rsidP="0036525D">
      <w:pPr>
        <w:widowControl w:val="0"/>
        <w:suppressAutoHyphens/>
        <w:jc w:val="both"/>
        <w:rPr>
          <w:rFonts w:ascii="Calibri" w:eastAsia="SimSun" w:hAnsi="Calibri"/>
        </w:rPr>
      </w:pPr>
    </w:p>
    <w:p w:rsidR="0036525D" w:rsidRPr="0036525D" w:rsidRDefault="0036525D" w:rsidP="0036525D">
      <w:pPr>
        <w:widowControl w:val="0"/>
        <w:suppressAutoHyphens/>
        <w:jc w:val="center"/>
        <w:rPr>
          <w:rFonts w:ascii="Calibri" w:eastAsia="SimSun" w:hAnsi="Calibri"/>
        </w:rPr>
      </w:pPr>
      <w:r>
        <w:rPr>
          <w:rFonts w:ascii="Calibri" w:hAnsi="Calibri"/>
          <w:noProof/>
          <w:lang w:val="ro-RO" w:eastAsia="ro-RO"/>
        </w:rPr>
        <w:drawing>
          <wp:inline distT="0" distB="0" distL="0" distR="0">
            <wp:extent cx="4465320" cy="2453640"/>
            <wp:effectExtent l="0" t="0" r="11430" b="3810"/>
            <wp:docPr id="3" name="Diagramă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6525D" w:rsidRPr="0036525D" w:rsidRDefault="0036525D" w:rsidP="0036525D">
      <w:pPr>
        <w:widowControl w:val="0"/>
        <w:suppressAutoHyphens/>
        <w:jc w:val="both"/>
        <w:rPr>
          <w:rFonts w:ascii="Calibri" w:eastAsia="SimSun" w:hAnsi="Calibri"/>
          <w:lang w:val="ro-RO" w:eastAsia="zh-CN" w:bidi="hi-IN"/>
        </w:rPr>
      </w:pPr>
    </w:p>
    <w:p w:rsidR="0036525D" w:rsidRPr="003964D3" w:rsidRDefault="0036525D" w:rsidP="0036525D">
      <w:pPr>
        <w:widowControl w:val="0"/>
        <w:suppressAutoHyphens/>
        <w:jc w:val="both"/>
        <w:rPr>
          <w:rFonts w:ascii="Calibri" w:eastAsia="SimSun" w:hAnsi="Calibri"/>
        </w:rPr>
      </w:pPr>
      <w:r>
        <w:rPr>
          <w:rFonts w:ascii="Calibri" w:hAnsi="Calibri"/>
        </w:rPr>
        <w:t>With regard to the status of implementation of the 136 significant public investment projects sent by the main credit authorities in the prioritization process, it is found that:</w:t>
      </w:r>
    </w:p>
    <w:p w:rsidR="0036525D" w:rsidRPr="003964D3" w:rsidRDefault="0036525D" w:rsidP="0036525D">
      <w:pPr>
        <w:widowControl w:val="0"/>
        <w:suppressAutoHyphens/>
        <w:jc w:val="both"/>
        <w:rPr>
          <w:rFonts w:ascii="Calibri" w:eastAsia="SimSun" w:hAnsi="Calibri"/>
          <w:lang w:val="fr-FR" w:eastAsia="zh-CN" w:bidi="hi-IN"/>
        </w:rPr>
      </w:pPr>
    </w:p>
    <w:tbl>
      <w:tblPr>
        <w:tblStyle w:val="TableGrid8"/>
        <w:tblW w:w="0" w:type="auto"/>
        <w:tblLook w:val="04A0" w:firstRow="1" w:lastRow="0" w:firstColumn="1" w:lastColumn="0" w:noHBand="0" w:noVBand="1"/>
      </w:tblPr>
      <w:tblGrid>
        <w:gridCol w:w="4927"/>
        <w:gridCol w:w="4927"/>
      </w:tblGrid>
      <w:tr w:rsidR="0036525D" w:rsidRPr="0036525D" w:rsidTr="0036525D">
        <w:tc>
          <w:tcPr>
            <w:tcW w:w="4927" w:type="dxa"/>
          </w:tcPr>
          <w:p w:rsidR="0036525D" w:rsidRPr="0036525D" w:rsidRDefault="0036525D" w:rsidP="0036525D">
            <w:pPr>
              <w:widowControl w:val="0"/>
              <w:suppressAutoHyphens/>
              <w:jc w:val="center"/>
              <w:rPr>
                <w:rFonts w:ascii="Calibri" w:hAnsi="Calibri"/>
                <w:b/>
              </w:rPr>
            </w:pPr>
            <w:r>
              <w:rPr>
                <w:rFonts w:ascii="Calibri" w:hAnsi="Calibri"/>
                <w:b/>
              </w:rPr>
              <w:t>Status of implementation</w:t>
            </w:r>
          </w:p>
        </w:tc>
        <w:tc>
          <w:tcPr>
            <w:tcW w:w="4927" w:type="dxa"/>
          </w:tcPr>
          <w:p w:rsidR="0036525D" w:rsidRPr="0036525D" w:rsidRDefault="0036525D" w:rsidP="0036525D">
            <w:pPr>
              <w:widowControl w:val="0"/>
              <w:suppressAutoHyphens/>
              <w:jc w:val="center"/>
              <w:rPr>
                <w:rFonts w:ascii="Calibri" w:hAnsi="Calibri"/>
                <w:b/>
              </w:rPr>
            </w:pPr>
            <w:r>
              <w:rPr>
                <w:rFonts w:ascii="Calibri" w:hAnsi="Calibri"/>
                <w:b/>
              </w:rPr>
              <w:t>Number of projects</w:t>
            </w:r>
          </w:p>
        </w:tc>
      </w:tr>
      <w:tr w:rsidR="0036525D" w:rsidRPr="0036525D" w:rsidTr="0036525D">
        <w:tc>
          <w:tcPr>
            <w:tcW w:w="4927" w:type="dxa"/>
          </w:tcPr>
          <w:p w:rsidR="0036525D" w:rsidRPr="0036525D" w:rsidRDefault="0036525D" w:rsidP="0036525D">
            <w:pPr>
              <w:widowControl w:val="0"/>
              <w:suppressAutoHyphens/>
              <w:jc w:val="both"/>
              <w:rPr>
                <w:rFonts w:ascii="Calibri" w:hAnsi="Calibri"/>
              </w:rPr>
            </w:pPr>
            <w:r>
              <w:rPr>
                <w:rFonts w:ascii="Calibri" w:hAnsi="Calibri"/>
              </w:rPr>
              <w:t>Physical status of 0%</w:t>
            </w:r>
          </w:p>
        </w:tc>
        <w:tc>
          <w:tcPr>
            <w:tcW w:w="4927" w:type="dxa"/>
          </w:tcPr>
          <w:p w:rsidR="0036525D" w:rsidRPr="0036525D" w:rsidRDefault="0036525D" w:rsidP="0036525D">
            <w:pPr>
              <w:widowControl w:val="0"/>
              <w:suppressAutoHyphens/>
              <w:jc w:val="center"/>
              <w:rPr>
                <w:rFonts w:ascii="Calibri" w:hAnsi="Calibri"/>
              </w:rPr>
            </w:pPr>
            <w:r>
              <w:rPr>
                <w:rFonts w:ascii="Calibri" w:hAnsi="Calibri"/>
              </w:rPr>
              <w:t>35</w:t>
            </w:r>
          </w:p>
        </w:tc>
      </w:tr>
      <w:tr w:rsidR="0036525D" w:rsidRPr="0036525D" w:rsidTr="0036525D">
        <w:tc>
          <w:tcPr>
            <w:tcW w:w="4927" w:type="dxa"/>
          </w:tcPr>
          <w:p w:rsidR="0036525D" w:rsidRPr="0036525D" w:rsidRDefault="0036525D" w:rsidP="0036525D">
            <w:pPr>
              <w:widowControl w:val="0"/>
              <w:suppressAutoHyphens/>
              <w:jc w:val="both"/>
              <w:rPr>
                <w:rFonts w:ascii="Calibri" w:hAnsi="Calibri"/>
              </w:rPr>
            </w:pPr>
            <w:r>
              <w:rPr>
                <w:rFonts w:ascii="Calibri" w:hAnsi="Calibri"/>
              </w:rPr>
              <w:t>Projects in process of implementation</w:t>
            </w:r>
          </w:p>
        </w:tc>
        <w:tc>
          <w:tcPr>
            <w:tcW w:w="4927" w:type="dxa"/>
          </w:tcPr>
          <w:p w:rsidR="0036525D" w:rsidRPr="0036525D" w:rsidRDefault="0036525D" w:rsidP="0036525D">
            <w:pPr>
              <w:widowControl w:val="0"/>
              <w:suppressAutoHyphens/>
              <w:jc w:val="center"/>
              <w:rPr>
                <w:rFonts w:ascii="Calibri" w:hAnsi="Calibri"/>
              </w:rPr>
            </w:pPr>
            <w:r>
              <w:rPr>
                <w:rFonts w:ascii="Calibri" w:hAnsi="Calibri"/>
              </w:rPr>
              <w:t>60</w:t>
            </w:r>
          </w:p>
        </w:tc>
      </w:tr>
      <w:tr w:rsidR="0036525D" w:rsidRPr="0036525D" w:rsidTr="0036525D">
        <w:tc>
          <w:tcPr>
            <w:tcW w:w="4927" w:type="dxa"/>
          </w:tcPr>
          <w:p w:rsidR="0036525D" w:rsidRPr="0036525D" w:rsidRDefault="0036525D" w:rsidP="0036525D">
            <w:pPr>
              <w:widowControl w:val="0"/>
              <w:suppressAutoHyphens/>
              <w:jc w:val="both"/>
              <w:rPr>
                <w:rFonts w:ascii="Calibri" w:hAnsi="Calibri"/>
              </w:rPr>
            </w:pPr>
            <w:r>
              <w:rPr>
                <w:rFonts w:ascii="Calibri" w:hAnsi="Calibri"/>
              </w:rPr>
              <w:t>Projects with physical execution status of 100%</w:t>
            </w:r>
          </w:p>
        </w:tc>
        <w:tc>
          <w:tcPr>
            <w:tcW w:w="4927" w:type="dxa"/>
          </w:tcPr>
          <w:p w:rsidR="0036525D" w:rsidRPr="0036525D" w:rsidRDefault="0036525D" w:rsidP="0036525D">
            <w:pPr>
              <w:widowControl w:val="0"/>
              <w:suppressAutoHyphens/>
              <w:jc w:val="center"/>
              <w:rPr>
                <w:rFonts w:ascii="Calibri" w:hAnsi="Calibri"/>
              </w:rPr>
            </w:pPr>
            <w:r>
              <w:rPr>
                <w:rFonts w:ascii="Calibri" w:hAnsi="Calibri"/>
              </w:rPr>
              <w:t>41</w:t>
            </w:r>
          </w:p>
        </w:tc>
      </w:tr>
    </w:tbl>
    <w:p w:rsidR="004467B6" w:rsidRDefault="004467B6" w:rsidP="00CB21FA">
      <w:pPr>
        <w:widowControl w:val="0"/>
        <w:autoSpaceDE w:val="0"/>
        <w:autoSpaceDN w:val="0"/>
        <w:adjustRightInd w:val="0"/>
        <w:rPr>
          <w:rFonts w:ascii="Calibri" w:hAnsi="Calibri" w:cs="Arial"/>
          <w:b/>
          <w:color w:val="000080"/>
          <w:shd w:val="clear" w:color="auto" w:fill="99CCFF"/>
          <w:lang w:val="ro-RO"/>
        </w:rPr>
      </w:pPr>
    </w:p>
    <w:p w:rsidR="00CB21FA" w:rsidRPr="00CB21FA" w:rsidRDefault="00CB21FA" w:rsidP="00CB21FA">
      <w:pPr>
        <w:widowControl w:val="0"/>
        <w:autoSpaceDE w:val="0"/>
        <w:autoSpaceDN w:val="0"/>
        <w:adjustRightInd w:val="0"/>
        <w:rPr>
          <w:rFonts w:ascii="Calibri" w:hAnsi="Calibri" w:cs="Arial"/>
          <w:b/>
          <w:color w:val="0000CC"/>
        </w:rPr>
      </w:pPr>
      <w:r>
        <w:rPr>
          <w:rFonts w:ascii="Calibri" w:hAnsi="Calibri"/>
          <w:b/>
          <w:color w:val="000080"/>
          <w:shd w:val="clear" w:color="auto" w:fill="99CCFF"/>
        </w:rPr>
        <w:t>Investments made in public-private partnerships in Romania</w:t>
      </w:r>
    </w:p>
    <w:p w:rsidR="00CB21FA" w:rsidRPr="00CB21FA" w:rsidRDefault="00CB21FA" w:rsidP="00CB21FA">
      <w:pPr>
        <w:spacing w:before="120" w:after="120"/>
        <w:rPr>
          <w:rFonts w:ascii="Calibri" w:hAnsi="Calibri" w:cs="Arial"/>
          <w:b/>
          <w:color w:val="365F91"/>
        </w:rPr>
      </w:pPr>
      <w:r>
        <w:rPr>
          <w:rFonts w:ascii="Calibri" w:hAnsi="Calibri"/>
          <w:b/>
          <w:color w:val="365F91"/>
        </w:rPr>
        <w:t>Current legal framework</w:t>
      </w:r>
    </w:p>
    <w:p w:rsidR="00581DA7" w:rsidRPr="00CB21FA" w:rsidRDefault="00581DA7" w:rsidP="00581DA7">
      <w:pPr>
        <w:spacing w:before="120" w:after="120"/>
        <w:jc w:val="both"/>
        <w:rPr>
          <w:rFonts w:ascii="Calibri" w:hAnsi="Calibri" w:cs="Arial"/>
        </w:rPr>
      </w:pPr>
      <w:r>
        <w:rPr>
          <w:rFonts w:ascii="Calibri" w:hAnsi="Calibri"/>
        </w:rPr>
        <w:t>The current Government changed profoundly the current legal framework for PPPs, in order to simplify and make more efficient the process of award of implementation of investment projects in PPP through adoption of Emergency Ordinance no. 39/2018 on public-private partnerships, a law which does not have norms of implementation.</w:t>
      </w:r>
    </w:p>
    <w:p w:rsidR="00581DA7" w:rsidRPr="00CB21FA" w:rsidRDefault="00581DA7" w:rsidP="00581DA7">
      <w:pPr>
        <w:spacing w:before="120" w:after="120"/>
        <w:jc w:val="both"/>
        <w:rPr>
          <w:rFonts w:ascii="Calibri" w:hAnsi="Calibri" w:cs="Arial"/>
        </w:rPr>
      </w:pPr>
      <w:r>
        <w:rPr>
          <w:rFonts w:ascii="Calibri" w:hAnsi="Calibri"/>
        </w:rPr>
        <w:t>The main provisions of Emergency Ordinance no. 39/2018 are:</w:t>
      </w:r>
    </w:p>
    <w:p w:rsidR="00581DA7" w:rsidRPr="00CB21FA" w:rsidRDefault="00581DA7" w:rsidP="00021698">
      <w:pPr>
        <w:numPr>
          <w:ilvl w:val="0"/>
          <w:numId w:val="163"/>
        </w:numPr>
        <w:spacing w:before="120" w:after="120" w:line="276" w:lineRule="auto"/>
        <w:ind w:left="426" w:hanging="426"/>
        <w:jc w:val="both"/>
        <w:rPr>
          <w:rFonts w:ascii="Calibri" w:hAnsi="Calibri" w:cs="Arial"/>
        </w:rPr>
      </w:pPr>
      <w:r>
        <w:rPr>
          <w:rFonts w:ascii="Calibri" w:hAnsi="Calibri"/>
        </w:rPr>
        <w:t>Public-private partnerships have the object to create or, as applicable, to rehabilitate and/or extend an asset or certain assets which will belong to the public partner’s patrimony and/or the operation of a public service.</w:t>
      </w:r>
    </w:p>
    <w:p w:rsidR="00581DA7" w:rsidRPr="00CB21FA" w:rsidRDefault="00581DA7" w:rsidP="00021698">
      <w:pPr>
        <w:numPr>
          <w:ilvl w:val="0"/>
          <w:numId w:val="163"/>
        </w:numPr>
        <w:spacing w:after="200" w:line="276" w:lineRule="auto"/>
        <w:ind w:left="425" w:hanging="426"/>
        <w:jc w:val="both"/>
        <w:rPr>
          <w:rFonts w:ascii="Calibri" w:hAnsi="Calibri" w:cs="Arial"/>
        </w:rPr>
      </w:pPr>
      <w:r>
        <w:rPr>
          <w:rFonts w:ascii="Calibri" w:hAnsi="Calibri"/>
        </w:rPr>
        <w:t>Financing for investments, which is made within public-private partnerships, can be ensured as follows:</w:t>
      </w:r>
    </w:p>
    <w:p w:rsidR="00581DA7" w:rsidRPr="00CB21FA" w:rsidRDefault="00581DA7" w:rsidP="00021698">
      <w:pPr>
        <w:numPr>
          <w:ilvl w:val="0"/>
          <w:numId w:val="165"/>
        </w:numPr>
        <w:spacing w:after="200" w:line="276" w:lineRule="auto"/>
        <w:ind w:left="425" w:firstLine="0"/>
        <w:jc w:val="both"/>
        <w:rPr>
          <w:rFonts w:ascii="Calibri" w:hAnsi="Calibri" w:cs="Arial"/>
        </w:rPr>
      </w:pPr>
      <w:r>
        <w:rPr>
          <w:rFonts w:ascii="Calibri" w:hAnsi="Calibri"/>
        </w:rPr>
        <w:t>Entirely, from financial resources provided by the private partner;</w:t>
      </w:r>
    </w:p>
    <w:p w:rsidR="00581DA7" w:rsidRPr="00CB21FA" w:rsidRDefault="00581DA7" w:rsidP="00021698">
      <w:pPr>
        <w:numPr>
          <w:ilvl w:val="0"/>
          <w:numId w:val="165"/>
        </w:numPr>
        <w:spacing w:after="200" w:line="276" w:lineRule="auto"/>
        <w:ind w:left="425" w:firstLine="0"/>
        <w:jc w:val="both"/>
        <w:rPr>
          <w:rFonts w:ascii="Calibri" w:hAnsi="Calibri" w:cs="Arial"/>
        </w:rPr>
      </w:pPr>
      <w:r>
        <w:rPr>
          <w:rFonts w:ascii="Calibri" w:hAnsi="Calibri"/>
        </w:rPr>
        <w:t>From financial resources provided by the private partner, together with the public partner.</w:t>
      </w:r>
    </w:p>
    <w:p w:rsidR="00581DA7" w:rsidRPr="00CB21FA" w:rsidRDefault="00581DA7" w:rsidP="00021698">
      <w:pPr>
        <w:numPr>
          <w:ilvl w:val="0"/>
          <w:numId w:val="163"/>
        </w:numPr>
        <w:spacing w:before="120" w:after="120" w:line="276" w:lineRule="auto"/>
        <w:ind w:left="426" w:hanging="426"/>
        <w:jc w:val="both"/>
        <w:rPr>
          <w:rFonts w:ascii="Calibri" w:hAnsi="Calibri" w:cs="Arial"/>
        </w:rPr>
      </w:pPr>
      <w:r>
        <w:rPr>
          <w:rFonts w:ascii="Calibri" w:hAnsi="Calibri"/>
        </w:rPr>
        <w:t>The share of the public partner’s contribution to financing investments within a PPP agreement must not exceed 25% of the total investment, including from European funds.</w:t>
      </w:r>
    </w:p>
    <w:p w:rsidR="00581DA7" w:rsidRPr="00CB21FA" w:rsidRDefault="00581DA7" w:rsidP="00021698">
      <w:pPr>
        <w:numPr>
          <w:ilvl w:val="0"/>
          <w:numId w:val="163"/>
        </w:numPr>
        <w:spacing w:before="120" w:after="120" w:line="276" w:lineRule="auto"/>
        <w:ind w:left="426" w:hanging="426"/>
        <w:rPr>
          <w:rFonts w:ascii="Calibri" w:hAnsi="Calibri" w:cs="Arial"/>
        </w:rPr>
      </w:pPr>
      <w:r>
        <w:rPr>
          <w:rFonts w:ascii="Calibri" w:hAnsi="Calibri"/>
        </w:rPr>
        <w:t>The mechanism of the public-private partnership is characterized by the following main elements:</w:t>
      </w:r>
    </w:p>
    <w:p w:rsidR="00581DA7" w:rsidRPr="00CB21FA" w:rsidRDefault="00581DA7" w:rsidP="00021698">
      <w:pPr>
        <w:numPr>
          <w:ilvl w:val="0"/>
          <w:numId w:val="164"/>
        </w:numPr>
        <w:spacing w:after="200" w:line="276" w:lineRule="auto"/>
        <w:ind w:left="567" w:hanging="142"/>
        <w:jc w:val="both"/>
        <w:rPr>
          <w:rFonts w:ascii="Calibri" w:hAnsi="Calibri" w:cs="Arial"/>
        </w:rPr>
      </w:pPr>
      <w:r>
        <w:rPr>
          <w:rFonts w:ascii="Calibri" w:hAnsi="Calibri"/>
        </w:rPr>
        <w:t>cooperation between the public and private partners, in order to implement a public project;</w:t>
      </w:r>
    </w:p>
    <w:p w:rsidR="00581DA7" w:rsidRPr="00CB21FA" w:rsidRDefault="00581DA7" w:rsidP="00021698">
      <w:pPr>
        <w:numPr>
          <w:ilvl w:val="0"/>
          <w:numId w:val="164"/>
        </w:numPr>
        <w:spacing w:after="200" w:line="276" w:lineRule="auto"/>
        <w:ind w:left="567" w:hanging="142"/>
        <w:jc w:val="both"/>
        <w:rPr>
          <w:rFonts w:ascii="Calibri" w:hAnsi="Calibri" w:cs="Arial"/>
        </w:rPr>
      </w:pPr>
      <w:r>
        <w:rPr>
          <w:rFonts w:ascii="Calibri" w:hAnsi="Calibri"/>
        </w:rPr>
        <w:t>the relatively long duration of the contractual relationships, of over 5 years, which would allow the private partner to recover the investment and to make a reasonable profit;</w:t>
      </w:r>
    </w:p>
    <w:p w:rsidR="00581DA7" w:rsidRPr="00CB21FA" w:rsidRDefault="00581DA7" w:rsidP="00021698">
      <w:pPr>
        <w:numPr>
          <w:ilvl w:val="0"/>
          <w:numId w:val="164"/>
        </w:numPr>
        <w:spacing w:after="200" w:line="276" w:lineRule="auto"/>
        <w:ind w:left="567" w:hanging="142"/>
        <w:jc w:val="both"/>
        <w:rPr>
          <w:rFonts w:ascii="Calibri" w:hAnsi="Calibri" w:cs="Arial"/>
        </w:rPr>
      </w:pPr>
      <w:r>
        <w:rPr>
          <w:rFonts w:ascii="Calibri" w:hAnsi="Calibri"/>
        </w:rPr>
        <w:t>the project’s financing mainly from private funds and, as applicable, through placement in common of the private funds with public funds;</w:t>
      </w:r>
    </w:p>
    <w:p w:rsidR="00581DA7" w:rsidRPr="00CB21FA" w:rsidRDefault="00581DA7" w:rsidP="00021698">
      <w:pPr>
        <w:numPr>
          <w:ilvl w:val="0"/>
          <w:numId w:val="164"/>
        </w:numPr>
        <w:spacing w:after="200" w:line="276" w:lineRule="auto"/>
        <w:ind w:left="567" w:hanging="142"/>
        <w:jc w:val="both"/>
        <w:rPr>
          <w:rFonts w:ascii="Calibri" w:hAnsi="Calibri" w:cs="Arial"/>
        </w:rPr>
      </w:pPr>
      <w:r>
        <w:rPr>
          <w:rFonts w:ascii="Calibri" w:hAnsi="Calibri"/>
        </w:rPr>
        <w:t>reaching the purpose sought by the public and private partners;</w:t>
      </w:r>
    </w:p>
    <w:p w:rsidR="00581DA7" w:rsidRPr="00CB21FA" w:rsidRDefault="00581DA7" w:rsidP="00021698">
      <w:pPr>
        <w:numPr>
          <w:ilvl w:val="0"/>
          <w:numId w:val="164"/>
        </w:numPr>
        <w:spacing w:after="200" w:line="276" w:lineRule="auto"/>
        <w:ind w:left="567" w:hanging="142"/>
        <w:jc w:val="both"/>
        <w:rPr>
          <w:rFonts w:ascii="Calibri" w:hAnsi="Calibri" w:cs="Arial"/>
        </w:rPr>
      </w:pPr>
      <w:r>
        <w:rPr>
          <w:rFonts w:ascii="Calibri" w:hAnsi="Calibri"/>
        </w:rPr>
        <w:t>risk distribution between the public and private partners, according to the capacity of each contracting party to evaluate, manage, and control a certain risk.</w:t>
      </w:r>
    </w:p>
    <w:p w:rsidR="00581DA7" w:rsidRPr="00CB21FA" w:rsidRDefault="00581DA7" w:rsidP="00021698">
      <w:pPr>
        <w:numPr>
          <w:ilvl w:val="0"/>
          <w:numId w:val="163"/>
        </w:numPr>
        <w:spacing w:before="120" w:after="120" w:line="276" w:lineRule="auto"/>
        <w:ind w:left="426" w:hanging="426"/>
        <w:jc w:val="both"/>
        <w:rPr>
          <w:rFonts w:ascii="Calibri" w:hAnsi="Calibri" w:cs="Arial"/>
        </w:rPr>
      </w:pPr>
      <w:r>
        <w:rPr>
          <w:rFonts w:ascii="Calibri" w:hAnsi="Calibri"/>
        </w:rPr>
        <w:t>For the purpose of concluding and initiating the implementation of the obligations in the PPP agreement, it is necessary for the following stages to be followed:</w:t>
      </w:r>
    </w:p>
    <w:p w:rsidR="00581DA7" w:rsidRPr="00CB21FA" w:rsidRDefault="00581DA7" w:rsidP="00021698">
      <w:pPr>
        <w:numPr>
          <w:ilvl w:val="0"/>
          <w:numId w:val="166"/>
        </w:numPr>
        <w:spacing w:after="200" w:line="276" w:lineRule="auto"/>
        <w:ind w:left="709" w:hanging="284"/>
        <w:jc w:val="both"/>
        <w:rPr>
          <w:rFonts w:ascii="Calibri" w:hAnsi="Calibri" w:cs="Arial"/>
        </w:rPr>
      </w:pPr>
      <w:r>
        <w:rPr>
          <w:rFonts w:ascii="Calibri" w:hAnsi="Calibri"/>
        </w:rPr>
        <w:t>the performance of a substantiation study by the public partner;</w:t>
      </w:r>
    </w:p>
    <w:p w:rsidR="00581DA7" w:rsidRPr="00CB21FA" w:rsidRDefault="00581DA7" w:rsidP="00021698">
      <w:pPr>
        <w:numPr>
          <w:ilvl w:val="0"/>
          <w:numId w:val="166"/>
        </w:numPr>
        <w:spacing w:after="200" w:line="276" w:lineRule="auto"/>
        <w:ind w:left="709" w:hanging="284"/>
        <w:jc w:val="both"/>
        <w:rPr>
          <w:rFonts w:ascii="Calibri" w:hAnsi="Calibri" w:cs="Arial"/>
        </w:rPr>
      </w:pPr>
      <w:r>
        <w:rPr>
          <w:rFonts w:ascii="Calibri" w:hAnsi="Calibri"/>
        </w:rPr>
        <w:t>the approval by the Government of the substantiation study for the projects from the central administration or, as applicable, by the competent authorities for the projects from the local public administration;</w:t>
      </w:r>
    </w:p>
    <w:p w:rsidR="00581DA7" w:rsidRPr="00CB21FA" w:rsidRDefault="00581DA7" w:rsidP="00021698">
      <w:pPr>
        <w:numPr>
          <w:ilvl w:val="0"/>
          <w:numId w:val="166"/>
        </w:numPr>
        <w:spacing w:after="200" w:line="276" w:lineRule="auto"/>
        <w:ind w:left="709" w:hanging="284"/>
        <w:jc w:val="both"/>
        <w:rPr>
          <w:rFonts w:ascii="Calibri" w:hAnsi="Calibri" w:cs="Arial"/>
        </w:rPr>
      </w:pPr>
      <w:r>
        <w:rPr>
          <w:rFonts w:ascii="Calibri" w:hAnsi="Calibri"/>
        </w:rPr>
        <w:t>the award procedure of the PPP agreement;</w:t>
      </w:r>
    </w:p>
    <w:p w:rsidR="00581DA7" w:rsidRPr="00CB21FA" w:rsidRDefault="00581DA7" w:rsidP="00021698">
      <w:pPr>
        <w:numPr>
          <w:ilvl w:val="0"/>
          <w:numId w:val="166"/>
        </w:numPr>
        <w:spacing w:after="200" w:line="276" w:lineRule="auto"/>
        <w:ind w:left="709" w:hanging="284"/>
        <w:jc w:val="both"/>
        <w:rPr>
          <w:rFonts w:ascii="Calibri" w:hAnsi="Calibri" w:cs="Arial"/>
        </w:rPr>
      </w:pPr>
      <w:r>
        <w:rPr>
          <w:rFonts w:ascii="Calibri" w:hAnsi="Calibri"/>
        </w:rPr>
        <w:t>the approval by the Government of the PPP agreement resulting after the completion of negotiations started by the parties, in the case of projects from the central administration or, as applicable, by the competent authorities for the projects from the local public administration;</w:t>
      </w:r>
    </w:p>
    <w:p w:rsidR="00581DA7" w:rsidRPr="00CB21FA" w:rsidRDefault="00581DA7" w:rsidP="00021698">
      <w:pPr>
        <w:numPr>
          <w:ilvl w:val="0"/>
          <w:numId w:val="166"/>
        </w:numPr>
        <w:spacing w:after="200" w:line="276" w:lineRule="auto"/>
        <w:ind w:left="709" w:hanging="284"/>
        <w:jc w:val="both"/>
        <w:rPr>
          <w:rFonts w:ascii="Calibri" w:hAnsi="Calibri" w:cs="Arial"/>
        </w:rPr>
      </w:pPr>
      <w:r>
        <w:rPr>
          <w:rFonts w:ascii="Calibri" w:hAnsi="Calibri"/>
        </w:rPr>
        <w:t>signing of the PPP agreements.</w:t>
      </w:r>
    </w:p>
    <w:p w:rsidR="00581DA7" w:rsidRPr="003137F7" w:rsidRDefault="00581DA7" w:rsidP="00021698">
      <w:pPr>
        <w:numPr>
          <w:ilvl w:val="0"/>
          <w:numId w:val="163"/>
        </w:numPr>
        <w:spacing w:before="120" w:after="120" w:line="276" w:lineRule="auto"/>
        <w:ind w:left="426" w:hanging="426"/>
        <w:jc w:val="both"/>
        <w:rPr>
          <w:rFonts w:ascii="Calibri" w:hAnsi="Calibri" w:cs="Arial"/>
        </w:rPr>
      </w:pPr>
      <w:r>
        <w:rPr>
          <w:rFonts w:ascii="Calibri" w:hAnsi="Calibri"/>
        </w:rPr>
        <w:t>According to GEO no. 39/2018, the institution dealing with the preparation and award of strategic PPP projects is the National Commission for Strategy and Prognosis. According to Emergency Ordinance no. 28/2018, the National Commission for Strategy and Prognosis is the central unit</w:t>
      </w:r>
      <w:r>
        <w:rPr>
          <w:rFonts w:ascii="Calibri" w:hAnsi="Calibri"/>
          <w:shd w:val="clear" w:color="auto" w:fill="F9F9F9"/>
        </w:rPr>
        <w:t> </w:t>
      </w:r>
      <w:r>
        <w:rPr>
          <w:rFonts w:ascii="Calibri" w:hAnsi="Calibri"/>
        </w:rPr>
        <w:t xml:space="preserve"> of substantiation and award for the strategic investment projects carried out between the public sector and one or several private partners.</w:t>
      </w:r>
    </w:p>
    <w:p w:rsidR="00581DA7" w:rsidRPr="00CB21FA" w:rsidRDefault="00581DA7" w:rsidP="00581DA7">
      <w:pPr>
        <w:spacing w:before="120" w:after="120"/>
        <w:jc w:val="both"/>
        <w:rPr>
          <w:rFonts w:ascii="Calibri" w:hAnsi="Calibri" w:cs="Arial"/>
          <w:b/>
          <w:color w:val="365F91"/>
        </w:rPr>
      </w:pPr>
      <w:r>
        <w:rPr>
          <w:rFonts w:ascii="Calibri" w:hAnsi="Calibri"/>
          <w:b/>
          <w:color w:val="365F91"/>
        </w:rPr>
        <w:t>Strategic investment projects in PPP scheduled to be launched:</w:t>
      </w:r>
    </w:p>
    <w:p w:rsidR="00581DA7" w:rsidRPr="00CB21FA" w:rsidRDefault="00581DA7" w:rsidP="00021698">
      <w:pPr>
        <w:numPr>
          <w:ilvl w:val="0"/>
          <w:numId w:val="162"/>
        </w:numPr>
        <w:spacing w:before="120" w:after="120" w:line="276" w:lineRule="auto"/>
        <w:ind w:hanging="357"/>
        <w:jc w:val="both"/>
        <w:rPr>
          <w:rFonts w:ascii="Calibri" w:hAnsi="Calibri" w:cs="Arial"/>
          <w:b/>
        </w:rPr>
      </w:pPr>
      <w:r>
        <w:rPr>
          <w:rFonts w:ascii="Calibri" w:hAnsi="Calibri"/>
        </w:rPr>
        <w:t xml:space="preserve">Through Government Decision no. 357/2018 it was established that the National Commission for Strategy and Prognosis should prepare and award the following projects in the name of the public partners which shall implement them: </w:t>
      </w:r>
    </w:p>
    <w:p w:rsidR="00581DA7" w:rsidRPr="00CB21FA" w:rsidRDefault="00581DA7" w:rsidP="00021698">
      <w:pPr>
        <w:numPr>
          <w:ilvl w:val="0"/>
          <w:numId w:val="163"/>
        </w:numPr>
        <w:spacing w:after="200" w:line="276" w:lineRule="auto"/>
        <w:ind w:left="567" w:hanging="283"/>
        <w:rPr>
          <w:rFonts w:ascii="Calibri" w:hAnsi="Calibri" w:cs="Arial"/>
        </w:rPr>
      </w:pPr>
      <w:r>
        <w:rPr>
          <w:rFonts w:ascii="Calibri" w:hAnsi="Calibri"/>
        </w:rPr>
        <w:t>Ploiesti-Brasov Highway;</w:t>
      </w:r>
    </w:p>
    <w:p w:rsidR="00581DA7" w:rsidRPr="00CB21FA" w:rsidRDefault="00581DA7" w:rsidP="00021698">
      <w:pPr>
        <w:numPr>
          <w:ilvl w:val="0"/>
          <w:numId w:val="163"/>
        </w:numPr>
        <w:spacing w:after="200" w:line="276" w:lineRule="auto"/>
        <w:ind w:left="567" w:hanging="283"/>
        <w:rPr>
          <w:rFonts w:ascii="Calibri" w:hAnsi="Calibri" w:cs="Arial"/>
        </w:rPr>
      </w:pPr>
      <w:r>
        <w:rPr>
          <w:rFonts w:ascii="Calibri" w:hAnsi="Calibri"/>
        </w:rPr>
        <w:t>Bucharest - Craiova - Calafat - Drobeta-Turnu Severin - Lugoj Highway;</w:t>
      </w:r>
    </w:p>
    <w:p w:rsidR="00581DA7" w:rsidRPr="00CB21FA" w:rsidRDefault="00581DA7" w:rsidP="00021698">
      <w:pPr>
        <w:numPr>
          <w:ilvl w:val="0"/>
          <w:numId w:val="163"/>
        </w:numPr>
        <w:spacing w:after="200" w:line="276" w:lineRule="auto"/>
        <w:ind w:left="567" w:hanging="283"/>
        <w:rPr>
          <w:rFonts w:ascii="Calibri" w:hAnsi="Calibri" w:cs="Arial"/>
        </w:rPr>
      </w:pPr>
      <w:r>
        <w:rPr>
          <w:rFonts w:ascii="Calibri" w:hAnsi="Calibri"/>
        </w:rPr>
        <w:t>Targu - Neamt - Iasi - Ungheni Highway;</w:t>
      </w:r>
    </w:p>
    <w:p w:rsidR="00581DA7" w:rsidRPr="00CB21FA" w:rsidRDefault="00581DA7" w:rsidP="00021698">
      <w:pPr>
        <w:numPr>
          <w:ilvl w:val="0"/>
          <w:numId w:val="163"/>
        </w:numPr>
        <w:spacing w:after="200" w:line="276" w:lineRule="auto"/>
        <w:ind w:left="567" w:hanging="283"/>
        <w:rPr>
          <w:rFonts w:ascii="Calibri" w:hAnsi="Calibri" w:cs="Arial"/>
        </w:rPr>
      </w:pPr>
      <w:r>
        <w:rPr>
          <w:rFonts w:ascii="Calibri" w:hAnsi="Calibri"/>
        </w:rPr>
        <w:t>Operating services in public-private partnership in the health field, within a package composed of CFR hospitals;</w:t>
      </w:r>
    </w:p>
    <w:p w:rsidR="00581DA7" w:rsidRPr="00CB21FA" w:rsidRDefault="00581DA7" w:rsidP="00021698">
      <w:pPr>
        <w:numPr>
          <w:ilvl w:val="0"/>
          <w:numId w:val="163"/>
        </w:numPr>
        <w:spacing w:after="200" w:line="276" w:lineRule="auto"/>
        <w:ind w:left="567" w:hanging="283"/>
        <w:rPr>
          <w:rFonts w:ascii="Calibri" w:hAnsi="Calibri" w:cs="Arial"/>
        </w:rPr>
      </w:pPr>
      <w:r>
        <w:rPr>
          <w:rFonts w:ascii="Calibri" w:hAnsi="Calibri"/>
        </w:rPr>
        <w:t>The “Carol Davila - University Medical City” Medical Complex.</w:t>
      </w:r>
    </w:p>
    <w:p w:rsidR="00581DA7" w:rsidRPr="00CB21FA" w:rsidRDefault="00581DA7" w:rsidP="00021698">
      <w:pPr>
        <w:numPr>
          <w:ilvl w:val="0"/>
          <w:numId w:val="162"/>
        </w:numPr>
        <w:spacing w:before="120" w:after="120" w:line="276" w:lineRule="auto"/>
        <w:ind w:hanging="357"/>
        <w:jc w:val="both"/>
        <w:rPr>
          <w:rFonts w:ascii="Calibri" w:hAnsi="Calibri" w:cs="Arial"/>
        </w:rPr>
      </w:pPr>
      <w:r>
        <w:rPr>
          <w:rFonts w:ascii="Calibri" w:hAnsi="Calibri"/>
        </w:rPr>
        <w:t>Through Government Decision no. 643/2018 was supplemented the List of strategic investment projects with the following projects:</w:t>
      </w:r>
    </w:p>
    <w:p w:rsidR="00581DA7" w:rsidRPr="00CB21FA" w:rsidRDefault="000E0129" w:rsidP="000E0129">
      <w:pPr>
        <w:numPr>
          <w:ilvl w:val="0"/>
          <w:numId w:val="163"/>
        </w:numPr>
        <w:spacing w:after="200" w:line="276" w:lineRule="auto"/>
        <w:ind w:left="567" w:hanging="283"/>
        <w:rPr>
          <w:rFonts w:ascii="Calibri" w:hAnsi="Calibri" w:cs="Arial"/>
        </w:rPr>
      </w:pPr>
      <w:r>
        <w:rPr>
          <w:rFonts w:ascii="Calibri" w:hAnsi="Calibri"/>
        </w:rPr>
        <w:t xml:space="preserve">High speed railway line </w:t>
      </w:r>
      <w:r w:rsidR="00581DA7">
        <w:rPr>
          <w:rFonts w:ascii="Calibri" w:hAnsi="Calibri"/>
        </w:rPr>
        <w:t>Bucharest - Craiova/Sofia - Timisoara/Belgrad</w:t>
      </w:r>
      <w:r w:rsidR="00916FF8">
        <w:rPr>
          <w:rFonts w:ascii="Calibri" w:hAnsi="Calibri"/>
        </w:rPr>
        <w:t>e</w:t>
      </w:r>
      <w:r w:rsidR="00581DA7">
        <w:rPr>
          <w:rFonts w:ascii="Calibri" w:hAnsi="Calibri"/>
        </w:rPr>
        <w:t xml:space="preserve"> - Cluj/Budapest;</w:t>
      </w:r>
    </w:p>
    <w:p w:rsidR="00581DA7" w:rsidRPr="00CB21FA" w:rsidRDefault="00581DA7" w:rsidP="00021698">
      <w:pPr>
        <w:numPr>
          <w:ilvl w:val="0"/>
          <w:numId w:val="163"/>
        </w:numPr>
        <w:spacing w:after="200" w:line="276" w:lineRule="auto"/>
        <w:ind w:left="567" w:hanging="283"/>
        <w:jc w:val="both"/>
        <w:rPr>
          <w:rFonts w:ascii="Calibri" w:hAnsi="Calibri" w:cs="Arial"/>
        </w:rPr>
      </w:pPr>
      <w:r>
        <w:rPr>
          <w:rFonts w:ascii="Calibri" w:hAnsi="Calibri"/>
        </w:rPr>
        <w:t xml:space="preserve"> Extension of the subway network through construction of M7 </w:t>
      </w:r>
      <w:r w:rsidR="00C21188">
        <w:rPr>
          <w:rFonts w:ascii="Calibri" w:hAnsi="Calibri"/>
        </w:rPr>
        <w:t>thoroughfare</w:t>
      </w:r>
      <w:r>
        <w:rPr>
          <w:rFonts w:ascii="Calibri" w:hAnsi="Calibri"/>
        </w:rPr>
        <w:t>;</w:t>
      </w:r>
    </w:p>
    <w:p w:rsidR="00581DA7" w:rsidRPr="00CB21FA" w:rsidRDefault="00581DA7" w:rsidP="00021698">
      <w:pPr>
        <w:numPr>
          <w:ilvl w:val="0"/>
          <w:numId w:val="163"/>
        </w:numPr>
        <w:spacing w:after="200" w:line="276" w:lineRule="auto"/>
        <w:ind w:left="567" w:hanging="283"/>
        <w:jc w:val="both"/>
        <w:rPr>
          <w:rFonts w:ascii="Calibri" w:hAnsi="Calibri" w:cs="Arial"/>
        </w:rPr>
      </w:pPr>
      <w:r>
        <w:rPr>
          <w:rFonts w:ascii="Calibri" w:hAnsi="Calibri"/>
        </w:rPr>
        <w:t>Construction of South Bucharest airport;</w:t>
      </w:r>
    </w:p>
    <w:p w:rsidR="00581DA7" w:rsidRPr="00CB21FA" w:rsidRDefault="00581DA7" w:rsidP="00021698">
      <w:pPr>
        <w:numPr>
          <w:ilvl w:val="0"/>
          <w:numId w:val="163"/>
        </w:numPr>
        <w:spacing w:after="200" w:line="276" w:lineRule="auto"/>
        <w:ind w:left="567" w:hanging="283"/>
        <w:jc w:val="both"/>
        <w:rPr>
          <w:rFonts w:ascii="Calibri" w:hAnsi="Calibri" w:cs="Arial"/>
        </w:rPr>
      </w:pPr>
      <w:r>
        <w:rPr>
          <w:rFonts w:ascii="Calibri" w:hAnsi="Calibri"/>
        </w:rPr>
        <w:t>Malls no. 3 and 4 in South Constanta Port;</w:t>
      </w:r>
    </w:p>
    <w:p w:rsidR="00581DA7" w:rsidRPr="00CB21FA" w:rsidRDefault="00581DA7" w:rsidP="00021698">
      <w:pPr>
        <w:numPr>
          <w:ilvl w:val="0"/>
          <w:numId w:val="163"/>
        </w:numPr>
        <w:spacing w:after="200" w:line="276" w:lineRule="auto"/>
        <w:ind w:left="567" w:hanging="283"/>
        <w:jc w:val="both"/>
        <w:rPr>
          <w:rFonts w:ascii="Calibri" w:hAnsi="Calibri" w:cs="Arial"/>
        </w:rPr>
      </w:pPr>
      <w:r>
        <w:rPr>
          <w:rFonts w:ascii="Calibri" w:hAnsi="Calibri"/>
        </w:rPr>
        <w:t> Completion of main channel Siret - Baragan;</w:t>
      </w:r>
    </w:p>
    <w:p w:rsidR="00581DA7" w:rsidRPr="00CB21FA" w:rsidRDefault="00581DA7" w:rsidP="00021698">
      <w:pPr>
        <w:numPr>
          <w:ilvl w:val="0"/>
          <w:numId w:val="163"/>
        </w:numPr>
        <w:spacing w:after="200" w:line="276" w:lineRule="auto"/>
        <w:ind w:left="567" w:hanging="283"/>
        <w:jc w:val="both"/>
        <w:rPr>
          <w:rFonts w:ascii="Calibri" w:hAnsi="Calibri" w:cs="Arial"/>
        </w:rPr>
      </w:pPr>
      <w:r>
        <w:rPr>
          <w:rFonts w:ascii="Calibri" w:hAnsi="Calibri"/>
        </w:rPr>
        <w:t> Arrangement of the rivers Arges and Dambovita for navigation;</w:t>
      </w:r>
    </w:p>
    <w:p w:rsidR="00581DA7" w:rsidRPr="00CB21FA" w:rsidRDefault="00581DA7" w:rsidP="00021698">
      <w:pPr>
        <w:numPr>
          <w:ilvl w:val="0"/>
          <w:numId w:val="163"/>
        </w:numPr>
        <w:spacing w:after="200" w:line="276" w:lineRule="auto"/>
        <w:ind w:left="567" w:hanging="283"/>
        <w:jc w:val="both"/>
        <w:rPr>
          <w:rFonts w:ascii="Calibri" w:hAnsi="Calibri" w:cs="Arial"/>
        </w:rPr>
      </w:pPr>
      <w:r>
        <w:rPr>
          <w:rFonts w:ascii="Calibri" w:hAnsi="Calibri"/>
        </w:rPr>
        <w:t>Hydro-technical complex Turnu-Magurele - Nicopole on the Danube river;</w:t>
      </w:r>
    </w:p>
    <w:p w:rsidR="00581DA7" w:rsidRPr="00CB21FA" w:rsidRDefault="00581DA7" w:rsidP="00021698">
      <w:pPr>
        <w:numPr>
          <w:ilvl w:val="0"/>
          <w:numId w:val="163"/>
        </w:numPr>
        <w:spacing w:after="200" w:line="276" w:lineRule="auto"/>
        <w:ind w:left="567" w:hanging="283"/>
        <w:jc w:val="both"/>
        <w:rPr>
          <w:rFonts w:ascii="Calibri" w:hAnsi="Calibri" w:cs="Arial"/>
        </w:rPr>
      </w:pPr>
      <w:r>
        <w:rPr>
          <w:rFonts w:ascii="Calibri" w:hAnsi="Calibri"/>
        </w:rPr>
        <w:t>Pumping based hydro-electric plant in Tarnita-Lapustesti;</w:t>
      </w:r>
    </w:p>
    <w:p w:rsidR="00581DA7" w:rsidRPr="00CB21FA" w:rsidRDefault="00581DA7" w:rsidP="00021698">
      <w:pPr>
        <w:numPr>
          <w:ilvl w:val="0"/>
          <w:numId w:val="163"/>
        </w:numPr>
        <w:spacing w:after="200" w:line="276" w:lineRule="auto"/>
        <w:ind w:left="567" w:hanging="283"/>
        <w:jc w:val="both"/>
        <w:rPr>
          <w:rFonts w:ascii="Calibri" w:hAnsi="Calibri" w:cs="Arial"/>
        </w:rPr>
      </w:pPr>
      <w:r>
        <w:rPr>
          <w:rFonts w:ascii="Calibri" w:hAnsi="Calibri"/>
        </w:rPr>
        <w:t>Construction of a factory of electric means of transport;</w:t>
      </w:r>
    </w:p>
    <w:p w:rsidR="00581DA7" w:rsidRPr="00CB21FA" w:rsidRDefault="00581DA7" w:rsidP="00021698">
      <w:pPr>
        <w:numPr>
          <w:ilvl w:val="0"/>
          <w:numId w:val="163"/>
        </w:numPr>
        <w:spacing w:after="200" w:line="276" w:lineRule="auto"/>
        <w:ind w:left="567" w:hanging="283"/>
        <w:jc w:val="both"/>
        <w:rPr>
          <w:rFonts w:ascii="Calibri" w:hAnsi="Calibri" w:cs="Arial"/>
        </w:rPr>
      </w:pPr>
      <w:r>
        <w:rPr>
          <w:rFonts w:ascii="Calibri" w:hAnsi="Calibri"/>
        </w:rPr>
        <w:t>Construction of a system of luxury resorts at the Black Sea - New Costinesti;</w:t>
      </w:r>
    </w:p>
    <w:p w:rsidR="00581DA7" w:rsidRPr="00CB21FA" w:rsidRDefault="00581DA7" w:rsidP="00021698">
      <w:pPr>
        <w:numPr>
          <w:ilvl w:val="0"/>
          <w:numId w:val="163"/>
        </w:numPr>
        <w:spacing w:after="200" w:line="276" w:lineRule="auto"/>
        <w:ind w:left="567" w:hanging="283"/>
        <w:jc w:val="both"/>
        <w:rPr>
          <w:rFonts w:ascii="Calibri" w:hAnsi="Calibri" w:cs="Arial"/>
        </w:rPr>
      </w:pPr>
      <w:r>
        <w:rPr>
          <w:rFonts w:ascii="Calibri" w:hAnsi="Calibri"/>
        </w:rPr>
        <w:t>A new tourist complex for skiing in the Fagaras massive;</w:t>
      </w:r>
    </w:p>
    <w:p w:rsidR="00581DA7" w:rsidRPr="00CB21FA" w:rsidRDefault="00581DA7" w:rsidP="00021698">
      <w:pPr>
        <w:numPr>
          <w:ilvl w:val="0"/>
          <w:numId w:val="163"/>
        </w:numPr>
        <w:spacing w:after="200" w:line="276" w:lineRule="auto"/>
        <w:ind w:left="567" w:hanging="283"/>
        <w:jc w:val="both"/>
        <w:rPr>
          <w:rFonts w:ascii="Calibri" w:hAnsi="Calibri" w:cs="Arial"/>
        </w:rPr>
      </w:pPr>
      <w:r>
        <w:rPr>
          <w:rFonts w:ascii="Calibri" w:hAnsi="Calibri"/>
          <w:shd w:val="clear" w:color="auto" w:fill="F9F9F9"/>
        </w:rPr>
        <w:t> </w:t>
      </w:r>
      <w:r>
        <w:rPr>
          <w:rFonts w:ascii="Calibri" w:hAnsi="Calibri"/>
        </w:rPr>
        <w:t>Construction and operation of a national bank for blood, human plasma and stem cells;</w:t>
      </w:r>
    </w:p>
    <w:p w:rsidR="00581DA7" w:rsidRPr="00CB21FA" w:rsidRDefault="00581DA7" w:rsidP="00021698">
      <w:pPr>
        <w:numPr>
          <w:ilvl w:val="0"/>
          <w:numId w:val="163"/>
        </w:numPr>
        <w:spacing w:after="200" w:line="276" w:lineRule="auto"/>
        <w:ind w:left="567" w:hanging="283"/>
        <w:jc w:val="both"/>
        <w:rPr>
          <w:rFonts w:ascii="Calibri" w:hAnsi="Calibri" w:cs="Arial"/>
        </w:rPr>
      </w:pPr>
      <w:r>
        <w:rPr>
          <w:rFonts w:ascii="Calibri" w:hAnsi="Calibri"/>
        </w:rPr>
        <w:t>“Dr. Calistrat Grozovici” Multi-functional Clinic;</w:t>
      </w:r>
    </w:p>
    <w:p w:rsidR="00581DA7" w:rsidRPr="00CB21FA" w:rsidRDefault="00581DA7" w:rsidP="00021698">
      <w:pPr>
        <w:numPr>
          <w:ilvl w:val="0"/>
          <w:numId w:val="163"/>
        </w:numPr>
        <w:spacing w:after="200" w:line="276" w:lineRule="auto"/>
        <w:ind w:left="567" w:hanging="283"/>
        <w:jc w:val="both"/>
        <w:rPr>
          <w:rFonts w:ascii="Calibri" w:hAnsi="Calibri" w:cs="Arial"/>
        </w:rPr>
      </w:pPr>
      <w:r>
        <w:rPr>
          <w:rFonts w:ascii="Calibri" w:hAnsi="Calibri"/>
        </w:rPr>
        <w:t>Regional hospital in Timisoara;</w:t>
      </w:r>
    </w:p>
    <w:p w:rsidR="00581DA7" w:rsidRPr="00CB21FA" w:rsidRDefault="00581DA7" w:rsidP="00021698">
      <w:pPr>
        <w:numPr>
          <w:ilvl w:val="0"/>
          <w:numId w:val="163"/>
        </w:numPr>
        <w:spacing w:after="200" w:line="276" w:lineRule="auto"/>
        <w:ind w:left="567" w:hanging="283"/>
        <w:jc w:val="both"/>
        <w:rPr>
          <w:rFonts w:ascii="Calibri" w:hAnsi="Calibri" w:cs="Arial"/>
        </w:rPr>
      </w:pPr>
      <w:r>
        <w:rPr>
          <w:rFonts w:ascii="Calibri" w:hAnsi="Calibri"/>
        </w:rPr>
        <w:t>Regional hospital Braila-Galati;</w:t>
      </w:r>
    </w:p>
    <w:p w:rsidR="00581DA7" w:rsidRPr="00CB21FA" w:rsidRDefault="00581DA7" w:rsidP="00021698">
      <w:pPr>
        <w:numPr>
          <w:ilvl w:val="0"/>
          <w:numId w:val="163"/>
        </w:numPr>
        <w:spacing w:after="200" w:line="276" w:lineRule="auto"/>
        <w:ind w:left="567" w:hanging="283"/>
        <w:jc w:val="both"/>
        <w:rPr>
          <w:rFonts w:ascii="Calibri" w:hAnsi="Calibri" w:cs="Arial"/>
        </w:rPr>
      </w:pPr>
      <w:r>
        <w:rPr>
          <w:rFonts w:ascii="Calibri" w:hAnsi="Calibri"/>
        </w:rPr>
        <w:t>Regional hospital in Targu-Mures.</w:t>
      </w:r>
    </w:p>
    <w:p w:rsidR="00581DA7" w:rsidRPr="00CB21FA" w:rsidRDefault="00581DA7" w:rsidP="00581DA7">
      <w:pPr>
        <w:spacing w:before="120" w:after="120"/>
        <w:jc w:val="both"/>
        <w:rPr>
          <w:rFonts w:ascii="Calibri" w:hAnsi="Calibri" w:cs="Arial"/>
          <w:b/>
          <w:color w:val="365F91"/>
        </w:rPr>
      </w:pPr>
      <w:r>
        <w:rPr>
          <w:rFonts w:ascii="Calibri" w:hAnsi="Calibri"/>
          <w:b/>
          <w:color w:val="365F91"/>
        </w:rPr>
        <w:t>Status of award of agreements in public-private partnership</w:t>
      </w:r>
    </w:p>
    <w:p w:rsidR="00581DA7" w:rsidRPr="003137F7" w:rsidRDefault="00581DA7" w:rsidP="00581DA7">
      <w:pPr>
        <w:spacing w:before="120" w:after="120"/>
        <w:jc w:val="both"/>
        <w:rPr>
          <w:rFonts w:ascii="Calibri" w:hAnsi="Calibri" w:cs="Arial"/>
          <w:b/>
          <w:color w:val="365F91"/>
        </w:rPr>
      </w:pPr>
      <w:r>
        <w:rPr>
          <w:rFonts w:ascii="Calibri" w:hAnsi="Calibri"/>
        </w:rPr>
        <w:t xml:space="preserve">No agreement has been concluded until the present in public-private partnership under the conditions of the new legislation. The award of agreements in public-private partnership by the National Commission for Strategy and Prognosis, in the name of the public partners is in different stages of preparation, respectively: </w:t>
      </w:r>
    </w:p>
    <w:p w:rsidR="00581DA7" w:rsidRPr="003137F7" w:rsidRDefault="00581DA7" w:rsidP="00581DA7">
      <w:pPr>
        <w:spacing w:after="200" w:line="276" w:lineRule="auto"/>
        <w:jc w:val="both"/>
        <w:rPr>
          <w:rFonts w:ascii="Calibri" w:hAnsi="Calibri" w:cs="Arial"/>
        </w:rPr>
      </w:pPr>
      <w:r>
        <w:rPr>
          <w:rFonts w:ascii="Calibri" w:hAnsi="Calibri"/>
        </w:rPr>
        <w:t xml:space="preserve">For the </w:t>
      </w:r>
      <w:r>
        <w:rPr>
          <w:rFonts w:ascii="Calibri" w:hAnsi="Calibri"/>
          <w:b/>
        </w:rPr>
        <w:t>Ploiesti-Brasov Highway</w:t>
      </w:r>
      <w:r>
        <w:rPr>
          <w:rFonts w:ascii="Calibri" w:hAnsi="Calibri"/>
        </w:rPr>
        <w:t>, GD no. 667/2018 approved the Substantiation study. The award documentation for the public-private partnership agreement was published in SICAP and in the European Public Procurement Journal. The chosen auction procedure of the private partners for the project company that will make and operate this highway is competitive negotiation.</w:t>
      </w:r>
    </w:p>
    <w:p w:rsidR="00581DA7" w:rsidRPr="003137F7" w:rsidRDefault="00581DA7" w:rsidP="00581DA7">
      <w:pPr>
        <w:spacing w:after="200" w:line="276" w:lineRule="auto"/>
        <w:jc w:val="both"/>
        <w:rPr>
          <w:rFonts w:ascii="Calibri" w:hAnsi="Calibri" w:cs="Arial"/>
        </w:rPr>
      </w:pPr>
      <w:r>
        <w:rPr>
          <w:rFonts w:ascii="Calibri" w:hAnsi="Calibri"/>
        </w:rPr>
        <w:t>The highway, with a length of 109.3 km, transits and connects areas with a population density over the national average, but also with important economic units. It also transits an important tourist area, namely Valea Prahovei, which generates important road flows of destination or transit during the whole year, but especially at the end of the week and during the holidays and vacations.</w:t>
      </w:r>
    </w:p>
    <w:p w:rsidR="00581DA7" w:rsidRPr="003137F7" w:rsidRDefault="00581DA7" w:rsidP="00581DA7">
      <w:pPr>
        <w:spacing w:after="200" w:line="276" w:lineRule="auto"/>
        <w:jc w:val="both"/>
        <w:rPr>
          <w:rFonts w:ascii="Calibri" w:hAnsi="Calibri" w:cs="Arial"/>
        </w:rPr>
      </w:pPr>
      <w:r>
        <w:rPr>
          <w:rFonts w:ascii="Calibri" w:hAnsi="Calibri"/>
        </w:rPr>
        <w:t>It is provided that the highway will be executed within at most four years, including the design stage. The cost of the investment is of 1.36 billion EUR. The execution of the investment objective in public-private partnership presupposes that the private partner will be in charge with the exploitation and maintenance thereof for a term of 20 years. The project provides the operation of the entire highway section, from Bucharest to Brasov, which means the operation ever since the first year of the part between Bucharest and Ploiesti, which is already operational.</w:t>
      </w:r>
    </w:p>
    <w:p w:rsidR="00581DA7" w:rsidRPr="003137F7" w:rsidRDefault="00581DA7" w:rsidP="00581DA7">
      <w:pPr>
        <w:spacing w:after="200" w:line="276" w:lineRule="auto"/>
        <w:jc w:val="both"/>
        <w:rPr>
          <w:rFonts w:ascii="Calibri" w:hAnsi="Calibri" w:cs="Arial"/>
        </w:rPr>
      </w:pPr>
      <w:r>
        <w:rPr>
          <w:rFonts w:ascii="Calibri" w:hAnsi="Calibri"/>
        </w:rPr>
        <w:t xml:space="preserve">If the execution is made one year earlier, a bonus of 100 million EUR </w:t>
      </w:r>
      <w:r w:rsidR="00916FF8">
        <w:rPr>
          <w:rFonts w:ascii="Calibri" w:hAnsi="Calibri"/>
        </w:rPr>
        <w:t>will</w:t>
      </w:r>
      <w:r>
        <w:rPr>
          <w:rFonts w:ascii="Calibri" w:hAnsi="Calibri"/>
        </w:rPr>
        <w:t xml:space="preserve"> be given, while every delay will be penalized with the same amount. In order to ensure profitability throughout the entire term of execution and operation, the State will make annual payments of approximately 55 million EUR. </w:t>
      </w:r>
    </w:p>
    <w:p w:rsidR="00581DA7" w:rsidRPr="003137F7" w:rsidRDefault="00581DA7" w:rsidP="00581DA7">
      <w:pPr>
        <w:spacing w:after="200" w:line="276" w:lineRule="auto"/>
        <w:jc w:val="both"/>
        <w:rPr>
          <w:rFonts w:ascii="Calibri" w:hAnsi="Calibri" w:cs="Arial"/>
        </w:rPr>
      </w:pPr>
      <w:r>
        <w:rPr>
          <w:rFonts w:ascii="Calibri" w:hAnsi="Calibri"/>
        </w:rPr>
        <w:t>The public-private partnership project related to the “PLOIESTI-BRASOV” highway was very well received by foreign investors. 5 applicants registered for this auction, representing associations of the most representative international companies. Practically, there are 10 investors from China, Turkey, Spain, and Austria, many of them representing some of the most important construction companies, namely:</w:t>
      </w:r>
    </w:p>
    <w:p w:rsidR="00581DA7" w:rsidRPr="003137F7" w:rsidRDefault="00581DA7" w:rsidP="00565476">
      <w:pPr>
        <w:numPr>
          <w:ilvl w:val="0"/>
          <w:numId w:val="211"/>
        </w:numPr>
        <w:spacing w:after="200" w:line="276" w:lineRule="auto"/>
        <w:contextualSpacing/>
        <w:jc w:val="both"/>
        <w:rPr>
          <w:rFonts w:ascii="Calibri" w:hAnsi="Calibri" w:cs="Arial"/>
          <w:sz w:val="22"/>
          <w:szCs w:val="22"/>
        </w:rPr>
      </w:pPr>
      <w:r>
        <w:rPr>
          <w:rFonts w:ascii="Calibri" w:hAnsi="Calibri"/>
          <w:sz w:val="22"/>
          <w:szCs w:val="22"/>
        </w:rPr>
        <w:t>The Association STRABAG - IC ICTAS (Leader of the association STRABAG AG)</w:t>
      </w:r>
    </w:p>
    <w:p w:rsidR="00581DA7" w:rsidRPr="003137F7" w:rsidRDefault="00581DA7" w:rsidP="00565476">
      <w:pPr>
        <w:numPr>
          <w:ilvl w:val="0"/>
          <w:numId w:val="211"/>
        </w:numPr>
        <w:spacing w:after="200" w:line="276" w:lineRule="auto"/>
        <w:contextualSpacing/>
        <w:jc w:val="both"/>
        <w:rPr>
          <w:rFonts w:ascii="Calibri" w:hAnsi="Calibri" w:cs="Arial"/>
          <w:sz w:val="22"/>
          <w:szCs w:val="22"/>
        </w:rPr>
      </w:pPr>
      <w:r>
        <w:rPr>
          <w:rFonts w:ascii="Calibri" w:hAnsi="Calibri"/>
          <w:sz w:val="22"/>
          <w:szCs w:val="22"/>
        </w:rPr>
        <w:t xml:space="preserve">The Association China </w:t>
      </w:r>
      <w:r w:rsidR="00916FF8">
        <w:rPr>
          <w:rFonts w:ascii="Calibri" w:hAnsi="Calibri"/>
          <w:sz w:val="22"/>
          <w:szCs w:val="22"/>
        </w:rPr>
        <w:t>Communications</w:t>
      </w:r>
      <w:r>
        <w:rPr>
          <w:rFonts w:ascii="Calibri" w:hAnsi="Calibri"/>
          <w:sz w:val="22"/>
          <w:szCs w:val="22"/>
        </w:rPr>
        <w:t xml:space="preserve"> Construction Company LTD (CCCC) - MAKYOL (Leader of the association CCCC)</w:t>
      </w:r>
    </w:p>
    <w:p w:rsidR="00581DA7" w:rsidRPr="003137F7" w:rsidRDefault="00581DA7" w:rsidP="00565476">
      <w:pPr>
        <w:numPr>
          <w:ilvl w:val="0"/>
          <w:numId w:val="211"/>
        </w:numPr>
        <w:spacing w:after="200" w:line="276" w:lineRule="auto"/>
        <w:contextualSpacing/>
        <w:jc w:val="both"/>
        <w:rPr>
          <w:rFonts w:ascii="Calibri" w:hAnsi="Calibri" w:cs="Arial"/>
          <w:sz w:val="22"/>
          <w:szCs w:val="22"/>
        </w:rPr>
      </w:pPr>
      <w:r>
        <w:rPr>
          <w:rFonts w:ascii="Calibri" w:hAnsi="Calibri"/>
          <w:sz w:val="22"/>
          <w:szCs w:val="22"/>
        </w:rPr>
        <w:t>SINOHYDRO CORPORATION LIMITED(tenderer)- POWER CHINA ROADBRIDGE GROUP CO LTD(supporting third party)</w:t>
      </w:r>
    </w:p>
    <w:p w:rsidR="00581DA7" w:rsidRPr="003137F7" w:rsidRDefault="00581DA7" w:rsidP="00565476">
      <w:pPr>
        <w:numPr>
          <w:ilvl w:val="0"/>
          <w:numId w:val="211"/>
        </w:numPr>
        <w:spacing w:after="200" w:line="276" w:lineRule="auto"/>
        <w:contextualSpacing/>
        <w:jc w:val="both"/>
        <w:rPr>
          <w:rFonts w:ascii="Calibri" w:hAnsi="Calibri" w:cs="Arial"/>
          <w:sz w:val="22"/>
          <w:szCs w:val="22"/>
        </w:rPr>
      </w:pPr>
      <w:r>
        <w:rPr>
          <w:rFonts w:ascii="Calibri" w:hAnsi="Calibri"/>
          <w:sz w:val="22"/>
          <w:szCs w:val="22"/>
        </w:rPr>
        <w:t>ERG Insaat Ticaret ve Sanayi A.S (tenderer) - SSB SAUERWEIN &amp; SHAEFER BAU AG (subcontractor)</w:t>
      </w:r>
    </w:p>
    <w:p w:rsidR="00581DA7" w:rsidRPr="003137F7" w:rsidRDefault="00581DA7" w:rsidP="00565476">
      <w:pPr>
        <w:numPr>
          <w:ilvl w:val="0"/>
          <w:numId w:val="211"/>
        </w:numPr>
        <w:spacing w:after="200" w:line="276" w:lineRule="auto"/>
        <w:contextualSpacing/>
        <w:jc w:val="both"/>
        <w:rPr>
          <w:rFonts w:ascii="Calibri" w:hAnsi="Calibri" w:cs="Arial"/>
          <w:sz w:val="22"/>
          <w:szCs w:val="22"/>
        </w:rPr>
      </w:pPr>
      <w:r>
        <w:rPr>
          <w:rFonts w:ascii="Calibri" w:hAnsi="Calibri"/>
          <w:sz w:val="22"/>
          <w:szCs w:val="22"/>
        </w:rPr>
        <w:t>The Association ACCIONA CONCESIONES S.L - FCC CONSTRUCCION S.A.- with subcontractor ACCIONA CONSTRUCCION SA (Leader of the association ACCIONA CONCESIONES SL)</w:t>
      </w:r>
    </w:p>
    <w:p w:rsidR="00581DA7" w:rsidRPr="003137F7" w:rsidRDefault="00581DA7" w:rsidP="00581DA7">
      <w:pPr>
        <w:spacing w:after="200" w:line="276" w:lineRule="auto"/>
        <w:contextualSpacing/>
        <w:jc w:val="both"/>
        <w:rPr>
          <w:rFonts w:ascii="Calibri" w:hAnsi="Calibri" w:cs="Arial"/>
          <w:sz w:val="22"/>
          <w:szCs w:val="22"/>
        </w:rPr>
      </w:pPr>
      <w:r>
        <w:rPr>
          <w:rFonts w:ascii="Calibri" w:hAnsi="Calibri"/>
        </w:rPr>
        <w:t>The award procedure is in progress, in the stage of assessment of the qualification and selection of applicants, and after this stage is completed, the selected investors will be invited to submit the tenders on the basis of which the public-private partnership agreement shall be negotiated.</w:t>
      </w:r>
    </w:p>
    <w:p w:rsidR="00581DA7" w:rsidRPr="003137F7" w:rsidRDefault="00581DA7" w:rsidP="00581DA7">
      <w:pPr>
        <w:spacing w:after="200" w:line="276" w:lineRule="auto"/>
        <w:jc w:val="both"/>
        <w:rPr>
          <w:rFonts w:ascii="Calibri" w:hAnsi="Calibri" w:cs="Arial"/>
        </w:rPr>
      </w:pPr>
      <w:r>
        <w:rPr>
          <w:rFonts w:ascii="Calibri" w:hAnsi="Calibri"/>
        </w:rPr>
        <w:t xml:space="preserve">For </w:t>
      </w:r>
      <w:r>
        <w:rPr>
          <w:rFonts w:ascii="Calibri" w:hAnsi="Calibri"/>
          <w:b/>
        </w:rPr>
        <w:t>“Dr. Calistrat Grozovici” Multi-functional Clinic</w:t>
      </w:r>
      <w:r>
        <w:rPr>
          <w:rFonts w:ascii="Calibri" w:hAnsi="Calibri"/>
        </w:rPr>
        <w:t xml:space="preserve">, the G.D. No. 920/2018 approved the Substantiation Study. The award documentation for the public-private partnership agreement will be published in SICAP in December of this year and in the European Public Procurement Journal. The chosen auction procedure of the private partners for the project company that will make and operate this investment is competitive negotiation. </w:t>
      </w:r>
    </w:p>
    <w:p w:rsidR="00581DA7" w:rsidRPr="003137F7" w:rsidRDefault="00581DA7" w:rsidP="00581DA7">
      <w:pPr>
        <w:spacing w:after="200" w:line="276" w:lineRule="auto"/>
        <w:jc w:val="both"/>
        <w:rPr>
          <w:rFonts w:ascii="Calibri" w:hAnsi="Calibri" w:cs="Arial"/>
        </w:rPr>
      </w:pPr>
      <w:r>
        <w:rPr>
          <w:rFonts w:ascii="Calibri" w:hAnsi="Calibri"/>
        </w:rPr>
        <w:t>The substantiation study was elaborated by the National Commission of Strategy and Prognosis in collaboration with independent specialists, in accordance with the provisions of GEO no. 39/2018 on public-private partnership.</w:t>
      </w:r>
    </w:p>
    <w:p w:rsidR="00581DA7" w:rsidRPr="003137F7" w:rsidRDefault="00581DA7" w:rsidP="00581DA7">
      <w:pPr>
        <w:spacing w:after="200" w:line="276" w:lineRule="auto"/>
        <w:jc w:val="both"/>
        <w:rPr>
          <w:rFonts w:ascii="Calibri" w:hAnsi="Calibri" w:cs="Arial"/>
        </w:rPr>
      </w:pPr>
      <w:r>
        <w:rPr>
          <w:rFonts w:ascii="Calibri" w:hAnsi="Calibri"/>
        </w:rPr>
        <w:t>This is the first project in public-private partnership started in Romania in the health field, one of the Government’s priority fields. “Dr. Calistrat Grozovici” Clinic is located on the land plot offered by the National Institute of Infectious Diseases “Prof. Dr. Matei Blas” in Bucharest, which will also act as public partner in this project and which will thus have the responsibility for this investment project to be carried out at high quality standards.</w:t>
      </w:r>
    </w:p>
    <w:p w:rsidR="00581DA7" w:rsidRPr="003137F7" w:rsidRDefault="00581DA7" w:rsidP="00581DA7">
      <w:pPr>
        <w:spacing w:after="200" w:line="276" w:lineRule="auto"/>
        <w:jc w:val="both"/>
        <w:rPr>
          <w:rFonts w:ascii="Calibri" w:hAnsi="Calibri" w:cs="Arial"/>
        </w:rPr>
      </w:pPr>
      <w:r>
        <w:rPr>
          <w:rFonts w:ascii="Calibri" w:hAnsi="Calibri"/>
        </w:rPr>
        <w:t>The design and execution period is of maximum 2 years and a half, and the period of operation by the private investor is of 15 years.</w:t>
      </w:r>
    </w:p>
    <w:p w:rsidR="00581DA7" w:rsidRPr="003137F7" w:rsidRDefault="00581DA7" w:rsidP="00581DA7">
      <w:pPr>
        <w:spacing w:after="200" w:line="276" w:lineRule="auto"/>
        <w:jc w:val="both"/>
        <w:rPr>
          <w:rFonts w:ascii="Calibri" w:hAnsi="Calibri" w:cs="Arial"/>
        </w:rPr>
      </w:pPr>
      <w:r>
        <w:rPr>
          <w:rFonts w:ascii="Calibri" w:hAnsi="Calibri"/>
        </w:rPr>
        <w:t>The total estimated costs corresponding to the investment are of approximately 650 million Lei, respectively 140 million EUR. They will be covered through the counter-value of the medical provisions offered and through payments of available funds from the State, amounting to approximately 2.5 million EUR yearly.</w:t>
      </w:r>
    </w:p>
    <w:p w:rsidR="00581DA7" w:rsidRPr="003137F7" w:rsidRDefault="00581DA7" w:rsidP="00581DA7">
      <w:pPr>
        <w:spacing w:after="200" w:line="276" w:lineRule="auto"/>
        <w:jc w:val="both"/>
        <w:rPr>
          <w:rFonts w:ascii="Calibri" w:hAnsi="Calibri" w:cs="Arial"/>
        </w:rPr>
      </w:pPr>
      <w:r>
        <w:rPr>
          <w:rFonts w:ascii="Calibri" w:hAnsi="Calibri"/>
        </w:rPr>
        <w:t>The substantiation study provides bonuses from the State if the execution works are completed in advance, as well as delay penalties.</w:t>
      </w:r>
    </w:p>
    <w:p w:rsidR="00581DA7" w:rsidRPr="003137F7" w:rsidRDefault="00581DA7" w:rsidP="00581DA7">
      <w:pPr>
        <w:spacing w:after="200" w:line="276" w:lineRule="auto"/>
        <w:jc w:val="both"/>
        <w:rPr>
          <w:rFonts w:ascii="Calibri" w:hAnsi="Calibri" w:cs="Arial"/>
        </w:rPr>
      </w:pPr>
      <w:r>
        <w:rPr>
          <w:rFonts w:ascii="Calibri" w:hAnsi="Calibri"/>
        </w:rPr>
        <w:t>The Clinic will have 636 beds, multiple consultation rooms and operating rooms, research laboratories, training halls, etc., as well as the most modern equipment in order to ensure high quality medical acts.</w:t>
      </w:r>
    </w:p>
    <w:p w:rsidR="00581DA7" w:rsidRPr="003137F7" w:rsidRDefault="00581DA7" w:rsidP="00581DA7">
      <w:pPr>
        <w:spacing w:after="200" w:line="276" w:lineRule="auto"/>
        <w:jc w:val="both"/>
        <w:rPr>
          <w:rFonts w:ascii="Calibri" w:hAnsi="Calibri" w:cs="Arial"/>
        </w:rPr>
      </w:pPr>
      <w:r>
        <w:rPr>
          <w:rFonts w:ascii="Calibri" w:hAnsi="Calibri"/>
        </w:rPr>
        <w:t xml:space="preserve">The multi-functional clinic will ensure specialty medical assistance in the field of infectious diseases, neurosurgery, cardiology, having a radiotherapy center, operating rooms, equipment for emergencies, including heliport. </w:t>
      </w:r>
    </w:p>
    <w:p w:rsidR="00581DA7" w:rsidRPr="003137F7" w:rsidRDefault="00581DA7" w:rsidP="00581DA7">
      <w:pPr>
        <w:spacing w:after="200" w:line="276" w:lineRule="auto"/>
        <w:jc w:val="both"/>
        <w:rPr>
          <w:rFonts w:ascii="Calibri" w:hAnsi="Calibri" w:cs="Arial"/>
        </w:rPr>
      </w:pPr>
      <w:r>
        <w:rPr>
          <w:rFonts w:ascii="Calibri" w:hAnsi="Calibri"/>
          <w:b/>
        </w:rPr>
        <w:t>Targu-Neamt - Iasi Highway</w:t>
      </w:r>
      <w:r>
        <w:rPr>
          <w:rFonts w:ascii="Calibri" w:hAnsi="Calibri"/>
        </w:rPr>
        <w:t xml:space="preserve"> is another major investment project in public-private partnership which has entered the final work stage. The substantiation study for the “TARGU NEAMT - IASI” highway is completed and is undergoing the decisional transparency stage on the website of the National Commission for Strategy and Prognosis.</w:t>
      </w:r>
    </w:p>
    <w:p w:rsidR="00581DA7" w:rsidRPr="003137F7" w:rsidRDefault="00581DA7" w:rsidP="00581DA7">
      <w:pPr>
        <w:spacing w:after="200" w:line="276" w:lineRule="auto"/>
        <w:jc w:val="both"/>
        <w:rPr>
          <w:rFonts w:ascii="Calibri" w:hAnsi="Calibri" w:cs="Arial"/>
        </w:rPr>
      </w:pPr>
      <w:r>
        <w:rPr>
          <w:rFonts w:ascii="Calibri" w:hAnsi="Calibri"/>
        </w:rPr>
        <w:t>The total investment value is of approximately 1.2 billion EUR. The period of design and execution of the highw</w:t>
      </w:r>
      <w:r w:rsidR="00C21188">
        <w:rPr>
          <w:rFonts w:ascii="Calibri" w:hAnsi="Calibri"/>
        </w:rPr>
        <w:t xml:space="preserve">ay is estimated at 48 months. </w:t>
      </w:r>
      <w:r>
        <w:rPr>
          <w:rFonts w:ascii="Calibri" w:hAnsi="Calibri"/>
        </w:rPr>
        <w:t>It is estimated that the recovery of the investment, as well as the assurance of a reasonable profit for the private partner can be made through the conclusion of a public-private partnership agreement for a term of 30 years, which includes the period of design and execution.</w:t>
      </w:r>
    </w:p>
    <w:p w:rsidR="00581DA7" w:rsidRPr="003137F7" w:rsidRDefault="00581DA7" w:rsidP="00581DA7">
      <w:pPr>
        <w:spacing w:after="200" w:line="276" w:lineRule="auto"/>
        <w:jc w:val="both"/>
        <w:rPr>
          <w:rFonts w:ascii="Calibri" w:hAnsi="Calibri" w:cs="Arial"/>
        </w:rPr>
      </w:pPr>
      <w:r>
        <w:rPr>
          <w:rFonts w:ascii="Calibri" w:hAnsi="Calibri"/>
        </w:rPr>
        <w:t xml:space="preserve">For the </w:t>
      </w:r>
      <w:r>
        <w:rPr>
          <w:rFonts w:ascii="Calibri" w:hAnsi="Calibri"/>
          <w:b/>
        </w:rPr>
        <w:t>Arrangement of the river Arges for navigation</w:t>
      </w:r>
      <w:r>
        <w:rPr>
          <w:rFonts w:ascii="Calibri" w:hAnsi="Calibri"/>
        </w:rPr>
        <w:t>, the substantiation study is completed and is undergoing the decisional transparency stage on the website of the National Commission for Strategy and Prognosis.</w:t>
      </w:r>
    </w:p>
    <w:p w:rsidR="00581DA7" w:rsidRPr="003137F7" w:rsidRDefault="00581DA7" w:rsidP="00581DA7">
      <w:pPr>
        <w:spacing w:after="200" w:line="276" w:lineRule="auto"/>
        <w:jc w:val="both"/>
        <w:rPr>
          <w:rFonts w:ascii="Calibri" w:hAnsi="Calibri" w:cs="Arial"/>
        </w:rPr>
      </w:pPr>
      <w:r>
        <w:rPr>
          <w:rFonts w:ascii="Calibri" w:hAnsi="Calibri"/>
        </w:rPr>
        <w:t xml:space="preserve">Through the arrangement of the river Arges for navigation the Bucharest Municipality will connect to the main cross-European navigation artery, which will allow a direct connection of Bucharest to other capitals, direct access to Constanta Marine Port, and access to the European network of waterways through the </w:t>
      </w:r>
      <w:r w:rsidR="00916FF8">
        <w:rPr>
          <w:rFonts w:ascii="Calibri" w:hAnsi="Calibri"/>
        </w:rPr>
        <w:t>Rhine</w:t>
      </w:r>
      <w:r>
        <w:rPr>
          <w:rFonts w:ascii="Calibri" w:hAnsi="Calibri"/>
        </w:rPr>
        <w:t xml:space="preserve">-Main-Danube channel. </w:t>
      </w:r>
    </w:p>
    <w:p w:rsidR="00581DA7" w:rsidRPr="003137F7" w:rsidRDefault="00581DA7" w:rsidP="00581DA7">
      <w:pPr>
        <w:spacing w:after="200" w:line="276" w:lineRule="auto"/>
        <w:jc w:val="both"/>
        <w:rPr>
          <w:rFonts w:ascii="Calibri" w:hAnsi="Calibri" w:cs="Arial"/>
        </w:rPr>
      </w:pPr>
      <w:r>
        <w:rPr>
          <w:rFonts w:ascii="Calibri" w:hAnsi="Calibri"/>
        </w:rPr>
        <w:t>It is estimated that the recovery of the investment, as well as the assurance of a reasonable profit for the private partner can be made through the conclusion of a public-private partnership agreement for a term of 25 years, including the period of design and execution.</w:t>
      </w:r>
    </w:p>
    <w:p w:rsidR="0036525D" w:rsidRDefault="0036525D" w:rsidP="0036525D">
      <w:pPr>
        <w:widowControl w:val="0"/>
        <w:suppressAutoHyphens/>
        <w:jc w:val="both"/>
        <w:rPr>
          <w:rFonts w:ascii="Calibri" w:eastAsia="SimSun" w:hAnsi="Calibri"/>
          <w:lang w:val="ro-RO" w:eastAsia="zh-CN" w:bidi="hi-IN"/>
        </w:rPr>
      </w:pPr>
    </w:p>
    <w:p w:rsidR="00091029" w:rsidRPr="003964D3" w:rsidRDefault="00091029" w:rsidP="00AF6EA5">
      <w:pPr>
        <w:jc w:val="both"/>
        <w:rPr>
          <w:rFonts w:asciiTheme="minorHAnsi" w:hAnsiTheme="minorHAnsi"/>
          <w:i/>
          <w:sz w:val="20"/>
          <w:szCs w:val="20"/>
          <w:lang w:val="ro-RO"/>
        </w:rPr>
      </w:pPr>
    </w:p>
    <w:p w:rsidR="00F01B5F" w:rsidRPr="00C86702" w:rsidRDefault="00932083" w:rsidP="001F7825">
      <w:pPr>
        <w:pStyle w:val="Style35001908"/>
        <w:shd w:val="clear" w:color="auto" w:fill="99CCFF"/>
        <w:rPr>
          <w:rFonts w:ascii="Calibri" w:hAnsi="Calibri" w:cs="Arial"/>
          <w:b/>
          <w:color w:val="000080"/>
          <w:shd w:val="clear" w:color="auto" w:fill="99CCFF"/>
        </w:rPr>
      </w:pPr>
      <w:r>
        <w:rPr>
          <w:rFonts w:ascii="Calibri" w:hAnsi="Calibri"/>
          <w:b/>
          <w:color w:val="000080"/>
          <w:shd w:val="clear" w:color="auto" w:fill="99CCFF"/>
        </w:rPr>
        <w:t>4.8 Policy in the field of European Funds</w:t>
      </w:r>
    </w:p>
    <w:p w:rsidR="00BD4A3E" w:rsidRPr="003964D3" w:rsidRDefault="00BD4A3E" w:rsidP="00BD4A3E">
      <w:pPr>
        <w:keepNext/>
        <w:keepLines/>
        <w:spacing w:before="240" w:after="60"/>
        <w:ind w:left="360" w:hanging="360"/>
        <w:jc w:val="both"/>
        <w:outlineLvl w:val="0"/>
        <w:rPr>
          <w:rFonts w:ascii="Calibri" w:hAnsi="Calibri" w:cs="Arial"/>
          <w:b/>
          <w:kern w:val="32"/>
        </w:rPr>
      </w:pPr>
      <w:r>
        <w:rPr>
          <w:rFonts w:ascii="Calibri" w:hAnsi="Calibri"/>
          <w:b/>
        </w:rPr>
        <w:t>A. STRUCTURAL AND COHESION FUNDS</w:t>
      </w:r>
    </w:p>
    <w:p w:rsidR="00BD4A3E" w:rsidRPr="00BD4A3E" w:rsidRDefault="00BD4A3E" w:rsidP="009F7237">
      <w:pPr>
        <w:keepNext/>
        <w:keepLines/>
        <w:numPr>
          <w:ilvl w:val="0"/>
          <w:numId w:val="20"/>
        </w:numPr>
        <w:spacing w:before="40"/>
        <w:jc w:val="both"/>
        <w:outlineLvl w:val="2"/>
        <w:rPr>
          <w:rFonts w:ascii="Calibri" w:hAnsi="Calibri" w:cs="Arial"/>
          <w:b/>
        </w:rPr>
      </w:pPr>
      <w:r>
        <w:rPr>
          <w:rFonts w:ascii="Calibri" w:hAnsi="Calibri"/>
          <w:b/>
        </w:rPr>
        <w:t>Main evolutions in 2016-2018</w:t>
      </w:r>
    </w:p>
    <w:p w:rsidR="00BD4A3E" w:rsidRPr="00BD4A3E" w:rsidRDefault="00BD4A3E" w:rsidP="00BD4A3E">
      <w:pPr>
        <w:suppressAutoHyphens/>
        <w:ind w:firstLine="720"/>
        <w:jc w:val="both"/>
        <w:rPr>
          <w:rFonts w:ascii="Calibri" w:hAnsi="Calibri" w:cs="Arial"/>
        </w:rPr>
      </w:pPr>
      <w:r>
        <w:rPr>
          <w:rFonts w:ascii="Calibri" w:hAnsi="Calibri"/>
        </w:rPr>
        <w:t xml:space="preserve">2016 was an important year for the European fund management process, because the management authorities sent to the Certifying and Paying Authority, in accordance with the schedule established through G.D. No. 678/2015 on the conclusion of the operational programs financed between 2007 and 2013, the last expenditure declarations corresponding to this financial framework, which include expenditures made by the beneficiaries until December 31, 2015. </w:t>
      </w:r>
    </w:p>
    <w:p w:rsidR="00BD4A3E" w:rsidRPr="00BD4A3E" w:rsidRDefault="00BD4A3E" w:rsidP="00BD4A3E">
      <w:pPr>
        <w:suppressAutoHyphens/>
        <w:ind w:firstLine="720"/>
        <w:jc w:val="both"/>
        <w:rPr>
          <w:rFonts w:ascii="Calibri" w:hAnsi="Calibri" w:cs="Arial"/>
        </w:rPr>
      </w:pPr>
      <w:r>
        <w:rPr>
          <w:rFonts w:ascii="Calibri" w:hAnsi="Calibri"/>
        </w:rPr>
        <w:t>Also, in accordance with the provisions of the European regulations applicable to this financial framework, until March 31, 2017 were sent to the EC the final payment applications for all OP financed in 2007-2013. Therefore, the absorption rate registered is of approximately 95.23% of the corresponding EU allocation.</w:t>
      </w:r>
    </w:p>
    <w:p w:rsidR="00BD4A3E" w:rsidRPr="00BD4A3E" w:rsidRDefault="00BD4A3E" w:rsidP="00BD4A3E">
      <w:pPr>
        <w:suppressAutoHyphens/>
        <w:ind w:firstLine="720"/>
        <w:jc w:val="both"/>
        <w:rPr>
          <w:rFonts w:ascii="Calibri" w:hAnsi="Calibri" w:cs="Arial"/>
          <w:lang w:val="ro-RO" w:eastAsia="zh-CN"/>
        </w:rPr>
      </w:pPr>
    </w:p>
    <w:p w:rsidR="00BD4A3E" w:rsidRPr="00BD4A3E" w:rsidRDefault="00BD4A3E" w:rsidP="00BD4A3E">
      <w:pPr>
        <w:suppressAutoHyphens/>
        <w:ind w:firstLine="720"/>
        <w:jc w:val="both"/>
        <w:rPr>
          <w:rFonts w:ascii="Calibri" w:hAnsi="Calibri" w:cs="Arial"/>
        </w:rPr>
      </w:pPr>
      <w:r>
        <w:rPr>
          <w:rFonts w:ascii="Calibri" w:hAnsi="Calibri"/>
        </w:rPr>
        <w:t>For the financial framework for 2014-2020 were appointed all authorities involved in the management and control system for the Operational Programs financed during this programming period, namely:</w:t>
      </w:r>
    </w:p>
    <w:p w:rsidR="00BD4A3E" w:rsidRPr="00BD4A3E" w:rsidRDefault="00BD4A3E" w:rsidP="009F7237">
      <w:pPr>
        <w:numPr>
          <w:ilvl w:val="0"/>
          <w:numId w:val="22"/>
        </w:numPr>
        <w:suppressAutoHyphens/>
        <w:jc w:val="both"/>
        <w:rPr>
          <w:rFonts w:ascii="Calibri" w:hAnsi="Calibri" w:cs="Arial"/>
        </w:rPr>
      </w:pPr>
      <w:r>
        <w:rPr>
          <w:rFonts w:ascii="Calibri" w:hAnsi="Calibri"/>
        </w:rPr>
        <w:t>INTERREG IPA Romania -Serbia cross-border cooperation program (July 15, 2016);</w:t>
      </w:r>
    </w:p>
    <w:p w:rsidR="00BD4A3E" w:rsidRPr="00BD4A3E" w:rsidRDefault="00BD4A3E" w:rsidP="009F7237">
      <w:pPr>
        <w:numPr>
          <w:ilvl w:val="0"/>
          <w:numId w:val="22"/>
        </w:numPr>
        <w:suppressAutoHyphens/>
        <w:jc w:val="both"/>
        <w:rPr>
          <w:rFonts w:ascii="Calibri" w:hAnsi="Calibri" w:cs="Arial"/>
        </w:rPr>
      </w:pPr>
      <w:r>
        <w:rPr>
          <w:rFonts w:ascii="Calibri" w:hAnsi="Calibri"/>
        </w:rPr>
        <w:t>INTERREG V-A Romania-Bulgaria cross-border cooperation program (December 5, 2016);</w:t>
      </w:r>
    </w:p>
    <w:p w:rsidR="00BD4A3E" w:rsidRPr="00BD4A3E" w:rsidRDefault="00BD4A3E" w:rsidP="009F7237">
      <w:pPr>
        <w:numPr>
          <w:ilvl w:val="0"/>
          <w:numId w:val="22"/>
        </w:numPr>
        <w:suppressAutoHyphens/>
        <w:jc w:val="both"/>
        <w:rPr>
          <w:rFonts w:ascii="Calibri" w:hAnsi="Calibri" w:cs="Arial"/>
        </w:rPr>
      </w:pPr>
      <w:r>
        <w:rPr>
          <w:rFonts w:ascii="Calibri" w:hAnsi="Calibri"/>
        </w:rPr>
        <w:t>Operational Program of Aid for the Disadvantaged (December 9, 2016);</w:t>
      </w:r>
    </w:p>
    <w:p w:rsidR="00BD4A3E" w:rsidRPr="00BD4A3E" w:rsidRDefault="00BD4A3E" w:rsidP="009F7237">
      <w:pPr>
        <w:numPr>
          <w:ilvl w:val="0"/>
          <w:numId w:val="22"/>
        </w:numPr>
        <w:suppressAutoHyphens/>
        <w:jc w:val="both"/>
        <w:rPr>
          <w:rFonts w:ascii="Calibri" w:hAnsi="Calibri" w:cs="Arial"/>
        </w:rPr>
      </w:pPr>
      <w:r>
        <w:rPr>
          <w:rFonts w:ascii="Calibri" w:hAnsi="Calibri"/>
        </w:rPr>
        <w:t>Operational Program Initiative for SMEs (July 25, 2017);</w:t>
      </w:r>
    </w:p>
    <w:p w:rsidR="00BD4A3E" w:rsidRPr="00BD4A3E" w:rsidRDefault="00BD4A3E" w:rsidP="009F7237">
      <w:pPr>
        <w:numPr>
          <w:ilvl w:val="0"/>
          <w:numId w:val="22"/>
        </w:numPr>
        <w:suppressAutoHyphens/>
        <w:jc w:val="both"/>
        <w:rPr>
          <w:rFonts w:ascii="Calibri" w:hAnsi="Calibri" w:cs="Arial"/>
        </w:rPr>
      </w:pPr>
      <w:r>
        <w:rPr>
          <w:rFonts w:ascii="Calibri" w:hAnsi="Calibri"/>
        </w:rPr>
        <w:t>Operational Program of Technical Assistance (July 27, 2017);</w:t>
      </w:r>
    </w:p>
    <w:p w:rsidR="00BD4A3E" w:rsidRPr="00BD4A3E" w:rsidRDefault="00BD4A3E" w:rsidP="009F7237">
      <w:pPr>
        <w:numPr>
          <w:ilvl w:val="0"/>
          <w:numId w:val="22"/>
        </w:numPr>
        <w:suppressAutoHyphens/>
        <w:jc w:val="both"/>
        <w:rPr>
          <w:rFonts w:ascii="Calibri" w:hAnsi="Calibri" w:cs="Arial"/>
        </w:rPr>
      </w:pPr>
      <w:r>
        <w:rPr>
          <w:rFonts w:ascii="Calibri" w:hAnsi="Calibri"/>
        </w:rPr>
        <w:t>Operational Program of Administrative Capacity (July 27, 2017);</w:t>
      </w:r>
    </w:p>
    <w:p w:rsidR="00BD4A3E" w:rsidRPr="00BD4A3E" w:rsidRDefault="00BD4A3E" w:rsidP="009F7237">
      <w:pPr>
        <w:numPr>
          <w:ilvl w:val="0"/>
          <w:numId w:val="22"/>
        </w:numPr>
        <w:suppressAutoHyphens/>
        <w:jc w:val="both"/>
        <w:rPr>
          <w:rFonts w:ascii="Calibri" w:hAnsi="Calibri" w:cs="Arial"/>
        </w:rPr>
      </w:pPr>
      <w:r>
        <w:rPr>
          <w:rFonts w:ascii="Calibri" w:hAnsi="Calibri"/>
        </w:rPr>
        <w:t>INTERREG V-A Romania-Hungary program (July 28, 2017);</w:t>
      </w:r>
    </w:p>
    <w:p w:rsidR="00BD4A3E" w:rsidRPr="00BD4A3E" w:rsidRDefault="00BD4A3E" w:rsidP="009F7237">
      <w:pPr>
        <w:numPr>
          <w:ilvl w:val="0"/>
          <w:numId w:val="22"/>
        </w:numPr>
        <w:suppressAutoHyphens/>
        <w:jc w:val="both"/>
        <w:rPr>
          <w:rFonts w:ascii="Calibri" w:hAnsi="Calibri" w:cs="Arial"/>
        </w:rPr>
      </w:pPr>
      <w:r>
        <w:rPr>
          <w:rFonts w:ascii="Calibri" w:hAnsi="Calibri"/>
        </w:rPr>
        <w:t>Operational Program of Large Infrastructure (August 7, 2017);</w:t>
      </w:r>
    </w:p>
    <w:p w:rsidR="00BD4A3E" w:rsidRPr="00BD4A3E" w:rsidRDefault="00BD4A3E" w:rsidP="009F7237">
      <w:pPr>
        <w:numPr>
          <w:ilvl w:val="0"/>
          <w:numId w:val="22"/>
        </w:numPr>
        <w:suppressAutoHyphens/>
        <w:jc w:val="both"/>
        <w:rPr>
          <w:rFonts w:ascii="Calibri" w:hAnsi="Calibri" w:cs="Arial"/>
        </w:rPr>
      </w:pPr>
      <w:r>
        <w:rPr>
          <w:rFonts w:ascii="Calibri" w:hAnsi="Calibri"/>
        </w:rPr>
        <w:t>Operational Program of Competitiveness (August 7, 2017);</w:t>
      </w:r>
    </w:p>
    <w:p w:rsidR="00BD4A3E" w:rsidRPr="00BD4A3E" w:rsidRDefault="00BD4A3E" w:rsidP="009F7237">
      <w:pPr>
        <w:numPr>
          <w:ilvl w:val="0"/>
          <w:numId w:val="22"/>
        </w:numPr>
        <w:suppressAutoHyphens/>
        <w:jc w:val="both"/>
        <w:rPr>
          <w:rFonts w:ascii="Calibri" w:hAnsi="Calibri" w:cs="Arial"/>
        </w:rPr>
      </w:pPr>
      <w:r>
        <w:rPr>
          <w:rFonts w:ascii="Calibri" w:hAnsi="Calibri"/>
        </w:rPr>
        <w:t>Operational Program for Fishing and Marine Affairs (August 7, 2017);</w:t>
      </w:r>
    </w:p>
    <w:p w:rsidR="00BD4A3E" w:rsidRPr="00BD4A3E" w:rsidRDefault="00BD4A3E" w:rsidP="009F7237">
      <w:pPr>
        <w:numPr>
          <w:ilvl w:val="0"/>
          <w:numId w:val="22"/>
        </w:numPr>
        <w:suppressAutoHyphens/>
        <w:jc w:val="both"/>
        <w:rPr>
          <w:rFonts w:ascii="Calibri" w:hAnsi="Calibri" w:cs="Arial"/>
        </w:rPr>
      </w:pPr>
      <w:r>
        <w:rPr>
          <w:rFonts w:ascii="Calibri" w:hAnsi="Calibri"/>
        </w:rPr>
        <w:t>Operational Regional Program (August 7, 2017);</w:t>
      </w:r>
    </w:p>
    <w:p w:rsidR="00BD4A3E" w:rsidRPr="00BD4A3E" w:rsidRDefault="00BD4A3E" w:rsidP="009F7237">
      <w:pPr>
        <w:numPr>
          <w:ilvl w:val="0"/>
          <w:numId w:val="22"/>
        </w:numPr>
        <w:suppressAutoHyphens/>
        <w:jc w:val="both"/>
        <w:rPr>
          <w:rFonts w:ascii="Calibri" w:hAnsi="Calibri" w:cs="Arial"/>
        </w:rPr>
      </w:pPr>
      <w:r>
        <w:rPr>
          <w:rFonts w:ascii="Calibri" w:hAnsi="Calibri"/>
        </w:rPr>
        <w:t>Operational Program of Human Capital (August 11, 2017);</w:t>
      </w:r>
    </w:p>
    <w:p w:rsidR="00BD4A3E" w:rsidRPr="00BD4A3E" w:rsidRDefault="00BD4A3E" w:rsidP="009F7237">
      <w:pPr>
        <w:numPr>
          <w:ilvl w:val="0"/>
          <w:numId w:val="22"/>
        </w:numPr>
        <w:suppressAutoHyphens/>
        <w:jc w:val="both"/>
        <w:rPr>
          <w:rFonts w:ascii="Calibri" w:hAnsi="Calibri" w:cs="Arial"/>
        </w:rPr>
      </w:pPr>
      <w:r>
        <w:rPr>
          <w:rFonts w:ascii="Calibri" w:hAnsi="Calibri"/>
        </w:rPr>
        <w:t>Common Operational Program of Romania and the Republic of Moldova for 2014-2020 (October 9, 2017 - final report of the AA and audit opinion without reservations);</w:t>
      </w:r>
    </w:p>
    <w:p w:rsidR="00BD4A3E" w:rsidRPr="00BD4A3E" w:rsidRDefault="00BD4A3E" w:rsidP="009F7237">
      <w:pPr>
        <w:numPr>
          <w:ilvl w:val="0"/>
          <w:numId w:val="22"/>
        </w:numPr>
        <w:suppressAutoHyphens/>
        <w:jc w:val="both"/>
        <w:rPr>
          <w:rFonts w:ascii="Calibri" w:hAnsi="Calibri" w:cs="Arial"/>
        </w:rPr>
      </w:pPr>
      <w:r>
        <w:rPr>
          <w:rFonts w:ascii="Calibri" w:hAnsi="Calibri"/>
        </w:rPr>
        <w:t>Common Operational Program of Romania and Ukraine for 2014-2020 (October 11, 2017 - final report of the AA and audit opinion without reservations);</w:t>
      </w:r>
    </w:p>
    <w:p w:rsidR="00BD4A3E" w:rsidRPr="00BD4A3E" w:rsidRDefault="00BD4A3E" w:rsidP="009F7237">
      <w:pPr>
        <w:numPr>
          <w:ilvl w:val="0"/>
          <w:numId w:val="22"/>
        </w:numPr>
        <w:suppressAutoHyphens/>
        <w:jc w:val="both"/>
        <w:rPr>
          <w:rFonts w:ascii="Calibri" w:hAnsi="Calibri" w:cs="Arial"/>
        </w:rPr>
      </w:pPr>
      <w:r>
        <w:rPr>
          <w:rFonts w:ascii="Calibri" w:hAnsi="Calibri"/>
        </w:rPr>
        <w:t>Common Operational Program of the Black Sea Basin for 2014-2020 (October 13, 2017 - final report of the AA and audit opinion without reservations).</w:t>
      </w:r>
    </w:p>
    <w:p w:rsidR="00BD4A3E" w:rsidRPr="00BD4A3E" w:rsidRDefault="00BD4A3E" w:rsidP="00BD4A3E">
      <w:pPr>
        <w:suppressAutoHyphens/>
        <w:ind w:firstLine="720"/>
        <w:jc w:val="both"/>
        <w:rPr>
          <w:rFonts w:ascii="Calibri" w:hAnsi="Calibri" w:cs="Arial"/>
          <w:lang w:val="ro-RO" w:eastAsia="zh-CN"/>
        </w:rPr>
      </w:pPr>
    </w:p>
    <w:p w:rsidR="00BD4A3E" w:rsidRPr="00BD4A3E" w:rsidRDefault="00BD4A3E" w:rsidP="00BD4A3E">
      <w:pPr>
        <w:suppressAutoHyphens/>
        <w:ind w:firstLine="720"/>
        <w:jc w:val="both"/>
        <w:rPr>
          <w:rFonts w:ascii="Calibri" w:hAnsi="Calibri" w:cs="Arial"/>
        </w:rPr>
      </w:pPr>
      <w:r>
        <w:rPr>
          <w:rFonts w:ascii="Calibri" w:hAnsi="Calibri"/>
        </w:rPr>
        <w:t>At the same time, actions were taken in order:</w:t>
      </w:r>
    </w:p>
    <w:p w:rsidR="00BD4A3E" w:rsidRPr="00BD4A3E" w:rsidRDefault="00BD4A3E" w:rsidP="009F7237">
      <w:pPr>
        <w:widowControl w:val="0"/>
        <w:numPr>
          <w:ilvl w:val="0"/>
          <w:numId w:val="13"/>
        </w:numPr>
        <w:autoSpaceDE w:val="0"/>
        <w:autoSpaceDN w:val="0"/>
        <w:adjustRightInd w:val="0"/>
        <w:contextualSpacing/>
        <w:jc w:val="both"/>
        <w:rPr>
          <w:rFonts w:ascii="Calibri" w:eastAsia="Calibri" w:hAnsi="Calibri" w:cs="Arial"/>
          <w:szCs w:val="22"/>
        </w:rPr>
      </w:pPr>
      <w:r>
        <w:rPr>
          <w:rFonts w:ascii="Calibri" w:hAnsi="Calibri"/>
          <w:szCs w:val="22"/>
        </w:rPr>
        <w:t>to develop and operationalize the information systems of data collection and management (MySMIS2014 and SMIS2014+);</w:t>
      </w:r>
    </w:p>
    <w:p w:rsidR="00BD4A3E" w:rsidRPr="00BD4A3E" w:rsidRDefault="00BD4A3E" w:rsidP="009F7237">
      <w:pPr>
        <w:widowControl w:val="0"/>
        <w:numPr>
          <w:ilvl w:val="0"/>
          <w:numId w:val="13"/>
        </w:numPr>
        <w:autoSpaceDE w:val="0"/>
        <w:autoSpaceDN w:val="0"/>
        <w:adjustRightInd w:val="0"/>
        <w:contextualSpacing/>
        <w:jc w:val="both"/>
        <w:rPr>
          <w:rFonts w:ascii="Calibri" w:eastAsia="Calibri" w:hAnsi="Calibri" w:cs="Arial"/>
          <w:szCs w:val="22"/>
        </w:rPr>
      </w:pPr>
      <w:r>
        <w:rPr>
          <w:rFonts w:ascii="Calibri" w:hAnsi="Calibri"/>
          <w:szCs w:val="22"/>
        </w:rPr>
        <w:t>launching of the calls for projects in the operational programs;</w:t>
      </w:r>
    </w:p>
    <w:p w:rsidR="00BD4A3E" w:rsidRPr="00BD4A3E" w:rsidRDefault="00BD4A3E" w:rsidP="009F7237">
      <w:pPr>
        <w:widowControl w:val="0"/>
        <w:numPr>
          <w:ilvl w:val="0"/>
          <w:numId w:val="13"/>
        </w:numPr>
        <w:autoSpaceDE w:val="0"/>
        <w:autoSpaceDN w:val="0"/>
        <w:adjustRightInd w:val="0"/>
        <w:contextualSpacing/>
        <w:jc w:val="both"/>
        <w:rPr>
          <w:rFonts w:ascii="Calibri" w:eastAsia="Calibri" w:hAnsi="Calibri" w:cs="Arial"/>
          <w:szCs w:val="22"/>
        </w:rPr>
      </w:pPr>
      <w:r>
        <w:rPr>
          <w:rFonts w:ascii="Calibri" w:hAnsi="Calibri"/>
          <w:szCs w:val="22"/>
        </w:rPr>
        <w:t>fulfillment of the ex ante conditions.</w:t>
      </w:r>
    </w:p>
    <w:p w:rsidR="00BD4A3E" w:rsidRPr="00BD4A3E" w:rsidRDefault="00BD4A3E" w:rsidP="00BD4A3E">
      <w:pPr>
        <w:widowControl w:val="0"/>
        <w:autoSpaceDE w:val="0"/>
        <w:autoSpaceDN w:val="0"/>
        <w:adjustRightInd w:val="0"/>
        <w:spacing w:line="276" w:lineRule="auto"/>
        <w:ind w:left="360"/>
        <w:contextualSpacing/>
        <w:jc w:val="both"/>
        <w:rPr>
          <w:rFonts w:ascii="Calibri" w:eastAsia="Calibri" w:hAnsi="Calibri" w:cs="Arial"/>
          <w:sz w:val="22"/>
          <w:szCs w:val="22"/>
          <w:lang w:val="ro-RO"/>
        </w:rPr>
      </w:pPr>
    </w:p>
    <w:p w:rsidR="00BD4A3E" w:rsidRPr="00BD4A3E" w:rsidRDefault="00BD4A3E" w:rsidP="00BD4A3E">
      <w:pPr>
        <w:suppressAutoHyphens/>
        <w:jc w:val="both"/>
        <w:rPr>
          <w:rFonts w:ascii="Calibri" w:hAnsi="Calibri"/>
        </w:rPr>
      </w:pPr>
      <w:r>
        <w:rPr>
          <w:rFonts w:ascii="Calibri" w:hAnsi="Calibri"/>
          <w:b/>
        </w:rPr>
        <w:t>Actions corresponding to the multi-annual financial framework (MFF) for 2007-2013</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BD4A3E" w:rsidRPr="00BD4A3E" w:rsidTr="00BD4A3E">
        <w:tc>
          <w:tcPr>
            <w:tcW w:w="9923" w:type="dxa"/>
            <w:shd w:val="clear" w:color="auto" w:fill="auto"/>
          </w:tcPr>
          <w:p w:rsidR="00BD4A3E" w:rsidRPr="00BD4A3E" w:rsidRDefault="00BD4A3E" w:rsidP="009F7237">
            <w:pPr>
              <w:widowControl w:val="0"/>
              <w:numPr>
                <w:ilvl w:val="0"/>
                <w:numId w:val="7"/>
              </w:numPr>
              <w:ind w:left="567" w:hanging="357"/>
              <w:jc w:val="both"/>
              <w:rPr>
                <w:rFonts w:ascii="Calibri" w:eastAsia="Calibri" w:hAnsi="Calibri" w:cs="EUAlbertina"/>
                <w:iCs/>
                <w:szCs w:val="22"/>
              </w:rPr>
            </w:pPr>
            <w:r>
              <w:rPr>
                <w:rFonts w:ascii="Calibri" w:hAnsi="Calibri"/>
                <w:iCs/>
                <w:szCs w:val="22"/>
              </w:rPr>
              <w:t xml:space="preserve">registration of high current absorption rate for 2016, so that it increased by approximately 20 percentage points compared to the end of 2015, from approximately 63% to approximately 83% (approximately 15.5 billion EUR) at December 31, 2016;     </w:t>
            </w:r>
          </w:p>
          <w:p w:rsidR="00BD4A3E" w:rsidRPr="00BD4A3E" w:rsidRDefault="00BD4A3E" w:rsidP="009F7237">
            <w:pPr>
              <w:widowControl w:val="0"/>
              <w:numPr>
                <w:ilvl w:val="0"/>
                <w:numId w:val="7"/>
              </w:numPr>
              <w:ind w:left="567" w:hanging="357"/>
              <w:jc w:val="both"/>
              <w:rPr>
                <w:rFonts w:ascii="Calibri" w:eastAsia="Calibri" w:hAnsi="Calibri" w:cs="EUAlbertina"/>
                <w:iCs/>
                <w:szCs w:val="22"/>
              </w:rPr>
            </w:pPr>
            <w:r>
              <w:rPr>
                <w:rFonts w:ascii="Calibri" w:hAnsi="Calibri"/>
                <w:iCs/>
                <w:szCs w:val="22"/>
              </w:rPr>
              <w:t>sending to the European Commission for reimbursement the final payment applications, in accordance with the provisions of the European regulations applicable to this financial framework;</w:t>
            </w:r>
          </w:p>
          <w:p w:rsidR="00BD4A3E" w:rsidRPr="00BD4A3E" w:rsidRDefault="00BD4A3E" w:rsidP="009F7237">
            <w:pPr>
              <w:widowControl w:val="0"/>
              <w:numPr>
                <w:ilvl w:val="0"/>
                <w:numId w:val="7"/>
              </w:numPr>
              <w:ind w:left="567" w:hanging="357"/>
              <w:jc w:val="both"/>
              <w:rPr>
                <w:rFonts w:ascii="Calibri" w:eastAsia="Calibri" w:hAnsi="Calibri" w:cs="EUAlbertina"/>
                <w:iCs/>
                <w:szCs w:val="22"/>
              </w:rPr>
            </w:pPr>
            <w:r>
              <w:rPr>
                <w:rFonts w:ascii="Calibri" w:hAnsi="Calibri"/>
                <w:iCs/>
                <w:szCs w:val="22"/>
              </w:rPr>
              <w:t>the total value requested to the EC was of approximately 16.73 billion EUR, which represents approximately 95.23% of the EU allocation that corresponds to these programs;</w:t>
            </w:r>
          </w:p>
          <w:p w:rsidR="00BD4A3E" w:rsidRPr="00BD4A3E" w:rsidRDefault="00BD4A3E" w:rsidP="009F7237">
            <w:pPr>
              <w:widowControl w:val="0"/>
              <w:numPr>
                <w:ilvl w:val="0"/>
                <w:numId w:val="7"/>
              </w:numPr>
              <w:ind w:left="567" w:hanging="357"/>
              <w:jc w:val="both"/>
              <w:rPr>
                <w:rFonts w:ascii="Calibri" w:eastAsia="Calibri" w:hAnsi="Calibri" w:cs="EUAlbertina"/>
                <w:iCs/>
                <w:szCs w:val="22"/>
              </w:rPr>
            </w:pPr>
            <w:r>
              <w:rPr>
                <w:rFonts w:ascii="Calibri" w:hAnsi="Calibri"/>
                <w:iCs/>
                <w:szCs w:val="22"/>
              </w:rPr>
              <w:t>sending in 2017 to the European Commission for reimbursement the final payment applications, in accordance with the provisions of the European regulations applicable to this financial framework;</w:t>
            </w:r>
          </w:p>
          <w:p w:rsidR="00BD4A3E" w:rsidRPr="00BD4A3E" w:rsidRDefault="00BD4A3E" w:rsidP="009F7237">
            <w:pPr>
              <w:widowControl w:val="0"/>
              <w:numPr>
                <w:ilvl w:val="0"/>
                <w:numId w:val="7"/>
              </w:numPr>
              <w:ind w:left="567" w:hanging="357"/>
              <w:jc w:val="both"/>
              <w:rPr>
                <w:rFonts w:ascii="Calibri" w:eastAsia="Calibri" w:hAnsi="Calibri" w:cs="EUAlbertina"/>
                <w:iCs/>
                <w:szCs w:val="22"/>
              </w:rPr>
            </w:pPr>
            <w:r>
              <w:rPr>
                <w:rFonts w:ascii="Calibri" w:hAnsi="Calibri"/>
                <w:iCs/>
                <w:szCs w:val="22"/>
              </w:rPr>
              <w:t>approval by the European Commission of the financing of major environment and transport projects in two stages (staging), given that they were not completed by December 31, 2015;</w:t>
            </w:r>
          </w:p>
          <w:p w:rsidR="00BD4A3E" w:rsidRPr="00BD4A3E" w:rsidRDefault="00BD4A3E" w:rsidP="009F7237">
            <w:pPr>
              <w:widowControl w:val="0"/>
              <w:numPr>
                <w:ilvl w:val="0"/>
                <w:numId w:val="7"/>
              </w:numPr>
              <w:ind w:left="567" w:hanging="357"/>
              <w:jc w:val="both"/>
              <w:rPr>
                <w:rFonts w:ascii="Calibri" w:eastAsia="Calibri" w:hAnsi="Calibri" w:cs="EUAlbertina"/>
                <w:iCs/>
                <w:szCs w:val="22"/>
              </w:rPr>
            </w:pPr>
            <w:r>
              <w:rPr>
                <w:rFonts w:ascii="Calibri" w:hAnsi="Calibri"/>
                <w:iCs/>
                <w:szCs w:val="22"/>
              </w:rPr>
              <w:t>maximizing the absorption through identification of retrospective projects and the introduction of the corresponding expenditures in payment applications to be reimbursed by the European Commission;</w:t>
            </w:r>
          </w:p>
          <w:p w:rsidR="00BD4A3E" w:rsidRPr="00BD4A3E" w:rsidRDefault="00BD4A3E" w:rsidP="009F7237">
            <w:pPr>
              <w:widowControl w:val="0"/>
              <w:numPr>
                <w:ilvl w:val="0"/>
                <w:numId w:val="7"/>
              </w:numPr>
              <w:ind w:left="567" w:hanging="357"/>
              <w:jc w:val="both"/>
              <w:rPr>
                <w:rFonts w:ascii="Calibri" w:eastAsia="Calibri" w:hAnsi="Calibri" w:cs="EUAlbertina"/>
                <w:iCs/>
                <w:szCs w:val="22"/>
              </w:rPr>
            </w:pPr>
            <w:r>
              <w:rPr>
                <w:rFonts w:ascii="Calibri" w:hAnsi="Calibri"/>
                <w:iCs/>
                <w:szCs w:val="22"/>
              </w:rPr>
              <w:t>supplementing/amending the legal and procedural framework for the entire management system of structural and cohesion funds for the process of closure of the programming exercise 2007-2013;</w:t>
            </w:r>
          </w:p>
          <w:p w:rsidR="00BD4A3E" w:rsidRPr="00BD4A3E" w:rsidRDefault="00BD4A3E" w:rsidP="009F7237">
            <w:pPr>
              <w:widowControl w:val="0"/>
              <w:numPr>
                <w:ilvl w:val="0"/>
                <w:numId w:val="7"/>
              </w:numPr>
              <w:ind w:left="567" w:hanging="357"/>
              <w:jc w:val="both"/>
              <w:rPr>
                <w:rFonts w:ascii="Calibri" w:eastAsia="Calibri" w:hAnsi="Calibri" w:cs="Arial"/>
                <w:sz w:val="22"/>
                <w:szCs w:val="22"/>
              </w:rPr>
            </w:pPr>
            <w:r>
              <w:rPr>
                <w:rFonts w:ascii="Calibri" w:hAnsi="Calibri"/>
                <w:iCs/>
                <w:szCs w:val="22"/>
              </w:rPr>
              <w:t>approval by the Government of the list of staged and non-functional projects.</w:t>
            </w:r>
          </w:p>
        </w:tc>
      </w:tr>
    </w:tbl>
    <w:p w:rsidR="00BD4A3E" w:rsidRPr="00BD4A3E" w:rsidRDefault="00BD4A3E" w:rsidP="00BD4A3E">
      <w:pPr>
        <w:suppressAutoHyphens/>
        <w:jc w:val="both"/>
        <w:rPr>
          <w:rFonts w:ascii="Calibri" w:hAnsi="Calibri" w:cs="Arial"/>
          <w:b/>
          <w:lang w:val="ro-RO" w:eastAsia="zh-CN"/>
        </w:rPr>
      </w:pPr>
    </w:p>
    <w:p w:rsidR="00BD4A3E" w:rsidRPr="00BD4A3E" w:rsidRDefault="00BD4A3E" w:rsidP="00BD4A3E">
      <w:pPr>
        <w:suppressAutoHyphens/>
        <w:jc w:val="both"/>
        <w:rPr>
          <w:rFonts w:ascii="Calibri" w:hAnsi="Calibri" w:cs="Arial"/>
          <w:b/>
          <w:lang w:val="ro-RO" w:eastAsia="zh-CN"/>
        </w:rPr>
      </w:pPr>
    </w:p>
    <w:p w:rsidR="00BD4A3E" w:rsidRPr="00BD4A3E" w:rsidRDefault="00BD4A3E" w:rsidP="00BD4A3E">
      <w:pPr>
        <w:suppressAutoHyphens/>
        <w:jc w:val="both"/>
        <w:rPr>
          <w:rFonts w:ascii="Calibri" w:hAnsi="Calibri" w:cs="Arial"/>
          <w:b/>
        </w:rPr>
      </w:pPr>
      <w:r>
        <w:rPr>
          <w:rFonts w:ascii="Calibri" w:hAnsi="Calibri"/>
          <w:b/>
        </w:rPr>
        <w:t>Actions that correspond to the MFF for 2014-2020</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BD4A3E" w:rsidRPr="00AC4302" w:rsidTr="00BD4A3E">
        <w:tc>
          <w:tcPr>
            <w:tcW w:w="9923" w:type="dxa"/>
            <w:shd w:val="clear" w:color="auto" w:fill="auto"/>
          </w:tcPr>
          <w:p w:rsidR="00BD4A3E" w:rsidRPr="00BD4A3E" w:rsidRDefault="00BD4A3E" w:rsidP="009F7237">
            <w:pPr>
              <w:widowControl w:val="0"/>
              <w:numPr>
                <w:ilvl w:val="0"/>
                <w:numId w:val="7"/>
              </w:numPr>
              <w:ind w:left="567" w:hanging="357"/>
              <w:jc w:val="both"/>
              <w:rPr>
                <w:rFonts w:ascii="Calibri" w:eastAsia="Calibri" w:hAnsi="Calibri" w:cs="EUAlbertina"/>
                <w:iCs/>
                <w:szCs w:val="22"/>
              </w:rPr>
            </w:pPr>
            <w:r>
              <w:rPr>
                <w:rFonts w:ascii="Calibri" w:hAnsi="Calibri"/>
                <w:iCs/>
                <w:szCs w:val="22"/>
              </w:rPr>
              <w:t>implementation of the operational programs that correspond to the financial framework for 2014-2020 through the launching of the applicant’s guide and of the project calls, including the signing of financing agreements and the performance of payments to beneficiaries;</w:t>
            </w:r>
          </w:p>
          <w:p w:rsidR="00BD4A3E" w:rsidRPr="00BD4A3E" w:rsidRDefault="00BD4A3E" w:rsidP="009F7237">
            <w:pPr>
              <w:widowControl w:val="0"/>
              <w:numPr>
                <w:ilvl w:val="0"/>
                <w:numId w:val="7"/>
              </w:numPr>
              <w:ind w:left="567" w:hanging="357"/>
              <w:jc w:val="both"/>
              <w:rPr>
                <w:rFonts w:ascii="Calibri" w:eastAsia="Calibri" w:hAnsi="Calibri" w:cs="EUAlbertina"/>
                <w:iCs/>
                <w:szCs w:val="22"/>
              </w:rPr>
            </w:pPr>
            <w:r>
              <w:rPr>
                <w:rFonts w:ascii="Calibri" w:hAnsi="Calibri"/>
                <w:iCs/>
                <w:szCs w:val="22"/>
              </w:rPr>
              <w:t>ensuring a more efficient dialogue with the beneficiaries of European funds;</w:t>
            </w:r>
          </w:p>
          <w:p w:rsidR="00BD4A3E" w:rsidRPr="00BD4A3E" w:rsidRDefault="00BD4A3E" w:rsidP="009F7237">
            <w:pPr>
              <w:widowControl w:val="0"/>
              <w:numPr>
                <w:ilvl w:val="0"/>
                <w:numId w:val="7"/>
              </w:numPr>
              <w:ind w:left="567" w:hanging="357"/>
              <w:jc w:val="both"/>
              <w:rPr>
                <w:rFonts w:ascii="Calibri" w:eastAsia="Calibri" w:hAnsi="Calibri" w:cs="EUAlbertina"/>
                <w:iCs/>
                <w:szCs w:val="22"/>
              </w:rPr>
            </w:pPr>
            <w:r>
              <w:rPr>
                <w:rFonts w:ascii="Calibri" w:hAnsi="Calibri"/>
                <w:iCs/>
                <w:szCs w:val="22"/>
              </w:rPr>
              <w:t>increasing the transparency of the manner of implementation of operational programs financed from European funds;</w:t>
            </w:r>
          </w:p>
          <w:p w:rsidR="00BD4A3E" w:rsidRPr="00BD4A3E" w:rsidRDefault="00BD4A3E" w:rsidP="009F7237">
            <w:pPr>
              <w:widowControl w:val="0"/>
              <w:numPr>
                <w:ilvl w:val="0"/>
                <w:numId w:val="7"/>
              </w:numPr>
              <w:ind w:left="567" w:hanging="357"/>
              <w:jc w:val="both"/>
              <w:rPr>
                <w:rFonts w:ascii="Calibri" w:eastAsia="Calibri" w:hAnsi="Calibri" w:cs="EUAlbertina"/>
                <w:iCs/>
                <w:szCs w:val="22"/>
              </w:rPr>
            </w:pPr>
            <w:r>
              <w:rPr>
                <w:rFonts w:ascii="Calibri" w:hAnsi="Calibri"/>
                <w:iCs/>
                <w:szCs w:val="22"/>
              </w:rPr>
              <w:t>transposition into the national legislation of the new European directives in the field of public procurement and of the institutional framework that corresponds to the national public procurement system, with support from the specialty institutions;</w:t>
            </w:r>
          </w:p>
          <w:p w:rsidR="00BD4A3E" w:rsidRPr="00BD4A3E" w:rsidRDefault="00BD4A3E" w:rsidP="009F7237">
            <w:pPr>
              <w:widowControl w:val="0"/>
              <w:numPr>
                <w:ilvl w:val="0"/>
                <w:numId w:val="7"/>
              </w:numPr>
              <w:ind w:left="567" w:hanging="357"/>
              <w:jc w:val="both"/>
              <w:rPr>
                <w:rFonts w:ascii="Calibri" w:eastAsia="Calibri" w:hAnsi="Calibri" w:cs="Arial"/>
                <w:sz w:val="22"/>
                <w:szCs w:val="22"/>
              </w:rPr>
            </w:pPr>
            <w:r>
              <w:rPr>
                <w:rFonts w:ascii="Calibri" w:hAnsi="Calibri"/>
                <w:iCs/>
                <w:szCs w:val="22"/>
              </w:rPr>
              <w:t>transmission to the Audit Authority of the documents that correspond to the packages of appointment for all operational programs and obtaining the accreditation for all management authorities.</w:t>
            </w:r>
          </w:p>
          <w:p w:rsidR="00BD4A3E" w:rsidRPr="00BD4A3E" w:rsidRDefault="00BD4A3E" w:rsidP="009F7237">
            <w:pPr>
              <w:widowControl w:val="0"/>
              <w:numPr>
                <w:ilvl w:val="0"/>
                <w:numId w:val="7"/>
              </w:numPr>
              <w:ind w:left="567" w:hanging="357"/>
              <w:jc w:val="both"/>
              <w:rPr>
                <w:rFonts w:ascii="Calibri" w:eastAsia="Calibri" w:hAnsi="Calibri" w:cs="EUAlbertina"/>
                <w:iCs/>
                <w:szCs w:val="22"/>
              </w:rPr>
            </w:pPr>
            <w:r>
              <w:rPr>
                <w:rFonts w:ascii="Calibri" w:hAnsi="Calibri"/>
                <w:iCs/>
                <w:szCs w:val="22"/>
              </w:rPr>
              <w:t xml:space="preserve">completion of the process of appointment of the authorities involved in the management and control system of the funds, a process which involved the assessment thereof by the Audit Authority from Romania and the issuance of an opinion on the compliance of the system with the accreditation requirements; </w:t>
            </w:r>
          </w:p>
          <w:p w:rsidR="00BD4A3E" w:rsidRPr="00BD4A3E" w:rsidRDefault="00BD4A3E" w:rsidP="009F7237">
            <w:pPr>
              <w:widowControl w:val="0"/>
              <w:numPr>
                <w:ilvl w:val="0"/>
                <w:numId w:val="7"/>
              </w:numPr>
              <w:ind w:left="567" w:hanging="357"/>
              <w:jc w:val="both"/>
              <w:rPr>
                <w:rFonts w:ascii="Calibri" w:eastAsia="Calibri" w:hAnsi="Calibri" w:cs="EUAlbertina"/>
                <w:iCs/>
                <w:szCs w:val="22"/>
              </w:rPr>
            </w:pPr>
            <w:r>
              <w:rPr>
                <w:rFonts w:ascii="Calibri" w:hAnsi="Calibri"/>
                <w:iCs/>
                <w:szCs w:val="22"/>
              </w:rPr>
              <w:t>continuance of the process of fulfillment of ex ante conditions, from different fields, as undertaken by Romania through the Partnership Agreement. The responsibility for fulfillment of the ex ante conditions belongs to the line ministries, because they refer to the existence of sector policies/strategies legislations, the MEF coordinating the process of monitoring of the stage of fulfillment thereof.</w:t>
            </w:r>
          </w:p>
          <w:p w:rsidR="00BD4A3E" w:rsidRPr="00AC2FB0" w:rsidRDefault="00BD4A3E" w:rsidP="009F7237">
            <w:pPr>
              <w:widowControl w:val="0"/>
              <w:numPr>
                <w:ilvl w:val="0"/>
                <w:numId w:val="7"/>
              </w:numPr>
              <w:ind w:left="567" w:hanging="357"/>
              <w:jc w:val="both"/>
              <w:rPr>
                <w:rFonts w:ascii="Calibri" w:eastAsia="Calibri" w:hAnsi="Calibri" w:cs="Arial"/>
                <w:sz w:val="22"/>
                <w:szCs w:val="22"/>
              </w:rPr>
            </w:pPr>
            <w:r>
              <w:rPr>
                <w:rFonts w:ascii="Calibri" w:hAnsi="Calibri"/>
                <w:bCs/>
                <w:sz w:val="22"/>
                <w:szCs w:val="22"/>
              </w:rPr>
              <w:t>implementing measures of simplification and limitation of bureaucracy.</w:t>
            </w:r>
          </w:p>
        </w:tc>
      </w:tr>
    </w:tbl>
    <w:p w:rsidR="00BD4A3E" w:rsidRDefault="00BD4A3E" w:rsidP="00BD4A3E">
      <w:pPr>
        <w:jc w:val="both"/>
        <w:rPr>
          <w:rFonts w:ascii="Calibri" w:hAnsi="Calibri"/>
          <w:lang w:val="ro-RO"/>
        </w:rPr>
      </w:pPr>
    </w:p>
    <w:p w:rsidR="00BD4A3E" w:rsidRPr="00BD4A3E" w:rsidRDefault="00BD4A3E" w:rsidP="009F7237">
      <w:pPr>
        <w:keepNext/>
        <w:keepLines/>
        <w:numPr>
          <w:ilvl w:val="0"/>
          <w:numId w:val="20"/>
        </w:numPr>
        <w:spacing w:before="40"/>
        <w:jc w:val="both"/>
        <w:outlineLvl w:val="2"/>
        <w:rPr>
          <w:rFonts w:ascii="Calibri" w:hAnsi="Calibri" w:cs="Arial"/>
          <w:b/>
        </w:rPr>
      </w:pPr>
      <w:r>
        <w:rPr>
          <w:rFonts w:ascii="Calibri" w:hAnsi="Calibri"/>
          <w:b/>
        </w:rPr>
        <w:t xml:space="preserve">Status of implementation </w:t>
      </w:r>
    </w:p>
    <w:p w:rsidR="00BD4A3E" w:rsidRPr="00BD4A3E" w:rsidRDefault="00BD4A3E" w:rsidP="00BD4A3E">
      <w:pPr>
        <w:jc w:val="both"/>
        <w:rPr>
          <w:rFonts w:ascii="Calibri" w:hAnsi="Calibri"/>
          <w:lang w:val="ro-RO"/>
        </w:rPr>
      </w:pPr>
    </w:p>
    <w:p w:rsidR="00BD4A3E" w:rsidRPr="00BD4A3E" w:rsidRDefault="00BD4A3E" w:rsidP="00BD4A3E">
      <w:pPr>
        <w:keepNext/>
        <w:widowControl w:val="0"/>
        <w:spacing w:after="120"/>
        <w:ind w:left="284" w:firstLine="11"/>
        <w:jc w:val="both"/>
        <w:outlineLvl w:val="3"/>
        <w:rPr>
          <w:rFonts w:ascii="Calibri" w:hAnsi="Calibri"/>
          <w:b/>
          <w:bCs/>
          <w:szCs w:val="20"/>
        </w:rPr>
      </w:pPr>
      <w:r>
        <w:rPr>
          <w:rFonts w:ascii="Calibri" w:hAnsi="Calibri"/>
          <w:b/>
          <w:bCs/>
          <w:szCs w:val="20"/>
        </w:rPr>
        <w:t>2.1 Structural instruments of the Multi-annual financial framework (MFF) for 2007-2013</w:t>
      </w:r>
    </w:p>
    <w:p w:rsidR="00BD4A3E" w:rsidRPr="00BD4A3E" w:rsidRDefault="00BD4A3E" w:rsidP="00BD4A3E">
      <w:pPr>
        <w:spacing w:before="120" w:after="120"/>
        <w:ind w:firstLine="284"/>
        <w:jc w:val="both"/>
        <w:rPr>
          <w:rFonts w:ascii="Calibri" w:hAnsi="Calibri" w:cs="Arial"/>
        </w:rPr>
      </w:pPr>
      <w:r>
        <w:rPr>
          <w:rFonts w:ascii="Calibri" w:hAnsi="Calibri"/>
        </w:rPr>
        <w:t>Within the “Convergence” objective from the EU allocation of 17.57 billion EUR for the 7 operational programs</w:t>
      </w:r>
      <w:r w:rsidRPr="00BD4A3E">
        <w:rPr>
          <w:rFonts w:ascii="Calibri" w:hAnsi="Calibri" w:cs="Arial"/>
          <w:sz w:val="22"/>
          <w:szCs w:val="22"/>
          <w:vertAlign w:val="superscript"/>
          <w:lang w:val="ro-RO"/>
        </w:rPr>
        <w:footnoteReference w:id="21"/>
      </w:r>
      <w:r>
        <w:rPr>
          <w:rFonts w:ascii="Calibri" w:hAnsi="Calibri"/>
        </w:rPr>
        <w:t xml:space="preserve"> financed were contracted EU funds of approximately 20 billion EUR, representing 108%. </w:t>
      </w:r>
    </w:p>
    <w:p w:rsidR="00BD4A3E" w:rsidRPr="00BD4A3E" w:rsidRDefault="00BD4A3E" w:rsidP="00BD4A3E">
      <w:pPr>
        <w:spacing w:before="120" w:after="120"/>
        <w:ind w:firstLine="284"/>
        <w:jc w:val="both"/>
        <w:rPr>
          <w:rFonts w:ascii="Calibri" w:hAnsi="Calibri" w:cs="Calibri"/>
          <w:bCs/>
          <w:szCs w:val="22"/>
          <w:u w:val="single"/>
        </w:rPr>
      </w:pPr>
      <w:r>
        <w:rPr>
          <w:rFonts w:ascii="Calibri" w:hAnsi="Calibri"/>
          <w:bCs/>
          <w:szCs w:val="22"/>
          <w:u w:val="single"/>
        </w:rPr>
        <w:t>Current absorption rate</w:t>
      </w:r>
      <w:r w:rsidRPr="00BD4A3E">
        <w:rPr>
          <w:rFonts w:ascii="Calibri" w:hAnsi="Calibri" w:cs="Arial"/>
          <w:sz w:val="22"/>
          <w:szCs w:val="22"/>
          <w:vertAlign w:val="superscript"/>
          <w:lang w:val="ro-RO"/>
        </w:rPr>
        <w:footnoteReference w:id="22"/>
      </w:r>
    </w:p>
    <w:p w:rsidR="00BD4A3E" w:rsidRPr="00BD4A3E" w:rsidRDefault="00BD4A3E" w:rsidP="00BD4A3E">
      <w:pPr>
        <w:spacing w:before="120" w:after="120"/>
        <w:ind w:firstLine="284"/>
        <w:jc w:val="both"/>
        <w:rPr>
          <w:rFonts w:ascii="Calibri" w:hAnsi="Calibri" w:cs="Arial"/>
          <w:bCs/>
          <w:sz w:val="22"/>
          <w:szCs w:val="22"/>
          <w:u w:val="single"/>
        </w:rPr>
      </w:pPr>
      <w:r>
        <w:rPr>
          <w:rFonts w:ascii="Calibri" w:hAnsi="Calibri"/>
        </w:rPr>
        <w:t xml:space="preserve">The value of payment applications that was declared to the European Commission is of 16.73 billion EUR, which is a current absorption rate of approx. 95.23% of the EU allocation for the period 2007 - 2013. </w:t>
      </w:r>
    </w:p>
    <w:p w:rsidR="00BD4A3E" w:rsidRPr="00BD4A3E" w:rsidRDefault="00BD4A3E" w:rsidP="00BD4A3E">
      <w:pPr>
        <w:spacing w:before="120" w:after="120"/>
        <w:ind w:firstLine="284"/>
        <w:jc w:val="both"/>
        <w:rPr>
          <w:rFonts w:ascii="Calibri" w:hAnsi="Calibri" w:cs="Arial"/>
          <w:b/>
          <w:bCs/>
          <w:sz w:val="22"/>
          <w:szCs w:val="22"/>
          <w:u w:val="single"/>
        </w:rPr>
      </w:pPr>
      <w:r>
        <w:rPr>
          <w:rFonts w:ascii="Calibri" w:hAnsi="Calibri"/>
          <w:bCs/>
          <w:szCs w:val="22"/>
          <w:u w:val="single"/>
        </w:rPr>
        <w:t>Reimbursement rate</w:t>
      </w:r>
      <w:r w:rsidRPr="00BD4A3E">
        <w:rPr>
          <w:rFonts w:ascii="Calibri" w:hAnsi="Calibri" w:cs="Arial"/>
          <w:sz w:val="22"/>
          <w:szCs w:val="22"/>
          <w:vertAlign w:val="superscript"/>
          <w:lang w:val="ro-RO"/>
        </w:rPr>
        <w:footnoteReference w:id="23"/>
      </w:r>
    </w:p>
    <w:p w:rsidR="00BD4A3E" w:rsidRPr="00BD4A3E" w:rsidRDefault="00BD4A3E" w:rsidP="00BD4A3E">
      <w:pPr>
        <w:tabs>
          <w:tab w:val="left" w:pos="426"/>
        </w:tabs>
        <w:spacing w:before="120" w:after="120"/>
        <w:jc w:val="both"/>
        <w:rPr>
          <w:rFonts w:ascii="Calibri" w:hAnsi="Calibri" w:cs="Arial"/>
        </w:rPr>
      </w:pPr>
      <w:r>
        <w:rPr>
          <w:rFonts w:ascii="Calibri" w:hAnsi="Calibri"/>
        </w:rPr>
        <w:t xml:space="preserve">     The total amount received by Romania from the European Commission for the period 2007-2013 is of 16.99 billion EUR, which represents approx. 96.69% from the EU allocation for 2007-2013. 2.17 billion EUR of this amount represent pre-financing, while 14.88 billion EUR represent amounts reimbursed by the European Commission, the reimbursement rate being of 84.7% of the total allocated for the period 2007-2013.</w:t>
      </w:r>
    </w:p>
    <w:p w:rsidR="00BD4A3E" w:rsidRPr="00BD4A3E" w:rsidRDefault="00BD4A3E" w:rsidP="00BD4A3E">
      <w:pPr>
        <w:tabs>
          <w:tab w:val="left" w:pos="284"/>
        </w:tabs>
        <w:spacing w:before="120" w:after="120"/>
        <w:jc w:val="both"/>
        <w:rPr>
          <w:rFonts w:ascii="Calibri" w:hAnsi="Calibri" w:cs="Arial"/>
        </w:rPr>
      </w:pPr>
      <w:r>
        <w:rPr>
          <w:rFonts w:ascii="Calibri" w:hAnsi="Calibri"/>
        </w:rPr>
        <w:t xml:space="preserve">     The distribution on types of fund of the amounts requested to the EC and reimbursed by it is presented as follows:</w:t>
      </w:r>
    </w:p>
    <w:p w:rsidR="00BD4A3E" w:rsidRPr="00BD4A3E" w:rsidRDefault="00BD4A3E" w:rsidP="00BD4A3E">
      <w:pPr>
        <w:suppressAutoHyphens/>
        <w:ind w:left="5672" w:firstLine="709"/>
        <w:jc w:val="both"/>
        <w:rPr>
          <w:rFonts w:ascii="Calibri" w:hAnsi="Calibri" w:cs="Arial"/>
          <w:sz w:val="22"/>
          <w:szCs w:val="22"/>
        </w:rPr>
      </w:pPr>
      <w:r>
        <w:rPr>
          <w:rFonts w:ascii="Calibri" w:hAnsi="Calibri"/>
          <w:sz w:val="22"/>
          <w:szCs w:val="22"/>
        </w:rPr>
        <w:t>million EUR</w:t>
      </w:r>
    </w:p>
    <w:tbl>
      <w:tblPr>
        <w:tblW w:w="43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2"/>
        <w:gridCol w:w="2260"/>
        <w:gridCol w:w="2612"/>
      </w:tblGrid>
      <w:tr w:rsidR="00BD4A3E" w:rsidRPr="00BD4A3E" w:rsidTr="00BD4A3E">
        <w:trPr>
          <w:trHeight w:val="281"/>
          <w:jc w:val="center"/>
        </w:trPr>
        <w:tc>
          <w:tcPr>
            <w:tcW w:w="2208" w:type="pct"/>
            <w:shd w:val="clear" w:color="auto" w:fill="auto"/>
            <w:vAlign w:val="center"/>
          </w:tcPr>
          <w:p w:rsidR="00BD4A3E" w:rsidRPr="00BD4A3E" w:rsidRDefault="00BD4A3E" w:rsidP="00BD4A3E">
            <w:pPr>
              <w:jc w:val="both"/>
              <w:rPr>
                <w:rFonts w:ascii="Calibri" w:eastAsia="Calibri" w:hAnsi="Calibri" w:cs="Arial"/>
                <w:b/>
                <w:sz w:val="22"/>
                <w:szCs w:val="22"/>
              </w:rPr>
            </w:pPr>
            <w:r>
              <w:rPr>
                <w:rFonts w:ascii="Calibri" w:hAnsi="Calibri"/>
                <w:b/>
                <w:sz w:val="22"/>
                <w:szCs w:val="22"/>
              </w:rPr>
              <w:t>Fund</w:t>
            </w:r>
          </w:p>
        </w:tc>
        <w:tc>
          <w:tcPr>
            <w:tcW w:w="1295" w:type="pct"/>
            <w:shd w:val="clear" w:color="auto" w:fill="auto"/>
            <w:vAlign w:val="center"/>
          </w:tcPr>
          <w:p w:rsidR="00BD4A3E" w:rsidRPr="00BD4A3E" w:rsidRDefault="00BD4A3E" w:rsidP="00BD4A3E">
            <w:pPr>
              <w:jc w:val="both"/>
              <w:rPr>
                <w:rFonts w:ascii="Calibri" w:eastAsia="Calibri" w:hAnsi="Calibri" w:cs="Arial"/>
                <w:b/>
                <w:sz w:val="22"/>
                <w:szCs w:val="22"/>
              </w:rPr>
            </w:pPr>
            <w:r>
              <w:rPr>
                <w:rFonts w:ascii="Calibri" w:hAnsi="Calibri"/>
                <w:b/>
                <w:sz w:val="22"/>
                <w:szCs w:val="22"/>
              </w:rPr>
              <w:t>Requested amounts</w:t>
            </w:r>
          </w:p>
        </w:tc>
        <w:tc>
          <w:tcPr>
            <w:tcW w:w="1497" w:type="pct"/>
            <w:shd w:val="clear" w:color="auto" w:fill="auto"/>
            <w:vAlign w:val="center"/>
          </w:tcPr>
          <w:p w:rsidR="00BD4A3E" w:rsidRPr="00BD4A3E" w:rsidRDefault="00BD4A3E" w:rsidP="00BD4A3E">
            <w:pPr>
              <w:jc w:val="both"/>
              <w:rPr>
                <w:rFonts w:ascii="Calibri" w:eastAsia="Calibri" w:hAnsi="Calibri" w:cs="Arial"/>
                <w:b/>
                <w:sz w:val="22"/>
                <w:szCs w:val="22"/>
              </w:rPr>
            </w:pPr>
            <w:r>
              <w:rPr>
                <w:rFonts w:ascii="Calibri" w:hAnsi="Calibri"/>
                <w:b/>
                <w:sz w:val="22"/>
                <w:szCs w:val="22"/>
              </w:rPr>
              <w:t>Reimbursed amounts</w:t>
            </w:r>
          </w:p>
        </w:tc>
      </w:tr>
      <w:tr w:rsidR="00BD4A3E" w:rsidRPr="00BD4A3E" w:rsidTr="00BD4A3E">
        <w:trPr>
          <w:trHeight w:val="329"/>
          <w:jc w:val="center"/>
        </w:trPr>
        <w:tc>
          <w:tcPr>
            <w:tcW w:w="2208" w:type="pct"/>
            <w:shd w:val="clear" w:color="auto" w:fill="auto"/>
          </w:tcPr>
          <w:p w:rsidR="00BD4A3E" w:rsidRPr="00BD4A3E" w:rsidRDefault="00BD4A3E" w:rsidP="00BD4A3E">
            <w:pPr>
              <w:jc w:val="both"/>
              <w:rPr>
                <w:rFonts w:ascii="Calibri" w:eastAsia="Calibri" w:hAnsi="Calibri" w:cs="Arial"/>
                <w:sz w:val="22"/>
                <w:szCs w:val="22"/>
              </w:rPr>
            </w:pPr>
            <w:r>
              <w:rPr>
                <w:rFonts w:ascii="Calibri" w:hAnsi="Calibri"/>
                <w:sz w:val="22"/>
                <w:szCs w:val="22"/>
              </w:rPr>
              <w:t>ERDF</w:t>
            </w:r>
            <w:r w:rsidRPr="00BD4A3E">
              <w:rPr>
                <w:rFonts w:ascii="Calibri" w:eastAsia="Calibri" w:hAnsi="Calibri" w:cs="Arial"/>
                <w:sz w:val="22"/>
                <w:szCs w:val="22"/>
                <w:vertAlign w:val="superscript"/>
                <w:lang w:val="ro-RO"/>
              </w:rPr>
              <w:footnoteReference w:id="24"/>
            </w:r>
          </w:p>
        </w:tc>
        <w:tc>
          <w:tcPr>
            <w:tcW w:w="1295" w:type="pct"/>
            <w:shd w:val="clear" w:color="auto" w:fill="auto"/>
            <w:vAlign w:val="center"/>
          </w:tcPr>
          <w:p w:rsidR="00BD4A3E" w:rsidRPr="00BD4A3E" w:rsidRDefault="00BD4A3E" w:rsidP="00BD4A3E">
            <w:pPr>
              <w:jc w:val="right"/>
              <w:rPr>
                <w:rFonts w:ascii="Calibri" w:hAnsi="Calibri" w:cs="Arial"/>
                <w:sz w:val="22"/>
                <w:szCs w:val="22"/>
              </w:rPr>
            </w:pPr>
            <w:r>
              <w:rPr>
                <w:rFonts w:ascii="Calibri" w:hAnsi="Calibri"/>
                <w:sz w:val="22"/>
                <w:szCs w:val="22"/>
              </w:rPr>
              <w:t>8,250</w:t>
            </w:r>
          </w:p>
        </w:tc>
        <w:tc>
          <w:tcPr>
            <w:tcW w:w="1497" w:type="pct"/>
            <w:shd w:val="clear" w:color="auto" w:fill="auto"/>
          </w:tcPr>
          <w:p w:rsidR="00BD4A3E" w:rsidRPr="00BD4A3E" w:rsidRDefault="00BD4A3E" w:rsidP="00BD4A3E">
            <w:pPr>
              <w:jc w:val="right"/>
              <w:rPr>
                <w:rFonts w:ascii="Calibri" w:eastAsia="Calibri" w:hAnsi="Calibri" w:cs="Arial"/>
                <w:sz w:val="22"/>
                <w:szCs w:val="22"/>
              </w:rPr>
            </w:pPr>
            <w:r>
              <w:rPr>
                <w:rFonts w:ascii="Calibri" w:hAnsi="Calibri"/>
                <w:sz w:val="22"/>
                <w:szCs w:val="22"/>
              </w:rPr>
              <w:t>7,333</w:t>
            </w:r>
          </w:p>
        </w:tc>
      </w:tr>
      <w:tr w:rsidR="00BD4A3E" w:rsidRPr="00BD4A3E" w:rsidTr="00BD4A3E">
        <w:trPr>
          <w:trHeight w:val="281"/>
          <w:jc w:val="center"/>
        </w:trPr>
        <w:tc>
          <w:tcPr>
            <w:tcW w:w="2208" w:type="pct"/>
            <w:shd w:val="clear" w:color="auto" w:fill="auto"/>
          </w:tcPr>
          <w:p w:rsidR="00BD4A3E" w:rsidRPr="00BD4A3E" w:rsidRDefault="00BD4A3E" w:rsidP="00BD4A3E">
            <w:pPr>
              <w:jc w:val="both"/>
              <w:rPr>
                <w:rFonts w:ascii="Calibri" w:eastAsia="Calibri" w:hAnsi="Calibri" w:cs="Arial"/>
                <w:sz w:val="22"/>
                <w:szCs w:val="22"/>
              </w:rPr>
            </w:pPr>
            <w:r>
              <w:rPr>
                <w:rFonts w:ascii="Calibri" w:hAnsi="Calibri"/>
                <w:sz w:val="22"/>
                <w:szCs w:val="22"/>
              </w:rPr>
              <w:t>CF</w:t>
            </w:r>
            <w:r w:rsidRPr="00BD4A3E">
              <w:rPr>
                <w:rFonts w:ascii="Calibri" w:eastAsia="Calibri" w:hAnsi="Calibri" w:cs="Arial"/>
                <w:sz w:val="22"/>
                <w:szCs w:val="22"/>
                <w:vertAlign w:val="superscript"/>
                <w:lang w:val="ro-RO"/>
              </w:rPr>
              <w:footnoteReference w:id="25"/>
            </w:r>
          </w:p>
        </w:tc>
        <w:tc>
          <w:tcPr>
            <w:tcW w:w="1295" w:type="pct"/>
            <w:shd w:val="clear" w:color="auto" w:fill="auto"/>
            <w:vAlign w:val="center"/>
          </w:tcPr>
          <w:p w:rsidR="00BD4A3E" w:rsidRPr="00BD4A3E" w:rsidRDefault="00BD4A3E" w:rsidP="00BD4A3E">
            <w:pPr>
              <w:jc w:val="right"/>
              <w:rPr>
                <w:rFonts w:ascii="Calibri" w:hAnsi="Calibri" w:cs="Arial"/>
                <w:sz w:val="22"/>
                <w:szCs w:val="22"/>
              </w:rPr>
            </w:pPr>
            <w:r>
              <w:rPr>
                <w:rFonts w:ascii="Calibri" w:hAnsi="Calibri"/>
                <w:sz w:val="22"/>
                <w:szCs w:val="22"/>
              </w:rPr>
              <w:t>5,365</w:t>
            </w:r>
          </w:p>
        </w:tc>
        <w:tc>
          <w:tcPr>
            <w:tcW w:w="1497" w:type="pct"/>
            <w:shd w:val="clear" w:color="auto" w:fill="auto"/>
          </w:tcPr>
          <w:p w:rsidR="00BD4A3E" w:rsidRPr="00BD4A3E" w:rsidRDefault="00BD4A3E" w:rsidP="00BD4A3E">
            <w:pPr>
              <w:jc w:val="right"/>
              <w:rPr>
                <w:rFonts w:ascii="Calibri" w:eastAsia="Calibri" w:hAnsi="Calibri" w:cs="Arial"/>
                <w:sz w:val="22"/>
                <w:szCs w:val="22"/>
              </w:rPr>
            </w:pPr>
            <w:r>
              <w:rPr>
                <w:rFonts w:ascii="Calibri" w:hAnsi="Calibri"/>
                <w:sz w:val="22"/>
                <w:szCs w:val="22"/>
              </w:rPr>
              <w:t>5,030</w:t>
            </w:r>
          </w:p>
        </w:tc>
      </w:tr>
      <w:tr w:rsidR="00BD4A3E" w:rsidRPr="00BD4A3E" w:rsidTr="00BD4A3E">
        <w:trPr>
          <w:trHeight w:val="314"/>
          <w:jc w:val="center"/>
        </w:trPr>
        <w:tc>
          <w:tcPr>
            <w:tcW w:w="2208" w:type="pct"/>
            <w:shd w:val="clear" w:color="auto" w:fill="auto"/>
          </w:tcPr>
          <w:p w:rsidR="00BD4A3E" w:rsidRPr="00BD4A3E" w:rsidRDefault="00BD4A3E" w:rsidP="00BD4A3E">
            <w:pPr>
              <w:tabs>
                <w:tab w:val="left" w:pos="3675"/>
              </w:tabs>
              <w:jc w:val="both"/>
              <w:rPr>
                <w:rFonts w:ascii="Calibri" w:eastAsia="Calibri" w:hAnsi="Calibri" w:cs="Arial"/>
                <w:sz w:val="22"/>
                <w:szCs w:val="22"/>
              </w:rPr>
            </w:pPr>
            <w:r>
              <w:rPr>
                <w:rFonts w:ascii="Calibri" w:hAnsi="Calibri"/>
                <w:sz w:val="22"/>
                <w:szCs w:val="22"/>
              </w:rPr>
              <w:t>ESF</w:t>
            </w:r>
            <w:r w:rsidRPr="00BD4A3E">
              <w:rPr>
                <w:rFonts w:ascii="Calibri" w:eastAsia="Calibri" w:hAnsi="Calibri" w:cs="Arial"/>
                <w:sz w:val="22"/>
                <w:szCs w:val="22"/>
                <w:vertAlign w:val="superscript"/>
                <w:lang w:val="ro-RO"/>
              </w:rPr>
              <w:footnoteReference w:id="26"/>
            </w:r>
          </w:p>
        </w:tc>
        <w:tc>
          <w:tcPr>
            <w:tcW w:w="1295" w:type="pct"/>
            <w:shd w:val="clear" w:color="auto" w:fill="auto"/>
            <w:vAlign w:val="center"/>
          </w:tcPr>
          <w:p w:rsidR="00BD4A3E" w:rsidRPr="00BD4A3E" w:rsidRDefault="00BD4A3E" w:rsidP="00BD4A3E">
            <w:pPr>
              <w:jc w:val="right"/>
              <w:rPr>
                <w:rFonts w:ascii="Calibri" w:hAnsi="Calibri" w:cs="Arial"/>
                <w:sz w:val="22"/>
                <w:szCs w:val="22"/>
              </w:rPr>
            </w:pPr>
            <w:r>
              <w:rPr>
                <w:rFonts w:ascii="Calibri" w:hAnsi="Calibri"/>
                <w:sz w:val="22"/>
                <w:szCs w:val="22"/>
              </w:rPr>
              <w:t>3,114</w:t>
            </w:r>
          </w:p>
        </w:tc>
        <w:tc>
          <w:tcPr>
            <w:tcW w:w="1497" w:type="pct"/>
            <w:shd w:val="clear" w:color="auto" w:fill="auto"/>
          </w:tcPr>
          <w:p w:rsidR="00BD4A3E" w:rsidRPr="00BD4A3E" w:rsidRDefault="00BD4A3E" w:rsidP="00BD4A3E">
            <w:pPr>
              <w:jc w:val="right"/>
              <w:rPr>
                <w:rFonts w:ascii="Calibri" w:eastAsia="Calibri" w:hAnsi="Calibri" w:cs="Arial"/>
                <w:sz w:val="22"/>
                <w:szCs w:val="22"/>
              </w:rPr>
            </w:pPr>
            <w:r>
              <w:rPr>
                <w:rFonts w:ascii="Calibri" w:hAnsi="Calibri"/>
                <w:sz w:val="22"/>
                <w:szCs w:val="22"/>
              </w:rPr>
              <w:t>2,518</w:t>
            </w:r>
          </w:p>
        </w:tc>
      </w:tr>
    </w:tbl>
    <w:p w:rsidR="00BD4A3E" w:rsidRPr="00BD4A3E" w:rsidRDefault="00BD4A3E" w:rsidP="00BD4A3E">
      <w:pPr>
        <w:suppressAutoHyphens/>
        <w:jc w:val="both"/>
        <w:rPr>
          <w:rFonts w:ascii="Calibri" w:hAnsi="Calibri" w:cs="Arial"/>
          <w:sz w:val="22"/>
          <w:szCs w:val="22"/>
          <w:lang w:val="ro-RO" w:eastAsia="zh-CN"/>
        </w:rPr>
      </w:pPr>
    </w:p>
    <w:p w:rsidR="00BD4A3E" w:rsidRPr="00BD4A3E" w:rsidRDefault="00BD4A3E" w:rsidP="00BD4A3E">
      <w:pPr>
        <w:spacing w:before="120" w:after="120"/>
        <w:ind w:firstLine="426"/>
        <w:jc w:val="both"/>
        <w:rPr>
          <w:rFonts w:ascii="Calibri" w:hAnsi="Calibri" w:cs="Arial"/>
        </w:rPr>
      </w:pPr>
      <w:r>
        <w:rPr>
          <w:rFonts w:ascii="Calibri" w:hAnsi="Calibri"/>
        </w:rPr>
        <w:t xml:space="preserve">The final absorption rate will be established only after acceptance of the closing package by the EC and the payment of the final balance that corresponds to the final payment applications sent by Romania until March 31, 2017, in accordance with the provisions of the European regulations applicable to this financial framework. </w:t>
      </w:r>
    </w:p>
    <w:p w:rsidR="00BD4A3E" w:rsidRPr="00BD4A3E" w:rsidRDefault="00BD4A3E" w:rsidP="00BD4A3E">
      <w:pPr>
        <w:spacing w:before="120" w:after="120"/>
        <w:ind w:firstLine="426"/>
        <w:jc w:val="both"/>
        <w:rPr>
          <w:rFonts w:ascii="Calibri" w:hAnsi="Calibri" w:cs="Arial"/>
          <w:lang w:val="ro-RO" w:eastAsia="zh-CN"/>
        </w:rPr>
      </w:pPr>
    </w:p>
    <w:p w:rsidR="00BD4A3E" w:rsidRPr="00BD4A3E" w:rsidRDefault="00BD4A3E" w:rsidP="00BD4A3E">
      <w:pPr>
        <w:keepNext/>
        <w:widowControl w:val="0"/>
        <w:spacing w:after="120"/>
        <w:ind w:left="284" w:firstLine="11"/>
        <w:jc w:val="both"/>
        <w:outlineLvl w:val="3"/>
        <w:rPr>
          <w:rFonts w:ascii="Calibri" w:hAnsi="Calibri"/>
          <w:b/>
          <w:bCs/>
          <w:szCs w:val="20"/>
        </w:rPr>
      </w:pPr>
      <w:r>
        <w:rPr>
          <w:rFonts w:ascii="Calibri" w:hAnsi="Calibri"/>
          <w:b/>
          <w:bCs/>
          <w:szCs w:val="20"/>
        </w:rPr>
        <w:t xml:space="preserve">2.2 European Structural and Investment Funds - MFF 2014-2020 </w:t>
      </w:r>
    </w:p>
    <w:p w:rsidR="00BD4A3E" w:rsidRPr="00BD4A3E" w:rsidRDefault="00BD4A3E" w:rsidP="00BD4A3E">
      <w:pPr>
        <w:spacing w:before="120" w:after="120"/>
        <w:ind w:firstLine="284"/>
        <w:jc w:val="both"/>
        <w:rPr>
          <w:rFonts w:ascii="Calibri" w:hAnsi="Calibri" w:cs="Arial"/>
        </w:rPr>
      </w:pPr>
      <w:r>
        <w:rPr>
          <w:rFonts w:ascii="Calibri" w:hAnsi="Calibri"/>
        </w:rPr>
        <w:t>As of 2015 were launched project calls for all 7 operational programs of ESIF - OP of Large Infrastructure, Human capital, Competitiveness, Technical Assistance, Regional, Administrative Capacity, Initiative for SMEs. The  total budget launched for these calls is of approximately 24.7 billion EUR, representing 89% of the total allocation of approximately 28 billion EUR available for the implementation of these programs.</w:t>
      </w:r>
    </w:p>
    <w:p w:rsidR="00BD4A3E" w:rsidRPr="00BD4A3E" w:rsidRDefault="00BD4A3E" w:rsidP="00BD4A3E">
      <w:pPr>
        <w:spacing w:before="120" w:after="120"/>
        <w:ind w:firstLine="284"/>
        <w:jc w:val="both"/>
        <w:rPr>
          <w:rFonts w:ascii="Calibri" w:hAnsi="Calibri" w:cs="Arial"/>
        </w:rPr>
      </w:pPr>
      <w:r>
        <w:rPr>
          <w:rFonts w:ascii="Calibri" w:hAnsi="Calibri"/>
        </w:rPr>
        <w:t>By October 12, 2018 were signed 5,068 financing agreements, with a total eligible value of approximately 15 billion EUR, representing 54% of the total allocation corresponding to these OP. Within these agreements were made payments by the management authorities of 2.7 billion EUR.</w:t>
      </w:r>
    </w:p>
    <w:p w:rsidR="00BD4A3E" w:rsidRPr="00BD4A3E" w:rsidRDefault="00BD4A3E" w:rsidP="00BD4A3E">
      <w:pPr>
        <w:spacing w:before="120" w:after="120"/>
        <w:ind w:firstLine="284"/>
        <w:jc w:val="both"/>
        <w:rPr>
          <w:rFonts w:ascii="Calibri" w:hAnsi="Calibri" w:cs="Arial"/>
        </w:rPr>
      </w:pPr>
      <w:r>
        <w:rPr>
          <w:rFonts w:ascii="Calibri" w:hAnsi="Calibri"/>
        </w:rPr>
        <w:t xml:space="preserve">For the aforementioned PO were received from the EC pre-financing funds amounting to 1.4 billion EUR, representing 6.3% of the EU allocation of approximately 22.58 billion EUR corresponding thereto. </w:t>
      </w:r>
    </w:p>
    <w:p w:rsidR="00BD4A3E" w:rsidRPr="00BD4A3E" w:rsidRDefault="00BD4A3E" w:rsidP="00BD4A3E">
      <w:pPr>
        <w:spacing w:before="120" w:after="120"/>
        <w:ind w:firstLine="284"/>
        <w:jc w:val="both"/>
        <w:rPr>
          <w:rFonts w:ascii="Calibri" w:hAnsi="Calibri" w:cs="Arial"/>
        </w:rPr>
      </w:pPr>
      <w:r>
        <w:rPr>
          <w:rFonts w:ascii="Calibri" w:hAnsi="Calibri"/>
        </w:rPr>
        <w:t>Until the present, the value of the payment applications sent to the European Commission is of approximately 1.8 billion EUR, of which the EC has reimbursed so far the amount of 1.5 billion EUR.</w:t>
      </w:r>
    </w:p>
    <w:p w:rsidR="00BD4A3E" w:rsidRPr="00BD4A3E" w:rsidRDefault="00BD4A3E" w:rsidP="00BD4A3E">
      <w:pPr>
        <w:spacing w:before="120" w:after="120"/>
        <w:ind w:firstLine="284"/>
        <w:jc w:val="both"/>
        <w:rPr>
          <w:rFonts w:ascii="Calibri" w:hAnsi="Calibri" w:cs="Arial"/>
        </w:rPr>
      </w:pPr>
      <w:r>
        <w:rPr>
          <w:rFonts w:ascii="Calibri" w:hAnsi="Calibri"/>
        </w:rPr>
        <w:t xml:space="preserve">In accordance with the provisions of the European regulations applicable to the current programming period, the reimbursement of the declared expenditures was made after the completion of the process of appointment of the authorities involved in the management and control system of the funds, a process which involved the assessment thereof by the Audit Authority from Romania and the issuance of an opinion on the compliance of the system with the accreditation requirements. </w:t>
      </w:r>
    </w:p>
    <w:p w:rsidR="00BD4A3E" w:rsidRPr="00BD4A3E" w:rsidRDefault="00BD4A3E" w:rsidP="00BD4A3E">
      <w:pPr>
        <w:spacing w:before="120" w:after="120"/>
        <w:ind w:firstLine="284"/>
        <w:jc w:val="both"/>
        <w:rPr>
          <w:rFonts w:ascii="Calibri" w:hAnsi="Calibri" w:cs="Arial"/>
        </w:rPr>
      </w:pPr>
      <w:r>
        <w:rPr>
          <w:rFonts w:ascii="Calibri" w:hAnsi="Calibri"/>
        </w:rPr>
        <w:t xml:space="preserve">Through the Partnership Agreement, Romania undertook to finance all thematic objectives established through the (EU) Regulations no. 1303/2013, which imposed the application of all 36 ex ante conditions provided in annex XI to the aforementioned Regulation. </w:t>
      </w:r>
    </w:p>
    <w:p w:rsidR="00BD4A3E" w:rsidRPr="00BD4A3E" w:rsidRDefault="00BD4A3E" w:rsidP="00BD4A3E">
      <w:pPr>
        <w:spacing w:before="120" w:after="120"/>
        <w:ind w:firstLine="284"/>
        <w:jc w:val="both"/>
        <w:rPr>
          <w:rFonts w:ascii="Calibri" w:hAnsi="Calibri" w:cs="Arial"/>
        </w:rPr>
      </w:pPr>
      <w:r>
        <w:rPr>
          <w:rFonts w:ascii="Calibri" w:hAnsi="Calibri"/>
        </w:rPr>
        <w:t>34 conditions are currently fulfilled (July 2018). The documents regarding the fulfillment of the thematic condition 11 regarding the “</w:t>
      </w:r>
      <w:r>
        <w:rPr>
          <w:rFonts w:ascii="Calibri" w:hAnsi="Calibri"/>
          <w:i/>
        </w:rPr>
        <w:t>Existence of a strategic policy framework for consolidation of the administrative efficiency of Member States, including the public administration reform</w:t>
      </w:r>
      <w:r>
        <w:rPr>
          <w:rFonts w:ascii="Calibri" w:hAnsi="Calibri"/>
        </w:rPr>
        <w:t>” are being analyzed in the EC. With regard to the thematic condition 6.2 - “</w:t>
      </w:r>
      <w:r>
        <w:rPr>
          <w:rFonts w:ascii="Calibri" w:hAnsi="Calibri"/>
          <w:i/>
        </w:rPr>
        <w:t>Promotion of economically and environmentally sustainable investments for the waste sector, especially through the elaboration of waste management plans in accordance with Directive 2008/98/EC on waste and the waste hierarchy</w:t>
      </w:r>
      <w:r>
        <w:rPr>
          <w:rFonts w:ascii="Calibri" w:hAnsi="Calibri"/>
        </w:rPr>
        <w:t>”, not fulfilled, the European Commission notified the need to apply art. 142, para. (1) letter (e) in the Regulation (EU) no. 1303/2013 and the suspension of the co-financing ensured through the Cohesion Fund for the investments made within the POIM, specific objective 3.1 - Reducing the number of non-compliant waste deposits and increasing the degree of preparation for recycling of waste in Romania. The responsibility for fulfilling the ex ante condition belongs to the Ministry of Environment.</w:t>
      </w:r>
    </w:p>
    <w:p w:rsidR="00BD4A3E" w:rsidRPr="00BD4A3E" w:rsidRDefault="00BD4A3E" w:rsidP="00BD4A3E">
      <w:pPr>
        <w:spacing w:before="120" w:after="120"/>
        <w:ind w:firstLine="284"/>
        <w:jc w:val="both"/>
        <w:rPr>
          <w:rFonts w:ascii="Calibri" w:hAnsi="Calibri" w:cs="Arial"/>
          <w:b/>
        </w:rPr>
      </w:pPr>
      <w:r>
        <w:rPr>
          <w:rFonts w:ascii="Calibri" w:hAnsi="Calibri"/>
          <w:b/>
        </w:rPr>
        <w:t>2.3 Measures implemented and planned in the field of European funds</w:t>
      </w:r>
    </w:p>
    <w:p w:rsidR="00BD4A3E" w:rsidRPr="00BD4A3E" w:rsidRDefault="00BD4A3E" w:rsidP="00BD4A3E">
      <w:pPr>
        <w:keepNext/>
        <w:widowControl w:val="0"/>
        <w:spacing w:after="120"/>
        <w:ind w:left="720"/>
        <w:jc w:val="both"/>
        <w:outlineLvl w:val="3"/>
        <w:rPr>
          <w:rFonts w:ascii="Calibri" w:hAnsi="Calibri"/>
          <w:b/>
          <w:szCs w:val="20"/>
        </w:rPr>
      </w:pPr>
      <w:r>
        <w:rPr>
          <w:rFonts w:ascii="Calibri" w:hAnsi="Calibri"/>
          <w:b/>
          <w:szCs w:val="20"/>
        </w:rPr>
        <w:t xml:space="preserve">2.3.1 Implemented measures </w:t>
      </w:r>
    </w:p>
    <w:p w:rsidR="00BD4A3E" w:rsidRPr="00BD4A3E" w:rsidRDefault="00BD4A3E" w:rsidP="00BD4A3E">
      <w:pPr>
        <w:suppressAutoHyphens/>
        <w:spacing w:before="120" w:after="120"/>
        <w:ind w:firstLine="709"/>
        <w:jc w:val="both"/>
        <w:rPr>
          <w:rFonts w:ascii="Calibri" w:hAnsi="Calibri" w:cs="Arial"/>
        </w:rPr>
      </w:pPr>
      <w:r>
        <w:rPr>
          <w:rFonts w:ascii="Calibri" w:hAnsi="Calibri"/>
        </w:rPr>
        <w:t>The main measures taken in 2016-2018 referred on the one hand to the process of closing of the operational programs for 2007-2013 and, on the other hand, to the process of appointment of the authorities involved in the management of ESI funds and the acceleration of implementation of the operational programs corresponding to the period 2014-2020.</w:t>
      </w:r>
    </w:p>
    <w:p w:rsidR="00BD4A3E" w:rsidRPr="00BD4A3E" w:rsidRDefault="00BD4A3E" w:rsidP="00BD4A3E">
      <w:pPr>
        <w:suppressAutoHyphens/>
        <w:jc w:val="both"/>
        <w:rPr>
          <w:rFonts w:ascii="Calibri" w:hAnsi="Calibri" w:cs="Arial"/>
        </w:rPr>
      </w:pPr>
      <w:r>
        <w:rPr>
          <w:rFonts w:ascii="Calibri" w:hAnsi="Calibri"/>
        </w:rPr>
        <w:t>Thus, a series of measures were taken, of which we mention:</w:t>
      </w:r>
    </w:p>
    <w:p w:rsidR="00BD4A3E" w:rsidRPr="00BD4A3E" w:rsidRDefault="00BD4A3E" w:rsidP="009F7237">
      <w:pPr>
        <w:numPr>
          <w:ilvl w:val="0"/>
          <w:numId w:val="14"/>
        </w:numPr>
        <w:suppressAutoHyphens/>
        <w:spacing w:before="120" w:after="120"/>
        <w:jc w:val="both"/>
        <w:rPr>
          <w:rFonts w:ascii="Calibri" w:hAnsi="Calibri" w:cs="Arial"/>
        </w:rPr>
      </w:pPr>
      <w:r>
        <w:rPr>
          <w:rFonts w:ascii="Calibri" w:hAnsi="Calibri"/>
        </w:rPr>
        <w:t>the revision of the legal and institutional framework:</w:t>
      </w:r>
    </w:p>
    <w:p w:rsidR="00BD4A3E" w:rsidRPr="00BD4A3E" w:rsidRDefault="00BD4A3E" w:rsidP="009F7237">
      <w:pPr>
        <w:numPr>
          <w:ilvl w:val="0"/>
          <w:numId w:val="15"/>
        </w:numPr>
        <w:suppressAutoHyphens/>
        <w:spacing w:before="120" w:after="120"/>
        <w:jc w:val="both"/>
        <w:rPr>
          <w:rFonts w:ascii="Calibri" w:hAnsi="Calibri" w:cs="Arial"/>
        </w:rPr>
      </w:pPr>
      <w:r>
        <w:rPr>
          <w:rFonts w:ascii="Calibri" w:hAnsi="Calibri"/>
        </w:rPr>
        <w:t>amendment of G.D. No. 678/2015 on the closing of the operational programs financed between 2007 and 2013 through the European Regional Development Fund, the European Social Fund, the Cohesion Fund and the European Fund for Fishing, which established the main activities and deadlines which must be observed by all structures involved in the closing of operational programs;</w:t>
      </w:r>
    </w:p>
    <w:p w:rsidR="00BD4A3E" w:rsidRPr="00BD4A3E" w:rsidRDefault="00BD4A3E" w:rsidP="009F7237">
      <w:pPr>
        <w:numPr>
          <w:ilvl w:val="0"/>
          <w:numId w:val="15"/>
        </w:numPr>
        <w:suppressAutoHyphens/>
        <w:spacing w:before="120" w:after="120"/>
        <w:jc w:val="both"/>
        <w:rPr>
          <w:rFonts w:ascii="Calibri" w:hAnsi="Calibri" w:cs="Arial"/>
        </w:rPr>
      </w:pPr>
      <w:r>
        <w:rPr>
          <w:rFonts w:ascii="Calibri" w:hAnsi="Calibri"/>
        </w:rPr>
        <w:t>amendment and supplementation of G.E.O. No. 64/2009 on the financial management of structural funds and the use thereof for the convergence objective, in order to make more flexible the payment conditions to the beneficiaries;</w:t>
      </w:r>
    </w:p>
    <w:p w:rsidR="00BD4A3E" w:rsidRPr="00BD4A3E" w:rsidRDefault="00BD4A3E" w:rsidP="009F7237">
      <w:pPr>
        <w:numPr>
          <w:ilvl w:val="0"/>
          <w:numId w:val="15"/>
        </w:numPr>
        <w:suppressAutoHyphens/>
        <w:spacing w:before="120" w:after="120"/>
        <w:jc w:val="both"/>
        <w:rPr>
          <w:rFonts w:ascii="Calibri" w:hAnsi="Calibri" w:cs="Arial"/>
        </w:rPr>
      </w:pPr>
      <w:r>
        <w:rPr>
          <w:rFonts w:ascii="Calibri" w:hAnsi="Calibri"/>
        </w:rPr>
        <w:t>adoption/amendment of the main legislative acts necessary to the implementation process of the ESIF (G.D. No. 398/2015 - institutional framework of coordination and management of ESIF, G.E.O. No. 40/2015 on the financial management of European funds, and G.D. No. 93/2016 on the approval of the Methodological Norms of enforcement of the provisions in Government Emergency Ordinance no. 40/2015 and G.D. No. 399/2015 - eligibility rules of the expenditures made in the operations financed through the European Regional Development Fund, the European Social Fund and the Cohesion Fund for 2014-2020);</w:t>
      </w:r>
    </w:p>
    <w:p w:rsidR="00BD4A3E" w:rsidRPr="00BD4A3E" w:rsidRDefault="00BD4A3E" w:rsidP="009F7237">
      <w:pPr>
        <w:numPr>
          <w:ilvl w:val="0"/>
          <w:numId w:val="15"/>
        </w:numPr>
        <w:suppressAutoHyphens/>
        <w:spacing w:before="120" w:after="120"/>
        <w:jc w:val="both"/>
        <w:rPr>
          <w:rFonts w:ascii="Calibri" w:hAnsi="Calibri" w:cs="Arial"/>
        </w:rPr>
      </w:pPr>
      <w:r>
        <w:rPr>
          <w:rFonts w:ascii="Calibri" w:hAnsi="Calibri"/>
        </w:rPr>
        <w:t>adoption of G.E.O. No. 49/June 30, 2017 on certain measures to accelerate the implementation of transport infrastructure projects of national interest, for the amendment and supplementation of Government Emergency Ordinance no. 40/2015 on the financial management of European funds for the programming period 2014-2020, for the supplementation of Law no. 105/2011 on the management and use of external non-reimbursable funds and of the national public co-financing, for the objective “European Territorial Cooperation”, as well as for the amendment and supplementation of Government Ordinance no. 17/2015 on the regulation of certain fiscal and budgetary measures and amending certain legislative acts. Once with this amendment can be issued construction permits without the prior elaboration and approval of a territory arrangement or urbanism documentation for the projects related to transport infrastructure of national interest which are included in the plan of arrangement of the national territory - section I - Transport networks and/or in the General Transport Master Plan of Romania, with the exception of ports, airports, train stations, yards, depots, metro, combined transport terminals and border crossing points, without affecting the provisions related to construction quality and discipline;</w:t>
      </w:r>
    </w:p>
    <w:p w:rsidR="00BD4A3E" w:rsidRPr="00BD4A3E" w:rsidRDefault="00BD4A3E" w:rsidP="009F7237">
      <w:pPr>
        <w:numPr>
          <w:ilvl w:val="0"/>
          <w:numId w:val="15"/>
        </w:numPr>
        <w:tabs>
          <w:tab w:val="left" w:pos="993"/>
        </w:tabs>
        <w:suppressAutoHyphens/>
        <w:spacing w:before="120" w:after="120"/>
        <w:jc w:val="both"/>
        <w:rPr>
          <w:rFonts w:ascii="Calibri" w:hAnsi="Calibri" w:cs="Arial"/>
        </w:rPr>
      </w:pPr>
      <w:r>
        <w:rPr>
          <w:rFonts w:ascii="Calibri" w:hAnsi="Calibri"/>
        </w:rPr>
        <w:tab/>
        <w:t xml:space="preserve">adoption of G.E.O. no. 17/2018 amending G.E.O. No. 40/2015 on the financial management of European funds for the programming period 2014-2020, as subsequently amended and supplemented. The legislative act refers to the following amendments: increase of the contracting percentage to at most 300% of the allocation, according to the targeted operational program. Thus, in the POR and POC can be concluded financing agreements with a double total value compared to the program allocation, for the POIM - financing agreements with a triple value compared to the programme allocation, for the POCU, POCA and POAT - the value of the agreements exceeds by maximum 50% the program allocation, and in the case of POAD - the value of the agreements exceeds by at most 20% the program allocation; extending the possibility of performing payments, in the case of the projects included in the budget of the main credit authority, on the basis of the endorsement in principle of the management authority of POIM, which have the public procurement agreements concluded, but whose financing agreements were not concluded with the management authority; creation of the legal grounds for award of the endorsement in principle in accordance with art. 11 in GEO no. 40/2015 by the Interim Body for Transport for the projects financed within Annexes 1 and 2 to POIM; </w:t>
      </w:r>
    </w:p>
    <w:p w:rsidR="00BD4A3E" w:rsidRPr="00BD4A3E" w:rsidRDefault="00BD4A3E" w:rsidP="009F7237">
      <w:pPr>
        <w:numPr>
          <w:ilvl w:val="0"/>
          <w:numId w:val="15"/>
        </w:numPr>
        <w:tabs>
          <w:tab w:val="left" w:pos="993"/>
        </w:tabs>
        <w:suppressAutoHyphens/>
        <w:spacing w:before="120" w:after="120"/>
        <w:jc w:val="both"/>
        <w:rPr>
          <w:rFonts w:ascii="Calibri" w:hAnsi="Calibri" w:cs="Arial"/>
        </w:rPr>
      </w:pPr>
      <w:r>
        <w:rPr>
          <w:rFonts w:ascii="Calibri" w:hAnsi="Calibri"/>
        </w:rPr>
        <w:t xml:space="preserve"> through adoption of the G.E.O. no. 27/March 30, 2017 on the adoption of fiscal and budgetary measures, the administrative-territorial units/subdivisions may request in 2017 from the Ministry of Public Finance, including for the intra-Community development associations, the contracting of loans from privatization revenues, within the limit of the amount of 500,000 thousand Lei to ensure pre-financing and/or co-financing of projects financed from external non-reimbursable funds between 2014 and 2020, including for the ineligible expenditures associated with these projects. The measure of awarding loans to the administrative-territorial units/subdivisions supports the concerted actions in order to attract the amounts estimated from the European Structural and Investment Funds and facilitate the project implementation process. Therefore, G.E.O. No. 27/2017 seeks to create the necessary financial resources for assurance of the share of own co-financing (2%) or of ineligible expenditures, both for the projects in process of implementation and for those in process of contracting;</w:t>
      </w:r>
    </w:p>
    <w:p w:rsidR="00BD4A3E" w:rsidRPr="00BD4A3E" w:rsidRDefault="00BD4A3E" w:rsidP="009F7237">
      <w:pPr>
        <w:numPr>
          <w:ilvl w:val="0"/>
          <w:numId w:val="15"/>
        </w:numPr>
        <w:spacing w:before="120" w:after="120"/>
        <w:ind w:left="1066" w:hanging="357"/>
        <w:jc w:val="both"/>
        <w:rPr>
          <w:rFonts w:cs="Arial"/>
        </w:rPr>
      </w:pPr>
      <w:r>
        <w:t>through the adoption of Law no. 240/2017 was created a unitary approach for all operational programs on the level of private co-financing to at most 2% for the beneficiaries/partners who are non-profit legal entities of private law, established under the law in force, including universities, trade unions and employers’ associations;</w:t>
      </w:r>
    </w:p>
    <w:p w:rsidR="00BD4A3E" w:rsidRPr="00BD4A3E" w:rsidRDefault="00BD4A3E" w:rsidP="009F7237">
      <w:pPr>
        <w:numPr>
          <w:ilvl w:val="0"/>
          <w:numId w:val="15"/>
        </w:numPr>
        <w:spacing w:before="120" w:after="120"/>
        <w:ind w:left="1066" w:hanging="357"/>
        <w:jc w:val="both"/>
        <w:rPr>
          <w:rFonts w:cs="Arial"/>
        </w:rPr>
      </w:pPr>
      <w:r>
        <w:t>definition of the pre-financing percentage for the beneficiaries who receive financing under the scope of State/de minimis aid (a single installment of at most 40% of the eligible public contribution of the project);</w:t>
      </w:r>
    </w:p>
    <w:p w:rsidR="00BD4A3E" w:rsidRPr="00BD4A3E" w:rsidRDefault="00BD4A3E" w:rsidP="009F7237">
      <w:pPr>
        <w:numPr>
          <w:ilvl w:val="0"/>
          <w:numId w:val="15"/>
        </w:numPr>
        <w:suppressAutoHyphens/>
        <w:spacing w:before="120" w:after="120"/>
        <w:jc w:val="both"/>
        <w:rPr>
          <w:rFonts w:ascii="Calibri" w:hAnsi="Calibri" w:cs="Arial"/>
        </w:rPr>
      </w:pPr>
      <w:r>
        <w:rPr>
          <w:rFonts w:ascii="Calibri" w:hAnsi="Calibri"/>
        </w:rPr>
        <w:t>The Ministry of Transport was appointed as interim body for the Operational Program of Large Infrastructure (POIM);</w:t>
      </w:r>
    </w:p>
    <w:p w:rsidR="00BD4A3E" w:rsidRPr="00BD4A3E" w:rsidRDefault="00BD4A3E" w:rsidP="009F7237">
      <w:pPr>
        <w:numPr>
          <w:ilvl w:val="0"/>
          <w:numId w:val="15"/>
        </w:numPr>
        <w:spacing w:before="120" w:after="120"/>
        <w:ind w:left="1066" w:hanging="357"/>
        <w:jc w:val="both"/>
        <w:rPr>
          <w:rFonts w:cs="Arial"/>
        </w:rPr>
      </w:pPr>
      <w:r>
        <w:t xml:space="preserve">approval of certain measures to make more efficient the management system of structural instruments and ESI funds through the takeover by the former Ministry of European Funds of the interim/regional interim bodies POS M and POS DRU. </w:t>
      </w:r>
    </w:p>
    <w:p w:rsidR="00BD4A3E" w:rsidRPr="00BD4A3E" w:rsidRDefault="00BD4A3E" w:rsidP="009F7237">
      <w:pPr>
        <w:numPr>
          <w:ilvl w:val="0"/>
          <w:numId w:val="16"/>
        </w:numPr>
        <w:suppressAutoHyphens/>
        <w:spacing w:before="120" w:after="120"/>
        <w:jc w:val="both"/>
        <w:rPr>
          <w:rFonts w:ascii="Calibri" w:hAnsi="Calibri" w:cs="Arial"/>
        </w:rPr>
      </w:pPr>
      <w:r>
        <w:rPr>
          <w:rFonts w:ascii="Calibri" w:hAnsi="Calibri"/>
        </w:rPr>
        <w:t>simplification of the guidelines for the applicants:</w:t>
      </w:r>
    </w:p>
    <w:p w:rsidR="00BD4A3E" w:rsidRPr="00BD4A3E" w:rsidRDefault="00BD4A3E" w:rsidP="00021698">
      <w:pPr>
        <w:numPr>
          <w:ilvl w:val="0"/>
          <w:numId w:val="115"/>
        </w:numPr>
        <w:pBdr>
          <w:top w:val="nil"/>
          <w:left w:val="nil"/>
          <w:bottom w:val="nil"/>
          <w:right w:val="nil"/>
          <w:between w:val="nil"/>
        </w:pBdr>
        <w:tabs>
          <w:tab w:val="left" w:pos="1134"/>
        </w:tabs>
        <w:spacing w:after="120" w:line="256" w:lineRule="auto"/>
        <w:ind w:left="1134" w:right="1"/>
        <w:jc w:val="both"/>
        <w:rPr>
          <w:rFonts w:ascii="Calibri" w:eastAsia="Trebuchet MS" w:hAnsi="Calibri" w:cs="Trebuchet MS"/>
        </w:rPr>
      </w:pPr>
      <w:r>
        <w:rPr>
          <w:rFonts w:ascii="Calibri" w:hAnsi="Calibri"/>
        </w:rPr>
        <w:t>elaboration and application of the same rules when elaborating a project, irrespective of the operational program from which it is financed;</w:t>
      </w:r>
    </w:p>
    <w:p w:rsidR="00BD4A3E" w:rsidRPr="00BD4A3E" w:rsidRDefault="00BD4A3E" w:rsidP="00021698">
      <w:pPr>
        <w:numPr>
          <w:ilvl w:val="0"/>
          <w:numId w:val="115"/>
        </w:numPr>
        <w:pBdr>
          <w:top w:val="nil"/>
          <w:left w:val="nil"/>
          <w:bottom w:val="nil"/>
          <w:right w:val="nil"/>
          <w:between w:val="nil"/>
        </w:pBdr>
        <w:spacing w:after="120" w:line="256" w:lineRule="auto"/>
        <w:ind w:left="1134" w:right="1"/>
        <w:jc w:val="both"/>
        <w:rPr>
          <w:rFonts w:ascii="Calibri" w:eastAsia="Trebuchet MS" w:hAnsi="Calibri" w:cs="Trebuchet MS"/>
        </w:rPr>
      </w:pPr>
      <w:r>
        <w:rPr>
          <w:rFonts w:ascii="Calibri" w:hAnsi="Calibri"/>
        </w:rPr>
        <w:t>significant reduction of the administrative burden at the level of possible beneficiaries/beneficiaries, at the same time with supplying an efficient tool for monitoring and management in the MA, through the use of the electronic system MySmis/SMIS 2014+;</w:t>
      </w:r>
    </w:p>
    <w:p w:rsidR="00BD4A3E" w:rsidRPr="00BD4A3E" w:rsidRDefault="00BD4A3E" w:rsidP="00021698">
      <w:pPr>
        <w:numPr>
          <w:ilvl w:val="0"/>
          <w:numId w:val="115"/>
        </w:numPr>
        <w:pBdr>
          <w:top w:val="nil"/>
          <w:left w:val="nil"/>
          <w:bottom w:val="nil"/>
          <w:right w:val="nil"/>
          <w:between w:val="nil"/>
        </w:pBdr>
        <w:tabs>
          <w:tab w:val="left" w:pos="1134"/>
        </w:tabs>
        <w:spacing w:after="120" w:line="256" w:lineRule="auto"/>
        <w:ind w:left="1134" w:right="1"/>
        <w:jc w:val="both"/>
        <w:rPr>
          <w:rFonts w:ascii="Calibri" w:eastAsia="Trebuchet MS" w:hAnsi="Calibri" w:cs="Trebuchet MS"/>
        </w:rPr>
      </w:pPr>
      <w:r>
        <w:rPr>
          <w:rFonts w:ascii="Calibri" w:hAnsi="Calibri"/>
        </w:rPr>
        <w:t>creation of a help-desk for the beneficiaries;</w:t>
      </w:r>
    </w:p>
    <w:p w:rsidR="00BD4A3E" w:rsidRPr="00BD4A3E" w:rsidRDefault="00BD4A3E" w:rsidP="00021698">
      <w:pPr>
        <w:numPr>
          <w:ilvl w:val="0"/>
          <w:numId w:val="115"/>
        </w:numPr>
        <w:pBdr>
          <w:top w:val="nil"/>
          <w:left w:val="nil"/>
          <w:bottom w:val="nil"/>
          <w:right w:val="nil"/>
          <w:between w:val="nil"/>
        </w:pBdr>
        <w:tabs>
          <w:tab w:val="left" w:pos="1134"/>
        </w:tabs>
        <w:spacing w:after="120" w:line="256" w:lineRule="auto"/>
        <w:ind w:left="1134" w:right="1"/>
        <w:jc w:val="both"/>
        <w:rPr>
          <w:rFonts w:ascii="Calibri" w:eastAsia="Trebuchet MS" w:hAnsi="Calibri" w:cs="Trebuchet MS"/>
        </w:rPr>
      </w:pPr>
      <w:r>
        <w:rPr>
          <w:rFonts w:ascii="Calibri" w:hAnsi="Calibri"/>
        </w:rPr>
        <w:t xml:space="preserve">elaboration of improved forms of the beneficiary’s manual, comprising clear and complete information about all stages of implementation of a project; </w:t>
      </w:r>
    </w:p>
    <w:p w:rsidR="00BD4A3E" w:rsidRPr="00BD4A3E" w:rsidRDefault="00BD4A3E" w:rsidP="00021698">
      <w:pPr>
        <w:numPr>
          <w:ilvl w:val="0"/>
          <w:numId w:val="115"/>
        </w:numPr>
        <w:pBdr>
          <w:top w:val="nil"/>
          <w:left w:val="nil"/>
          <w:bottom w:val="nil"/>
          <w:right w:val="nil"/>
          <w:between w:val="nil"/>
        </w:pBdr>
        <w:spacing w:after="120" w:line="256" w:lineRule="auto"/>
        <w:ind w:left="1134" w:right="1"/>
        <w:jc w:val="both"/>
        <w:rPr>
          <w:rFonts w:ascii="Calibri" w:eastAsia="Trebuchet MS" w:hAnsi="Calibri" w:cs="Trebuchet MS"/>
        </w:rPr>
      </w:pPr>
      <w:r>
        <w:rPr>
          <w:rFonts w:ascii="Calibri" w:hAnsi="Calibri"/>
        </w:rPr>
        <w:t>publication for consulting of the Applicant’s Guides - Specific Requirements within which can be formulated observations/proposals by those interested, in order to improve the content thereof, as well as to ensure a reasonable time frame between the time of actual launch of a call for project proposals and the deadline for submission of financing applications;</w:t>
      </w:r>
    </w:p>
    <w:p w:rsidR="00BD4A3E" w:rsidRPr="00BD4A3E" w:rsidRDefault="00BD4A3E" w:rsidP="00021698">
      <w:pPr>
        <w:numPr>
          <w:ilvl w:val="0"/>
          <w:numId w:val="115"/>
        </w:numPr>
        <w:pBdr>
          <w:top w:val="nil"/>
          <w:left w:val="nil"/>
          <w:bottom w:val="nil"/>
          <w:right w:val="nil"/>
          <w:between w:val="nil"/>
        </w:pBdr>
        <w:tabs>
          <w:tab w:val="left" w:pos="1134"/>
        </w:tabs>
        <w:spacing w:after="120" w:line="256" w:lineRule="auto"/>
        <w:ind w:left="1134" w:right="1"/>
        <w:jc w:val="both"/>
        <w:rPr>
          <w:rFonts w:ascii="Calibri" w:eastAsia="Trebuchet MS" w:hAnsi="Calibri" w:cs="Trebuchet MS"/>
        </w:rPr>
      </w:pPr>
      <w:r>
        <w:rPr>
          <w:rFonts w:ascii="Calibri" w:hAnsi="Calibri"/>
        </w:rPr>
        <w:t>elimination of minister’s orders regarding eligible expenditures for each operational program.</w:t>
      </w:r>
    </w:p>
    <w:p w:rsidR="00BD4A3E" w:rsidRPr="00BD4A3E" w:rsidRDefault="00BD4A3E" w:rsidP="009F7237">
      <w:pPr>
        <w:numPr>
          <w:ilvl w:val="0"/>
          <w:numId w:val="16"/>
        </w:numPr>
        <w:suppressAutoHyphens/>
        <w:spacing w:before="120" w:after="120"/>
        <w:jc w:val="both"/>
        <w:rPr>
          <w:rFonts w:ascii="Calibri" w:hAnsi="Calibri" w:cs="Arial"/>
        </w:rPr>
      </w:pPr>
      <w:r>
        <w:rPr>
          <w:rFonts w:ascii="Calibri" w:hAnsi="Calibri"/>
        </w:rPr>
        <w:t>phasing of the projects: a series of major and non-major projects financed through the financial framework for 2007-2013 which were not concluded on the eligibility term could be phased, respectively the works left to be performed can be financed from the budget of 2014-2020. Romania phased 90 projects on two OP (84 POIM and 6 POC), for which the total eligible value of phase II is of 3.5 billion EUR;</w:t>
      </w:r>
    </w:p>
    <w:p w:rsidR="00BD4A3E" w:rsidRPr="00BD4A3E" w:rsidRDefault="00BD4A3E" w:rsidP="009F7237">
      <w:pPr>
        <w:numPr>
          <w:ilvl w:val="0"/>
          <w:numId w:val="16"/>
        </w:numPr>
        <w:suppressAutoHyphens/>
        <w:spacing w:before="120" w:after="120"/>
        <w:jc w:val="both"/>
        <w:rPr>
          <w:rFonts w:ascii="Calibri" w:hAnsi="Calibri" w:cs="Arial"/>
        </w:rPr>
      </w:pPr>
      <w:r>
        <w:rPr>
          <w:rFonts w:ascii="Calibri" w:hAnsi="Calibri"/>
        </w:rPr>
        <w:t>simplifying the guides for the beneficiaries and the procedures of accessing funds, for an increased coherence in the system’s operation, so that the rules should be approximately the same for the beneficiary who submits a project, no matter the financing program;</w:t>
      </w:r>
    </w:p>
    <w:p w:rsidR="00BD4A3E" w:rsidRPr="00BD4A3E" w:rsidRDefault="00BD4A3E" w:rsidP="009F7237">
      <w:pPr>
        <w:numPr>
          <w:ilvl w:val="0"/>
          <w:numId w:val="16"/>
        </w:numPr>
        <w:suppressAutoHyphens/>
        <w:spacing w:before="120" w:after="120"/>
        <w:jc w:val="both"/>
        <w:rPr>
          <w:rFonts w:ascii="Calibri" w:hAnsi="Calibri" w:cs="Arial"/>
        </w:rPr>
      </w:pPr>
      <w:r>
        <w:rPr>
          <w:rFonts w:ascii="Calibri" w:hAnsi="Calibri"/>
        </w:rPr>
        <w:t>elaboration of General Guidelines at program level and publication of the schedules for the calls for projects for 2016-2018, in order to ensure a real predictability for the financing possibilities;</w:t>
      </w:r>
    </w:p>
    <w:p w:rsidR="00BD4A3E" w:rsidRPr="00BD4A3E" w:rsidRDefault="00BD4A3E" w:rsidP="009F7237">
      <w:pPr>
        <w:numPr>
          <w:ilvl w:val="0"/>
          <w:numId w:val="16"/>
        </w:numPr>
        <w:suppressAutoHyphens/>
        <w:spacing w:before="120" w:after="120"/>
        <w:jc w:val="both"/>
        <w:rPr>
          <w:rFonts w:ascii="Calibri" w:hAnsi="Calibri" w:cs="Arial"/>
        </w:rPr>
      </w:pPr>
      <w:r>
        <w:rPr>
          <w:rFonts w:ascii="Calibri" w:hAnsi="Calibri"/>
        </w:rPr>
        <w:t>submission by the applicants of the financing applications in electronic form;</w:t>
      </w:r>
    </w:p>
    <w:p w:rsidR="00BD4A3E" w:rsidRPr="00BD4A3E" w:rsidRDefault="00BD4A3E" w:rsidP="009F7237">
      <w:pPr>
        <w:numPr>
          <w:ilvl w:val="0"/>
          <w:numId w:val="16"/>
        </w:numPr>
        <w:suppressAutoHyphens/>
        <w:spacing w:before="120" w:after="120"/>
        <w:jc w:val="both"/>
        <w:rPr>
          <w:rFonts w:ascii="Calibri" w:hAnsi="Calibri" w:cs="Arial"/>
        </w:rPr>
      </w:pPr>
      <w:r>
        <w:rPr>
          <w:rFonts w:ascii="Calibri" w:hAnsi="Calibri"/>
        </w:rPr>
        <w:t>reallocation of funds to the sectors with maximum absorption potential both within and between the operational programs, in order to avoid the risk of disengagement of funds allocated to Romania. The allocations for the Regional Operational Program (POR) were supplemented. Therefore, the expenditures for the technological transfer entities, entrepreneurial activities and transition towards an economy with reduced carbon dioxide emissions were additionally supported, as well as those for increasing the efficiency of human resources involved in the system of coordination, management and control of ESI funds.</w:t>
      </w:r>
    </w:p>
    <w:p w:rsidR="00BD4A3E" w:rsidRPr="00BD4A3E" w:rsidRDefault="00BD4A3E" w:rsidP="009F7237">
      <w:pPr>
        <w:numPr>
          <w:ilvl w:val="0"/>
          <w:numId w:val="16"/>
        </w:numPr>
        <w:suppressAutoHyphens/>
        <w:spacing w:before="120" w:after="120"/>
        <w:jc w:val="both"/>
        <w:rPr>
          <w:rFonts w:ascii="Calibri" w:hAnsi="Calibri" w:cs="Arial"/>
        </w:rPr>
      </w:pPr>
      <w:r>
        <w:rPr>
          <w:rFonts w:ascii="Calibri" w:hAnsi="Calibri"/>
        </w:rPr>
        <w:t xml:space="preserve">implementation of financial instruments within the Operational Program of Competitiveness (the crediting tool with risk distribution, the risk capital tool - accelerators) and within the Regional Operational Program (uncapped guarantee instrument and equity type financial tool). </w:t>
      </w:r>
    </w:p>
    <w:p w:rsidR="00BD4A3E" w:rsidRPr="00BD4A3E" w:rsidRDefault="00BD4A3E" w:rsidP="009F7237">
      <w:pPr>
        <w:numPr>
          <w:ilvl w:val="0"/>
          <w:numId w:val="16"/>
        </w:numPr>
        <w:suppressAutoHyphens/>
        <w:spacing w:before="120" w:after="120"/>
        <w:jc w:val="both"/>
        <w:rPr>
          <w:rFonts w:ascii="Calibri" w:hAnsi="Calibri" w:cs="Arial"/>
        </w:rPr>
      </w:pPr>
      <w:r>
        <w:rPr>
          <w:rFonts w:ascii="Calibri" w:hAnsi="Calibri"/>
        </w:rPr>
        <w:t>development of an assessment system of civil servants which manages the non-reimbursable financial assistance using performance indicators, both in terms of timing, and in terms of quality, developed through a services agreement concluded with the World Bank;</w:t>
      </w:r>
    </w:p>
    <w:p w:rsidR="00BD4A3E" w:rsidRPr="00BD4A3E" w:rsidRDefault="00BD4A3E" w:rsidP="009F7237">
      <w:pPr>
        <w:numPr>
          <w:ilvl w:val="0"/>
          <w:numId w:val="16"/>
        </w:numPr>
        <w:suppressAutoHyphens/>
        <w:spacing w:before="120" w:after="120"/>
        <w:jc w:val="both"/>
        <w:rPr>
          <w:rFonts w:ascii="Calibri" w:hAnsi="Calibri" w:cs="Arial"/>
        </w:rPr>
      </w:pPr>
      <w:r>
        <w:rPr>
          <w:rFonts w:ascii="Calibri" w:hAnsi="Calibri"/>
        </w:rPr>
        <w:t>assuring the funds necessary for the management authorities to make the payments to the beneficiaries in case of temporary unavailability of EU funds, through accessing of the mechanism of temporary allocation of amounts from privatization revenues (according to G.E.O. no. 40/2015);</w:t>
      </w:r>
    </w:p>
    <w:p w:rsidR="00BD4A3E" w:rsidRPr="00BD4A3E" w:rsidRDefault="00BD4A3E" w:rsidP="009F7237">
      <w:pPr>
        <w:numPr>
          <w:ilvl w:val="0"/>
          <w:numId w:val="16"/>
        </w:numPr>
        <w:suppressAutoHyphens/>
        <w:spacing w:before="120" w:after="120"/>
        <w:jc w:val="both"/>
        <w:rPr>
          <w:rFonts w:ascii="Calibri" w:hAnsi="Calibri" w:cs="Arial"/>
        </w:rPr>
      </w:pPr>
      <w:r>
        <w:rPr>
          <w:rFonts w:ascii="Calibri" w:hAnsi="Calibri"/>
        </w:rPr>
        <w:t>Ensuring an implementation framework as predictable as possible, which should support beneficiaries throughout the entire process of accessing of European funds, starting from the project idea and until registration of concrete results with impact in the real economy (respectively the preparation/elaboration/implementation of projects);</w:t>
      </w:r>
    </w:p>
    <w:p w:rsidR="00BD4A3E" w:rsidRPr="00BD4A3E" w:rsidRDefault="00BD4A3E" w:rsidP="009F7237">
      <w:pPr>
        <w:numPr>
          <w:ilvl w:val="0"/>
          <w:numId w:val="16"/>
        </w:numPr>
        <w:suppressAutoHyphens/>
        <w:spacing w:before="120" w:after="120"/>
        <w:jc w:val="both"/>
        <w:rPr>
          <w:rFonts w:ascii="Calibri" w:hAnsi="Calibri" w:cs="Arial"/>
        </w:rPr>
      </w:pPr>
      <w:r>
        <w:rPr>
          <w:rFonts w:ascii="Calibri" w:hAnsi="Calibri"/>
        </w:rPr>
        <w:t>Identification of ineligible expenditures within a single legislative act;</w:t>
      </w:r>
    </w:p>
    <w:p w:rsidR="00BD4A3E" w:rsidRPr="00BD4A3E" w:rsidRDefault="00BD4A3E" w:rsidP="009F7237">
      <w:pPr>
        <w:numPr>
          <w:ilvl w:val="0"/>
          <w:numId w:val="16"/>
        </w:numPr>
        <w:suppressAutoHyphens/>
        <w:spacing w:before="120" w:after="120"/>
        <w:jc w:val="both"/>
        <w:rPr>
          <w:rFonts w:ascii="Calibri" w:hAnsi="Calibri" w:cs="Arial"/>
        </w:rPr>
      </w:pPr>
      <w:r>
        <w:rPr>
          <w:rFonts w:ascii="Calibri" w:hAnsi="Calibri"/>
        </w:rPr>
        <w:t>Observance of short assessment times for the submitted projects and fast signing of financing agreements;</w:t>
      </w:r>
    </w:p>
    <w:p w:rsidR="00BD4A3E" w:rsidRPr="00BD4A3E" w:rsidRDefault="00BD4A3E" w:rsidP="009F7237">
      <w:pPr>
        <w:numPr>
          <w:ilvl w:val="0"/>
          <w:numId w:val="16"/>
        </w:numPr>
        <w:suppressAutoHyphens/>
        <w:spacing w:before="120" w:after="120"/>
        <w:jc w:val="both"/>
        <w:rPr>
          <w:rFonts w:ascii="Calibri" w:hAnsi="Calibri" w:cs="Arial"/>
        </w:rPr>
      </w:pPr>
      <w:r>
        <w:rPr>
          <w:rFonts w:ascii="Calibri" w:hAnsi="Calibri"/>
        </w:rPr>
        <w:t>Careful monitoring of each project, through the introduction of the position of monitoring officer in the MAs;</w:t>
      </w:r>
    </w:p>
    <w:p w:rsidR="00BD4A3E" w:rsidRPr="00BD4A3E" w:rsidRDefault="00BD4A3E" w:rsidP="009F7237">
      <w:pPr>
        <w:numPr>
          <w:ilvl w:val="0"/>
          <w:numId w:val="16"/>
        </w:numPr>
        <w:suppressAutoHyphens/>
        <w:spacing w:before="120" w:after="120"/>
        <w:jc w:val="both"/>
        <w:rPr>
          <w:rFonts w:ascii="Calibri" w:hAnsi="Calibri" w:cs="Arial"/>
        </w:rPr>
      </w:pPr>
      <w:r>
        <w:rPr>
          <w:rFonts w:ascii="Calibri" w:hAnsi="Calibri"/>
        </w:rPr>
        <w:t>Creation of standard models of works contracting - design and execution</w:t>
      </w:r>
    </w:p>
    <w:p w:rsidR="00BD4A3E" w:rsidRPr="00BD4A3E" w:rsidRDefault="00BD4A3E" w:rsidP="009F7237">
      <w:pPr>
        <w:numPr>
          <w:ilvl w:val="0"/>
          <w:numId w:val="16"/>
        </w:numPr>
        <w:suppressAutoHyphens/>
        <w:spacing w:before="120" w:after="120"/>
        <w:jc w:val="both"/>
        <w:rPr>
          <w:rFonts w:ascii="Calibri" w:hAnsi="Calibri" w:cs="Arial"/>
        </w:rPr>
      </w:pPr>
      <w:r>
        <w:rPr>
          <w:rFonts w:ascii="Calibri" w:hAnsi="Calibri"/>
        </w:rPr>
        <w:t>Reallocation of funds to the sectors with maximum absorption potential within and between the Operational Programs: increasing the allocation dedicated to SMEs; supporting small cities; creating the possibility for financing of regional smart specialization strategies;</w:t>
      </w:r>
    </w:p>
    <w:p w:rsidR="00BD4A3E" w:rsidRPr="00BD4A3E" w:rsidRDefault="00BD4A3E" w:rsidP="009F7237">
      <w:pPr>
        <w:numPr>
          <w:ilvl w:val="0"/>
          <w:numId w:val="16"/>
        </w:numPr>
        <w:suppressAutoHyphens/>
        <w:spacing w:before="120" w:after="120"/>
        <w:jc w:val="both"/>
        <w:rPr>
          <w:rFonts w:ascii="Calibri" w:hAnsi="Calibri" w:cs="Arial"/>
        </w:rPr>
      </w:pPr>
      <w:r>
        <w:rPr>
          <w:rFonts w:ascii="Calibri" w:hAnsi="Calibri"/>
        </w:rPr>
        <w:t xml:space="preserve">permanent update of computer applications of 2014; </w:t>
      </w:r>
    </w:p>
    <w:p w:rsidR="00BD4A3E" w:rsidRPr="00BD4A3E" w:rsidRDefault="00BD4A3E" w:rsidP="009F7237">
      <w:pPr>
        <w:numPr>
          <w:ilvl w:val="0"/>
          <w:numId w:val="16"/>
        </w:numPr>
        <w:suppressAutoHyphens/>
        <w:spacing w:before="120" w:after="120"/>
        <w:jc w:val="both"/>
        <w:rPr>
          <w:rFonts w:ascii="Calibri" w:hAnsi="Calibri" w:cs="Arial"/>
        </w:rPr>
      </w:pPr>
      <w:r>
        <w:rPr>
          <w:rFonts w:ascii="Calibri" w:hAnsi="Calibri"/>
        </w:rPr>
        <w:t>introduction of simplified cost options, flat rates and standard scales for the unit costs at the level of operational programs;</w:t>
      </w:r>
    </w:p>
    <w:p w:rsidR="00BD4A3E" w:rsidRPr="00BD4A3E" w:rsidRDefault="00BD4A3E" w:rsidP="009F7237">
      <w:pPr>
        <w:numPr>
          <w:ilvl w:val="0"/>
          <w:numId w:val="16"/>
        </w:numPr>
        <w:suppressAutoHyphens/>
        <w:spacing w:before="120" w:after="120"/>
        <w:jc w:val="both"/>
        <w:rPr>
          <w:rFonts w:ascii="Calibri" w:hAnsi="Calibri" w:cs="Arial"/>
        </w:rPr>
      </w:pPr>
      <w:r>
        <w:rPr>
          <w:rFonts w:ascii="Calibri" w:hAnsi="Calibri"/>
        </w:rPr>
        <w:t>reducing the verification time by the authorities with roles in managing the operational programs of the documents that correspond to the contracting process through direct obtaining by the management authority of the tax ascertaining certificates from the PATRIMVEN computer system;</w:t>
      </w:r>
    </w:p>
    <w:p w:rsidR="00BD4A3E" w:rsidRPr="00BD4A3E" w:rsidRDefault="00BD4A3E" w:rsidP="009F7237">
      <w:pPr>
        <w:numPr>
          <w:ilvl w:val="0"/>
          <w:numId w:val="16"/>
        </w:numPr>
        <w:suppressAutoHyphens/>
        <w:spacing w:before="120" w:after="120"/>
        <w:jc w:val="both"/>
        <w:rPr>
          <w:rFonts w:ascii="Calibri" w:hAnsi="Calibri" w:cs="Arial"/>
        </w:rPr>
      </w:pPr>
      <w:r>
        <w:rPr>
          <w:rFonts w:ascii="Calibri" w:hAnsi="Calibri"/>
        </w:rPr>
        <w:t>Simplifying the procedures for the construction permits of the projects of national interest provided in the general transport master plan: issuance of construction permits without the prior elaboration and approval of a territory arrangement or urbanism documentation, but without affecting the provisions regarding construction quality and discipline;</w:t>
      </w:r>
    </w:p>
    <w:p w:rsidR="00BD4A3E" w:rsidRPr="00BD4A3E" w:rsidRDefault="00BD4A3E" w:rsidP="009F7237">
      <w:pPr>
        <w:numPr>
          <w:ilvl w:val="0"/>
          <w:numId w:val="16"/>
        </w:numPr>
        <w:suppressAutoHyphens/>
        <w:spacing w:before="120" w:after="120"/>
        <w:jc w:val="both"/>
        <w:rPr>
          <w:rFonts w:ascii="Calibri" w:hAnsi="Calibri" w:cs="Arial"/>
        </w:rPr>
      </w:pPr>
      <w:r>
        <w:rPr>
          <w:rFonts w:ascii="Calibri" w:hAnsi="Calibri"/>
        </w:rPr>
        <w:t>Continuous improvement of the legal framework on financial management of European funds;</w:t>
      </w:r>
    </w:p>
    <w:p w:rsidR="00BD4A3E" w:rsidRPr="00BD4A3E" w:rsidRDefault="00BD4A3E" w:rsidP="00021698">
      <w:pPr>
        <w:numPr>
          <w:ilvl w:val="1"/>
          <w:numId w:val="128"/>
        </w:numPr>
        <w:suppressAutoHyphens/>
        <w:spacing w:before="120" w:after="120"/>
        <w:jc w:val="both"/>
        <w:rPr>
          <w:rFonts w:ascii="Calibri" w:hAnsi="Calibri" w:cs="Arial"/>
        </w:rPr>
      </w:pPr>
      <w:r>
        <w:rPr>
          <w:rFonts w:ascii="Calibri" w:hAnsi="Calibri"/>
        </w:rPr>
        <w:t xml:space="preserve">the pre-financing mechanism was improved to ensure for the beneficiaries the liquidities necessary for implementation (generally, by awarding installments of up to 10% of the project’s value and up to 40%, under observance of certain requirements, in the case of beneficiaries subject to State/de minimis aid rules); </w:t>
      </w:r>
    </w:p>
    <w:p w:rsidR="00BD4A3E" w:rsidRPr="00BD4A3E" w:rsidRDefault="00BD4A3E" w:rsidP="00021698">
      <w:pPr>
        <w:numPr>
          <w:ilvl w:val="1"/>
          <w:numId w:val="128"/>
        </w:numPr>
        <w:suppressAutoHyphens/>
        <w:spacing w:before="120" w:after="120"/>
        <w:jc w:val="both"/>
        <w:rPr>
          <w:rFonts w:ascii="Calibri" w:hAnsi="Calibri" w:cs="Arial"/>
        </w:rPr>
      </w:pPr>
      <w:r>
        <w:rPr>
          <w:rFonts w:ascii="Calibri" w:hAnsi="Calibri"/>
        </w:rPr>
        <w:t xml:space="preserve">the categories of expenditures that can be included in the payment applications (salaries, subsidies, scholarships) were extended; </w:t>
      </w:r>
    </w:p>
    <w:p w:rsidR="00BD4A3E" w:rsidRPr="00BD4A3E" w:rsidRDefault="00BD4A3E" w:rsidP="00021698">
      <w:pPr>
        <w:numPr>
          <w:ilvl w:val="1"/>
          <w:numId w:val="128"/>
        </w:numPr>
        <w:suppressAutoHyphens/>
        <w:spacing w:before="120" w:after="120"/>
        <w:jc w:val="both"/>
        <w:rPr>
          <w:rFonts w:ascii="Calibri" w:hAnsi="Calibri" w:cs="Arial"/>
        </w:rPr>
      </w:pPr>
      <w:r>
        <w:rPr>
          <w:rFonts w:ascii="Calibri" w:hAnsi="Calibri"/>
        </w:rPr>
        <w:t>the assumptions for over-contracting up to 200% were created according to the operational program;</w:t>
      </w:r>
    </w:p>
    <w:p w:rsidR="00BD4A3E" w:rsidRPr="00BD4A3E" w:rsidRDefault="00BD4A3E" w:rsidP="00021698">
      <w:pPr>
        <w:numPr>
          <w:ilvl w:val="1"/>
          <w:numId w:val="128"/>
        </w:numPr>
        <w:suppressAutoHyphens/>
        <w:spacing w:before="120" w:after="120"/>
        <w:jc w:val="both"/>
        <w:rPr>
          <w:rFonts w:ascii="Calibri" w:hAnsi="Calibri" w:cs="Arial"/>
        </w:rPr>
      </w:pPr>
      <w:r>
        <w:rPr>
          <w:rFonts w:ascii="Calibri" w:hAnsi="Calibri"/>
        </w:rPr>
        <w:t>the amounts necessary to support public hospitals which could not ensure co-financing of their projects were ensured through the budget of the Ministry of Health;</w:t>
      </w:r>
    </w:p>
    <w:p w:rsidR="00BD4A3E" w:rsidRPr="00BD4A3E" w:rsidRDefault="00BD4A3E" w:rsidP="00021698">
      <w:pPr>
        <w:numPr>
          <w:ilvl w:val="1"/>
          <w:numId w:val="128"/>
        </w:numPr>
        <w:suppressAutoHyphens/>
        <w:spacing w:before="120" w:after="120"/>
        <w:jc w:val="both"/>
        <w:rPr>
          <w:rFonts w:ascii="Calibri" w:hAnsi="Calibri" w:cs="Arial"/>
        </w:rPr>
      </w:pPr>
      <w:r>
        <w:rPr>
          <w:rFonts w:ascii="Calibri" w:hAnsi="Calibri"/>
        </w:rPr>
        <w:t xml:space="preserve">settlement from European funds of the investments started by the central/local public authorities and paid from other sources (State/local budget or loans); </w:t>
      </w:r>
    </w:p>
    <w:p w:rsidR="00BD4A3E" w:rsidRPr="00BD4A3E" w:rsidRDefault="00BD4A3E" w:rsidP="009F7237">
      <w:pPr>
        <w:numPr>
          <w:ilvl w:val="0"/>
          <w:numId w:val="16"/>
        </w:numPr>
        <w:tabs>
          <w:tab w:val="num" w:pos="720"/>
        </w:tabs>
        <w:suppressAutoHyphens/>
        <w:spacing w:before="120" w:after="120"/>
        <w:jc w:val="both"/>
        <w:rPr>
          <w:rFonts w:ascii="Calibri" w:hAnsi="Calibri" w:cs="Arial"/>
        </w:rPr>
      </w:pPr>
      <w:r>
        <w:rPr>
          <w:rFonts w:ascii="Calibri" w:hAnsi="Calibri"/>
        </w:rPr>
        <w:t>In parallel with the measures of administrative nature that were adopted, the MEF had a series of legislative initiatives, within the meaning of amending legislative acts that already existed or of adopting new ones,</w:t>
      </w:r>
    </w:p>
    <w:p w:rsidR="00BD4A3E" w:rsidRPr="00BD4A3E" w:rsidRDefault="00BD4A3E" w:rsidP="009F7237">
      <w:pPr>
        <w:numPr>
          <w:ilvl w:val="0"/>
          <w:numId w:val="16"/>
        </w:numPr>
        <w:suppressAutoHyphens/>
        <w:spacing w:before="120" w:after="120"/>
        <w:jc w:val="both"/>
        <w:rPr>
          <w:rFonts w:ascii="Calibri" w:hAnsi="Calibri" w:cs="Arial"/>
        </w:rPr>
      </w:pPr>
      <w:r>
        <w:rPr>
          <w:rFonts w:ascii="Calibri" w:hAnsi="Calibri"/>
        </w:rPr>
        <w:t>Preparation of the future programming period.</w:t>
      </w:r>
    </w:p>
    <w:p w:rsidR="00BD4A3E" w:rsidRPr="00BD4A3E" w:rsidRDefault="00BD4A3E" w:rsidP="00BD4A3E">
      <w:pPr>
        <w:suppressAutoHyphens/>
        <w:spacing w:before="120" w:after="120"/>
        <w:ind w:left="720"/>
        <w:jc w:val="both"/>
        <w:rPr>
          <w:rFonts w:ascii="Calibri" w:hAnsi="Calibri" w:cs="Arial"/>
          <w:lang w:val="ro-RO" w:eastAsia="zh-CN"/>
        </w:rPr>
      </w:pPr>
    </w:p>
    <w:p w:rsidR="00BD4A3E" w:rsidRPr="00BD4A3E" w:rsidRDefault="00BD4A3E" w:rsidP="00BD4A3E">
      <w:pPr>
        <w:keepNext/>
        <w:widowControl w:val="0"/>
        <w:spacing w:after="120"/>
        <w:ind w:left="720"/>
        <w:jc w:val="both"/>
        <w:outlineLvl w:val="3"/>
        <w:rPr>
          <w:rFonts w:ascii="Calibri" w:hAnsi="Calibri"/>
          <w:b/>
          <w:szCs w:val="20"/>
        </w:rPr>
      </w:pPr>
      <w:r>
        <w:rPr>
          <w:rFonts w:ascii="Calibri" w:hAnsi="Calibri"/>
          <w:b/>
          <w:szCs w:val="20"/>
        </w:rPr>
        <w:t xml:space="preserve">2.3.2 Planned measures for the implementation of ESI funds </w:t>
      </w:r>
    </w:p>
    <w:p w:rsidR="00BD4A3E" w:rsidRPr="00BD4A3E" w:rsidRDefault="00BD4A3E" w:rsidP="00BD4A3E">
      <w:pPr>
        <w:spacing w:before="120" w:after="120"/>
        <w:ind w:firstLine="360"/>
        <w:jc w:val="both"/>
        <w:rPr>
          <w:rFonts w:ascii="Calibri" w:hAnsi="Calibri" w:cs="Arial"/>
        </w:rPr>
      </w:pPr>
      <w:r>
        <w:rPr>
          <w:rFonts w:ascii="Calibri" w:hAnsi="Calibri"/>
        </w:rPr>
        <w:t xml:space="preserve">With regard to the measures of acceleration of ESI funds’ absorption, special focus will be placed on the following actions provided in the Government Program: </w:t>
      </w:r>
    </w:p>
    <w:p w:rsidR="00BD4A3E" w:rsidRPr="00BD4A3E" w:rsidRDefault="00BD4A3E" w:rsidP="009F7237">
      <w:pPr>
        <w:numPr>
          <w:ilvl w:val="0"/>
          <w:numId w:val="21"/>
        </w:numPr>
        <w:spacing w:before="120" w:after="120"/>
        <w:jc w:val="both"/>
        <w:rPr>
          <w:rFonts w:ascii="Calibri" w:hAnsi="Calibri" w:cs="Arial"/>
        </w:rPr>
      </w:pPr>
      <w:r>
        <w:rPr>
          <w:rFonts w:ascii="Calibri" w:hAnsi="Calibri"/>
        </w:rPr>
        <w:t>Launching of all calls for projects, on all financing lines, both for public beneficiaries and for private ones, until the end of 2018;</w:t>
      </w:r>
    </w:p>
    <w:p w:rsidR="00BD4A3E" w:rsidRPr="00BD4A3E" w:rsidRDefault="00BD4A3E" w:rsidP="009F7237">
      <w:pPr>
        <w:numPr>
          <w:ilvl w:val="0"/>
          <w:numId w:val="21"/>
        </w:numPr>
        <w:spacing w:before="120" w:after="120"/>
        <w:jc w:val="both"/>
        <w:rPr>
          <w:rFonts w:ascii="Calibri" w:hAnsi="Calibri" w:cs="Arial"/>
        </w:rPr>
      </w:pPr>
      <w:r>
        <w:rPr>
          <w:rFonts w:ascii="Calibri" w:hAnsi="Calibri"/>
        </w:rPr>
        <w:t>Short assessment times for the submitted projects and fast signing of financing agreements;</w:t>
      </w:r>
    </w:p>
    <w:p w:rsidR="00BD4A3E" w:rsidRPr="00BD4A3E" w:rsidRDefault="00BD4A3E" w:rsidP="009F7237">
      <w:pPr>
        <w:numPr>
          <w:ilvl w:val="0"/>
          <w:numId w:val="21"/>
        </w:numPr>
        <w:spacing w:before="120" w:after="120"/>
        <w:jc w:val="both"/>
        <w:rPr>
          <w:rFonts w:ascii="Calibri" w:hAnsi="Calibri" w:cs="Arial"/>
        </w:rPr>
      </w:pPr>
      <w:r>
        <w:rPr>
          <w:rFonts w:ascii="Calibri" w:hAnsi="Calibri"/>
        </w:rPr>
        <w:t>Payment without delay of the beneficiaries’ invoices, through the creation of a transparent invoice monitoring mechanism, as of the time of submission and until the payment thereof by the Management Authorities;</w:t>
      </w:r>
    </w:p>
    <w:p w:rsidR="00BD4A3E" w:rsidRPr="00BD4A3E" w:rsidRDefault="00BD4A3E" w:rsidP="009F7237">
      <w:pPr>
        <w:numPr>
          <w:ilvl w:val="0"/>
          <w:numId w:val="21"/>
        </w:numPr>
        <w:suppressAutoHyphens/>
        <w:spacing w:before="120" w:after="120"/>
        <w:jc w:val="both"/>
        <w:rPr>
          <w:rFonts w:ascii="Calibri" w:hAnsi="Calibri" w:cs="Arial"/>
        </w:rPr>
      </w:pPr>
      <w:r>
        <w:rPr>
          <w:rFonts w:ascii="Calibri" w:hAnsi="Calibri"/>
        </w:rPr>
        <w:t xml:space="preserve">Including the Operational program “Initiative for SMEs” (POIIMM) as separate priority axis in the POR, so that the expenditures already reimbursed by the European Commission for the POIIMM can be reported as expenditures made in the POR, which determines the reduction of the amounts at risk of disengagement (Emergency Ordinance no. 43/2018 - measures on reducing the risk of disengagement of European Funds). </w:t>
      </w:r>
    </w:p>
    <w:p w:rsidR="00BD4A3E" w:rsidRPr="00BD4A3E" w:rsidRDefault="00BD4A3E" w:rsidP="009F7237">
      <w:pPr>
        <w:numPr>
          <w:ilvl w:val="0"/>
          <w:numId w:val="21"/>
        </w:numPr>
        <w:spacing w:before="120" w:after="120"/>
        <w:jc w:val="both"/>
        <w:rPr>
          <w:rFonts w:ascii="Calibri" w:hAnsi="Calibri" w:cs="Arial"/>
        </w:rPr>
      </w:pPr>
      <w:r>
        <w:rPr>
          <w:rFonts w:ascii="Calibri" w:hAnsi="Calibri"/>
        </w:rPr>
        <w:t>Analysis of each operational program and reallocation of funds to the sectors with maximum absorption potential both within and between the operational programs, in order to avoid the risk of disengagement of funds allocated to Romania.</w:t>
      </w:r>
    </w:p>
    <w:p w:rsidR="00BD4A3E" w:rsidRPr="00BD4A3E" w:rsidRDefault="00BD4A3E" w:rsidP="009F7237">
      <w:pPr>
        <w:numPr>
          <w:ilvl w:val="0"/>
          <w:numId w:val="21"/>
        </w:numPr>
        <w:spacing w:before="120" w:after="120"/>
        <w:jc w:val="both"/>
        <w:rPr>
          <w:rFonts w:ascii="Calibri" w:hAnsi="Calibri" w:cs="Arial"/>
        </w:rPr>
      </w:pPr>
      <w:r>
        <w:rPr>
          <w:rFonts w:ascii="Calibri" w:hAnsi="Calibri"/>
        </w:rPr>
        <w:t xml:space="preserve">Improving the administrative system and the capacity of absorption of these funds; </w:t>
      </w:r>
    </w:p>
    <w:p w:rsidR="00BD4A3E" w:rsidRPr="00BD4A3E" w:rsidRDefault="00BD4A3E" w:rsidP="009F7237">
      <w:pPr>
        <w:numPr>
          <w:ilvl w:val="0"/>
          <w:numId w:val="21"/>
        </w:numPr>
        <w:spacing w:before="120" w:after="120"/>
        <w:jc w:val="both"/>
        <w:rPr>
          <w:rFonts w:ascii="Calibri" w:hAnsi="Calibri" w:cs="Arial"/>
        </w:rPr>
      </w:pPr>
      <w:r>
        <w:rPr>
          <w:rFonts w:ascii="Calibri" w:hAnsi="Calibri"/>
        </w:rPr>
        <w:t>Simplifying the legislation corresponding to the promotion and approval of investment projects in Romania;</w:t>
      </w:r>
    </w:p>
    <w:p w:rsidR="00BD4A3E" w:rsidRPr="00BD4A3E" w:rsidRDefault="00BD4A3E" w:rsidP="009F7237">
      <w:pPr>
        <w:numPr>
          <w:ilvl w:val="0"/>
          <w:numId w:val="21"/>
        </w:numPr>
        <w:spacing w:before="120" w:after="120"/>
        <w:jc w:val="both"/>
        <w:rPr>
          <w:rFonts w:ascii="Calibri" w:hAnsi="Calibri" w:cs="Arial"/>
        </w:rPr>
      </w:pPr>
      <w:r>
        <w:rPr>
          <w:rFonts w:ascii="Calibri" w:hAnsi="Calibri"/>
        </w:rPr>
        <w:t>Starting a training process for the beneficiaries, based on a guide on the main risks identified in the field of public procurement in order to prevent the errors found in the implementation of the procedures related to public procurement within the projects financed from structural instruments, as well as the assurance of unitary practice in the future;</w:t>
      </w:r>
    </w:p>
    <w:p w:rsidR="00BD4A3E" w:rsidRPr="00BD4A3E" w:rsidRDefault="00BD4A3E" w:rsidP="009F7237">
      <w:pPr>
        <w:numPr>
          <w:ilvl w:val="0"/>
          <w:numId w:val="21"/>
        </w:numPr>
        <w:spacing w:before="120" w:after="120"/>
        <w:ind w:left="786"/>
        <w:jc w:val="both"/>
        <w:rPr>
          <w:rFonts w:ascii="Calibri" w:hAnsi="Calibri" w:cs="Arial"/>
        </w:rPr>
      </w:pPr>
      <w:r>
        <w:rPr>
          <w:rFonts w:ascii="Calibri" w:hAnsi="Calibri"/>
        </w:rPr>
        <w:t>Reducing the time allocated for the assessment of the submitted projects and fast signing of financing agreements. In this respect are used exclusively the funds available in the Operational Program of Technical Assistance.</w:t>
      </w:r>
    </w:p>
    <w:p w:rsidR="00BD4A3E" w:rsidRPr="00BD4A3E" w:rsidRDefault="00BD4A3E" w:rsidP="009F7237">
      <w:pPr>
        <w:numPr>
          <w:ilvl w:val="0"/>
          <w:numId w:val="21"/>
        </w:numPr>
        <w:spacing w:before="120" w:after="120"/>
        <w:ind w:left="786"/>
        <w:jc w:val="both"/>
        <w:rPr>
          <w:rFonts w:ascii="Calibri" w:hAnsi="Calibri" w:cs="Arial"/>
        </w:rPr>
      </w:pPr>
      <w:r>
        <w:rPr>
          <w:rFonts w:ascii="Calibri" w:hAnsi="Calibri"/>
        </w:rPr>
        <w:t>Payment on time of the beneficiaries’ invoices, through the computer system MySMIS/SMIS 2014+, which ensures transparency for the process, as of the time of submission and until the payment thereof by the Management Authorities.</w:t>
      </w:r>
    </w:p>
    <w:p w:rsidR="00BD4A3E" w:rsidRPr="00BD4A3E" w:rsidRDefault="00BD4A3E" w:rsidP="009F7237">
      <w:pPr>
        <w:numPr>
          <w:ilvl w:val="0"/>
          <w:numId w:val="21"/>
        </w:numPr>
        <w:spacing w:before="120" w:after="120"/>
        <w:ind w:left="786"/>
        <w:jc w:val="both"/>
        <w:rPr>
          <w:rFonts w:ascii="Calibri" w:hAnsi="Calibri" w:cs="Arial"/>
        </w:rPr>
      </w:pPr>
      <w:r>
        <w:rPr>
          <w:rFonts w:ascii="Calibri" w:hAnsi="Calibri"/>
        </w:rPr>
        <w:t>Monitoring of every project through introduction of the project manager position in the Management Authorities and the obligation of a monthly meeting with every beneficiary to analyze the project’s status.</w:t>
      </w:r>
    </w:p>
    <w:p w:rsidR="00BD4A3E" w:rsidRPr="00BD4A3E" w:rsidRDefault="00BD4A3E" w:rsidP="009F7237">
      <w:pPr>
        <w:numPr>
          <w:ilvl w:val="0"/>
          <w:numId w:val="21"/>
        </w:numPr>
        <w:spacing w:before="120" w:after="120"/>
        <w:ind w:left="786"/>
        <w:jc w:val="both"/>
        <w:rPr>
          <w:rFonts w:ascii="Calibri" w:hAnsi="Calibri" w:cs="Arial"/>
        </w:rPr>
      </w:pPr>
      <w:r>
        <w:rPr>
          <w:rFonts w:ascii="Calibri" w:hAnsi="Calibri"/>
        </w:rPr>
        <w:t>Analysis of each operational program and reallocation of funds to the sectors with maximum absorption potential both within and between the operational programs, in order to avoid the risk of disengagement of funds allocated to Romania (year 2018). While evolutions are registered in the implementation, the Mas analyze the need to make additional changes.</w:t>
      </w:r>
    </w:p>
    <w:p w:rsidR="00BD4A3E" w:rsidRPr="00BD4A3E" w:rsidRDefault="00BD4A3E" w:rsidP="009F7237">
      <w:pPr>
        <w:numPr>
          <w:ilvl w:val="0"/>
          <w:numId w:val="21"/>
        </w:numPr>
        <w:spacing w:before="120" w:after="120"/>
        <w:ind w:left="786"/>
        <w:jc w:val="both"/>
        <w:rPr>
          <w:rFonts w:ascii="Calibri" w:hAnsi="Calibri" w:cs="Arial"/>
        </w:rPr>
      </w:pPr>
      <w:r>
        <w:rPr>
          <w:rFonts w:ascii="Calibri" w:hAnsi="Calibri"/>
        </w:rPr>
        <w:t>Measures of simplification and avoidance of too many procedures and excessive bureaucracy applied to the guidelines/guides for the applicants, operationalization of SMIS 2014+, simplification of the procurement procedures for private beneficiaries, introduction of simplified cost options, of flat rates and standards for the unitary costs in the national and regional norms related to eligibility, simplification of the procedures for construction permits.</w:t>
      </w:r>
    </w:p>
    <w:p w:rsidR="00BD4A3E" w:rsidRPr="00BD4A3E" w:rsidRDefault="00BD4A3E" w:rsidP="009F7237">
      <w:pPr>
        <w:numPr>
          <w:ilvl w:val="0"/>
          <w:numId w:val="21"/>
        </w:numPr>
        <w:spacing w:before="120" w:after="120"/>
        <w:ind w:left="786"/>
        <w:jc w:val="both"/>
        <w:rPr>
          <w:rFonts w:ascii="Calibri" w:hAnsi="Calibri" w:cs="Arial"/>
        </w:rPr>
      </w:pPr>
      <w:r>
        <w:rPr>
          <w:rFonts w:ascii="Calibri" w:hAnsi="Calibri"/>
        </w:rPr>
        <w:t xml:space="preserve">At the same time as the simplification measures, the Government supports the improvement of the administrative system and the increase of the absorption capacity for these funds. </w:t>
      </w:r>
    </w:p>
    <w:p w:rsidR="00BD4A3E" w:rsidRPr="00BD4A3E" w:rsidRDefault="00BD4A3E" w:rsidP="009F7237">
      <w:pPr>
        <w:numPr>
          <w:ilvl w:val="0"/>
          <w:numId w:val="21"/>
        </w:numPr>
        <w:spacing w:before="120" w:after="120"/>
        <w:ind w:left="786"/>
        <w:jc w:val="both"/>
        <w:rPr>
          <w:rFonts w:ascii="Calibri" w:hAnsi="Calibri" w:cs="Arial"/>
        </w:rPr>
      </w:pPr>
      <w:r>
        <w:rPr>
          <w:rFonts w:ascii="Calibri" w:hAnsi="Calibri"/>
        </w:rPr>
        <w:t>Using financial instruments and territorial instruments: an important share of investments, namely 517 million EUR (almost four times more than in 2007-2013) will be provided through the financial instruments (including through the initiative for SMEs implemented by the EIB). They will refer to supporting SMEs through provision of capital, of loans and guarantees for the initial and growth stages. Financial instruments are used as implementation method for the ESIF in the following operational funds: PO Competitiveness, PO Human Capital, PO Regional.</w:t>
      </w:r>
    </w:p>
    <w:p w:rsidR="00BD4A3E" w:rsidRPr="00BD4A3E" w:rsidRDefault="00BD4A3E" w:rsidP="009F7237">
      <w:pPr>
        <w:numPr>
          <w:ilvl w:val="0"/>
          <w:numId w:val="21"/>
        </w:numPr>
        <w:spacing w:before="120" w:after="120"/>
        <w:ind w:left="786"/>
        <w:jc w:val="both"/>
        <w:rPr>
          <w:rFonts w:ascii="Calibri" w:hAnsi="Calibri" w:cs="Arial"/>
        </w:rPr>
      </w:pPr>
      <w:r>
        <w:rPr>
          <w:rFonts w:ascii="Calibri" w:hAnsi="Calibri"/>
        </w:rPr>
        <w:t>Simplifying the legislation corresponding to the promotion and approval of investment projects in Romania. In this respect were signed the collaboration protocols in accordance with which the management authorities may request to public institutions a series of documents with no need for the beneficiaries to present them.</w:t>
      </w:r>
    </w:p>
    <w:p w:rsidR="00BD4A3E" w:rsidRPr="00BD4A3E" w:rsidRDefault="00BD4A3E" w:rsidP="009F7237">
      <w:pPr>
        <w:numPr>
          <w:ilvl w:val="0"/>
          <w:numId w:val="21"/>
        </w:numPr>
        <w:spacing w:before="120" w:after="120"/>
        <w:jc w:val="both"/>
        <w:rPr>
          <w:rFonts w:ascii="Calibri" w:hAnsi="Calibri" w:cs="Arial"/>
        </w:rPr>
      </w:pPr>
      <w:r>
        <w:rPr>
          <w:rFonts w:ascii="Calibri" w:hAnsi="Calibri"/>
        </w:rPr>
        <w:t>Every Management Authority will start a training process for the beneficiaries, based on a guide on the main risks identified in the field of public procurement in order to prevent the errors found in the implementation of the procedures related to public procurement within the projects financed from structural instruments, as well as the assurance of unitary practice in the future;</w:t>
      </w:r>
    </w:p>
    <w:p w:rsidR="00BD4A3E" w:rsidRPr="00BD4A3E" w:rsidRDefault="00BD4A3E" w:rsidP="009F7237">
      <w:pPr>
        <w:numPr>
          <w:ilvl w:val="0"/>
          <w:numId w:val="21"/>
        </w:numPr>
        <w:spacing w:before="120" w:after="120"/>
        <w:jc w:val="both"/>
        <w:rPr>
          <w:rFonts w:ascii="Calibri" w:hAnsi="Calibri" w:cs="Arial"/>
        </w:rPr>
      </w:pPr>
      <w:r>
        <w:rPr>
          <w:rFonts w:ascii="Calibri" w:hAnsi="Calibri"/>
        </w:rPr>
        <w:t>Encouraging Public-Private Partnerships, as alternatives and complementary solutions which may lead to the sustainability of projects co-financed by the European Union;</w:t>
      </w:r>
    </w:p>
    <w:p w:rsidR="00BD4A3E" w:rsidRPr="00BD4A3E" w:rsidRDefault="00BD4A3E" w:rsidP="009F7237">
      <w:pPr>
        <w:numPr>
          <w:ilvl w:val="0"/>
          <w:numId w:val="21"/>
        </w:numPr>
        <w:spacing w:before="120" w:after="120"/>
        <w:jc w:val="both"/>
        <w:rPr>
          <w:rFonts w:ascii="Calibri" w:hAnsi="Calibri" w:cs="Arial"/>
        </w:rPr>
      </w:pPr>
      <w:r>
        <w:rPr>
          <w:rFonts w:ascii="Calibri" w:hAnsi="Calibri"/>
        </w:rPr>
        <w:t xml:space="preserve">Stimulating the exchange of good practices in the implementation of mechanisms </w:t>
      </w:r>
      <w:r w:rsidR="00916FF8">
        <w:rPr>
          <w:rFonts w:ascii="Calibri" w:hAnsi="Calibri"/>
        </w:rPr>
        <w:t>meant</w:t>
      </w:r>
      <w:r w:rsidR="00DF768F">
        <w:rPr>
          <w:rFonts w:ascii="Calibri" w:hAnsi="Calibri"/>
        </w:rPr>
        <w:t xml:space="preserve"> to increase</w:t>
      </w:r>
      <w:r>
        <w:rPr>
          <w:rFonts w:ascii="Calibri" w:hAnsi="Calibri"/>
        </w:rPr>
        <w:t xml:space="preserve"> the absorption of European funds with other EU Member States;</w:t>
      </w:r>
    </w:p>
    <w:p w:rsidR="00BD4A3E" w:rsidRPr="00BD4A3E" w:rsidRDefault="00BD4A3E" w:rsidP="009F7237">
      <w:pPr>
        <w:numPr>
          <w:ilvl w:val="0"/>
          <w:numId w:val="21"/>
        </w:numPr>
        <w:spacing w:before="120" w:after="120"/>
        <w:jc w:val="both"/>
        <w:rPr>
          <w:rFonts w:ascii="Calibri" w:hAnsi="Calibri" w:cs="Arial"/>
        </w:rPr>
      </w:pPr>
      <w:r>
        <w:rPr>
          <w:rFonts w:ascii="Calibri" w:hAnsi="Calibri"/>
        </w:rPr>
        <w:t>Periodical consulting of the stakeholders through consolidation of the decisional structures from the monitoring committees and the Coordination Committee for Management of the Partnership Agreement.</w:t>
      </w:r>
    </w:p>
    <w:p w:rsidR="00BD4A3E" w:rsidRPr="00BD4A3E" w:rsidRDefault="00BD4A3E" w:rsidP="00BD4A3E">
      <w:pPr>
        <w:spacing w:before="120" w:after="120"/>
        <w:jc w:val="both"/>
        <w:rPr>
          <w:rFonts w:ascii="Calibri" w:hAnsi="Calibri" w:cs="Arial"/>
          <w:lang w:val="ro-RO" w:eastAsia="zh-CN"/>
        </w:rPr>
      </w:pPr>
    </w:p>
    <w:p w:rsidR="00BD4A3E" w:rsidRPr="00BD4A3E" w:rsidRDefault="00BD4A3E" w:rsidP="009F7237">
      <w:pPr>
        <w:numPr>
          <w:ilvl w:val="1"/>
          <w:numId w:val="20"/>
        </w:numPr>
        <w:spacing w:before="120" w:after="120"/>
        <w:jc w:val="both"/>
        <w:rPr>
          <w:rFonts w:ascii="Calibri" w:hAnsi="Calibri" w:cs="Arial"/>
          <w:b/>
        </w:rPr>
      </w:pPr>
      <w:r>
        <w:rPr>
          <w:rFonts w:ascii="Calibri" w:hAnsi="Calibri"/>
          <w:b/>
        </w:rPr>
        <w:t xml:space="preserve">Status of implementation of the legal and institutional framework regarding the ESI funds for the multi-annual financial framework for 2014-2020, other legislative acts necessary to consolidate and increase absorption </w:t>
      </w:r>
    </w:p>
    <w:p w:rsidR="00BD4A3E" w:rsidRPr="00BD4A3E" w:rsidRDefault="00BD4A3E" w:rsidP="00BD4A3E">
      <w:pPr>
        <w:spacing w:before="120" w:after="120"/>
        <w:ind w:firstLine="360"/>
        <w:jc w:val="both"/>
        <w:rPr>
          <w:rFonts w:ascii="Calibri" w:hAnsi="Calibri" w:cs="Arial"/>
        </w:rPr>
      </w:pPr>
      <w:r>
        <w:rPr>
          <w:rFonts w:ascii="Calibri" w:hAnsi="Calibri"/>
        </w:rPr>
        <w:t xml:space="preserve">The institutional framework of coordination and management of ESI funds is regulated through </w:t>
      </w:r>
      <w:r>
        <w:rPr>
          <w:rFonts w:ascii="Calibri" w:hAnsi="Calibri"/>
          <w:b/>
        </w:rPr>
        <w:t>Government Decision no. 398/2015 establishing the institutional framework of coordination and management of European structural and investment funds and for assurance of continuity of the institutional framework of coordination and management of structural instruments for 2007-2013</w:t>
      </w:r>
      <w:r>
        <w:rPr>
          <w:rFonts w:ascii="Calibri" w:hAnsi="Calibri"/>
        </w:rPr>
        <w:t>, as subsequently amended and supplemented, which was elaborated on the basis of the Regulation (EU) no. 1303/2013. The legislative act establishes the institutions/structures involved in the coordination, management and control of ESI funds, the duties thereof, as well as the relationships of the coordination authority with the management authorities, the certification authorities and the audit authority, the relationships between these authorities, as well as the relationships between these authorities and the European Commission.</w:t>
      </w:r>
    </w:p>
    <w:p w:rsidR="00BD4A3E" w:rsidRPr="00BD4A3E" w:rsidRDefault="00BD4A3E" w:rsidP="00BD4A3E">
      <w:pPr>
        <w:suppressAutoHyphens/>
        <w:spacing w:before="120" w:after="120"/>
        <w:ind w:firstLine="360"/>
        <w:jc w:val="both"/>
        <w:rPr>
          <w:rFonts w:ascii="Calibri" w:hAnsi="Calibri" w:cs="Arial"/>
        </w:rPr>
      </w:pPr>
      <w:r>
        <w:rPr>
          <w:rFonts w:ascii="Calibri" w:hAnsi="Calibri"/>
        </w:rPr>
        <w:t xml:space="preserve">As of the publication of G.D. no. 398/2015 until the present, there have been several amendments of the institutional framework - at the level of the interim bodies - amendments caused by the publication of other legislative acts (G.E.O. no. 68/2015 approving certain measures of management of structural instruments in the field of transport, G.D. no. 44/2016 on the organization and operation of the Ministry of National Education and Scientific Research, G.E.O. No. 23/2016 approving certain measures to make more efficient the management system of European structural and investment funds), as well as approving the Operational Program Initiative for SMEs for 2014-2020 by the European Commission. </w:t>
      </w:r>
    </w:p>
    <w:p w:rsidR="00BD4A3E" w:rsidRPr="00BD4A3E" w:rsidRDefault="00BD4A3E" w:rsidP="00BD4A3E">
      <w:pPr>
        <w:suppressAutoHyphens/>
        <w:spacing w:before="120" w:after="120"/>
        <w:ind w:firstLine="360"/>
        <w:jc w:val="both"/>
        <w:rPr>
          <w:rFonts w:ascii="Calibri" w:hAnsi="Calibri" w:cs="Arial"/>
        </w:rPr>
      </w:pPr>
      <w:r>
        <w:rPr>
          <w:rFonts w:ascii="Calibri" w:hAnsi="Calibri"/>
        </w:rPr>
        <w:t>In this framework, it was necessary to amend Government Decision no. 398/2015 so as to provide in a unitary manner the institutions/structures involved in the coordination, management and control of ESI funds.</w:t>
      </w:r>
    </w:p>
    <w:p w:rsidR="00BD4A3E" w:rsidRPr="00BD4A3E" w:rsidRDefault="00BD4A3E" w:rsidP="00BD4A3E">
      <w:pPr>
        <w:shd w:val="clear" w:color="auto" w:fill="FFFFFF"/>
        <w:ind w:firstLine="360"/>
        <w:jc w:val="both"/>
        <w:textAlignment w:val="baseline"/>
        <w:rPr>
          <w:rFonts w:ascii="Calibri" w:hAnsi="Calibri" w:cs="Arial"/>
          <w:iCs/>
        </w:rPr>
      </w:pPr>
      <w:r>
        <w:rPr>
          <w:rFonts w:ascii="Calibri" w:hAnsi="Calibri"/>
          <w:iCs/>
        </w:rPr>
        <w:t xml:space="preserve">Also, </w:t>
      </w:r>
      <w:r>
        <w:rPr>
          <w:rFonts w:ascii="Calibri" w:hAnsi="Calibri"/>
          <w:b/>
          <w:iCs/>
        </w:rPr>
        <w:t>G.D. No. 399/2015 on the eligibility rules of expenditures made within the operations financed through the European Regional Development Fund, the European Social Fund and the Cohesion Fund for 2014-2020</w:t>
      </w:r>
      <w:r>
        <w:rPr>
          <w:rFonts w:ascii="Calibri" w:hAnsi="Calibri"/>
          <w:iCs/>
        </w:rPr>
        <w:t xml:space="preserve"> was approved, which regulates the following things:</w:t>
      </w:r>
    </w:p>
    <w:p w:rsidR="00BD4A3E" w:rsidRPr="00BD4A3E" w:rsidRDefault="00BD4A3E" w:rsidP="009F7237">
      <w:pPr>
        <w:numPr>
          <w:ilvl w:val="0"/>
          <w:numId w:val="17"/>
        </w:numPr>
        <w:shd w:val="clear" w:color="auto" w:fill="FFFFFF"/>
        <w:tabs>
          <w:tab w:val="left" w:pos="709"/>
        </w:tabs>
        <w:jc w:val="both"/>
        <w:textAlignment w:val="baseline"/>
        <w:rPr>
          <w:rFonts w:ascii="Calibri" w:hAnsi="Calibri" w:cs="Arial"/>
          <w:iCs/>
        </w:rPr>
      </w:pPr>
      <w:r>
        <w:rPr>
          <w:rFonts w:ascii="Calibri" w:hAnsi="Calibri"/>
          <w:iCs/>
        </w:rPr>
        <w:t>The establishment of the general rules which must be fulfilled by an expenditure in order to be eligible;</w:t>
      </w:r>
    </w:p>
    <w:p w:rsidR="00BD4A3E" w:rsidRPr="00BD4A3E" w:rsidRDefault="00BD4A3E" w:rsidP="009F7237">
      <w:pPr>
        <w:numPr>
          <w:ilvl w:val="0"/>
          <w:numId w:val="17"/>
        </w:numPr>
        <w:shd w:val="clear" w:color="auto" w:fill="FFFFFF"/>
        <w:tabs>
          <w:tab w:val="left" w:pos="709"/>
        </w:tabs>
        <w:jc w:val="both"/>
        <w:textAlignment w:val="baseline"/>
        <w:rPr>
          <w:rFonts w:ascii="Calibri" w:hAnsi="Calibri" w:cs="Arial"/>
          <w:iCs/>
        </w:rPr>
      </w:pPr>
      <w:r>
        <w:rPr>
          <w:rFonts w:ascii="Calibri" w:hAnsi="Calibri"/>
          <w:iCs/>
        </w:rPr>
        <w:t>The establishment of the specific rules and of certain ceilings for certain categories of “</w:t>
      </w:r>
      <w:r w:rsidR="00916FF8">
        <w:rPr>
          <w:rFonts w:ascii="Calibri" w:hAnsi="Calibri"/>
          <w:iCs/>
        </w:rPr>
        <w:t>sensitive” expenditures</w:t>
      </w:r>
      <w:r>
        <w:rPr>
          <w:rFonts w:ascii="Calibri" w:hAnsi="Calibri"/>
          <w:iCs/>
        </w:rPr>
        <w:t>, of the type of contributions in kind, the cost for procurement of land plots and motor vehicles or means of transport;</w:t>
      </w:r>
    </w:p>
    <w:p w:rsidR="00BD4A3E" w:rsidRPr="00BD4A3E" w:rsidRDefault="00BD4A3E" w:rsidP="009F7237">
      <w:pPr>
        <w:numPr>
          <w:ilvl w:val="0"/>
          <w:numId w:val="17"/>
        </w:numPr>
        <w:shd w:val="clear" w:color="auto" w:fill="FFFFFF"/>
        <w:tabs>
          <w:tab w:val="left" w:pos="709"/>
        </w:tabs>
        <w:jc w:val="both"/>
        <w:textAlignment w:val="baseline"/>
        <w:rPr>
          <w:rFonts w:ascii="Calibri" w:hAnsi="Calibri" w:cs="Arial"/>
          <w:iCs/>
        </w:rPr>
      </w:pPr>
      <w:r>
        <w:rPr>
          <w:rFonts w:ascii="Calibri" w:hAnsi="Calibri"/>
          <w:iCs/>
        </w:rPr>
        <w:t>Categories of ineligible expenditures.</w:t>
      </w:r>
    </w:p>
    <w:p w:rsidR="00BD4A3E" w:rsidRPr="00BD4A3E" w:rsidRDefault="00BD4A3E" w:rsidP="00BD4A3E">
      <w:pPr>
        <w:suppressAutoHyphens/>
        <w:spacing w:before="120" w:after="120"/>
        <w:ind w:firstLine="360"/>
        <w:jc w:val="both"/>
        <w:rPr>
          <w:rFonts w:ascii="Calibri" w:hAnsi="Calibri" w:cs="Arial"/>
        </w:rPr>
      </w:pPr>
      <w:r>
        <w:rPr>
          <w:rFonts w:ascii="Calibri" w:hAnsi="Calibri"/>
        </w:rPr>
        <w:t xml:space="preserve">The provisions regarding eligibility regulate even the situation in which the management authority, in the exercise of the function of programme management, according to art. 125 in the Regulation (EU) no. 1303/2013, awards non-reimbursable financial assistance to the public institution it is part of. The aforementioned legislative act was amended through GD no. 488/2018 </w:t>
      </w:r>
      <w:r>
        <w:rPr>
          <w:rFonts w:ascii="Calibri" w:hAnsi="Calibri"/>
          <w:bCs/>
          <w:i/>
          <w:shd w:val="clear" w:color="auto" w:fill="FFFFFF"/>
        </w:rPr>
        <w:t>amending </w:t>
      </w:r>
      <w:bookmarkStart w:id="3" w:name="REFsp23rtd4"/>
      <w:bookmarkEnd w:id="3"/>
      <w:r>
        <w:rPr>
          <w:rFonts w:ascii="Calibri" w:hAnsi="Calibri"/>
          <w:bCs/>
          <w:i/>
          <w:shd w:val="clear" w:color="auto" w:fill="FFFFFF"/>
        </w:rPr>
        <w:t>Government Decision no. 399/2015 on eligibility rules for the expenditures made within the operations financed through the European Regional Development Fund, the European Social Fund and the Cohesion Fund for 2014-2020.</w:t>
      </w:r>
    </w:p>
    <w:p w:rsidR="00BD4A3E" w:rsidRPr="00BD4A3E" w:rsidRDefault="00BD4A3E" w:rsidP="00BD4A3E">
      <w:pPr>
        <w:spacing w:before="120" w:after="120"/>
        <w:ind w:firstLine="360"/>
        <w:jc w:val="both"/>
        <w:rPr>
          <w:rFonts w:ascii="Calibri" w:hAnsi="Calibri" w:cs="Arial"/>
          <w:iCs/>
        </w:rPr>
      </w:pPr>
      <w:r>
        <w:rPr>
          <w:rFonts w:ascii="Calibri" w:hAnsi="Calibri"/>
        </w:rPr>
        <w:t xml:space="preserve">Through </w:t>
      </w:r>
      <w:r>
        <w:rPr>
          <w:rFonts w:ascii="Calibri" w:hAnsi="Calibri"/>
          <w:b/>
        </w:rPr>
        <w:t>G.E.O. No. 40/2015 on financial management of European funds for the programming period 2014-2020, respectively Government Decision no. 93/2016 approving the Methodological Norms of enforcement of the provisions of G.E.O. No. 40/2015, as subsequently amended and supplemented</w:t>
      </w:r>
      <w:r>
        <w:rPr>
          <w:rFonts w:ascii="Calibri" w:hAnsi="Calibri"/>
        </w:rPr>
        <w:t>, it is established the general financial framework for management of the non-reimbursable financial assistance allocated to Romania through the European Regional Development Fund, the European Social Fund, the Cohesion Fund and the European Aid Fund dedicated to the most disadvantaged individuals during the programming period 2014-2020, as well as the pre-financing and co-financing corresponding to this assistance, in order to ensure efficient financial management of these funds.</w:t>
      </w:r>
    </w:p>
    <w:p w:rsidR="00BD4A3E" w:rsidRPr="00BD4A3E" w:rsidRDefault="00BD4A3E" w:rsidP="00BD4A3E">
      <w:pPr>
        <w:tabs>
          <w:tab w:val="left" w:pos="10773"/>
        </w:tabs>
        <w:spacing w:line="276" w:lineRule="auto"/>
        <w:ind w:right="284" w:firstLine="426"/>
        <w:contextualSpacing/>
        <w:jc w:val="both"/>
        <w:rPr>
          <w:rFonts w:ascii="Calibri" w:eastAsia="Calibri" w:hAnsi="Calibri"/>
        </w:rPr>
      </w:pPr>
      <w:r>
        <w:rPr>
          <w:rFonts w:ascii="Calibri" w:hAnsi="Calibri"/>
        </w:rPr>
        <w:t>The legislation regarding financial management of European funds for the programming period 2014-2020 has suffered several amendments for the purpose of making the implementation more flexible and reducing pressure on the European fund beneficiary’s own budget. The amendments referred, among other things, to:</w:t>
      </w:r>
    </w:p>
    <w:p w:rsidR="00BD4A3E" w:rsidRPr="00BD4A3E" w:rsidRDefault="00BD4A3E" w:rsidP="00021698">
      <w:pPr>
        <w:numPr>
          <w:ilvl w:val="0"/>
          <w:numId w:val="129"/>
        </w:numPr>
        <w:tabs>
          <w:tab w:val="left" w:pos="993"/>
        </w:tabs>
        <w:ind w:left="993" w:right="284" w:hanging="426"/>
        <w:jc w:val="both"/>
        <w:rPr>
          <w:rFonts w:ascii="Calibri" w:hAnsi="Calibri"/>
        </w:rPr>
      </w:pPr>
      <w:r>
        <w:rPr>
          <w:rFonts w:ascii="Calibri" w:hAnsi="Calibri"/>
        </w:rPr>
        <w:t xml:space="preserve">The amendment of the pre-financing mechanism: Thus, it was introduced the possibility of awarding pre-financing for all categories of eligible expenditures, respectively for all projects implemented by local public authorities and private beneficiaries, irrespective of the European fund they finance, through the award of installments up to 10% of the project’s value, in order to ensure for the beneficiaries the liquidities necessary for implementation. </w:t>
      </w:r>
    </w:p>
    <w:p w:rsidR="00BD4A3E" w:rsidRPr="00BD4A3E" w:rsidRDefault="00BD4A3E" w:rsidP="00021698">
      <w:pPr>
        <w:numPr>
          <w:ilvl w:val="0"/>
          <w:numId w:val="129"/>
        </w:numPr>
        <w:tabs>
          <w:tab w:val="left" w:pos="993"/>
        </w:tabs>
        <w:ind w:left="993" w:right="284" w:hanging="426"/>
        <w:jc w:val="both"/>
        <w:rPr>
          <w:rFonts w:ascii="Calibri" w:hAnsi="Calibri"/>
        </w:rPr>
      </w:pPr>
      <w:r>
        <w:rPr>
          <w:rFonts w:ascii="Calibri" w:hAnsi="Calibri"/>
        </w:rPr>
        <w:t xml:space="preserve">Defining the pre-financing percentage for the beneficiaries who receive financing under the scope of State/de minimis aid (a single installment of at most 40% of the eligible public contribution of the project); </w:t>
      </w:r>
    </w:p>
    <w:p w:rsidR="00BD4A3E" w:rsidRPr="00BD4A3E" w:rsidRDefault="00BD4A3E" w:rsidP="00021698">
      <w:pPr>
        <w:numPr>
          <w:ilvl w:val="0"/>
          <w:numId w:val="129"/>
        </w:numPr>
        <w:tabs>
          <w:tab w:val="left" w:pos="993"/>
        </w:tabs>
        <w:ind w:left="993" w:right="284" w:hanging="426"/>
        <w:jc w:val="both"/>
        <w:rPr>
          <w:rFonts w:ascii="Calibri" w:hAnsi="Calibri"/>
        </w:rPr>
      </w:pPr>
      <w:r>
        <w:rPr>
          <w:rFonts w:ascii="Calibri" w:hAnsi="Calibri"/>
        </w:rPr>
        <w:t>Extending the categories of expenditures for which the payment request can be applied, so that the beneficiaries/partnership leaders/partners may opt for the payment of salaries, subsidies, scholarships, prizes and fees for the payment request as well, not only for the pre-financing or reimbursement requests.</w:t>
      </w:r>
    </w:p>
    <w:p w:rsidR="00BD4A3E" w:rsidRPr="00BD4A3E" w:rsidRDefault="00BD4A3E" w:rsidP="00021698">
      <w:pPr>
        <w:numPr>
          <w:ilvl w:val="0"/>
          <w:numId w:val="129"/>
        </w:numPr>
        <w:tabs>
          <w:tab w:val="left" w:pos="993"/>
        </w:tabs>
        <w:ind w:left="993" w:right="284" w:hanging="426"/>
        <w:jc w:val="both"/>
        <w:rPr>
          <w:rFonts w:ascii="Calibri" w:hAnsi="Calibri"/>
        </w:rPr>
      </w:pPr>
      <w:r>
        <w:rPr>
          <w:rFonts w:ascii="Calibri" w:hAnsi="Calibri"/>
        </w:rPr>
        <w:t>Making more flexible the implementation of projects for the regional water and used water operators. Thus, the amounts awarded to the operators as pre-financing shall be deduced through application of a percentage to the value of reimbursement requests sent by them until the final reimbursement request.</w:t>
      </w:r>
    </w:p>
    <w:p w:rsidR="00BD4A3E" w:rsidRPr="00BD4A3E" w:rsidRDefault="00CF36CB" w:rsidP="00BD4A3E">
      <w:pPr>
        <w:ind w:firstLine="360"/>
        <w:jc w:val="both"/>
        <w:rPr>
          <w:rFonts w:ascii="Calibri" w:hAnsi="Calibri" w:cs="Arial"/>
        </w:rPr>
      </w:pPr>
      <w:r>
        <w:rPr>
          <w:rFonts w:ascii="Calibri" w:hAnsi="Calibri"/>
        </w:rPr>
        <w:t>At the same time, were started or signed the protocols of collaboration with other institutions which can support the implementation process of these funds, like the National Agency for Integrity, the National Agency for Fiscal Implementation, the National Agency for Public Procurement the National Trade Register Office, the Certifying and Paying Authority from the Ministry of Public Finance.</w:t>
      </w:r>
    </w:p>
    <w:p w:rsidR="00BD4A3E" w:rsidRPr="00BD4A3E" w:rsidRDefault="00BD4A3E" w:rsidP="00BD4A3E">
      <w:pPr>
        <w:ind w:firstLine="360"/>
        <w:jc w:val="both"/>
        <w:rPr>
          <w:rFonts w:ascii="Calibri" w:hAnsi="Calibri" w:cs="Arial"/>
          <w:lang w:val="ro-RO" w:eastAsia="zh-CN"/>
        </w:rPr>
      </w:pPr>
    </w:p>
    <w:p w:rsidR="00BD4A3E" w:rsidRPr="00BD4A3E" w:rsidRDefault="00BD4A3E" w:rsidP="009F7237">
      <w:pPr>
        <w:numPr>
          <w:ilvl w:val="1"/>
          <w:numId w:val="20"/>
        </w:numPr>
        <w:spacing w:before="120" w:after="120"/>
        <w:jc w:val="both"/>
        <w:rPr>
          <w:rFonts w:ascii="Calibri" w:hAnsi="Calibri" w:cs="Arial"/>
          <w:b/>
        </w:rPr>
      </w:pPr>
      <w:r>
        <w:rPr>
          <w:rFonts w:ascii="Calibri" w:hAnsi="Calibri"/>
          <w:b/>
        </w:rPr>
        <w:t>The funds corresponding to MFF 2014-2020, the allocation thereof on the cohesion policy and on the common agricultural policy, on separate objectives, as well as the operational programs that will be financed from these funds</w:t>
      </w:r>
    </w:p>
    <w:p w:rsidR="00BD4A3E" w:rsidRDefault="00BD4A3E" w:rsidP="00BD4A3E">
      <w:pPr>
        <w:suppressAutoHyphens/>
        <w:spacing w:before="120" w:after="120"/>
        <w:ind w:firstLine="708"/>
        <w:jc w:val="both"/>
        <w:rPr>
          <w:rFonts w:ascii="Calibri" w:hAnsi="Calibri" w:cs="Arial"/>
        </w:rPr>
      </w:pPr>
      <w:r>
        <w:rPr>
          <w:rFonts w:ascii="Calibri" w:hAnsi="Calibri"/>
        </w:rPr>
        <w:t>In the financial exercise 2014-2020, Romania’s total allocation is of over 43 billion EUR, of which 22.9 billion EUR through the Cohesion Policy and approximately 20 billion EUR through the Common Agricultural Policy and the Integrated Marine Policy.</w:t>
      </w:r>
    </w:p>
    <w:p w:rsidR="00BD4A3E" w:rsidRPr="00BD4A3E" w:rsidRDefault="00BD4A3E" w:rsidP="00BD4A3E">
      <w:pPr>
        <w:suppressAutoHyphens/>
        <w:spacing w:before="120" w:after="120"/>
        <w:ind w:left="6381" w:firstLine="709"/>
        <w:jc w:val="both"/>
        <w:rPr>
          <w:rFonts w:ascii="Calibri" w:hAnsi="Calibri" w:cs="Arial"/>
        </w:rPr>
      </w:pPr>
      <w:r>
        <w:rPr>
          <w:rFonts w:ascii="Calibri" w:hAnsi="Calibri"/>
        </w:rPr>
        <w:t xml:space="preserve">               million EUR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7"/>
        <w:gridCol w:w="2835"/>
        <w:gridCol w:w="2038"/>
      </w:tblGrid>
      <w:tr w:rsidR="00BD4A3E" w:rsidRPr="00BD4A3E" w:rsidTr="00BD4A3E">
        <w:trPr>
          <w:trHeight w:val="486"/>
        </w:trPr>
        <w:tc>
          <w:tcPr>
            <w:tcW w:w="4307" w:type="dxa"/>
            <w:shd w:val="clear" w:color="auto" w:fill="auto"/>
            <w:vAlign w:val="center"/>
          </w:tcPr>
          <w:p w:rsidR="00BD4A3E" w:rsidRPr="00BD4A3E" w:rsidRDefault="00BD4A3E" w:rsidP="00BD4A3E">
            <w:pPr>
              <w:jc w:val="center"/>
              <w:rPr>
                <w:rFonts w:ascii="Arial" w:eastAsia="Calibri" w:hAnsi="Arial" w:cs="Arial"/>
                <w:b/>
                <w:sz w:val="22"/>
                <w:szCs w:val="22"/>
              </w:rPr>
            </w:pPr>
            <w:r>
              <w:rPr>
                <w:rFonts w:ascii="Arial" w:hAnsi="Arial"/>
                <w:b/>
                <w:sz w:val="22"/>
                <w:szCs w:val="22"/>
              </w:rPr>
              <w:t>Operational Program/Program</w:t>
            </w:r>
          </w:p>
        </w:tc>
        <w:tc>
          <w:tcPr>
            <w:tcW w:w="2835" w:type="dxa"/>
            <w:shd w:val="clear" w:color="auto" w:fill="auto"/>
            <w:vAlign w:val="center"/>
          </w:tcPr>
          <w:p w:rsidR="00BD4A3E" w:rsidRPr="00BD4A3E" w:rsidRDefault="00BD4A3E" w:rsidP="00BD4A3E">
            <w:pPr>
              <w:jc w:val="center"/>
              <w:rPr>
                <w:rFonts w:ascii="Arial" w:eastAsia="Calibri" w:hAnsi="Arial" w:cs="Arial"/>
                <w:b/>
                <w:sz w:val="22"/>
                <w:szCs w:val="22"/>
              </w:rPr>
            </w:pPr>
            <w:r>
              <w:rPr>
                <w:rFonts w:ascii="Arial" w:hAnsi="Arial"/>
                <w:b/>
                <w:sz w:val="22"/>
                <w:szCs w:val="22"/>
              </w:rPr>
              <w:t>Fund type</w:t>
            </w:r>
          </w:p>
        </w:tc>
        <w:tc>
          <w:tcPr>
            <w:tcW w:w="2038" w:type="dxa"/>
            <w:shd w:val="clear" w:color="auto" w:fill="auto"/>
            <w:vAlign w:val="center"/>
          </w:tcPr>
          <w:p w:rsidR="00BD4A3E" w:rsidRPr="00BD4A3E" w:rsidRDefault="00BD4A3E" w:rsidP="00BD4A3E">
            <w:pPr>
              <w:jc w:val="center"/>
              <w:rPr>
                <w:rFonts w:ascii="Arial" w:eastAsia="Calibri" w:hAnsi="Arial" w:cs="Arial"/>
                <w:b/>
                <w:sz w:val="22"/>
                <w:szCs w:val="22"/>
              </w:rPr>
            </w:pPr>
            <w:r>
              <w:rPr>
                <w:rFonts w:ascii="Arial" w:hAnsi="Arial"/>
                <w:b/>
                <w:sz w:val="22"/>
                <w:szCs w:val="22"/>
              </w:rPr>
              <w:t>Allocation (EU)</w:t>
            </w:r>
          </w:p>
          <w:p w:rsidR="00BD4A3E" w:rsidRPr="00BD4A3E" w:rsidRDefault="00BD4A3E" w:rsidP="00BD4A3E">
            <w:pPr>
              <w:jc w:val="center"/>
              <w:rPr>
                <w:rFonts w:ascii="Arial" w:eastAsia="Calibri" w:hAnsi="Arial" w:cs="Arial"/>
                <w:b/>
                <w:sz w:val="22"/>
                <w:szCs w:val="22"/>
              </w:rPr>
            </w:pPr>
            <w:r>
              <w:rPr>
                <w:rFonts w:ascii="Arial" w:hAnsi="Arial"/>
                <w:b/>
                <w:sz w:val="22"/>
                <w:szCs w:val="22"/>
              </w:rPr>
              <w:t>(million EUR)</w:t>
            </w:r>
          </w:p>
        </w:tc>
      </w:tr>
      <w:tr w:rsidR="00BD4A3E" w:rsidRPr="00BD4A3E" w:rsidTr="00BD4A3E">
        <w:tc>
          <w:tcPr>
            <w:tcW w:w="4307" w:type="dxa"/>
            <w:shd w:val="clear" w:color="auto" w:fill="auto"/>
            <w:vAlign w:val="center"/>
          </w:tcPr>
          <w:p w:rsidR="00BD4A3E" w:rsidRPr="00BD4A3E" w:rsidRDefault="00BD4A3E" w:rsidP="00BD4A3E">
            <w:pPr>
              <w:rPr>
                <w:rFonts w:ascii="Arial" w:eastAsia="Calibri" w:hAnsi="Arial" w:cs="Arial"/>
                <w:sz w:val="22"/>
                <w:szCs w:val="22"/>
              </w:rPr>
            </w:pPr>
            <w:r>
              <w:rPr>
                <w:rFonts w:ascii="Arial" w:hAnsi="Arial"/>
                <w:sz w:val="22"/>
                <w:szCs w:val="22"/>
              </w:rPr>
              <w:t>PO Technical Assistance</w:t>
            </w:r>
          </w:p>
        </w:tc>
        <w:tc>
          <w:tcPr>
            <w:tcW w:w="2835" w:type="dxa"/>
            <w:shd w:val="clear" w:color="auto" w:fill="auto"/>
            <w:vAlign w:val="center"/>
          </w:tcPr>
          <w:p w:rsidR="00BD4A3E" w:rsidRPr="00BD4A3E" w:rsidRDefault="00BD4A3E" w:rsidP="00BD4A3E">
            <w:pPr>
              <w:jc w:val="center"/>
              <w:rPr>
                <w:rFonts w:ascii="Arial" w:eastAsia="Calibri" w:hAnsi="Arial" w:cs="Arial"/>
                <w:sz w:val="22"/>
                <w:szCs w:val="22"/>
              </w:rPr>
            </w:pPr>
            <w:r>
              <w:rPr>
                <w:rFonts w:ascii="Arial" w:hAnsi="Arial"/>
                <w:sz w:val="22"/>
                <w:szCs w:val="22"/>
              </w:rPr>
              <w:t>ERDF</w:t>
            </w:r>
          </w:p>
        </w:tc>
        <w:tc>
          <w:tcPr>
            <w:tcW w:w="2038" w:type="dxa"/>
            <w:shd w:val="clear" w:color="auto" w:fill="auto"/>
            <w:vAlign w:val="center"/>
          </w:tcPr>
          <w:p w:rsidR="00BD4A3E" w:rsidRPr="00BD4A3E" w:rsidRDefault="00BD4A3E" w:rsidP="00BD4A3E">
            <w:pPr>
              <w:jc w:val="right"/>
              <w:rPr>
                <w:rFonts w:ascii="Arial" w:eastAsia="Calibri" w:hAnsi="Arial" w:cs="Arial"/>
                <w:sz w:val="22"/>
                <w:szCs w:val="22"/>
              </w:rPr>
            </w:pPr>
            <w:r>
              <w:rPr>
                <w:rFonts w:ascii="Arial" w:hAnsi="Arial"/>
                <w:sz w:val="22"/>
                <w:szCs w:val="22"/>
              </w:rPr>
              <w:t>252.76</w:t>
            </w:r>
          </w:p>
        </w:tc>
      </w:tr>
      <w:tr w:rsidR="00BD4A3E" w:rsidRPr="00BD4A3E" w:rsidTr="00BD4A3E">
        <w:tc>
          <w:tcPr>
            <w:tcW w:w="4307" w:type="dxa"/>
            <w:shd w:val="clear" w:color="auto" w:fill="auto"/>
            <w:vAlign w:val="center"/>
          </w:tcPr>
          <w:p w:rsidR="00BD4A3E" w:rsidRPr="00BD4A3E" w:rsidRDefault="00BD4A3E" w:rsidP="00BD4A3E">
            <w:pPr>
              <w:rPr>
                <w:rFonts w:ascii="Arial" w:eastAsia="Calibri" w:hAnsi="Arial" w:cs="Arial"/>
                <w:sz w:val="22"/>
                <w:szCs w:val="22"/>
              </w:rPr>
            </w:pPr>
            <w:r>
              <w:rPr>
                <w:rFonts w:ascii="Arial" w:hAnsi="Arial"/>
                <w:sz w:val="22"/>
                <w:szCs w:val="22"/>
              </w:rPr>
              <w:t xml:space="preserve">PO Competitiveness </w:t>
            </w:r>
          </w:p>
        </w:tc>
        <w:tc>
          <w:tcPr>
            <w:tcW w:w="2835" w:type="dxa"/>
            <w:shd w:val="clear" w:color="auto" w:fill="auto"/>
            <w:vAlign w:val="center"/>
          </w:tcPr>
          <w:p w:rsidR="00BD4A3E" w:rsidRPr="00BD4A3E" w:rsidRDefault="00BD4A3E" w:rsidP="00BD4A3E">
            <w:pPr>
              <w:jc w:val="center"/>
              <w:rPr>
                <w:rFonts w:ascii="Arial" w:eastAsia="Calibri" w:hAnsi="Arial" w:cs="Arial"/>
                <w:sz w:val="22"/>
                <w:szCs w:val="22"/>
              </w:rPr>
            </w:pPr>
            <w:r>
              <w:rPr>
                <w:rFonts w:ascii="Arial" w:hAnsi="Arial"/>
                <w:sz w:val="22"/>
                <w:szCs w:val="22"/>
              </w:rPr>
              <w:t>ERDF</w:t>
            </w:r>
          </w:p>
        </w:tc>
        <w:tc>
          <w:tcPr>
            <w:tcW w:w="2038" w:type="dxa"/>
            <w:shd w:val="clear" w:color="auto" w:fill="auto"/>
            <w:vAlign w:val="center"/>
          </w:tcPr>
          <w:p w:rsidR="00BD4A3E" w:rsidRPr="00BD4A3E" w:rsidRDefault="00BD4A3E" w:rsidP="00BD4A3E">
            <w:pPr>
              <w:jc w:val="right"/>
              <w:rPr>
                <w:rFonts w:ascii="Arial" w:eastAsia="Calibri" w:hAnsi="Arial" w:cs="Arial"/>
                <w:sz w:val="22"/>
                <w:szCs w:val="22"/>
              </w:rPr>
            </w:pPr>
            <w:r>
              <w:rPr>
                <w:rFonts w:ascii="Arial" w:hAnsi="Arial"/>
                <w:sz w:val="22"/>
                <w:szCs w:val="22"/>
              </w:rPr>
              <w:t>1,329.79</w:t>
            </w:r>
          </w:p>
        </w:tc>
      </w:tr>
      <w:tr w:rsidR="00BD4A3E" w:rsidRPr="00BD4A3E" w:rsidTr="00BD4A3E">
        <w:tc>
          <w:tcPr>
            <w:tcW w:w="4307" w:type="dxa"/>
            <w:shd w:val="clear" w:color="auto" w:fill="auto"/>
            <w:vAlign w:val="center"/>
          </w:tcPr>
          <w:p w:rsidR="00BD4A3E" w:rsidRPr="00BD4A3E" w:rsidRDefault="00BD4A3E" w:rsidP="00BD4A3E">
            <w:pPr>
              <w:rPr>
                <w:rFonts w:ascii="Arial" w:eastAsia="Calibri" w:hAnsi="Arial" w:cs="Arial"/>
                <w:sz w:val="22"/>
                <w:szCs w:val="22"/>
              </w:rPr>
            </w:pPr>
            <w:r>
              <w:rPr>
                <w:rFonts w:ascii="Arial" w:hAnsi="Arial"/>
                <w:sz w:val="22"/>
                <w:szCs w:val="22"/>
              </w:rPr>
              <w:t>PO Human Capital</w:t>
            </w:r>
          </w:p>
        </w:tc>
        <w:tc>
          <w:tcPr>
            <w:tcW w:w="2835" w:type="dxa"/>
            <w:shd w:val="clear" w:color="auto" w:fill="auto"/>
            <w:vAlign w:val="center"/>
          </w:tcPr>
          <w:p w:rsidR="00BD4A3E" w:rsidRPr="00BD4A3E" w:rsidRDefault="00BD4A3E" w:rsidP="00BD4A3E">
            <w:pPr>
              <w:jc w:val="center"/>
              <w:rPr>
                <w:rFonts w:ascii="Arial" w:eastAsia="Calibri" w:hAnsi="Arial" w:cs="Arial"/>
                <w:sz w:val="22"/>
                <w:szCs w:val="22"/>
              </w:rPr>
            </w:pPr>
            <w:r>
              <w:rPr>
                <w:rFonts w:ascii="Arial" w:hAnsi="Arial"/>
                <w:sz w:val="22"/>
                <w:szCs w:val="22"/>
              </w:rPr>
              <w:t>ESF</w:t>
            </w:r>
          </w:p>
        </w:tc>
        <w:tc>
          <w:tcPr>
            <w:tcW w:w="2038" w:type="dxa"/>
            <w:shd w:val="clear" w:color="auto" w:fill="auto"/>
            <w:vAlign w:val="center"/>
          </w:tcPr>
          <w:p w:rsidR="00BD4A3E" w:rsidRPr="00BD4A3E" w:rsidRDefault="00BD4A3E" w:rsidP="00BD4A3E">
            <w:pPr>
              <w:jc w:val="right"/>
              <w:rPr>
                <w:rFonts w:ascii="Arial" w:eastAsia="Calibri" w:hAnsi="Arial" w:cs="Arial"/>
                <w:sz w:val="22"/>
                <w:szCs w:val="22"/>
              </w:rPr>
            </w:pPr>
            <w:r>
              <w:rPr>
                <w:rFonts w:ascii="Arial" w:hAnsi="Arial"/>
                <w:sz w:val="22"/>
                <w:szCs w:val="22"/>
              </w:rPr>
              <w:t>4,371.96</w:t>
            </w:r>
          </w:p>
        </w:tc>
      </w:tr>
      <w:tr w:rsidR="00BD4A3E" w:rsidRPr="00BD4A3E" w:rsidTr="00BD4A3E">
        <w:tc>
          <w:tcPr>
            <w:tcW w:w="4307" w:type="dxa"/>
            <w:shd w:val="clear" w:color="auto" w:fill="auto"/>
            <w:vAlign w:val="center"/>
          </w:tcPr>
          <w:p w:rsidR="00BD4A3E" w:rsidRPr="00BD4A3E" w:rsidRDefault="00BD4A3E" w:rsidP="00BD4A3E">
            <w:pPr>
              <w:rPr>
                <w:rFonts w:ascii="Arial" w:eastAsia="Calibri" w:hAnsi="Arial" w:cs="Arial"/>
                <w:sz w:val="22"/>
                <w:szCs w:val="22"/>
              </w:rPr>
            </w:pPr>
            <w:r>
              <w:rPr>
                <w:rFonts w:ascii="Arial" w:hAnsi="Arial"/>
                <w:sz w:val="22"/>
                <w:szCs w:val="22"/>
              </w:rPr>
              <w:t>PO Administrative Capacity</w:t>
            </w:r>
          </w:p>
        </w:tc>
        <w:tc>
          <w:tcPr>
            <w:tcW w:w="2835" w:type="dxa"/>
            <w:shd w:val="clear" w:color="auto" w:fill="auto"/>
            <w:vAlign w:val="center"/>
          </w:tcPr>
          <w:p w:rsidR="00BD4A3E" w:rsidRPr="00BD4A3E" w:rsidRDefault="00BD4A3E" w:rsidP="00BD4A3E">
            <w:pPr>
              <w:jc w:val="center"/>
              <w:rPr>
                <w:rFonts w:ascii="Arial" w:eastAsia="Calibri" w:hAnsi="Arial" w:cs="Arial"/>
                <w:sz w:val="22"/>
                <w:szCs w:val="22"/>
              </w:rPr>
            </w:pPr>
            <w:r>
              <w:rPr>
                <w:rFonts w:ascii="Arial" w:hAnsi="Arial"/>
                <w:sz w:val="22"/>
                <w:szCs w:val="22"/>
              </w:rPr>
              <w:t>ESF</w:t>
            </w:r>
          </w:p>
        </w:tc>
        <w:tc>
          <w:tcPr>
            <w:tcW w:w="2038" w:type="dxa"/>
            <w:shd w:val="clear" w:color="auto" w:fill="auto"/>
            <w:vAlign w:val="center"/>
          </w:tcPr>
          <w:p w:rsidR="00BD4A3E" w:rsidRPr="00BD4A3E" w:rsidRDefault="00BD4A3E" w:rsidP="00BD4A3E">
            <w:pPr>
              <w:jc w:val="right"/>
              <w:rPr>
                <w:rFonts w:ascii="Arial" w:eastAsia="Calibri" w:hAnsi="Arial" w:cs="Arial"/>
                <w:sz w:val="22"/>
                <w:szCs w:val="22"/>
              </w:rPr>
            </w:pPr>
            <w:r>
              <w:rPr>
                <w:rFonts w:ascii="Arial" w:hAnsi="Arial"/>
                <w:sz w:val="22"/>
                <w:szCs w:val="22"/>
              </w:rPr>
              <w:t>553.19</w:t>
            </w:r>
          </w:p>
        </w:tc>
      </w:tr>
      <w:tr w:rsidR="00BD4A3E" w:rsidRPr="00BD4A3E" w:rsidTr="00BD4A3E">
        <w:tc>
          <w:tcPr>
            <w:tcW w:w="4307" w:type="dxa"/>
            <w:shd w:val="clear" w:color="auto" w:fill="auto"/>
            <w:vAlign w:val="center"/>
          </w:tcPr>
          <w:p w:rsidR="00BD4A3E" w:rsidRPr="00BD4A3E" w:rsidRDefault="00BD4A3E" w:rsidP="00BD4A3E">
            <w:pPr>
              <w:rPr>
                <w:rFonts w:ascii="Arial" w:eastAsia="Calibri" w:hAnsi="Arial" w:cs="Arial"/>
                <w:sz w:val="22"/>
                <w:szCs w:val="22"/>
              </w:rPr>
            </w:pPr>
            <w:r>
              <w:rPr>
                <w:rFonts w:ascii="Arial" w:hAnsi="Arial"/>
                <w:sz w:val="22"/>
                <w:szCs w:val="22"/>
              </w:rPr>
              <w:t>PO Regional</w:t>
            </w:r>
          </w:p>
        </w:tc>
        <w:tc>
          <w:tcPr>
            <w:tcW w:w="2835" w:type="dxa"/>
            <w:shd w:val="clear" w:color="auto" w:fill="auto"/>
            <w:vAlign w:val="center"/>
          </w:tcPr>
          <w:p w:rsidR="00BD4A3E" w:rsidRPr="00BD4A3E" w:rsidRDefault="00BD4A3E" w:rsidP="00BD4A3E">
            <w:pPr>
              <w:jc w:val="center"/>
              <w:rPr>
                <w:rFonts w:ascii="Arial" w:eastAsia="Calibri" w:hAnsi="Arial" w:cs="Arial"/>
                <w:sz w:val="22"/>
                <w:szCs w:val="22"/>
              </w:rPr>
            </w:pPr>
            <w:r>
              <w:rPr>
                <w:rFonts w:ascii="Arial" w:hAnsi="Arial"/>
                <w:sz w:val="22"/>
                <w:szCs w:val="22"/>
              </w:rPr>
              <w:t>ERDF</w:t>
            </w:r>
          </w:p>
        </w:tc>
        <w:tc>
          <w:tcPr>
            <w:tcW w:w="2038" w:type="dxa"/>
            <w:shd w:val="clear" w:color="auto" w:fill="auto"/>
            <w:vAlign w:val="center"/>
          </w:tcPr>
          <w:p w:rsidR="00BD4A3E" w:rsidRPr="00BD4A3E" w:rsidRDefault="00BD4A3E" w:rsidP="00BD4A3E">
            <w:pPr>
              <w:jc w:val="right"/>
              <w:rPr>
                <w:rFonts w:ascii="Arial" w:eastAsia="Calibri" w:hAnsi="Arial" w:cs="Arial"/>
                <w:sz w:val="22"/>
                <w:szCs w:val="22"/>
              </w:rPr>
            </w:pPr>
            <w:r>
              <w:rPr>
                <w:rFonts w:ascii="Arial" w:hAnsi="Arial"/>
                <w:sz w:val="22"/>
                <w:szCs w:val="22"/>
              </w:rPr>
              <w:t>6,860.00</w:t>
            </w:r>
          </w:p>
        </w:tc>
      </w:tr>
      <w:tr w:rsidR="00BD4A3E" w:rsidRPr="00BD4A3E" w:rsidTr="00BD4A3E">
        <w:tc>
          <w:tcPr>
            <w:tcW w:w="4307" w:type="dxa"/>
            <w:vMerge w:val="restart"/>
            <w:shd w:val="clear" w:color="auto" w:fill="auto"/>
            <w:vAlign w:val="center"/>
          </w:tcPr>
          <w:p w:rsidR="00BD4A3E" w:rsidRPr="00BD4A3E" w:rsidRDefault="00BD4A3E" w:rsidP="00BD4A3E">
            <w:pPr>
              <w:rPr>
                <w:rFonts w:ascii="Arial" w:eastAsia="Calibri" w:hAnsi="Arial" w:cs="Arial"/>
                <w:sz w:val="22"/>
                <w:szCs w:val="22"/>
              </w:rPr>
            </w:pPr>
            <w:r>
              <w:rPr>
                <w:rFonts w:ascii="Arial" w:hAnsi="Arial"/>
                <w:sz w:val="22"/>
                <w:szCs w:val="22"/>
              </w:rPr>
              <w:t>PO Large Infrastructure</w:t>
            </w:r>
          </w:p>
        </w:tc>
        <w:tc>
          <w:tcPr>
            <w:tcW w:w="2835" w:type="dxa"/>
            <w:shd w:val="clear" w:color="auto" w:fill="auto"/>
            <w:vAlign w:val="center"/>
          </w:tcPr>
          <w:p w:rsidR="00BD4A3E" w:rsidRPr="00BD4A3E" w:rsidRDefault="00BD4A3E" w:rsidP="00BD4A3E">
            <w:pPr>
              <w:jc w:val="center"/>
              <w:rPr>
                <w:rFonts w:ascii="Arial" w:eastAsia="Calibri" w:hAnsi="Arial" w:cs="Arial"/>
                <w:sz w:val="22"/>
                <w:szCs w:val="22"/>
              </w:rPr>
            </w:pPr>
            <w:r>
              <w:rPr>
                <w:rFonts w:ascii="Arial" w:hAnsi="Arial"/>
                <w:sz w:val="22"/>
                <w:szCs w:val="22"/>
              </w:rPr>
              <w:t>ERDF</w:t>
            </w:r>
          </w:p>
        </w:tc>
        <w:tc>
          <w:tcPr>
            <w:tcW w:w="2038" w:type="dxa"/>
            <w:shd w:val="clear" w:color="auto" w:fill="auto"/>
            <w:vAlign w:val="center"/>
          </w:tcPr>
          <w:p w:rsidR="00BD4A3E" w:rsidRPr="00BD4A3E" w:rsidRDefault="00BD4A3E" w:rsidP="00BD4A3E">
            <w:pPr>
              <w:jc w:val="right"/>
              <w:rPr>
                <w:rFonts w:ascii="Arial" w:eastAsia="Calibri" w:hAnsi="Arial" w:cs="Arial"/>
                <w:sz w:val="22"/>
                <w:szCs w:val="22"/>
              </w:rPr>
            </w:pPr>
            <w:r>
              <w:rPr>
                <w:rFonts w:ascii="Arial" w:hAnsi="Arial"/>
                <w:sz w:val="22"/>
                <w:szCs w:val="22"/>
              </w:rPr>
              <w:t>2,283.53</w:t>
            </w:r>
          </w:p>
        </w:tc>
      </w:tr>
      <w:tr w:rsidR="00BD4A3E" w:rsidRPr="00BD4A3E" w:rsidTr="00BD4A3E">
        <w:tc>
          <w:tcPr>
            <w:tcW w:w="4307" w:type="dxa"/>
            <w:vMerge/>
            <w:shd w:val="clear" w:color="auto" w:fill="auto"/>
            <w:vAlign w:val="center"/>
          </w:tcPr>
          <w:p w:rsidR="00BD4A3E" w:rsidRPr="00BD4A3E" w:rsidRDefault="00BD4A3E" w:rsidP="00BD4A3E">
            <w:pPr>
              <w:rPr>
                <w:rFonts w:ascii="Arial" w:eastAsia="Calibri" w:hAnsi="Arial" w:cs="Arial"/>
                <w:sz w:val="22"/>
                <w:szCs w:val="22"/>
                <w:lang w:val="ro-RO"/>
              </w:rPr>
            </w:pPr>
          </w:p>
        </w:tc>
        <w:tc>
          <w:tcPr>
            <w:tcW w:w="2835" w:type="dxa"/>
            <w:shd w:val="clear" w:color="auto" w:fill="auto"/>
            <w:vAlign w:val="center"/>
          </w:tcPr>
          <w:p w:rsidR="00BD4A3E" w:rsidRPr="00BD4A3E" w:rsidRDefault="00BD4A3E" w:rsidP="00BD4A3E">
            <w:pPr>
              <w:jc w:val="center"/>
              <w:rPr>
                <w:rFonts w:ascii="Arial" w:eastAsia="Calibri" w:hAnsi="Arial" w:cs="Arial"/>
                <w:sz w:val="22"/>
                <w:szCs w:val="22"/>
              </w:rPr>
            </w:pPr>
            <w:r>
              <w:rPr>
                <w:rFonts w:ascii="Arial" w:hAnsi="Arial"/>
                <w:sz w:val="22"/>
                <w:szCs w:val="22"/>
              </w:rPr>
              <w:t>CF</w:t>
            </w:r>
          </w:p>
        </w:tc>
        <w:tc>
          <w:tcPr>
            <w:tcW w:w="2038" w:type="dxa"/>
            <w:shd w:val="clear" w:color="auto" w:fill="auto"/>
            <w:vAlign w:val="center"/>
          </w:tcPr>
          <w:p w:rsidR="00BD4A3E" w:rsidRPr="00BD4A3E" w:rsidRDefault="00BD4A3E" w:rsidP="00BD4A3E">
            <w:pPr>
              <w:jc w:val="right"/>
              <w:rPr>
                <w:rFonts w:ascii="Arial" w:eastAsia="Calibri" w:hAnsi="Arial" w:cs="Arial"/>
                <w:sz w:val="22"/>
                <w:szCs w:val="22"/>
              </w:rPr>
            </w:pPr>
            <w:r>
              <w:rPr>
                <w:rFonts w:ascii="Arial" w:hAnsi="Arial"/>
                <w:sz w:val="22"/>
                <w:szCs w:val="22"/>
              </w:rPr>
              <w:t>6,935.00</w:t>
            </w:r>
          </w:p>
        </w:tc>
      </w:tr>
      <w:tr w:rsidR="00BD4A3E" w:rsidRPr="00BD4A3E" w:rsidTr="00BD4A3E">
        <w:tc>
          <w:tcPr>
            <w:tcW w:w="4307" w:type="dxa"/>
            <w:shd w:val="clear" w:color="auto" w:fill="auto"/>
            <w:vAlign w:val="center"/>
          </w:tcPr>
          <w:p w:rsidR="00BD4A3E" w:rsidRPr="00BD4A3E" w:rsidRDefault="00BD4A3E" w:rsidP="00BD4A3E">
            <w:pPr>
              <w:rPr>
                <w:rFonts w:ascii="Arial" w:eastAsia="Calibri" w:hAnsi="Arial" w:cs="Arial"/>
                <w:sz w:val="22"/>
                <w:szCs w:val="22"/>
              </w:rPr>
            </w:pPr>
            <w:r>
              <w:rPr>
                <w:rFonts w:ascii="Arial" w:hAnsi="Arial"/>
                <w:sz w:val="22"/>
                <w:szCs w:val="22"/>
              </w:rPr>
              <w:t>National Rural Development Program</w:t>
            </w:r>
          </w:p>
        </w:tc>
        <w:tc>
          <w:tcPr>
            <w:tcW w:w="2835" w:type="dxa"/>
            <w:shd w:val="clear" w:color="auto" w:fill="auto"/>
            <w:vAlign w:val="center"/>
          </w:tcPr>
          <w:p w:rsidR="00BD4A3E" w:rsidRPr="00BD4A3E" w:rsidRDefault="00BD4A3E" w:rsidP="00BD4A3E">
            <w:pPr>
              <w:jc w:val="center"/>
              <w:rPr>
                <w:rFonts w:ascii="Arial" w:eastAsia="Calibri" w:hAnsi="Arial" w:cs="Arial"/>
                <w:sz w:val="22"/>
                <w:szCs w:val="22"/>
              </w:rPr>
            </w:pPr>
            <w:r>
              <w:rPr>
                <w:rFonts w:ascii="Arial" w:hAnsi="Arial"/>
                <w:sz w:val="22"/>
                <w:szCs w:val="22"/>
              </w:rPr>
              <w:t>EAFRD</w:t>
            </w:r>
          </w:p>
        </w:tc>
        <w:tc>
          <w:tcPr>
            <w:tcW w:w="2038" w:type="dxa"/>
            <w:shd w:val="clear" w:color="auto" w:fill="auto"/>
            <w:vAlign w:val="center"/>
          </w:tcPr>
          <w:p w:rsidR="00BD4A3E" w:rsidRPr="00BD4A3E" w:rsidRDefault="00BD4A3E" w:rsidP="00BD4A3E">
            <w:pPr>
              <w:jc w:val="right"/>
              <w:rPr>
                <w:rFonts w:ascii="Arial" w:eastAsia="Calibri" w:hAnsi="Arial" w:cs="Arial"/>
                <w:sz w:val="22"/>
                <w:szCs w:val="22"/>
              </w:rPr>
            </w:pPr>
            <w:r>
              <w:rPr>
                <w:rFonts w:ascii="Arial" w:hAnsi="Arial"/>
                <w:sz w:val="22"/>
                <w:szCs w:val="22"/>
              </w:rPr>
              <w:t>8,128.00</w:t>
            </w:r>
          </w:p>
        </w:tc>
      </w:tr>
      <w:tr w:rsidR="00BD4A3E" w:rsidRPr="00BD4A3E" w:rsidTr="00BD4A3E">
        <w:tc>
          <w:tcPr>
            <w:tcW w:w="4307" w:type="dxa"/>
            <w:shd w:val="clear" w:color="auto" w:fill="auto"/>
            <w:vAlign w:val="center"/>
          </w:tcPr>
          <w:p w:rsidR="00BD4A3E" w:rsidRPr="00BD4A3E" w:rsidRDefault="00BD4A3E" w:rsidP="00BD4A3E">
            <w:pPr>
              <w:rPr>
                <w:rFonts w:ascii="Arial" w:eastAsia="Calibri" w:hAnsi="Arial" w:cs="Arial"/>
                <w:sz w:val="22"/>
                <w:szCs w:val="22"/>
              </w:rPr>
            </w:pPr>
            <w:r>
              <w:rPr>
                <w:rFonts w:ascii="Arial" w:hAnsi="Arial"/>
                <w:sz w:val="22"/>
                <w:szCs w:val="22"/>
              </w:rPr>
              <w:t>PO Fishing</w:t>
            </w:r>
          </w:p>
        </w:tc>
        <w:tc>
          <w:tcPr>
            <w:tcW w:w="2835" w:type="dxa"/>
            <w:shd w:val="clear" w:color="auto" w:fill="auto"/>
            <w:vAlign w:val="center"/>
          </w:tcPr>
          <w:p w:rsidR="00BD4A3E" w:rsidRPr="00BD4A3E" w:rsidRDefault="00BD4A3E" w:rsidP="00BD4A3E">
            <w:pPr>
              <w:jc w:val="center"/>
              <w:rPr>
                <w:rFonts w:ascii="Arial" w:eastAsia="Calibri" w:hAnsi="Arial" w:cs="Arial"/>
                <w:sz w:val="22"/>
                <w:szCs w:val="22"/>
              </w:rPr>
            </w:pPr>
            <w:r>
              <w:rPr>
                <w:rFonts w:ascii="Arial" w:hAnsi="Arial"/>
                <w:sz w:val="22"/>
                <w:szCs w:val="22"/>
              </w:rPr>
              <w:t>EMFF</w:t>
            </w:r>
          </w:p>
        </w:tc>
        <w:tc>
          <w:tcPr>
            <w:tcW w:w="2038" w:type="dxa"/>
            <w:shd w:val="clear" w:color="auto" w:fill="auto"/>
            <w:vAlign w:val="center"/>
          </w:tcPr>
          <w:p w:rsidR="00BD4A3E" w:rsidRPr="00BD4A3E" w:rsidRDefault="00BD4A3E" w:rsidP="00BD4A3E">
            <w:pPr>
              <w:jc w:val="right"/>
              <w:rPr>
                <w:rFonts w:ascii="Arial" w:eastAsia="Calibri" w:hAnsi="Arial" w:cs="Arial"/>
                <w:sz w:val="22"/>
                <w:szCs w:val="22"/>
              </w:rPr>
            </w:pPr>
            <w:r>
              <w:rPr>
                <w:rFonts w:ascii="Arial" w:hAnsi="Arial"/>
                <w:sz w:val="22"/>
                <w:szCs w:val="22"/>
              </w:rPr>
              <w:t>168.42</w:t>
            </w:r>
          </w:p>
        </w:tc>
      </w:tr>
    </w:tbl>
    <w:p w:rsidR="00BD4A3E" w:rsidRPr="00BD4A3E" w:rsidRDefault="00BD4A3E" w:rsidP="00BD4A3E">
      <w:pPr>
        <w:suppressAutoHyphens/>
        <w:spacing w:before="120" w:after="120"/>
        <w:jc w:val="both"/>
        <w:rPr>
          <w:rFonts w:ascii="Calibri" w:hAnsi="Calibri" w:cs="Arial"/>
        </w:rPr>
      </w:pPr>
      <w:r>
        <w:rPr>
          <w:rFonts w:ascii="Calibri" w:hAnsi="Calibri"/>
        </w:rPr>
        <w:tab/>
        <w:t xml:space="preserve">The Operational Programs supported through the ESIF 2014-2020 are supplemented by the Operational Program of Aid for the Most Deprived, with financing from the Fund for European Aid to the Most Deprived (FEAMD), with a total allocation of 519 million EUR (of which the EU contribution is of 441 million EUR) for the period 2014-2020 and the European Territorial Cooperation Programs, with a total allocation of approx. 787 (of which the EU contribution is of approx. 670 million EUR) million EUR from funds corresponding to the objective of European territorial cooperation.   </w:t>
      </w:r>
    </w:p>
    <w:p w:rsidR="00BD4A3E" w:rsidRPr="00BD4A3E" w:rsidRDefault="00BD4A3E" w:rsidP="00BD4A3E">
      <w:pPr>
        <w:suppressAutoHyphens/>
        <w:spacing w:before="120" w:after="120"/>
        <w:ind w:firstLine="709"/>
        <w:jc w:val="both"/>
        <w:rPr>
          <w:rFonts w:ascii="Calibri" w:hAnsi="Calibri" w:cs="Arial"/>
        </w:rPr>
      </w:pPr>
      <w:r>
        <w:rPr>
          <w:rFonts w:ascii="Calibri" w:hAnsi="Calibri"/>
        </w:rPr>
        <w:t>In order to ensure complementarity and capitalization of the synergies between the interventions which will be financed from the different ESI funds, it is important to ensure good coordination between in the implementation stage of the interventions.</w:t>
      </w:r>
    </w:p>
    <w:p w:rsidR="00BD4A3E" w:rsidRPr="00BD4A3E" w:rsidRDefault="00BD4A3E" w:rsidP="00BD4A3E">
      <w:pPr>
        <w:suppressAutoHyphens/>
        <w:spacing w:before="120" w:after="120"/>
        <w:ind w:firstLine="709"/>
        <w:jc w:val="both"/>
        <w:rPr>
          <w:rFonts w:ascii="Calibri" w:hAnsi="Calibri" w:cs="Arial"/>
        </w:rPr>
      </w:pPr>
      <w:r>
        <w:rPr>
          <w:rFonts w:ascii="Calibri" w:hAnsi="Calibri"/>
        </w:rPr>
        <w:t xml:space="preserve">Based on the lessons learned between 2007 and 2013 and on the new challenges brought by the specific architecture of the funds for 2014-2020, it is considered the development of a coordination mechanism with structures on 3 levels (strategic coordination, coordination at thematic level and at operational level), as it was established through the Partnership Agreement. </w:t>
      </w:r>
    </w:p>
    <w:p w:rsidR="00BD4A3E" w:rsidRPr="00BD4A3E" w:rsidRDefault="00BD4A3E" w:rsidP="00BD4A3E">
      <w:pPr>
        <w:suppressAutoHyphens/>
        <w:spacing w:before="120" w:after="120"/>
        <w:ind w:firstLine="709"/>
        <w:jc w:val="both"/>
        <w:rPr>
          <w:rFonts w:ascii="Calibri" w:hAnsi="Calibri" w:cs="Arial"/>
          <w:b/>
        </w:rPr>
      </w:pPr>
      <w:r>
        <w:rPr>
          <w:rFonts w:ascii="Calibri" w:hAnsi="Calibri"/>
        </w:rPr>
        <w:t>The role of this mechanism is to ensure strategic coordination and complementarity of the interventions throughout the implementation of programs financed from ESIF, seeking at the same time the coherence, synergies and delimitation with other national and European programs/instruments.</w:t>
      </w:r>
    </w:p>
    <w:p w:rsidR="00BD4A3E" w:rsidRPr="00BD4A3E" w:rsidRDefault="00BD4A3E" w:rsidP="00BD4A3E">
      <w:pPr>
        <w:spacing w:before="120" w:after="120"/>
        <w:rPr>
          <w:rFonts w:ascii="Calibri" w:hAnsi="Calibri" w:cs="Arial"/>
          <w:b/>
          <w:lang w:val="ro-RO"/>
        </w:rPr>
        <w:sectPr w:rsidR="00BD4A3E" w:rsidRPr="00BD4A3E" w:rsidSect="00E73550">
          <w:headerReference w:type="default" r:id="rId33"/>
          <w:footerReference w:type="even" r:id="rId34"/>
          <w:footerReference w:type="default" r:id="rId35"/>
          <w:footerReference w:type="first" r:id="rId36"/>
          <w:pgSz w:w="11906" w:h="16838" w:code="9"/>
          <w:pgMar w:top="720" w:right="907" w:bottom="902" w:left="1134" w:header="709" w:footer="709" w:gutter="0"/>
          <w:pgNumType w:start="1"/>
          <w:cols w:space="720"/>
          <w:docGrid w:linePitch="360"/>
        </w:sectPr>
      </w:pPr>
    </w:p>
    <w:p w:rsidR="00BD4A3E" w:rsidRPr="00BD4A3E" w:rsidRDefault="00BD4A3E" w:rsidP="00BD4A3E">
      <w:pPr>
        <w:keepNext/>
        <w:widowControl w:val="0"/>
        <w:spacing w:after="120"/>
        <w:ind w:left="720"/>
        <w:jc w:val="both"/>
        <w:outlineLvl w:val="3"/>
        <w:rPr>
          <w:rFonts w:ascii="Calibri" w:hAnsi="Calibri"/>
          <w:b/>
          <w:szCs w:val="20"/>
        </w:rPr>
      </w:pPr>
      <w:r>
        <w:rPr>
          <w:rFonts w:ascii="Calibri" w:hAnsi="Calibri"/>
          <w:b/>
          <w:szCs w:val="20"/>
        </w:rPr>
        <w:t>2.5.1 Amounts allocated to Romania for the multi-annual financial framework for 2014-2020, in total, on years and operational programs</w:t>
      </w:r>
    </w:p>
    <w:p w:rsidR="00BD4A3E" w:rsidRPr="00BD4A3E" w:rsidRDefault="00BD4A3E" w:rsidP="00BD4A3E">
      <w:pPr>
        <w:widowControl w:val="0"/>
        <w:overflowPunct w:val="0"/>
        <w:autoSpaceDE w:val="0"/>
        <w:autoSpaceDN w:val="0"/>
        <w:adjustRightInd w:val="0"/>
        <w:spacing w:before="120" w:after="120"/>
        <w:ind w:left="13120" w:right="20" w:firstLine="560"/>
        <w:jc w:val="both"/>
        <w:rPr>
          <w:rFonts w:ascii="Calibri" w:hAnsi="Calibri" w:cs="Arial"/>
          <w:b/>
          <w:bCs/>
        </w:rPr>
      </w:pPr>
      <w:r>
        <w:rPr>
          <w:rFonts w:ascii="Calibri" w:hAnsi="Calibri"/>
          <w:b/>
        </w:rPr>
        <w:t>million EUR</w:t>
      </w:r>
    </w:p>
    <w:tbl>
      <w:tblPr>
        <w:tblW w:w="14755" w:type="dxa"/>
        <w:tblInd w:w="93" w:type="dxa"/>
        <w:tblLayout w:type="fixed"/>
        <w:tblLook w:val="04A0" w:firstRow="1" w:lastRow="0" w:firstColumn="1" w:lastColumn="0" w:noHBand="0" w:noVBand="1"/>
      </w:tblPr>
      <w:tblGrid>
        <w:gridCol w:w="2992"/>
        <w:gridCol w:w="2126"/>
        <w:gridCol w:w="1134"/>
        <w:gridCol w:w="1276"/>
        <w:gridCol w:w="1276"/>
        <w:gridCol w:w="1134"/>
        <w:gridCol w:w="1276"/>
        <w:gridCol w:w="1275"/>
        <w:gridCol w:w="1134"/>
        <w:gridCol w:w="1132"/>
      </w:tblGrid>
      <w:tr w:rsidR="00BD4A3E" w:rsidRPr="00BD4A3E" w:rsidTr="00BD4A3E">
        <w:trPr>
          <w:trHeight w:val="422"/>
        </w:trPr>
        <w:tc>
          <w:tcPr>
            <w:tcW w:w="299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D4A3E" w:rsidRPr="00BD4A3E" w:rsidRDefault="00BD4A3E" w:rsidP="00BD4A3E">
            <w:pPr>
              <w:jc w:val="center"/>
              <w:rPr>
                <w:rFonts w:ascii="Calibri" w:hAnsi="Calibri" w:cs="Arial"/>
                <w:b/>
                <w:bCs/>
                <w:sz w:val="22"/>
                <w:szCs w:val="22"/>
              </w:rPr>
            </w:pPr>
            <w:bookmarkStart w:id="4" w:name="page154"/>
            <w:bookmarkEnd w:id="4"/>
            <w:r>
              <w:rPr>
                <w:rFonts w:ascii="Calibri" w:hAnsi="Calibri"/>
                <w:b/>
                <w:bCs/>
                <w:sz w:val="22"/>
                <w:szCs w:val="22"/>
              </w:rPr>
              <w:t>Program</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ESI funds</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Total</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2014</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2015</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2016</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2017</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2018</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2019</w:t>
            </w:r>
          </w:p>
        </w:tc>
        <w:tc>
          <w:tcPr>
            <w:tcW w:w="1132"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2020</w:t>
            </w:r>
          </w:p>
        </w:tc>
      </w:tr>
      <w:tr w:rsidR="00BD4A3E" w:rsidRPr="00BD4A3E" w:rsidTr="00BD4A3E">
        <w:trPr>
          <w:trHeight w:val="422"/>
        </w:trPr>
        <w:tc>
          <w:tcPr>
            <w:tcW w:w="299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PO Large Infrastructure</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ERDF</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2,283.53</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0</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593.27</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324.66</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333.05</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180.35</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420.24</w:t>
            </w:r>
          </w:p>
        </w:tc>
        <w:tc>
          <w:tcPr>
            <w:tcW w:w="1132"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431.96</w:t>
            </w:r>
          </w:p>
        </w:tc>
      </w:tr>
      <w:tr w:rsidR="00BD4A3E" w:rsidRPr="00BD4A3E" w:rsidTr="00BD4A3E">
        <w:trPr>
          <w:trHeight w:val="422"/>
        </w:trPr>
        <w:tc>
          <w:tcPr>
            <w:tcW w:w="299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D4A3E" w:rsidRPr="00BD4A3E" w:rsidRDefault="00BD4A3E" w:rsidP="00BD4A3E">
            <w:pPr>
              <w:jc w:val="center"/>
              <w:rPr>
                <w:rFonts w:ascii="Calibri" w:hAnsi="Calibri" w:cs="Arial"/>
                <w:b/>
                <w:bCs/>
                <w:sz w:val="22"/>
                <w:szCs w:val="22"/>
                <w:lang w:val="ro-RO"/>
              </w:rPr>
            </w:pP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CF</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6,935.00</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0</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1,710.04</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949.84</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999.90</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1,046.79</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1,093.83</w:t>
            </w:r>
          </w:p>
        </w:tc>
        <w:tc>
          <w:tcPr>
            <w:tcW w:w="1132"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1,134.60</w:t>
            </w:r>
          </w:p>
        </w:tc>
      </w:tr>
      <w:tr w:rsidR="00BD4A3E" w:rsidRPr="00BD4A3E" w:rsidTr="00BD4A3E">
        <w:trPr>
          <w:trHeight w:val="422"/>
        </w:trPr>
        <w:tc>
          <w:tcPr>
            <w:tcW w:w="299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PO Human Capital</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ESF</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4,220.84</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503.64</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538.84</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577.38</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607.53</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636.80</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664.94</w:t>
            </w:r>
          </w:p>
        </w:tc>
        <w:tc>
          <w:tcPr>
            <w:tcW w:w="1132"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691.72</w:t>
            </w:r>
          </w:p>
        </w:tc>
      </w:tr>
      <w:tr w:rsidR="00BD4A3E" w:rsidRPr="00BD4A3E" w:rsidTr="00BD4A3E">
        <w:trPr>
          <w:trHeight w:val="422"/>
        </w:trPr>
        <w:tc>
          <w:tcPr>
            <w:tcW w:w="299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POAD</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FEAMD</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441.01</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99.04</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54.63</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44.5</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61.86</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63.24</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75.37</w:t>
            </w:r>
          </w:p>
        </w:tc>
        <w:tc>
          <w:tcPr>
            <w:tcW w:w="1132"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42.37</w:t>
            </w:r>
          </w:p>
        </w:tc>
      </w:tr>
      <w:tr w:rsidR="00BD4A3E" w:rsidRPr="00BD4A3E" w:rsidTr="00BD4A3E">
        <w:trPr>
          <w:trHeight w:val="422"/>
        </w:trPr>
        <w:tc>
          <w:tcPr>
            <w:tcW w:w="299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Initiative “Jobs for the youth” (special allocation)</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Initiative “Jobs for the youth”</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151.11</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59.55</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46.45</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0</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18.80</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8.77</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8.77</w:t>
            </w:r>
          </w:p>
        </w:tc>
        <w:tc>
          <w:tcPr>
            <w:tcW w:w="1132"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8.77</w:t>
            </w:r>
          </w:p>
        </w:tc>
      </w:tr>
      <w:tr w:rsidR="00BD4A3E" w:rsidRPr="00BD4A3E" w:rsidTr="00BD4A3E">
        <w:trPr>
          <w:trHeight w:val="422"/>
        </w:trPr>
        <w:tc>
          <w:tcPr>
            <w:tcW w:w="299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PO Administrative Capacity</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ESF</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553.2</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67.22</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71.39</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75.93</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79.53</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83.04</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86.43</w:t>
            </w:r>
          </w:p>
        </w:tc>
        <w:tc>
          <w:tcPr>
            <w:tcW w:w="1132"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89.66</w:t>
            </w:r>
          </w:p>
        </w:tc>
      </w:tr>
      <w:tr w:rsidR="00BD4A3E" w:rsidRPr="00BD4A3E" w:rsidTr="00BD4A3E">
        <w:trPr>
          <w:trHeight w:val="422"/>
        </w:trPr>
        <w:tc>
          <w:tcPr>
            <w:tcW w:w="299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Operational Program of Competitiveness</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ERDF</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1,329.79</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156.53</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168.18</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171.39</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184.73</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201.79</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210.67</w:t>
            </w:r>
          </w:p>
        </w:tc>
        <w:tc>
          <w:tcPr>
            <w:tcW w:w="1132"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236.50</w:t>
            </w:r>
          </w:p>
        </w:tc>
      </w:tr>
      <w:tr w:rsidR="00BD4A3E" w:rsidRPr="00BD4A3E" w:rsidTr="00BD4A3E">
        <w:trPr>
          <w:trHeight w:val="422"/>
        </w:trPr>
        <w:tc>
          <w:tcPr>
            <w:tcW w:w="299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PO Technical Assistance</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ERDF</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252.76</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21.28</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31.91</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28.92</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31.91</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71.92</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31.91</w:t>
            </w:r>
          </w:p>
        </w:tc>
        <w:tc>
          <w:tcPr>
            <w:tcW w:w="1132"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34.91</w:t>
            </w:r>
          </w:p>
        </w:tc>
      </w:tr>
      <w:tr w:rsidR="00BD4A3E" w:rsidRPr="00BD4A3E" w:rsidTr="00BD4A3E">
        <w:trPr>
          <w:trHeight w:val="422"/>
        </w:trPr>
        <w:tc>
          <w:tcPr>
            <w:tcW w:w="299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PO Regional</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ERDF</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6,860.00</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0</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1,671.14</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941.4</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994.5</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1,165.65</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1,029.44</w:t>
            </w:r>
          </w:p>
        </w:tc>
        <w:tc>
          <w:tcPr>
            <w:tcW w:w="1132"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1,057.87</w:t>
            </w:r>
          </w:p>
        </w:tc>
      </w:tr>
      <w:tr w:rsidR="00BD4A3E" w:rsidRPr="00BD4A3E" w:rsidTr="00BD4A3E">
        <w:trPr>
          <w:trHeight w:val="422"/>
        </w:trPr>
        <w:tc>
          <w:tcPr>
            <w:tcW w:w="299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PNDR</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EAFRD</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8,128.00</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0</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1,723.26</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1,751.61</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1,186.54</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1,184.73</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1,141.93</w:t>
            </w:r>
          </w:p>
        </w:tc>
        <w:tc>
          <w:tcPr>
            <w:tcW w:w="1132"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1,139.93</w:t>
            </w:r>
          </w:p>
        </w:tc>
      </w:tr>
      <w:tr w:rsidR="00BD4A3E" w:rsidRPr="00BD4A3E" w:rsidTr="00BD4A3E">
        <w:trPr>
          <w:trHeight w:val="422"/>
        </w:trPr>
        <w:tc>
          <w:tcPr>
            <w:tcW w:w="299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POPAM</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EMFF</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168.42</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0</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46.47</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23.59</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23.98</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24.53</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24.7</w:t>
            </w:r>
          </w:p>
        </w:tc>
        <w:tc>
          <w:tcPr>
            <w:tcW w:w="1132"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25.15</w:t>
            </w:r>
          </w:p>
        </w:tc>
      </w:tr>
      <w:tr w:rsidR="00BD4A3E" w:rsidRPr="00BD4A3E" w:rsidTr="00BD4A3E">
        <w:trPr>
          <w:trHeight w:val="422"/>
        </w:trPr>
        <w:tc>
          <w:tcPr>
            <w:tcW w:w="299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TOTAL</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 </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31,323.66</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907.26</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6,655.57</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4,889.21</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4,522.34</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4,667.61</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4,788.23</w:t>
            </w:r>
          </w:p>
        </w:tc>
        <w:tc>
          <w:tcPr>
            <w:tcW w:w="1132" w:type="dxa"/>
            <w:tcBorders>
              <w:top w:val="single" w:sz="8"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center"/>
              <w:rPr>
                <w:rFonts w:ascii="Calibri" w:hAnsi="Calibri" w:cs="Arial"/>
                <w:b/>
                <w:bCs/>
                <w:sz w:val="22"/>
                <w:szCs w:val="22"/>
              </w:rPr>
            </w:pPr>
            <w:r>
              <w:rPr>
                <w:rFonts w:ascii="Calibri" w:hAnsi="Calibri"/>
                <w:b/>
                <w:bCs/>
                <w:sz w:val="22"/>
                <w:szCs w:val="22"/>
              </w:rPr>
              <w:t>4,893.44</w:t>
            </w:r>
          </w:p>
        </w:tc>
      </w:tr>
    </w:tbl>
    <w:p w:rsidR="00BD4A3E" w:rsidRPr="00BD4A3E" w:rsidRDefault="00BD4A3E" w:rsidP="00BD4A3E">
      <w:pPr>
        <w:spacing w:before="120" w:after="120"/>
        <w:jc w:val="both"/>
        <w:rPr>
          <w:rFonts w:ascii="Calibri" w:hAnsi="Calibri" w:cs="Arial"/>
          <w:b/>
        </w:rPr>
      </w:pPr>
    </w:p>
    <w:p w:rsidR="00BD4A3E" w:rsidRPr="00BD4A3E" w:rsidRDefault="00BD4A3E" w:rsidP="00BD4A3E">
      <w:pPr>
        <w:spacing w:before="120" w:after="120"/>
        <w:jc w:val="both"/>
        <w:rPr>
          <w:rFonts w:ascii="Calibri" w:hAnsi="Calibri" w:cs="Arial"/>
          <w:b/>
        </w:rPr>
        <w:sectPr w:rsidR="00BD4A3E" w:rsidRPr="00BD4A3E" w:rsidSect="00E73550">
          <w:headerReference w:type="default" r:id="rId37"/>
          <w:footerReference w:type="even" r:id="rId38"/>
          <w:footerReference w:type="default" r:id="rId39"/>
          <w:footerReference w:type="first" r:id="rId40"/>
          <w:pgSz w:w="16838" w:h="11906" w:orient="landscape" w:code="9"/>
          <w:pgMar w:top="1134" w:right="720" w:bottom="924" w:left="902" w:header="709" w:footer="709" w:gutter="0"/>
          <w:cols w:space="720"/>
          <w:docGrid w:linePitch="360"/>
        </w:sectPr>
      </w:pPr>
    </w:p>
    <w:p w:rsidR="00BD4A3E" w:rsidRPr="00BD4A3E" w:rsidRDefault="00BD4A3E" w:rsidP="00BD4A3E">
      <w:pPr>
        <w:keepNext/>
        <w:widowControl w:val="0"/>
        <w:spacing w:after="120"/>
        <w:jc w:val="both"/>
        <w:outlineLvl w:val="3"/>
        <w:rPr>
          <w:rFonts w:ascii="Calibri" w:hAnsi="Calibri"/>
          <w:szCs w:val="20"/>
        </w:rPr>
      </w:pPr>
      <w:r>
        <w:rPr>
          <w:rFonts w:ascii="Calibri" w:hAnsi="Calibri"/>
          <w:b/>
          <w:i/>
          <w:szCs w:val="20"/>
        </w:rPr>
        <w:t>2.5.2 Programs managed by Romania between 2014 and 2020, through the MEF</w:t>
      </w:r>
      <w:r w:rsidRPr="00BD4A3E">
        <w:rPr>
          <w:rFonts w:ascii="Calibri" w:hAnsi="Calibri" w:cs="Arial"/>
          <w:b/>
          <w:i/>
          <w:iCs/>
          <w:sz w:val="22"/>
          <w:szCs w:val="22"/>
          <w:vertAlign w:val="superscript"/>
          <w:lang w:val="ro-RO"/>
        </w:rPr>
        <w:footnoteReference w:id="27"/>
      </w:r>
      <w:r>
        <w:rPr>
          <w:rFonts w:ascii="Calibri" w:hAnsi="Calibri"/>
          <w:b/>
          <w:i/>
          <w:szCs w:val="20"/>
        </w:rPr>
        <w:t>:</w:t>
      </w:r>
    </w:p>
    <w:p w:rsidR="00BD4A3E" w:rsidRPr="00BD4A3E" w:rsidRDefault="00BD4A3E" w:rsidP="00BD4A3E">
      <w:pPr>
        <w:keepLines/>
        <w:spacing w:before="40" w:beforeAutospacing="1" w:after="100" w:afterAutospacing="1"/>
        <w:ind w:left="720" w:hanging="360"/>
        <w:jc w:val="both"/>
        <w:outlineLvl w:val="2"/>
        <w:rPr>
          <w:rFonts w:ascii="Calibri" w:hAnsi="Calibri"/>
          <w:b/>
          <w:i/>
          <w:iCs/>
        </w:rPr>
      </w:pPr>
      <w:r>
        <w:rPr>
          <w:rFonts w:ascii="Calibri" w:hAnsi="Calibri"/>
          <w:b/>
          <w:i/>
          <w:iCs/>
        </w:rPr>
        <w:t>2.5.2.1 Operational Program of Large Infrastructure (POIM)</w:t>
      </w:r>
      <w:r w:rsidRPr="00BD4A3E">
        <w:rPr>
          <w:rFonts w:ascii="Calibri" w:hAnsi="Calibri" w:cs="Arial"/>
          <w:bCs/>
          <w:vertAlign w:val="superscript"/>
        </w:rPr>
        <w:footnoteReference w:id="28"/>
      </w:r>
    </w:p>
    <w:p w:rsidR="00BD4A3E" w:rsidRPr="00BD4A3E" w:rsidRDefault="00BD4A3E" w:rsidP="00BD4A3E">
      <w:pPr>
        <w:tabs>
          <w:tab w:val="left" w:pos="1080"/>
        </w:tabs>
        <w:spacing w:before="120" w:after="120"/>
        <w:jc w:val="both"/>
        <w:rPr>
          <w:rFonts w:ascii="Calibri" w:hAnsi="Calibri" w:cs="Arial"/>
          <w:bCs/>
        </w:rPr>
      </w:pPr>
      <w:r>
        <w:rPr>
          <w:rFonts w:ascii="Calibri" w:hAnsi="Calibri"/>
          <w:bCs/>
        </w:rPr>
        <w:t xml:space="preserve">The general objective of POIM is the Development of the transport infrastructure, environment, energy and preventing risks at European standards, in order to create the assumptions for sustainable economic growth, under conditions of safety and efficient use of natural resources. The total </w:t>
      </w:r>
      <w:r>
        <w:rPr>
          <w:rFonts w:ascii="Calibri" w:hAnsi="Calibri"/>
          <w:b/>
          <w:bCs/>
        </w:rPr>
        <w:t>budget</w:t>
      </w:r>
      <w:r>
        <w:rPr>
          <w:rFonts w:ascii="Calibri" w:hAnsi="Calibri"/>
          <w:bCs/>
        </w:rPr>
        <w:t xml:space="preserve"> of POIM is of </w:t>
      </w:r>
      <w:r>
        <w:rPr>
          <w:rFonts w:ascii="Calibri" w:hAnsi="Calibri"/>
          <w:b/>
          <w:bCs/>
        </w:rPr>
        <w:t>11.63 billion EUR</w:t>
      </w:r>
      <w:r>
        <w:rPr>
          <w:rFonts w:ascii="Calibri" w:hAnsi="Calibri"/>
          <w:bCs/>
        </w:rPr>
        <w:t>, of which 9.22 billion EUR is the EU contribution (including the performance reserve). According to the version approved by the EC, the POIM will finance investments from different fields, through the following priority axes (PA):</w:t>
      </w:r>
    </w:p>
    <w:p w:rsidR="00BD4A3E" w:rsidRPr="00BD4A3E" w:rsidRDefault="00BD4A3E" w:rsidP="00BD4A3E">
      <w:pPr>
        <w:tabs>
          <w:tab w:val="left" w:pos="426"/>
        </w:tabs>
        <w:spacing w:before="120" w:after="120"/>
        <w:ind w:left="360"/>
        <w:jc w:val="both"/>
        <w:rPr>
          <w:rFonts w:ascii="Calibri" w:eastAsia="Calibri" w:hAnsi="Calibri" w:cs="Arial"/>
          <w:bCs/>
          <w:iCs/>
        </w:rPr>
      </w:pPr>
      <w:r>
        <w:rPr>
          <w:rFonts w:ascii="Calibri" w:hAnsi="Calibri"/>
          <w:bCs/>
          <w:iCs/>
        </w:rPr>
        <w:t xml:space="preserve">PA1 - Improving mobility through development of the central TEN-T network and of the metro </w:t>
      </w:r>
    </w:p>
    <w:p w:rsidR="00BD4A3E" w:rsidRPr="00BD4A3E" w:rsidRDefault="00BD4A3E" w:rsidP="00BD4A3E">
      <w:pPr>
        <w:tabs>
          <w:tab w:val="left" w:pos="426"/>
        </w:tabs>
        <w:spacing w:before="120" w:after="120"/>
        <w:ind w:left="360"/>
        <w:jc w:val="both"/>
        <w:rPr>
          <w:rFonts w:ascii="Calibri" w:eastAsia="Calibri" w:hAnsi="Calibri" w:cs="Arial"/>
          <w:bCs/>
          <w:iCs/>
        </w:rPr>
      </w:pPr>
      <w:r>
        <w:rPr>
          <w:rFonts w:ascii="Calibri" w:hAnsi="Calibri"/>
          <w:bCs/>
          <w:iCs/>
        </w:rPr>
        <w:t xml:space="preserve">PA2 - Developing a qualitative, durable and efficient multi-modal transport system </w:t>
      </w:r>
    </w:p>
    <w:p w:rsidR="00BD4A3E" w:rsidRPr="00BD4A3E" w:rsidRDefault="00BD4A3E" w:rsidP="00BD4A3E">
      <w:pPr>
        <w:tabs>
          <w:tab w:val="left" w:pos="426"/>
        </w:tabs>
        <w:spacing w:before="120" w:after="120"/>
        <w:ind w:left="360"/>
        <w:jc w:val="both"/>
        <w:rPr>
          <w:rFonts w:ascii="Calibri" w:eastAsia="Calibri" w:hAnsi="Calibri" w:cs="Arial"/>
          <w:bCs/>
          <w:iCs/>
        </w:rPr>
      </w:pPr>
      <w:r>
        <w:rPr>
          <w:rFonts w:ascii="Calibri" w:hAnsi="Calibri"/>
          <w:bCs/>
          <w:iCs/>
        </w:rPr>
        <w:t xml:space="preserve">PA3 - Developing the environmental infrastructure under conditions of efficient resource management </w:t>
      </w:r>
    </w:p>
    <w:p w:rsidR="00BD4A3E" w:rsidRPr="00BD4A3E" w:rsidRDefault="00BD4A3E" w:rsidP="00BD4A3E">
      <w:pPr>
        <w:tabs>
          <w:tab w:val="left" w:pos="426"/>
        </w:tabs>
        <w:spacing w:before="120" w:after="120"/>
        <w:ind w:left="360"/>
        <w:jc w:val="both"/>
        <w:rPr>
          <w:rFonts w:ascii="Calibri" w:eastAsia="Calibri" w:hAnsi="Calibri" w:cs="Arial"/>
          <w:bCs/>
          <w:iCs/>
        </w:rPr>
      </w:pPr>
      <w:r>
        <w:rPr>
          <w:rFonts w:ascii="Calibri" w:hAnsi="Calibri"/>
          <w:bCs/>
          <w:iCs/>
        </w:rPr>
        <w:t xml:space="preserve">PA4 - Environmental protection through measures of conservation of biodiversity, monitoring air quality and decontamination of historically polluted sites </w:t>
      </w:r>
    </w:p>
    <w:p w:rsidR="00BD4A3E" w:rsidRPr="00BD4A3E" w:rsidRDefault="00BD4A3E" w:rsidP="00BD4A3E">
      <w:pPr>
        <w:tabs>
          <w:tab w:val="left" w:pos="426"/>
        </w:tabs>
        <w:spacing w:before="120" w:after="120"/>
        <w:ind w:left="360"/>
        <w:jc w:val="both"/>
        <w:rPr>
          <w:rFonts w:ascii="Calibri" w:eastAsia="Calibri" w:hAnsi="Calibri" w:cs="Arial"/>
          <w:bCs/>
          <w:iCs/>
        </w:rPr>
      </w:pPr>
      <w:r>
        <w:rPr>
          <w:rFonts w:ascii="Calibri" w:hAnsi="Calibri"/>
          <w:bCs/>
          <w:iCs/>
        </w:rPr>
        <w:t xml:space="preserve">PA5 - Promoting adaptation to climate change, prevention and risk management </w:t>
      </w:r>
    </w:p>
    <w:p w:rsidR="00BD4A3E" w:rsidRPr="00BD4A3E" w:rsidRDefault="00BD4A3E" w:rsidP="00BD4A3E">
      <w:pPr>
        <w:tabs>
          <w:tab w:val="left" w:pos="426"/>
        </w:tabs>
        <w:spacing w:before="120" w:after="120"/>
        <w:ind w:left="360"/>
        <w:jc w:val="both"/>
        <w:rPr>
          <w:rFonts w:ascii="Calibri" w:eastAsia="Calibri" w:hAnsi="Calibri" w:cs="Arial"/>
          <w:bCs/>
          <w:iCs/>
        </w:rPr>
      </w:pPr>
      <w:r>
        <w:rPr>
          <w:rFonts w:ascii="Calibri" w:hAnsi="Calibri"/>
          <w:bCs/>
          <w:iCs/>
        </w:rPr>
        <w:t xml:space="preserve">PA6 - Promoting clean energy and energy efficiency in order to support an economy with low carbon emissions </w:t>
      </w:r>
    </w:p>
    <w:p w:rsidR="00BD4A3E" w:rsidRPr="00BD4A3E" w:rsidRDefault="00BD4A3E" w:rsidP="00BD4A3E">
      <w:pPr>
        <w:tabs>
          <w:tab w:val="left" w:pos="426"/>
        </w:tabs>
        <w:spacing w:before="120" w:after="120"/>
        <w:ind w:left="360"/>
        <w:jc w:val="both"/>
        <w:rPr>
          <w:rFonts w:ascii="Calibri" w:eastAsia="Calibri" w:hAnsi="Calibri" w:cs="Arial"/>
          <w:bCs/>
          <w:iCs/>
        </w:rPr>
      </w:pPr>
      <w:r>
        <w:rPr>
          <w:rFonts w:ascii="Calibri" w:hAnsi="Calibri"/>
          <w:bCs/>
          <w:iCs/>
        </w:rPr>
        <w:t>PA7 - Increasing the energy efficiency in the centralized heating system in the selected cities</w:t>
      </w:r>
    </w:p>
    <w:p w:rsidR="00BD4A3E" w:rsidRPr="00BD4A3E" w:rsidRDefault="00BD4A3E" w:rsidP="00BD4A3E">
      <w:pPr>
        <w:tabs>
          <w:tab w:val="left" w:pos="426"/>
        </w:tabs>
        <w:spacing w:before="120" w:after="120"/>
        <w:ind w:left="360"/>
        <w:jc w:val="both"/>
        <w:rPr>
          <w:rFonts w:ascii="Calibri" w:eastAsia="Calibri" w:hAnsi="Calibri" w:cs="Arial"/>
          <w:bCs/>
          <w:iCs/>
        </w:rPr>
      </w:pPr>
      <w:r>
        <w:rPr>
          <w:rFonts w:ascii="Calibri" w:hAnsi="Calibri"/>
          <w:bCs/>
          <w:iCs/>
        </w:rPr>
        <w:t>PA8 - Smart and sustainable electricity and natural gas transmission systems</w:t>
      </w:r>
    </w:p>
    <w:p w:rsidR="00BD4A3E" w:rsidRPr="00BD4A3E" w:rsidRDefault="00BD4A3E" w:rsidP="00BD4A3E">
      <w:pPr>
        <w:keepLines/>
        <w:spacing w:before="40" w:beforeAutospacing="1" w:after="100" w:afterAutospacing="1"/>
        <w:ind w:left="720" w:hanging="360"/>
        <w:jc w:val="both"/>
        <w:outlineLvl w:val="2"/>
        <w:rPr>
          <w:rFonts w:ascii="Calibri" w:hAnsi="Calibri"/>
          <w:b/>
          <w:i/>
          <w:iCs/>
        </w:rPr>
      </w:pPr>
      <w:r>
        <w:rPr>
          <w:rFonts w:ascii="Calibri" w:hAnsi="Calibri"/>
          <w:b/>
          <w:i/>
          <w:iCs/>
        </w:rPr>
        <w:t>2.5.2.2 Operational Program of Human Capital (POCU</w:t>
      </w:r>
      <w:r>
        <w:rPr>
          <w:rFonts w:ascii="Calibri" w:hAnsi="Calibri"/>
          <w:bCs/>
          <w:vertAlign w:val="superscript"/>
        </w:rPr>
        <w:t xml:space="preserve">) </w:t>
      </w:r>
      <w:r w:rsidRPr="00BD4A3E">
        <w:rPr>
          <w:rFonts w:ascii="Calibri" w:hAnsi="Calibri" w:cs="Arial"/>
          <w:bCs/>
          <w:vertAlign w:val="superscript"/>
        </w:rPr>
        <w:footnoteReference w:id="29"/>
      </w:r>
    </w:p>
    <w:p w:rsidR="00BD4A3E" w:rsidRPr="00BD4A3E" w:rsidRDefault="00BD4A3E" w:rsidP="00BD4A3E">
      <w:pPr>
        <w:tabs>
          <w:tab w:val="left" w:pos="3195"/>
        </w:tabs>
        <w:spacing w:before="120" w:after="120"/>
        <w:jc w:val="both"/>
        <w:rPr>
          <w:rFonts w:ascii="Calibri" w:eastAsia="Calibri" w:hAnsi="Calibri" w:cs="Arial"/>
          <w:bCs/>
          <w:iCs/>
        </w:rPr>
      </w:pPr>
      <w:r>
        <w:rPr>
          <w:rFonts w:ascii="Calibri" w:hAnsi="Calibri"/>
          <w:bCs/>
          <w:iCs/>
        </w:rPr>
        <w:t>The Operational Program of Human Capital establishes the investment priorities, the specific objectives and the actions undertaken by Romania in the field of human resources, thus continuing the investments made through the European Social Fund between 2007 and 2013 and contributing at the same time to reaching the general objective of the Partnership Agreement (PA 2014-2020) - implicitly of the European Structural and Investment Funds in Romania, namely of reducing economic and social development disparities between Romania and the EU Member States.</w:t>
      </w:r>
    </w:p>
    <w:p w:rsidR="00BD4A3E" w:rsidRPr="00BD4A3E" w:rsidRDefault="00BD4A3E" w:rsidP="00BD4A3E">
      <w:pPr>
        <w:tabs>
          <w:tab w:val="left" w:pos="3195"/>
        </w:tabs>
        <w:spacing w:before="120" w:after="120"/>
        <w:jc w:val="both"/>
        <w:rPr>
          <w:rFonts w:ascii="Calibri" w:eastAsia="Calibri" w:hAnsi="Calibri" w:cs="Arial"/>
          <w:bCs/>
          <w:iCs/>
        </w:rPr>
      </w:pPr>
      <w:r>
        <w:rPr>
          <w:rFonts w:ascii="Calibri" w:hAnsi="Calibri"/>
          <w:bCs/>
          <w:iCs/>
        </w:rPr>
        <w:t>The POCU strategy seeks to integrate the human resources development needs on the entire programs and public policies of Romania, as MS of the EU and considers the capitalization of human capital, as a resource for sustainable future development.</w:t>
      </w:r>
      <w:r>
        <w:rPr>
          <w:rFonts w:ascii="Calibri" w:hAnsi="Calibri"/>
          <w:b/>
          <w:bCs/>
          <w:iCs/>
        </w:rPr>
        <w:t xml:space="preserve"> </w:t>
      </w:r>
      <w:r>
        <w:rPr>
          <w:rFonts w:ascii="Calibri" w:hAnsi="Calibri"/>
          <w:bCs/>
          <w:iCs/>
        </w:rPr>
        <w:t xml:space="preserve">The total </w:t>
      </w:r>
      <w:r>
        <w:rPr>
          <w:rFonts w:ascii="Calibri" w:hAnsi="Calibri"/>
          <w:b/>
          <w:bCs/>
          <w:iCs/>
        </w:rPr>
        <w:t>budget</w:t>
      </w:r>
      <w:r>
        <w:rPr>
          <w:rFonts w:ascii="Calibri" w:hAnsi="Calibri"/>
          <w:bCs/>
          <w:iCs/>
        </w:rPr>
        <w:t xml:space="preserve"> of POCU is of </w:t>
      </w:r>
      <w:r>
        <w:rPr>
          <w:rFonts w:ascii="Calibri" w:hAnsi="Calibri"/>
          <w:b/>
          <w:bCs/>
          <w:iCs/>
        </w:rPr>
        <w:t>5.10 billion EUR</w:t>
      </w:r>
      <w:r>
        <w:rPr>
          <w:rFonts w:ascii="Calibri" w:hAnsi="Calibri"/>
          <w:bCs/>
          <w:iCs/>
        </w:rPr>
        <w:t>, of which 4.37 billion EUR is the EU contribution (including the performance reserve). According to the version approved by the EC, the POCU will finance investments from different fields, through the following priority axes (PA):</w:t>
      </w:r>
    </w:p>
    <w:p w:rsidR="00BD4A3E" w:rsidRPr="00BD4A3E" w:rsidRDefault="00BD4A3E" w:rsidP="00BD4A3E">
      <w:pPr>
        <w:tabs>
          <w:tab w:val="left" w:pos="3195"/>
        </w:tabs>
        <w:spacing w:before="120" w:after="120"/>
        <w:ind w:left="284"/>
        <w:jc w:val="both"/>
        <w:rPr>
          <w:rFonts w:ascii="Calibri" w:eastAsia="Calibri" w:hAnsi="Calibri" w:cs="Arial"/>
          <w:bCs/>
          <w:iCs/>
        </w:rPr>
      </w:pPr>
      <w:r>
        <w:rPr>
          <w:rFonts w:ascii="Calibri" w:hAnsi="Calibri"/>
          <w:bCs/>
          <w:iCs/>
        </w:rPr>
        <w:t xml:space="preserve">PA 1 - Initiative “Jobs for the youth” </w:t>
      </w:r>
    </w:p>
    <w:p w:rsidR="00BD4A3E" w:rsidRPr="00BD4A3E" w:rsidRDefault="00BD4A3E" w:rsidP="00BD4A3E">
      <w:pPr>
        <w:tabs>
          <w:tab w:val="left" w:pos="3195"/>
        </w:tabs>
        <w:spacing w:before="120" w:after="120"/>
        <w:ind w:left="284"/>
        <w:jc w:val="both"/>
        <w:rPr>
          <w:rFonts w:ascii="Calibri" w:eastAsia="Calibri" w:hAnsi="Calibri" w:cs="Arial"/>
          <w:bCs/>
          <w:iCs/>
        </w:rPr>
      </w:pPr>
      <w:r>
        <w:rPr>
          <w:rFonts w:ascii="Calibri" w:hAnsi="Calibri"/>
          <w:bCs/>
          <w:iCs/>
        </w:rPr>
        <w:t>PA 2 - Improving the situation of youth from the NEETs category</w:t>
      </w:r>
    </w:p>
    <w:p w:rsidR="00BD4A3E" w:rsidRPr="00BD4A3E" w:rsidRDefault="00BD4A3E" w:rsidP="00BD4A3E">
      <w:pPr>
        <w:tabs>
          <w:tab w:val="left" w:pos="3195"/>
        </w:tabs>
        <w:spacing w:before="120" w:after="120"/>
        <w:ind w:left="284"/>
        <w:jc w:val="both"/>
        <w:rPr>
          <w:rFonts w:ascii="Calibri" w:eastAsia="Calibri" w:hAnsi="Calibri" w:cs="Arial"/>
          <w:bCs/>
          <w:iCs/>
        </w:rPr>
      </w:pPr>
      <w:r>
        <w:rPr>
          <w:rFonts w:ascii="Calibri" w:hAnsi="Calibri"/>
          <w:bCs/>
          <w:iCs/>
        </w:rPr>
        <w:t>PA 3 - Jobs for all</w:t>
      </w:r>
    </w:p>
    <w:p w:rsidR="00BD4A3E" w:rsidRPr="00BD4A3E" w:rsidRDefault="00BD4A3E" w:rsidP="00BD4A3E">
      <w:pPr>
        <w:tabs>
          <w:tab w:val="left" w:pos="3195"/>
        </w:tabs>
        <w:spacing w:before="120" w:after="120"/>
        <w:ind w:left="284"/>
        <w:jc w:val="both"/>
        <w:rPr>
          <w:rFonts w:ascii="Calibri" w:eastAsia="Calibri" w:hAnsi="Calibri" w:cs="Arial"/>
          <w:bCs/>
          <w:iCs/>
        </w:rPr>
      </w:pPr>
      <w:r>
        <w:rPr>
          <w:rFonts w:ascii="Calibri" w:hAnsi="Calibri"/>
          <w:bCs/>
          <w:iCs/>
        </w:rPr>
        <w:t>PA 4 - Social inclusion and fighting poverty</w:t>
      </w:r>
    </w:p>
    <w:p w:rsidR="00BD4A3E" w:rsidRPr="00BD4A3E" w:rsidRDefault="00BD4A3E" w:rsidP="00BD4A3E">
      <w:pPr>
        <w:tabs>
          <w:tab w:val="left" w:pos="3195"/>
        </w:tabs>
        <w:spacing w:before="120" w:after="120"/>
        <w:ind w:left="284"/>
        <w:jc w:val="both"/>
        <w:rPr>
          <w:rFonts w:ascii="Calibri" w:eastAsia="Calibri" w:hAnsi="Calibri" w:cs="Arial"/>
          <w:bCs/>
          <w:iCs/>
        </w:rPr>
      </w:pPr>
      <w:r>
        <w:rPr>
          <w:rFonts w:ascii="Calibri" w:hAnsi="Calibri"/>
          <w:bCs/>
          <w:iCs/>
        </w:rPr>
        <w:t>PA 5 - Local development placed under the responsibility of the community</w:t>
      </w:r>
    </w:p>
    <w:p w:rsidR="00BD4A3E" w:rsidRPr="00BD4A3E" w:rsidRDefault="00BD4A3E" w:rsidP="00BD4A3E">
      <w:pPr>
        <w:tabs>
          <w:tab w:val="left" w:pos="3195"/>
        </w:tabs>
        <w:spacing w:before="120" w:after="120"/>
        <w:ind w:left="284"/>
        <w:jc w:val="both"/>
        <w:rPr>
          <w:rFonts w:ascii="Calibri" w:eastAsia="Calibri" w:hAnsi="Calibri" w:cs="Arial"/>
          <w:bCs/>
          <w:iCs/>
        </w:rPr>
      </w:pPr>
      <w:r>
        <w:rPr>
          <w:rFonts w:ascii="Calibri" w:hAnsi="Calibri"/>
          <w:bCs/>
          <w:iCs/>
        </w:rPr>
        <w:t>PA 6 - Education and competences</w:t>
      </w:r>
    </w:p>
    <w:p w:rsidR="00BD4A3E" w:rsidRPr="00BD4A3E" w:rsidRDefault="00BD4A3E" w:rsidP="00BD4A3E">
      <w:pPr>
        <w:tabs>
          <w:tab w:val="left" w:pos="3195"/>
        </w:tabs>
        <w:spacing w:before="120" w:after="120"/>
        <w:ind w:left="284"/>
        <w:jc w:val="both"/>
        <w:rPr>
          <w:rFonts w:ascii="Calibri" w:eastAsia="Calibri" w:hAnsi="Calibri" w:cs="Arial"/>
          <w:bCs/>
          <w:iCs/>
        </w:rPr>
      </w:pPr>
      <w:r>
        <w:rPr>
          <w:rFonts w:ascii="Calibri" w:hAnsi="Calibri"/>
          <w:bCs/>
          <w:iCs/>
        </w:rPr>
        <w:t>PA7 - Technical Assistance</w:t>
      </w:r>
    </w:p>
    <w:p w:rsidR="00BD4A3E" w:rsidRPr="00BD4A3E" w:rsidRDefault="00BD4A3E" w:rsidP="00BD4A3E">
      <w:pPr>
        <w:keepLines/>
        <w:spacing w:before="40" w:beforeAutospacing="1" w:after="100" w:afterAutospacing="1"/>
        <w:ind w:left="720" w:hanging="360"/>
        <w:jc w:val="both"/>
        <w:outlineLvl w:val="2"/>
        <w:rPr>
          <w:rFonts w:ascii="Calibri" w:hAnsi="Calibri" w:cs="Arial"/>
          <w:bCs/>
          <w:vertAlign w:val="superscript"/>
        </w:rPr>
      </w:pPr>
      <w:r>
        <w:rPr>
          <w:rFonts w:ascii="Calibri" w:hAnsi="Calibri"/>
          <w:b/>
          <w:i/>
          <w:iCs/>
        </w:rPr>
        <w:t>2.5.2.3 Operational Program of Competitiveness (POC)</w:t>
      </w:r>
      <w:r w:rsidRPr="00BD4A3E">
        <w:rPr>
          <w:rFonts w:ascii="Calibri" w:hAnsi="Calibri" w:cs="Arial"/>
          <w:bCs/>
          <w:vertAlign w:val="superscript"/>
        </w:rPr>
        <w:footnoteReference w:id="30"/>
      </w:r>
    </w:p>
    <w:p w:rsidR="00BD4A3E" w:rsidRPr="00BD4A3E" w:rsidRDefault="00BD4A3E" w:rsidP="00BD4A3E">
      <w:pPr>
        <w:tabs>
          <w:tab w:val="left" w:pos="3195"/>
        </w:tabs>
        <w:spacing w:before="120" w:after="120"/>
        <w:jc w:val="both"/>
        <w:rPr>
          <w:rFonts w:ascii="Calibri" w:eastAsia="Calibri" w:hAnsi="Calibri" w:cs="Arial"/>
          <w:bCs/>
          <w:i/>
          <w:iCs/>
        </w:rPr>
      </w:pPr>
      <w:r>
        <w:rPr>
          <w:rFonts w:ascii="Calibri" w:hAnsi="Calibri"/>
          <w:bCs/>
          <w:iCs/>
        </w:rPr>
        <w:t>The general objective of POC is to contribute to the achievement of the global objective of the Partnership Agreement through support of RDI and ICT for competitiveness and development. POC proposes solutions for the needs and challenges related to the low level of economic competitiveness at national level, especially with regard to (a) insufficient support for RDI and (b) under-developed ICT infrastructure and implicitly poorly developed services.</w:t>
      </w:r>
    </w:p>
    <w:p w:rsidR="00BD4A3E" w:rsidRPr="00BD4A3E" w:rsidRDefault="00BD4A3E" w:rsidP="00BD4A3E">
      <w:pPr>
        <w:tabs>
          <w:tab w:val="left" w:pos="3195"/>
        </w:tabs>
        <w:spacing w:before="120" w:after="120"/>
        <w:jc w:val="both"/>
        <w:rPr>
          <w:rFonts w:ascii="Calibri" w:eastAsia="Calibri" w:hAnsi="Calibri" w:cs="Arial"/>
          <w:bCs/>
          <w:iCs/>
        </w:rPr>
      </w:pPr>
      <w:r>
        <w:rPr>
          <w:rFonts w:ascii="Calibri" w:hAnsi="Calibri"/>
          <w:bCs/>
          <w:iCs/>
        </w:rPr>
        <w:t xml:space="preserve">The total </w:t>
      </w:r>
      <w:r>
        <w:rPr>
          <w:rFonts w:ascii="Calibri" w:hAnsi="Calibri"/>
          <w:b/>
          <w:bCs/>
          <w:iCs/>
        </w:rPr>
        <w:t>budget</w:t>
      </w:r>
      <w:r>
        <w:rPr>
          <w:rFonts w:ascii="Calibri" w:hAnsi="Calibri"/>
          <w:bCs/>
          <w:iCs/>
        </w:rPr>
        <w:t xml:space="preserve"> of POC is of </w:t>
      </w:r>
      <w:r>
        <w:rPr>
          <w:rFonts w:ascii="Calibri" w:hAnsi="Calibri"/>
          <w:b/>
          <w:bCs/>
          <w:iCs/>
        </w:rPr>
        <w:t>1.58 billion EUR</w:t>
      </w:r>
      <w:r>
        <w:rPr>
          <w:rFonts w:ascii="Calibri" w:hAnsi="Calibri"/>
          <w:bCs/>
          <w:iCs/>
        </w:rPr>
        <w:t>, of which 1.33 billion EUR is the EU contribution (including the performance reserve). According to the version approved by the EC, the POC will finance investments from different fields, through the following priority axes (PA):</w:t>
      </w:r>
    </w:p>
    <w:p w:rsidR="00BD4A3E" w:rsidRPr="00BD4A3E" w:rsidRDefault="00BD4A3E" w:rsidP="00BD4A3E">
      <w:pPr>
        <w:tabs>
          <w:tab w:val="left" w:pos="3195"/>
        </w:tabs>
        <w:spacing w:before="120" w:after="120"/>
        <w:ind w:left="284"/>
        <w:jc w:val="both"/>
        <w:rPr>
          <w:rFonts w:ascii="Calibri" w:eastAsia="Calibri" w:hAnsi="Calibri" w:cs="Arial"/>
          <w:bCs/>
          <w:iCs/>
        </w:rPr>
      </w:pPr>
      <w:r>
        <w:rPr>
          <w:rFonts w:ascii="Calibri" w:hAnsi="Calibri"/>
          <w:bCs/>
          <w:iCs/>
        </w:rPr>
        <w:t>PA1 - Research, technological development and innovation in support of economic competitiveness and business development</w:t>
      </w:r>
    </w:p>
    <w:p w:rsidR="00BD4A3E" w:rsidRPr="00BD4A3E" w:rsidRDefault="00BD4A3E" w:rsidP="00BD4A3E">
      <w:pPr>
        <w:tabs>
          <w:tab w:val="left" w:pos="3195"/>
        </w:tabs>
        <w:spacing w:before="120" w:after="120"/>
        <w:ind w:left="284"/>
        <w:jc w:val="both"/>
        <w:rPr>
          <w:rFonts w:ascii="Calibri" w:eastAsia="Calibri" w:hAnsi="Calibri" w:cs="Arial"/>
          <w:bCs/>
          <w:iCs/>
        </w:rPr>
      </w:pPr>
      <w:r>
        <w:rPr>
          <w:rFonts w:ascii="Calibri" w:hAnsi="Calibri"/>
          <w:bCs/>
          <w:iCs/>
        </w:rPr>
        <w:t>PA2 - Information and communications technology for a competitive digital economy</w:t>
      </w:r>
    </w:p>
    <w:p w:rsidR="00BD4A3E" w:rsidRPr="00BD4A3E" w:rsidRDefault="00BD4A3E" w:rsidP="00BD4A3E">
      <w:pPr>
        <w:keepLines/>
        <w:spacing w:before="40" w:beforeAutospacing="1" w:after="100" w:afterAutospacing="1"/>
        <w:ind w:left="720" w:hanging="360"/>
        <w:jc w:val="both"/>
        <w:outlineLvl w:val="2"/>
        <w:rPr>
          <w:rFonts w:ascii="Calibri" w:hAnsi="Calibri" w:cs="Arial"/>
          <w:bCs/>
          <w:vertAlign w:val="superscript"/>
        </w:rPr>
      </w:pPr>
      <w:r>
        <w:rPr>
          <w:rFonts w:ascii="Calibri" w:hAnsi="Calibri"/>
          <w:b/>
          <w:i/>
          <w:iCs/>
        </w:rPr>
        <w:t>2.5.2.4 Operational Program PO Technical Assistance (POAT)</w:t>
      </w:r>
      <w:r w:rsidRPr="00BD4A3E">
        <w:rPr>
          <w:rFonts w:ascii="Calibri" w:hAnsi="Calibri" w:cs="Arial"/>
          <w:bCs/>
          <w:vertAlign w:val="superscript"/>
        </w:rPr>
        <w:footnoteReference w:id="31"/>
      </w:r>
    </w:p>
    <w:p w:rsidR="00BD4A3E" w:rsidRPr="00BD4A3E" w:rsidRDefault="00BD4A3E" w:rsidP="00BD4A3E">
      <w:pPr>
        <w:tabs>
          <w:tab w:val="left" w:pos="3195"/>
        </w:tabs>
        <w:spacing w:before="120" w:after="120"/>
        <w:jc w:val="both"/>
        <w:rPr>
          <w:rFonts w:ascii="Calibri" w:eastAsia="Calibri" w:hAnsi="Calibri" w:cs="Arial"/>
          <w:bCs/>
          <w:iCs/>
        </w:rPr>
      </w:pPr>
      <w:r>
        <w:rPr>
          <w:rFonts w:ascii="Calibri" w:hAnsi="Calibri"/>
          <w:bCs/>
          <w:iCs/>
        </w:rPr>
        <w:t>POAT 2014-2020 has the purpose of ensuring an efficient and effective implementation process of European Structural and Investment Funds in Romania, in accordance with the principles and rules of partnership, programming, assessment, communication, management, including financial management, monitoring and control, based on the responsibilities distributed between the Member States and the European Commission.</w:t>
      </w:r>
    </w:p>
    <w:p w:rsidR="00BD4A3E" w:rsidRPr="00BD4A3E" w:rsidRDefault="00BD4A3E" w:rsidP="00BD4A3E">
      <w:pPr>
        <w:tabs>
          <w:tab w:val="left" w:pos="3195"/>
        </w:tabs>
        <w:spacing w:before="120" w:after="120"/>
        <w:jc w:val="both"/>
        <w:rPr>
          <w:rFonts w:ascii="Calibri" w:eastAsia="Calibri" w:hAnsi="Calibri" w:cs="Arial"/>
          <w:bCs/>
          <w:iCs/>
        </w:rPr>
      </w:pPr>
      <w:r>
        <w:rPr>
          <w:rFonts w:ascii="Calibri" w:hAnsi="Calibri"/>
          <w:bCs/>
          <w:iCs/>
        </w:rPr>
        <w:t>The global objective of POAT 2014-2020 is to ensure the capacity and instruments necessary for an efficient coordination, management and control of the interventions financed from European Structural and Investment Funds, as well as an efficient, well-oriented and correct implementation of POAT, the Operational Program of Large Infrastructure (POIM) and the Operational Program of Competitiveness (POC).</w:t>
      </w:r>
    </w:p>
    <w:p w:rsidR="00BD4A3E" w:rsidRPr="00BD4A3E" w:rsidRDefault="00BD4A3E" w:rsidP="00BD4A3E">
      <w:pPr>
        <w:tabs>
          <w:tab w:val="left" w:pos="3195"/>
        </w:tabs>
        <w:spacing w:before="120" w:after="120"/>
        <w:jc w:val="both"/>
        <w:rPr>
          <w:rFonts w:ascii="Calibri" w:eastAsia="Calibri" w:hAnsi="Calibri" w:cs="Arial"/>
          <w:bCs/>
          <w:iCs/>
        </w:rPr>
      </w:pPr>
      <w:r>
        <w:rPr>
          <w:rFonts w:ascii="Calibri" w:hAnsi="Calibri"/>
          <w:bCs/>
          <w:iCs/>
        </w:rPr>
        <w:t xml:space="preserve">The total </w:t>
      </w:r>
      <w:r>
        <w:rPr>
          <w:rFonts w:ascii="Calibri" w:hAnsi="Calibri"/>
          <w:b/>
          <w:bCs/>
          <w:iCs/>
        </w:rPr>
        <w:t>budget</w:t>
      </w:r>
      <w:r>
        <w:rPr>
          <w:rFonts w:ascii="Calibri" w:hAnsi="Calibri"/>
          <w:bCs/>
          <w:iCs/>
        </w:rPr>
        <w:t xml:space="preserve"> of POAT is of </w:t>
      </w:r>
      <w:r>
        <w:rPr>
          <w:rFonts w:ascii="Calibri" w:hAnsi="Calibri"/>
          <w:b/>
          <w:bCs/>
          <w:iCs/>
        </w:rPr>
        <w:t>298.27 million EUR</w:t>
      </w:r>
      <w:r>
        <w:rPr>
          <w:rFonts w:ascii="Calibri" w:hAnsi="Calibri"/>
          <w:bCs/>
          <w:iCs/>
        </w:rPr>
        <w:t>, of which 252.76 million EUR is the EU contribution (including the performance reserve). According to the version approved by the EC, the POAT will finance projects through the following priority axes (PA):</w:t>
      </w:r>
    </w:p>
    <w:p w:rsidR="00BD4A3E" w:rsidRPr="00BD4A3E" w:rsidRDefault="00BD4A3E" w:rsidP="00BD4A3E">
      <w:pPr>
        <w:tabs>
          <w:tab w:val="left" w:pos="3195"/>
        </w:tabs>
        <w:spacing w:before="120" w:after="120"/>
        <w:ind w:left="284"/>
        <w:jc w:val="both"/>
        <w:rPr>
          <w:rFonts w:ascii="Calibri" w:eastAsia="Calibri" w:hAnsi="Calibri" w:cs="Arial"/>
          <w:bCs/>
          <w:iCs/>
        </w:rPr>
      </w:pPr>
      <w:r>
        <w:rPr>
          <w:rFonts w:ascii="Calibri" w:hAnsi="Calibri"/>
          <w:bCs/>
          <w:iCs/>
        </w:rPr>
        <w:t xml:space="preserve">PA 1 - Strengthening the beneficiaries’ capacity for preparing and implementing projects financed from ESIF and disseminating the information regarding these funds </w:t>
      </w:r>
    </w:p>
    <w:p w:rsidR="00BD4A3E" w:rsidRPr="00BD4A3E" w:rsidRDefault="00BD4A3E" w:rsidP="00BD4A3E">
      <w:pPr>
        <w:tabs>
          <w:tab w:val="left" w:pos="3195"/>
        </w:tabs>
        <w:spacing w:before="120" w:after="120"/>
        <w:ind w:left="284"/>
        <w:jc w:val="both"/>
        <w:rPr>
          <w:rFonts w:ascii="Calibri" w:eastAsia="Calibri" w:hAnsi="Calibri" w:cs="Arial"/>
          <w:bCs/>
          <w:iCs/>
        </w:rPr>
      </w:pPr>
      <w:r>
        <w:rPr>
          <w:rFonts w:ascii="Calibri" w:hAnsi="Calibri"/>
          <w:bCs/>
          <w:iCs/>
        </w:rPr>
        <w:t>PA 2 - Support for the coordination, management and control of ESIF</w:t>
      </w:r>
    </w:p>
    <w:p w:rsidR="00BD4A3E" w:rsidRPr="00BD4A3E" w:rsidRDefault="00BD4A3E" w:rsidP="00BD4A3E">
      <w:pPr>
        <w:tabs>
          <w:tab w:val="left" w:pos="3195"/>
        </w:tabs>
        <w:spacing w:before="120" w:after="120"/>
        <w:ind w:left="284"/>
        <w:jc w:val="both"/>
        <w:rPr>
          <w:rFonts w:ascii="Calibri" w:eastAsia="Calibri" w:hAnsi="Calibri" w:cs="Arial"/>
          <w:bCs/>
          <w:iCs/>
        </w:rPr>
      </w:pPr>
      <w:r>
        <w:rPr>
          <w:rFonts w:ascii="Calibri" w:hAnsi="Calibri"/>
          <w:bCs/>
          <w:iCs/>
        </w:rPr>
        <w:t>PA 3 - Increasing the efficiency and effectiveness of human resources involved in the system of coordination, management and control of ESIF</w:t>
      </w:r>
    </w:p>
    <w:p w:rsidR="00BD4A3E" w:rsidRPr="00BD4A3E" w:rsidRDefault="00BD4A3E" w:rsidP="00BD4A3E">
      <w:pPr>
        <w:keepLines/>
        <w:spacing w:before="40" w:beforeAutospacing="1" w:after="100" w:afterAutospacing="1"/>
        <w:ind w:left="720" w:hanging="360"/>
        <w:jc w:val="both"/>
        <w:outlineLvl w:val="2"/>
        <w:rPr>
          <w:rFonts w:ascii="Calibri" w:hAnsi="Calibri"/>
          <w:b/>
          <w:i/>
          <w:iCs/>
        </w:rPr>
      </w:pPr>
      <w:r>
        <w:rPr>
          <w:rFonts w:ascii="Calibri" w:hAnsi="Calibri"/>
          <w:b/>
          <w:i/>
          <w:iCs/>
        </w:rPr>
        <w:t>2.5.2.5 Operational Program of Aid for the Most Disadvantaged (POAD)</w:t>
      </w:r>
    </w:p>
    <w:p w:rsidR="00BD4A3E" w:rsidRPr="00BD4A3E" w:rsidRDefault="00BD4A3E" w:rsidP="00BD4A3E">
      <w:pPr>
        <w:spacing w:before="120" w:after="120"/>
        <w:jc w:val="both"/>
        <w:rPr>
          <w:rFonts w:ascii="Calibri" w:hAnsi="Calibri" w:cs="Arial"/>
          <w:bCs/>
        </w:rPr>
      </w:pPr>
      <w:r>
        <w:rPr>
          <w:rFonts w:ascii="Calibri" w:hAnsi="Calibri"/>
          <w:bCs/>
        </w:rPr>
        <w:t>POAD ensures for the entire period of 2014-2020 mainly the distribution free of charge of food aids in all localities in the country in favor of the disadvantaged. POAD is a continuance of the European Plan of Supply of Food Aid to the benefit of the Most Disadvantaged (PEAD), carried out between 2007 and 2013.</w:t>
      </w:r>
    </w:p>
    <w:p w:rsidR="00BD4A3E" w:rsidRPr="00BD4A3E" w:rsidRDefault="00BD4A3E" w:rsidP="00BD4A3E">
      <w:pPr>
        <w:spacing w:before="120" w:after="120"/>
        <w:jc w:val="both"/>
        <w:rPr>
          <w:rFonts w:ascii="Calibri" w:hAnsi="Calibri" w:cs="Arial"/>
          <w:bCs/>
        </w:rPr>
      </w:pPr>
      <w:r>
        <w:rPr>
          <w:rFonts w:ascii="Calibri" w:hAnsi="Calibri"/>
          <w:bCs/>
        </w:rPr>
        <w:t xml:space="preserve">The Program is financed up to 85% from the European Fund Aid dedicated to the most disadvantaged and up to 15% from the national budget. The total </w:t>
      </w:r>
      <w:r>
        <w:rPr>
          <w:rFonts w:ascii="Calibri" w:hAnsi="Calibri"/>
          <w:b/>
          <w:bCs/>
        </w:rPr>
        <w:t>budget</w:t>
      </w:r>
      <w:r>
        <w:rPr>
          <w:rFonts w:ascii="Calibri" w:hAnsi="Calibri"/>
          <w:bCs/>
        </w:rPr>
        <w:t xml:space="preserve"> of POAD is of </w:t>
      </w:r>
      <w:r>
        <w:rPr>
          <w:rFonts w:ascii="Calibri" w:hAnsi="Calibri"/>
          <w:b/>
          <w:bCs/>
        </w:rPr>
        <w:t>0.52 billion EUR</w:t>
      </w:r>
      <w:r>
        <w:rPr>
          <w:rFonts w:ascii="Calibri" w:hAnsi="Calibri"/>
          <w:bCs/>
        </w:rPr>
        <w:t>, of which 0.44 billion EUR is the EU contribution.</w:t>
      </w:r>
    </w:p>
    <w:p w:rsidR="00BD4A3E" w:rsidRPr="00BD4A3E" w:rsidRDefault="00BD4A3E" w:rsidP="00BD4A3E">
      <w:pPr>
        <w:spacing w:before="120" w:after="120"/>
        <w:jc w:val="both"/>
        <w:rPr>
          <w:rFonts w:ascii="Calibri" w:hAnsi="Calibri" w:cs="Arial"/>
          <w:bCs/>
        </w:rPr>
      </w:pPr>
      <w:r>
        <w:rPr>
          <w:rFonts w:ascii="Calibri" w:hAnsi="Calibri"/>
          <w:bCs/>
        </w:rPr>
        <w:t>Considering that in December 2016 was obtained the accreditation of the management and control system for this PO, the EC was requested the amount of 4.29 million EUR, which represents approximately 1% of the EU allocation corresponding to the PO.   Also in December 2016, the European Commission reimbursed for POAD 3.86 million EUR, which represents 0.88% of the program’s allocation.</w:t>
      </w:r>
    </w:p>
    <w:p w:rsidR="00BD4A3E" w:rsidRPr="00BD4A3E" w:rsidRDefault="00BD4A3E" w:rsidP="00BD4A3E">
      <w:pPr>
        <w:keepNext/>
        <w:widowControl w:val="0"/>
        <w:spacing w:after="120"/>
        <w:jc w:val="both"/>
        <w:outlineLvl w:val="3"/>
        <w:rPr>
          <w:rFonts w:ascii="Calibri" w:hAnsi="Calibri"/>
          <w:b/>
          <w:i/>
          <w:szCs w:val="20"/>
          <w:u w:val="single"/>
        </w:rPr>
      </w:pPr>
      <w:r>
        <w:rPr>
          <w:rFonts w:ascii="Calibri" w:hAnsi="Calibri"/>
          <w:b/>
          <w:i/>
          <w:szCs w:val="20"/>
          <w:u w:val="single"/>
        </w:rPr>
        <w:t>2.5.2* Programs managed by Romania between 2014 and 2020, through the MRDPA</w:t>
      </w:r>
      <w:r w:rsidRPr="00BD4A3E">
        <w:rPr>
          <w:rFonts w:ascii="Calibri" w:hAnsi="Calibri" w:cs="Arial"/>
          <w:b/>
          <w:i/>
          <w:iCs/>
          <w:sz w:val="22"/>
          <w:szCs w:val="22"/>
          <w:u w:val="single"/>
          <w:vertAlign w:val="superscript"/>
          <w:lang w:val="ro-RO"/>
        </w:rPr>
        <w:footnoteReference w:id="32"/>
      </w:r>
      <w:r>
        <w:rPr>
          <w:rFonts w:ascii="Calibri" w:hAnsi="Calibri"/>
          <w:b/>
          <w:i/>
          <w:szCs w:val="20"/>
          <w:u w:val="single"/>
        </w:rPr>
        <w:t xml:space="preserve">: </w:t>
      </w:r>
    </w:p>
    <w:p w:rsidR="00BD4A3E" w:rsidRPr="00BD4A3E" w:rsidRDefault="00BD4A3E" w:rsidP="00BD4A3E">
      <w:pPr>
        <w:keepLines/>
        <w:spacing w:before="40" w:beforeAutospacing="1" w:after="100" w:afterAutospacing="1"/>
        <w:ind w:left="720" w:hanging="360"/>
        <w:jc w:val="both"/>
        <w:outlineLvl w:val="2"/>
        <w:rPr>
          <w:rFonts w:ascii="Calibri" w:hAnsi="Calibri"/>
          <w:b/>
          <w:i/>
          <w:iCs/>
        </w:rPr>
      </w:pPr>
      <w:r>
        <w:rPr>
          <w:rFonts w:ascii="Calibri" w:hAnsi="Calibri"/>
          <w:b/>
          <w:i/>
          <w:iCs/>
        </w:rPr>
        <w:t>2.5.2.6. Regional Operational Regional Program (POR)</w:t>
      </w:r>
      <w:r w:rsidRPr="00BD4A3E">
        <w:rPr>
          <w:rFonts w:ascii="Calibri" w:hAnsi="Calibri" w:cs="Arial"/>
          <w:bCs/>
          <w:vertAlign w:val="superscript"/>
        </w:rPr>
        <w:footnoteReference w:id="33"/>
      </w:r>
    </w:p>
    <w:p w:rsidR="00BD4A3E" w:rsidRPr="00BD4A3E" w:rsidRDefault="00BD4A3E" w:rsidP="00BD4A3E">
      <w:pPr>
        <w:spacing w:before="120" w:after="120"/>
        <w:jc w:val="both"/>
        <w:rPr>
          <w:rFonts w:ascii="Calibri" w:hAnsi="Calibri" w:cs="Arial"/>
        </w:rPr>
      </w:pPr>
      <w:r>
        <w:rPr>
          <w:rFonts w:ascii="Calibri" w:hAnsi="Calibri"/>
        </w:rPr>
        <w:t xml:space="preserve">MRDPA is the Management Authority for POR 2014-2020 and proposes to ensure continuity for the strategic vision regarding regional development in Romania, through supplementation of the directions and priorities of regional development and implemented through POR 2007-2013, as well as through other national programs. </w:t>
      </w:r>
    </w:p>
    <w:p w:rsidR="00BD4A3E" w:rsidRPr="00BD4A3E" w:rsidRDefault="00BD4A3E" w:rsidP="00BD4A3E">
      <w:pPr>
        <w:spacing w:before="120" w:after="120"/>
        <w:jc w:val="both"/>
        <w:rPr>
          <w:rFonts w:ascii="Calibri" w:hAnsi="Calibri" w:cs="Arial"/>
        </w:rPr>
      </w:pPr>
      <w:r>
        <w:rPr>
          <w:rFonts w:ascii="Calibri" w:hAnsi="Calibri"/>
          <w:b/>
        </w:rPr>
        <w:t>The total budget</w:t>
      </w:r>
      <w:r>
        <w:rPr>
          <w:rFonts w:ascii="Calibri" w:hAnsi="Calibri"/>
        </w:rPr>
        <w:t xml:space="preserve"> of POR 2014-2020 is of </w:t>
      </w:r>
      <w:r>
        <w:rPr>
          <w:rFonts w:ascii="Calibri" w:hAnsi="Calibri"/>
          <w:b/>
        </w:rPr>
        <w:t>8.36 billion EUR</w:t>
      </w:r>
      <w:r>
        <w:rPr>
          <w:rFonts w:ascii="Calibri" w:hAnsi="Calibri"/>
        </w:rPr>
        <w:t>, of which 6.86 billion EUR (including the performance reserve) represents EU support, through the European Regional Development Fund, respectively 1.52 billion EUR national contribution, ensured from national public funds (State budget, local budgets).</w:t>
      </w:r>
    </w:p>
    <w:p w:rsidR="00BD4A3E" w:rsidRPr="00BD4A3E" w:rsidRDefault="00BD4A3E" w:rsidP="00BD4A3E">
      <w:pPr>
        <w:spacing w:before="120" w:after="120"/>
        <w:jc w:val="both"/>
        <w:rPr>
          <w:rFonts w:ascii="Calibri" w:hAnsi="Calibri" w:cs="Arial"/>
        </w:rPr>
      </w:pPr>
      <w:r>
        <w:rPr>
          <w:rFonts w:ascii="Calibri" w:hAnsi="Calibri"/>
          <w:b/>
        </w:rPr>
        <w:t xml:space="preserve">The general objective </w:t>
      </w:r>
      <w:r>
        <w:rPr>
          <w:rFonts w:ascii="Calibri" w:hAnsi="Calibri"/>
        </w:rPr>
        <w:t>of POR for 2014-2020 is to increase the economic competitiveness and improve the living conditions of the local and regional community through support for the development of the business environment, of the infrastructure conditions and services, which would ensure a sustainable development of the regions, capable of efficiently managing resources, capitalizing their potential for innovation and assimilation of the technological progress.</w:t>
      </w:r>
    </w:p>
    <w:p w:rsidR="00BD4A3E" w:rsidRPr="00BD4A3E" w:rsidRDefault="00BD4A3E" w:rsidP="00BD4A3E">
      <w:pPr>
        <w:spacing w:before="120" w:after="120"/>
        <w:jc w:val="both"/>
        <w:rPr>
          <w:rFonts w:ascii="Calibri" w:hAnsi="Calibri" w:cs="Arial"/>
        </w:rPr>
      </w:pPr>
      <w:r>
        <w:rPr>
          <w:rFonts w:ascii="Calibri" w:hAnsi="Calibri"/>
        </w:rPr>
        <w:t>According to the official version of POR 2014-2020, it will finance investments from different fields, through the following priority axes:</w:t>
      </w:r>
    </w:p>
    <w:p w:rsidR="00BD4A3E" w:rsidRPr="00BD4A3E" w:rsidRDefault="00BD4A3E" w:rsidP="00BD4A3E">
      <w:pPr>
        <w:ind w:left="284"/>
        <w:jc w:val="both"/>
        <w:rPr>
          <w:rFonts w:ascii="Calibri" w:hAnsi="Calibri" w:cs="Arial"/>
        </w:rPr>
      </w:pPr>
      <w:r>
        <w:rPr>
          <w:rFonts w:ascii="Calibri" w:hAnsi="Calibri"/>
        </w:rPr>
        <w:t>1) Promotion of technological transfer;</w:t>
      </w:r>
    </w:p>
    <w:p w:rsidR="00BD4A3E" w:rsidRPr="00BD4A3E" w:rsidRDefault="00BD4A3E" w:rsidP="00BD4A3E">
      <w:pPr>
        <w:ind w:left="284"/>
        <w:jc w:val="both"/>
        <w:rPr>
          <w:rFonts w:ascii="Calibri" w:hAnsi="Calibri" w:cs="Arial"/>
        </w:rPr>
      </w:pPr>
      <w:r>
        <w:rPr>
          <w:rFonts w:ascii="Calibri" w:hAnsi="Calibri"/>
        </w:rPr>
        <w:t>2) Improving competitiveness of small and medium enterprises;</w:t>
      </w:r>
    </w:p>
    <w:p w:rsidR="00BD4A3E" w:rsidRPr="00BD4A3E" w:rsidRDefault="00BD4A3E" w:rsidP="00BD4A3E">
      <w:pPr>
        <w:ind w:left="284"/>
        <w:jc w:val="both"/>
        <w:rPr>
          <w:rFonts w:ascii="Calibri" w:hAnsi="Calibri" w:cs="Arial"/>
        </w:rPr>
      </w:pPr>
      <w:r>
        <w:rPr>
          <w:rFonts w:ascii="Calibri" w:hAnsi="Calibri"/>
        </w:rPr>
        <w:t>3) Supporting the increase of energy efficiency for public buildings;</w:t>
      </w:r>
    </w:p>
    <w:p w:rsidR="00BD4A3E" w:rsidRPr="00BD4A3E" w:rsidRDefault="00BD4A3E" w:rsidP="00BD4A3E">
      <w:pPr>
        <w:ind w:left="284"/>
        <w:jc w:val="both"/>
        <w:rPr>
          <w:rFonts w:ascii="Calibri" w:hAnsi="Calibri" w:cs="Arial"/>
        </w:rPr>
      </w:pPr>
      <w:r>
        <w:rPr>
          <w:rFonts w:ascii="Calibri" w:hAnsi="Calibri"/>
        </w:rPr>
        <w:t>4) Supporting sustainable urban development;</w:t>
      </w:r>
    </w:p>
    <w:p w:rsidR="00BD4A3E" w:rsidRPr="00BD4A3E" w:rsidRDefault="00BD4A3E" w:rsidP="00BD4A3E">
      <w:pPr>
        <w:ind w:left="284"/>
        <w:jc w:val="both"/>
        <w:rPr>
          <w:rFonts w:ascii="Calibri" w:hAnsi="Calibri" w:cs="Arial"/>
        </w:rPr>
      </w:pPr>
      <w:r>
        <w:rPr>
          <w:rFonts w:ascii="Calibri" w:hAnsi="Calibri"/>
        </w:rPr>
        <w:t>5) Conservation, protection and sustainable capitalization of the cultural patrimony;</w:t>
      </w:r>
    </w:p>
    <w:p w:rsidR="00BD4A3E" w:rsidRPr="00BD4A3E" w:rsidRDefault="00BD4A3E" w:rsidP="00BD4A3E">
      <w:pPr>
        <w:ind w:left="284"/>
        <w:jc w:val="both"/>
        <w:rPr>
          <w:rFonts w:ascii="Calibri" w:hAnsi="Calibri" w:cs="Arial"/>
        </w:rPr>
      </w:pPr>
      <w:r>
        <w:rPr>
          <w:rFonts w:ascii="Calibri" w:hAnsi="Calibri"/>
        </w:rPr>
        <w:t>6) Improving the road infrastructure of regional and local importance;</w:t>
      </w:r>
    </w:p>
    <w:p w:rsidR="00BD4A3E" w:rsidRPr="00BD4A3E" w:rsidRDefault="00BD4A3E" w:rsidP="00BD4A3E">
      <w:pPr>
        <w:ind w:left="284"/>
        <w:jc w:val="both"/>
        <w:rPr>
          <w:rFonts w:ascii="Calibri" w:hAnsi="Calibri" w:cs="Arial"/>
        </w:rPr>
      </w:pPr>
      <w:r>
        <w:rPr>
          <w:rFonts w:ascii="Calibri" w:hAnsi="Calibri"/>
        </w:rPr>
        <w:t>7) Diversification of local economies through sustainable tourism development;</w:t>
      </w:r>
    </w:p>
    <w:p w:rsidR="00BD4A3E" w:rsidRPr="00BD4A3E" w:rsidRDefault="00BD4A3E" w:rsidP="00BD4A3E">
      <w:pPr>
        <w:ind w:left="284"/>
        <w:jc w:val="both"/>
        <w:rPr>
          <w:rFonts w:ascii="Calibri" w:hAnsi="Calibri" w:cs="Arial"/>
        </w:rPr>
      </w:pPr>
      <w:r>
        <w:rPr>
          <w:rFonts w:ascii="Calibri" w:hAnsi="Calibri"/>
        </w:rPr>
        <w:t>8) Developing the sanitary and social infrastructure;</w:t>
      </w:r>
    </w:p>
    <w:p w:rsidR="00BD4A3E" w:rsidRPr="00BD4A3E" w:rsidRDefault="00BD4A3E" w:rsidP="00BD4A3E">
      <w:pPr>
        <w:ind w:left="284"/>
        <w:jc w:val="both"/>
        <w:rPr>
          <w:rFonts w:ascii="Calibri" w:hAnsi="Calibri" w:cs="Arial"/>
        </w:rPr>
      </w:pPr>
      <w:r>
        <w:rPr>
          <w:rFonts w:ascii="Calibri" w:hAnsi="Calibri"/>
        </w:rPr>
        <w:t>9) Supporting economic and social regeneration of disadvantaged communities from the urban area;</w:t>
      </w:r>
    </w:p>
    <w:p w:rsidR="00BD4A3E" w:rsidRPr="00BD4A3E" w:rsidRDefault="00BD4A3E" w:rsidP="00BD4A3E">
      <w:pPr>
        <w:ind w:left="284"/>
        <w:jc w:val="both"/>
        <w:rPr>
          <w:rFonts w:ascii="Calibri" w:hAnsi="Calibri" w:cs="Arial"/>
        </w:rPr>
      </w:pPr>
      <w:r>
        <w:rPr>
          <w:rFonts w:ascii="Calibri" w:hAnsi="Calibri"/>
        </w:rPr>
        <w:t>10) Improving the educational infrastructure;</w:t>
      </w:r>
    </w:p>
    <w:p w:rsidR="00BD4A3E" w:rsidRPr="00BD4A3E" w:rsidRDefault="00BD4A3E" w:rsidP="00BD4A3E">
      <w:pPr>
        <w:ind w:left="284"/>
        <w:jc w:val="both"/>
        <w:rPr>
          <w:rFonts w:ascii="Calibri" w:hAnsi="Calibri" w:cs="Arial"/>
        </w:rPr>
      </w:pPr>
      <w:r>
        <w:rPr>
          <w:rFonts w:ascii="Calibri" w:hAnsi="Calibri"/>
        </w:rPr>
        <w:t xml:space="preserve">11) Geographical extension of the system of property registration in the </w:t>
      </w:r>
      <w:r w:rsidR="00916FF8">
        <w:rPr>
          <w:rFonts w:ascii="Calibri" w:hAnsi="Calibri"/>
        </w:rPr>
        <w:t>cadaster</w:t>
      </w:r>
      <w:r>
        <w:rPr>
          <w:rFonts w:ascii="Calibri" w:hAnsi="Calibri"/>
        </w:rPr>
        <w:t xml:space="preserve"> and land book;</w:t>
      </w:r>
    </w:p>
    <w:p w:rsidR="00BD4A3E" w:rsidRPr="00BD4A3E" w:rsidRDefault="00BD4A3E" w:rsidP="00BD4A3E">
      <w:pPr>
        <w:ind w:left="284"/>
        <w:jc w:val="both"/>
        <w:rPr>
          <w:rFonts w:ascii="Calibri" w:hAnsi="Calibri" w:cs="Arial"/>
        </w:rPr>
      </w:pPr>
      <w:r>
        <w:rPr>
          <w:rFonts w:ascii="Calibri" w:hAnsi="Calibri"/>
        </w:rPr>
        <w:t>12) Technical Assistance;</w:t>
      </w:r>
    </w:p>
    <w:p w:rsidR="00BD4A3E" w:rsidRPr="00BD4A3E" w:rsidRDefault="00BD4A3E" w:rsidP="00BD4A3E">
      <w:pPr>
        <w:ind w:left="284"/>
        <w:jc w:val="both"/>
        <w:rPr>
          <w:rFonts w:ascii="Calibri" w:hAnsi="Calibri" w:cs="Arial"/>
        </w:rPr>
      </w:pPr>
      <w:r>
        <w:rPr>
          <w:rFonts w:ascii="Calibri" w:hAnsi="Calibri"/>
        </w:rPr>
        <w:t>13) Supporting the regeneration of small and medium cities;</w:t>
      </w:r>
    </w:p>
    <w:p w:rsidR="00BD4A3E" w:rsidRPr="00BD4A3E" w:rsidRDefault="00BD4A3E" w:rsidP="00BD4A3E">
      <w:pPr>
        <w:ind w:left="284"/>
        <w:jc w:val="both"/>
        <w:rPr>
          <w:rFonts w:ascii="Calibri" w:hAnsi="Calibri" w:cs="Arial"/>
        </w:rPr>
      </w:pPr>
      <w:r>
        <w:rPr>
          <w:rFonts w:ascii="Calibri" w:hAnsi="Calibri"/>
        </w:rPr>
        <w:t>14) Creating the infrastructure for regional emergency hospitals;</w:t>
      </w:r>
    </w:p>
    <w:p w:rsidR="00BD4A3E" w:rsidRPr="00BD4A3E" w:rsidRDefault="00BD4A3E" w:rsidP="00BD4A3E">
      <w:pPr>
        <w:ind w:left="284"/>
        <w:jc w:val="both"/>
        <w:rPr>
          <w:rFonts w:ascii="Calibri" w:hAnsi="Calibri" w:cs="Arial"/>
        </w:rPr>
      </w:pPr>
      <w:r>
        <w:rPr>
          <w:rFonts w:ascii="Calibri" w:hAnsi="Calibri"/>
        </w:rPr>
        <w:t>15) Initiative for SMEs.</w:t>
      </w:r>
    </w:p>
    <w:p w:rsidR="00BD4A3E" w:rsidRPr="00BD4A3E" w:rsidRDefault="00BD4A3E" w:rsidP="00BD4A3E">
      <w:pPr>
        <w:ind w:left="284"/>
        <w:jc w:val="both"/>
        <w:rPr>
          <w:rFonts w:ascii="Calibri" w:hAnsi="Calibri" w:cs="Arial"/>
          <w:lang w:val="ro-RO"/>
        </w:rPr>
      </w:pPr>
    </w:p>
    <w:p w:rsidR="00BD4A3E" w:rsidRPr="00BD4A3E" w:rsidRDefault="00BD4A3E" w:rsidP="00BD4A3E">
      <w:pPr>
        <w:spacing w:after="120" w:line="276" w:lineRule="auto"/>
        <w:jc w:val="both"/>
        <w:rPr>
          <w:rFonts w:asciiTheme="minorHAnsi" w:eastAsia="Calibri" w:hAnsiTheme="minorHAnsi"/>
        </w:rPr>
      </w:pPr>
      <w:r>
        <w:rPr>
          <w:rFonts w:asciiTheme="minorHAnsi" w:hAnsiTheme="minorHAnsi"/>
        </w:rPr>
        <w:t xml:space="preserve">Priority axes 14 and 15 were introduced in POR 2014-2020 as a result of the approval of the program’s amendment through decision of the European Commission no. C(2018)6889/October 16, 2018. </w:t>
      </w:r>
    </w:p>
    <w:p w:rsidR="00BD4A3E" w:rsidRPr="00BD4A3E" w:rsidRDefault="00BD4A3E" w:rsidP="00BD4A3E">
      <w:pPr>
        <w:spacing w:after="120" w:line="276" w:lineRule="auto"/>
        <w:jc w:val="both"/>
        <w:rPr>
          <w:rFonts w:asciiTheme="minorHAnsi" w:eastAsia="Calibri" w:hAnsiTheme="minorHAnsi"/>
        </w:rPr>
      </w:pPr>
      <w:r>
        <w:rPr>
          <w:rFonts w:asciiTheme="minorHAnsi" w:hAnsiTheme="minorHAnsi"/>
        </w:rPr>
        <w:t>Priority axis 14 - Creating the infrastructure of regional emergency hospitals does not introduce new types of activities in POR. Considering the specificity of the three major projects regarding the construction of regional hospitals, it was considered necessary to separate them from the other interventions dedicated to the health field. Although on the whole, both the interventions from axis 8 (outpatient care, emergency units, ambulances), and those from the newly created axis 14 (regional hospitals) contribute to the same objectives, different co-financing rates are applied from the ERDF.</w:t>
      </w:r>
    </w:p>
    <w:p w:rsidR="00BD4A3E" w:rsidRPr="00BD4A3E" w:rsidRDefault="00BD4A3E" w:rsidP="00BD4A3E">
      <w:pPr>
        <w:spacing w:after="120" w:line="276" w:lineRule="auto"/>
        <w:jc w:val="both"/>
        <w:rPr>
          <w:rFonts w:asciiTheme="minorHAnsi" w:eastAsia="Calibri" w:hAnsiTheme="minorHAnsi"/>
        </w:rPr>
      </w:pPr>
      <w:r>
        <w:rPr>
          <w:rFonts w:asciiTheme="minorHAnsi" w:hAnsiTheme="minorHAnsi"/>
        </w:rPr>
        <w:t xml:space="preserve">Considering Regulation no. 1046/2018 amending the General Regulation no. 1303/2013 allows the Member States to implement the Initiative for SMEs as a separate axis from the operational programs financed from ERDF, it was approved the inclusion of the Operational Program Initiative for SMEs as a separate priority axis in the POR, respectively priority axis no. 15 - Initiative for SMEs. </w:t>
      </w:r>
    </w:p>
    <w:p w:rsidR="00BD4A3E" w:rsidRPr="00BD4A3E" w:rsidRDefault="00BD4A3E" w:rsidP="00BD4A3E">
      <w:pPr>
        <w:spacing w:after="120" w:line="276" w:lineRule="auto"/>
        <w:jc w:val="both"/>
        <w:rPr>
          <w:rFonts w:asciiTheme="minorHAnsi" w:eastAsia="Calibri" w:hAnsiTheme="minorHAnsi"/>
        </w:rPr>
      </w:pPr>
      <w:r>
        <w:rPr>
          <w:rFonts w:asciiTheme="minorHAnsi" w:hAnsiTheme="minorHAnsi"/>
        </w:rPr>
        <w:t>Also, considering the high demand that exists for the type of financial instrument implemented through the Initiative for SMEs (SME), it was supplemented the financial allocation of the Initiative for SMEs through the reallocation of the amount of 150 million EUR ERDF (respectively 100 million EUR ERDF provided in the POR for implementation of the financial instrument in Priority Axis 2 - loan with subsidized interest and 50 million EUR ERDF of Priority Axis 1 of POR).</w:t>
      </w:r>
    </w:p>
    <w:p w:rsidR="00BD4A3E" w:rsidRPr="00BD4A3E" w:rsidRDefault="00BD4A3E" w:rsidP="00BD4A3E">
      <w:pPr>
        <w:spacing w:after="120"/>
        <w:jc w:val="both"/>
        <w:rPr>
          <w:rFonts w:asciiTheme="minorHAnsi" w:eastAsia="Calibri" w:hAnsiTheme="minorHAnsi"/>
        </w:rPr>
      </w:pPr>
      <w:r>
        <w:rPr>
          <w:rFonts w:asciiTheme="minorHAnsi" w:hAnsiTheme="minorHAnsi"/>
        </w:rPr>
        <w:t>With regard to the other types of information requested, we mention the following:</w:t>
      </w:r>
    </w:p>
    <w:p w:rsidR="00BD4A3E" w:rsidRPr="00BD4A3E" w:rsidRDefault="00BD4A3E" w:rsidP="00021698">
      <w:pPr>
        <w:numPr>
          <w:ilvl w:val="0"/>
          <w:numId w:val="106"/>
        </w:numPr>
        <w:spacing w:after="120" w:line="276" w:lineRule="auto"/>
        <w:ind w:left="360"/>
        <w:jc w:val="both"/>
        <w:rPr>
          <w:rFonts w:asciiTheme="minorHAnsi" w:eastAsia="Calibri" w:hAnsiTheme="minorHAnsi"/>
          <w:b/>
        </w:rPr>
      </w:pPr>
      <w:r>
        <w:rPr>
          <w:rFonts w:asciiTheme="minorHAnsi" w:hAnsiTheme="minorHAnsi"/>
          <w:b/>
          <w:i/>
        </w:rPr>
        <w:t>Relevant information about the absorption rate:</w:t>
      </w:r>
      <w:r>
        <w:rPr>
          <w:rFonts w:asciiTheme="minorHAnsi" w:hAnsiTheme="minorHAnsi"/>
          <w:b/>
        </w:rPr>
        <w:t xml:space="preserve"> </w:t>
      </w:r>
    </w:p>
    <w:p w:rsidR="00BD4A3E" w:rsidRPr="00BD4A3E" w:rsidRDefault="00BD4A3E" w:rsidP="00021698">
      <w:pPr>
        <w:numPr>
          <w:ilvl w:val="0"/>
          <w:numId w:val="107"/>
        </w:numPr>
        <w:spacing w:after="120" w:line="276" w:lineRule="auto"/>
        <w:ind w:left="1080"/>
        <w:jc w:val="both"/>
        <w:rPr>
          <w:rFonts w:asciiTheme="minorHAnsi" w:eastAsia="Calibri" w:hAnsiTheme="minorHAnsi"/>
        </w:rPr>
      </w:pPr>
      <w:r>
        <w:rPr>
          <w:rFonts w:asciiTheme="minorHAnsi" w:hAnsiTheme="minorHAnsi"/>
        </w:rPr>
        <w:t>The degree of absorption of European funds in the POR is of 2.88%, representing an ERDF value of 197.49 million EUR, requested for reimbursement by the European Commission through the payment applications sent by the Certifying and Paying Authority (including for Priority Axis 15 - Initiative for Small and Medium Enterprises);</w:t>
      </w:r>
    </w:p>
    <w:p w:rsidR="00BD4A3E" w:rsidRPr="00BD4A3E" w:rsidRDefault="00BD4A3E" w:rsidP="00021698">
      <w:pPr>
        <w:numPr>
          <w:ilvl w:val="0"/>
          <w:numId w:val="107"/>
        </w:numPr>
        <w:spacing w:after="120" w:line="276" w:lineRule="auto"/>
        <w:ind w:left="1080"/>
        <w:jc w:val="both"/>
        <w:rPr>
          <w:rFonts w:asciiTheme="minorHAnsi" w:eastAsia="Calibri" w:hAnsiTheme="minorHAnsi"/>
        </w:rPr>
      </w:pPr>
      <w:r>
        <w:rPr>
          <w:rFonts w:asciiTheme="minorHAnsi" w:hAnsiTheme="minorHAnsi"/>
        </w:rPr>
        <w:t>The payments made by the Management Authority for POR to the project beneficiaries/European Investment Fund, representing European funds (ERDF) and co-financing from the State budget are of 360.56 million EUR (pre-financing, reimbursement requests and payment requests);</w:t>
      </w:r>
    </w:p>
    <w:p w:rsidR="00BD4A3E" w:rsidRPr="00BD4A3E" w:rsidRDefault="00BD4A3E" w:rsidP="00021698">
      <w:pPr>
        <w:numPr>
          <w:ilvl w:val="0"/>
          <w:numId w:val="107"/>
        </w:numPr>
        <w:spacing w:after="120" w:line="276" w:lineRule="auto"/>
        <w:ind w:left="1080"/>
        <w:jc w:val="both"/>
        <w:rPr>
          <w:rFonts w:asciiTheme="minorHAnsi" w:eastAsia="Calibri" w:hAnsiTheme="minorHAnsi"/>
        </w:rPr>
      </w:pPr>
      <w:r>
        <w:rPr>
          <w:rFonts w:asciiTheme="minorHAnsi" w:hAnsiTheme="minorHAnsi"/>
        </w:rPr>
        <w:t>Until the present has been realized an eligible ERDF of 293.47 million EUR.</w:t>
      </w:r>
    </w:p>
    <w:p w:rsidR="00BD4A3E" w:rsidRPr="00BD4A3E" w:rsidRDefault="00BD4A3E" w:rsidP="00021698">
      <w:pPr>
        <w:numPr>
          <w:ilvl w:val="0"/>
          <w:numId w:val="106"/>
        </w:numPr>
        <w:spacing w:after="120" w:line="276" w:lineRule="auto"/>
        <w:ind w:left="360"/>
        <w:jc w:val="both"/>
        <w:rPr>
          <w:rFonts w:asciiTheme="minorHAnsi" w:eastAsia="Calibri" w:hAnsiTheme="minorHAnsi"/>
          <w:b/>
          <w:i/>
        </w:rPr>
      </w:pPr>
      <w:r>
        <w:rPr>
          <w:rFonts w:asciiTheme="minorHAnsi" w:hAnsiTheme="minorHAnsi"/>
          <w:b/>
          <w:i/>
        </w:rPr>
        <w:t>Status of implementation of POR 2014-2020:</w:t>
      </w:r>
    </w:p>
    <w:p w:rsidR="00BD4A3E" w:rsidRPr="00BD4A3E" w:rsidRDefault="00BD4A3E" w:rsidP="00021698">
      <w:pPr>
        <w:numPr>
          <w:ilvl w:val="0"/>
          <w:numId w:val="117"/>
        </w:numPr>
        <w:spacing w:after="120" w:line="276" w:lineRule="auto"/>
        <w:ind w:left="1080"/>
        <w:jc w:val="both"/>
        <w:rPr>
          <w:rFonts w:asciiTheme="minorHAnsi" w:eastAsia="Calibri" w:hAnsiTheme="minorHAnsi"/>
        </w:rPr>
      </w:pPr>
      <w:r>
        <w:rPr>
          <w:rFonts w:asciiTheme="minorHAnsi" w:hAnsiTheme="minorHAnsi"/>
        </w:rPr>
        <w:t>Until the present have been launched 106 calls for projects, with a total value of 8.10 billion EUR, non-reimbursable value (co-financing from the European Union and the State budget), representing a launching rate of over 100% of the total allocation of POR;</w:t>
      </w:r>
    </w:p>
    <w:p w:rsidR="00BD4A3E" w:rsidRPr="00BD4A3E" w:rsidRDefault="00BD4A3E" w:rsidP="00021698">
      <w:pPr>
        <w:numPr>
          <w:ilvl w:val="0"/>
          <w:numId w:val="117"/>
        </w:numPr>
        <w:spacing w:after="120" w:line="276" w:lineRule="auto"/>
        <w:ind w:left="1080"/>
        <w:jc w:val="both"/>
        <w:rPr>
          <w:rFonts w:asciiTheme="minorHAnsi" w:eastAsia="Calibri" w:hAnsiTheme="minorHAnsi"/>
        </w:rPr>
      </w:pPr>
      <w:r>
        <w:rPr>
          <w:rFonts w:asciiTheme="minorHAnsi" w:hAnsiTheme="minorHAnsi"/>
        </w:rPr>
        <w:t>The main eligibility requirement is the existence of a works/equipment procurement agreement in force;</w:t>
      </w:r>
    </w:p>
    <w:p w:rsidR="00BD4A3E" w:rsidRPr="00BD4A3E" w:rsidRDefault="00BD4A3E" w:rsidP="00021698">
      <w:pPr>
        <w:numPr>
          <w:ilvl w:val="1"/>
          <w:numId w:val="118"/>
        </w:numPr>
        <w:spacing w:after="120" w:line="276" w:lineRule="auto"/>
        <w:ind w:left="1080"/>
        <w:jc w:val="both"/>
        <w:rPr>
          <w:rFonts w:asciiTheme="minorHAnsi" w:eastAsia="Calibri" w:hAnsiTheme="minorHAnsi"/>
        </w:rPr>
      </w:pPr>
      <w:r>
        <w:rPr>
          <w:rFonts w:asciiTheme="minorHAnsi" w:hAnsiTheme="minorHAnsi"/>
        </w:rPr>
        <w:t>Until the present have been signed 3,214 financing agreements, with a value of 3,233 billion EUR ERDF, representing 48% of the ERDF allocation of POR;</w:t>
      </w:r>
    </w:p>
    <w:p w:rsidR="00BD4A3E" w:rsidRPr="00BD4A3E" w:rsidRDefault="00BD4A3E" w:rsidP="00021698">
      <w:pPr>
        <w:numPr>
          <w:ilvl w:val="1"/>
          <w:numId w:val="118"/>
        </w:numPr>
        <w:spacing w:after="120" w:line="276" w:lineRule="auto"/>
        <w:ind w:left="1080"/>
        <w:jc w:val="both"/>
        <w:rPr>
          <w:rFonts w:asciiTheme="minorHAnsi" w:eastAsia="Calibri" w:hAnsiTheme="minorHAnsi"/>
        </w:rPr>
      </w:pPr>
      <w:r>
        <w:rPr>
          <w:rFonts w:asciiTheme="minorHAnsi" w:hAnsiTheme="minorHAnsi"/>
        </w:rPr>
        <w:t>In 2018 were signed 2,258 financing agreements, with a value of 1.56 billion EUR ERDF, representing 23.34 % of the ERDF allocation of POR;</w:t>
      </w:r>
    </w:p>
    <w:p w:rsidR="00BD4A3E" w:rsidRPr="00BD4A3E" w:rsidRDefault="00BD4A3E" w:rsidP="00021698">
      <w:pPr>
        <w:numPr>
          <w:ilvl w:val="1"/>
          <w:numId w:val="118"/>
        </w:numPr>
        <w:spacing w:after="120" w:line="276" w:lineRule="auto"/>
        <w:ind w:left="1080"/>
        <w:jc w:val="both"/>
        <w:rPr>
          <w:rFonts w:asciiTheme="minorHAnsi" w:eastAsia="Calibri" w:hAnsiTheme="minorHAnsi"/>
        </w:rPr>
      </w:pPr>
      <w:r>
        <w:rPr>
          <w:rFonts w:asciiTheme="minorHAnsi" w:hAnsiTheme="minorHAnsi"/>
        </w:rPr>
        <w:t>The amount provided in POR for year 2018 for avoidance of the disengagement of European funds in 2018 is of 854.4 million EUR. For 2018, the amount estimated to be absorbed in the Regional Operational Program, according to the schedules of submission of reimbursement requests sent by the beneficiaries and corresponding to the agreements signed and the estimates related to the submission of reimbursement requests corresponding to the agreements that shall be signed is of 942.06 million EUR ERDF.</w:t>
      </w:r>
    </w:p>
    <w:p w:rsidR="00BD4A3E" w:rsidRPr="00BD4A3E" w:rsidRDefault="00BD4A3E" w:rsidP="00021698">
      <w:pPr>
        <w:numPr>
          <w:ilvl w:val="0"/>
          <w:numId w:val="106"/>
        </w:numPr>
        <w:spacing w:after="120" w:line="276" w:lineRule="auto"/>
        <w:ind w:left="360"/>
        <w:jc w:val="both"/>
        <w:rPr>
          <w:rFonts w:asciiTheme="minorHAnsi" w:eastAsia="Calibri" w:hAnsiTheme="minorHAnsi"/>
          <w:b/>
        </w:rPr>
      </w:pPr>
      <w:r>
        <w:rPr>
          <w:rFonts w:asciiTheme="minorHAnsi" w:hAnsiTheme="minorHAnsi"/>
          <w:b/>
          <w:i/>
        </w:rPr>
        <w:t>The legislative acts which refer to the improvement of the implementation process are the following:</w:t>
      </w:r>
      <w:r>
        <w:rPr>
          <w:rFonts w:asciiTheme="minorHAnsi" w:hAnsiTheme="minorHAnsi"/>
          <w:b/>
        </w:rPr>
        <w:t xml:space="preserve"> </w:t>
      </w:r>
    </w:p>
    <w:p w:rsidR="00BD4A3E" w:rsidRPr="00BD4A3E" w:rsidRDefault="00BD4A3E" w:rsidP="00021698">
      <w:pPr>
        <w:numPr>
          <w:ilvl w:val="0"/>
          <w:numId w:val="116"/>
        </w:numPr>
        <w:spacing w:after="120" w:line="276" w:lineRule="auto"/>
        <w:ind w:left="1080"/>
        <w:jc w:val="both"/>
        <w:rPr>
          <w:rFonts w:asciiTheme="minorHAnsi" w:eastAsia="Calibri" w:hAnsiTheme="minorHAnsi"/>
        </w:rPr>
      </w:pPr>
      <w:r>
        <w:rPr>
          <w:rFonts w:asciiTheme="minorHAnsi" w:hAnsiTheme="minorHAnsi"/>
        </w:rPr>
        <w:t>Government Emergency Ordinance no. 47/2018 on the establishment of measures to make more urgent the absorption of European funds which establishes the institutional framework for participation of the Ministry of Regional Development and Public Administration to the preparation and implementation of certain projects, in partnership, whose object is the equipment of administrative-territorial units with means of transport;</w:t>
      </w:r>
    </w:p>
    <w:p w:rsidR="00BD4A3E" w:rsidRPr="00BD4A3E" w:rsidRDefault="00BD4A3E" w:rsidP="00021698">
      <w:pPr>
        <w:numPr>
          <w:ilvl w:val="0"/>
          <w:numId w:val="116"/>
        </w:numPr>
        <w:spacing w:after="120" w:line="276" w:lineRule="auto"/>
        <w:ind w:left="1080"/>
        <w:jc w:val="both"/>
        <w:rPr>
          <w:rFonts w:asciiTheme="minorHAnsi" w:eastAsia="Calibri" w:hAnsiTheme="minorHAnsi"/>
        </w:rPr>
      </w:pPr>
      <w:r>
        <w:rPr>
          <w:rFonts w:asciiTheme="minorHAnsi" w:hAnsiTheme="minorHAnsi"/>
        </w:rPr>
        <w:t>The Law approving Government Emergency Ordinance no. 30/2018 on the establishment of certain measures in the field of European funds and supplementing certain legislative acts in order to create the legal framework for settlement within the POR of non-completed investment objectives, financed entirely or partially from the State budget, the budget of State social insurance or the budgets of the special funds, from the local budgets or the budgets of the institutions financed entirely from own revenues, from loans from international financial institutions or development/international cooperation banks or financed within the operational programs 2007-2013, from external non-reimbursable funds and co-financing from the State budget;</w:t>
      </w:r>
    </w:p>
    <w:p w:rsidR="00BD4A3E" w:rsidRPr="00BD4A3E" w:rsidRDefault="00BD4A3E" w:rsidP="00021698">
      <w:pPr>
        <w:numPr>
          <w:ilvl w:val="0"/>
          <w:numId w:val="116"/>
        </w:numPr>
        <w:spacing w:after="120" w:line="276" w:lineRule="auto"/>
        <w:ind w:left="1080"/>
        <w:jc w:val="both"/>
        <w:rPr>
          <w:rFonts w:asciiTheme="minorHAnsi" w:eastAsia="Calibri" w:hAnsiTheme="minorHAnsi"/>
        </w:rPr>
      </w:pPr>
      <w:r>
        <w:rPr>
          <w:rFonts w:asciiTheme="minorHAnsi" w:hAnsiTheme="minorHAnsi"/>
        </w:rPr>
        <w:t>Government Decision no. 264/2003 establishing the actions and categories of expenditures, the criteria, procedures and limits for performance of payments in advance from public funds, as subsequently amended and supplemented, which establishes the legislative framework on the award and recovery of advances paid by main credit authorities within the different types of procurement agreements, concluded for the implementation of programs, projects and actions financed from external non-reimbursable funds;</w:t>
      </w:r>
    </w:p>
    <w:p w:rsidR="00BD4A3E" w:rsidRPr="00BD4A3E" w:rsidRDefault="00BD4A3E" w:rsidP="00021698">
      <w:pPr>
        <w:numPr>
          <w:ilvl w:val="0"/>
          <w:numId w:val="116"/>
        </w:numPr>
        <w:spacing w:after="120" w:line="276" w:lineRule="auto"/>
        <w:ind w:left="1080"/>
        <w:jc w:val="both"/>
        <w:rPr>
          <w:rFonts w:asciiTheme="minorHAnsi" w:eastAsia="Calibri" w:hAnsiTheme="minorHAnsi"/>
        </w:rPr>
      </w:pPr>
      <w:r>
        <w:rPr>
          <w:rFonts w:asciiTheme="minorHAnsi" w:hAnsiTheme="minorHAnsi"/>
        </w:rPr>
        <w:t>Government Decision no. 399/2015 on the eligibility rules of expenditures made within the operations financed through the European Regional Development Fund, the European Social Fund and the Cohesion Fund for 2014-2020, as subsequently amended and supplemented, with regard to the clarification of the provisions of Art. 2 para. (1) letter a) of this legislative act, in order to be consistent with the provisions of Art. 65 para. (2) - (5) in the Regulation (EU) no. 1303/2013.</w:t>
      </w:r>
    </w:p>
    <w:p w:rsidR="00BD4A3E" w:rsidRPr="00BD4A3E" w:rsidRDefault="00BD4A3E" w:rsidP="00BD4A3E">
      <w:pPr>
        <w:keepLines/>
        <w:spacing w:before="40" w:beforeAutospacing="1" w:after="100" w:afterAutospacing="1"/>
        <w:jc w:val="both"/>
        <w:outlineLvl w:val="2"/>
        <w:rPr>
          <w:rFonts w:ascii="Calibri" w:hAnsi="Calibri" w:cs="Arial"/>
          <w:bCs/>
          <w:vertAlign w:val="superscript"/>
        </w:rPr>
      </w:pPr>
      <w:r>
        <w:rPr>
          <w:rFonts w:ascii="Calibri" w:hAnsi="Calibri"/>
          <w:b/>
          <w:i/>
          <w:iCs/>
        </w:rPr>
        <w:t>2.5.2.7. Operational Program of Administrative Capacity (POCA)</w:t>
      </w:r>
      <w:r w:rsidRPr="00BD4A3E">
        <w:rPr>
          <w:rFonts w:cs="Arial"/>
          <w:bCs/>
          <w:vertAlign w:val="superscript"/>
        </w:rPr>
        <w:footnoteReference w:id="34"/>
      </w:r>
    </w:p>
    <w:p w:rsidR="00BD4A3E" w:rsidRPr="00BD4A3E" w:rsidRDefault="00BD4A3E" w:rsidP="00BD4A3E">
      <w:pPr>
        <w:tabs>
          <w:tab w:val="left" w:pos="1080"/>
        </w:tabs>
        <w:spacing w:before="120" w:after="120"/>
        <w:jc w:val="both"/>
        <w:rPr>
          <w:rFonts w:ascii="Calibri" w:hAnsi="Calibri" w:cs="Arial"/>
          <w:bCs/>
        </w:rPr>
      </w:pPr>
      <w:r>
        <w:rPr>
          <w:rFonts w:ascii="Calibri" w:hAnsi="Calibri"/>
          <w:bCs/>
        </w:rPr>
        <w:t>MRDPA is the Management Authority for POCA 2014-2020. The Program refers to the consolidation of the administrative capacity of public authorities and institutions of supporting a modern and competitive economy, approaching challenge 5 “Administration and governing” and challenge 2 “People and society” from Romania’s Partnership Agreement. POCA 2014-2020 ensures continuity of the strategic vision of PODCA 2007-2013 on consolidating the institutional capacity of public authorities and stakeholders and public administration efficiency.</w:t>
      </w:r>
    </w:p>
    <w:p w:rsidR="00BD4A3E" w:rsidRPr="00BD4A3E" w:rsidRDefault="00BD4A3E" w:rsidP="00BD4A3E">
      <w:pPr>
        <w:tabs>
          <w:tab w:val="left" w:pos="1080"/>
        </w:tabs>
        <w:spacing w:before="120" w:after="120"/>
        <w:jc w:val="both"/>
        <w:rPr>
          <w:rFonts w:ascii="Calibri" w:hAnsi="Calibri" w:cs="Arial"/>
          <w:bCs/>
        </w:rPr>
      </w:pPr>
      <w:r>
        <w:rPr>
          <w:rFonts w:ascii="Calibri" w:hAnsi="Calibri"/>
          <w:b/>
        </w:rPr>
        <w:t>The total budget</w:t>
      </w:r>
      <w:r>
        <w:rPr>
          <w:rFonts w:ascii="Calibri" w:hAnsi="Calibri"/>
        </w:rPr>
        <w:t xml:space="preserve"> of </w:t>
      </w:r>
      <w:r>
        <w:rPr>
          <w:rFonts w:ascii="Calibri" w:hAnsi="Calibri"/>
          <w:b/>
        </w:rPr>
        <w:t>658.29 million EUR</w:t>
      </w:r>
      <w:r>
        <w:rPr>
          <w:rFonts w:ascii="Calibri" w:hAnsi="Calibri"/>
        </w:rPr>
        <w:t>, of which 553.19 million EUR (including the performance reserve) represents EU support, through the European Social Fund, respectively 105.10 million EUR national contribution, ensured from national public funds (State budget, local budgets).</w:t>
      </w:r>
    </w:p>
    <w:p w:rsidR="00BD4A3E" w:rsidRPr="00BD4A3E" w:rsidRDefault="00BD4A3E" w:rsidP="00BD4A3E">
      <w:pPr>
        <w:tabs>
          <w:tab w:val="left" w:pos="1080"/>
        </w:tabs>
        <w:spacing w:before="120" w:after="120"/>
        <w:jc w:val="both"/>
        <w:rPr>
          <w:rFonts w:ascii="Calibri" w:hAnsi="Calibri" w:cs="Arial"/>
          <w:bCs/>
        </w:rPr>
      </w:pPr>
      <w:r>
        <w:rPr>
          <w:rFonts w:ascii="Calibri" w:hAnsi="Calibri"/>
          <w:bCs/>
        </w:rPr>
        <w:t>The implementation of the program is made through three priority axes:</w:t>
      </w:r>
    </w:p>
    <w:p w:rsidR="00BD4A3E" w:rsidRPr="00BD4A3E" w:rsidRDefault="00BD4A3E" w:rsidP="00BD4A3E">
      <w:pPr>
        <w:tabs>
          <w:tab w:val="left" w:pos="1080"/>
        </w:tabs>
        <w:spacing w:before="120" w:after="120"/>
        <w:ind w:left="284"/>
        <w:jc w:val="both"/>
        <w:rPr>
          <w:rFonts w:ascii="Calibri" w:hAnsi="Calibri" w:cs="Arial"/>
          <w:bCs/>
        </w:rPr>
      </w:pPr>
      <w:r>
        <w:rPr>
          <w:rFonts w:ascii="Calibri" w:hAnsi="Calibri"/>
          <w:bCs/>
        </w:rPr>
        <w:t>Axis 1 - Efficient public administration and judicial system;</w:t>
      </w:r>
    </w:p>
    <w:p w:rsidR="00BD4A3E" w:rsidRPr="00BD4A3E" w:rsidRDefault="00BD4A3E" w:rsidP="00BD4A3E">
      <w:pPr>
        <w:tabs>
          <w:tab w:val="left" w:pos="1080"/>
        </w:tabs>
        <w:spacing w:before="120" w:after="120"/>
        <w:ind w:left="284"/>
        <w:jc w:val="both"/>
        <w:rPr>
          <w:rFonts w:ascii="Calibri" w:hAnsi="Calibri" w:cs="Arial"/>
          <w:bCs/>
        </w:rPr>
      </w:pPr>
      <w:r>
        <w:rPr>
          <w:rFonts w:ascii="Calibri" w:hAnsi="Calibri"/>
          <w:bCs/>
        </w:rPr>
        <w:t xml:space="preserve">Axis 2 - Accessible and transparent public administration and judicial system; </w:t>
      </w:r>
    </w:p>
    <w:p w:rsidR="00BD4A3E" w:rsidRPr="00BD4A3E" w:rsidRDefault="00BD4A3E" w:rsidP="00BD4A3E">
      <w:pPr>
        <w:tabs>
          <w:tab w:val="left" w:pos="1080"/>
        </w:tabs>
        <w:spacing w:before="120" w:after="120"/>
        <w:ind w:left="284"/>
        <w:jc w:val="both"/>
        <w:rPr>
          <w:rFonts w:ascii="Calibri" w:hAnsi="Calibri" w:cs="Arial"/>
          <w:bCs/>
        </w:rPr>
      </w:pPr>
      <w:r>
        <w:rPr>
          <w:rFonts w:ascii="Calibri" w:hAnsi="Calibri"/>
          <w:bCs/>
        </w:rPr>
        <w:t>Axis 3 - Technical Assistance.</w:t>
      </w:r>
    </w:p>
    <w:p w:rsidR="00BD4A3E" w:rsidRPr="00CE1614" w:rsidRDefault="00BD4A3E" w:rsidP="00BD4A3E">
      <w:pPr>
        <w:spacing w:after="120"/>
        <w:contextualSpacing/>
        <w:jc w:val="both"/>
        <w:rPr>
          <w:rFonts w:ascii="Calibri" w:hAnsi="Calibri" w:cs="Arial"/>
          <w:bCs/>
        </w:rPr>
      </w:pPr>
      <w:r>
        <w:rPr>
          <w:rFonts w:ascii="Calibri" w:hAnsi="Calibri"/>
          <w:bCs/>
        </w:rPr>
        <w:t xml:space="preserve">General objective: The Operational Program of Administrative Capacity for 2014-2020 seeks to settle the horizontal management problems in the central and local public administration, with a focus on the key elements which strengthen the credibility of the administration (especially the decisional process, an improved legislative regulation, making more responsible the public administration and organizational effectiveness) and orientation towards improving the decentralization process of the provision of services in certain priority sectors (health, education, social assistance), improving the quality and efficiency of provided services. </w:t>
      </w:r>
    </w:p>
    <w:p w:rsidR="00BD4A3E" w:rsidRPr="00CE1614" w:rsidRDefault="00BD4A3E" w:rsidP="00BD4A3E">
      <w:pPr>
        <w:spacing w:line="360" w:lineRule="auto"/>
        <w:jc w:val="both"/>
        <w:rPr>
          <w:rFonts w:ascii="Calibri" w:hAnsi="Calibri" w:cs="Arial"/>
          <w:bCs/>
        </w:rPr>
      </w:pPr>
      <w:r>
        <w:rPr>
          <w:rFonts w:ascii="Calibri" w:hAnsi="Calibri"/>
          <w:bCs/>
        </w:rPr>
        <w:t>With regard to the other types of information requested, we mention the following:</w:t>
      </w:r>
    </w:p>
    <w:p w:rsidR="00BD4A3E" w:rsidRPr="00CE1614" w:rsidRDefault="00BD4A3E" w:rsidP="00021698">
      <w:pPr>
        <w:numPr>
          <w:ilvl w:val="0"/>
          <w:numId w:val="106"/>
        </w:numPr>
        <w:spacing w:after="120" w:line="276" w:lineRule="auto"/>
        <w:ind w:left="360"/>
        <w:jc w:val="both"/>
        <w:rPr>
          <w:rFonts w:ascii="Calibri" w:eastAsia="Calibri" w:hAnsi="Calibri"/>
          <w:b/>
          <w:i/>
        </w:rPr>
      </w:pPr>
      <w:r>
        <w:rPr>
          <w:rFonts w:ascii="Calibri" w:hAnsi="Calibri"/>
          <w:b/>
          <w:i/>
        </w:rPr>
        <w:t>Results obtained that correspond to the Operational Program of Administrative Capacity (POCA):</w:t>
      </w:r>
    </w:p>
    <w:p w:rsidR="00BD4A3E" w:rsidRPr="00CE1614" w:rsidRDefault="00BD4A3E" w:rsidP="00021698">
      <w:pPr>
        <w:numPr>
          <w:ilvl w:val="0"/>
          <w:numId w:val="116"/>
        </w:numPr>
        <w:spacing w:after="120" w:line="276" w:lineRule="auto"/>
        <w:ind w:left="1080"/>
        <w:jc w:val="both"/>
        <w:rPr>
          <w:rFonts w:ascii="Calibri" w:eastAsia="Calibri" w:hAnsi="Calibri"/>
        </w:rPr>
      </w:pPr>
      <w:r>
        <w:rPr>
          <w:rFonts w:ascii="Calibri" w:hAnsi="Calibri"/>
        </w:rPr>
        <w:t>27 calls launched, with a total value of 953.70 million EUR, representing a launch rate of 144.87% of the total allocation at program level;</w:t>
      </w:r>
    </w:p>
    <w:p w:rsidR="00BD4A3E" w:rsidRPr="00CE1614" w:rsidRDefault="00BD4A3E" w:rsidP="00021698">
      <w:pPr>
        <w:numPr>
          <w:ilvl w:val="0"/>
          <w:numId w:val="116"/>
        </w:numPr>
        <w:spacing w:after="120" w:line="276" w:lineRule="auto"/>
        <w:ind w:left="1080"/>
        <w:jc w:val="both"/>
        <w:rPr>
          <w:rFonts w:ascii="Calibri" w:eastAsia="Calibri" w:hAnsi="Calibri"/>
        </w:rPr>
      </w:pPr>
      <w:r>
        <w:rPr>
          <w:rFonts w:ascii="Calibri" w:hAnsi="Calibri"/>
        </w:rPr>
        <w:t>269 financing agreements signed, with a total eligible value of 248.66 million EUR, representing a contracting rate of 37.77% of the total allocation at program level;</w:t>
      </w:r>
    </w:p>
    <w:p w:rsidR="00BD4A3E" w:rsidRPr="00CE1614" w:rsidRDefault="00BD4A3E" w:rsidP="00021698">
      <w:pPr>
        <w:numPr>
          <w:ilvl w:val="0"/>
          <w:numId w:val="116"/>
        </w:numPr>
        <w:spacing w:after="120" w:line="276" w:lineRule="auto"/>
        <w:ind w:left="1080"/>
        <w:jc w:val="both"/>
        <w:rPr>
          <w:rFonts w:ascii="Calibri" w:eastAsia="Calibri" w:hAnsi="Calibri"/>
        </w:rPr>
      </w:pPr>
      <w:r>
        <w:rPr>
          <w:rFonts w:ascii="Calibri" w:hAnsi="Calibri"/>
        </w:rPr>
        <w:t>45.77 million EUR payments made within the program, which represents 8.27% of the EU allocation at program level;</w:t>
      </w:r>
    </w:p>
    <w:p w:rsidR="00BD4A3E" w:rsidRPr="00CE1614" w:rsidRDefault="00BD4A3E" w:rsidP="00021698">
      <w:pPr>
        <w:numPr>
          <w:ilvl w:val="0"/>
          <w:numId w:val="116"/>
        </w:numPr>
        <w:spacing w:after="120" w:line="276" w:lineRule="auto"/>
        <w:ind w:left="1080"/>
        <w:jc w:val="both"/>
        <w:rPr>
          <w:rFonts w:ascii="Calibri" w:eastAsia="Calibri" w:hAnsi="Calibri"/>
        </w:rPr>
      </w:pPr>
      <w:r>
        <w:rPr>
          <w:rFonts w:ascii="Calibri" w:hAnsi="Calibri"/>
        </w:rPr>
        <w:t>40.93 million EUR of EU contribution included in the expenditure statements sent to the CPA, which represents 7.40% of the EU allocation at program level.</w:t>
      </w:r>
    </w:p>
    <w:p w:rsidR="00BD4A3E" w:rsidRPr="00CE1614" w:rsidRDefault="00BD4A3E" w:rsidP="00021698">
      <w:pPr>
        <w:numPr>
          <w:ilvl w:val="0"/>
          <w:numId w:val="106"/>
        </w:numPr>
        <w:spacing w:after="120" w:line="276" w:lineRule="auto"/>
        <w:ind w:left="360"/>
        <w:jc w:val="both"/>
        <w:rPr>
          <w:rFonts w:ascii="Calibri" w:eastAsia="Calibri" w:hAnsi="Calibri"/>
          <w:b/>
          <w:i/>
        </w:rPr>
      </w:pPr>
      <w:r>
        <w:rPr>
          <w:rFonts w:ascii="Calibri" w:hAnsi="Calibri"/>
          <w:b/>
          <w:i/>
        </w:rPr>
        <w:t>The planned results that correspond to the Operational Program of Administrative Capacity (POCA) are the following:</w:t>
      </w:r>
    </w:p>
    <w:p w:rsidR="00BD4A3E" w:rsidRPr="00CE1614" w:rsidRDefault="00BD4A3E" w:rsidP="00021698">
      <w:pPr>
        <w:numPr>
          <w:ilvl w:val="0"/>
          <w:numId w:val="116"/>
        </w:numPr>
        <w:spacing w:after="120" w:line="276" w:lineRule="auto"/>
        <w:ind w:left="1080"/>
        <w:jc w:val="both"/>
        <w:rPr>
          <w:rFonts w:ascii="Calibri" w:eastAsia="Calibri" w:hAnsi="Calibri"/>
        </w:rPr>
      </w:pPr>
      <w:r>
        <w:rPr>
          <w:rFonts w:ascii="Calibri" w:hAnsi="Calibri"/>
        </w:rPr>
        <w:t>over-contracting of the projects up to 150%;</w:t>
      </w:r>
    </w:p>
    <w:p w:rsidR="00BD4A3E" w:rsidRPr="00CE1614" w:rsidRDefault="00BD4A3E" w:rsidP="00021698">
      <w:pPr>
        <w:numPr>
          <w:ilvl w:val="0"/>
          <w:numId w:val="116"/>
        </w:numPr>
        <w:spacing w:after="120" w:line="276" w:lineRule="auto"/>
        <w:ind w:left="1080"/>
        <w:jc w:val="both"/>
        <w:rPr>
          <w:rFonts w:ascii="Calibri" w:eastAsia="Calibri" w:hAnsi="Calibri"/>
        </w:rPr>
      </w:pPr>
      <w:r>
        <w:rPr>
          <w:rFonts w:ascii="Calibri" w:hAnsi="Calibri"/>
        </w:rPr>
        <w:t>a contracting rate of 100% of the POCA allocation;</w:t>
      </w:r>
    </w:p>
    <w:p w:rsidR="00BD4A3E" w:rsidRPr="00CE1614" w:rsidRDefault="00BD4A3E" w:rsidP="00BD4A3E">
      <w:pPr>
        <w:tabs>
          <w:tab w:val="left" w:pos="1080"/>
        </w:tabs>
        <w:spacing w:before="120" w:after="120"/>
        <w:jc w:val="both"/>
        <w:rPr>
          <w:rFonts w:ascii="Calibri" w:hAnsi="Calibri" w:cs="Arial"/>
          <w:bCs/>
        </w:rPr>
      </w:pPr>
      <w:r>
        <w:rPr>
          <w:rFonts w:ascii="Calibri" w:hAnsi="Calibri"/>
        </w:rPr>
        <w:t>reaching the payment targets in order to avoid the disengagement of approved funds.</w:t>
      </w:r>
    </w:p>
    <w:p w:rsidR="00E30C70" w:rsidRDefault="00E30C70" w:rsidP="00BD4A3E">
      <w:pPr>
        <w:keepLines/>
        <w:spacing w:before="40" w:beforeAutospacing="1" w:after="100" w:afterAutospacing="1"/>
        <w:ind w:left="720" w:hanging="360"/>
        <w:jc w:val="both"/>
        <w:outlineLvl w:val="2"/>
        <w:rPr>
          <w:rFonts w:ascii="Calibri" w:hAnsi="Calibri"/>
          <w:b/>
          <w:i/>
          <w:iCs/>
          <w:lang w:val="it-CH"/>
        </w:rPr>
      </w:pPr>
    </w:p>
    <w:p w:rsidR="00BD4A3E" w:rsidRPr="00BD4A3E" w:rsidRDefault="00BD4A3E" w:rsidP="00BD4A3E">
      <w:pPr>
        <w:keepLines/>
        <w:spacing w:before="40" w:beforeAutospacing="1" w:after="100" w:afterAutospacing="1"/>
        <w:ind w:left="720" w:hanging="360"/>
        <w:jc w:val="both"/>
        <w:outlineLvl w:val="2"/>
        <w:rPr>
          <w:rFonts w:ascii="Calibri" w:hAnsi="Calibri"/>
          <w:b/>
          <w:i/>
          <w:iCs/>
        </w:rPr>
      </w:pPr>
      <w:r>
        <w:rPr>
          <w:rFonts w:ascii="Calibri" w:hAnsi="Calibri"/>
          <w:b/>
          <w:i/>
          <w:iCs/>
        </w:rPr>
        <w:t>2.5.2.8 Cooperation programs:</w:t>
      </w:r>
    </w:p>
    <w:p w:rsidR="00BD4A3E" w:rsidRPr="00BD4A3E" w:rsidRDefault="00BD4A3E" w:rsidP="00BD4A3E">
      <w:pPr>
        <w:keepNext/>
        <w:jc w:val="both"/>
        <w:outlineLvl w:val="3"/>
        <w:rPr>
          <w:rFonts w:ascii="Calibri" w:eastAsia="Calibri" w:hAnsi="Calibri"/>
          <w:b/>
          <w:bCs/>
          <w:szCs w:val="20"/>
        </w:rPr>
      </w:pPr>
      <w:r>
        <w:rPr>
          <w:rFonts w:ascii="Calibri" w:hAnsi="Calibri"/>
          <w:b/>
          <w:bCs/>
          <w:szCs w:val="20"/>
        </w:rPr>
        <w:t xml:space="preserve">Cooperation programs that correspond to the cohesion policy of the EU, financed from the ERDF: </w:t>
      </w:r>
    </w:p>
    <w:p w:rsidR="00BD4A3E" w:rsidRPr="00BD4A3E" w:rsidRDefault="00BD4A3E" w:rsidP="00BD4A3E">
      <w:pPr>
        <w:tabs>
          <w:tab w:val="left" w:pos="612"/>
        </w:tabs>
        <w:spacing w:before="120" w:after="120"/>
        <w:contextualSpacing/>
        <w:jc w:val="both"/>
        <w:rPr>
          <w:rFonts w:ascii="Calibri" w:eastAsia="Calibri" w:hAnsi="Calibri" w:cs="Arial"/>
        </w:rPr>
      </w:pPr>
      <w:r>
        <w:rPr>
          <w:rFonts w:ascii="Calibri" w:hAnsi="Calibri"/>
          <w:b/>
        </w:rPr>
        <w:t>The Interreg V-A Romania-Bulgaria Program</w:t>
      </w:r>
      <w:r w:rsidRPr="00BD4A3E">
        <w:rPr>
          <w:rFonts w:ascii="Calibri" w:hAnsi="Calibri" w:cs="Arial"/>
          <w:sz w:val="22"/>
          <w:szCs w:val="22"/>
          <w:vertAlign w:val="superscript"/>
          <w:lang w:val="ro-RO"/>
        </w:rPr>
        <w:footnoteReference w:id="35"/>
      </w:r>
      <w:r>
        <w:rPr>
          <w:rFonts w:ascii="Calibri" w:hAnsi="Calibri"/>
        </w:rPr>
        <w:t>with a total budget of 258.50 million EUR, was approved on February 12, 2015 by the European Commission, the first call for projects being launched on March 25, 2015.</w:t>
      </w:r>
    </w:p>
    <w:p w:rsidR="00BD4A3E" w:rsidRPr="00BD4A3E" w:rsidRDefault="00BD4A3E" w:rsidP="00BD4A3E">
      <w:pPr>
        <w:spacing w:before="120" w:after="120"/>
        <w:contextualSpacing/>
        <w:jc w:val="both"/>
        <w:rPr>
          <w:rFonts w:ascii="Calibri" w:eastAsia="Calibri" w:hAnsi="Calibri" w:cs="Arial"/>
        </w:rPr>
      </w:pPr>
      <w:r>
        <w:rPr>
          <w:rFonts w:ascii="Calibri" w:hAnsi="Calibri"/>
        </w:rPr>
        <w:t>The financing fields were synthesized into the following priority axes:</w:t>
      </w:r>
    </w:p>
    <w:p w:rsidR="00BD4A3E" w:rsidRPr="00BD4A3E" w:rsidRDefault="00BD4A3E" w:rsidP="00BD4A3E">
      <w:pPr>
        <w:tabs>
          <w:tab w:val="left" w:pos="612"/>
        </w:tabs>
        <w:spacing w:after="120"/>
        <w:ind w:left="1440"/>
        <w:contextualSpacing/>
        <w:jc w:val="both"/>
        <w:rPr>
          <w:rFonts w:eastAsia="Calibri" w:cs="Arial"/>
          <w:szCs w:val="22"/>
        </w:rPr>
      </w:pPr>
      <w:r>
        <w:t>A well-connected region;</w:t>
      </w:r>
    </w:p>
    <w:p w:rsidR="00BD4A3E" w:rsidRPr="00BD4A3E" w:rsidRDefault="00BD4A3E" w:rsidP="00BD4A3E">
      <w:pPr>
        <w:tabs>
          <w:tab w:val="left" w:pos="612"/>
        </w:tabs>
        <w:spacing w:after="120"/>
        <w:ind w:left="1440"/>
        <w:contextualSpacing/>
        <w:jc w:val="both"/>
        <w:rPr>
          <w:rFonts w:eastAsia="Calibri" w:cs="Arial"/>
          <w:szCs w:val="22"/>
        </w:rPr>
      </w:pPr>
      <w:r>
        <w:t>A green region;</w:t>
      </w:r>
    </w:p>
    <w:p w:rsidR="00BD4A3E" w:rsidRPr="00BD4A3E" w:rsidRDefault="00BD4A3E" w:rsidP="00BD4A3E">
      <w:pPr>
        <w:tabs>
          <w:tab w:val="left" w:pos="612"/>
        </w:tabs>
        <w:spacing w:after="120"/>
        <w:ind w:left="1440"/>
        <w:contextualSpacing/>
        <w:jc w:val="both"/>
        <w:rPr>
          <w:rFonts w:eastAsia="Calibri" w:cs="Arial"/>
          <w:szCs w:val="22"/>
        </w:rPr>
      </w:pPr>
      <w:r>
        <w:t>A safe region;</w:t>
      </w:r>
    </w:p>
    <w:p w:rsidR="00BD4A3E" w:rsidRPr="00BD4A3E" w:rsidRDefault="00BD4A3E" w:rsidP="00BD4A3E">
      <w:pPr>
        <w:tabs>
          <w:tab w:val="left" w:pos="612"/>
        </w:tabs>
        <w:spacing w:after="120"/>
        <w:ind w:left="1440"/>
        <w:contextualSpacing/>
        <w:jc w:val="both"/>
        <w:rPr>
          <w:rFonts w:eastAsia="Calibri" w:cs="Arial"/>
          <w:szCs w:val="22"/>
        </w:rPr>
      </w:pPr>
      <w:r>
        <w:t>A qualified and inclusive region;</w:t>
      </w:r>
    </w:p>
    <w:p w:rsidR="00BD4A3E" w:rsidRPr="00BD4A3E" w:rsidRDefault="00BD4A3E" w:rsidP="00BD4A3E">
      <w:pPr>
        <w:tabs>
          <w:tab w:val="left" w:pos="612"/>
        </w:tabs>
        <w:spacing w:after="120"/>
        <w:ind w:left="1440"/>
        <w:contextualSpacing/>
        <w:jc w:val="both"/>
        <w:rPr>
          <w:rFonts w:eastAsia="Calibri" w:cs="Arial"/>
          <w:szCs w:val="22"/>
        </w:rPr>
      </w:pPr>
      <w:r>
        <w:t>An efficient region.</w:t>
      </w:r>
    </w:p>
    <w:p w:rsidR="00BD4A3E" w:rsidRPr="00BD4A3E" w:rsidRDefault="00BD4A3E" w:rsidP="00BD4A3E">
      <w:pPr>
        <w:tabs>
          <w:tab w:val="left" w:pos="612"/>
        </w:tabs>
        <w:spacing w:before="120" w:after="120"/>
        <w:contextualSpacing/>
        <w:jc w:val="both"/>
        <w:rPr>
          <w:rFonts w:ascii="Calibri" w:eastAsia="Calibri" w:hAnsi="Calibri" w:cs="Arial"/>
        </w:rPr>
      </w:pPr>
      <w:r>
        <w:rPr>
          <w:rFonts w:ascii="Calibri" w:hAnsi="Calibri"/>
        </w:rPr>
        <w:t xml:space="preserve">13.61% is the current absorption rate of the Program. The Program started the launch of calls for projects immediately after approval (March 2015). Currently, the contracting rate at Program level is of 93.82%. 125 projects are under implementation, 25 being already completed. In 2018, the Program took the decision of over-contracting, in order to ensure that all Program targets would be reached (including the maximization of the final absorption rate). Starting with 2016, the program has constantly taken measures of simplification, of reduction of the administrative burden, including the submission of projects being made electronically. The program uses simplified costs, the volume of documents necessary to be submitted by beneficiaries being thus considerably reduced.  </w:t>
      </w:r>
    </w:p>
    <w:p w:rsidR="00BD4A3E" w:rsidRPr="00BD4A3E" w:rsidRDefault="00BD4A3E" w:rsidP="00BD4A3E">
      <w:pPr>
        <w:tabs>
          <w:tab w:val="left" w:pos="612"/>
        </w:tabs>
        <w:spacing w:before="120" w:after="120"/>
        <w:ind w:left="360"/>
        <w:contextualSpacing/>
        <w:jc w:val="both"/>
        <w:rPr>
          <w:rFonts w:ascii="Calibri" w:eastAsia="Calibri" w:hAnsi="Calibri" w:cs="Arial"/>
          <w:sz w:val="16"/>
          <w:szCs w:val="16"/>
          <w:lang w:val="ro-RO"/>
        </w:rPr>
      </w:pPr>
    </w:p>
    <w:p w:rsidR="00BD4A3E" w:rsidRPr="00BD4A3E" w:rsidRDefault="00BD4A3E" w:rsidP="00BD4A3E">
      <w:pPr>
        <w:autoSpaceDE w:val="0"/>
        <w:autoSpaceDN w:val="0"/>
        <w:adjustRightInd w:val="0"/>
        <w:spacing w:before="120" w:after="120"/>
        <w:contextualSpacing/>
        <w:jc w:val="both"/>
        <w:rPr>
          <w:rFonts w:ascii="Calibri" w:eastAsia="Calibri" w:hAnsi="Calibri" w:cs="Arial"/>
        </w:rPr>
      </w:pPr>
      <w:r>
        <w:rPr>
          <w:rFonts w:ascii="Calibri" w:hAnsi="Calibri"/>
          <w:b/>
        </w:rPr>
        <w:t>The Interreg V-A Romania-Hungary Program</w:t>
      </w:r>
      <w:r w:rsidRPr="00BD4A3E">
        <w:rPr>
          <w:rFonts w:ascii="Calibri" w:hAnsi="Calibri" w:cs="Arial"/>
          <w:sz w:val="22"/>
          <w:szCs w:val="22"/>
          <w:vertAlign w:val="superscript"/>
          <w:lang w:val="ro-RO"/>
        </w:rPr>
        <w:footnoteReference w:id="36"/>
      </w:r>
      <w:r>
        <w:rPr>
          <w:rFonts w:ascii="Calibri" w:hAnsi="Calibri"/>
        </w:rPr>
        <w:t xml:space="preserve">was officially approved by the European Commission on December 9, 2015, with a total budget of 231.86 million EUR. </w:t>
      </w:r>
    </w:p>
    <w:p w:rsidR="00BD4A3E" w:rsidRPr="00BD4A3E" w:rsidRDefault="00BD4A3E" w:rsidP="00BD4A3E">
      <w:pPr>
        <w:tabs>
          <w:tab w:val="left" w:pos="612"/>
        </w:tabs>
        <w:spacing w:before="120" w:after="120"/>
        <w:contextualSpacing/>
        <w:jc w:val="both"/>
        <w:rPr>
          <w:rFonts w:ascii="Calibri" w:eastAsia="Calibri" w:hAnsi="Calibri" w:cs="Arial"/>
        </w:rPr>
      </w:pPr>
      <w:r>
        <w:rPr>
          <w:rFonts w:ascii="Calibri" w:hAnsi="Calibri"/>
        </w:rPr>
        <w:t>The financing fields were synthesized into the following priority axes:</w:t>
      </w:r>
    </w:p>
    <w:p w:rsidR="00BD4A3E" w:rsidRPr="00BD4A3E" w:rsidRDefault="00BD4A3E" w:rsidP="009F7237">
      <w:pPr>
        <w:numPr>
          <w:ilvl w:val="0"/>
          <w:numId w:val="18"/>
        </w:numPr>
        <w:tabs>
          <w:tab w:val="left" w:pos="612"/>
        </w:tabs>
        <w:spacing w:before="120" w:after="120"/>
        <w:ind w:left="360"/>
        <w:contextualSpacing/>
        <w:jc w:val="both"/>
        <w:rPr>
          <w:rFonts w:ascii="Calibri" w:eastAsia="Calibri" w:hAnsi="Calibri" w:cs="Arial"/>
        </w:rPr>
      </w:pPr>
      <w:r>
        <w:rPr>
          <w:rFonts w:ascii="Calibri" w:hAnsi="Calibri"/>
        </w:rPr>
        <w:t>Common protection and efficient use of common values and resources (Cooperation in the field of common values and resources);</w:t>
      </w:r>
    </w:p>
    <w:p w:rsidR="00BD4A3E" w:rsidRPr="00BD4A3E" w:rsidRDefault="00BD4A3E" w:rsidP="009F7237">
      <w:pPr>
        <w:numPr>
          <w:ilvl w:val="0"/>
          <w:numId w:val="18"/>
        </w:numPr>
        <w:tabs>
          <w:tab w:val="left" w:pos="612"/>
        </w:tabs>
        <w:spacing w:before="120" w:after="120"/>
        <w:ind w:left="360"/>
        <w:contextualSpacing/>
        <w:jc w:val="both"/>
        <w:rPr>
          <w:rFonts w:ascii="Calibri" w:eastAsia="Calibri" w:hAnsi="Calibri" w:cs="Arial"/>
        </w:rPr>
      </w:pPr>
      <w:r>
        <w:rPr>
          <w:rFonts w:ascii="Calibri" w:hAnsi="Calibri"/>
        </w:rPr>
        <w:t>Improving sustainable cross-border mobility and eliminating blockages (Cooperation in the field of accessibility);</w:t>
      </w:r>
    </w:p>
    <w:p w:rsidR="00BD4A3E" w:rsidRPr="00BD4A3E" w:rsidRDefault="00BD4A3E" w:rsidP="009F7237">
      <w:pPr>
        <w:numPr>
          <w:ilvl w:val="0"/>
          <w:numId w:val="18"/>
        </w:numPr>
        <w:tabs>
          <w:tab w:val="left" w:pos="612"/>
        </w:tabs>
        <w:spacing w:before="120" w:after="120"/>
        <w:ind w:left="360"/>
        <w:contextualSpacing/>
        <w:jc w:val="both"/>
        <w:rPr>
          <w:rFonts w:ascii="Calibri" w:eastAsia="Calibri" w:hAnsi="Calibri" w:cs="Arial"/>
        </w:rPr>
      </w:pPr>
      <w:r>
        <w:rPr>
          <w:rFonts w:ascii="Calibri" w:hAnsi="Calibri"/>
        </w:rPr>
        <w:t>Improving labor force occupation and promoting the mobility of cross-border labor force (Cooperation in the field of labor force occupation);</w:t>
      </w:r>
    </w:p>
    <w:p w:rsidR="00BD4A3E" w:rsidRPr="00BD4A3E" w:rsidRDefault="00BD4A3E" w:rsidP="009F7237">
      <w:pPr>
        <w:numPr>
          <w:ilvl w:val="0"/>
          <w:numId w:val="18"/>
        </w:numPr>
        <w:tabs>
          <w:tab w:val="left" w:pos="612"/>
        </w:tabs>
        <w:spacing w:before="120" w:after="120"/>
        <w:ind w:left="360"/>
        <w:contextualSpacing/>
        <w:jc w:val="both"/>
        <w:rPr>
          <w:rFonts w:ascii="Calibri" w:eastAsia="Calibri" w:hAnsi="Calibri" w:cs="Arial"/>
        </w:rPr>
      </w:pPr>
      <w:r>
        <w:rPr>
          <w:rFonts w:ascii="Calibri" w:hAnsi="Calibri"/>
        </w:rPr>
        <w:t>Improving health care services (Cooperation in the field of health and disease prevention);</w:t>
      </w:r>
    </w:p>
    <w:p w:rsidR="00BD4A3E" w:rsidRPr="00BD4A3E" w:rsidRDefault="00BD4A3E" w:rsidP="009F7237">
      <w:pPr>
        <w:numPr>
          <w:ilvl w:val="0"/>
          <w:numId w:val="18"/>
        </w:numPr>
        <w:tabs>
          <w:tab w:val="left" w:pos="612"/>
        </w:tabs>
        <w:spacing w:before="120" w:after="120"/>
        <w:ind w:left="360"/>
        <w:contextualSpacing/>
        <w:jc w:val="both"/>
        <w:rPr>
          <w:rFonts w:ascii="Calibri" w:eastAsia="Calibri" w:hAnsi="Calibri" w:cs="Arial"/>
        </w:rPr>
      </w:pPr>
      <w:r>
        <w:rPr>
          <w:rFonts w:ascii="Calibri" w:hAnsi="Calibri"/>
        </w:rPr>
        <w:t>Improving risk prevention and disaster management (Cooperation in the field of risk prevention and disaster management);</w:t>
      </w:r>
    </w:p>
    <w:p w:rsidR="00BD4A3E" w:rsidRPr="00BD4A3E" w:rsidRDefault="00BD4A3E" w:rsidP="009F7237">
      <w:pPr>
        <w:numPr>
          <w:ilvl w:val="0"/>
          <w:numId w:val="18"/>
        </w:numPr>
        <w:tabs>
          <w:tab w:val="left" w:pos="612"/>
        </w:tabs>
        <w:spacing w:before="120" w:after="120"/>
        <w:ind w:left="360"/>
        <w:contextualSpacing/>
        <w:jc w:val="both"/>
        <w:rPr>
          <w:rFonts w:ascii="Calibri" w:eastAsia="Calibri" w:hAnsi="Calibri" w:cs="Arial"/>
        </w:rPr>
      </w:pPr>
      <w:r>
        <w:rPr>
          <w:rFonts w:ascii="Calibri" w:hAnsi="Calibri"/>
        </w:rPr>
        <w:t>Promoting cross-border cooperation between institutions and citizens (Cooperation of institutions and communities).</w:t>
      </w:r>
    </w:p>
    <w:p w:rsidR="00BD4A3E" w:rsidRPr="00BD4A3E" w:rsidRDefault="00BD4A3E" w:rsidP="00BD4A3E">
      <w:pPr>
        <w:tabs>
          <w:tab w:val="left" w:pos="612"/>
        </w:tabs>
        <w:spacing w:before="120" w:after="120"/>
        <w:contextualSpacing/>
        <w:jc w:val="both"/>
        <w:rPr>
          <w:rFonts w:ascii="Calibri" w:eastAsia="Calibri" w:hAnsi="Calibri" w:cs="Arial"/>
          <w:lang w:val="ro-RO"/>
        </w:rPr>
      </w:pPr>
    </w:p>
    <w:p w:rsidR="00BD4A3E" w:rsidRPr="00BD4A3E" w:rsidRDefault="00BD4A3E" w:rsidP="00BD4A3E">
      <w:pPr>
        <w:tabs>
          <w:tab w:val="left" w:pos="851"/>
        </w:tabs>
        <w:spacing w:before="120" w:after="120"/>
        <w:contextualSpacing/>
        <w:jc w:val="both"/>
        <w:rPr>
          <w:rFonts w:ascii="Calibri" w:eastAsia="Calibri" w:hAnsi="Calibri" w:cs="Calibri"/>
        </w:rPr>
      </w:pPr>
      <w:r>
        <w:rPr>
          <w:rFonts w:ascii="Calibri" w:hAnsi="Calibri"/>
        </w:rPr>
        <w:t xml:space="preserve">Until this moment have been launched 6 calls for projects, 3 normal calls for projects and 3 strategic calls for projects, covering the entire value allocated to the 6 priority axes mentioned above. </w:t>
      </w:r>
    </w:p>
    <w:p w:rsidR="00BD4A3E" w:rsidRPr="00BD4A3E" w:rsidRDefault="00BD4A3E" w:rsidP="00BD4A3E">
      <w:pPr>
        <w:tabs>
          <w:tab w:val="left" w:pos="851"/>
        </w:tabs>
        <w:spacing w:before="120" w:after="120"/>
        <w:contextualSpacing/>
        <w:jc w:val="both"/>
        <w:rPr>
          <w:rFonts w:ascii="Calibri" w:eastAsia="Calibri" w:hAnsi="Calibri" w:cs="Calibri"/>
        </w:rPr>
      </w:pPr>
      <w:r>
        <w:rPr>
          <w:rFonts w:ascii="Calibri" w:hAnsi="Calibri"/>
        </w:rPr>
        <w:t>All calls launched within the program have been closed.</w:t>
      </w:r>
    </w:p>
    <w:p w:rsidR="00BD4A3E" w:rsidRPr="00BD4A3E" w:rsidRDefault="00BD4A3E" w:rsidP="00BD4A3E">
      <w:pPr>
        <w:tabs>
          <w:tab w:val="left" w:pos="851"/>
        </w:tabs>
        <w:spacing w:before="120" w:after="120"/>
        <w:contextualSpacing/>
        <w:jc w:val="both"/>
        <w:rPr>
          <w:rFonts w:ascii="Calibri" w:eastAsia="Calibri" w:hAnsi="Calibri" w:cs="Calibri"/>
        </w:rPr>
      </w:pPr>
      <w:r>
        <w:rPr>
          <w:rFonts w:ascii="Calibri" w:hAnsi="Calibri"/>
        </w:rPr>
        <w:t>The current status is the following:</w:t>
      </w:r>
    </w:p>
    <w:p w:rsidR="00BD4A3E" w:rsidRPr="00BD4A3E" w:rsidRDefault="00BD4A3E" w:rsidP="00021698">
      <w:pPr>
        <w:numPr>
          <w:ilvl w:val="0"/>
          <w:numId w:val="122"/>
        </w:numPr>
        <w:tabs>
          <w:tab w:val="left" w:pos="851"/>
        </w:tabs>
        <w:spacing w:before="120" w:after="120"/>
        <w:contextualSpacing/>
        <w:jc w:val="both"/>
        <w:rPr>
          <w:rFonts w:ascii="Calibri" w:eastAsia="Calibri" w:hAnsi="Calibri" w:cs="Calibri"/>
        </w:rPr>
      </w:pPr>
      <w:r>
        <w:rPr>
          <w:rFonts w:ascii="Calibri" w:hAnsi="Calibri"/>
        </w:rPr>
        <w:t>the applications for financing submitted within call 1 for normal projects have been contracted and are in the implementation stage;</w:t>
      </w:r>
    </w:p>
    <w:p w:rsidR="00BD4A3E" w:rsidRPr="00BD4A3E" w:rsidRDefault="00BD4A3E" w:rsidP="00021698">
      <w:pPr>
        <w:numPr>
          <w:ilvl w:val="0"/>
          <w:numId w:val="122"/>
        </w:numPr>
        <w:tabs>
          <w:tab w:val="left" w:pos="851"/>
        </w:tabs>
        <w:spacing w:before="120" w:after="120"/>
        <w:contextualSpacing/>
        <w:jc w:val="both"/>
        <w:rPr>
          <w:rFonts w:ascii="Calibri" w:eastAsia="Calibri" w:hAnsi="Calibri" w:cs="Calibri"/>
        </w:rPr>
      </w:pPr>
      <w:r>
        <w:rPr>
          <w:rFonts w:ascii="Calibri" w:hAnsi="Calibri"/>
        </w:rPr>
        <w:t>for the applications submitted within the strategic calls was contracted the conceptual note stage;</w:t>
      </w:r>
    </w:p>
    <w:p w:rsidR="00BD4A3E" w:rsidRPr="00BD4A3E" w:rsidRDefault="00BD4A3E" w:rsidP="00021698">
      <w:pPr>
        <w:numPr>
          <w:ilvl w:val="0"/>
          <w:numId w:val="122"/>
        </w:numPr>
        <w:tabs>
          <w:tab w:val="left" w:pos="851"/>
        </w:tabs>
        <w:spacing w:before="120" w:after="120"/>
        <w:contextualSpacing/>
        <w:jc w:val="both"/>
        <w:rPr>
          <w:rFonts w:ascii="Calibri" w:eastAsia="Calibri" w:hAnsi="Calibri" w:cs="Calibri"/>
        </w:rPr>
      </w:pPr>
      <w:r>
        <w:rPr>
          <w:rFonts w:ascii="Calibri" w:hAnsi="Calibri"/>
        </w:rPr>
        <w:t xml:space="preserve">the applications for financing that correspond to call 2 for normal projects are in the pre-contracting stage; </w:t>
      </w:r>
    </w:p>
    <w:p w:rsidR="00BD4A3E" w:rsidRPr="00BD4A3E" w:rsidRDefault="00BD4A3E" w:rsidP="00021698">
      <w:pPr>
        <w:numPr>
          <w:ilvl w:val="0"/>
          <w:numId w:val="122"/>
        </w:numPr>
        <w:tabs>
          <w:tab w:val="left" w:pos="851"/>
        </w:tabs>
        <w:spacing w:before="120" w:after="120"/>
        <w:contextualSpacing/>
        <w:jc w:val="both"/>
        <w:rPr>
          <w:rFonts w:ascii="Calibri" w:eastAsia="Calibri" w:hAnsi="Calibri" w:cs="Calibri"/>
        </w:rPr>
      </w:pPr>
      <w:r>
        <w:rPr>
          <w:rFonts w:ascii="Calibri" w:hAnsi="Calibri"/>
        </w:rPr>
        <w:t>the applications for financing that correspond to call 3 for normal projects are in the assessment stage</w:t>
      </w:r>
    </w:p>
    <w:p w:rsidR="00BD4A3E" w:rsidRPr="003964D3" w:rsidRDefault="00BD4A3E" w:rsidP="00BD4A3E">
      <w:pPr>
        <w:tabs>
          <w:tab w:val="left" w:pos="851"/>
        </w:tabs>
        <w:spacing w:before="120" w:after="120"/>
        <w:contextualSpacing/>
        <w:jc w:val="both"/>
        <w:rPr>
          <w:rFonts w:ascii="Calibri" w:eastAsia="Calibri" w:hAnsi="Calibri" w:cs="Calibri"/>
        </w:rPr>
      </w:pPr>
      <w:r>
        <w:rPr>
          <w:rFonts w:ascii="Calibri" w:hAnsi="Calibri"/>
        </w:rPr>
        <w:tab/>
        <w:t>Until the present have been certified by the EC expenditures of 1.22 billion EUR ERDF, representing 0.64% of the ERDF allocation of the Program.</w:t>
      </w:r>
    </w:p>
    <w:p w:rsidR="00BD4A3E" w:rsidRPr="00BD4A3E" w:rsidRDefault="00BD4A3E" w:rsidP="00BD4A3E">
      <w:pPr>
        <w:tabs>
          <w:tab w:val="left" w:pos="612"/>
        </w:tabs>
        <w:spacing w:before="120" w:after="120"/>
        <w:ind w:left="360"/>
        <w:contextualSpacing/>
        <w:jc w:val="both"/>
        <w:rPr>
          <w:rFonts w:ascii="Calibri" w:eastAsia="Calibri" w:hAnsi="Calibri" w:cs="Arial"/>
          <w:sz w:val="16"/>
          <w:szCs w:val="16"/>
          <w:lang w:val="ro-RO"/>
        </w:rPr>
      </w:pPr>
    </w:p>
    <w:p w:rsidR="00BD4A3E" w:rsidRPr="00BD4A3E" w:rsidRDefault="00BD4A3E" w:rsidP="00BD4A3E">
      <w:pPr>
        <w:autoSpaceDE w:val="0"/>
        <w:autoSpaceDN w:val="0"/>
        <w:adjustRightInd w:val="0"/>
        <w:spacing w:before="120" w:after="120"/>
        <w:contextualSpacing/>
        <w:jc w:val="both"/>
        <w:rPr>
          <w:rFonts w:ascii="Calibri" w:eastAsia="Calibri" w:hAnsi="Calibri" w:cs="Arial"/>
        </w:rPr>
      </w:pPr>
      <w:r>
        <w:rPr>
          <w:rFonts w:ascii="Calibri" w:hAnsi="Calibri"/>
          <w:b/>
        </w:rPr>
        <w:t>The Cross-nation program Danube</w:t>
      </w:r>
      <w:r w:rsidRPr="00BD4A3E">
        <w:rPr>
          <w:rFonts w:ascii="Calibri" w:hAnsi="Calibri" w:cs="Arial"/>
          <w:sz w:val="22"/>
          <w:szCs w:val="22"/>
          <w:vertAlign w:val="superscript"/>
          <w:lang w:val="ro-RO"/>
        </w:rPr>
        <w:footnoteReference w:id="37"/>
      </w:r>
      <w:r>
        <w:rPr>
          <w:rFonts w:ascii="Calibri" w:hAnsi="Calibri"/>
        </w:rPr>
        <w:t xml:space="preserve">was officially approved by the European Commission on August 20, 2015, having its Management Authority in Hungary. This program has a total budget of 262.99 million EUR, of which 202.10 million EUR ERDF financing. </w:t>
      </w:r>
    </w:p>
    <w:p w:rsidR="00BD4A3E" w:rsidRPr="00BD4A3E" w:rsidRDefault="00BD4A3E" w:rsidP="00BD4A3E">
      <w:pPr>
        <w:tabs>
          <w:tab w:val="left" w:pos="612"/>
        </w:tabs>
        <w:spacing w:before="120" w:after="120"/>
        <w:contextualSpacing/>
        <w:jc w:val="both"/>
        <w:rPr>
          <w:rFonts w:ascii="Calibri" w:eastAsia="Calibri" w:hAnsi="Calibri" w:cs="Arial"/>
        </w:rPr>
      </w:pPr>
      <w:r>
        <w:rPr>
          <w:rFonts w:ascii="Calibri" w:hAnsi="Calibri"/>
        </w:rPr>
        <w:t>The financing fields were included into the following priority axes:</w:t>
      </w:r>
    </w:p>
    <w:p w:rsidR="00BD4A3E" w:rsidRPr="00BD4A3E" w:rsidRDefault="00BD4A3E" w:rsidP="00BD4A3E">
      <w:pPr>
        <w:tabs>
          <w:tab w:val="left" w:pos="612"/>
        </w:tabs>
        <w:spacing w:before="120" w:after="120"/>
        <w:ind w:left="612"/>
        <w:contextualSpacing/>
        <w:jc w:val="both"/>
        <w:rPr>
          <w:rFonts w:ascii="Calibri" w:eastAsia="Calibri" w:hAnsi="Calibri" w:cs="Arial"/>
        </w:rPr>
      </w:pPr>
      <w:r>
        <w:rPr>
          <w:rFonts w:ascii="Calibri" w:hAnsi="Calibri"/>
        </w:rPr>
        <w:t>Priority axis 1 - Innovation and social responsibility in the Danube Region;</w:t>
      </w:r>
    </w:p>
    <w:p w:rsidR="00BD4A3E" w:rsidRPr="00BD4A3E" w:rsidRDefault="00BD4A3E" w:rsidP="00BD4A3E">
      <w:pPr>
        <w:tabs>
          <w:tab w:val="left" w:pos="612"/>
        </w:tabs>
        <w:spacing w:before="120" w:after="120"/>
        <w:ind w:left="612"/>
        <w:contextualSpacing/>
        <w:jc w:val="both"/>
        <w:rPr>
          <w:rFonts w:ascii="Calibri" w:eastAsia="Calibri" w:hAnsi="Calibri" w:cs="Arial"/>
        </w:rPr>
      </w:pPr>
      <w:r>
        <w:rPr>
          <w:rFonts w:ascii="Calibri" w:hAnsi="Calibri"/>
        </w:rPr>
        <w:t>Priority axis 2 - Responsibility towards the environment and culture in the Danube Region;</w:t>
      </w:r>
    </w:p>
    <w:p w:rsidR="00BD4A3E" w:rsidRPr="00BD4A3E" w:rsidRDefault="00BD4A3E" w:rsidP="00BD4A3E">
      <w:pPr>
        <w:tabs>
          <w:tab w:val="left" w:pos="612"/>
        </w:tabs>
        <w:spacing w:before="120" w:after="120"/>
        <w:ind w:left="612"/>
        <w:contextualSpacing/>
        <w:jc w:val="both"/>
        <w:rPr>
          <w:rFonts w:ascii="Calibri" w:eastAsia="Calibri" w:hAnsi="Calibri" w:cs="Arial"/>
        </w:rPr>
      </w:pPr>
      <w:r>
        <w:rPr>
          <w:rFonts w:ascii="Calibri" w:hAnsi="Calibri"/>
        </w:rPr>
        <w:t>Priority axis 3 - Connectivity in the Danube Region;</w:t>
      </w:r>
    </w:p>
    <w:p w:rsidR="00BD4A3E" w:rsidRPr="00BD4A3E" w:rsidRDefault="00BD4A3E" w:rsidP="00BD4A3E">
      <w:pPr>
        <w:tabs>
          <w:tab w:val="left" w:pos="612"/>
        </w:tabs>
        <w:spacing w:before="120" w:after="120"/>
        <w:ind w:left="612"/>
        <w:contextualSpacing/>
        <w:jc w:val="both"/>
        <w:rPr>
          <w:rFonts w:ascii="Calibri" w:eastAsia="Calibri" w:hAnsi="Calibri" w:cs="Arial"/>
        </w:rPr>
      </w:pPr>
      <w:r>
        <w:rPr>
          <w:rFonts w:ascii="Calibri" w:hAnsi="Calibri"/>
        </w:rPr>
        <w:t>Priority axis 4 - Good governance in the Danube Region;</w:t>
      </w:r>
    </w:p>
    <w:p w:rsidR="00BD4A3E" w:rsidRPr="00BD4A3E" w:rsidRDefault="00BD4A3E" w:rsidP="00BD4A3E">
      <w:pPr>
        <w:tabs>
          <w:tab w:val="left" w:pos="612"/>
        </w:tabs>
        <w:spacing w:before="120" w:after="120"/>
        <w:ind w:left="612"/>
        <w:contextualSpacing/>
        <w:jc w:val="both"/>
        <w:rPr>
          <w:rFonts w:ascii="Calibri" w:eastAsia="Calibri" w:hAnsi="Calibri" w:cs="Arial"/>
        </w:rPr>
      </w:pPr>
      <w:r>
        <w:rPr>
          <w:rFonts w:ascii="Calibri" w:hAnsi="Calibri"/>
        </w:rPr>
        <w:t>Priority axis 5 - Technical assistance dedicated to financing the program management structures and the activities thereof - Facilitating the program's implementation.</w:t>
      </w:r>
    </w:p>
    <w:p w:rsidR="00BD4A3E" w:rsidRPr="00BD4A3E" w:rsidRDefault="00BD4A3E" w:rsidP="00BD4A3E">
      <w:pPr>
        <w:tabs>
          <w:tab w:val="left" w:pos="612"/>
        </w:tabs>
        <w:spacing w:before="120" w:after="120"/>
        <w:ind w:left="612"/>
        <w:contextualSpacing/>
        <w:jc w:val="both"/>
        <w:rPr>
          <w:rFonts w:ascii="Calibri" w:eastAsia="Calibri" w:hAnsi="Calibri" w:cs="Arial"/>
          <w:lang w:val="ro-RO"/>
        </w:rPr>
      </w:pPr>
    </w:p>
    <w:p w:rsidR="00BD4A3E" w:rsidRPr="00BD4A3E" w:rsidRDefault="00BD4A3E" w:rsidP="00BD4A3E">
      <w:pPr>
        <w:tabs>
          <w:tab w:val="left" w:pos="612"/>
        </w:tabs>
        <w:spacing w:before="120" w:after="120"/>
        <w:contextualSpacing/>
        <w:jc w:val="both"/>
        <w:rPr>
          <w:rFonts w:ascii="Calibri" w:eastAsia="Calibri" w:hAnsi="Calibri" w:cs="Arial"/>
        </w:rPr>
      </w:pPr>
      <w:r>
        <w:rPr>
          <w:rFonts w:ascii="Calibri" w:hAnsi="Calibri"/>
        </w:rPr>
        <w:t>The status on October 17, 2018 is the following:</w:t>
      </w:r>
    </w:p>
    <w:p w:rsidR="00BD4A3E" w:rsidRPr="00BD4A3E" w:rsidRDefault="00BD4A3E" w:rsidP="00BD4A3E">
      <w:pPr>
        <w:tabs>
          <w:tab w:val="left" w:pos="567"/>
        </w:tabs>
        <w:spacing w:before="120" w:after="120"/>
        <w:contextualSpacing/>
        <w:jc w:val="both"/>
        <w:rPr>
          <w:rFonts w:ascii="Calibri" w:eastAsia="Calibri" w:hAnsi="Calibri" w:cs="Arial"/>
        </w:rPr>
      </w:pPr>
      <w:r>
        <w:rPr>
          <w:rFonts w:ascii="Calibri" w:hAnsi="Calibri"/>
        </w:rPr>
        <w:tab/>
        <w:t>Three types of calls for projects were approved:</w:t>
      </w:r>
    </w:p>
    <w:p w:rsidR="00BD4A3E" w:rsidRPr="00BD4A3E" w:rsidRDefault="00BD4A3E" w:rsidP="00021698">
      <w:pPr>
        <w:numPr>
          <w:ilvl w:val="0"/>
          <w:numId w:val="119"/>
        </w:numPr>
        <w:tabs>
          <w:tab w:val="left" w:pos="567"/>
        </w:tabs>
        <w:spacing w:before="120" w:after="120"/>
        <w:contextualSpacing/>
        <w:jc w:val="both"/>
        <w:rPr>
          <w:rFonts w:ascii="Calibri" w:eastAsia="Calibri" w:hAnsi="Calibri" w:cs="Arial"/>
        </w:rPr>
      </w:pPr>
      <w:r>
        <w:rPr>
          <w:rFonts w:ascii="Calibri" w:hAnsi="Calibri"/>
        </w:rPr>
        <w:t>2 calls dedicated to cross-nation projects: currently, there are under implementation the projects corresponding to the first call, with a contracted budget of approximately 91 million EUR ERDF, and those corresponding to the second call have a budget of approximately 33.9 million EUR ERDF;</w:t>
      </w:r>
    </w:p>
    <w:p w:rsidR="00BD4A3E" w:rsidRPr="00BD4A3E" w:rsidRDefault="00BD4A3E" w:rsidP="00021698">
      <w:pPr>
        <w:numPr>
          <w:ilvl w:val="0"/>
          <w:numId w:val="119"/>
        </w:numPr>
        <w:tabs>
          <w:tab w:val="left" w:pos="567"/>
        </w:tabs>
        <w:spacing w:before="120" w:after="120"/>
        <w:contextualSpacing/>
        <w:jc w:val="both"/>
        <w:rPr>
          <w:rFonts w:ascii="Calibri" w:eastAsia="Calibri" w:hAnsi="Calibri" w:cs="Arial"/>
        </w:rPr>
      </w:pPr>
      <w:r>
        <w:rPr>
          <w:rFonts w:ascii="Calibri" w:hAnsi="Calibri"/>
        </w:rPr>
        <w:t>1 call for projects dedicated to the Coordinators of SUERD Priority Areas whose projects are under implementation, with a contracted budget of approximately 3.6 million EUR ERDF;</w:t>
      </w:r>
    </w:p>
    <w:p w:rsidR="00BD4A3E" w:rsidRPr="00BD4A3E" w:rsidRDefault="00BD4A3E" w:rsidP="00021698">
      <w:pPr>
        <w:numPr>
          <w:ilvl w:val="0"/>
          <w:numId w:val="119"/>
        </w:numPr>
        <w:tabs>
          <w:tab w:val="left" w:pos="567"/>
        </w:tabs>
        <w:spacing w:before="120" w:after="120"/>
        <w:contextualSpacing/>
        <w:jc w:val="both"/>
        <w:rPr>
          <w:rFonts w:ascii="Calibri" w:eastAsia="Calibri" w:hAnsi="Calibri" w:cs="Arial"/>
        </w:rPr>
      </w:pPr>
      <w:r>
        <w:rPr>
          <w:rFonts w:ascii="Calibri" w:hAnsi="Calibri"/>
        </w:rPr>
        <w:t xml:space="preserve">1 call for projects type “Seed money facility”, under implementation, with a budget of approximately 724 thousand EUR ERDF.  </w:t>
      </w:r>
    </w:p>
    <w:p w:rsidR="00BD4A3E" w:rsidRPr="00BD4A3E" w:rsidRDefault="00BD4A3E" w:rsidP="00BD4A3E">
      <w:pPr>
        <w:tabs>
          <w:tab w:val="left" w:pos="612"/>
        </w:tabs>
        <w:spacing w:before="120" w:after="120"/>
        <w:contextualSpacing/>
        <w:jc w:val="both"/>
        <w:rPr>
          <w:rFonts w:ascii="Calibri" w:eastAsia="Calibri" w:hAnsi="Calibri" w:cs="Arial"/>
          <w:sz w:val="16"/>
          <w:szCs w:val="16"/>
          <w:lang w:val="ro-RO"/>
        </w:rPr>
      </w:pPr>
    </w:p>
    <w:p w:rsidR="00BD4A3E" w:rsidRPr="00BD4A3E" w:rsidRDefault="00BD4A3E" w:rsidP="00BD4A3E">
      <w:pPr>
        <w:tabs>
          <w:tab w:val="left" w:pos="612"/>
        </w:tabs>
        <w:spacing w:before="120" w:after="120"/>
        <w:contextualSpacing/>
        <w:jc w:val="both"/>
        <w:rPr>
          <w:rFonts w:ascii="Calibri" w:eastAsia="Calibri" w:hAnsi="Calibri" w:cs="Arial"/>
        </w:rPr>
      </w:pPr>
      <w:r>
        <w:rPr>
          <w:rFonts w:ascii="Calibri" w:hAnsi="Calibri"/>
          <w:b/>
        </w:rPr>
        <w:t>The Inter-regional Cooperation Program INTERREG EUROPE</w:t>
      </w:r>
      <w:r w:rsidRPr="00BD4A3E">
        <w:rPr>
          <w:rFonts w:ascii="Calibri" w:hAnsi="Calibri" w:cs="Arial"/>
          <w:sz w:val="22"/>
          <w:szCs w:val="22"/>
          <w:vertAlign w:val="superscript"/>
          <w:lang w:val="ro-RO"/>
        </w:rPr>
        <w:footnoteReference w:id="38"/>
      </w:r>
      <w:r>
        <w:rPr>
          <w:rFonts w:ascii="Calibri" w:hAnsi="Calibri"/>
        </w:rPr>
        <w:t xml:space="preserve">was officially approved by the European Commission on June 11, 2015, having its Management Authority in France. This program has a total budget of 426.31 million EUR, of which 359.33 million EUR ERDF financing. The first call for projects was opened between June 22 and July 31, 2015. </w:t>
      </w:r>
    </w:p>
    <w:p w:rsidR="00BD4A3E" w:rsidRPr="003964D3" w:rsidRDefault="00BD4A3E" w:rsidP="00BD4A3E">
      <w:pPr>
        <w:tabs>
          <w:tab w:val="left" w:pos="612"/>
        </w:tabs>
        <w:contextualSpacing/>
        <w:jc w:val="both"/>
        <w:rPr>
          <w:rFonts w:ascii="Calibri" w:eastAsia="Calibri" w:hAnsi="Calibri" w:cs="Arial"/>
        </w:rPr>
      </w:pPr>
      <w:r>
        <w:rPr>
          <w:rFonts w:ascii="Calibri" w:hAnsi="Calibri"/>
        </w:rPr>
        <w:t>The financing fields were included into the following priority axes:</w:t>
      </w:r>
    </w:p>
    <w:p w:rsidR="00BD4A3E" w:rsidRPr="00BD4A3E" w:rsidRDefault="00BD4A3E" w:rsidP="009F7237">
      <w:pPr>
        <w:numPr>
          <w:ilvl w:val="0"/>
          <w:numId w:val="19"/>
        </w:numPr>
        <w:tabs>
          <w:tab w:val="left" w:pos="851"/>
        </w:tabs>
        <w:contextualSpacing/>
        <w:jc w:val="both"/>
        <w:rPr>
          <w:rFonts w:ascii="Calibri" w:hAnsi="Calibri" w:cs="Arial"/>
        </w:rPr>
      </w:pPr>
      <w:r>
        <w:rPr>
          <w:rFonts w:ascii="Calibri" w:hAnsi="Calibri"/>
        </w:rPr>
        <w:t>Consolidating the research, technological development and innovation;</w:t>
      </w:r>
    </w:p>
    <w:p w:rsidR="00BD4A3E" w:rsidRPr="00BD4A3E" w:rsidRDefault="00BD4A3E" w:rsidP="009F7237">
      <w:pPr>
        <w:numPr>
          <w:ilvl w:val="0"/>
          <w:numId w:val="19"/>
        </w:numPr>
        <w:tabs>
          <w:tab w:val="left" w:pos="851"/>
        </w:tabs>
        <w:contextualSpacing/>
        <w:jc w:val="both"/>
        <w:rPr>
          <w:rFonts w:ascii="Calibri" w:hAnsi="Calibri" w:cs="Arial"/>
        </w:rPr>
      </w:pPr>
      <w:r>
        <w:rPr>
          <w:rFonts w:ascii="Calibri" w:hAnsi="Calibri"/>
        </w:rPr>
        <w:t>Improving the competitiveness of SMEs;</w:t>
      </w:r>
    </w:p>
    <w:p w:rsidR="00BD4A3E" w:rsidRPr="00BD4A3E" w:rsidRDefault="00BD4A3E" w:rsidP="009F7237">
      <w:pPr>
        <w:numPr>
          <w:ilvl w:val="0"/>
          <w:numId w:val="19"/>
        </w:numPr>
        <w:tabs>
          <w:tab w:val="left" w:pos="851"/>
        </w:tabs>
        <w:contextualSpacing/>
        <w:jc w:val="both"/>
        <w:rPr>
          <w:rFonts w:ascii="Calibri" w:hAnsi="Calibri" w:cs="Arial"/>
        </w:rPr>
      </w:pPr>
      <w:r>
        <w:rPr>
          <w:rFonts w:ascii="Calibri" w:hAnsi="Calibri"/>
        </w:rPr>
        <w:t>Supporting the transition towards an economy with low carbon dioxide emissions in all sectors;</w:t>
      </w:r>
    </w:p>
    <w:p w:rsidR="00BD4A3E" w:rsidRPr="00BD4A3E" w:rsidRDefault="00BD4A3E" w:rsidP="009F7237">
      <w:pPr>
        <w:numPr>
          <w:ilvl w:val="0"/>
          <w:numId w:val="19"/>
        </w:numPr>
        <w:tabs>
          <w:tab w:val="left" w:pos="851"/>
        </w:tabs>
        <w:contextualSpacing/>
        <w:jc w:val="both"/>
        <w:rPr>
          <w:rFonts w:ascii="Calibri" w:hAnsi="Calibri" w:cs="Arial"/>
        </w:rPr>
      </w:pPr>
      <w:r>
        <w:rPr>
          <w:rFonts w:ascii="Calibri" w:hAnsi="Calibri"/>
        </w:rPr>
        <w:t>Environmental conservation and protection and promoting the efficient use of resources.</w:t>
      </w:r>
    </w:p>
    <w:p w:rsidR="00BD4A3E" w:rsidRPr="00BD4A3E" w:rsidRDefault="00BD4A3E" w:rsidP="00BD4A3E">
      <w:pPr>
        <w:tabs>
          <w:tab w:val="left" w:pos="851"/>
        </w:tabs>
        <w:ind w:left="720"/>
        <w:contextualSpacing/>
        <w:jc w:val="both"/>
        <w:rPr>
          <w:rFonts w:ascii="Calibri" w:hAnsi="Calibri" w:cs="Arial"/>
          <w:lang w:val="ro-RO"/>
        </w:rPr>
      </w:pPr>
    </w:p>
    <w:p w:rsidR="00BD4A3E" w:rsidRPr="00CE1614" w:rsidRDefault="00BD4A3E" w:rsidP="00BD4A3E">
      <w:pPr>
        <w:tabs>
          <w:tab w:val="left" w:pos="851"/>
        </w:tabs>
        <w:spacing w:line="276" w:lineRule="auto"/>
        <w:contextualSpacing/>
        <w:jc w:val="both"/>
        <w:rPr>
          <w:rFonts w:ascii="Calibri" w:eastAsia="Calibri" w:hAnsi="Calibri" w:cs="Arial"/>
        </w:rPr>
      </w:pPr>
      <w:r>
        <w:rPr>
          <w:rFonts w:ascii="Calibri" w:hAnsi="Calibri"/>
        </w:rPr>
        <w:t>The status on November 15, 2018 is the following:</w:t>
      </w:r>
    </w:p>
    <w:p w:rsidR="00BD4A3E" w:rsidRPr="00CE1614" w:rsidRDefault="00BD4A3E" w:rsidP="00021698">
      <w:pPr>
        <w:numPr>
          <w:ilvl w:val="0"/>
          <w:numId w:val="119"/>
        </w:numPr>
        <w:tabs>
          <w:tab w:val="left" w:pos="567"/>
        </w:tabs>
        <w:spacing w:before="120" w:after="120"/>
        <w:ind w:left="426"/>
        <w:contextualSpacing/>
        <w:jc w:val="both"/>
        <w:rPr>
          <w:rFonts w:ascii="Calibri" w:eastAsia="Calibri" w:hAnsi="Calibri" w:cs="Arial"/>
        </w:rPr>
      </w:pPr>
      <w:r>
        <w:rPr>
          <w:rFonts w:ascii="Calibri" w:hAnsi="Calibri"/>
        </w:rPr>
        <w:t>184 Projects were approved within the 3 calls, of which 80 with beneficiaries from Romania, the budget of ERDF corresponding to the Romanian partners being of approximately 10.2 million EUR;</w:t>
      </w:r>
    </w:p>
    <w:p w:rsidR="00BD4A3E" w:rsidRPr="00CE1614" w:rsidRDefault="00BD4A3E" w:rsidP="00021698">
      <w:pPr>
        <w:numPr>
          <w:ilvl w:val="0"/>
          <w:numId w:val="119"/>
        </w:numPr>
        <w:tabs>
          <w:tab w:val="left" w:pos="567"/>
        </w:tabs>
        <w:spacing w:before="120" w:after="120"/>
        <w:ind w:left="426"/>
        <w:contextualSpacing/>
        <w:jc w:val="both"/>
        <w:rPr>
          <w:rFonts w:ascii="Calibri" w:eastAsia="Calibri" w:hAnsi="Calibri" w:cs="Arial"/>
        </w:rPr>
      </w:pPr>
      <w:r>
        <w:rPr>
          <w:rFonts w:ascii="Calibri" w:hAnsi="Calibri"/>
        </w:rPr>
        <w:t>The fourth call for projects is under assessment, with a total budget of approximately 74 million EUR.</w:t>
      </w:r>
    </w:p>
    <w:p w:rsidR="00BD4A3E" w:rsidRPr="00CE1614" w:rsidRDefault="00BD4A3E" w:rsidP="00BD4A3E">
      <w:pPr>
        <w:tabs>
          <w:tab w:val="left" w:pos="851"/>
        </w:tabs>
        <w:contextualSpacing/>
        <w:jc w:val="both"/>
        <w:rPr>
          <w:rFonts w:ascii="Calibri" w:hAnsi="Calibri" w:cs="Arial"/>
          <w:lang w:val="ro-RO"/>
        </w:rPr>
      </w:pPr>
    </w:p>
    <w:p w:rsidR="00BD4A3E" w:rsidRPr="00BD4A3E" w:rsidRDefault="00BD4A3E" w:rsidP="00BD4A3E">
      <w:pPr>
        <w:tabs>
          <w:tab w:val="left" w:pos="612"/>
        </w:tabs>
        <w:spacing w:before="120" w:after="120"/>
        <w:contextualSpacing/>
        <w:jc w:val="both"/>
        <w:rPr>
          <w:rFonts w:ascii="Calibri" w:eastAsia="Calibri" w:hAnsi="Calibri" w:cs="Arial"/>
        </w:rPr>
      </w:pPr>
      <w:r>
        <w:rPr>
          <w:rFonts w:ascii="Calibri" w:hAnsi="Calibri"/>
          <w:b/>
        </w:rPr>
        <w:t>The URBACT III Inter-regional cooperation program</w:t>
      </w:r>
      <w:r w:rsidRPr="00CE1614">
        <w:rPr>
          <w:rFonts w:ascii="Calibri" w:hAnsi="Calibri" w:cs="Arial"/>
          <w:vertAlign w:val="superscript"/>
          <w:lang w:val="ro-RO"/>
        </w:rPr>
        <w:footnoteReference w:id="39"/>
      </w:r>
      <w:r>
        <w:rPr>
          <w:rFonts w:ascii="Calibri" w:hAnsi="Calibri"/>
          <w:b/>
        </w:rPr>
        <w:t xml:space="preserve"> </w:t>
      </w:r>
      <w:r>
        <w:rPr>
          <w:rFonts w:ascii="Calibri" w:hAnsi="Calibri"/>
        </w:rPr>
        <w:t>was approved through decision C(2014) 9857 of December 12, 2014, having is Management Authority in France. This program, with a total budget of 96,324,550 EUR, of which 74.30 million EUR financing from ERDF, had its launching event on March 16, 2015 in Brussels. The financing fields were generically comprised into a single priority axis: Supporting sustainable urban development</w:t>
      </w:r>
    </w:p>
    <w:p w:rsidR="00BD4A3E" w:rsidRPr="00BD4A3E" w:rsidRDefault="00BD4A3E" w:rsidP="00BD4A3E">
      <w:pPr>
        <w:tabs>
          <w:tab w:val="left" w:pos="612"/>
        </w:tabs>
        <w:spacing w:before="120" w:after="120"/>
        <w:contextualSpacing/>
        <w:jc w:val="both"/>
        <w:rPr>
          <w:rFonts w:ascii="Calibri" w:eastAsia="Calibri" w:hAnsi="Calibri" w:cs="Arial"/>
          <w:lang w:val="ro-RO"/>
        </w:rPr>
      </w:pPr>
    </w:p>
    <w:p w:rsidR="00BD4A3E" w:rsidRPr="00BD4A3E" w:rsidRDefault="00BD4A3E" w:rsidP="00BD4A3E">
      <w:pPr>
        <w:tabs>
          <w:tab w:val="left" w:pos="612"/>
        </w:tabs>
        <w:spacing w:before="120" w:after="120"/>
        <w:contextualSpacing/>
        <w:jc w:val="both"/>
        <w:rPr>
          <w:rFonts w:ascii="Calibri" w:hAnsi="Calibri" w:cs="Arial"/>
        </w:rPr>
      </w:pPr>
      <w:r>
        <w:rPr>
          <w:rFonts w:ascii="Calibri" w:hAnsi="Calibri"/>
        </w:rPr>
        <w:t>The first call for the Action Planning Networks were opened between March 30 and June 16, 2015, concluded with the approval of 21 Networks, through the decision of the Monitoring Committee on September 11, 2015. The second URBACT call launched for the financing of the Implementation Networks was opened between March 2016 and June 2016, 7 networks were approved, through the decision of the Monitoring Committee on October 10, 2015.</w:t>
      </w:r>
    </w:p>
    <w:p w:rsidR="00BD4A3E" w:rsidRPr="00BD4A3E" w:rsidRDefault="00BD4A3E" w:rsidP="00BD4A3E">
      <w:pPr>
        <w:tabs>
          <w:tab w:val="left" w:pos="612"/>
        </w:tabs>
        <w:spacing w:before="120" w:after="120"/>
        <w:contextualSpacing/>
        <w:jc w:val="both"/>
        <w:rPr>
          <w:rFonts w:ascii="Calibri" w:hAnsi="Calibri" w:cs="Arial"/>
        </w:rPr>
      </w:pPr>
      <w:r>
        <w:rPr>
          <w:rFonts w:ascii="Calibri" w:hAnsi="Calibri"/>
        </w:rPr>
        <w:t xml:space="preserve">Stage I of the third Call, for the Formation of Transfer Networks, carried out between September 2017 and January 2018, ended with the approval of 25 projects, following the decision of the Monitoring Committee of April 4, 2018. </w:t>
      </w:r>
    </w:p>
    <w:p w:rsidR="00BD4A3E" w:rsidRPr="00BD4A3E" w:rsidRDefault="00BD4A3E" w:rsidP="00BD4A3E">
      <w:pPr>
        <w:tabs>
          <w:tab w:val="left" w:pos="851"/>
        </w:tabs>
        <w:spacing w:line="276" w:lineRule="auto"/>
        <w:contextualSpacing/>
        <w:jc w:val="both"/>
        <w:rPr>
          <w:rFonts w:eastAsia="Calibri" w:cs="Arial"/>
        </w:rPr>
      </w:pPr>
      <w:r>
        <w:t>The status on November 15, 2018 is the following:</w:t>
      </w:r>
    </w:p>
    <w:p w:rsidR="00BD4A3E" w:rsidRPr="00BD4A3E" w:rsidRDefault="00BD4A3E" w:rsidP="00021698">
      <w:pPr>
        <w:numPr>
          <w:ilvl w:val="0"/>
          <w:numId w:val="120"/>
        </w:numPr>
        <w:spacing w:before="120" w:after="120"/>
        <w:contextualSpacing/>
        <w:jc w:val="both"/>
        <w:rPr>
          <w:rFonts w:ascii="Calibri" w:eastAsia="Calibri" w:hAnsi="Calibri" w:cs="Arial"/>
        </w:rPr>
      </w:pPr>
      <w:r>
        <w:rPr>
          <w:rFonts w:ascii="Calibri" w:hAnsi="Calibri"/>
        </w:rPr>
        <w:t>Three calls were approved, having 53 Networks, of which 17 with beneficiaries from Romania (10 Action Planning Networks, with an ERDF budget allocated to the Romanian beneficiaries of 463,482.00 EUR and 3 Implementation Networks, with an ERDF budget allocated to the Romanian beneficiaries of 111 370.00 EUR and 4 Transfer Networks with an ERDF budget approved for stage I for the Romanian beneficiaries of 70,184.42 EUR);</w:t>
      </w:r>
    </w:p>
    <w:p w:rsidR="00BD4A3E" w:rsidRPr="00BD4A3E" w:rsidRDefault="00BD4A3E" w:rsidP="00021698">
      <w:pPr>
        <w:numPr>
          <w:ilvl w:val="0"/>
          <w:numId w:val="120"/>
        </w:numPr>
        <w:jc w:val="both"/>
        <w:rPr>
          <w:rFonts w:ascii="Calibri" w:eastAsia="Calibri" w:hAnsi="Calibri" w:cs="Arial"/>
        </w:rPr>
      </w:pPr>
      <w:r>
        <w:rPr>
          <w:rFonts w:ascii="Calibri" w:hAnsi="Calibri"/>
        </w:rPr>
        <w:t>In December 2018 will be completed the partnerships within the Transfer Networks, where the number of beneficiaries and, implicitly, the budgets of the projects, shall extend for each of the 25 approved projects;</w:t>
      </w:r>
    </w:p>
    <w:p w:rsidR="00BD4A3E" w:rsidRPr="00BD4A3E" w:rsidRDefault="00BD4A3E" w:rsidP="00021698">
      <w:pPr>
        <w:numPr>
          <w:ilvl w:val="0"/>
          <w:numId w:val="120"/>
        </w:numPr>
        <w:jc w:val="both"/>
        <w:rPr>
          <w:rFonts w:ascii="Calibri" w:eastAsia="Calibri" w:hAnsi="Calibri" w:cs="Arial"/>
        </w:rPr>
      </w:pPr>
      <w:r>
        <w:rPr>
          <w:rFonts w:ascii="Calibri" w:hAnsi="Calibri"/>
        </w:rPr>
        <w:t>the next call for projects for the Action Planning Networks will be in January 2019.</w:t>
      </w:r>
    </w:p>
    <w:p w:rsidR="00BD4A3E" w:rsidRPr="00BD4A3E" w:rsidRDefault="00BD4A3E" w:rsidP="00BD4A3E">
      <w:pPr>
        <w:tabs>
          <w:tab w:val="left" w:pos="612"/>
        </w:tabs>
        <w:spacing w:before="120" w:after="120"/>
        <w:contextualSpacing/>
        <w:jc w:val="both"/>
        <w:rPr>
          <w:rFonts w:ascii="Calibri" w:hAnsi="Calibri" w:cs="Arial"/>
          <w:lang w:val="ro-RO"/>
        </w:rPr>
      </w:pPr>
    </w:p>
    <w:p w:rsidR="00BD4A3E" w:rsidRPr="00BD4A3E" w:rsidRDefault="00BD4A3E" w:rsidP="00BD4A3E">
      <w:pPr>
        <w:tabs>
          <w:tab w:val="left" w:pos="612"/>
        </w:tabs>
        <w:spacing w:before="120" w:after="120"/>
        <w:contextualSpacing/>
        <w:jc w:val="both"/>
        <w:rPr>
          <w:rFonts w:ascii="Calibri" w:eastAsia="Calibri" w:hAnsi="Calibri" w:cs="Arial"/>
        </w:rPr>
      </w:pPr>
      <w:r>
        <w:rPr>
          <w:rFonts w:ascii="Calibri" w:hAnsi="Calibri"/>
          <w:b/>
        </w:rPr>
        <w:t>The INTERACT III Inter-regional cooperation program</w:t>
      </w:r>
      <w:r w:rsidRPr="00BD4A3E">
        <w:rPr>
          <w:rFonts w:ascii="Calibri" w:hAnsi="Calibri" w:cs="Arial"/>
          <w:sz w:val="22"/>
          <w:szCs w:val="22"/>
          <w:vertAlign w:val="superscript"/>
          <w:lang w:val="ro-RO"/>
        </w:rPr>
        <w:footnoteReference w:id="40"/>
      </w:r>
      <w:r>
        <w:rPr>
          <w:rFonts w:ascii="Calibri" w:hAnsi="Calibri"/>
          <w:b/>
        </w:rPr>
        <w:t xml:space="preserve"> </w:t>
      </w:r>
      <w:r>
        <w:rPr>
          <w:rFonts w:ascii="Calibri" w:hAnsi="Calibri"/>
        </w:rPr>
        <w:t>was approved by the European Commission through decision C(2015) 5855 of August 13, 2015, having is Management Authority in Slovakia. The program’s objective is to award technical assistance to the other European territorial cooperation programs in increasing the administrative capacity for management and control, identifying and capitalizing the results, implementing innovative approaches (GECT, macro-regional strategies, ITI, etc.). The program’s budget is of 39.40 million EUR ERDF, to which are added 163,530 EUR contribution of Switzerland and Norway.</w:t>
      </w:r>
    </w:p>
    <w:p w:rsidR="00BD4A3E" w:rsidRPr="00BD4A3E" w:rsidRDefault="00BD4A3E" w:rsidP="00BD4A3E">
      <w:pPr>
        <w:tabs>
          <w:tab w:val="left" w:pos="612"/>
        </w:tabs>
        <w:spacing w:before="120" w:after="120"/>
        <w:contextualSpacing/>
        <w:jc w:val="both"/>
        <w:rPr>
          <w:rFonts w:ascii="Calibri" w:eastAsia="Calibri" w:hAnsi="Calibri" w:cs="Arial"/>
          <w:lang w:val="ro-RO"/>
        </w:rPr>
      </w:pPr>
    </w:p>
    <w:p w:rsidR="00BD4A3E" w:rsidRPr="00BD4A3E" w:rsidRDefault="00BD4A3E" w:rsidP="00BD4A3E">
      <w:pPr>
        <w:keepNext/>
        <w:jc w:val="both"/>
        <w:outlineLvl w:val="3"/>
        <w:rPr>
          <w:rFonts w:ascii="Calibri" w:eastAsia="Calibri" w:hAnsi="Calibri"/>
          <w:b/>
          <w:bCs/>
          <w:szCs w:val="20"/>
        </w:rPr>
      </w:pPr>
      <w:r>
        <w:rPr>
          <w:rFonts w:ascii="Calibri" w:hAnsi="Calibri"/>
          <w:b/>
          <w:bCs/>
          <w:szCs w:val="20"/>
        </w:rPr>
        <w:t>The IPA cross-border cooperation program between Romania and the Republic of Serbia for 2014-2020</w:t>
      </w:r>
      <w:r w:rsidRPr="00BD4A3E">
        <w:rPr>
          <w:rFonts w:ascii="Calibri" w:hAnsi="Calibri" w:cs="Arial"/>
          <w:b/>
          <w:bCs/>
          <w:sz w:val="22"/>
          <w:szCs w:val="22"/>
          <w:vertAlign w:val="superscript"/>
          <w:lang w:val="ro-RO"/>
        </w:rPr>
        <w:footnoteReference w:id="41"/>
      </w:r>
      <w:r>
        <w:rPr>
          <w:rFonts w:ascii="Calibri" w:hAnsi="Calibri"/>
          <w:bCs/>
          <w:szCs w:val="20"/>
        </w:rPr>
        <w:t>was approved through decision</w:t>
      </w:r>
      <w:r>
        <w:rPr>
          <w:rFonts w:ascii="Calibri" w:hAnsi="Calibri"/>
        </w:rPr>
        <w:t xml:space="preserve"> C(2015) 5667 of August 6, 2015 - in the capacity of Management Authority. This program has a total budget of 88,124,999 EUR, of which 74,906,248 IPA funds.</w:t>
      </w:r>
    </w:p>
    <w:p w:rsidR="00BD4A3E" w:rsidRPr="00BD4A3E" w:rsidRDefault="00BD4A3E" w:rsidP="00BD4A3E">
      <w:pPr>
        <w:tabs>
          <w:tab w:val="left" w:pos="612"/>
        </w:tabs>
        <w:spacing w:before="120" w:after="120"/>
        <w:jc w:val="both"/>
        <w:rPr>
          <w:rFonts w:ascii="Calibri" w:eastAsia="Calibri" w:hAnsi="Calibri" w:cs="Arial"/>
        </w:rPr>
      </w:pPr>
      <w:r>
        <w:rPr>
          <w:rFonts w:ascii="Calibri" w:hAnsi="Calibri"/>
        </w:rPr>
        <w:t>Until this moment have been signed 38 agreements (including Technical Assistance), with a value of 50.7 million EUR, IPA funds, for which were declared to the EC expenditures for 13.24 million EUR IPA, resulting an absorption rate of 17.67%.   The EC has reimbursed until the present 5.11 million EUR. The payments made until this moment amount to 10.1 million EUR IPA (including advances).</w:t>
      </w:r>
    </w:p>
    <w:p w:rsidR="00BD4A3E" w:rsidRPr="00BD4A3E" w:rsidRDefault="00BD4A3E" w:rsidP="00BD4A3E">
      <w:pPr>
        <w:tabs>
          <w:tab w:val="left" w:pos="270"/>
          <w:tab w:val="left" w:pos="612"/>
        </w:tabs>
        <w:spacing w:before="120" w:after="120"/>
        <w:jc w:val="both"/>
        <w:rPr>
          <w:rFonts w:ascii="Calibri" w:eastAsia="Calibri" w:hAnsi="Calibri" w:cs="Arial"/>
        </w:rPr>
      </w:pPr>
      <w:r>
        <w:rPr>
          <w:rFonts w:ascii="Calibri" w:hAnsi="Calibri"/>
        </w:rPr>
        <w:t>The financing fields were synthesized into the following 4 priority axes:</w:t>
      </w:r>
    </w:p>
    <w:p w:rsidR="00BD4A3E" w:rsidRPr="00BD4A3E" w:rsidRDefault="00BD4A3E" w:rsidP="00021698">
      <w:pPr>
        <w:numPr>
          <w:ilvl w:val="0"/>
          <w:numId w:val="120"/>
        </w:numPr>
        <w:tabs>
          <w:tab w:val="left" w:pos="709"/>
        </w:tabs>
        <w:spacing w:line="276" w:lineRule="auto"/>
        <w:contextualSpacing/>
        <w:jc w:val="both"/>
        <w:rPr>
          <w:rFonts w:eastAsia="Calibri" w:cs="Arial"/>
          <w:szCs w:val="22"/>
        </w:rPr>
      </w:pPr>
      <w:r>
        <w:t>Promoting the occupation of the labor force and services for a favorable increase of inclusion;</w:t>
      </w:r>
    </w:p>
    <w:p w:rsidR="00BD4A3E" w:rsidRPr="00BD4A3E" w:rsidRDefault="00BD4A3E" w:rsidP="00021698">
      <w:pPr>
        <w:numPr>
          <w:ilvl w:val="0"/>
          <w:numId w:val="120"/>
        </w:numPr>
        <w:tabs>
          <w:tab w:val="left" w:pos="709"/>
        </w:tabs>
        <w:spacing w:line="276" w:lineRule="auto"/>
        <w:contextualSpacing/>
        <w:jc w:val="both"/>
        <w:rPr>
          <w:rFonts w:eastAsia="Calibri" w:cs="Arial"/>
          <w:szCs w:val="22"/>
        </w:rPr>
      </w:pPr>
      <w:r>
        <w:t>Environmental protection and risk management;</w:t>
      </w:r>
    </w:p>
    <w:p w:rsidR="00BD4A3E" w:rsidRPr="00BD4A3E" w:rsidRDefault="00BD4A3E" w:rsidP="00021698">
      <w:pPr>
        <w:numPr>
          <w:ilvl w:val="0"/>
          <w:numId w:val="120"/>
        </w:numPr>
        <w:tabs>
          <w:tab w:val="left" w:pos="709"/>
        </w:tabs>
        <w:spacing w:line="276" w:lineRule="auto"/>
        <w:contextualSpacing/>
        <w:jc w:val="both"/>
        <w:rPr>
          <w:rFonts w:eastAsia="Calibri" w:cs="Arial"/>
          <w:szCs w:val="22"/>
        </w:rPr>
      </w:pPr>
      <w:r>
        <w:t>Sustainable mobility and accessibility;</w:t>
      </w:r>
    </w:p>
    <w:p w:rsidR="00BD4A3E" w:rsidRPr="00BD4A3E" w:rsidRDefault="00BD4A3E" w:rsidP="00021698">
      <w:pPr>
        <w:numPr>
          <w:ilvl w:val="0"/>
          <w:numId w:val="120"/>
        </w:numPr>
        <w:tabs>
          <w:tab w:val="left" w:pos="709"/>
        </w:tabs>
        <w:spacing w:line="276" w:lineRule="auto"/>
        <w:contextualSpacing/>
        <w:jc w:val="both"/>
        <w:rPr>
          <w:rFonts w:eastAsia="Calibri" w:cs="Arial"/>
          <w:szCs w:val="22"/>
        </w:rPr>
      </w:pPr>
      <w:r>
        <w:t>Attractiveness for sustainable tourism.</w:t>
      </w:r>
    </w:p>
    <w:p w:rsidR="00BD4A3E" w:rsidRPr="00BD4A3E" w:rsidRDefault="00BD4A3E" w:rsidP="00BD4A3E">
      <w:pPr>
        <w:tabs>
          <w:tab w:val="left" w:pos="709"/>
        </w:tabs>
        <w:spacing w:line="276" w:lineRule="auto"/>
        <w:ind w:left="720"/>
        <w:contextualSpacing/>
        <w:jc w:val="both"/>
        <w:rPr>
          <w:rFonts w:eastAsia="Calibri" w:cs="Arial"/>
          <w:szCs w:val="22"/>
          <w:lang w:val="ro-RO"/>
        </w:rPr>
      </w:pPr>
    </w:p>
    <w:p w:rsidR="00BD4A3E" w:rsidRPr="00BD4A3E" w:rsidRDefault="00BD4A3E" w:rsidP="00BD4A3E">
      <w:pPr>
        <w:keepNext/>
        <w:spacing w:before="120"/>
        <w:jc w:val="both"/>
        <w:outlineLvl w:val="3"/>
        <w:rPr>
          <w:rFonts w:ascii="Calibri" w:eastAsia="Calibri" w:hAnsi="Calibri"/>
          <w:b/>
          <w:bCs/>
          <w:szCs w:val="20"/>
        </w:rPr>
      </w:pPr>
      <w:r>
        <w:rPr>
          <w:rFonts w:ascii="Calibri" w:hAnsi="Calibri"/>
          <w:b/>
          <w:bCs/>
          <w:szCs w:val="20"/>
        </w:rPr>
        <w:t>Cooperation programs that correspond to the neighboring policy of the EU, financed from the ENI:</w:t>
      </w:r>
    </w:p>
    <w:p w:rsidR="00BD4A3E" w:rsidRPr="00BD4A3E" w:rsidRDefault="00BD4A3E" w:rsidP="00BD4A3E">
      <w:pPr>
        <w:tabs>
          <w:tab w:val="left" w:pos="270"/>
          <w:tab w:val="left" w:pos="612"/>
        </w:tabs>
        <w:spacing w:before="120"/>
        <w:jc w:val="both"/>
        <w:rPr>
          <w:rFonts w:ascii="Calibri" w:eastAsia="Calibri" w:hAnsi="Calibri" w:cs="Arial"/>
        </w:rPr>
      </w:pPr>
      <w:r>
        <w:rPr>
          <w:rFonts w:ascii="Calibri" w:hAnsi="Calibri"/>
          <w:b/>
          <w:u w:val="single"/>
        </w:rPr>
        <w:t>The Common Romania - Ukraine Operational Program for 2014-2020</w:t>
      </w:r>
      <w:r w:rsidRPr="00BD4A3E">
        <w:rPr>
          <w:rFonts w:ascii="Calibri" w:hAnsi="Calibri" w:cs="Arial"/>
          <w:sz w:val="22"/>
          <w:szCs w:val="22"/>
          <w:vertAlign w:val="superscript"/>
          <w:lang w:val="ro-RO"/>
        </w:rPr>
        <w:footnoteReference w:id="42"/>
      </w:r>
      <w:r>
        <w:rPr>
          <w:rFonts w:ascii="Calibri" w:hAnsi="Calibri"/>
        </w:rPr>
        <w:t>was officially approved by the European Commission on December 17, 2015, with a budget of 66 million EUR. The financing fields were synthesized into the following priority axes:</w:t>
      </w:r>
    </w:p>
    <w:p w:rsidR="00BD4A3E" w:rsidRPr="00BD4A3E" w:rsidRDefault="00BD4A3E" w:rsidP="00021698">
      <w:pPr>
        <w:numPr>
          <w:ilvl w:val="0"/>
          <w:numId w:val="123"/>
        </w:numPr>
        <w:tabs>
          <w:tab w:val="left" w:pos="709"/>
        </w:tabs>
        <w:contextualSpacing/>
        <w:jc w:val="both"/>
        <w:rPr>
          <w:rFonts w:ascii="Calibri" w:eastAsia="Calibri" w:hAnsi="Calibri" w:cs="Arial"/>
        </w:rPr>
      </w:pPr>
      <w:r>
        <w:rPr>
          <w:rFonts w:ascii="Calibri" w:hAnsi="Calibri"/>
        </w:rPr>
        <w:t>Institutional cooperation in education for increasing access to education and education quality;</w:t>
      </w:r>
    </w:p>
    <w:p w:rsidR="00BD4A3E" w:rsidRPr="00BD4A3E" w:rsidRDefault="00BD4A3E" w:rsidP="00021698">
      <w:pPr>
        <w:numPr>
          <w:ilvl w:val="0"/>
          <w:numId w:val="123"/>
        </w:numPr>
        <w:tabs>
          <w:tab w:val="left" w:pos="709"/>
        </w:tabs>
        <w:contextualSpacing/>
        <w:jc w:val="both"/>
        <w:rPr>
          <w:rFonts w:ascii="Calibri" w:eastAsia="Calibri" w:hAnsi="Calibri" w:cs="Arial"/>
        </w:rPr>
      </w:pPr>
      <w:r>
        <w:rPr>
          <w:rFonts w:ascii="Calibri" w:hAnsi="Calibri"/>
        </w:rPr>
        <w:t>Promotion and support for research and innovation;</w:t>
      </w:r>
    </w:p>
    <w:p w:rsidR="00BD4A3E" w:rsidRPr="00BD4A3E" w:rsidRDefault="00BD4A3E" w:rsidP="00021698">
      <w:pPr>
        <w:numPr>
          <w:ilvl w:val="0"/>
          <w:numId w:val="123"/>
        </w:numPr>
        <w:tabs>
          <w:tab w:val="left" w:pos="709"/>
        </w:tabs>
        <w:spacing w:before="120" w:after="120"/>
        <w:contextualSpacing/>
        <w:jc w:val="both"/>
        <w:rPr>
          <w:rFonts w:ascii="Calibri" w:eastAsia="Calibri" w:hAnsi="Calibri" w:cs="Arial"/>
        </w:rPr>
      </w:pPr>
      <w:r>
        <w:rPr>
          <w:rFonts w:ascii="Calibri" w:hAnsi="Calibri"/>
        </w:rPr>
        <w:t>Conservation and promotion of the cultural and historical patrimony;</w:t>
      </w:r>
    </w:p>
    <w:p w:rsidR="00BD4A3E" w:rsidRPr="00BD4A3E" w:rsidRDefault="00BD4A3E" w:rsidP="00021698">
      <w:pPr>
        <w:numPr>
          <w:ilvl w:val="0"/>
          <w:numId w:val="123"/>
        </w:numPr>
        <w:tabs>
          <w:tab w:val="left" w:pos="709"/>
        </w:tabs>
        <w:spacing w:before="120" w:after="120"/>
        <w:contextualSpacing/>
        <w:jc w:val="both"/>
        <w:rPr>
          <w:rFonts w:ascii="Calibri" w:eastAsia="Calibri" w:hAnsi="Calibri" w:cs="Arial"/>
        </w:rPr>
      </w:pPr>
      <w:r>
        <w:rPr>
          <w:rFonts w:ascii="Calibri" w:hAnsi="Calibri"/>
        </w:rPr>
        <w:t>Development of the cross-border transport infrastructure and of ICT tools;</w:t>
      </w:r>
    </w:p>
    <w:p w:rsidR="00BD4A3E" w:rsidRPr="00BD4A3E" w:rsidRDefault="00BD4A3E" w:rsidP="00021698">
      <w:pPr>
        <w:numPr>
          <w:ilvl w:val="0"/>
          <w:numId w:val="123"/>
        </w:numPr>
        <w:tabs>
          <w:tab w:val="left" w:pos="709"/>
        </w:tabs>
        <w:spacing w:before="120" w:after="120"/>
        <w:contextualSpacing/>
        <w:jc w:val="both"/>
        <w:rPr>
          <w:rFonts w:ascii="Calibri" w:eastAsia="Calibri" w:hAnsi="Calibri" w:cs="Arial"/>
        </w:rPr>
      </w:pPr>
      <w:r>
        <w:rPr>
          <w:rFonts w:ascii="Calibri" w:hAnsi="Calibri"/>
        </w:rPr>
        <w:t>Support for the development of health services and access to health;</w:t>
      </w:r>
    </w:p>
    <w:p w:rsidR="00BD4A3E" w:rsidRPr="00BD4A3E" w:rsidRDefault="00BD4A3E" w:rsidP="00021698">
      <w:pPr>
        <w:numPr>
          <w:ilvl w:val="0"/>
          <w:numId w:val="123"/>
        </w:numPr>
        <w:tabs>
          <w:tab w:val="left" w:pos="709"/>
        </w:tabs>
        <w:spacing w:before="120" w:after="120"/>
        <w:contextualSpacing/>
        <w:jc w:val="both"/>
        <w:rPr>
          <w:rFonts w:ascii="Calibri" w:eastAsia="Calibri" w:hAnsi="Calibri" w:cs="Arial"/>
        </w:rPr>
      </w:pPr>
      <w:r>
        <w:rPr>
          <w:rFonts w:ascii="Calibri" w:hAnsi="Calibri"/>
        </w:rPr>
        <w:t>Support for common activities of prevention of natural disasters or men made disasters, as well as common actions in emergency situations;</w:t>
      </w:r>
    </w:p>
    <w:p w:rsidR="00BD4A3E" w:rsidRPr="00BD4A3E" w:rsidRDefault="00BD4A3E" w:rsidP="00021698">
      <w:pPr>
        <w:numPr>
          <w:ilvl w:val="0"/>
          <w:numId w:val="123"/>
        </w:numPr>
        <w:tabs>
          <w:tab w:val="left" w:pos="709"/>
        </w:tabs>
        <w:spacing w:before="120" w:after="120"/>
        <w:contextualSpacing/>
        <w:jc w:val="both"/>
        <w:rPr>
          <w:rFonts w:ascii="Calibri" w:eastAsia="Calibri" w:hAnsi="Calibri" w:cs="Arial"/>
        </w:rPr>
      </w:pPr>
      <w:r>
        <w:rPr>
          <w:rFonts w:ascii="Calibri" w:hAnsi="Calibri"/>
        </w:rPr>
        <w:t>Prevention and fight against organized crime and police cooperation.</w:t>
      </w:r>
    </w:p>
    <w:p w:rsidR="00BD4A3E" w:rsidRPr="00BD4A3E" w:rsidRDefault="00BD4A3E" w:rsidP="00BD4A3E">
      <w:pPr>
        <w:tabs>
          <w:tab w:val="left" w:pos="612"/>
        </w:tabs>
        <w:spacing w:before="120" w:after="120"/>
        <w:ind w:left="360"/>
        <w:contextualSpacing/>
        <w:jc w:val="both"/>
        <w:rPr>
          <w:rFonts w:ascii="Calibri" w:eastAsia="Calibri" w:hAnsi="Calibri" w:cs="Arial"/>
          <w:lang w:val="ro-RO"/>
        </w:rPr>
      </w:pPr>
    </w:p>
    <w:p w:rsidR="00BD4A3E" w:rsidRPr="00BD4A3E" w:rsidRDefault="00BD4A3E" w:rsidP="00BD4A3E">
      <w:pPr>
        <w:tabs>
          <w:tab w:val="left" w:pos="270"/>
          <w:tab w:val="left" w:pos="612"/>
        </w:tabs>
        <w:jc w:val="both"/>
        <w:rPr>
          <w:rFonts w:ascii="Calibri" w:eastAsia="Calibri" w:hAnsi="Calibri" w:cs="Arial"/>
        </w:rPr>
      </w:pPr>
      <w:r>
        <w:rPr>
          <w:rFonts w:ascii="Calibri" w:hAnsi="Calibri"/>
          <w:b/>
          <w:u w:val="single"/>
        </w:rPr>
        <w:t>The Common Romania - the Republic of Moldova Operational Program for 2014-2020</w:t>
      </w:r>
      <w:r w:rsidRPr="00BD4A3E">
        <w:rPr>
          <w:rFonts w:ascii="Calibri" w:hAnsi="Calibri" w:cs="Arial"/>
          <w:sz w:val="22"/>
          <w:szCs w:val="22"/>
          <w:vertAlign w:val="superscript"/>
          <w:lang w:val="ro-RO"/>
        </w:rPr>
        <w:footnoteReference w:id="43"/>
      </w:r>
      <w:r>
        <w:rPr>
          <w:rFonts w:ascii="Calibri" w:hAnsi="Calibri"/>
        </w:rPr>
        <w:t>was officially approved by the European Commission on December 17, 2015, with a total budget of 89.10 million EUR. The financing fields were synthesized into the following priority axes:</w:t>
      </w:r>
    </w:p>
    <w:p w:rsidR="00BD4A3E" w:rsidRPr="00BD4A3E" w:rsidRDefault="00BD4A3E" w:rsidP="00021698">
      <w:pPr>
        <w:numPr>
          <w:ilvl w:val="0"/>
          <w:numId w:val="124"/>
        </w:numPr>
        <w:tabs>
          <w:tab w:val="left" w:pos="709"/>
        </w:tabs>
        <w:contextualSpacing/>
        <w:jc w:val="both"/>
        <w:rPr>
          <w:rFonts w:ascii="Calibri" w:eastAsia="Calibri" w:hAnsi="Calibri" w:cs="Arial"/>
        </w:rPr>
      </w:pPr>
      <w:r>
        <w:rPr>
          <w:rFonts w:ascii="Calibri" w:hAnsi="Calibri"/>
        </w:rPr>
        <w:t>Institutional cooperation in education for increasing access to education and education quality;</w:t>
      </w:r>
    </w:p>
    <w:p w:rsidR="00BD4A3E" w:rsidRPr="00BD4A3E" w:rsidRDefault="00BD4A3E" w:rsidP="00021698">
      <w:pPr>
        <w:numPr>
          <w:ilvl w:val="0"/>
          <w:numId w:val="124"/>
        </w:numPr>
        <w:tabs>
          <w:tab w:val="left" w:pos="709"/>
        </w:tabs>
        <w:spacing w:before="120" w:after="120"/>
        <w:contextualSpacing/>
        <w:jc w:val="both"/>
        <w:rPr>
          <w:rFonts w:ascii="Calibri" w:eastAsia="Calibri" w:hAnsi="Calibri" w:cs="Arial"/>
        </w:rPr>
      </w:pPr>
      <w:r>
        <w:rPr>
          <w:rFonts w:ascii="Calibri" w:hAnsi="Calibri"/>
        </w:rPr>
        <w:t>Promotion and support for research and innovation;</w:t>
      </w:r>
    </w:p>
    <w:p w:rsidR="00BD4A3E" w:rsidRPr="00BD4A3E" w:rsidRDefault="00BD4A3E" w:rsidP="00021698">
      <w:pPr>
        <w:numPr>
          <w:ilvl w:val="0"/>
          <w:numId w:val="124"/>
        </w:numPr>
        <w:tabs>
          <w:tab w:val="left" w:pos="709"/>
        </w:tabs>
        <w:spacing w:before="120" w:after="120"/>
        <w:contextualSpacing/>
        <w:jc w:val="both"/>
        <w:rPr>
          <w:rFonts w:ascii="Calibri" w:eastAsia="Calibri" w:hAnsi="Calibri" w:cs="Arial"/>
        </w:rPr>
      </w:pPr>
      <w:r>
        <w:rPr>
          <w:rFonts w:ascii="Calibri" w:hAnsi="Calibri"/>
        </w:rPr>
        <w:t>Conservation and promotion of the cultural and historical patrimony;</w:t>
      </w:r>
    </w:p>
    <w:p w:rsidR="00BD4A3E" w:rsidRPr="00BD4A3E" w:rsidRDefault="00BD4A3E" w:rsidP="00021698">
      <w:pPr>
        <w:numPr>
          <w:ilvl w:val="0"/>
          <w:numId w:val="124"/>
        </w:numPr>
        <w:tabs>
          <w:tab w:val="left" w:pos="709"/>
        </w:tabs>
        <w:spacing w:before="120" w:after="120"/>
        <w:contextualSpacing/>
        <w:jc w:val="both"/>
        <w:rPr>
          <w:rFonts w:ascii="Calibri" w:eastAsia="Calibri" w:hAnsi="Calibri" w:cs="Arial"/>
        </w:rPr>
      </w:pPr>
      <w:r>
        <w:rPr>
          <w:rFonts w:ascii="Calibri" w:hAnsi="Calibri"/>
        </w:rPr>
        <w:t>Development of the cross-border transport infrastructure and of the ICT infrastructure;</w:t>
      </w:r>
    </w:p>
    <w:p w:rsidR="00BD4A3E" w:rsidRPr="00BD4A3E" w:rsidRDefault="00BD4A3E" w:rsidP="00021698">
      <w:pPr>
        <w:numPr>
          <w:ilvl w:val="0"/>
          <w:numId w:val="124"/>
        </w:numPr>
        <w:tabs>
          <w:tab w:val="left" w:pos="709"/>
        </w:tabs>
        <w:spacing w:before="120" w:after="120"/>
        <w:contextualSpacing/>
        <w:jc w:val="both"/>
        <w:rPr>
          <w:rFonts w:ascii="Calibri" w:eastAsia="Calibri" w:hAnsi="Calibri" w:cs="Arial"/>
        </w:rPr>
      </w:pPr>
      <w:r>
        <w:rPr>
          <w:rFonts w:ascii="Calibri" w:hAnsi="Calibri"/>
        </w:rPr>
        <w:t>Support for the development of health services and access to health;</w:t>
      </w:r>
    </w:p>
    <w:p w:rsidR="00BD4A3E" w:rsidRPr="00BD4A3E" w:rsidRDefault="00BD4A3E" w:rsidP="00021698">
      <w:pPr>
        <w:numPr>
          <w:ilvl w:val="0"/>
          <w:numId w:val="124"/>
        </w:numPr>
        <w:tabs>
          <w:tab w:val="left" w:pos="709"/>
        </w:tabs>
        <w:spacing w:before="120" w:after="120"/>
        <w:contextualSpacing/>
        <w:jc w:val="both"/>
        <w:rPr>
          <w:rFonts w:ascii="Calibri" w:eastAsia="Calibri" w:hAnsi="Calibri" w:cs="Arial"/>
        </w:rPr>
      </w:pPr>
      <w:r>
        <w:rPr>
          <w:rFonts w:ascii="Calibri" w:hAnsi="Calibri"/>
        </w:rPr>
        <w:t>Support for common activities of prevention of natural disasters or men made disasters, as well as common actions in emergency situations;</w:t>
      </w:r>
    </w:p>
    <w:p w:rsidR="00BD4A3E" w:rsidRPr="00BD4A3E" w:rsidRDefault="00BD4A3E" w:rsidP="00021698">
      <w:pPr>
        <w:numPr>
          <w:ilvl w:val="0"/>
          <w:numId w:val="124"/>
        </w:numPr>
        <w:tabs>
          <w:tab w:val="left" w:pos="709"/>
        </w:tabs>
        <w:spacing w:before="120" w:after="120"/>
        <w:contextualSpacing/>
        <w:jc w:val="both"/>
        <w:rPr>
          <w:rFonts w:ascii="Calibri" w:eastAsia="Calibri" w:hAnsi="Calibri" w:cs="Arial"/>
        </w:rPr>
      </w:pPr>
      <w:r>
        <w:rPr>
          <w:rFonts w:ascii="Calibri" w:hAnsi="Calibri"/>
        </w:rPr>
        <w:t>Prevention and fight against organized crime and police cooperation.</w:t>
      </w:r>
    </w:p>
    <w:p w:rsidR="00BD4A3E" w:rsidRPr="00BD4A3E" w:rsidRDefault="00BD4A3E" w:rsidP="00BD4A3E">
      <w:pPr>
        <w:tabs>
          <w:tab w:val="left" w:pos="612"/>
        </w:tabs>
        <w:spacing w:before="120" w:after="120"/>
        <w:contextualSpacing/>
        <w:jc w:val="both"/>
        <w:rPr>
          <w:rFonts w:ascii="Calibri" w:eastAsia="Calibri" w:hAnsi="Calibri" w:cs="Calibri"/>
          <w:b/>
          <w:lang w:val="ro-RO"/>
        </w:rPr>
      </w:pPr>
    </w:p>
    <w:p w:rsidR="00BD4A3E" w:rsidRPr="00BD4A3E" w:rsidRDefault="00BD4A3E" w:rsidP="00BD4A3E">
      <w:pPr>
        <w:tabs>
          <w:tab w:val="left" w:pos="612"/>
        </w:tabs>
        <w:spacing w:before="120" w:after="120"/>
        <w:contextualSpacing/>
        <w:jc w:val="both"/>
        <w:rPr>
          <w:rFonts w:ascii="Calibri" w:eastAsia="Calibri" w:hAnsi="Calibri" w:cs="Calibri"/>
        </w:rPr>
      </w:pPr>
      <w:r>
        <w:rPr>
          <w:rFonts w:ascii="Calibri" w:hAnsi="Calibri"/>
          <w:b/>
        </w:rPr>
        <w:t>The status on October 15, 2018</w:t>
      </w:r>
      <w:r>
        <w:rPr>
          <w:rFonts w:ascii="Calibri" w:hAnsi="Calibri"/>
        </w:rPr>
        <w:t xml:space="preserve"> is the following:</w:t>
      </w:r>
    </w:p>
    <w:p w:rsidR="00BD4A3E" w:rsidRPr="00BD4A3E" w:rsidRDefault="00BD4A3E" w:rsidP="00021698">
      <w:pPr>
        <w:numPr>
          <w:ilvl w:val="0"/>
          <w:numId w:val="127"/>
        </w:numPr>
        <w:ind w:left="567" w:hanging="283"/>
        <w:contextualSpacing/>
        <w:jc w:val="both"/>
        <w:rPr>
          <w:rFonts w:ascii="Calibri" w:eastAsia="Calibri" w:hAnsi="Calibri" w:cs="Calibri"/>
        </w:rPr>
      </w:pPr>
      <w:r>
        <w:rPr>
          <w:rFonts w:ascii="Calibri" w:hAnsi="Calibri"/>
        </w:rPr>
        <w:t>2 (two) calls for projects were launched, covering the entire value allocated to the 7 priorities mentioned above.</w:t>
      </w:r>
    </w:p>
    <w:p w:rsidR="00BD4A3E" w:rsidRPr="00BD4A3E" w:rsidRDefault="00BD4A3E" w:rsidP="00021698">
      <w:pPr>
        <w:numPr>
          <w:ilvl w:val="0"/>
          <w:numId w:val="127"/>
        </w:numPr>
        <w:ind w:left="567" w:hanging="283"/>
        <w:contextualSpacing/>
        <w:jc w:val="both"/>
        <w:rPr>
          <w:rFonts w:ascii="Calibri" w:eastAsia="Calibri" w:hAnsi="Calibri" w:cs="Calibri"/>
        </w:rPr>
      </w:pPr>
      <w:r>
        <w:rPr>
          <w:rFonts w:ascii="Calibri" w:hAnsi="Calibri"/>
        </w:rPr>
        <w:t xml:space="preserve">Both calls for closed, being submitted 241 projects which are in process of assessment. </w:t>
      </w:r>
    </w:p>
    <w:p w:rsidR="00BD4A3E" w:rsidRPr="00BD4A3E" w:rsidRDefault="00BD4A3E" w:rsidP="00021698">
      <w:pPr>
        <w:numPr>
          <w:ilvl w:val="0"/>
          <w:numId w:val="127"/>
        </w:numPr>
        <w:ind w:left="567" w:hanging="283"/>
        <w:contextualSpacing/>
        <w:jc w:val="both"/>
        <w:rPr>
          <w:rFonts w:ascii="Calibri" w:eastAsia="Calibri" w:hAnsi="Calibri" w:cs="Calibri"/>
        </w:rPr>
      </w:pPr>
      <w:r>
        <w:rPr>
          <w:rFonts w:ascii="Calibri" w:hAnsi="Calibri"/>
        </w:rPr>
        <w:t>For large infrastructure projects whose list was established in the Program were implemented the specific stages, 3 projects from the main list being sent to the European Commission for final approval. The 4th projects from the main list for which a series of additional clarifications were requested shall be sent to the European Commission after receiving the revised documentation.</w:t>
      </w:r>
    </w:p>
    <w:p w:rsidR="00BD4A3E" w:rsidRPr="00BD4A3E" w:rsidRDefault="00BD4A3E" w:rsidP="00BD4A3E">
      <w:pPr>
        <w:tabs>
          <w:tab w:val="left" w:pos="612"/>
        </w:tabs>
        <w:spacing w:before="120" w:after="120"/>
        <w:ind w:left="360"/>
        <w:contextualSpacing/>
        <w:jc w:val="both"/>
        <w:rPr>
          <w:rFonts w:ascii="Calibri" w:eastAsia="Calibri" w:hAnsi="Calibri" w:cs="Arial"/>
          <w:lang w:val="ro-RO"/>
        </w:rPr>
      </w:pPr>
    </w:p>
    <w:p w:rsidR="00BD4A3E" w:rsidRPr="00BD4A3E" w:rsidRDefault="00BD4A3E" w:rsidP="00BD4A3E">
      <w:pPr>
        <w:tabs>
          <w:tab w:val="left" w:pos="612"/>
        </w:tabs>
        <w:spacing w:before="120" w:after="120"/>
        <w:contextualSpacing/>
        <w:jc w:val="both"/>
        <w:rPr>
          <w:rFonts w:ascii="Calibri" w:eastAsia="Calibri" w:hAnsi="Calibri" w:cs="Arial"/>
        </w:rPr>
      </w:pPr>
      <w:r>
        <w:rPr>
          <w:rFonts w:ascii="Calibri" w:hAnsi="Calibri"/>
          <w:b/>
          <w:u w:val="single"/>
        </w:rPr>
        <w:t>The Common Operational Program of the Black Sea Basin for 2014-2020</w:t>
      </w:r>
      <w:r w:rsidRPr="00BD4A3E">
        <w:rPr>
          <w:rFonts w:ascii="Calibri" w:hAnsi="Calibri" w:cs="Arial"/>
          <w:sz w:val="22"/>
          <w:szCs w:val="22"/>
          <w:vertAlign w:val="superscript"/>
          <w:lang w:val="ro-RO"/>
        </w:rPr>
        <w:footnoteReference w:id="44"/>
      </w:r>
      <w:r>
        <w:rPr>
          <w:rFonts w:ascii="Calibri" w:hAnsi="Calibri"/>
        </w:rPr>
        <w:t xml:space="preserve">was officially approved by the European Commission through decision C(2015) 9187 of December 18, 2015, with a total budget of 53.94 million EUR, of which 49.04 million external non-reimbursable funds. </w:t>
      </w:r>
    </w:p>
    <w:p w:rsidR="00BD4A3E" w:rsidRPr="00BD4A3E" w:rsidRDefault="00BD4A3E" w:rsidP="00BD4A3E">
      <w:pPr>
        <w:tabs>
          <w:tab w:val="left" w:pos="270"/>
          <w:tab w:val="left" w:pos="612"/>
        </w:tabs>
        <w:jc w:val="both"/>
        <w:rPr>
          <w:rFonts w:ascii="Calibri" w:eastAsia="Calibri" w:hAnsi="Calibri" w:cs="Arial"/>
        </w:rPr>
      </w:pPr>
      <w:r>
        <w:rPr>
          <w:rFonts w:ascii="Calibri" w:hAnsi="Calibri"/>
        </w:rPr>
        <w:t>The financing fields were synthesized into the following priority axes:</w:t>
      </w:r>
    </w:p>
    <w:p w:rsidR="00BD4A3E" w:rsidRPr="00BD4A3E" w:rsidRDefault="00BD4A3E" w:rsidP="00021698">
      <w:pPr>
        <w:numPr>
          <w:ilvl w:val="0"/>
          <w:numId w:val="125"/>
        </w:numPr>
        <w:tabs>
          <w:tab w:val="left" w:pos="709"/>
        </w:tabs>
        <w:contextualSpacing/>
        <w:jc w:val="both"/>
        <w:rPr>
          <w:rFonts w:ascii="Calibri" w:eastAsia="Calibri" w:hAnsi="Calibri" w:cs="Arial"/>
        </w:rPr>
      </w:pPr>
      <w:r>
        <w:rPr>
          <w:rFonts w:ascii="Calibri" w:hAnsi="Calibri"/>
        </w:rPr>
        <w:t>Common promotion of the business environment and of entrepreneurship in the sectors of tourism and culture;</w:t>
      </w:r>
    </w:p>
    <w:p w:rsidR="00BD4A3E" w:rsidRPr="00BD4A3E" w:rsidRDefault="00BD4A3E" w:rsidP="00021698">
      <w:pPr>
        <w:numPr>
          <w:ilvl w:val="0"/>
          <w:numId w:val="125"/>
        </w:numPr>
        <w:tabs>
          <w:tab w:val="left" w:pos="709"/>
        </w:tabs>
        <w:spacing w:before="120" w:after="120"/>
        <w:contextualSpacing/>
        <w:jc w:val="both"/>
        <w:rPr>
          <w:rFonts w:ascii="Calibri" w:eastAsia="Calibri" w:hAnsi="Calibri" w:cs="Arial"/>
        </w:rPr>
      </w:pPr>
      <w:r>
        <w:rPr>
          <w:rFonts w:ascii="Calibri" w:hAnsi="Calibri"/>
        </w:rPr>
        <w:t>Increasing the opportunities of cross-border trade and modernization in the field of agriculture and related sectors, including in aquaculture, the food industry and the agricultural industry;</w:t>
      </w:r>
    </w:p>
    <w:p w:rsidR="00BD4A3E" w:rsidRPr="00BD4A3E" w:rsidRDefault="00BD4A3E" w:rsidP="00021698">
      <w:pPr>
        <w:numPr>
          <w:ilvl w:val="0"/>
          <w:numId w:val="125"/>
        </w:numPr>
        <w:tabs>
          <w:tab w:val="left" w:pos="709"/>
        </w:tabs>
        <w:spacing w:before="120" w:after="120"/>
        <w:contextualSpacing/>
        <w:jc w:val="both"/>
        <w:rPr>
          <w:rFonts w:ascii="Calibri" w:eastAsia="Calibri" w:hAnsi="Calibri" w:cs="Arial"/>
        </w:rPr>
      </w:pPr>
      <w:r>
        <w:rPr>
          <w:rFonts w:ascii="Calibri" w:hAnsi="Calibri"/>
        </w:rPr>
        <w:t>Improving the common environmental monitoring system;</w:t>
      </w:r>
    </w:p>
    <w:p w:rsidR="00BD4A3E" w:rsidRPr="00BD4A3E" w:rsidRDefault="00BD4A3E" w:rsidP="00021698">
      <w:pPr>
        <w:numPr>
          <w:ilvl w:val="0"/>
          <w:numId w:val="125"/>
        </w:numPr>
        <w:tabs>
          <w:tab w:val="left" w:pos="709"/>
        </w:tabs>
        <w:contextualSpacing/>
        <w:jc w:val="both"/>
        <w:rPr>
          <w:rFonts w:ascii="Calibri" w:eastAsia="Calibri" w:hAnsi="Calibri" w:cs="Arial"/>
        </w:rPr>
      </w:pPr>
      <w:r>
        <w:rPr>
          <w:rFonts w:ascii="Calibri" w:hAnsi="Calibri"/>
        </w:rPr>
        <w:t>Promotion common action for public awareness and common actions against marine and river waste.</w:t>
      </w:r>
    </w:p>
    <w:p w:rsidR="00BD4A3E" w:rsidRPr="00BD4A3E" w:rsidRDefault="00BD4A3E" w:rsidP="00BD4A3E">
      <w:pPr>
        <w:contextualSpacing/>
        <w:jc w:val="both"/>
        <w:rPr>
          <w:rFonts w:ascii="Calibri" w:eastAsia="Calibri" w:hAnsi="Calibri" w:cs="Arial"/>
        </w:rPr>
      </w:pPr>
      <w:r>
        <w:rPr>
          <w:rFonts w:ascii="Calibri" w:hAnsi="Calibri"/>
        </w:rPr>
        <w:t>The amounts spent from the State budget for the European territorial cooperation projects are essential for the good implementation of cross-border, cross-nation and inter-regional cooperation projects that correspond to the programs which are part of the European territorial cooperation objective of the EU’s cohesion policy and of the cross-border cooperation projects that correspond to the extension and neighboring policy of the EU to which Romania takes part.</w:t>
      </w:r>
    </w:p>
    <w:p w:rsidR="00BD4A3E" w:rsidRPr="00BD4A3E" w:rsidRDefault="00BD4A3E" w:rsidP="00BD4A3E">
      <w:pPr>
        <w:tabs>
          <w:tab w:val="left" w:pos="612"/>
        </w:tabs>
        <w:spacing w:before="120" w:after="120"/>
        <w:jc w:val="both"/>
        <w:rPr>
          <w:rFonts w:ascii="Calibri" w:eastAsia="Calibri" w:hAnsi="Calibri" w:cs="Arial"/>
        </w:rPr>
      </w:pPr>
      <w:r>
        <w:rPr>
          <w:rFonts w:ascii="Calibri" w:hAnsi="Calibri"/>
        </w:rPr>
        <w:t>Until this moment have been signed 21 agreements (including Technical Assistance), with a value of 17 million EUR, external non-reimbursable funds.</w:t>
      </w:r>
    </w:p>
    <w:p w:rsidR="00BD4A3E" w:rsidRPr="00BD4A3E" w:rsidRDefault="00BD4A3E" w:rsidP="00BD4A3E">
      <w:pPr>
        <w:tabs>
          <w:tab w:val="left" w:pos="612"/>
        </w:tabs>
        <w:spacing w:before="120" w:after="120"/>
        <w:contextualSpacing/>
        <w:jc w:val="both"/>
        <w:rPr>
          <w:rFonts w:ascii="Calibri" w:eastAsia="Calibri" w:hAnsi="Calibri" w:cs="Arial"/>
          <w:b/>
        </w:rPr>
      </w:pPr>
      <w:r>
        <w:rPr>
          <w:rFonts w:ascii="Calibri" w:hAnsi="Calibri"/>
        </w:rPr>
        <w:t>The payments made until this moment amount to 4.1 million EUR external non-reimbursable funds (including advances).</w:t>
      </w:r>
    </w:p>
    <w:p w:rsidR="00BD4A3E" w:rsidRPr="00BD4A3E" w:rsidRDefault="00BD4A3E" w:rsidP="00BD4A3E">
      <w:pPr>
        <w:spacing w:before="120" w:after="120"/>
        <w:contextualSpacing/>
        <w:jc w:val="both"/>
        <w:rPr>
          <w:rFonts w:ascii="Calibri" w:eastAsia="Calibri" w:hAnsi="Calibri" w:cs="Arial"/>
          <w:lang w:val="ro-RO"/>
        </w:rPr>
      </w:pPr>
    </w:p>
    <w:p w:rsidR="00BD4A3E" w:rsidRPr="00BD4A3E" w:rsidRDefault="00BD4A3E" w:rsidP="00BD4A3E">
      <w:pPr>
        <w:spacing w:before="120" w:after="120"/>
        <w:contextualSpacing/>
        <w:jc w:val="both"/>
        <w:rPr>
          <w:rFonts w:ascii="Calibri" w:eastAsia="Calibri" w:hAnsi="Calibri" w:cs="Arial"/>
          <w:u w:val="single"/>
        </w:rPr>
      </w:pPr>
      <w:r>
        <w:rPr>
          <w:rFonts w:ascii="Calibri" w:hAnsi="Calibri"/>
          <w:b/>
          <w:u w:val="single"/>
        </w:rPr>
        <w:t>The ENI Cross-border Cooperation Program Hungary-Slovakia - Romania - Ukraine for 2014-2020</w:t>
      </w:r>
      <w:r>
        <w:rPr>
          <w:rFonts w:ascii="Calibri" w:hAnsi="Calibri"/>
        </w:rPr>
        <w:t xml:space="preserve"> was officially approved by the European Commission with a total budget of 81.35 million EUR.</w:t>
      </w:r>
    </w:p>
    <w:p w:rsidR="00BD4A3E" w:rsidRPr="00BD4A3E" w:rsidRDefault="00BD4A3E" w:rsidP="00BD4A3E">
      <w:pPr>
        <w:spacing w:before="120" w:after="120"/>
        <w:contextualSpacing/>
        <w:jc w:val="both"/>
        <w:rPr>
          <w:rFonts w:ascii="Calibri" w:eastAsia="Calibri" w:hAnsi="Calibri" w:cs="Arial"/>
        </w:rPr>
      </w:pPr>
      <w:r>
        <w:rPr>
          <w:rFonts w:ascii="Calibri" w:hAnsi="Calibri"/>
        </w:rPr>
        <w:t>The financing fields comprise the following priority axes:</w:t>
      </w:r>
    </w:p>
    <w:p w:rsidR="00BD4A3E" w:rsidRPr="00BD4A3E" w:rsidRDefault="00BD4A3E" w:rsidP="00021698">
      <w:pPr>
        <w:numPr>
          <w:ilvl w:val="0"/>
          <w:numId w:val="126"/>
        </w:numPr>
        <w:tabs>
          <w:tab w:val="left" w:pos="709"/>
        </w:tabs>
        <w:spacing w:before="120" w:after="120"/>
        <w:contextualSpacing/>
        <w:jc w:val="both"/>
        <w:rPr>
          <w:rFonts w:ascii="Calibri" w:eastAsia="Calibri" w:hAnsi="Calibri" w:cs="Arial"/>
        </w:rPr>
      </w:pPr>
      <w:r>
        <w:rPr>
          <w:rFonts w:ascii="Calibri" w:hAnsi="Calibri"/>
        </w:rPr>
        <w:t>Promotion of local culture and history with a focus on the tourism function;</w:t>
      </w:r>
    </w:p>
    <w:p w:rsidR="00BD4A3E" w:rsidRPr="00BD4A3E" w:rsidRDefault="00BD4A3E" w:rsidP="00021698">
      <w:pPr>
        <w:numPr>
          <w:ilvl w:val="0"/>
          <w:numId w:val="126"/>
        </w:numPr>
        <w:tabs>
          <w:tab w:val="left" w:pos="709"/>
        </w:tabs>
        <w:spacing w:before="120" w:after="120"/>
        <w:contextualSpacing/>
        <w:jc w:val="both"/>
        <w:rPr>
          <w:rFonts w:ascii="Calibri" w:eastAsia="Calibri" w:hAnsi="Calibri" w:cs="Arial"/>
        </w:rPr>
      </w:pPr>
      <w:r>
        <w:rPr>
          <w:rFonts w:ascii="Calibri" w:hAnsi="Calibri"/>
        </w:rPr>
        <w:t>Sustainable use of the environment in the cross-border area - preservation of natural resources, actions of reduction of greenhouse gas emissions and river pollution;</w:t>
      </w:r>
    </w:p>
    <w:p w:rsidR="00BD4A3E" w:rsidRPr="00BD4A3E" w:rsidRDefault="00BD4A3E" w:rsidP="00021698">
      <w:pPr>
        <w:numPr>
          <w:ilvl w:val="0"/>
          <w:numId w:val="126"/>
        </w:numPr>
        <w:tabs>
          <w:tab w:val="left" w:pos="709"/>
        </w:tabs>
        <w:spacing w:before="120" w:after="120"/>
        <w:contextualSpacing/>
        <w:jc w:val="both"/>
        <w:rPr>
          <w:rFonts w:ascii="Calibri" w:eastAsia="Calibri" w:hAnsi="Calibri" w:cs="Arial"/>
        </w:rPr>
      </w:pPr>
      <w:r>
        <w:rPr>
          <w:rFonts w:ascii="Calibri" w:hAnsi="Calibri"/>
        </w:rPr>
        <w:t>Developing the transport infrastructure in order to improve the mobility of people and goods;</w:t>
      </w:r>
    </w:p>
    <w:p w:rsidR="00BD4A3E" w:rsidRPr="00BD4A3E" w:rsidRDefault="00BD4A3E" w:rsidP="00021698">
      <w:pPr>
        <w:numPr>
          <w:ilvl w:val="0"/>
          <w:numId w:val="126"/>
        </w:numPr>
        <w:tabs>
          <w:tab w:val="left" w:pos="709"/>
        </w:tabs>
        <w:spacing w:before="120" w:after="120"/>
        <w:contextualSpacing/>
        <w:jc w:val="both"/>
        <w:rPr>
          <w:rFonts w:ascii="Calibri" w:eastAsia="Calibri" w:hAnsi="Calibri" w:cs="Arial"/>
        </w:rPr>
      </w:pPr>
      <w:r>
        <w:rPr>
          <w:rFonts w:ascii="Calibri" w:hAnsi="Calibri"/>
        </w:rPr>
        <w:t>Developing the infrastructure for information and communication technologies and exchange of information;</w:t>
      </w:r>
    </w:p>
    <w:p w:rsidR="00BD4A3E" w:rsidRPr="00BD4A3E" w:rsidRDefault="00BD4A3E" w:rsidP="00021698">
      <w:pPr>
        <w:numPr>
          <w:ilvl w:val="0"/>
          <w:numId w:val="126"/>
        </w:numPr>
        <w:tabs>
          <w:tab w:val="left" w:pos="709"/>
        </w:tabs>
        <w:spacing w:before="120" w:after="120"/>
        <w:contextualSpacing/>
        <w:jc w:val="both"/>
        <w:rPr>
          <w:rFonts w:ascii="Calibri" w:eastAsia="Calibri" w:hAnsi="Calibri" w:cs="Arial"/>
        </w:rPr>
      </w:pPr>
      <w:r>
        <w:rPr>
          <w:rFonts w:ascii="Calibri" w:hAnsi="Calibri"/>
        </w:rPr>
        <w:t>Supporting common activities for prevention of natural and anthropogenic disasters, as well as common actions in emergency situations;</w:t>
      </w:r>
    </w:p>
    <w:p w:rsidR="00BD4A3E" w:rsidRPr="00BD4A3E" w:rsidRDefault="00BD4A3E" w:rsidP="00021698">
      <w:pPr>
        <w:numPr>
          <w:ilvl w:val="0"/>
          <w:numId w:val="126"/>
        </w:numPr>
        <w:tabs>
          <w:tab w:val="left" w:pos="709"/>
        </w:tabs>
        <w:spacing w:before="120" w:after="120"/>
        <w:contextualSpacing/>
        <w:jc w:val="both"/>
        <w:rPr>
          <w:rFonts w:ascii="Calibri" w:eastAsia="Calibri" w:hAnsi="Calibri" w:cs="Arial"/>
        </w:rPr>
      </w:pPr>
      <w:r>
        <w:rPr>
          <w:rFonts w:ascii="Calibri" w:hAnsi="Calibri"/>
        </w:rPr>
        <w:t>Support for the development of the health infrastructure.</w:t>
      </w:r>
    </w:p>
    <w:p w:rsidR="00BD4A3E" w:rsidRPr="00BD4A3E" w:rsidRDefault="00BD4A3E" w:rsidP="00BD4A3E">
      <w:pPr>
        <w:tabs>
          <w:tab w:val="left" w:pos="612"/>
        </w:tabs>
        <w:spacing w:before="120" w:after="120"/>
        <w:contextualSpacing/>
        <w:jc w:val="both"/>
        <w:rPr>
          <w:rFonts w:ascii="Calibri" w:eastAsia="Calibri" w:hAnsi="Calibri" w:cs="Arial"/>
          <w:lang w:val="ro-RO"/>
        </w:rPr>
      </w:pPr>
    </w:p>
    <w:p w:rsidR="00BD4A3E" w:rsidRPr="00BD4A3E" w:rsidRDefault="00BD4A3E" w:rsidP="00BD4A3E">
      <w:pPr>
        <w:tabs>
          <w:tab w:val="left" w:pos="612"/>
        </w:tabs>
        <w:spacing w:before="120" w:after="120"/>
        <w:contextualSpacing/>
        <w:jc w:val="both"/>
        <w:rPr>
          <w:rFonts w:ascii="Calibri" w:eastAsia="Calibri" w:hAnsi="Calibri" w:cs="Arial"/>
        </w:rPr>
      </w:pPr>
      <w:r>
        <w:rPr>
          <w:rFonts w:ascii="Calibri" w:hAnsi="Calibri"/>
        </w:rPr>
        <w:t>The status on October 15, 2018 is the following:</w:t>
      </w:r>
    </w:p>
    <w:p w:rsidR="00BD4A3E" w:rsidRPr="00BD4A3E" w:rsidRDefault="00BD4A3E" w:rsidP="00021698">
      <w:pPr>
        <w:numPr>
          <w:ilvl w:val="0"/>
          <w:numId w:val="121"/>
        </w:numPr>
        <w:tabs>
          <w:tab w:val="left" w:pos="709"/>
        </w:tabs>
        <w:spacing w:before="120" w:after="120"/>
        <w:ind w:left="709" w:hanging="283"/>
        <w:contextualSpacing/>
        <w:jc w:val="both"/>
        <w:rPr>
          <w:rFonts w:ascii="Calibri" w:eastAsia="Calibri" w:hAnsi="Calibri" w:cs="Arial"/>
        </w:rPr>
      </w:pPr>
      <w:r>
        <w:rPr>
          <w:rFonts w:ascii="Calibri" w:hAnsi="Calibri"/>
        </w:rPr>
        <w:t>Two calls for project proposals were launched, with a total value of 44 million EUR;</w:t>
      </w:r>
    </w:p>
    <w:p w:rsidR="00BD4A3E" w:rsidRPr="00BD4A3E" w:rsidRDefault="00BD4A3E" w:rsidP="00021698">
      <w:pPr>
        <w:numPr>
          <w:ilvl w:val="0"/>
          <w:numId w:val="121"/>
        </w:numPr>
        <w:tabs>
          <w:tab w:val="left" w:pos="709"/>
        </w:tabs>
        <w:spacing w:before="120" w:after="120"/>
        <w:ind w:left="709" w:hanging="283"/>
        <w:contextualSpacing/>
        <w:jc w:val="both"/>
        <w:rPr>
          <w:rFonts w:ascii="Calibri" w:eastAsia="Calibri" w:hAnsi="Calibri" w:cs="Arial"/>
        </w:rPr>
      </w:pPr>
      <w:r>
        <w:rPr>
          <w:rFonts w:ascii="Calibri" w:hAnsi="Calibri"/>
        </w:rPr>
        <w:t xml:space="preserve">During the second meeting of the Common Monitoring Committee (April 24 - 25, 2018, Košice, Slovakia) were not selected large infrastructure projects with Romanian participation; </w:t>
      </w:r>
    </w:p>
    <w:p w:rsidR="00BD4A3E" w:rsidRPr="00BD4A3E" w:rsidRDefault="00BD4A3E" w:rsidP="00BD4A3E">
      <w:pPr>
        <w:keepNext/>
        <w:keepLines/>
        <w:spacing w:before="120" w:after="120"/>
        <w:ind w:left="357" w:hanging="357"/>
        <w:jc w:val="both"/>
        <w:outlineLvl w:val="0"/>
        <w:rPr>
          <w:rFonts w:ascii="Calibri" w:eastAsia="Calibri" w:hAnsi="Calibri" w:cs="Arial"/>
        </w:rPr>
      </w:pPr>
      <w:r>
        <w:rPr>
          <w:rFonts w:ascii="Calibri" w:hAnsi="Calibri"/>
        </w:rPr>
        <w:t>During the third meeting of the Common Monitoring Committee (July 12, 2018, Baia Mare, Romania) were selected 35 projects, of which 24 with Romanian participation.</w:t>
      </w:r>
    </w:p>
    <w:p w:rsidR="00BD4A3E" w:rsidRPr="003964D3" w:rsidRDefault="00BD4A3E" w:rsidP="00BD4A3E">
      <w:pPr>
        <w:keepNext/>
        <w:keepLines/>
        <w:spacing w:before="120" w:after="120"/>
        <w:ind w:left="357" w:hanging="357"/>
        <w:jc w:val="both"/>
        <w:outlineLvl w:val="0"/>
        <w:rPr>
          <w:rFonts w:ascii="Calibri" w:hAnsi="Calibri" w:cs="Arial"/>
          <w:b/>
          <w:kern w:val="32"/>
          <w:sz w:val="28"/>
          <w:szCs w:val="28"/>
          <w:lang w:val="fr-FR"/>
        </w:rPr>
      </w:pPr>
    </w:p>
    <w:p w:rsidR="00BD4A3E" w:rsidRPr="003964D3" w:rsidRDefault="00BD4A3E" w:rsidP="00BD4A3E">
      <w:pPr>
        <w:keepNext/>
        <w:keepLines/>
        <w:spacing w:before="120" w:after="120"/>
        <w:ind w:left="357" w:hanging="357"/>
        <w:jc w:val="both"/>
        <w:outlineLvl w:val="0"/>
        <w:rPr>
          <w:rFonts w:ascii="Calibri" w:hAnsi="Calibri" w:cs="Arial"/>
          <w:b/>
          <w:kern w:val="32"/>
          <w:sz w:val="28"/>
          <w:szCs w:val="28"/>
        </w:rPr>
      </w:pPr>
      <w:r>
        <w:rPr>
          <w:rFonts w:ascii="Calibri" w:hAnsi="Calibri"/>
          <w:b/>
          <w:sz w:val="28"/>
          <w:szCs w:val="28"/>
        </w:rPr>
        <w:t>B. FUNDS FROM THE COMMON AGRICULTURAL POLICY</w:t>
      </w:r>
    </w:p>
    <w:p w:rsidR="00BD4A3E" w:rsidRPr="003964D3" w:rsidRDefault="00BD4A3E" w:rsidP="00BD4A3E">
      <w:pPr>
        <w:keepNext/>
        <w:keepLines/>
        <w:spacing w:before="240" w:after="60"/>
        <w:ind w:left="360" w:hanging="360"/>
        <w:jc w:val="both"/>
        <w:outlineLvl w:val="0"/>
        <w:rPr>
          <w:rFonts w:ascii="Calibri" w:hAnsi="Calibri" w:cs="Arial"/>
          <w:b/>
          <w:kern w:val="32"/>
        </w:rPr>
      </w:pPr>
      <w:r>
        <w:rPr>
          <w:rFonts w:ascii="Calibri" w:hAnsi="Calibri"/>
          <w:b/>
        </w:rPr>
        <w:t>1. National Rural Development Program (PNDR)</w:t>
      </w:r>
    </w:p>
    <w:p w:rsidR="00BD4A3E" w:rsidRPr="00BD4A3E" w:rsidRDefault="00BD4A3E" w:rsidP="00BD4A3E">
      <w:pPr>
        <w:shd w:val="clear" w:color="auto" w:fill="FFFFFF"/>
        <w:spacing w:before="120" w:after="120"/>
        <w:ind w:left="-170"/>
        <w:contextualSpacing/>
        <w:jc w:val="both"/>
        <w:rPr>
          <w:rFonts w:ascii="Calibri" w:eastAsia="Calibri" w:hAnsi="Calibri" w:cs="Arial"/>
        </w:rPr>
      </w:pPr>
      <w:r>
        <w:rPr>
          <w:rFonts w:ascii="Calibri" w:hAnsi="Calibri"/>
        </w:rPr>
        <w:t>The National Rural Development Program for 2014-2020 was adopted by the European Commission through the Commission’s Implementation Decision no. 3508 of May 26, 2015 approving the rural development program of Romania for support from the European Agricultural Fund for Rural Development, drawing the priorities of Romania for the use of the approximately 9.5 billion EUR available public funds (</w:t>
      </w:r>
      <w:r>
        <w:rPr>
          <w:rFonts w:ascii="Calibri" w:hAnsi="Calibri"/>
          <w:i/>
        </w:rPr>
        <w:t>8.1 billion EUR from the budget of the EAFRD and 1.4 billion EUR representing national co-financing</w:t>
      </w:r>
      <w:r>
        <w:rPr>
          <w:rFonts w:ascii="Calibri" w:hAnsi="Calibri"/>
        </w:rPr>
        <w:t xml:space="preserve">). </w:t>
      </w:r>
    </w:p>
    <w:p w:rsidR="00BD4A3E" w:rsidRPr="00BD4A3E" w:rsidRDefault="00BD4A3E" w:rsidP="00BD4A3E">
      <w:pPr>
        <w:shd w:val="clear" w:color="auto" w:fill="FFFFFF"/>
        <w:spacing w:after="225"/>
        <w:ind w:left="-170"/>
        <w:contextualSpacing/>
        <w:jc w:val="both"/>
        <w:rPr>
          <w:rFonts w:ascii="Calibri" w:eastAsia="Calibri" w:hAnsi="Calibri" w:cs="Arial"/>
          <w:lang w:val="ro-RO"/>
        </w:rPr>
      </w:pPr>
    </w:p>
    <w:p w:rsidR="00BD4A3E" w:rsidRPr="00BD4A3E" w:rsidRDefault="00BD4A3E" w:rsidP="00021698">
      <w:pPr>
        <w:numPr>
          <w:ilvl w:val="1"/>
          <w:numId w:val="104"/>
        </w:numPr>
        <w:shd w:val="clear" w:color="auto" w:fill="FFFFFF"/>
        <w:spacing w:line="276" w:lineRule="auto"/>
        <w:ind w:hanging="218"/>
        <w:contextualSpacing/>
        <w:jc w:val="both"/>
        <w:rPr>
          <w:rFonts w:ascii="Calibri" w:eastAsia="Calibri" w:hAnsi="Calibri" w:cs="Arial"/>
          <w:szCs w:val="22"/>
        </w:rPr>
      </w:pPr>
      <w:r>
        <w:rPr>
          <w:rFonts w:ascii="Calibri" w:hAnsi="Calibri"/>
          <w:szCs w:val="22"/>
        </w:rPr>
        <w:t>The financial allocation of the PNDR for 2014-2020, distributed on years, is the following:</w:t>
      </w:r>
    </w:p>
    <w:p w:rsidR="00BD4A3E" w:rsidRPr="00BD4A3E" w:rsidRDefault="00BD4A3E" w:rsidP="00BD4A3E">
      <w:pPr>
        <w:shd w:val="clear" w:color="auto" w:fill="FFFFFF"/>
        <w:spacing w:line="300" w:lineRule="atLeast"/>
        <w:jc w:val="right"/>
        <w:rPr>
          <w:rFonts w:ascii="Calibri" w:eastAsia="Calibri" w:hAnsi="Calibri" w:cs="Arial"/>
        </w:rPr>
      </w:pPr>
      <w:r>
        <w:rPr>
          <w:rFonts w:ascii="Calibri" w:hAnsi="Calibri"/>
        </w:rPr>
        <w:t>Million EUR</w:t>
      </w:r>
    </w:p>
    <w:tbl>
      <w:tblPr>
        <w:tblStyle w:val="TableGrid7"/>
        <w:tblW w:w="10054" w:type="dxa"/>
        <w:jc w:val="center"/>
        <w:tblLayout w:type="fixed"/>
        <w:tblLook w:val="04A0" w:firstRow="1" w:lastRow="0" w:firstColumn="1" w:lastColumn="0" w:noHBand="0" w:noVBand="1"/>
      </w:tblPr>
      <w:tblGrid>
        <w:gridCol w:w="988"/>
        <w:gridCol w:w="1206"/>
        <w:gridCol w:w="1310"/>
        <w:gridCol w:w="1310"/>
        <w:gridCol w:w="1310"/>
        <w:gridCol w:w="1310"/>
        <w:gridCol w:w="1310"/>
        <w:gridCol w:w="1310"/>
      </w:tblGrid>
      <w:tr w:rsidR="00BD4A3E" w:rsidRPr="00BD4A3E" w:rsidTr="00BD4A3E">
        <w:trPr>
          <w:trHeight w:val="363"/>
          <w:jc w:val="center"/>
        </w:trPr>
        <w:tc>
          <w:tcPr>
            <w:tcW w:w="988" w:type="dxa"/>
            <w:vAlign w:val="center"/>
          </w:tcPr>
          <w:p w:rsidR="00BD4A3E" w:rsidRPr="00BD4A3E" w:rsidRDefault="00BD4A3E" w:rsidP="00BD4A3E">
            <w:pPr>
              <w:spacing w:line="300" w:lineRule="atLeast"/>
              <w:jc w:val="both"/>
              <w:rPr>
                <w:rFonts w:ascii="Calibri" w:eastAsia="Calibri" w:hAnsi="Calibri" w:cs="Arial"/>
                <w:b/>
                <w:sz w:val="22"/>
                <w:szCs w:val="22"/>
              </w:rPr>
            </w:pPr>
            <w:r>
              <w:rPr>
                <w:rFonts w:ascii="Calibri" w:hAnsi="Calibri"/>
                <w:b/>
                <w:sz w:val="22"/>
                <w:szCs w:val="22"/>
              </w:rPr>
              <w:t>2014</w:t>
            </w:r>
          </w:p>
        </w:tc>
        <w:tc>
          <w:tcPr>
            <w:tcW w:w="1206" w:type="dxa"/>
            <w:vAlign w:val="center"/>
          </w:tcPr>
          <w:p w:rsidR="00BD4A3E" w:rsidRPr="00BD4A3E" w:rsidRDefault="00BD4A3E" w:rsidP="00BD4A3E">
            <w:pPr>
              <w:spacing w:line="300" w:lineRule="atLeast"/>
              <w:jc w:val="both"/>
              <w:rPr>
                <w:rFonts w:ascii="Calibri" w:eastAsia="Calibri" w:hAnsi="Calibri" w:cs="Arial"/>
                <w:b/>
                <w:sz w:val="22"/>
                <w:szCs w:val="22"/>
              </w:rPr>
            </w:pPr>
            <w:r>
              <w:rPr>
                <w:rFonts w:ascii="Calibri" w:hAnsi="Calibri"/>
                <w:b/>
                <w:sz w:val="22"/>
                <w:szCs w:val="22"/>
              </w:rPr>
              <w:t>2015</w:t>
            </w:r>
          </w:p>
        </w:tc>
        <w:tc>
          <w:tcPr>
            <w:tcW w:w="1310" w:type="dxa"/>
            <w:vAlign w:val="center"/>
          </w:tcPr>
          <w:p w:rsidR="00BD4A3E" w:rsidRPr="00BD4A3E" w:rsidRDefault="00BD4A3E" w:rsidP="00BD4A3E">
            <w:pPr>
              <w:spacing w:line="300" w:lineRule="atLeast"/>
              <w:jc w:val="both"/>
              <w:rPr>
                <w:rFonts w:ascii="Calibri" w:eastAsia="Calibri" w:hAnsi="Calibri" w:cs="Arial"/>
                <w:b/>
                <w:sz w:val="22"/>
                <w:szCs w:val="22"/>
              </w:rPr>
            </w:pPr>
            <w:r>
              <w:rPr>
                <w:rFonts w:ascii="Calibri" w:hAnsi="Calibri"/>
                <w:b/>
                <w:sz w:val="22"/>
                <w:szCs w:val="22"/>
              </w:rPr>
              <w:t>2016</w:t>
            </w:r>
          </w:p>
        </w:tc>
        <w:tc>
          <w:tcPr>
            <w:tcW w:w="1310" w:type="dxa"/>
            <w:vAlign w:val="center"/>
          </w:tcPr>
          <w:p w:rsidR="00BD4A3E" w:rsidRPr="00BD4A3E" w:rsidRDefault="00BD4A3E" w:rsidP="00BD4A3E">
            <w:pPr>
              <w:spacing w:line="300" w:lineRule="atLeast"/>
              <w:jc w:val="both"/>
              <w:rPr>
                <w:rFonts w:ascii="Calibri" w:eastAsia="Calibri" w:hAnsi="Calibri" w:cs="Arial"/>
                <w:b/>
                <w:sz w:val="22"/>
                <w:szCs w:val="22"/>
              </w:rPr>
            </w:pPr>
            <w:r>
              <w:rPr>
                <w:rFonts w:ascii="Calibri" w:hAnsi="Calibri"/>
                <w:b/>
                <w:sz w:val="22"/>
                <w:szCs w:val="22"/>
              </w:rPr>
              <w:t>2017</w:t>
            </w:r>
          </w:p>
        </w:tc>
        <w:tc>
          <w:tcPr>
            <w:tcW w:w="1310" w:type="dxa"/>
            <w:vAlign w:val="center"/>
          </w:tcPr>
          <w:p w:rsidR="00BD4A3E" w:rsidRPr="00BD4A3E" w:rsidRDefault="00BD4A3E" w:rsidP="00BD4A3E">
            <w:pPr>
              <w:spacing w:line="300" w:lineRule="atLeast"/>
              <w:jc w:val="both"/>
              <w:rPr>
                <w:rFonts w:ascii="Calibri" w:eastAsia="Calibri" w:hAnsi="Calibri" w:cs="Arial"/>
                <w:b/>
                <w:sz w:val="22"/>
                <w:szCs w:val="22"/>
              </w:rPr>
            </w:pPr>
            <w:r>
              <w:rPr>
                <w:rFonts w:ascii="Calibri" w:hAnsi="Calibri"/>
                <w:b/>
                <w:sz w:val="22"/>
                <w:szCs w:val="22"/>
              </w:rPr>
              <w:t>2018</w:t>
            </w:r>
          </w:p>
        </w:tc>
        <w:tc>
          <w:tcPr>
            <w:tcW w:w="1310" w:type="dxa"/>
            <w:vAlign w:val="center"/>
          </w:tcPr>
          <w:p w:rsidR="00BD4A3E" w:rsidRPr="00BD4A3E" w:rsidRDefault="00BD4A3E" w:rsidP="00BD4A3E">
            <w:pPr>
              <w:spacing w:line="300" w:lineRule="atLeast"/>
              <w:jc w:val="both"/>
              <w:rPr>
                <w:rFonts w:ascii="Calibri" w:eastAsia="Calibri" w:hAnsi="Calibri" w:cs="Arial"/>
                <w:b/>
                <w:sz w:val="22"/>
                <w:szCs w:val="22"/>
              </w:rPr>
            </w:pPr>
            <w:r>
              <w:rPr>
                <w:rFonts w:ascii="Calibri" w:hAnsi="Calibri"/>
                <w:b/>
                <w:sz w:val="22"/>
                <w:szCs w:val="22"/>
              </w:rPr>
              <w:t>2019</w:t>
            </w:r>
          </w:p>
        </w:tc>
        <w:tc>
          <w:tcPr>
            <w:tcW w:w="1310" w:type="dxa"/>
            <w:vAlign w:val="center"/>
          </w:tcPr>
          <w:p w:rsidR="00BD4A3E" w:rsidRPr="00BD4A3E" w:rsidRDefault="00BD4A3E" w:rsidP="00BD4A3E">
            <w:pPr>
              <w:spacing w:line="300" w:lineRule="atLeast"/>
              <w:jc w:val="both"/>
              <w:rPr>
                <w:rFonts w:ascii="Calibri" w:eastAsia="Calibri" w:hAnsi="Calibri" w:cs="Arial"/>
                <w:b/>
                <w:sz w:val="22"/>
                <w:szCs w:val="22"/>
              </w:rPr>
            </w:pPr>
            <w:r>
              <w:rPr>
                <w:rFonts w:ascii="Calibri" w:hAnsi="Calibri"/>
                <w:b/>
                <w:sz w:val="22"/>
                <w:szCs w:val="22"/>
              </w:rPr>
              <w:t>2020</w:t>
            </w:r>
          </w:p>
        </w:tc>
        <w:tc>
          <w:tcPr>
            <w:tcW w:w="1310" w:type="dxa"/>
            <w:vAlign w:val="center"/>
          </w:tcPr>
          <w:p w:rsidR="00BD4A3E" w:rsidRPr="00BD4A3E" w:rsidRDefault="00BD4A3E" w:rsidP="00BD4A3E">
            <w:pPr>
              <w:spacing w:line="300" w:lineRule="atLeast"/>
              <w:jc w:val="both"/>
              <w:rPr>
                <w:rFonts w:ascii="Calibri" w:eastAsia="Calibri" w:hAnsi="Calibri" w:cs="Arial"/>
                <w:b/>
                <w:sz w:val="22"/>
                <w:szCs w:val="22"/>
              </w:rPr>
            </w:pPr>
            <w:r>
              <w:rPr>
                <w:rFonts w:ascii="Calibri" w:hAnsi="Calibri"/>
                <w:b/>
                <w:sz w:val="22"/>
                <w:szCs w:val="22"/>
              </w:rPr>
              <w:t>TOTAL</w:t>
            </w:r>
          </w:p>
        </w:tc>
      </w:tr>
      <w:tr w:rsidR="00BD4A3E" w:rsidRPr="00BD4A3E" w:rsidTr="00BD4A3E">
        <w:trPr>
          <w:jc w:val="center"/>
        </w:trPr>
        <w:tc>
          <w:tcPr>
            <w:tcW w:w="988" w:type="dxa"/>
            <w:vAlign w:val="center"/>
          </w:tcPr>
          <w:p w:rsidR="00BD4A3E" w:rsidRPr="00BD4A3E" w:rsidRDefault="00BD4A3E" w:rsidP="00BD4A3E">
            <w:pPr>
              <w:spacing w:line="300" w:lineRule="atLeast"/>
              <w:jc w:val="both"/>
              <w:rPr>
                <w:rFonts w:ascii="Calibri" w:eastAsia="Calibri" w:hAnsi="Calibri" w:cs="Arial"/>
                <w:sz w:val="22"/>
                <w:szCs w:val="22"/>
              </w:rPr>
            </w:pPr>
            <w:r>
              <w:rPr>
                <w:rFonts w:ascii="Calibri" w:hAnsi="Calibri"/>
                <w:sz w:val="22"/>
                <w:szCs w:val="22"/>
              </w:rPr>
              <w:t>0.0</w:t>
            </w:r>
          </w:p>
        </w:tc>
        <w:tc>
          <w:tcPr>
            <w:tcW w:w="1206" w:type="dxa"/>
            <w:vAlign w:val="center"/>
          </w:tcPr>
          <w:p w:rsidR="00BD4A3E" w:rsidRPr="00BD4A3E" w:rsidRDefault="00BD4A3E" w:rsidP="00BD4A3E">
            <w:pPr>
              <w:spacing w:line="300" w:lineRule="atLeast"/>
              <w:jc w:val="both"/>
              <w:rPr>
                <w:rFonts w:ascii="Calibri" w:eastAsia="Calibri" w:hAnsi="Calibri" w:cs="Arial"/>
                <w:sz w:val="22"/>
                <w:szCs w:val="22"/>
              </w:rPr>
            </w:pPr>
            <w:r>
              <w:rPr>
                <w:rFonts w:ascii="Calibri" w:hAnsi="Calibri"/>
                <w:sz w:val="22"/>
                <w:szCs w:val="22"/>
              </w:rPr>
              <w:t>1,723.26</w:t>
            </w:r>
          </w:p>
        </w:tc>
        <w:tc>
          <w:tcPr>
            <w:tcW w:w="1310" w:type="dxa"/>
            <w:vAlign w:val="center"/>
          </w:tcPr>
          <w:p w:rsidR="00BD4A3E" w:rsidRPr="00BD4A3E" w:rsidRDefault="00BD4A3E" w:rsidP="00BD4A3E">
            <w:pPr>
              <w:spacing w:line="300" w:lineRule="atLeast"/>
              <w:jc w:val="both"/>
              <w:rPr>
                <w:rFonts w:ascii="Calibri" w:eastAsia="Calibri" w:hAnsi="Calibri" w:cs="Arial"/>
                <w:sz w:val="22"/>
                <w:szCs w:val="22"/>
              </w:rPr>
            </w:pPr>
            <w:r>
              <w:rPr>
                <w:rFonts w:ascii="Calibri" w:hAnsi="Calibri"/>
                <w:sz w:val="22"/>
                <w:szCs w:val="22"/>
              </w:rPr>
              <w:t>1,751.61</w:t>
            </w:r>
          </w:p>
        </w:tc>
        <w:tc>
          <w:tcPr>
            <w:tcW w:w="1310" w:type="dxa"/>
            <w:vAlign w:val="center"/>
          </w:tcPr>
          <w:p w:rsidR="00BD4A3E" w:rsidRPr="00BD4A3E" w:rsidRDefault="00BD4A3E" w:rsidP="00BD4A3E">
            <w:pPr>
              <w:spacing w:line="300" w:lineRule="atLeast"/>
              <w:jc w:val="both"/>
              <w:rPr>
                <w:rFonts w:ascii="Calibri" w:eastAsia="Calibri" w:hAnsi="Calibri" w:cs="Arial"/>
                <w:sz w:val="22"/>
                <w:szCs w:val="22"/>
              </w:rPr>
            </w:pPr>
            <w:r>
              <w:rPr>
                <w:rFonts w:ascii="Calibri" w:hAnsi="Calibri"/>
                <w:sz w:val="22"/>
                <w:szCs w:val="22"/>
              </w:rPr>
              <w:t>1,186.54</w:t>
            </w:r>
          </w:p>
        </w:tc>
        <w:tc>
          <w:tcPr>
            <w:tcW w:w="1310" w:type="dxa"/>
            <w:vAlign w:val="center"/>
          </w:tcPr>
          <w:p w:rsidR="00BD4A3E" w:rsidRPr="00BD4A3E" w:rsidRDefault="00BD4A3E" w:rsidP="00BD4A3E">
            <w:pPr>
              <w:spacing w:line="300" w:lineRule="atLeast"/>
              <w:jc w:val="both"/>
              <w:rPr>
                <w:rFonts w:ascii="Calibri" w:eastAsia="Calibri" w:hAnsi="Calibri" w:cs="Arial"/>
                <w:sz w:val="22"/>
                <w:szCs w:val="22"/>
              </w:rPr>
            </w:pPr>
            <w:r>
              <w:rPr>
                <w:rFonts w:ascii="Calibri" w:hAnsi="Calibri"/>
                <w:sz w:val="22"/>
                <w:szCs w:val="22"/>
              </w:rPr>
              <w:t>1,184.73</w:t>
            </w:r>
          </w:p>
        </w:tc>
        <w:tc>
          <w:tcPr>
            <w:tcW w:w="1310" w:type="dxa"/>
            <w:vAlign w:val="center"/>
          </w:tcPr>
          <w:p w:rsidR="00BD4A3E" w:rsidRPr="00BD4A3E" w:rsidRDefault="00BD4A3E" w:rsidP="00BD4A3E">
            <w:pPr>
              <w:spacing w:line="300" w:lineRule="atLeast"/>
              <w:jc w:val="both"/>
              <w:rPr>
                <w:rFonts w:ascii="Calibri" w:eastAsia="Calibri" w:hAnsi="Calibri" w:cs="Arial"/>
                <w:sz w:val="22"/>
                <w:szCs w:val="22"/>
              </w:rPr>
            </w:pPr>
            <w:r>
              <w:rPr>
                <w:rFonts w:ascii="Calibri" w:hAnsi="Calibri"/>
                <w:sz w:val="22"/>
                <w:szCs w:val="22"/>
              </w:rPr>
              <w:t>1,141.93</w:t>
            </w:r>
          </w:p>
        </w:tc>
        <w:tc>
          <w:tcPr>
            <w:tcW w:w="1310" w:type="dxa"/>
            <w:vAlign w:val="center"/>
          </w:tcPr>
          <w:p w:rsidR="00BD4A3E" w:rsidRPr="00BD4A3E" w:rsidRDefault="00BD4A3E" w:rsidP="00BD4A3E">
            <w:pPr>
              <w:spacing w:line="300" w:lineRule="atLeast"/>
              <w:jc w:val="both"/>
              <w:rPr>
                <w:rFonts w:ascii="Calibri" w:eastAsia="Calibri" w:hAnsi="Calibri" w:cs="Arial"/>
                <w:sz w:val="22"/>
                <w:szCs w:val="22"/>
              </w:rPr>
            </w:pPr>
            <w:r>
              <w:rPr>
                <w:rFonts w:ascii="Calibri" w:hAnsi="Calibri"/>
                <w:sz w:val="22"/>
                <w:szCs w:val="22"/>
              </w:rPr>
              <w:t>1,139.93</w:t>
            </w:r>
          </w:p>
        </w:tc>
        <w:tc>
          <w:tcPr>
            <w:tcW w:w="1310" w:type="dxa"/>
            <w:vAlign w:val="center"/>
          </w:tcPr>
          <w:p w:rsidR="00BD4A3E" w:rsidRPr="00BD4A3E" w:rsidRDefault="00BD4A3E" w:rsidP="00BD4A3E">
            <w:pPr>
              <w:spacing w:line="300" w:lineRule="atLeast"/>
              <w:jc w:val="both"/>
              <w:rPr>
                <w:rFonts w:ascii="Calibri" w:eastAsia="Calibri" w:hAnsi="Calibri" w:cs="Arial"/>
                <w:sz w:val="22"/>
                <w:szCs w:val="22"/>
              </w:rPr>
            </w:pPr>
            <w:r>
              <w:rPr>
                <w:rFonts w:ascii="Calibri" w:hAnsi="Calibri"/>
                <w:sz w:val="22"/>
                <w:szCs w:val="22"/>
              </w:rPr>
              <w:t>8,128.00</w:t>
            </w:r>
          </w:p>
        </w:tc>
      </w:tr>
    </w:tbl>
    <w:p w:rsidR="00BD4A3E" w:rsidRPr="00BD4A3E" w:rsidRDefault="00BD4A3E" w:rsidP="00BD4A3E">
      <w:pPr>
        <w:shd w:val="clear" w:color="auto" w:fill="FFFFFF"/>
        <w:spacing w:line="300" w:lineRule="atLeast"/>
        <w:jc w:val="both"/>
        <w:rPr>
          <w:rFonts w:ascii="Calibri" w:eastAsia="Calibri" w:hAnsi="Calibri" w:cs="Arial"/>
          <w:lang w:val="ro-RO"/>
        </w:rPr>
      </w:pPr>
    </w:p>
    <w:p w:rsidR="00BD4A3E" w:rsidRPr="00CE1614" w:rsidRDefault="00BD4A3E" w:rsidP="00BD4A3E">
      <w:pPr>
        <w:shd w:val="clear" w:color="auto" w:fill="FFFFFF"/>
        <w:spacing w:line="300" w:lineRule="atLeast"/>
        <w:jc w:val="both"/>
        <w:rPr>
          <w:rFonts w:ascii="Calibri" w:eastAsia="Calibri" w:hAnsi="Calibri" w:cs="Arial"/>
        </w:rPr>
      </w:pPr>
      <w:r>
        <w:rPr>
          <w:rFonts w:ascii="Calibri" w:hAnsi="Calibri"/>
        </w:rPr>
        <w:t>The total public allocation is distributed on 6 rural development priorities (RDP), according to the PNDR for 2014-2020:</w:t>
      </w:r>
    </w:p>
    <w:p w:rsidR="00BD4A3E" w:rsidRPr="00CE1614" w:rsidRDefault="00BD4A3E" w:rsidP="00021698">
      <w:pPr>
        <w:numPr>
          <w:ilvl w:val="0"/>
          <w:numId w:val="114"/>
        </w:numPr>
        <w:shd w:val="clear" w:color="auto" w:fill="FFFFFF"/>
        <w:spacing w:before="240" w:after="240" w:line="276" w:lineRule="auto"/>
        <w:contextualSpacing/>
        <w:rPr>
          <w:rFonts w:ascii="Calibri" w:eastAsia="Calibri" w:hAnsi="Calibri"/>
        </w:rPr>
      </w:pPr>
      <w:r>
        <w:rPr>
          <w:rFonts w:ascii="Calibri" w:hAnsi="Calibri"/>
        </w:rPr>
        <w:t>RDP 1 “</w:t>
      </w:r>
      <w:r>
        <w:rPr>
          <w:rFonts w:ascii="Calibri" w:hAnsi="Calibri"/>
          <w:i/>
        </w:rPr>
        <w:t>Encouraging knowledge transfer and innovation in agriculture, forestry, and rural areas</w:t>
      </w:r>
      <w:r>
        <w:rPr>
          <w:rFonts w:ascii="Calibri" w:hAnsi="Calibri"/>
        </w:rPr>
        <w:t>” - this priority is scheduled through the priorities from 2 to 6 (the allocation is found under priorities 2-6);</w:t>
      </w:r>
    </w:p>
    <w:p w:rsidR="00BD4A3E" w:rsidRPr="00CE1614" w:rsidRDefault="00BD4A3E" w:rsidP="00021698">
      <w:pPr>
        <w:numPr>
          <w:ilvl w:val="0"/>
          <w:numId w:val="114"/>
        </w:numPr>
        <w:shd w:val="clear" w:color="auto" w:fill="FFFFFF"/>
        <w:spacing w:before="120" w:line="276" w:lineRule="auto"/>
        <w:ind w:left="714" w:hanging="357"/>
        <w:contextualSpacing/>
        <w:rPr>
          <w:rFonts w:ascii="Calibri" w:eastAsia="Calibri" w:hAnsi="Calibri"/>
        </w:rPr>
      </w:pPr>
      <w:r>
        <w:rPr>
          <w:rFonts w:ascii="Calibri" w:hAnsi="Calibri"/>
        </w:rPr>
        <w:t>RDP 2: “</w:t>
      </w:r>
      <w:r>
        <w:rPr>
          <w:rFonts w:ascii="Calibri" w:hAnsi="Calibri"/>
          <w:i/>
        </w:rPr>
        <w:t>Increasing the viability of farms and the competitiveness of all types of agriculture in all regions and promotion of innovative agricultural technologies and of sustainable wood development</w:t>
      </w:r>
      <w:r>
        <w:rPr>
          <w:rFonts w:ascii="Calibri" w:hAnsi="Calibri"/>
        </w:rPr>
        <w:t>” - allocation of 1,723.80 million EUR;</w:t>
      </w:r>
    </w:p>
    <w:p w:rsidR="00BD4A3E" w:rsidRPr="00CE1614" w:rsidRDefault="00BD4A3E" w:rsidP="00021698">
      <w:pPr>
        <w:numPr>
          <w:ilvl w:val="0"/>
          <w:numId w:val="114"/>
        </w:numPr>
        <w:shd w:val="clear" w:color="auto" w:fill="FFFFFF"/>
        <w:spacing w:before="240" w:after="240" w:line="276" w:lineRule="auto"/>
        <w:contextualSpacing/>
        <w:rPr>
          <w:rFonts w:ascii="Calibri" w:eastAsia="Calibri" w:hAnsi="Calibri"/>
        </w:rPr>
      </w:pPr>
      <w:r>
        <w:rPr>
          <w:rFonts w:ascii="Calibri" w:hAnsi="Calibri"/>
        </w:rPr>
        <w:t>RDP 3: “</w:t>
      </w:r>
      <w:r>
        <w:rPr>
          <w:rFonts w:ascii="Calibri" w:hAnsi="Calibri"/>
          <w:i/>
        </w:rPr>
        <w:t>Promoting the organization of the food chain, including the sectors of processing and trading of agricultural products, of animal welfare and risk management in agriculture</w:t>
      </w:r>
      <w:r>
        <w:rPr>
          <w:rFonts w:ascii="Calibri" w:hAnsi="Calibri"/>
        </w:rPr>
        <w:t>” - allocation of 1,004.82 million EUR;</w:t>
      </w:r>
    </w:p>
    <w:p w:rsidR="00BD4A3E" w:rsidRPr="00CE1614" w:rsidRDefault="00BD4A3E" w:rsidP="00021698">
      <w:pPr>
        <w:numPr>
          <w:ilvl w:val="0"/>
          <w:numId w:val="114"/>
        </w:numPr>
        <w:shd w:val="clear" w:color="auto" w:fill="FFFFFF"/>
        <w:spacing w:before="240" w:after="240" w:line="276" w:lineRule="auto"/>
        <w:contextualSpacing/>
        <w:rPr>
          <w:rFonts w:ascii="Calibri" w:eastAsia="Calibri" w:hAnsi="Calibri"/>
        </w:rPr>
      </w:pPr>
      <w:r>
        <w:rPr>
          <w:rFonts w:ascii="Calibri" w:hAnsi="Calibri"/>
        </w:rPr>
        <w:t>RDP 4: “</w:t>
      </w:r>
      <w:r>
        <w:rPr>
          <w:rFonts w:ascii="Calibri" w:hAnsi="Calibri"/>
          <w:i/>
        </w:rPr>
        <w:t>Restoration, conservation, and consolidation of eco-systems related to agriculture and forestry</w:t>
      </w:r>
      <w:r>
        <w:rPr>
          <w:rFonts w:ascii="Calibri" w:hAnsi="Calibri"/>
        </w:rPr>
        <w:t>” - allocation of 2,344.29 million EUR;</w:t>
      </w:r>
    </w:p>
    <w:p w:rsidR="00BD4A3E" w:rsidRPr="00CE1614" w:rsidRDefault="00BD4A3E" w:rsidP="00021698">
      <w:pPr>
        <w:numPr>
          <w:ilvl w:val="0"/>
          <w:numId w:val="114"/>
        </w:numPr>
        <w:shd w:val="clear" w:color="auto" w:fill="FFFFFF"/>
        <w:spacing w:before="240" w:after="240" w:line="276" w:lineRule="auto"/>
        <w:contextualSpacing/>
        <w:rPr>
          <w:rFonts w:ascii="Calibri" w:eastAsia="Calibri" w:hAnsi="Calibri"/>
        </w:rPr>
      </w:pPr>
      <w:r>
        <w:rPr>
          <w:rFonts w:ascii="Calibri" w:hAnsi="Calibri"/>
        </w:rPr>
        <w:t>RDP 5: “</w:t>
      </w:r>
      <w:r>
        <w:rPr>
          <w:rFonts w:ascii="Calibri" w:hAnsi="Calibri"/>
          <w:i/>
        </w:rPr>
        <w:t>Promoting the efficient use of resources and supporting transition towards an economy with low carbon emissions and resistant to climate changes in the agricultural, food, and forestry sectors</w:t>
      </w:r>
      <w:r>
        <w:rPr>
          <w:rFonts w:ascii="Calibri" w:hAnsi="Calibri"/>
        </w:rPr>
        <w:t>” - allocation of 678.82 million EUR;</w:t>
      </w:r>
    </w:p>
    <w:p w:rsidR="00BD4A3E" w:rsidRPr="00CE1614" w:rsidRDefault="00BD4A3E" w:rsidP="00021698">
      <w:pPr>
        <w:numPr>
          <w:ilvl w:val="0"/>
          <w:numId w:val="114"/>
        </w:numPr>
        <w:shd w:val="clear" w:color="auto" w:fill="FFFFFF"/>
        <w:spacing w:before="240" w:after="240" w:line="276" w:lineRule="auto"/>
        <w:contextualSpacing/>
        <w:rPr>
          <w:rFonts w:ascii="Calibri" w:eastAsia="Calibri" w:hAnsi="Calibri"/>
        </w:rPr>
      </w:pPr>
      <w:r>
        <w:rPr>
          <w:rFonts w:ascii="Calibri" w:hAnsi="Calibri"/>
        </w:rPr>
        <w:t>RDP 6: “</w:t>
      </w:r>
      <w:r>
        <w:rPr>
          <w:rFonts w:ascii="Calibri" w:hAnsi="Calibri"/>
          <w:i/>
        </w:rPr>
        <w:t>Promoting social inclusion, poverty reduction and economic development in the rural areas</w:t>
      </w:r>
      <w:r>
        <w:rPr>
          <w:rFonts w:ascii="Calibri" w:hAnsi="Calibri"/>
        </w:rPr>
        <w:t>” - allocation of 2,197.89 million EUR.</w:t>
      </w:r>
    </w:p>
    <w:p w:rsidR="00BD4A3E" w:rsidRPr="00CE1614" w:rsidRDefault="00BD4A3E" w:rsidP="00BD4A3E">
      <w:pPr>
        <w:shd w:val="clear" w:color="auto" w:fill="FFFFFF"/>
        <w:spacing w:before="240" w:after="240"/>
        <w:rPr>
          <w:rFonts w:ascii="Calibri" w:eastAsia="Calibri" w:hAnsi="Calibri" w:cs="Arial"/>
        </w:rPr>
      </w:pPr>
      <w:r>
        <w:rPr>
          <w:rFonts w:ascii="Calibri" w:hAnsi="Calibri"/>
        </w:rPr>
        <w:t>To the allocations mentioned above, on priorities of rural development, is added the allocation for the Technical Assistance measure of 178.37 million EUR.</w:t>
      </w:r>
    </w:p>
    <w:p w:rsidR="00BD4A3E" w:rsidRPr="00CE1614" w:rsidRDefault="00BD4A3E" w:rsidP="00BD4A3E">
      <w:pPr>
        <w:ind w:right="-1"/>
        <w:jc w:val="both"/>
        <w:rPr>
          <w:rFonts w:ascii="Calibri" w:eastAsia="Calibri" w:hAnsi="Calibri" w:cs="Arial"/>
        </w:rPr>
      </w:pPr>
      <w:r>
        <w:rPr>
          <w:rFonts w:ascii="Calibri" w:hAnsi="Calibri"/>
        </w:rPr>
        <w:t>The Program includes 16 financing measures (to which an exclusively transitional measure is added, namely Animal welfare - multi-annual commitments concluded through the PNDR for 2007-2013). The payments that correspond to budget commitments are made on the N+3 principle.</w:t>
      </w:r>
    </w:p>
    <w:p w:rsidR="00BD4A3E" w:rsidRPr="00CE1614" w:rsidRDefault="00BD4A3E" w:rsidP="00BD4A3E">
      <w:pPr>
        <w:ind w:right="-1"/>
        <w:jc w:val="both"/>
        <w:rPr>
          <w:rFonts w:ascii="Calibri" w:eastAsia="Calibri" w:hAnsi="Calibri" w:cs="Arial"/>
          <w:lang w:val="ro-RO"/>
        </w:rPr>
      </w:pPr>
    </w:p>
    <w:p w:rsidR="00BD4A3E" w:rsidRPr="00BD4A3E" w:rsidRDefault="00BD4A3E" w:rsidP="00021698">
      <w:pPr>
        <w:numPr>
          <w:ilvl w:val="1"/>
          <w:numId w:val="104"/>
        </w:numPr>
        <w:tabs>
          <w:tab w:val="left" w:pos="284"/>
        </w:tabs>
        <w:spacing w:after="120" w:line="276" w:lineRule="auto"/>
        <w:ind w:left="357" w:hanging="357"/>
        <w:contextualSpacing/>
        <w:jc w:val="both"/>
        <w:rPr>
          <w:rFonts w:ascii="Calibri" w:eastAsia="Calibri" w:hAnsi="Calibri" w:cs="Arial"/>
          <w:szCs w:val="22"/>
        </w:rPr>
      </w:pPr>
      <w:r>
        <w:rPr>
          <w:rFonts w:ascii="Calibri" w:hAnsi="Calibri"/>
          <w:szCs w:val="22"/>
        </w:rPr>
        <w:t>Absorption rate of PNDR for 2014-2020</w:t>
      </w:r>
    </w:p>
    <w:p w:rsidR="00BD4A3E" w:rsidRPr="003964D3" w:rsidRDefault="00BD4A3E" w:rsidP="00BD4A3E">
      <w:pPr>
        <w:shd w:val="clear" w:color="auto" w:fill="FFFFFF"/>
        <w:contextualSpacing/>
        <w:jc w:val="both"/>
        <w:rPr>
          <w:rFonts w:ascii="Calibri" w:hAnsi="Calibri" w:cs="Calibri"/>
        </w:rPr>
      </w:pPr>
      <w:r>
        <w:rPr>
          <w:rFonts w:ascii="Calibri" w:hAnsi="Calibri"/>
          <w:b/>
        </w:rPr>
        <w:t>The value of the payments made from the EAFRD</w:t>
      </w:r>
      <w:r>
        <w:rPr>
          <w:rFonts w:ascii="Calibri" w:hAnsi="Calibri"/>
        </w:rPr>
        <w:t xml:space="preserve"> to the beneficiaries of all measures is of 3,173.77 million EUR, to which is added the pre-financing collected in 2015, respectively 2016, from the budget of the EAFRD, in order to ensure the financing necessary to start and implement the Program, amounting to EUR 325.12 million, which leads to a </w:t>
      </w:r>
      <w:r>
        <w:rPr>
          <w:rFonts w:ascii="Calibri" w:hAnsi="Calibri"/>
          <w:b/>
        </w:rPr>
        <w:t>degree of absorption of EAFRD for 2014-2020 of 43.1%</w:t>
      </w:r>
      <w:r>
        <w:rPr>
          <w:rFonts w:ascii="Calibri" w:hAnsi="Calibri"/>
        </w:rPr>
        <w:t xml:space="preserve"> (according to the expenditure declarations corresponding to years 2016-2018 reimbursed by the COM, as well as of the payments made to the beneficiaries between July and October 2018).</w:t>
      </w:r>
    </w:p>
    <w:p w:rsidR="00BD4A3E" w:rsidRPr="00BD4A3E" w:rsidRDefault="00BD4A3E" w:rsidP="00BD4A3E">
      <w:pPr>
        <w:ind w:right="-1"/>
        <w:jc w:val="both"/>
        <w:rPr>
          <w:rFonts w:ascii="Calibri" w:eastAsia="Calibri" w:hAnsi="Calibri" w:cs="Arial"/>
          <w:lang w:val="ro-RO"/>
        </w:rPr>
      </w:pPr>
    </w:p>
    <w:p w:rsidR="00BD4A3E" w:rsidRPr="00BD4A3E" w:rsidRDefault="00BD4A3E" w:rsidP="00021698">
      <w:pPr>
        <w:numPr>
          <w:ilvl w:val="1"/>
          <w:numId w:val="104"/>
        </w:numPr>
        <w:tabs>
          <w:tab w:val="left" w:pos="284"/>
        </w:tabs>
        <w:spacing w:after="120"/>
        <w:ind w:left="357" w:hanging="357"/>
        <w:contextualSpacing/>
        <w:jc w:val="both"/>
        <w:rPr>
          <w:rFonts w:ascii="Calibri" w:eastAsia="Calibri" w:hAnsi="Calibri" w:cs="Arial"/>
        </w:rPr>
      </w:pPr>
      <w:r>
        <w:rPr>
          <w:rFonts w:ascii="Calibri" w:hAnsi="Calibri"/>
        </w:rPr>
        <w:t xml:space="preserve">Measures of PNDR for 2014-2020 launched </w:t>
      </w:r>
    </w:p>
    <w:p w:rsidR="00BD4A3E" w:rsidRPr="003964D3" w:rsidRDefault="00BD4A3E" w:rsidP="00BD4A3E">
      <w:pPr>
        <w:tabs>
          <w:tab w:val="left" w:pos="284"/>
        </w:tabs>
        <w:ind w:right="-1"/>
        <w:jc w:val="both"/>
        <w:rPr>
          <w:rFonts w:ascii="Calibri" w:hAnsi="Calibri"/>
        </w:rPr>
      </w:pPr>
      <w:r>
        <w:rPr>
          <w:rFonts w:ascii="Calibri" w:hAnsi="Calibri"/>
        </w:rPr>
        <w:t>41 (sub)measures/components/schemes are active, of which 34 (sub)measures/components/schemes are implemented by AFIR/MA for PNDR and 6 measures by APIA, to which is added the measure of strengthening the administrative capacity of the authorities responsible for the implementation of the PNDR, respectively Technical Assistance.</w:t>
      </w:r>
    </w:p>
    <w:p w:rsidR="00BD4A3E" w:rsidRPr="00BD4A3E" w:rsidRDefault="00BD4A3E" w:rsidP="009F7237">
      <w:pPr>
        <w:numPr>
          <w:ilvl w:val="0"/>
          <w:numId w:val="11"/>
        </w:numPr>
        <w:autoSpaceDE w:val="0"/>
        <w:autoSpaceDN w:val="0"/>
        <w:adjustRightInd w:val="0"/>
        <w:spacing w:line="276" w:lineRule="auto"/>
        <w:contextualSpacing/>
        <w:jc w:val="both"/>
        <w:rPr>
          <w:rFonts w:ascii="Calibri" w:eastAsia="Calibri" w:hAnsi="Calibri"/>
        </w:rPr>
      </w:pPr>
      <w:r>
        <w:rPr>
          <w:rFonts w:ascii="Calibri" w:hAnsi="Calibri"/>
        </w:rPr>
        <w:t xml:space="preserve">3 sub-measures are not launched, and they shall be launched by AFIR/MA PNDR. </w:t>
      </w:r>
    </w:p>
    <w:p w:rsidR="00BD4A3E" w:rsidRPr="00BD4A3E" w:rsidRDefault="00BD4A3E" w:rsidP="009F7237">
      <w:pPr>
        <w:numPr>
          <w:ilvl w:val="0"/>
          <w:numId w:val="11"/>
        </w:numPr>
        <w:spacing w:line="276" w:lineRule="auto"/>
        <w:contextualSpacing/>
        <w:jc w:val="both"/>
        <w:rPr>
          <w:rFonts w:ascii="Calibri" w:eastAsia="Calibri" w:hAnsi="Calibri" w:cs="Calibri"/>
        </w:rPr>
      </w:pPr>
      <w:r>
        <w:rPr>
          <w:rFonts w:ascii="Calibri" w:hAnsi="Calibri"/>
        </w:rPr>
        <w:t xml:space="preserve">Following the sessions carried out in the four years of implementation, on a cumulative basis, the number of submitted projects is of 55,339, with a public value of 8,243.33 million EUR. </w:t>
      </w:r>
    </w:p>
    <w:p w:rsidR="00BD4A3E" w:rsidRPr="00BD4A3E" w:rsidRDefault="00BD4A3E" w:rsidP="009F7237">
      <w:pPr>
        <w:numPr>
          <w:ilvl w:val="0"/>
          <w:numId w:val="11"/>
        </w:numPr>
        <w:spacing w:line="276" w:lineRule="auto"/>
        <w:contextualSpacing/>
        <w:jc w:val="both"/>
        <w:rPr>
          <w:rFonts w:ascii="Calibri" w:eastAsia="Calibri" w:hAnsi="Calibri" w:cs="Calibri"/>
        </w:rPr>
      </w:pPr>
      <w:r>
        <w:rPr>
          <w:rFonts w:ascii="Calibri" w:hAnsi="Calibri"/>
        </w:rPr>
        <w:t xml:space="preserve">The number of projects selected for financing is of 29,345 in public value of 4,114.67 million EUR, of which 28,224 projects were contracted, in public value of 3,575.86 million EUR. For these contracts were made payments of a public value of 1,696.49 million EUR. </w:t>
      </w:r>
    </w:p>
    <w:p w:rsidR="00BD4A3E" w:rsidRPr="00BD4A3E" w:rsidRDefault="00BD4A3E" w:rsidP="009F7237">
      <w:pPr>
        <w:numPr>
          <w:ilvl w:val="0"/>
          <w:numId w:val="11"/>
        </w:numPr>
        <w:spacing w:line="276" w:lineRule="auto"/>
        <w:contextualSpacing/>
        <w:jc w:val="both"/>
        <w:rPr>
          <w:rFonts w:ascii="Calibri" w:eastAsia="Calibri" w:hAnsi="Calibri" w:cs="Calibri"/>
        </w:rPr>
      </w:pPr>
      <w:r>
        <w:rPr>
          <w:rFonts w:ascii="Calibri" w:hAnsi="Calibri"/>
        </w:rPr>
        <w:t>The detailing on annual sessions is found below.</w:t>
      </w:r>
    </w:p>
    <w:p w:rsidR="00BD4A3E" w:rsidRPr="00BD4A3E" w:rsidRDefault="00BD4A3E" w:rsidP="00BD4A3E">
      <w:pPr>
        <w:spacing w:before="120" w:line="276" w:lineRule="auto"/>
        <w:ind w:left="720"/>
        <w:contextualSpacing/>
        <w:jc w:val="both"/>
        <w:rPr>
          <w:rFonts w:ascii="Calibri" w:eastAsia="Calibri" w:hAnsi="Calibri" w:cs="Calibri"/>
          <w:b/>
          <w:u w:val="single"/>
          <w:lang w:val="ro-RO"/>
        </w:rPr>
      </w:pPr>
    </w:p>
    <w:p w:rsidR="00BD4A3E" w:rsidRPr="00BD4A3E" w:rsidRDefault="00BD4A3E" w:rsidP="00BD4A3E">
      <w:pPr>
        <w:spacing w:before="120" w:line="276" w:lineRule="auto"/>
        <w:ind w:left="720"/>
        <w:contextualSpacing/>
        <w:jc w:val="both"/>
        <w:rPr>
          <w:rFonts w:ascii="Calibri" w:eastAsia="Calibri" w:hAnsi="Calibri" w:cs="Calibri"/>
          <w:b/>
          <w:u w:val="single"/>
        </w:rPr>
      </w:pPr>
      <w:r>
        <w:rPr>
          <w:rFonts w:ascii="Calibri" w:hAnsi="Calibri"/>
          <w:b/>
          <w:u w:val="single"/>
        </w:rPr>
        <w:t>Sessions for 2015</w:t>
      </w:r>
    </w:p>
    <w:p w:rsidR="00BD4A3E" w:rsidRPr="00BD4A3E" w:rsidRDefault="00BD4A3E" w:rsidP="009F7237">
      <w:pPr>
        <w:numPr>
          <w:ilvl w:val="0"/>
          <w:numId w:val="11"/>
        </w:numPr>
        <w:spacing w:line="276" w:lineRule="auto"/>
        <w:contextualSpacing/>
        <w:jc w:val="both"/>
        <w:rPr>
          <w:rFonts w:ascii="Calibri" w:eastAsia="Calibri" w:hAnsi="Calibri" w:cs="Calibri"/>
        </w:rPr>
      </w:pPr>
      <w:r>
        <w:rPr>
          <w:rFonts w:ascii="Calibri" w:hAnsi="Calibri"/>
          <w:b/>
        </w:rPr>
        <w:t>Submission</w:t>
      </w:r>
      <w:r>
        <w:rPr>
          <w:rFonts w:ascii="Calibri" w:hAnsi="Calibri"/>
        </w:rPr>
        <w:t xml:space="preserve">: between March and December 2015 was carried out the first annual session within 15 sub-measures/components (among the measures implemented by AFIR), auctioning the amount of 1,558.32 million EUR, being submitted 7,691 projects with a public value of 1,550.27 million EUR. </w:t>
      </w:r>
    </w:p>
    <w:p w:rsidR="00BD4A3E" w:rsidRPr="00BD4A3E" w:rsidRDefault="00BD4A3E" w:rsidP="009F7237">
      <w:pPr>
        <w:numPr>
          <w:ilvl w:val="0"/>
          <w:numId w:val="11"/>
        </w:numPr>
        <w:spacing w:line="276" w:lineRule="auto"/>
        <w:contextualSpacing/>
        <w:jc w:val="both"/>
        <w:rPr>
          <w:rFonts w:ascii="Calibri" w:eastAsia="Calibri" w:hAnsi="Calibri"/>
        </w:rPr>
      </w:pPr>
      <w:r>
        <w:rPr>
          <w:rFonts w:ascii="Calibri" w:hAnsi="Calibri"/>
          <w:b/>
        </w:rPr>
        <w:t>Selection and contracting:</w:t>
      </w:r>
      <w:r>
        <w:rPr>
          <w:rFonts w:ascii="Calibri" w:hAnsi="Calibri"/>
        </w:rPr>
        <w:t xml:space="preserve"> of the projects submitted in the session of 2015 were selected 4,362 projects with a public value of 902.73 million EUR and were contracted 4,155 projects with a public value of 769.25 million EUR, the payments made being of a public value of 506.27 million EUR.</w:t>
      </w:r>
    </w:p>
    <w:p w:rsidR="00BD4A3E" w:rsidRPr="00BD4A3E" w:rsidRDefault="00BD4A3E" w:rsidP="00BD4A3E">
      <w:pPr>
        <w:spacing w:line="276" w:lineRule="auto"/>
        <w:ind w:left="720"/>
        <w:contextualSpacing/>
        <w:jc w:val="both"/>
        <w:rPr>
          <w:rFonts w:ascii="Calibri" w:eastAsia="Calibri" w:hAnsi="Calibri" w:cs="Calibri"/>
          <w:b/>
          <w:u w:val="single"/>
          <w:lang w:val="ro-RO"/>
        </w:rPr>
      </w:pPr>
    </w:p>
    <w:p w:rsidR="00BD4A3E" w:rsidRPr="00BD4A3E" w:rsidRDefault="00BD4A3E" w:rsidP="00BD4A3E">
      <w:pPr>
        <w:spacing w:line="276" w:lineRule="auto"/>
        <w:ind w:left="720"/>
        <w:contextualSpacing/>
        <w:jc w:val="both"/>
        <w:rPr>
          <w:rFonts w:ascii="Calibri" w:eastAsia="Calibri" w:hAnsi="Calibri" w:cs="Calibri"/>
          <w:b/>
          <w:u w:val="single"/>
        </w:rPr>
      </w:pPr>
      <w:r>
        <w:rPr>
          <w:rFonts w:ascii="Calibri" w:hAnsi="Calibri"/>
          <w:b/>
          <w:u w:val="single"/>
        </w:rPr>
        <w:t>Sessions for 2016</w:t>
      </w:r>
    </w:p>
    <w:p w:rsidR="00BD4A3E" w:rsidRPr="00BD4A3E" w:rsidRDefault="00BD4A3E" w:rsidP="009F7237">
      <w:pPr>
        <w:numPr>
          <w:ilvl w:val="0"/>
          <w:numId w:val="11"/>
        </w:numPr>
        <w:spacing w:line="276" w:lineRule="auto"/>
        <w:contextualSpacing/>
        <w:jc w:val="both"/>
        <w:rPr>
          <w:rFonts w:ascii="Calibri" w:eastAsia="Calibri" w:hAnsi="Calibri" w:cs="Calibri"/>
        </w:rPr>
      </w:pPr>
      <w:r>
        <w:rPr>
          <w:rFonts w:ascii="Calibri" w:hAnsi="Calibri"/>
          <w:b/>
        </w:rPr>
        <w:t>Submission</w:t>
      </w:r>
      <w:r>
        <w:rPr>
          <w:rFonts w:ascii="Calibri" w:hAnsi="Calibri"/>
        </w:rPr>
        <w:t>: starting with April were launched sessions of submission of financing applications for 24 sub-measures/components/schemes (among the measures implemented by AFIR), auctioning the amount of 1,685.25 million EUR, being submitted 14,529 projects with a public value of 1,965.25 million EUR.</w:t>
      </w:r>
      <w:r>
        <w:rPr>
          <w:rFonts w:ascii="Calibri" w:hAnsi="Calibri"/>
        </w:rPr>
        <w:tab/>
      </w:r>
    </w:p>
    <w:p w:rsidR="00BD4A3E" w:rsidRPr="00BD4A3E" w:rsidRDefault="00BD4A3E" w:rsidP="009F7237">
      <w:pPr>
        <w:numPr>
          <w:ilvl w:val="0"/>
          <w:numId w:val="11"/>
        </w:numPr>
        <w:spacing w:line="276" w:lineRule="auto"/>
        <w:contextualSpacing/>
        <w:jc w:val="both"/>
        <w:rPr>
          <w:rFonts w:ascii="Calibri" w:eastAsia="Calibri" w:hAnsi="Calibri" w:cs="Calibri"/>
        </w:rPr>
      </w:pPr>
      <w:r>
        <w:rPr>
          <w:rFonts w:ascii="Calibri" w:hAnsi="Calibri"/>
          <w:b/>
        </w:rPr>
        <w:t>Selection and contracting:</w:t>
      </w:r>
      <w:r>
        <w:rPr>
          <w:rFonts w:ascii="Calibri" w:hAnsi="Calibri"/>
        </w:rPr>
        <w:t xml:space="preserve"> of the projects submitted in the session of 2016 were selected 9,689 projects with a public value of 1,360.54 million EUR and were contracted 9,396 projects with a public value of 1,275.90 million EUR, the payments made being of a public value of 643.94 million EUR.  </w:t>
      </w:r>
    </w:p>
    <w:p w:rsidR="00BD4A3E" w:rsidRPr="00BD4A3E" w:rsidRDefault="00BD4A3E" w:rsidP="00BD4A3E">
      <w:pPr>
        <w:spacing w:line="276" w:lineRule="auto"/>
        <w:ind w:left="720"/>
        <w:contextualSpacing/>
        <w:jc w:val="both"/>
        <w:rPr>
          <w:rFonts w:ascii="Calibri" w:eastAsia="Calibri" w:hAnsi="Calibri" w:cs="Calibri"/>
          <w:b/>
          <w:u w:val="single"/>
          <w:lang w:val="ro-RO"/>
        </w:rPr>
      </w:pPr>
    </w:p>
    <w:p w:rsidR="00BD4A3E" w:rsidRPr="00BD4A3E" w:rsidRDefault="00BD4A3E" w:rsidP="00BD4A3E">
      <w:pPr>
        <w:spacing w:line="276" w:lineRule="auto"/>
        <w:ind w:left="720"/>
        <w:contextualSpacing/>
        <w:jc w:val="both"/>
        <w:rPr>
          <w:rFonts w:ascii="Calibri" w:eastAsia="Calibri" w:hAnsi="Calibri" w:cs="Calibri"/>
          <w:b/>
          <w:u w:val="single"/>
        </w:rPr>
      </w:pPr>
      <w:r>
        <w:rPr>
          <w:rFonts w:ascii="Calibri" w:hAnsi="Calibri"/>
          <w:b/>
          <w:u w:val="single"/>
        </w:rPr>
        <w:t>Sessions for 2017</w:t>
      </w:r>
    </w:p>
    <w:p w:rsidR="00BD4A3E" w:rsidRPr="00BD4A3E" w:rsidRDefault="00BD4A3E" w:rsidP="009F7237">
      <w:pPr>
        <w:numPr>
          <w:ilvl w:val="0"/>
          <w:numId w:val="11"/>
        </w:numPr>
        <w:spacing w:line="276" w:lineRule="auto"/>
        <w:contextualSpacing/>
        <w:jc w:val="both"/>
        <w:rPr>
          <w:rFonts w:ascii="Calibri" w:eastAsia="Calibri" w:hAnsi="Calibri" w:cs="Calibri"/>
        </w:rPr>
      </w:pPr>
      <w:r>
        <w:rPr>
          <w:rFonts w:ascii="Calibri" w:hAnsi="Calibri"/>
          <w:b/>
        </w:rPr>
        <w:t>Submission</w:t>
      </w:r>
      <w:r>
        <w:rPr>
          <w:rFonts w:ascii="Calibri" w:hAnsi="Calibri"/>
        </w:rPr>
        <w:t>: as of February were launched sessions of submission of financing applications for 2017 for 24 sub-measures/components/schemes (among the measures implemented by AFIR), and exclusively for the ITI Danube Delta territory were launched sessions for 13 sub-measures, auctioning the amount of 2,382.73 million EUR, being submitted 25,019 projects with a public value of 3,762 million EUR (the session corresponding to sub-measure 19.2 was opened on April 20, 2017and will close at the time of exhaustion of the allocated funds).</w:t>
      </w:r>
      <w:r>
        <w:rPr>
          <w:rFonts w:ascii="Calibri" w:hAnsi="Calibri"/>
        </w:rPr>
        <w:tab/>
      </w:r>
    </w:p>
    <w:p w:rsidR="00BD4A3E" w:rsidRPr="00BD4A3E" w:rsidRDefault="00BD4A3E" w:rsidP="009F7237">
      <w:pPr>
        <w:numPr>
          <w:ilvl w:val="0"/>
          <w:numId w:val="11"/>
        </w:numPr>
        <w:spacing w:line="276" w:lineRule="auto"/>
        <w:contextualSpacing/>
        <w:jc w:val="both"/>
        <w:rPr>
          <w:rFonts w:ascii="Calibri" w:eastAsia="Calibri" w:hAnsi="Calibri" w:cs="Calibri"/>
        </w:rPr>
      </w:pPr>
      <w:r>
        <w:rPr>
          <w:rFonts w:ascii="Calibri" w:hAnsi="Calibri"/>
          <w:b/>
        </w:rPr>
        <w:t>Selection and contracting:</w:t>
      </w:r>
      <w:r>
        <w:rPr>
          <w:rFonts w:ascii="Calibri" w:hAnsi="Calibri"/>
        </w:rPr>
        <w:t xml:space="preserve"> of the projects submitted in the session of 2017 were selected 15,091 projects with a public value of 1,839.36 million EUR and were contracted 14,599 projects with a public value of 1,527.92 million EUR. The payments made are of a public value of 545.77 million EUR.</w:t>
      </w:r>
    </w:p>
    <w:p w:rsidR="00BD4A3E" w:rsidRPr="00BD4A3E" w:rsidRDefault="00BD4A3E" w:rsidP="00BD4A3E">
      <w:pPr>
        <w:spacing w:line="276" w:lineRule="auto"/>
        <w:ind w:left="720"/>
        <w:contextualSpacing/>
        <w:jc w:val="both"/>
        <w:rPr>
          <w:rFonts w:ascii="Calibri" w:eastAsia="Calibri" w:hAnsi="Calibri" w:cs="Calibri"/>
          <w:b/>
          <w:u w:val="single"/>
          <w:lang w:val="ro-RO"/>
        </w:rPr>
      </w:pPr>
    </w:p>
    <w:p w:rsidR="00BD4A3E" w:rsidRPr="00BD4A3E" w:rsidRDefault="00BD4A3E" w:rsidP="00BD4A3E">
      <w:pPr>
        <w:spacing w:line="276" w:lineRule="auto"/>
        <w:ind w:left="720"/>
        <w:contextualSpacing/>
        <w:jc w:val="both"/>
        <w:rPr>
          <w:rFonts w:ascii="Calibri" w:eastAsia="Calibri" w:hAnsi="Calibri" w:cs="Calibri"/>
          <w:b/>
          <w:u w:val="single"/>
        </w:rPr>
      </w:pPr>
      <w:r>
        <w:rPr>
          <w:rFonts w:ascii="Calibri" w:hAnsi="Calibri"/>
          <w:b/>
          <w:u w:val="single"/>
        </w:rPr>
        <w:t>Sessions for 2018</w:t>
      </w:r>
    </w:p>
    <w:p w:rsidR="00BD4A3E" w:rsidRPr="00BD4A3E" w:rsidRDefault="00BD4A3E" w:rsidP="009F7237">
      <w:pPr>
        <w:numPr>
          <w:ilvl w:val="0"/>
          <w:numId w:val="11"/>
        </w:numPr>
        <w:spacing w:line="276" w:lineRule="auto"/>
        <w:contextualSpacing/>
        <w:jc w:val="both"/>
        <w:rPr>
          <w:rFonts w:ascii="Calibri" w:eastAsia="Calibri" w:hAnsi="Calibri" w:cs="Calibri"/>
          <w:u w:val="single"/>
        </w:rPr>
      </w:pPr>
      <w:r>
        <w:rPr>
          <w:rFonts w:ascii="Calibri" w:hAnsi="Calibri"/>
          <w:b/>
        </w:rPr>
        <w:t>Submission</w:t>
      </w:r>
      <w:r>
        <w:rPr>
          <w:rFonts w:ascii="Calibri" w:hAnsi="Calibri"/>
        </w:rPr>
        <w:t>: starting with January and until the present were launched sessions of submission of financing applications for 2018 for 13 sub-measures/components/schemes (among the measures implemented by AFIR), auctioning the amount of 665.36 million EUR, being submitted 8,100 projects with a public value of 965.81 million EUR.</w:t>
      </w:r>
    </w:p>
    <w:p w:rsidR="00BD4A3E" w:rsidRPr="00BD4A3E" w:rsidRDefault="00BD4A3E" w:rsidP="009F7237">
      <w:pPr>
        <w:numPr>
          <w:ilvl w:val="0"/>
          <w:numId w:val="11"/>
        </w:numPr>
        <w:spacing w:line="276" w:lineRule="auto"/>
        <w:contextualSpacing/>
        <w:jc w:val="both"/>
        <w:rPr>
          <w:rFonts w:ascii="Calibri" w:eastAsia="Calibri" w:hAnsi="Calibri" w:cs="Calibri"/>
        </w:rPr>
      </w:pPr>
      <w:r>
        <w:rPr>
          <w:rFonts w:ascii="Calibri" w:hAnsi="Calibri"/>
        </w:rPr>
        <w:t>Between March and May 2018 was carried out the Campaign of receipt of Single payment applications for year 2018, were submitted payment applications with a public value of 446 million EUR.</w:t>
      </w:r>
    </w:p>
    <w:p w:rsidR="00BD4A3E" w:rsidRPr="00BD4A3E" w:rsidRDefault="00BD4A3E" w:rsidP="009F7237">
      <w:pPr>
        <w:numPr>
          <w:ilvl w:val="0"/>
          <w:numId w:val="11"/>
        </w:numPr>
        <w:spacing w:line="276" w:lineRule="auto"/>
        <w:contextualSpacing/>
        <w:jc w:val="both"/>
        <w:rPr>
          <w:rFonts w:ascii="Calibri" w:eastAsia="Calibri" w:hAnsi="Calibri" w:cs="Calibri"/>
        </w:rPr>
      </w:pPr>
      <w:r>
        <w:rPr>
          <w:rFonts w:ascii="Calibri" w:hAnsi="Calibri"/>
          <w:b/>
        </w:rPr>
        <w:t>Selection and contracting:</w:t>
      </w:r>
      <w:r>
        <w:rPr>
          <w:rFonts w:ascii="Calibri" w:hAnsi="Calibri"/>
        </w:rPr>
        <w:t xml:space="preserve"> of the projects submitted in the session of 2018 were selected 203 projects with a public value of 12.04 million EUR and were contracted 74 projects with a public value of 3.01 million EUR, the payments made being of a public value of 0.50 million EUR. </w:t>
      </w:r>
    </w:p>
    <w:p w:rsidR="00BD4A3E" w:rsidRPr="00BD4A3E" w:rsidRDefault="00BD4A3E" w:rsidP="009F7237">
      <w:pPr>
        <w:numPr>
          <w:ilvl w:val="0"/>
          <w:numId w:val="11"/>
        </w:numPr>
        <w:spacing w:line="276" w:lineRule="auto"/>
        <w:contextualSpacing/>
        <w:jc w:val="both"/>
        <w:rPr>
          <w:rFonts w:ascii="Calibri" w:eastAsia="Calibri" w:hAnsi="Calibri"/>
        </w:rPr>
      </w:pPr>
      <w:r>
        <w:rPr>
          <w:rFonts w:ascii="Calibri" w:hAnsi="Calibri"/>
        </w:rPr>
        <w:t xml:space="preserve">In addition,  </w:t>
      </w:r>
      <w:r>
        <w:rPr>
          <w:rFonts w:ascii="Calibri" w:hAnsi="Calibri"/>
          <w:b/>
        </w:rPr>
        <w:t>22,627 projects with a public value of 435.84 million EUR</w:t>
      </w:r>
      <w:r>
        <w:rPr>
          <w:rFonts w:ascii="Calibri" w:hAnsi="Calibri"/>
        </w:rPr>
        <w:t xml:space="preserve"> (the value left to be paid in order to finalize these contracts) were transferred through the </w:t>
      </w:r>
      <w:r>
        <w:rPr>
          <w:rFonts w:ascii="Calibri" w:hAnsi="Calibri"/>
          <w:b/>
        </w:rPr>
        <w:t>transition</w:t>
      </w:r>
      <w:r>
        <w:rPr>
          <w:rFonts w:ascii="Calibri" w:hAnsi="Calibri"/>
        </w:rPr>
        <w:t xml:space="preserve"> procedure from the PNDR for 2007-2013 in PNDR for 2014-2020. For these contracts were made payments of a public value of 254.42 million EUR. </w:t>
      </w:r>
    </w:p>
    <w:p w:rsidR="00BD4A3E" w:rsidRPr="00BD4A3E" w:rsidRDefault="00BD4A3E" w:rsidP="009F7237">
      <w:pPr>
        <w:numPr>
          <w:ilvl w:val="0"/>
          <w:numId w:val="11"/>
        </w:numPr>
        <w:spacing w:line="276" w:lineRule="auto"/>
        <w:contextualSpacing/>
        <w:jc w:val="both"/>
        <w:rPr>
          <w:rFonts w:ascii="Calibri" w:eastAsia="Calibri" w:hAnsi="Calibri" w:cs="Calibri"/>
        </w:rPr>
      </w:pPr>
      <w:r>
        <w:rPr>
          <w:rFonts w:ascii="Calibri" w:hAnsi="Calibri"/>
        </w:rPr>
        <w:t xml:space="preserve">Also, </w:t>
      </w:r>
      <w:r>
        <w:rPr>
          <w:rFonts w:ascii="Calibri" w:hAnsi="Calibri"/>
          <w:b/>
        </w:rPr>
        <w:t>payments of a public value of 1,511.15 million EUR were made for the measures of compensatory payments per area/animals implemented by APIA</w:t>
      </w:r>
      <w:r>
        <w:rPr>
          <w:rFonts w:ascii="Calibri" w:hAnsi="Calibri"/>
        </w:rPr>
        <w:t>, corresponding to the payment requests submitted in the campaigns carried out in the previous year.</w:t>
      </w:r>
    </w:p>
    <w:p w:rsidR="00BD4A3E" w:rsidRPr="00BD4A3E" w:rsidRDefault="00BD4A3E" w:rsidP="009F7237">
      <w:pPr>
        <w:numPr>
          <w:ilvl w:val="0"/>
          <w:numId w:val="11"/>
        </w:numPr>
        <w:spacing w:line="276" w:lineRule="auto"/>
        <w:contextualSpacing/>
        <w:jc w:val="both"/>
        <w:rPr>
          <w:rFonts w:ascii="Calibri" w:eastAsia="Calibri" w:hAnsi="Calibri" w:cs="Calibri"/>
        </w:rPr>
      </w:pPr>
      <w:r>
        <w:rPr>
          <w:rFonts w:ascii="Calibri" w:hAnsi="Calibri"/>
        </w:rPr>
        <w:t xml:space="preserve">Within the </w:t>
      </w:r>
      <w:r>
        <w:rPr>
          <w:rFonts w:ascii="Calibri" w:hAnsi="Calibri"/>
          <w:b/>
        </w:rPr>
        <w:t>support measures</w:t>
      </w:r>
      <w:r>
        <w:rPr>
          <w:rFonts w:ascii="Calibri" w:hAnsi="Calibri"/>
        </w:rPr>
        <w:t xml:space="preserve"> were contracted 9 projects with a public value of 3.90 million EUR - sub-measure 2.1 “Services of counseling for farmers, young farmers, microenterprises, and small enterprises”, 79 projects with a public value of 8.70 million EUR.</w:t>
      </w:r>
    </w:p>
    <w:p w:rsidR="00BD4A3E" w:rsidRPr="00BD4A3E" w:rsidRDefault="00BD4A3E" w:rsidP="009F7237">
      <w:pPr>
        <w:numPr>
          <w:ilvl w:val="0"/>
          <w:numId w:val="11"/>
        </w:numPr>
        <w:spacing w:line="276" w:lineRule="auto"/>
        <w:contextualSpacing/>
        <w:jc w:val="both"/>
        <w:rPr>
          <w:rFonts w:ascii="Calibri" w:eastAsia="Calibri" w:hAnsi="Calibri" w:cs="Calibri"/>
        </w:rPr>
      </w:pPr>
      <w:r>
        <w:rPr>
          <w:rFonts w:ascii="Calibri" w:hAnsi="Calibri"/>
        </w:rPr>
        <w:t xml:space="preserve">- the Technical Assistance Measure, 239 projects with a public value of 69.97 million EUR - sub-measure 19.4 “Support for operating and animation expenditures” awarded to GALs. For these contracts were made payments of a public value of 109.64 million EUR. </w:t>
      </w:r>
    </w:p>
    <w:p w:rsidR="00BD4A3E" w:rsidRPr="00BD4A3E" w:rsidRDefault="00BD4A3E" w:rsidP="009F7237">
      <w:pPr>
        <w:numPr>
          <w:ilvl w:val="0"/>
          <w:numId w:val="11"/>
        </w:numPr>
        <w:spacing w:line="276" w:lineRule="auto"/>
        <w:contextualSpacing/>
        <w:jc w:val="both"/>
        <w:rPr>
          <w:rFonts w:ascii="Calibri" w:eastAsia="Calibri" w:hAnsi="Calibri" w:cs="Calibri"/>
        </w:rPr>
      </w:pPr>
      <w:r>
        <w:rPr>
          <w:rFonts w:ascii="Calibri" w:hAnsi="Calibri"/>
          <w:szCs w:val="22"/>
        </w:rPr>
        <w:t xml:space="preserve">In order to facilitate access to capital for the agricultural sector was signed with the </w:t>
      </w:r>
      <w:r>
        <w:rPr>
          <w:rFonts w:ascii="Calibri" w:hAnsi="Calibri"/>
          <w:b/>
          <w:szCs w:val="22"/>
        </w:rPr>
        <w:t>European Investment Fund</w:t>
      </w:r>
      <w:r>
        <w:rPr>
          <w:rFonts w:ascii="Calibri" w:hAnsi="Calibri"/>
          <w:szCs w:val="22"/>
        </w:rPr>
        <w:t xml:space="preserve"> a contract with a public value of 93.88 million EUR, which refers to the award of loans for investments under advantageous conditions, being made payments with a public value of 46.94 million EUR.</w:t>
      </w:r>
    </w:p>
    <w:p w:rsidR="00BD4A3E" w:rsidRPr="00BD4A3E" w:rsidRDefault="00BD4A3E" w:rsidP="00BD4A3E">
      <w:pPr>
        <w:spacing w:line="276" w:lineRule="auto"/>
        <w:ind w:left="720"/>
        <w:contextualSpacing/>
        <w:jc w:val="both"/>
        <w:rPr>
          <w:rFonts w:ascii="Calibri" w:eastAsia="Calibri" w:hAnsi="Calibri" w:cs="Calibri"/>
          <w:lang w:val="ro-RO"/>
        </w:rPr>
      </w:pPr>
    </w:p>
    <w:p w:rsidR="00BD4A3E" w:rsidRPr="00FC6ACD" w:rsidRDefault="00BD4A3E" w:rsidP="00021698">
      <w:pPr>
        <w:numPr>
          <w:ilvl w:val="0"/>
          <w:numId w:val="104"/>
        </w:numPr>
        <w:tabs>
          <w:tab w:val="left" w:pos="90"/>
          <w:tab w:val="left" w:pos="960"/>
        </w:tabs>
        <w:spacing w:before="240" w:line="276" w:lineRule="auto"/>
        <w:ind w:left="357" w:hanging="357"/>
        <w:contextualSpacing/>
        <w:jc w:val="both"/>
        <w:rPr>
          <w:rFonts w:ascii="Calibri" w:eastAsia="Calibri" w:hAnsi="Calibri" w:cs="Arial"/>
          <w:b/>
          <w:szCs w:val="22"/>
        </w:rPr>
      </w:pPr>
      <w:r>
        <w:rPr>
          <w:rFonts w:ascii="Calibri" w:hAnsi="Calibri"/>
          <w:b/>
          <w:szCs w:val="22"/>
        </w:rPr>
        <w:t>EUROPEAN AGRICULTURAL GUARANTEE FUND (EAGF)</w:t>
      </w:r>
    </w:p>
    <w:p w:rsidR="00BD4A3E" w:rsidRPr="00BD4A3E" w:rsidRDefault="00BD4A3E" w:rsidP="00021698">
      <w:pPr>
        <w:numPr>
          <w:ilvl w:val="1"/>
          <w:numId w:val="104"/>
        </w:numPr>
        <w:shd w:val="clear" w:color="auto" w:fill="92D050"/>
        <w:tabs>
          <w:tab w:val="left" w:pos="90"/>
          <w:tab w:val="left" w:pos="960"/>
        </w:tabs>
        <w:spacing w:before="120" w:after="120" w:line="276" w:lineRule="auto"/>
        <w:ind w:left="426" w:hanging="426"/>
        <w:contextualSpacing/>
        <w:jc w:val="both"/>
        <w:rPr>
          <w:rFonts w:ascii="Calibri" w:eastAsia="Calibri" w:hAnsi="Calibri" w:cs="Arial"/>
          <w:szCs w:val="22"/>
        </w:rPr>
      </w:pPr>
      <w:r>
        <w:rPr>
          <w:rFonts w:ascii="Calibri" w:hAnsi="Calibri"/>
          <w:szCs w:val="22"/>
        </w:rPr>
        <w:t>Main achievements in the field of EAGF European funds in the campaign of 2017</w:t>
      </w:r>
    </w:p>
    <w:p w:rsidR="00BD4A3E" w:rsidRPr="00BD4A3E" w:rsidRDefault="00BD4A3E" w:rsidP="00BD4A3E">
      <w:pPr>
        <w:spacing w:before="120"/>
        <w:jc w:val="both"/>
        <w:rPr>
          <w:rFonts w:ascii="Calibri" w:eastAsia="Calibri" w:hAnsi="Calibri" w:cs="Arial"/>
        </w:rPr>
      </w:pPr>
      <w:r>
        <w:rPr>
          <w:rFonts w:ascii="Calibri" w:hAnsi="Calibri"/>
        </w:rPr>
        <w:t>The Agency for Payments and Intervention for Agriculture (APIA) operates as a subordinate of the Ministry of Agriculture and Rural Development (MARD) and manages the support schemes awarded to farmers, financed from:</w:t>
      </w:r>
    </w:p>
    <w:p w:rsidR="00BD4A3E" w:rsidRPr="00BD4A3E" w:rsidRDefault="00BD4A3E" w:rsidP="00021698">
      <w:pPr>
        <w:numPr>
          <w:ilvl w:val="0"/>
          <w:numId w:val="110"/>
        </w:numPr>
        <w:spacing w:line="276" w:lineRule="auto"/>
        <w:contextualSpacing/>
        <w:jc w:val="both"/>
        <w:rPr>
          <w:rFonts w:ascii="Calibri" w:eastAsia="Calibri" w:hAnsi="Calibri" w:cs="Arial"/>
          <w:szCs w:val="22"/>
        </w:rPr>
      </w:pPr>
      <w:r>
        <w:rPr>
          <w:rFonts w:ascii="Calibri" w:hAnsi="Calibri"/>
          <w:szCs w:val="22"/>
        </w:rPr>
        <w:t xml:space="preserve">EAGF - European Agricultural Guarantee Fund </w:t>
      </w:r>
    </w:p>
    <w:p w:rsidR="00BD4A3E" w:rsidRPr="00BD4A3E" w:rsidRDefault="00BD4A3E" w:rsidP="00021698">
      <w:pPr>
        <w:numPr>
          <w:ilvl w:val="0"/>
          <w:numId w:val="110"/>
        </w:numPr>
        <w:spacing w:line="276" w:lineRule="auto"/>
        <w:contextualSpacing/>
        <w:jc w:val="both"/>
        <w:rPr>
          <w:rFonts w:ascii="Calibri" w:eastAsia="Calibri" w:hAnsi="Calibri" w:cs="Arial"/>
          <w:szCs w:val="22"/>
        </w:rPr>
      </w:pPr>
      <w:r>
        <w:rPr>
          <w:rFonts w:ascii="Calibri" w:hAnsi="Calibri"/>
          <w:szCs w:val="22"/>
        </w:rPr>
        <w:t>EARDF - European Agriculture and Rural Development Fund (through the measures delegated from PNDR for 2014-2020)</w:t>
      </w:r>
    </w:p>
    <w:p w:rsidR="00BD4A3E" w:rsidRPr="00BD4A3E" w:rsidRDefault="00BD4A3E" w:rsidP="00021698">
      <w:pPr>
        <w:numPr>
          <w:ilvl w:val="0"/>
          <w:numId w:val="110"/>
        </w:numPr>
        <w:spacing w:line="276" w:lineRule="auto"/>
        <w:contextualSpacing/>
        <w:jc w:val="both"/>
        <w:rPr>
          <w:rFonts w:ascii="Calibri" w:eastAsia="Calibri" w:hAnsi="Calibri" w:cs="Arial"/>
          <w:szCs w:val="22"/>
        </w:rPr>
      </w:pPr>
      <w:r>
        <w:rPr>
          <w:rFonts w:ascii="Calibri" w:hAnsi="Calibri"/>
          <w:szCs w:val="22"/>
        </w:rPr>
        <w:t xml:space="preserve">NB - National Budget </w:t>
      </w:r>
    </w:p>
    <w:p w:rsidR="00BD4A3E" w:rsidRPr="00BD4A3E" w:rsidRDefault="00BD4A3E" w:rsidP="00BD4A3E">
      <w:pPr>
        <w:jc w:val="both"/>
        <w:rPr>
          <w:rFonts w:ascii="Calibri" w:eastAsia="Calibri" w:hAnsi="Calibri" w:cs="Arial"/>
        </w:rPr>
      </w:pPr>
      <w:r>
        <w:rPr>
          <w:rFonts w:ascii="Calibri" w:hAnsi="Calibri"/>
        </w:rPr>
        <w:t xml:space="preserve">The Ministry of Agriculture and Rural Development, through the Agency for Payments and Intervention for Agriculture, implements the </w:t>
      </w:r>
      <w:r>
        <w:rPr>
          <w:rFonts w:ascii="Calibri" w:hAnsi="Calibri"/>
          <w:b/>
        </w:rPr>
        <w:t>European Agricultural Guarantee Fund (EAGF)</w:t>
      </w:r>
      <w:r>
        <w:rPr>
          <w:rFonts w:ascii="Calibri" w:hAnsi="Calibri"/>
        </w:rPr>
        <w:t xml:space="preserve">. </w:t>
      </w:r>
    </w:p>
    <w:p w:rsidR="00BD4A3E" w:rsidRPr="00BD4A3E" w:rsidRDefault="00BD4A3E" w:rsidP="00BD4A3E">
      <w:pPr>
        <w:spacing w:before="120"/>
        <w:jc w:val="both"/>
        <w:rPr>
          <w:rFonts w:ascii="Calibri" w:eastAsia="Calibri" w:hAnsi="Calibri" w:cs="Arial"/>
        </w:rPr>
      </w:pPr>
      <w:r>
        <w:rPr>
          <w:rFonts w:ascii="Calibri" w:hAnsi="Calibri"/>
        </w:rPr>
        <w:t>The most important legislative acts which regulate the award of financial support for direct payment schemes and transitional national aid, which are applied in agriculture between 2015 and 2020, are the following:</w:t>
      </w:r>
    </w:p>
    <w:p w:rsidR="00BD4A3E" w:rsidRPr="00BD4A3E" w:rsidRDefault="00BD4A3E" w:rsidP="00BD4A3E">
      <w:pPr>
        <w:jc w:val="both"/>
        <w:rPr>
          <w:rFonts w:ascii="Calibri" w:eastAsia="Calibri" w:hAnsi="Calibri" w:cs="Arial"/>
          <w:lang w:val="ro-RO"/>
        </w:rPr>
      </w:pPr>
    </w:p>
    <w:p w:rsidR="00BD4A3E" w:rsidRPr="00BD4A3E" w:rsidRDefault="00BD4A3E" w:rsidP="00021698">
      <w:pPr>
        <w:keepNext/>
        <w:keepLines/>
        <w:numPr>
          <w:ilvl w:val="0"/>
          <w:numId w:val="113"/>
        </w:numPr>
        <w:shd w:val="clear" w:color="auto" w:fill="FFFFFF"/>
        <w:spacing w:line="276" w:lineRule="auto"/>
        <w:jc w:val="both"/>
        <w:outlineLvl w:val="1"/>
        <w:rPr>
          <w:rFonts w:ascii="Calibri" w:eastAsia="Calibri" w:hAnsi="Calibri" w:cs="Arial"/>
        </w:rPr>
      </w:pPr>
      <w:r>
        <w:rPr>
          <w:rFonts w:ascii="Calibri" w:hAnsi="Calibri"/>
          <w:b/>
        </w:rPr>
        <w:t>G.E.O. No. 3/2015</w:t>
      </w:r>
      <w:r>
        <w:rPr>
          <w:rFonts w:ascii="Calibri" w:hAnsi="Calibri"/>
        </w:rPr>
        <w:t xml:space="preserve"> approving the payment schemes which apply in agriculture between 2015 and 2020 and amending art. 2 in Law no. 36/1991 on agricultural companies and other forms of association in agriculture, </w:t>
      </w:r>
      <w:r>
        <w:rPr>
          <w:rFonts w:ascii="Calibri" w:hAnsi="Calibri"/>
          <w:b/>
        </w:rPr>
        <w:t>as subsequently amended and supplemented;</w:t>
      </w:r>
    </w:p>
    <w:p w:rsidR="00BD4A3E" w:rsidRPr="00BD4A3E" w:rsidRDefault="00BD4A3E" w:rsidP="00021698">
      <w:pPr>
        <w:numPr>
          <w:ilvl w:val="0"/>
          <w:numId w:val="113"/>
        </w:numPr>
        <w:spacing w:line="276" w:lineRule="auto"/>
        <w:jc w:val="both"/>
        <w:rPr>
          <w:rFonts w:ascii="Calibri" w:eastAsia="Calibri" w:hAnsi="Calibri" w:cs="Arial"/>
        </w:rPr>
      </w:pPr>
      <w:r>
        <w:rPr>
          <w:rFonts w:ascii="Calibri" w:hAnsi="Calibri"/>
        </w:rPr>
        <w:t xml:space="preserve">OMARD no. 619/2015 approving the eligibility criteria, the specific conditions and the manner of implementation of the payment schemes provided under art. 1 para. (2) and (3) in Government Emergency Ordinance no. 3/2015 approving the payment schemes which are applied in agriculture between 2015 and 2020 and amending art. 2 in Law no. 36/1991 on agricultural companies and other forms of association in agriculture, as well as the specific requirements of implementation for the compensatory measures of rural development applicable on agricultural lands, provided in the National Rural Development Program for 2014-2020, as subsequently amended and supplemented; </w:t>
      </w:r>
    </w:p>
    <w:p w:rsidR="00BD4A3E" w:rsidRPr="00BD4A3E" w:rsidRDefault="00BD4A3E" w:rsidP="00021698">
      <w:pPr>
        <w:numPr>
          <w:ilvl w:val="0"/>
          <w:numId w:val="113"/>
        </w:numPr>
        <w:spacing w:line="276" w:lineRule="auto"/>
        <w:jc w:val="both"/>
        <w:rPr>
          <w:rFonts w:ascii="Calibri" w:eastAsia="Calibri" w:hAnsi="Calibri" w:cs="Arial"/>
        </w:rPr>
      </w:pPr>
      <w:r>
        <w:rPr>
          <w:rFonts w:ascii="Calibri" w:hAnsi="Calibri"/>
        </w:rPr>
        <w:t>OMARD no. 620/2015 approving the standard form for the single payment application for year 2015 and the manner of application of certain requirements of the compensatory measures of rural development applicable in 2015 on the agricultural lands provided by art. 33 in Government Emergency Ordinance no. 3/2015 approving the payment schemes which are applied in agriculture between 2015 and 2020 and amending art. 2 in Law no. 36/1991 on agricultural companies and other forms of association in agriculture, for year 2015, as subsequently amended and supplemented.</w:t>
      </w:r>
    </w:p>
    <w:p w:rsidR="00BD4A3E" w:rsidRPr="00BD4A3E" w:rsidRDefault="00BD4A3E" w:rsidP="00BD4A3E">
      <w:pPr>
        <w:spacing w:before="120"/>
        <w:jc w:val="both"/>
        <w:rPr>
          <w:rFonts w:ascii="Calibri" w:eastAsia="Calibri" w:hAnsi="Calibri" w:cs="Arial"/>
        </w:rPr>
      </w:pPr>
      <w:r>
        <w:rPr>
          <w:rFonts w:ascii="Calibri" w:hAnsi="Calibri"/>
          <w:b/>
        </w:rPr>
        <w:t>Transitional national aid</w:t>
      </w:r>
      <w:r>
        <w:rPr>
          <w:rFonts w:ascii="Calibri" w:hAnsi="Calibri"/>
        </w:rPr>
        <w:t xml:space="preserve"> - TNA are awarded </w:t>
      </w:r>
      <w:r>
        <w:rPr>
          <w:rFonts w:ascii="Calibri" w:hAnsi="Calibri"/>
          <w:b/>
        </w:rPr>
        <w:t>in the vegetable and zootechnic fields</w:t>
      </w:r>
      <w:r>
        <w:rPr>
          <w:rFonts w:ascii="Calibri" w:hAnsi="Calibri"/>
        </w:rPr>
        <w:t xml:space="preserve">, within the limit of budgetary provisions allocated to the Ministry of Agriculture and Rural Development. </w:t>
      </w:r>
    </w:p>
    <w:p w:rsidR="00BD4A3E" w:rsidRPr="00BD4A3E" w:rsidRDefault="00BD4A3E" w:rsidP="00FC6ACD">
      <w:pPr>
        <w:shd w:val="clear" w:color="auto" w:fill="FFFFFF"/>
        <w:spacing w:before="120" w:after="120"/>
        <w:jc w:val="both"/>
        <w:textAlignment w:val="baseline"/>
        <w:rPr>
          <w:rFonts w:ascii="Calibri" w:eastAsia="Calibri" w:hAnsi="Calibri" w:cs="Arial"/>
        </w:rPr>
      </w:pPr>
      <w:r>
        <w:rPr>
          <w:rFonts w:ascii="Calibri" w:hAnsi="Calibri"/>
        </w:rPr>
        <w:t xml:space="preserve">EAGF is implemented through distributed management among the Member States and the Union and finances expenditures which are made in accordance with Union law, as per the provisions of the </w:t>
      </w:r>
      <w:r>
        <w:rPr>
          <w:rFonts w:ascii="Calibri" w:hAnsi="Calibri"/>
          <w:b/>
        </w:rPr>
        <w:t>Regulation (EU) no. 1306/2013 of the European Parliament and of the Council of December 17, 2013 on financing, management, and monitoring of the common agricultural policy and repealing Regulations (EEC) no. 352/78, (EC) no. 165/94, (EC) no. 2799/98, (EC) no. 814/2000, (EC) no. 1290/2005, and (EC) no. 485/2008 of the Council.</w:t>
      </w:r>
    </w:p>
    <w:p w:rsidR="00BD4A3E" w:rsidRPr="00BD4A3E" w:rsidRDefault="00BD4A3E" w:rsidP="00021698">
      <w:pPr>
        <w:keepNext/>
        <w:numPr>
          <w:ilvl w:val="0"/>
          <w:numId w:val="105"/>
        </w:numPr>
        <w:spacing w:before="240" w:after="60" w:line="276" w:lineRule="auto"/>
        <w:jc w:val="both"/>
        <w:outlineLvl w:val="1"/>
        <w:rPr>
          <w:rFonts w:ascii="Calibri" w:eastAsia="Calibri" w:hAnsi="Calibri" w:cs="Arial"/>
          <w:b/>
        </w:rPr>
      </w:pPr>
      <w:r>
        <w:rPr>
          <w:rFonts w:ascii="Calibri" w:hAnsi="Calibri"/>
          <w:b/>
        </w:rPr>
        <w:t xml:space="preserve">EAGF ALLOCATION - DIRECT PAYMENTS </w:t>
      </w:r>
    </w:p>
    <w:p w:rsidR="00BD4A3E" w:rsidRDefault="00BD4A3E" w:rsidP="00BD4A3E">
      <w:pPr>
        <w:keepNext/>
        <w:spacing w:before="120" w:after="60" w:line="276" w:lineRule="auto"/>
        <w:jc w:val="both"/>
        <w:outlineLvl w:val="1"/>
        <w:rPr>
          <w:rFonts w:ascii="Calibri" w:hAnsi="Calibri"/>
        </w:rPr>
      </w:pPr>
      <w:r>
        <w:rPr>
          <w:rFonts w:ascii="Calibri" w:hAnsi="Calibri"/>
        </w:rPr>
        <w:t>The Delegated regulation (EU) 2015/851 OF THE COMMISSION of March 27, 2015 amending annexes II, III, and VI of the Regulation (EU) no. 1307/2013 of the European Parliament and of the Council establishing certain norms regarding direct payments awarded to farmers through support schemes within the common agricultural policy provides the financial ceiling allocated to Romania from the EAGF for direct payments, as follows:</w:t>
      </w:r>
    </w:p>
    <w:tbl>
      <w:tblPr>
        <w:tblpPr w:leftFromText="180" w:rightFromText="180" w:vertAnchor="text" w:horzAnchor="margin" w:tblpY="320"/>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998"/>
        <w:gridCol w:w="1314"/>
        <w:gridCol w:w="1315"/>
        <w:gridCol w:w="1456"/>
        <w:gridCol w:w="1274"/>
        <w:gridCol w:w="1267"/>
        <w:gridCol w:w="1266"/>
        <w:gridCol w:w="1392"/>
      </w:tblGrid>
      <w:tr w:rsidR="00CC05F6" w:rsidRPr="00BD4A3E" w:rsidTr="00CC05F6">
        <w:trPr>
          <w:trHeight w:val="491"/>
        </w:trPr>
        <w:tc>
          <w:tcPr>
            <w:tcW w:w="998" w:type="dxa"/>
            <w:vMerge w:val="restart"/>
            <w:shd w:val="clear" w:color="auto" w:fill="BDD6EE"/>
            <w:tcMar>
              <w:top w:w="15" w:type="dxa"/>
              <w:left w:w="108" w:type="dxa"/>
              <w:bottom w:w="0" w:type="dxa"/>
              <w:right w:w="108" w:type="dxa"/>
            </w:tcMar>
            <w:hideMark/>
          </w:tcPr>
          <w:p w:rsidR="00CC05F6" w:rsidRPr="00BD4A3E" w:rsidRDefault="00CC05F6" w:rsidP="00CC05F6">
            <w:pPr>
              <w:jc w:val="both"/>
              <w:rPr>
                <w:rFonts w:ascii="Calibri" w:eastAsia="Calibri" w:hAnsi="Calibri" w:cs="Arial"/>
                <w:b/>
                <w:sz w:val="18"/>
                <w:szCs w:val="18"/>
              </w:rPr>
            </w:pPr>
            <w:r>
              <w:rPr>
                <w:rFonts w:ascii="Calibri" w:hAnsi="Calibri"/>
                <w:b/>
                <w:sz w:val="18"/>
                <w:szCs w:val="18"/>
              </w:rPr>
              <w:t>EAGF allocation - direct payments</w:t>
            </w:r>
          </w:p>
          <w:p w:rsidR="00CC05F6" w:rsidRPr="00BD4A3E" w:rsidRDefault="00CC05F6" w:rsidP="00CC05F6">
            <w:pPr>
              <w:jc w:val="both"/>
              <w:rPr>
                <w:rFonts w:ascii="Calibri" w:eastAsia="Calibri" w:hAnsi="Calibri" w:cs="Arial"/>
                <w:sz w:val="18"/>
                <w:szCs w:val="18"/>
              </w:rPr>
            </w:pPr>
            <w:r>
              <w:rPr>
                <w:rFonts w:ascii="Calibri" w:hAnsi="Calibri"/>
                <w:b/>
                <w:sz w:val="18"/>
                <w:szCs w:val="18"/>
              </w:rPr>
              <w:t>(EUR)</w:t>
            </w:r>
          </w:p>
        </w:tc>
        <w:tc>
          <w:tcPr>
            <w:tcW w:w="1314" w:type="dxa"/>
            <w:shd w:val="clear" w:color="auto" w:fill="BDD6EE"/>
            <w:tcMar>
              <w:top w:w="15" w:type="dxa"/>
              <w:left w:w="108" w:type="dxa"/>
              <w:bottom w:w="0" w:type="dxa"/>
              <w:right w:w="108" w:type="dxa"/>
            </w:tcMar>
            <w:vAlign w:val="bottom"/>
            <w:hideMark/>
          </w:tcPr>
          <w:p w:rsidR="00CC05F6" w:rsidRPr="00BD4A3E" w:rsidRDefault="00CC05F6" w:rsidP="00CC05F6">
            <w:pPr>
              <w:jc w:val="both"/>
              <w:rPr>
                <w:rFonts w:ascii="Calibri" w:eastAsia="Calibri" w:hAnsi="Calibri" w:cs="Arial"/>
                <w:b/>
                <w:sz w:val="18"/>
                <w:szCs w:val="18"/>
              </w:rPr>
            </w:pPr>
            <w:r>
              <w:rPr>
                <w:rFonts w:ascii="Calibri" w:hAnsi="Calibri"/>
                <w:b/>
                <w:sz w:val="18"/>
                <w:szCs w:val="18"/>
              </w:rPr>
              <w:t>2015</w:t>
            </w:r>
          </w:p>
        </w:tc>
        <w:tc>
          <w:tcPr>
            <w:tcW w:w="1315" w:type="dxa"/>
            <w:shd w:val="clear" w:color="auto" w:fill="BDD6EE"/>
            <w:tcMar>
              <w:top w:w="15" w:type="dxa"/>
              <w:left w:w="108" w:type="dxa"/>
              <w:bottom w:w="0" w:type="dxa"/>
              <w:right w:w="108" w:type="dxa"/>
            </w:tcMar>
            <w:vAlign w:val="bottom"/>
            <w:hideMark/>
          </w:tcPr>
          <w:p w:rsidR="00CC05F6" w:rsidRPr="00BD4A3E" w:rsidRDefault="00CC05F6" w:rsidP="00CC05F6">
            <w:pPr>
              <w:jc w:val="both"/>
              <w:rPr>
                <w:rFonts w:ascii="Calibri" w:eastAsia="Calibri" w:hAnsi="Calibri" w:cs="Arial"/>
                <w:b/>
                <w:sz w:val="18"/>
                <w:szCs w:val="18"/>
              </w:rPr>
            </w:pPr>
            <w:r>
              <w:rPr>
                <w:rFonts w:ascii="Calibri" w:hAnsi="Calibri"/>
                <w:b/>
                <w:sz w:val="18"/>
                <w:szCs w:val="18"/>
              </w:rPr>
              <w:t>2016</w:t>
            </w:r>
          </w:p>
        </w:tc>
        <w:tc>
          <w:tcPr>
            <w:tcW w:w="1456" w:type="dxa"/>
            <w:shd w:val="clear" w:color="auto" w:fill="BDD6EE"/>
            <w:tcMar>
              <w:top w:w="15" w:type="dxa"/>
              <w:left w:w="108" w:type="dxa"/>
              <w:bottom w:w="0" w:type="dxa"/>
              <w:right w:w="108" w:type="dxa"/>
            </w:tcMar>
            <w:vAlign w:val="bottom"/>
            <w:hideMark/>
          </w:tcPr>
          <w:p w:rsidR="00CC05F6" w:rsidRPr="00BD4A3E" w:rsidRDefault="00CC05F6" w:rsidP="00CC05F6">
            <w:pPr>
              <w:jc w:val="both"/>
              <w:rPr>
                <w:rFonts w:ascii="Calibri" w:eastAsia="Calibri" w:hAnsi="Calibri" w:cs="Arial"/>
                <w:b/>
                <w:sz w:val="18"/>
                <w:szCs w:val="18"/>
              </w:rPr>
            </w:pPr>
            <w:r>
              <w:rPr>
                <w:rFonts w:ascii="Calibri" w:hAnsi="Calibri"/>
                <w:b/>
                <w:sz w:val="18"/>
                <w:szCs w:val="18"/>
              </w:rPr>
              <w:t>2017</w:t>
            </w:r>
          </w:p>
        </w:tc>
        <w:tc>
          <w:tcPr>
            <w:tcW w:w="1274" w:type="dxa"/>
            <w:shd w:val="clear" w:color="auto" w:fill="BDD6EE"/>
            <w:tcMar>
              <w:top w:w="15" w:type="dxa"/>
              <w:left w:w="108" w:type="dxa"/>
              <w:bottom w:w="0" w:type="dxa"/>
              <w:right w:w="108" w:type="dxa"/>
            </w:tcMar>
            <w:vAlign w:val="bottom"/>
            <w:hideMark/>
          </w:tcPr>
          <w:p w:rsidR="00CC05F6" w:rsidRPr="00BD4A3E" w:rsidRDefault="00CC05F6" w:rsidP="00CC05F6">
            <w:pPr>
              <w:jc w:val="both"/>
              <w:rPr>
                <w:rFonts w:ascii="Calibri" w:eastAsia="Calibri" w:hAnsi="Calibri" w:cs="Arial"/>
                <w:b/>
                <w:sz w:val="18"/>
                <w:szCs w:val="18"/>
              </w:rPr>
            </w:pPr>
            <w:r>
              <w:rPr>
                <w:rFonts w:ascii="Calibri" w:hAnsi="Calibri"/>
                <w:b/>
                <w:sz w:val="18"/>
                <w:szCs w:val="18"/>
              </w:rPr>
              <w:t>2018</w:t>
            </w:r>
          </w:p>
        </w:tc>
        <w:tc>
          <w:tcPr>
            <w:tcW w:w="1267" w:type="dxa"/>
            <w:shd w:val="clear" w:color="auto" w:fill="BDD6EE"/>
            <w:tcMar>
              <w:top w:w="15" w:type="dxa"/>
              <w:left w:w="108" w:type="dxa"/>
              <w:bottom w:w="0" w:type="dxa"/>
              <w:right w:w="108" w:type="dxa"/>
            </w:tcMar>
            <w:vAlign w:val="bottom"/>
            <w:hideMark/>
          </w:tcPr>
          <w:p w:rsidR="00CC05F6" w:rsidRPr="00BD4A3E" w:rsidRDefault="00CC05F6" w:rsidP="00CC05F6">
            <w:pPr>
              <w:jc w:val="both"/>
              <w:rPr>
                <w:rFonts w:ascii="Calibri" w:eastAsia="Calibri" w:hAnsi="Calibri" w:cs="Arial"/>
                <w:b/>
                <w:sz w:val="18"/>
                <w:szCs w:val="18"/>
              </w:rPr>
            </w:pPr>
            <w:r>
              <w:rPr>
                <w:rFonts w:ascii="Calibri" w:hAnsi="Calibri"/>
                <w:b/>
                <w:sz w:val="18"/>
                <w:szCs w:val="18"/>
              </w:rPr>
              <w:t>2019</w:t>
            </w:r>
          </w:p>
        </w:tc>
        <w:tc>
          <w:tcPr>
            <w:tcW w:w="1266" w:type="dxa"/>
            <w:shd w:val="clear" w:color="auto" w:fill="BDD6EE"/>
            <w:tcMar>
              <w:top w:w="15" w:type="dxa"/>
              <w:left w:w="108" w:type="dxa"/>
              <w:bottom w:w="0" w:type="dxa"/>
              <w:right w:w="108" w:type="dxa"/>
            </w:tcMar>
            <w:vAlign w:val="bottom"/>
            <w:hideMark/>
          </w:tcPr>
          <w:p w:rsidR="00CC05F6" w:rsidRPr="00BD4A3E" w:rsidRDefault="00CC05F6" w:rsidP="00CC05F6">
            <w:pPr>
              <w:jc w:val="both"/>
              <w:rPr>
                <w:rFonts w:ascii="Calibri" w:eastAsia="Calibri" w:hAnsi="Calibri" w:cs="Arial"/>
                <w:b/>
                <w:sz w:val="18"/>
                <w:szCs w:val="18"/>
              </w:rPr>
            </w:pPr>
            <w:r>
              <w:rPr>
                <w:rFonts w:ascii="Calibri" w:hAnsi="Calibri"/>
                <w:b/>
                <w:sz w:val="18"/>
                <w:szCs w:val="18"/>
              </w:rPr>
              <w:t>2020</w:t>
            </w:r>
          </w:p>
        </w:tc>
        <w:tc>
          <w:tcPr>
            <w:tcW w:w="1392" w:type="dxa"/>
            <w:shd w:val="clear" w:color="auto" w:fill="BDD6EE"/>
            <w:tcMar>
              <w:top w:w="15" w:type="dxa"/>
              <w:left w:w="108" w:type="dxa"/>
              <w:bottom w:w="0" w:type="dxa"/>
              <w:right w:w="108" w:type="dxa"/>
            </w:tcMar>
            <w:hideMark/>
          </w:tcPr>
          <w:p w:rsidR="00CC05F6" w:rsidRPr="00BD4A3E" w:rsidRDefault="00CC05F6" w:rsidP="00CC05F6">
            <w:pPr>
              <w:jc w:val="both"/>
              <w:rPr>
                <w:rFonts w:ascii="Calibri" w:eastAsia="Calibri" w:hAnsi="Calibri" w:cs="Arial"/>
                <w:b/>
                <w:sz w:val="18"/>
                <w:szCs w:val="18"/>
                <w:lang w:val="ro-RO"/>
              </w:rPr>
            </w:pPr>
          </w:p>
          <w:p w:rsidR="00CC05F6" w:rsidRPr="00BD4A3E" w:rsidRDefault="00CC05F6" w:rsidP="00CC05F6">
            <w:pPr>
              <w:jc w:val="both"/>
              <w:rPr>
                <w:rFonts w:ascii="Calibri" w:eastAsia="Calibri" w:hAnsi="Calibri" w:cs="Arial"/>
                <w:b/>
                <w:sz w:val="18"/>
                <w:szCs w:val="18"/>
              </w:rPr>
            </w:pPr>
            <w:r>
              <w:rPr>
                <w:rFonts w:ascii="Calibri" w:hAnsi="Calibri"/>
                <w:b/>
                <w:sz w:val="18"/>
                <w:szCs w:val="18"/>
              </w:rPr>
              <w:t>TOTAL*</w:t>
            </w:r>
          </w:p>
        </w:tc>
      </w:tr>
      <w:tr w:rsidR="00CC05F6" w:rsidRPr="00BD4A3E" w:rsidTr="00CC05F6">
        <w:trPr>
          <w:cantSplit/>
          <w:trHeight w:val="730"/>
        </w:trPr>
        <w:tc>
          <w:tcPr>
            <w:tcW w:w="998" w:type="dxa"/>
            <w:vMerge/>
            <w:shd w:val="clear" w:color="auto" w:fill="BDD6EE"/>
            <w:vAlign w:val="center"/>
            <w:hideMark/>
          </w:tcPr>
          <w:p w:rsidR="00CC05F6" w:rsidRPr="00BD4A3E" w:rsidRDefault="00CC05F6" w:rsidP="00CC05F6">
            <w:pPr>
              <w:jc w:val="both"/>
              <w:rPr>
                <w:rFonts w:ascii="Calibri" w:eastAsia="Calibri" w:hAnsi="Calibri" w:cs="Arial"/>
                <w:sz w:val="18"/>
                <w:szCs w:val="18"/>
                <w:lang w:val="ro-RO"/>
              </w:rPr>
            </w:pPr>
          </w:p>
        </w:tc>
        <w:tc>
          <w:tcPr>
            <w:tcW w:w="1314" w:type="dxa"/>
            <w:shd w:val="clear" w:color="auto" w:fill="FFFFFF"/>
            <w:tcMar>
              <w:top w:w="15" w:type="dxa"/>
              <w:left w:w="108" w:type="dxa"/>
              <w:bottom w:w="0" w:type="dxa"/>
              <w:right w:w="108" w:type="dxa"/>
            </w:tcMar>
            <w:vAlign w:val="center"/>
            <w:hideMark/>
          </w:tcPr>
          <w:p w:rsidR="00CC05F6" w:rsidRPr="00BD4A3E" w:rsidRDefault="00CC05F6" w:rsidP="00CC05F6">
            <w:pPr>
              <w:jc w:val="both"/>
              <w:rPr>
                <w:rFonts w:ascii="Calibri" w:eastAsia="Calibri" w:hAnsi="Calibri" w:cs="Arial"/>
                <w:sz w:val="18"/>
                <w:szCs w:val="18"/>
              </w:rPr>
            </w:pPr>
            <w:r>
              <w:rPr>
                <w:rFonts w:ascii="Calibri" w:hAnsi="Calibri"/>
                <w:sz w:val="18"/>
                <w:szCs w:val="18"/>
              </w:rPr>
              <w:t xml:space="preserve">1,599,992,519 </w:t>
            </w:r>
          </w:p>
        </w:tc>
        <w:tc>
          <w:tcPr>
            <w:tcW w:w="1315" w:type="dxa"/>
            <w:shd w:val="clear" w:color="auto" w:fill="FFFFFF"/>
            <w:tcMar>
              <w:top w:w="15" w:type="dxa"/>
              <w:left w:w="108" w:type="dxa"/>
              <w:bottom w:w="0" w:type="dxa"/>
              <w:right w:w="108" w:type="dxa"/>
            </w:tcMar>
            <w:vAlign w:val="center"/>
            <w:hideMark/>
          </w:tcPr>
          <w:p w:rsidR="00CC05F6" w:rsidRPr="00BD4A3E" w:rsidRDefault="00CC05F6" w:rsidP="00CC05F6">
            <w:pPr>
              <w:jc w:val="both"/>
              <w:rPr>
                <w:rFonts w:ascii="Calibri" w:eastAsia="Calibri" w:hAnsi="Calibri" w:cs="Arial"/>
                <w:sz w:val="18"/>
                <w:szCs w:val="18"/>
              </w:rPr>
            </w:pPr>
            <w:r>
              <w:rPr>
                <w:rFonts w:ascii="Calibri" w:hAnsi="Calibri"/>
                <w:sz w:val="18"/>
                <w:szCs w:val="18"/>
              </w:rPr>
              <w:t xml:space="preserve">1,772,469,112 </w:t>
            </w:r>
          </w:p>
        </w:tc>
        <w:tc>
          <w:tcPr>
            <w:tcW w:w="1456" w:type="dxa"/>
            <w:shd w:val="clear" w:color="auto" w:fill="FFFFFF"/>
            <w:tcMar>
              <w:top w:w="15" w:type="dxa"/>
              <w:left w:w="108" w:type="dxa"/>
              <w:bottom w:w="0" w:type="dxa"/>
              <w:right w:w="108" w:type="dxa"/>
            </w:tcMar>
            <w:vAlign w:val="center"/>
          </w:tcPr>
          <w:p w:rsidR="00CC05F6" w:rsidRPr="00BD4A3E" w:rsidRDefault="00CC05F6" w:rsidP="00CC05F6">
            <w:pPr>
              <w:jc w:val="both"/>
              <w:rPr>
                <w:rFonts w:ascii="Calibri" w:eastAsia="Calibri" w:hAnsi="Calibri" w:cs="Arial"/>
                <w:sz w:val="18"/>
                <w:szCs w:val="18"/>
              </w:rPr>
            </w:pPr>
            <w:r>
              <w:rPr>
                <w:rFonts w:ascii="Calibri" w:hAnsi="Calibri"/>
                <w:sz w:val="18"/>
                <w:szCs w:val="18"/>
              </w:rPr>
              <w:t>1,801,335,000</w:t>
            </w:r>
          </w:p>
        </w:tc>
        <w:tc>
          <w:tcPr>
            <w:tcW w:w="1274" w:type="dxa"/>
            <w:shd w:val="clear" w:color="auto" w:fill="FFFFFF"/>
            <w:tcMar>
              <w:top w:w="15" w:type="dxa"/>
              <w:left w:w="108" w:type="dxa"/>
              <w:bottom w:w="0" w:type="dxa"/>
              <w:right w:w="108" w:type="dxa"/>
            </w:tcMar>
            <w:vAlign w:val="center"/>
            <w:hideMark/>
          </w:tcPr>
          <w:p w:rsidR="00CC05F6" w:rsidRPr="00BD4A3E" w:rsidRDefault="00CC05F6" w:rsidP="00CC05F6">
            <w:pPr>
              <w:jc w:val="both"/>
              <w:rPr>
                <w:rFonts w:ascii="Calibri" w:eastAsia="Calibri" w:hAnsi="Calibri" w:cs="Arial"/>
                <w:sz w:val="18"/>
                <w:szCs w:val="18"/>
              </w:rPr>
            </w:pPr>
            <w:r>
              <w:rPr>
                <w:rFonts w:ascii="Calibri" w:hAnsi="Calibri"/>
                <w:sz w:val="18"/>
                <w:szCs w:val="18"/>
              </w:rPr>
              <w:t xml:space="preserve">1,912,150,000 </w:t>
            </w:r>
          </w:p>
        </w:tc>
        <w:tc>
          <w:tcPr>
            <w:tcW w:w="1267" w:type="dxa"/>
            <w:shd w:val="clear" w:color="auto" w:fill="FFFFFF"/>
            <w:tcMar>
              <w:top w:w="15" w:type="dxa"/>
              <w:left w:w="108" w:type="dxa"/>
              <w:bottom w:w="0" w:type="dxa"/>
              <w:right w:w="108" w:type="dxa"/>
            </w:tcMar>
            <w:vAlign w:val="center"/>
            <w:hideMark/>
          </w:tcPr>
          <w:p w:rsidR="00CC05F6" w:rsidRPr="00BD4A3E" w:rsidRDefault="00CC05F6" w:rsidP="00CC05F6">
            <w:pPr>
              <w:jc w:val="both"/>
              <w:rPr>
                <w:rFonts w:ascii="Calibri" w:eastAsia="Calibri" w:hAnsi="Calibri" w:cs="Arial"/>
                <w:sz w:val="18"/>
                <w:szCs w:val="18"/>
              </w:rPr>
            </w:pPr>
            <w:r>
              <w:rPr>
                <w:rFonts w:ascii="Calibri" w:hAnsi="Calibri"/>
                <w:sz w:val="18"/>
                <w:szCs w:val="18"/>
              </w:rPr>
              <w:t xml:space="preserve">1,903,195,000 </w:t>
            </w:r>
          </w:p>
        </w:tc>
        <w:tc>
          <w:tcPr>
            <w:tcW w:w="1266" w:type="dxa"/>
            <w:shd w:val="clear" w:color="auto" w:fill="FFFFFF"/>
            <w:tcMar>
              <w:top w:w="15" w:type="dxa"/>
              <w:left w:w="108" w:type="dxa"/>
              <w:bottom w:w="0" w:type="dxa"/>
              <w:right w:w="108" w:type="dxa"/>
            </w:tcMar>
            <w:vAlign w:val="center"/>
            <w:hideMark/>
          </w:tcPr>
          <w:p w:rsidR="00CC05F6" w:rsidRPr="00BD4A3E" w:rsidRDefault="00CC05F6" w:rsidP="00CC05F6">
            <w:pPr>
              <w:jc w:val="both"/>
              <w:rPr>
                <w:rFonts w:ascii="Calibri" w:eastAsia="Calibri" w:hAnsi="Calibri" w:cs="Arial"/>
                <w:sz w:val="18"/>
                <w:szCs w:val="18"/>
              </w:rPr>
            </w:pPr>
            <w:r>
              <w:rPr>
                <w:rFonts w:ascii="Calibri" w:hAnsi="Calibri"/>
                <w:sz w:val="18"/>
                <w:szCs w:val="18"/>
              </w:rPr>
              <w:t xml:space="preserve">1,903,195,000 </w:t>
            </w:r>
          </w:p>
        </w:tc>
        <w:tc>
          <w:tcPr>
            <w:tcW w:w="1392" w:type="dxa"/>
            <w:shd w:val="clear" w:color="auto" w:fill="FFFFFF"/>
            <w:tcMar>
              <w:top w:w="15" w:type="dxa"/>
              <w:left w:w="108" w:type="dxa"/>
              <w:bottom w:w="0" w:type="dxa"/>
              <w:right w:w="108" w:type="dxa"/>
            </w:tcMar>
            <w:vAlign w:val="center"/>
            <w:hideMark/>
          </w:tcPr>
          <w:p w:rsidR="00CC05F6" w:rsidRPr="00BD4A3E" w:rsidRDefault="00CC05F6" w:rsidP="00CC05F6">
            <w:pPr>
              <w:jc w:val="both"/>
              <w:rPr>
                <w:rFonts w:ascii="Calibri" w:eastAsia="Calibri" w:hAnsi="Calibri" w:cs="Arial"/>
                <w:sz w:val="18"/>
                <w:szCs w:val="18"/>
              </w:rPr>
            </w:pPr>
            <w:r>
              <w:rPr>
                <w:rFonts w:ascii="Calibri" w:hAnsi="Calibri"/>
                <w:sz w:val="18"/>
                <w:szCs w:val="18"/>
              </w:rPr>
              <w:t xml:space="preserve">10,892,336,631 </w:t>
            </w:r>
          </w:p>
        </w:tc>
      </w:tr>
    </w:tbl>
    <w:p w:rsidR="00CC05F6" w:rsidRPr="00BD4A3E" w:rsidRDefault="00CC05F6" w:rsidP="00BD4A3E">
      <w:pPr>
        <w:keepNext/>
        <w:spacing w:before="120" w:after="60" w:line="276" w:lineRule="auto"/>
        <w:jc w:val="both"/>
        <w:outlineLvl w:val="1"/>
        <w:rPr>
          <w:rFonts w:ascii="Calibri" w:eastAsia="Calibri" w:hAnsi="Calibri" w:cs="Arial"/>
        </w:rPr>
      </w:pPr>
    </w:p>
    <w:p w:rsidR="00BD4A3E" w:rsidRPr="00BD4A3E" w:rsidRDefault="00BD4A3E" w:rsidP="00BD4A3E">
      <w:pPr>
        <w:jc w:val="both"/>
        <w:rPr>
          <w:rFonts w:ascii="Calibri" w:eastAsia="Calibri" w:hAnsi="Calibri" w:cs="Arial"/>
          <w:lang w:val="ro-RO"/>
        </w:rPr>
      </w:pPr>
    </w:p>
    <w:p w:rsidR="00BD4A3E" w:rsidRPr="00BD4A3E" w:rsidRDefault="00BD4A3E" w:rsidP="00BD4A3E">
      <w:pPr>
        <w:jc w:val="both"/>
        <w:rPr>
          <w:rFonts w:ascii="Calibri" w:eastAsia="Calibri" w:hAnsi="Calibri" w:cs="Arial"/>
        </w:rPr>
      </w:pPr>
      <w:r>
        <w:rPr>
          <w:rFonts w:ascii="Calibri" w:hAnsi="Calibri"/>
        </w:rPr>
        <w:t xml:space="preserve">*To the aforementioned financial ceilings from the EAGF shall be added those estimated for market and foreign trade measures of approximately 400 million EUR for the period 2015-2020. </w:t>
      </w:r>
    </w:p>
    <w:p w:rsidR="00BD4A3E" w:rsidRPr="00DB403C" w:rsidRDefault="00BD4A3E" w:rsidP="00BD4A3E">
      <w:pPr>
        <w:jc w:val="both"/>
        <w:rPr>
          <w:rFonts w:ascii="Calibri" w:eastAsia="Calibri" w:hAnsi="Calibri" w:cs="Arial"/>
          <w:sz w:val="16"/>
          <w:szCs w:val="16"/>
          <w:lang w:val="ro-RO"/>
        </w:rPr>
      </w:pPr>
    </w:p>
    <w:p w:rsidR="00BD4A3E" w:rsidRPr="00BD4A3E" w:rsidRDefault="00BD4A3E" w:rsidP="00BD4A3E">
      <w:pPr>
        <w:jc w:val="both"/>
        <w:rPr>
          <w:rFonts w:ascii="Calibri" w:eastAsia="Calibri" w:hAnsi="Calibri" w:cs="Arial"/>
          <w:b/>
        </w:rPr>
      </w:pPr>
      <w:r>
        <w:rPr>
          <w:rFonts w:ascii="Calibri" w:hAnsi="Calibri"/>
          <w:b/>
        </w:rPr>
        <w:t>The schemes of direct payments financed from the EAGF are the following:</w:t>
      </w:r>
    </w:p>
    <w:p w:rsidR="00BD4A3E" w:rsidRPr="00BD4A3E" w:rsidRDefault="00BD4A3E" w:rsidP="009F7237">
      <w:pPr>
        <w:numPr>
          <w:ilvl w:val="0"/>
          <w:numId w:val="8"/>
        </w:numPr>
        <w:spacing w:line="276" w:lineRule="auto"/>
        <w:jc w:val="both"/>
        <w:rPr>
          <w:rFonts w:ascii="Calibri" w:eastAsia="Calibri" w:hAnsi="Calibri" w:cs="Arial"/>
        </w:rPr>
      </w:pPr>
      <w:r>
        <w:rPr>
          <w:rFonts w:ascii="Calibri" w:hAnsi="Calibri"/>
        </w:rPr>
        <w:t xml:space="preserve"> the scheme of single payment per area;</w:t>
      </w:r>
    </w:p>
    <w:p w:rsidR="00BD4A3E" w:rsidRPr="00BD4A3E" w:rsidRDefault="00BD4A3E" w:rsidP="009F7237">
      <w:pPr>
        <w:numPr>
          <w:ilvl w:val="0"/>
          <w:numId w:val="8"/>
        </w:numPr>
        <w:spacing w:line="276" w:lineRule="auto"/>
        <w:jc w:val="both"/>
        <w:rPr>
          <w:rFonts w:ascii="Calibri" w:eastAsia="Calibri" w:hAnsi="Calibri" w:cs="Arial"/>
        </w:rPr>
      </w:pPr>
      <w:r>
        <w:rPr>
          <w:rFonts w:ascii="Calibri" w:hAnsi="Calibri"/>
        </w:rPr>
        <w:t xml:space="preserve"> the redistributive payment;</w:t>
      </w:r>
    </w:p>
    <w:p w:rsidR="00BD4A3E" w:rsidRPr="00BD4A3E" w:rsidRDefault="00BD4A3E" w:rsidP="009F7237">
      <w:pPr>
        <w:numPr>
          <w:ilvl w:val="0"/>
          <w:numId w:val="8"/>
        </w:numPr>
        <w:spacing w:line="276" w:lineRule="auto"/>
        <w:jc w:val="both"/>
        <w:rPr>
          <w:rFonts w:ascii="Calibri" w:eastAsia="Calibri" w:hAnsi="Calibri" w:cs="Arial"/>
        </w:rPr>
      </w:pPr>
      <w:r>
        <w:rPr>
          <w:rFonts w:ascii="Calibri" w:hAnsi="Calibri"/>
        </w:rPr>
        <w:t xml:space="preserve"> the payment for agricultural practices which are beneficial for the climate and the environment;</w:t>
      </w:r>
    </w:p>
    <w:p w:rsidR="00BD4A3E" w:rsidRPr="00BD4A3E" w:rsidRDefault="00BD4A3E" w:rsidP="009F7237">
      <w:pPr>
        <w:numPr>
          <w:ilvl w:val="0"/>
          <w:numId w:val="8"/>
        </w:numPr>
        <w:spacing w:line="276" w:lineRule="auto"/>
        <w:jc w:val="both"/>
        <w:rPr>
          <w:rFonts w:ascii="Calibri" w:eastAsia="Calibri" w:hAnsi="Calibri" w:cs="Arial"/>
        </w:rPr>
      </w:pPr>
      <w:r>
        <w:rPr>
          <w:rFonts w:ascii="Calibri" w:hAnsi="Calibri"/>
        </w:rPr>
        <w:t xml:space="preserve"> the payment for young farmers;</w:t>
      </w:r>
    </w:p>
    <w:p w:rsidR="00BD4A3E" w:rsidRPr="00BD4A3E" w:rsidRDefault="00BD4A3E" w:rsidP="009F7237">
      <w:pPr>
        <w:numPr>
          <w:ilvl w:val="0"/>
          <w:numId w:val="8"/>
        </w:numPr>
        <w:spacing w:line="276" w:lineRule="auto"/>
        <w:jc w:val="both"/>
        <w:rPr>
          <w:rFonts w:ascii="Calibri" w:eastAsia="Calibri" w:hAnsi="Calibri" w:cs="Arial"/>
        </w:rPr>
      </w:pPr>
      <w:r>
        <w:rPr>
          <w:rFonts w:ascii="Calibri" w:hAnsi="Calibri"/>
        </w:rPr>
        <w:t xml:space="preserve"> the coupled support schemes for the vegetable and zootechnic sectors;</w:t>
      </w:r>
    </w:p>
    <w:p w:rsidR="00BD4A3E" w:rsidRPr="00BD4A3E" w:rsidRDefault="00BD4A3E" w:rsidP="009F7237">
      <w:pPr>
        <w:numPr>
          <w:ilvl w:val="0"/>
          <w:numId w:val="8"/>
        </w:numPr>
        <w:spacing w:line="276" w:lineRule="auto"/>
        <w:jc w:val="both"/>
        <w:rPr>
          <w:rFonts w:ascii="Calibri" w:eastAsia="Calibri" w:hAnsi="Calibri" w:cs="Arial"/>
        </w:rPr>
      </w:pPr>
      <w:r>
        <w:rPr>
          <w:rFonts w:ascii="Calibri" w:hAnsi="Calibri"/>
        </w:rPr>
        <w:t>the simplified scheme for small farmers. </w:t>
      </w:r>
    </w:p>
    <w:p w:rsidR="00BD4A3E" w:rsidRPr="00BD4A3E" w:rsidRDefault="00BD4A3E" w:rsidP="00BD4A3E">
      <w:pPr>
        <w:jc w:val="both"/>
        <w:rPr>
          <w:rFonts w:ascii="Calibri" w:eastAsia="Calibri" w:hAnsi="Calibri" w:cs="Arial"/>
        </w:rPr>
      </w:pPr>
      <w:r>
        <w:rPr>
          <w:rFonts w:ascii="Calibri" w:hAnsi="Calibri"/>
        </w:rPr>
        <w:t xml:space="preserve">The payment beneficiaries - are the </w:t>
      </w:r>
      <w:r>
        <w:rPr>
          <w:rFonts w:ascii="Calibri" w:hAnsi="Calibri"/>
          <w:u w:val="single"/>
        </w:rPr>
        <w:t>active farmers</w:t>
      </w:r>
      <w:r>
        <w:rPr>
          <w:rFonts w:ascii="Calibri" w:hAnsi="Calibri"/>
        </w:rPr>
        <w:t>, private individuals and/or legal entities who carry out agricultural activities acting as users of agricultural land areas and/or legal owners of animals, in accordance with the legislation in force. In the category of payment beneficiaries are included the agricultural cooperatives, according to Law no. 566/2004 on agricultural cooperatives, as well as the groups of producers who carry out agricultural activities.</w:t>
      </w:r>
    </w:p>
    <w:p w:rsidR="00BD4A3E" w:rsidRPr="00DB403C" w:rsidRDefault="00BD4A3E" w:rsidP="00BD4A3E">
      <w:pPr>
        <w:jc w:val="both"/>
        <w:rPr>
          <w:rFonts w:ascii="Calibri" w:eastAsia="Calibri" w:hAnsi="Calibri" w:cs="Arial"/>
          <w:sz w:val="16"/>
          <w:szCs w:val="16"/>
          <w:lang w:val="ro-RO"/>
        </w:rPr>
      </w:pPr>
    </w:p>
    <w:p w:rsidR="00BD4A3E" w:rsidRPr="003964D3" w:rsidRDefault="00BD4A3E" w:rsidP="00BD4A3E">
      <w:pPr>
        <w:jc w:val="both"/>
        <w:rPr>
          <w:rFonts w:ascii="Calibri" w:hAnsi="Calibri"/>
          <w:bCs/>
          <w:szCs w:val="22"/>
        </w:rPr>
      </w:pPr>
      <w:r>
        <w:rPr>
          <w:rFonts w:ascii="Calibri" w:hAnsi="Calibri"/>
          <w:szCs w:val="22"/>
        </w:rPr>
        <w:t xml:space="preserve">With regard to the 2017 Campaign, the APIA has authorized for payment the amount of </w:t>
      </w:r>
      <w:r>
        <w:rPr>
          <w:rFonts w:ascii="Calibri" w:hAnsi="Calibri"/>
          <w:b/>
          <w:szCs w:val="22"/>
        </w:rPr>
        <w:t>2.636 billion EUR</w:t>
      </w:r>
      <w:r>
        <w:rPr>
          <w:rFonts w:ascii="Calibri" w:hAnsi="Calibri"/>
          <w:szCs w:val="22"/>
        </w:rPr>
        <w:t xml:space="preserve">, which represents a percentage of absorption of </w:t>
      </w:r>
      <w:r>
        <w:rPr>
          <w:rFonts w:ascii="Calibri" w:hAnsi="Calibri"/>
          <w:b/>
          <w:szCs w:val="22"/>
        </w:rPr>
        <w:t>97.50%</w:t>
      </w:r>
      <w:r>
        <w:rPr>
          <w:rFonts w:ascii="Calibri" w:hAnsi="Calibri"/>
          <w:szCs w:val="22"/>
        </w:rPr>
        <w:t xml:space="preserve"> from the financial ceiling allocated to Romania in the 2017 Campaign of </w:t>
      </w:r>
      <w:r>
        <w:rPr>
          <w:rFonts w:ascii="Calibri" w:hAnsi="Calibri"/>
          <w:b/>
          <w:szCs w:val="22"/>
        </w:rPr>
        <w:t>1.801 billion EUR</w:t>
      </w:r>
      <w:r>
        <w:rPr>
          <w:rFonts w:ascii="Calibri" w:hAnsi="Calibri"/>
          <w:szCs w:val="22"/>
        </w:rPr>
        <w:t>.</w:t>
      </w:r>
    </w:p>
    <w:p w:rsidR="00BD4A3E" w:rsidRPr="00DB403C" w:rsidRDefault="00BD4A3E" w:rsidP="00BD4A3E">
      <w:pPr>
        <w:jc w:val="both"/>
        <w:rPr>
          <w:rFonts w:ascii="Calibri" w:eastAsia="Calibri" w:hAnsi="Calibri" w:cs="Arial"/>
          <w:sz w:val="16"/>
          <w:szCs w:val="16"/>
          <w:lang w:val="ro-RO"/>
        </w:rPr>
      </w:pPr>
    </w:p>
    <w:p w:rsidR="00BD4A3E" w:rsidRPr="00BD4A3E" w:rsidRDefault="00BD4A3E" w:rsidP="00BD4A3E">
      <w:pPr>
        <w:autoSpaceDE w:val="0"/>
        <w:autoSpaceDN w:val="0"/>
        <w:adjustRightInd w:val="0"/>
        <w:jc w:val="both"/>
        <w:rPr>
          <w:rFonts w:ascii="Calibri" w:eastAsia="Calibri" w:hAnsi="Calibri" w:cs="Arial"/>
        </w:rPr>
      </w:pPr>
      <w:r>
        <w:rPr>
          <w:rFonts w:ascii="Calibri" w:hAnsi="Calibri"/>
        </w:rPr>
        <w:t xml:space="preserve">The payments are made at the exchange rate of </w:t>
      </w:r>
      <w:r>
        <w:rPr>
          <w:rFonts w:ascii="Calibri" w:hAnsi="Calibri"/>
          <w:b/>
        </w:rPr>
        <w:t>4.5993 Lei for one EUR</w:t>
      </w:r>
      <w:r>
        <w:rPr>
          <w:rFonts w:ascii="Calibri" w:hAnsi="Calibri"/>
        </w:rPr>
        <w:t xml:space="preserve">, as set by the Central European Bank on September 29, 2017 and published in the Official Journal of the European Union, series C, no. 329/05 of September 30, 2017. </w:t>
      </w:r>
    </w:p>
    <w:p w:rsidR="00BD4A3E" w:rsidRPr="00BD4A3E" w:rsidRDefault="00BD4A3E" w:rsidP="00BD4A3E">
      <w:pPr>
        <w:autoSpaceDE w:val="0"/>
        <w:autoSpaceDN w:val="0"/>
        <w:adjustRightInd w:val="0"/>
        <w:jc w:val="both"/>
        <w:rPr>
          <w:rFonts w:ascii="Calibri" w:eastAsia="Calibri" w:hAnsi="Calibri" w:cs="Arial"/>
          <w:b/>
        </w:rPr>
      </w:pPr>
      <w:r>
        <w:rPr>
          <w:rFonts w:ascii="Calibri" w:hAnsi="Calibri"/>
          <w:b/>
        </w:rPr>
        <w:t>With regard to the amounts reimbursed by the European Commission in calendar years 2017 and 2018, following the request through the monthly declarations of expenditures (financial years 2017 and 2018), we mention the fact that until this date the European Commission has reimbursed the amount of 3.51 billion EUR.</w:t>
      </w:r>
    </w:p>
    <w:p w:rsidR="00BD4A3E" w:rsidRPr="00BD4A3E" w:rsidRDefault="00BD4A3E" w:rsidP="00BD4A3E">
      <w:pPr>
        <w:autoSpaceDE w:val="0"/>
        <w:autoSpaceDN w:val="0"/>
        <w:adjustRightInd w:val="0"/>
        <w:jc w:val="both"/>
        <w:rPr>
          <w:rFonts w:ascii="Calibri" w:eastAsia="Calibri" w:hAnsi="Calibri" w:cs="Arial"/>
          <w:b/>
          <w:lang w:val="ro-RO"/>
        </w:rPr>
      </w:pPr>
    </w:p>
    <w:tbl>
      <w:tblPr>
        <w:tblW w:w="5950" w:type="dxa"/>
        <w:jc w:val="center"/>
        <w:tblLook w:val="04A0" w:firstRow="1" w:lastRow="0" w:firstColumn="1" w:lastColumn="0" w:noHBand="0" w:noVBand="1"/>
      </w:tblPr>
      <w:tblGrid>
        <w:gridCol w:w="1840"/>
        <w:gridCol w:w="4110"/>
      </w:tblGrid>
      <w:tr w:rsidR="00BD4A3E" w:rsidRPr="00AC4302" w:rsidTr="00BD4A3E">
        <w:trPr>
          <w:trHeight w:val="510"/>
          <w:jc w:val="center"/>
        </w:trPr>
        <w:tc>
          <w:tcPr>
            <w:tcW w:w="1840"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BD4A3E" w:rsidRPr="00BD4A3E" w:rsidRDefault="00BD4A3E" w:rsidP="00BD4A3E">
            <w:pPr>
              <w:jc w:val="both"/>
              <w:rPr>
                <w:rFonts w:ascii="Calibri" w:eastAsia="Calibri" w:hAnsi="Calibri" w:cs="Arial"/>
              </w:rPr>
            </w:pPr>
            <w:r>
              <w:rPr>
                <w:rFonts w:ascii="Calibri" w:hAnsi="Calibri"/>
              </w:rPr>
              <w:t>Financial year</w:t>
            </w:r>
          </w:p>
        </w:tc>
        <w:tc>
          <w:tcPr>
            <w:tcW w:w="4110" w:type="dxa"/>
            <w:tcBorders>
              <w:top w:val="single" w:sz="4" w:space="0" w:color="auto"/>
              <w:left w:val="nil"/>
              <w:bottom w:val="single" w:sz="4" w:space="0" w:color="auto"/>
              <w:right w:val="single" w:sz="4" w:space="0" w:color="auto"/>
            </w:tcBorders>
            <w:shd w:val="clear" w:color="auto" w:fill="BDD6EE"/>
            <w:vAlign w:val="center"/>
            <w:hideMark/>
          </w:tcPr>
          <w:p w:rsidR="00BD4A3E" w:rsidRPr="00BD4A3E" w:rsidRDefault="00BD4A3E" w:rsidP="00BD4A3E">
            <w:pPr>
              <w:jc w:val="both"/>
              <w:rPr>
                <w:rFonts w:ascii="Calibri" w:eastAsia="Calibri" w:hAnsi="Calibri" w:cs="Arial"/>
              </w:rPr>
            </w:pPr>
            <w:r>
              <w:rPr>
                <w:rFonts w:ascii="Calibri" w:hAnsi="Calibri"/>
              </w:rPr>
              <w:t xml:space="preserve">     Amount communicated in the EC decision</w:t>
            </w:r>
          </w:p>
          <w:p w:rsidR="00BD4A3E" w:rsidRPr="00BD4A3E" w:rsidRDefault="00BD4A3E" w:rsidP="00BD4A3E">
            <w:pPr>
              <w:jc w:val="both"/>
              <w:rPr>
                <w:rFonts w:ascii="Calibri" w:eastAsia="Calibri" w:hAnsi="Calibri" w:cs="Arial"/>
              </w:rPr>
            </w:pPr>
            <w:r>
              <w:rPr>
                <w:rFonts w:ascii="Calibri" w:hAnsi="Calibri"/>
              </w:rPr>
              <w:t xml:space="preserve">                     - EUR -</w:t>
            </w:r>
          </w:p>
        </w:tc>
      </w:tr>
      <w:tr w:rsidR="00BD4A3E" w:rsidRPr="00BD4A3E" w:rsidTr="00BD4A3E">
        <w:trPr>
          <w:trHeight w:val="332"/>
          <w:jc w:val="center"/>
        </w:trPr>
        <w:tc>
          <w:tcPr>
            <w:tcW w:w="1840" w:type="dxa"/>
            <w:tcBorders>
              <w:top w:val="nil"/>
              <w:left w:val="single" w:sz="4" w:space="0" w:color="auto"/>
              <w:bottom w:val="single" w:sz="4" w:space="0" w:color="auto"/>
              <w:right w:val="single" w:sz="4" w:space="0" w:color="auto"/>
            </w:tcBorders>
            <w:shd w:val="clear" w:color="auto" w:fill="auto"/>
            <w:vAlign w:val="bottom"/>
            <w:hideMark/>
          </w:tcPr>
          <w:p w:rsidR="00BD4A3E" w:rsidRPr="00BD4A3E" w:rsidRDefault="00BD4A3E" w:rsidP="00BD4A3E">
            <w:pPr>
              <w:jc w:val="both"/>
              <w:rPr>
                <w:rFonts w:ascii="Calibri" w:eastAsia="Calibri" w:hAnsi="Calibri" w:cs="Arial"/>
                <w:sz w:val="22"/>
                <w:szCs w:val="22"/>
              </w:rPr>
            </w:pPr>
            <w:r>
              <w:rPr>
                <w:rFonts w:ascii="Calibri" w:hAnsi="Calibri"/>
                <w:sz w:val="22"/>
                <w:szCs w:val="22"/>
              </w:rPr>
              <w:t>2017</w:t>
            </w:r>
          </w:p>
        </w:tc>
        <w:tc>
          <w:tcPr>
            <w:tcW w:w="4110" w:type="dxa"/>
            <w:tcBorders>
              <w:top w:val="nil"/>
              <w:left w:val="nil"/>
              <w:bottom w:val="single" w:sz="4" w:space="0" w:color="auto"/>
              <w:right w:val="single" w:sz="4" w:space="0" w:color="auto"/>
            </w:tcBorders>
            <w:shd w:val="clear" w:color="auto" w:fill="FFFFFF"/>
            <w:noWrap/>
            <w:vAlign w:val="bottom"/>
            <w:hideMark/>
          </w:tcPr>
          <w:p w:rsidR="00BD4A3E" w:rsidRPr="00BD4A3E" w:rsidRDefault="00BD4A3E" w:rsidP="00BD4A3E">
            <w:pPr>
              <w:jc w:val="right"/>
              <w:rPr>
                <w:rFonts w:ascii="Calibri" w:eastAsia="Calibri" w:hAnsi="Calibri" w:cs="Arial"/>
                <w:sz w:val="22"/>
                <w:szCs w:val="22"/>
              </w:rPr>
            </w:pPr>
            <w:r>
              <w:rPr>
                <w:rFonts w:ascii="Calibri" w:hAnsi="Calibri"/>
                <w:sz w:val="22"/>
                <w:szCs w:val="22"/>
              </w:rPr>
              <w:t>1,772,508,497.61</w:t>
            </w:r>
          </w:p>
        </w:tc>
      </w:tr>
      <w:tr w:rsidR="00BD4A3E" w:rsidRPr="00BD4A3E" w:rsidTr="00BD4A3E">
        <w:trPr>
          <w:trHeight w:val="255"/>
          <w:jc w:val="center"/>
        </w:trPr>
        <w:tc>
          <w:tcPr>
            <w:tcW w:w="1840" w:type="dxa"/>
            <w:tcBorders>
              <w:top w:val="nil"/>
              <w:left w:val="single" w:sz="4" w:space="0" w:color="auto"/>
              <w:bottom w:val="single" w:sz="4" w:space="0" w:color="auto"/>
              <w:right w:val="single" w:sz="4" w:space="0" w:color="auto"/>
            </w:tcBorders>
            <w:shd w:val="clear" w:color="auto" w:fill="auto"/>
            <w:vAlign w:val="bottom"/>
            <w:hideMark/>
          </w:tcPr>
          <w:p w:rsidR="00BD4A3E" w:rsidRPr="00BD4A3E" w:rsidRDefault="00BD4A3E" w:rsidP="00BD4A3E">
            <w:pPr>
              <w:jc w:val="both"/>
              <w:rPr>
                <w:rFonts w:ascii="Calibri" w:eastAsia="Calibri" w:hAnsi="Calibri" w:cs="Arial"/>
                <w:sz w:val="22"/>
                <w:szCs w:val="22"/>
              </w:rPr>
            </w:pPr>
            <w:r>
              <w:rPr>
                <w:rFonts w:ascii="Calibri" w:hAnsi="Calibri"/>
                <w:sz w:val="22"/>
                <w:szCs w:val="22"/>
              </w:rPr>
              <w:t>2018</w:t>
            </w:r>
          </w:p>
        </w:tc>
        <w:tc>
          <w:tcPr>
            <w:tcW w:w="4110" w:type="dxa"/>
            <w:tcBorders>
              <w:top w:val="nil"/>
              <w:left w:val="nil"/>
              <w:bottom w:val="single" w:sz="4" w:space="0" w:color="auto"/>
              <w:right w:val="single" w:sz="4" w:space="0" w:color="auto"/>
            </w:tcBorders>
            <w:shd w:val="clear" w:color="auto" w:fill="FFFFFF"/>
            <w:noWrap/>
            <w:vAlign w:val="bottom"/>
            <w:hideMark/>
          </w:tcPr>
          <w:p w:rsidR="00BD4A3E" w:rsidRPr="00BD4A3E" w:rsidRDefault="00BD4A3E" w:rsidP="00BD4A3E">
            <w:pPr>
              <w:jc w:val="right"/>
              <w:rPr>
                <w:rFonts w:ascii="Calibri" w:eastAsia="Calibri" w:hAnsi="Calibri" w:cs="Arial"/>
                <w:sz w:val="22"/>
                <w:szCs w:val="22"/>
              </w:rPr>
            </w:pPr>
            <w:r>
              <w:rPr>
                <w:rFonts w:ascii="Calibri" w:hAnsi="Calibri"/>
                <w:sz w:val="22"/>
                <w:szCs w:val="22"/>
              </w:rPr>
              <w:t>1,736,792,339.41</w:t>
            </w:r>
          </w:p>
        </w:tc>
      </w:tr>
      <w:tr w:rsidR="00BD4A3E" w:rsidRPr="00BD4A3E" w:rsidTr="00BD4A3E">
        <w:trPr>
          <w:trHeight w:val="255"/>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BD4A3E" w:rsidRPr="00BD4A3E" w:rsidRDefault="00BD4A3E" w:rsidP="00BD4A3E">
            <w:pPr>
              <w:jc w:val="both"/>
              <w:rPr>
                <w:rFonts w:ascii="Calibri" w:eastAsia="Calibri" w:hAnsi="Calibri" w:cs="Arial"/>
                <w:sz w:val="22"/>
                <w:szCs w:val="22"/>
              </w:rPr>
            </w:pPr>
            <w:r>
              <w:rPr>
                <w:rFonts w:ascii="Calibri" w:hAnsi="Calibri"/>
                <w:sz w:val="22"/>
                <w:szCs w:val="22"/>
              </w:rPr>
              <w:t>Total</w:t>
            </w:r>
          </w:p>
        </w:tc>
        <w:tc>
          <w:tcPr>
            <w:tcW w:w="4110" w:type="dxa"/>
            <w:tcBorders>
              <w:top w:val="nil"/>
              <w:left w:val="nil"/>
              <w:bottom w:val="single" w:sz="4" w:space="0" w:color="auto"/>
              <w:right w:val="single" w:sz="4" w:space="0" w:color="auto"/>
            </w:tcBorders>
            <w:shd w:val="clear" w:color="auto" w:fill="auto"/>
            <w:noWrap/>
            <w:vAlign w:val="bottom"/>
            <w:hideMark/>
          </w:tcPr>
          <w:p w:rsidR="00BD4A3E" w:rsidRPr="00BD4A3E" w:rsidRDefault="00BD4A3E" w:rsidP="00BD4A3E">
            <w:pPr>
              <w:jc w:val="right"/>
              <w:rPr>
                <w:rFonts w:ascii="Calibri" w:eastAsia="Calibri" w:hAnsi="Calibri" w:cs="Arial"/>
                <w:sz w:val="22"/>
                <w:szCs w:val="22"/>
              </w:rPr>
            </w:pPr>
            <w:r>
              <w:rPr>
                <w:rFonts w:ascii="Calibri" w:hAnsi="Calibri"/>
                <w:sz w:val="22"/>
                <w:szCs w:val="22"/>
              </w:rPr>
              <w:t>3,509,300,837.02</w:t>
            </w:r>
          </w:p>
        </w:tc>
      </w:tr>
    </w:tbl>
    <w:p w:rsidR="00BD4A3E" w:rsidRPr="00BD4A3E" w:rsidRDefault="00BD4A3E" w:rsidP="00674083">
      <w:pPr>
        <w:spacing w:before="240"/>
        <w:jc w:val="both"/>
        <w:rPr>
          <w:rFonts w:ascii="Calibri" w:eastAsia="Calibri" w:hAnsi="Calibri" w:cs="Arial"/>
        </w:rPr>
      </w:pPr>
      <w:r>
        <w:rPr>
          <w:rFonts w:ascii="Calibri" w:hAnsi="Calibri"/>
        </w:rPr>
        <w:t>With regard to the Campaign of receipt of single payment requests for year 2018, between March 1 and May 15 of 2018 were submitted at the Agency 867,067 applications for an area of 9,640,942 hectares.</w:t>
      </w:r>
    </w:p>
    <w:p w:rsidR="00BD4A3E" w:rsidRPr="00BD4A3E" w:rsidRDefault="00BD4A3E" w:rsidP="00BD4A3E">
      <w:pPr>
        <w:jc w:val="both"/>
        <w:rPr>
          <w:rFonts w:ascii="Calibri" w:eastAsia="Calibri" w:hAnsi="Calibri" w:cs="Arial"/>
          <w:lang w:val="ro-RO"/>
        </w:rPr>
      </w:pPr>
    </w:p>
    <w:p w:rsidR="00BD4A3E" w:rsidRDefault="00BD4A3E" w:rsidP="00BD4A3E">
      <w:pPr>
        <w:jc w:val="both"/>
        <w:rPr>
          <w:rFonts w:ascii="Calibri" w:hAnsi="Calibri"/>
        </w:rPr>
      </w:pPr>
      <w:r>
        <w:rPr>
          <w:rFonts w:ascii="Calibri" w:hAnsi="Calibri"/>
        </w:rPr>
        <w:t>Compared to 2017, it is found a decrease of the number of farmers who submitted single payment requests, namely of 884,397, but an increase of the area for which support was requested, because in 2017 was requested for payment a smaller area, of 9,541,389 hectares.</w:t>
      </w:r>
    </w:p>
    <w:p w:rsidR="00CC05F6" w:rsidRDefault="00CC05F6" w:rsidP="00BD4A3E">
      <w:pPr>
        <w:jc w:val="both"/>
        <w:rPr>
          <w:rFonts w:ascii="Calibri" w:hAnsi="Calibri"/>
        </w:rPr>
      </w:pPr>
    </w:p>
    <w:p w:rsidR="00CC05F6" w:rsidRPr="00BD4A3E" w:rsidRDefault="00CC05F6" w:rsidP="00BD4A3E">
      <w:pPr>
        <w:jc w:val="both"/>
        <w:rPr>
          <w:rFonts w:ascii="Calibri" w:eastAsia="Calibri" w:hAnsi="Calibri" w:cs="Arial"/>
        </w:rPr>
      </w:pPr>
    </w:p>
    <w:p w:rsidR="00BD4A3E" w:rsidRPr="00BD4A3E" w:rsidRDefault="00BD4A3E" w:rsidP="00BD4A3E">
      <w:pPr>
        <w:jc w:val="both"/>
        <w:rPr>
          <w:rFonts w:ascii="Calibri" w:eastAsia="Calibri" w:hAnsi="Calibri" w:cs="Arial"/>
          <w:lang w:val="ro-RO"/>
        </w:rPr>
      </w:pPr>
    </w:p>
    <w:p w:rsidR="00BD4A3E" w:rsidRPr="00BD4A3E" w:rsidRDefault="00BD4A3E" w:rsidP="00021698">
      <w:pPr>
        <w:numPr>
          <w:ilvl w:val="0"/>
          <w:numId w:val="105"/>
        </w:numPr>
        <w:shd w:val="clear" w:color="auto" w:fill="92D050"/>
        <w:autoSpaceDE w:val="0"/>
        <w:autoSpaceDN w:val="0"/>
        <w:adjustRightInd w:val="0"/>
        <w:spacing w:before="120" w:after="120" w:line="276" w:lineRule="auto"/>
        <w:ind w:left="714" w:hanging="357"/>
        <w:contextualSpacing/>
        <w:jc w:val="both"/>
        <w:rPr>
          <w:rFonts w:ascii="Calibri" w:eastAsia="Calibri" w:hAnsi="Calibri" w:cs="Arial"/>
          <w:szCs w:val="22"/>
        </w:rPr>
      </w:pPr>
      <w:r>
        <w:rPr>
          <w:rFonts w:ascii="Calibri" w:hAnsi="Calibri"/>
          <w:szCs w:val="22"/>
        </w:rPr>
        <w:t>European Agricultural and Rural Development Fund</w:t>
      </w:r>
    </w:p>
    <w:p w:rsidR="00BD4A3E" w:rsidRPr="00BD4A3E" w:rsidRDefault="00BD4A3E" w:rsidP="00BD4A3E">
      <w:pPr>
        <w:autoSpaceDE w:val="0"/>
        <w:autoSpaceDN w:val="0"/>
        <w:adjustRightInd w:val="0"/>
        <w:jc w:val="both"/>
        <w:rPr>
          <w:rFonts w:ascii="Calibri" w:eastAsia="Calibri" w:hAnsi="Calibri" w:cs="Arial"/>
        </w:rPr>
      </w:pPr>
      <w:r>
        <w:rPr>
          <w:rFonts w:ascii="Calibri" w:hAnsi="Calibri"/>
        </w:rPr>
        <w:t>The Agency for Payments and Intervention in Agriculture implements on the basis of the delegation agreements concluded with the Agency for Financing of Rural Investments (AFIR) the following measures financed from the EARDF:</w:t>
      </w:r>
    </w:p>
    <w:p w:rsidR="00BD4A3E" w:rsidRPr="00BD4A3E" w:rsidRDefault="00BD4A3E" w:rsidP="009F7237">
      <w:pPr>
        <w:numPr>
          <w:ilvl w:val="0"/>
          <w:numId w:val="9"/>
        </w:numPr>
        <w:spacing w:line="276" w:lineRule="auto"/>
        <w:jc w:val="both"/>
        <w:rPr>
          <w:rFonts w:ascii="Calibri" w:eastAsia="Calibri" w:hAnsi="Calibri" w:cs="Arial"/>
        </w:rPr>
      </w:pPr>
      <w:bookmarkStart w:id="5" w:name="_Toc256000230"/>
      <w:r>
        <w:rPr>
          <w:rFonts w:ascii="Calibri" w:hAnsi="Calibri"/>
        </w:rPr>
        <w:t xml:space="preserve">MEASURE 08 - Investments in the development of wooded areas and in the improvement of forest viability </w:t>
      </w:r>
      <w:bookmarkEnd w:id="5"/>
      <w:r>
        <w:rPr>
          <w:rFonts w:ascii="Calibri" w:hAnsi="Calibri"/>
        </w:rPr>
        <w:t xml:space="preserve">– sub-measure 8.1 - </w:t>
      </w:r>
      <w:r w:rsidR="00916FF8">
        <w:rPr>
          <w:rFonts w:ascii="Calibri" w:hAnsi="Calibri"/>
        </w:rPr>
        <w:t>Afforestation</w:t>
      </w:r>
      <w:r>
        <w:rPr>
          <w:rFonts w:ascii="Calibri" w:hAnsi="Calibri"/>
        </w:rPr>
        <w:t xml:space="preserve"> and creation of wooded areas</w:t>
      </w:r>
    </w:p>
    <w:p w:rsidR="00BD4A3E" w:rsidRPr="00BD4A3E" w:rsidRDefault="00BD4A3E" w:rsidP="009F7237">
      <w:pPr>
        <w:numPr>
          <w:ilvl w:val="0"/>
          <w:numId w:val="10"/>
        </w:numPr>
        <w:spacing w:line="276" w:lineRule="auto"/>
        <w:jc w:val="both"/>
        <w:rPr>
          <w:rFonts w:ascii="Calibri" w:eastAsia="Calibri" w:hAnsi="Calibri" w:cs="Arial"/>
        </w:rPr>
      </w:pPr>
      <w:r>
        <w:rPr>
          <w:rFonts w:ascii="Calibri" w:hAnsi="Calibri"/>
        </w:rPr>
        <w:t>MEASURE 10 - Agro-environment and climate</w:t>
      </w:r>
    </w:p>
    <w:p w:rsidR="00BD4A3E" w:rsidRPr="00BD4A3E" w:rsidRDefault="00BD4A3E" w:rsidP="009F7237">
      <w:pPr>
        <w:numPr>
          <w:ilvl w:val="0"/>
          <w:numId w:val="10"/>
        </w:numPr>
        <w:spacing w:line="276" w:lineRule="auto"/>
        <w:jc w:val="both"/>
        <w:rPr>
          <w:rFonts w:ascii="Calibri" w:eastAsia="Calibri" w:hAnsi="Calibri" w:cs="Arial"/>
        </w:rPr>
      </w:pPr>
      <w:r>
        <w:rPr>
          <w:rFonts w:ascii="Calibri" w:hAnsi="Calibri"/>
        </w:rPr>
        <w:t xml:space="preserve">MEASURE 11 - Ecologic agriculture </w:t>
      </w:r>
    </w:p>
    <w:p w:rsidR="00BD4A3E" w:rsidRPr="00BD4A3E" w:rsidRDefault="00BD4A3E" w:rsidP="009F7237">
      <w:pPr>
        <w:numPr>
          <w:ilvl w:val="0"/>
          <w:numId w:val="10"/>
        </w:numPr>
        <w:spacing w:line="276" w:lineRule="auto"/>
        <w:jc w:val="both"/>
        <w:rPr>
          <w:rFonts w:ascii="Calibri" w:eastAsia="Calibri" w:hAnsi="Calibri" w:cs="Arial"/>
        </w:rPr>
      </w:pPr>
      <w:r>
        <w:rPr>
          <w:rFonts w:ascii="Calibri" w:hAnsi="Calibri"/>
        </w:rPr>
        <w:t>MEASURE 13 - Payments for areas facing natural restrictions or other specific restrictions</w:t>
      </w:r>
    </w:p>
    <w:p w:rsidR="00BD4A3E" w:rsidRPr="00BD4A3E" w:rsidRDefault="00BD4A3E" w:rsidP="009F7237">
      <w:pPr>
        <w:numPr>
          <w:ilvl w:val="0"/>
          <w:numId w:val="10"/>
        </w:numPr>
        <w:spacing w:line="276" w:lineRule="auto"/>
        <w:jc w:val="both"/>
        <w:rPr>
          <w:rFonts w:ascii="Calibri" w:eastAsia="Calibri" w:hAnsi="Calibri" w:cs="Arial"/>
        </w:rPr>
      </w:pPr>
      <w:r>
        <w:rPr>
          <w:rFonts w:ascii="Calibri" w:hAnsi="Calibri"/>
        </w:rPr>
        <w:t>MEASURE 14 (former measure 215) - Payments in favor of animal welfare</w:t>
      </w:r>
    </w:p>
    <w:p w:rsidR="00BD4A3E" w:rsidRPr="00BD4A3E" w:rsidRDefault="00BD4A3E" w:rsidP="009F7237">
      <w:pPr>
        <w:numPr>
          <w:ilvl w:val="0"/>
          <w:numId w:val="10"/>
        </w:numPr>
        <w:spacing w:line="276" w:lineRule="auto"/>
        <w:jc w:val="both"/>
        <w:rPr>
          <w:rFonts w:ascii="Calibri" w:eastAsia="Calibri" w:hAnsi="Calibri" w:cs="Arial"/>
        </w:rPr>
      </w:pPr>
      <w:r>
        <w:rPr>
          <w:rFonts w:ascii="Calibri" w:hAnsi="Calibri"/>
        </w:rPr>
        <w:t>MEASURE 15 - Forestry and environment services, climate services and wood preservation - 15.1 - Payments for forestry and environment commitments</w:t>
      </w:r>
    </w:p>
    <w:p w:rsidR="00BD4A3E" w:rsidRPr="00BD4A3E" w:rsidRDefault="00BD4A3E" w:rsidP="009F7237">
      <w:pPr>
        <w:numPr>
          <w:ilvl w:val="0"/>
          <w:numId w:val="10"/>
        </w:numPr>
        <w:spacing w:line="276" w:lineRule="auto"/>
        <w:jc w:val="both"/>
        <w:rPr>
          <w:rFonts w:ascii="Calibri" w:eastAsia="Calibri" w:hAnsi="Calibri" w:cs="Arial"/>
        </w:rPr>
      </w:pPr>
      <w:r>
        <w:rPr>
          <w:rFonts w:ascii="Calibri" w:hAnsi="Calibri"/>
        </w:rPr>
        <w:t>Measure 214 - Payments regarding the agricultural environment</w:t>
      </w:r>
    </w:p>
    <w:p w:rsidR="00BD4A3E" w:rsidRPr="00BD4A3E" w:rsidRDefault="00BD4A3E" w:rsidP="00BD4A3E">
      <w:pPr>
        <w:autoSpaceDE w:val="0"/>
        <w:autoSpaceDN w:val="0"/>
        <w:adjustRightInd w:val="0"/>
        <w:jc w:val="both"/>
        <w:rPr>
          <w:rFonts w:ascii="Calibri" w:eastAsia="Calibri" w:hAnsi="Calibri" w:cs="Arial"/>
          <w:lang w:val="ro-RO"/>
        </w:rPr>
      </w:pPr>
    </w:p>
    <w:p w:rsidR="00BD4A3E" w:rsidRPr="00BD4A3E" w:rsidRDefault="00BD4A3E" w:rsidP="00BD4A3E">
      <w:pPr>
        <w:autoSpaceDE w:val="0"/>
        <w:autoSpaceDN w:val="0"/>
        <w:adjustRightInd w:val="0"/>
        <w:jc w:val="both"/>
        <w:rPr>
          <w:rFonts w:ascii="Calibri" w:eastAsia="Calibri" w:hAnsi="Calibri" w:cs="Arial"/>
        </w:rPr>
      </w:pPr>
      <w:r>
        <w:rPr>
          <w:rFonts w:ascii="Calibri" w:hAnsi="Calibri"/>
        </w:rPr>
        <w:t xml:space="preserve">EARDF allocation + co-financing from the National Budget:  </w:t>
      </w:r>
      <w:r>
        <w:rPr>
          <w:rFonts w:ascii="Calibri" w:hAnsi="Calibri"/>
          <w:b/>
        </w:rPr>
        <w:t>3.59 billion EUR</w:t>
      </w:r>
    </w:p>
    <w:p w:rsidR="00BD4A3E" w:rsidRPr="00BD4A3E" w:rsidRDefault="00BD4A3E" w:rsidP="00BD4A3E">
      <w:pPr>
        <w:autoSpaceDE w:val="0"/>
        <w:autoSpaceDN w:val="0"/>
        <w:adjustRightInd w:val="0"/>
        <w:jc w:val="both"/>
        <w:rPr>
          <w:rFonts w:ascii="Calibri" w:eastAsia="Calibri" w:hAnsi="Calibri" w:cs="Arial"/>
          <w:b/>
        </w:rPr>
      </w:pPr>
      <w:r>
        <w:rPr>
          <w:rFonts w:ascii="Calibri" w:hAnsi="Calibri"/>
          <w:b/>
        </w:rPr>
        <w:t>Approximately 409 thousand farmers requested support for rural development measures in the 2017 campaign</w:t>
      </w:r>
      <w:r>
        <w:rPr>
          <w:rFonts w:ascii="Calibri" w:hAnsi="Calibri"/>
        </w:rPr>
        <w:t xml:space="preserve"> </w:t>
      </w:r>
      <w:r>
        <w:rPr>
          <w:rFonts w:ascii="Calibri" w:hAnsi="Calibri"/>
          <w:b/>
        </w:rPr>
        <w:t xml:space="preserve">(one request may refer to several types of payments). </w:t>
      </w:r>
    </w:p>
    <w:p w:rsidR="00BD4A3E" w:rsidRPr="00BD4A3E" w:rsidRDefault="00BD4A3E" w:rsidP="00BD4A3E">
      <w:pPr>
        <w:spacing w:after="160" w:line="259" w:lineRule="auto"/>
        <w:rPr>
          <w:rFonts w:ascii="Calibri" w:eastAsia="Calibri" w:hAnsi="Calibri" w:cs="Arial"/>
          <w:lang w:val="ro-RO"/>
        </w:rPr>
      </w:pPr>
    </w:p>
    <w:p w:rsidR="00BD4A3E" w:rsidRPr="00BD4A3E" w:rsidRDefault="00BD4A3E" w:rsidP="00BD4A3E">
      <w:pPr>
        <w:jc w:val="center"/>
        <w:rPr>
          <w:rFonts w:ascii="Calibri" w:eastAsia="Calibri" w:hAnsi="Calibri" w:cs="Arial"/>
        </w:rPr>
      </w:pPr>
      <w:r>
        <w:rPr>
          <w:rFonts w:ascii="Calibri" w:hAnsi="Calibri"/>
        </w:rPr>
        <w:t>CEILINGS ALLOCATED FROM THE EARDF FOR THE PROGRAMMING PERIOD 2014-2020 - MEASURES IMPLEMENTED BY APIA BASED ON THE DELEGATION RECEIVED FROM THE AFIR*</w:t>
      </w:r>
    </w:p>
    <w:p w:rsidR="00BD4A3E" w:rsidRPr="00BD4A3E" w:rsidRDefault="00BD4A3E" w:rsidP="00BD4A3E">
      <w:pPr>
        <w:jc w:val="both"/>
        <w:rPr>
          <w:rFonts w:ascii="Calibri" w:eastAsia="Calibri" w:hAnsi="Calibri" w:cs="Arial"/>
          <w:lang w:val="ro-RO"/>
        </w:rPr>
      </w:pPr>
    </w:p>
    <w:tbl>
      <w:tblPr>
        <w:tblW w:w="9596" w:type="dxa"/>
        <w:tblInd w:w="108" w:type="dxa"/>
        <w:tblLook w:val="04A0" w:firstRow="1" w:lastRow="0" w:firstColumn="1" w:lastColumn="0" w:noHBand="0" w:noVBand="1"/>
      </w:tblPr>
      <w:tblGrid>
        <w:gridCol w:w="1268"/>
        <w:gridCol w:w="3109"/>
        <w:gridCol w:w="1748"/>
        <w:gridCol w:w="1748"/>
        <w:gridCol w:w="1723"/>
      </w:tblGrid>
      <w:tr w:rsidR="00BD4A3E" w:rsidRPr="00BD4A3E" w:rsidTr="00BD4A3E">
        <w:trPr>
          <w:trHeight w:val="852"/>
        </w:trPr>
        <w:tc>
          <w:tcPr>
            <w:tcW w:w="1268" w:type="dxa"/>
            <w:tcBorders>
              <w:top w:val="single" w:sz="8" w:space="0" w:color="auto"/>
              <w:left w:val="single" w:sz="4" w:space="0" w:color="auto"/>
              <w:bottom w:val="single" w:sz="4" w:space="0" w:color="auto"/>
              <w:right w:val="single" w:sz="4" w:space="0" w:color="auto"/>
            </w:tcBorders>
            <w:shd w:val="clear" w:color="auto" w:fill="9CC2E5"/>
            <w:vAlign w:val="center"/>
            <w:hideMark/>
          </w:tcPr>
          <w:p w:rsidR="00BD4A3E" w:rsidRPr="00BD4A3E" w:rsidRDefault="00BD4A3E" w:rsidP="00BD4A3E">
            <w:pPr>
              <w:jc w:val="both"/>
              <w:rPr>
                <w:rFonts w:ascii="Calibri" w:eastAsia="Calibri" w:hAnsi="Calibri" w:cs="Arial"/>
              </w:rPr>
            </w:pPr>
            <w:r>
              <w:rPr>
                <w:rFonts w:ascii="Calibri" w:hAnsi="Calibri"/>
              </w:rPr>
              <w:t>MEASURE</w:t>
            </w:r>
          </w:p>
        </w:tc>
        <w:tc>
          <w:tcPr>
            <w:tcW w:w="3109" w:type="dxa"/>
            <w:tcBorders>
              <w:top w:val="single" w:sz="8" w:space="0" w:color="auto"/>
              <w:left w:val="nil"/>
              <w:bottom w:val="single" w:sz="4" w:space="0" w:color="auto"/>
              <w:right w:val="single" w:sz="4" w:space="0" w:color="auto"/>
            </w:tcBorders>
            <w:shd w:val="clear" w:color="auto" w:fill="9CC2E5"/>
            <w:vAlign w:val="center"/>
            <w:hideMark/>
          </w:tcPr>
          <w:p w:rsidR="00BD4A3E" w:rsidRPr="00BD4A3E" w:rsidRDefault="00BD4A3E" w:rsidP="00BD4A3E">
            <w:pPr>
              <w:jc w:val="both"/>
              <w:rPr>
                <w:rFonts w:ascii="Calibri" w:eastAsia="Calibri" w:hAnsi="Calibri" w:cs="Arial"/>
              </w:rPr>
            </w:pPr>
            <w:r>
              <w:rPr>
                <w:rFonts w:ascii="Calibri" w:hAnsi="Calibri"/>
              </w:rPr>
              <w:t>Programming period</w:t>
            </w:r>
          </w:p>
          <w:p w:rsidR="00BD4A3E" w:rsidRPr="00BD4A3E" w:rsidRDefault="00BD4A3E" w:rsidP="00BD4A3E">
            <w:pPr>
              <w:jc w:val="both"/>
              <w:rPr>
                <w:rFonts w:ascii="Calibri" w:eastAsia="Calibri" w:hAnsi="Calibri" w:cs="Arial"/>
              </w:rPr>
            </w:pPr>
            <w:r>
              <w:rPr>
                <w:rFonts w:ascii="Calibri" w:hAnsi="Calibri"/>
              </w:rPr>
              <w:t>2014 - 2020</w:t>
            </w:r>
          </w:p>
        </w:tc>
        <w:tc>
          <w:tcPr>
            <w:tcW w:w="1748" w:type="dxa"/>
            <w:tcBorders>
              <w:top w:val="single" w:sz="8" w:space="0" w:color="auto"/>
              <w:left w:val="nil"/>
              <w:bottom w:val="single" w:sz="4" w:space="0" w:color="auto"/>
              <w:right w:val="single" w:sz="4" w:space="0" w:color="auto"/>
            </w:tcBorders>
            <w:shd w:val="clear" w:color="auto" w:fill="9CC2E5"/>
            <w:vAlign w:val="center"/>
            <w:hideMark/>
          </w:tcPr>
          <w:p w:rsidR="00BD4A3E" w:rsidRPr="00BD4A3E" w:rsidRDefault="00BD4A3E" w:rsidP="00BD4A3E">
            <w:pPr>
              <w:jc w:val="both"/>
              <w:rPr>
                <w:rFonts w:ascii="Calibri" w:eastAsia="Calibri" w:hAnsi="Calibri" w:cs="Arial"/>
              </w:rPr>
            </w:pPr>
            <w:r>
              <w:rPr>
                <w:rFonts w:ascii="Calibri" w:hAnsi="Calibri"/>
              </w:rPr>
              <w:t>EARDF (EUR)</w:t>
            </w:r>
          </w:p>
        </w:tc>
        <w:tc>
          <w:tcPr>
            <w:tcW w:w="1748" w:type="dxa"/>
            <w:tcBorders>
              <w:top w:val="single" w:sz="8" w:space="0" w:color="auto"/>
              <w:left w:val="nil"/>
              <w:bottom w:val="single" w:sz="4" w:space="0" w:color="auto"/>
              <w:right w:val="single" w:sz="4" w:space="0" w:color="auto"/>
            </w:tcBorders>
            <w:shd w:val="clear" w:color="auto" w:fill="9CC2E5"/>
            <w:vAlign w:val="center"/>
            <w:hideMark/>
          </w:tcPr>
          <w:p w:rsidR="00BD4A3E" w:rsidRPr="00BD4A3E" w:rsidRDefault="00BD4A3E" w:rsidP="00BD4A3E">
            <w:pPr>
              <w:jc w:val="both"/>
              <w:rPr>
                <w:rFonts w:ascii="Calibri" w:eastAsia="Calibri" w:hAnsi="Calibri" w:cs="Arial"/>
              </w:rPr>
            </w:pPr>
            <w:r>
              <w:rPr>
                <w:rFonts w:ascii="Calibri" w:hAnsi="Calibri"/>
              </w:rPr>
              <w:t>BN (EUR)</w:t>
            </w:r>
          </w:p>
        </w:tc>
        <w:tc>
          <w:tcPr>
            <w:tcW w:w="1723" w:type="dxa"/>
            <w:tcBorders>
              <w:top w:val="single" w:sz="4" w:space="0" w:color="auto"/>
              <w:left w:val="nil"/>
              <w:bottom w:val="single" w:sz="4" w:space="0" w:color="auto"/>
              <w:right w:val="single" w:sz="4" w:space="0" w:color="auto"/>
            </w:tcBorders>
            <w:shd w:val="clear" w:color="auto" w:fill="9CC2E5"/>
            <w:vAlign w:val="center"/>
            <w:hideMark/>
          </w:tcPr>
          <w:p w:rsidR="00BD4A3E" w:rsidRPr="00BD4A3E" w:rsidRDefault="00BD4A3E" w:rsidP="00BD4A3E">
            <w:pPr>
              <w:jc w:val="both"/>
              <w:rPr>
                <w:rFonts w:ascii="Calibri" w:eastAsia="Calibri" w:hAnsi="Calibri" w:cs="Arial"/>
              </w:rPr>
            </w:pPr>
            <w:r>
              <w:rPr>
                <w:rFonts w:ascii="Calibri" w:hAnsi="Calibri"/>
              </w:rPr>
              <w:t>Total (EUR)</w:t>
            </w:r>
          </w:p>
        </w:tc>
      </w:tr>
      <w:tr w:rsidR="00BD4A3E" w:rsidRPr="00BD4A3E" w:rsidTr="00BD4A3E">
        <w:trPr>
          <w:trHeight w:val="1312"/>
        </w:trPr>
        <w:tc>
          <w:tcPr>
            <w:tcW w:w="1268" w:type="dxa"/>
            <w:tcBorders>
              <w:top w:val="nil"/>
              <w:left w:val="single" w:sz="4" w:space="0" w:color="auto"/>
              <w:bottom w:val="single" w:sz="4" w:space="0" w:color="auto"/>
              <w:right w:val="single" w:sz="4" w:space="0" w:color="auto"/>
            </w:tcBorders>
            <w:shd w:val="clear" w:color="auto" w:fill="auto"/>
            <w:vAlign w:val="center"/>
            <w:hideMark/>
          </w:tcPr>
          <w:p w:rsidR="00BD4A3E" w:rsidRPr="00BD4A3E" w:rsidRDefault="00BD4A3E" w:rsidP="00BD4A3E">
            <w:pPr>
              <w:jc w:val="both"/>
              <w:rPr>
                <w:rFonts w:ascii="Calibri" w:eastAsia="Calibri" w:hAnsi="Calibri" w:cs="Arial"/>
              </w:rPr>
            </w:pPr>
            <w:r>
              <w:rPr>
                <w:rFonts w:ascii="Calibri" w:hAnsi="Calibri"/>
              </w:rPr>
              <w:t>8</w:t>
            </w:r>
          </w:p>
        </w:tc>
        <w:tc>
          <w:tcPr>
            <w:tcW w:w="3109" w:type="dxa"/>
            <w:tcBorders>
              <w:top w:val="single" w:sz="4" w:space="0" w:color="auto"/>
              <w:left w:val="nil"/>
              <w:bottom w:val="single" w:sz="4" w:space="0" w:color="auto"/>
              <w:right w:val="single" w:sz="4" w:space="0" w:color="auto"/>
            </w:tcBorders>
            <w:shd w:val="clear" w:color="auto" w:fill="auto"/>
            <w:vAlign w:val="center"/>
            <w:hideMark/>
          </w:tcPr>
          <w:p w:rsidR="00BD4A3E" w:rsidRPr="00BD4A3E" w:rsidRDefault="00BD4A3E" w:rsidP="00BD4A3E">
            <w:pPr>
              <w:jc w:val="both"/>
              <w:rPr>
                <w:rFonts w:ascii="Calibri" w:eastAsia="Calibri" w:hAnsi="Calibri" w:cs="Arial"/>
              </w:rPr>
            </w:pPr>
            <w:r>
              <w:rPr>
                <w:rFonts w:ascii="Calibri" w:hAnsi="Calibri"/>
              </w:rPr>
              <w:t xml:space="preserve">Investments in the development of wooded areas and in the improvement of forest viability </w:t>
            </w:r>
          </w:p>
        </w:tc>
        <w:tc>
          <w:tcPr>
            <w:tcW w:w="1748" w:type="dxa"/>
            <w:tcBorders>
              <w:top w:val="nil"/>
              <w:left w:val="nil"/>
              <w:bottom w:val="single" w:sz="8" w:space="0" w:color="auto"/>
              <w:right w:val="single" w:sz="4" w:space="0" w:color="auto"/>
            </w:tcBorders>
            <w:shd w:val="clear" w:color="auto" w:fill="auto"/>
            <w:noWrap/>
            <w:vAlign w:val="center"/>
            <w:hideMark/>
          </w:tcPr>
          <w:p w:rsidR="00BD4A3E" w:rsidRPr="00BD4A3E" w:rsidRDefault="00BD4A3E" w:rsidP="00BD4A3E">
            <w:pPr>
              <w:jc w:val="right"/>
              <w:rPr>
                <w:rFonts w:ascii="Calibri" w:eastAsia="Calibri" w:hAnsi="Calibri" w:cs="Arial"/>
                <w:sz w:val="22"/>
                <w:szCs w:val="22"/>
              </w:rPr>
            </w:pPr>
            <w:r>
              <w:rPr>
                <w:rFonts w:ascii="Calibri" w:hAnsi="Calibri"/>
                <w:sz w:val="22"/>
                <w:szCs w:val="22"/>
              </w:rPr>
              <w:t>105,695,160</w:t>
            </w:r>
          </w:p>
        </w:tc>
        <w:tc>
          <w:tcPr>
            <w:tcW w:w="1748" w:type="dxa"/>
            <w:tcBorders>
              <w:top w:val="nil"/>
              <w:left w:val="nil"/>
              <w:bottom w:val="single" w:sz="8" w:space="0" w:color="auto"/>
              <w:right w:val="single" w:sz="8" w:space="0" w:color="auto"/>
            </w:tcBorders>
            <w:shd w:val="clear" w:color="auto" w:fill="auto"/>
            <w:noWrap/>
            <w:vAlign w:val="center"/>
            <w:hideMark/>
          </w:tcPr>
          <w:p w:rsidR="00BD4A3E" w:rsidRPr="00BD4A3E" w:rsidRDefault="00BD4A3E" w:rsidP="00BD4A3E">
            <w:pPr>
              <w:jc w:val="right"/>
              <w:rPr>
                <w:rFonts w:ascii="Calibri" w:eastAsia="Calibri" w:hAnsi="Calibri" w:cs="Arial"/>
                <w:sz w:val="22"/>
                <w:szCs w:val="22"/>
              </w:rPr>
            </w:pPr>
            <w:r>
              <w:rPr>
                <w:rFonts w:ascii="Calibri" w:hAnsi="Calibri"/>
                <w:sz w:val="22"/>
                <w:szCs w:val="22"/>
              </w:rPr>
              <w:t>21,106,472</w:t>
            </w:r>
          </w:p>
        </w:tc>
        <w:tc>
          <w:tcPr>
            <w:tcW w:w="1723" w:type="dxa"/>
            <w:tcBorders>
              <w:top w:val="nil"/>
              <w:left w:val="nil"/>
              <w:bottom w:val="single" w:sz="8" w:space="0" w:color="auto"/>
              <w:right w:val="single" w:sz="8" w:space="0" w:color="auto"/>
            </w:tcBorders>
            <w:shd w:val="clear" w:color="auto" w:fill="auto"/>
            <w:noWrap/>
            <w:vAlign w:val="center"/>
            <w:hideMark/>
          </w:tcPr>
          <w:p w:rsidR="00BD4A3E" w:rsidRPr="00BD4A3E" w:rsidRDefault="00BD4A3E" w:rsidP="00BD4A3E">
            <w:pPr>
              <w:jc w:val="right"/>
              <w:rPr>
                <w:rFonts w:ascii="Calibri" w:eastAsia="Calibri" w:hAnsi="Calibri" w:cs="Arial"/>
                <w:sz w:val="22"/>
                <w:szCs w:val="22"/>
              </w:rPr>
            </w:pPr>
            <w:r>
              <w:rPr>
                <w:rFonts w:ascii="Calibri" w:hAnsi="Calibri"/>
                <w:sz w:val="22"/>
                <w:szCs w:val="22"/>
              </w:rPr>
              <w:t>126,801,632</w:t>
            </w:r>
          </w:p>
        </w:tc>
      </w:tr>
      <w:tr w:rsidR="00BD4A3E" w:rsidRPr="00BD4A3E" w:rsidTr="00BD4A3E">
        <w:trPr>
          <w:trHeight w:val="512"/>
        </w:trPr>
        <w:tc>
          <w:tcPr>
            <w:tcW w:w="1268" w:type="dxa"/>
            <w:tcBorders>
              <w:top w:val="nil"/>
              <w:left w:val="single" w:sz="4" w:space="0" w:color="auto"/>
              <w:bottom w:val="single" w:sz="4" w:space="0" w:color="auto"/>
              <w:right w:val="single" w:sz="4" w:space="0" w:color="auto"/>
            </w:tcBorders>
            <w:shd w:val="clear" w:color="auto" w:fill="auto"/>
            <w:vAlign w:val="center"/>
            <w:hideMark/>
          </w:tcPr>
          <w:p w:rsidR="00BD4A3E" w:rsidRPr="00BD4A3E" w:rsidRDefault="00BD4A3E" w:rsidP="00BD4A3E">
            <w:pPr>
              <w:jc w:val="both"/>
              <w:rPr>
                <w:rFonts w:ascii="Calibri" w:eastAsia="Calibri" w:hAnsi="Calibri" w:cs="Arial"/>
              </w:rPr>
            </w:pPr>
            <w:r>
              <w:rPr>
                <w:rFonts w:ascii="Calibri" w:hAnsi="Calibri"/>
              </w:rPr>
              <w:t>10</w:t>
            </w:r>
          </w:p>
        </w:tc>
        <w:tc>
          <w:tcPr>
            <w:tcW w:w="3109" w:type="dxa"/>
            <w:tcBorders>
              <w:top w:val="single" w:sz="4" w:space="0" w:color="auto"/>
              <w:left w:val="nil"/>
              <w:bottom w:val="single" w:sz="4" w:space="0" w:color="auto"/>
              <w:right w:val="single" w:sz="4" w:space="0" w:color="auto"/>
            </w:tcBorders>
            <w:shd w:val="clear" w:color="auto" w:fill="auto"/>
            <w:vAlign w:val="center"/>
            <w:hideMark/>
          </w:tcPr>
          <w:p w:rsidR="00BD4A3E" w:rsidRPr="00BD4A3E" w:rsidRDefault="00BD4A3E" w:rsidP="00BD4A3E">
            <w:pPr>
              <w:jc w:val="both"/>
              <w:rPr>
                <w:rFonts w:ascii="Calibri" w:eastAsia="Calibri" w:hAnsi="Calibri" w:cs="Arial"/>
              </w:rPr>
            </w:pPr>
            <w:r>
              <w:rPr>
                <w:rFonts w:ascii="Calibri" w:hAnsi="Calibri"/>
              </w:rPr>
              <w:t>Agro-environment and climate</w:t>
            </w:r>
          </w:p>
        </w:tc>
        <w:tc>
          <w:tcPr>
            <w:tcW w:w="1748" w:type="dxa"/>
            <w:tcBorders>
              <w:top w:val="single" w:sz="4" w:space="0" w:color="auto"/>
              <w:left w:val="nil"/>
              <w:bottom w:val="single" w:sz="4" w:space="0" w:color="auto"/>
              <w:right w:val="single" w:sz="4" w:space="0" w:color="auto"/>
            </w:tcBorders>
            <w:shd w:val="clear" w:color="auto" w:fill="auto"/>
            <w:noWrap/>
            <w:vAlign w:val="center"/>
            <w:hideMark/>
          </w:tcPr>
          <w:p w:rsidR="00BD4A3E" w:rsidRPr="00BD4A3E" w:rsidRDefault="00BD4A3E" w:rsidP="00BD4A3E">
            <w:pPr>
              <w:jc w:val="right"/>
              <w:rPr>
                <w:rFonts w:ascii="Calibri" w:eastAsia="Calibri" w:hAnsi="Calibri" w:cs="Arial"/>
                <w:sz w:val="22"/>
                <w:szCs w:val="22"/>
              </w:rPr>
            </w:pPr>
            <w:r>
              <w:rPr>
                <w:rFonts w:ascii="Calibri" w:hAnsi="Calibri"/>
                <w:sz w:val="22"/>
                <w:szCs w:val="22"/>
              </w:rPr>
              <w:t>909,964,916</w:t>
            </w:r>
          </w:p>
        </w:tc>
        <w:tc>
          <w:tcPr>
            <w:tcW w:w="1748" w:type="dxa"/>
            <w:tcBorders>
              <w:top w:val="nil"/>
              <w:left w:val="nil"/>
              <w:bottom w:val="single" w:sz="4" w:space="0" w:color="auto"/>
              <w:right w:val="single" w:sz="8" w:space="0" w:color="auto"/>
            </w:tcBorders>
            <w:shd w:val="clear" w:color="auto" w:fill="auto"/>
            <w:noWrap/>
            <w:vAlign w:val="center"/>
            <w:hideMark/>
          </w:tcPr>
          <w:p w:rsidR="00BD4A3E" w:rsidRPr="00BD4A3E" w:rsidRDefault="00BD4A3E" w:rsidP="00BD4A3E">
            <w:pPr>
              <w:jc w:val="right"/>
              <w:rPr>
                <w:rFonts w:ascii="Calibri" w:eastAsia="Calibri" w:hAnsi="Calibri" w:cs="Arial"/>
                <w:sz w:val="22"/>
                <w:szCs w:val="22"/>
              </w:rPr>
            </w:pPr>
            <w:r>
              <w:rPr>
                <w:rFonts w:ascii="Calibri" w:hAnsi="Calibri"/>
                <w:sz w:val="22"/>
                <w:szCs w:val="22"/>
              </w:rPr>
              <w:t>159,032,069</w:t>
            </w:r>
          </w:p>
        </w:tc>
        <w:tc>
          <w:tcPr>
            <w:tcW w:w="1723" w:type="dxa"/>
            <w:tcBorders>
              <w:top w:val="nil"/>
              <w:left w:val="nil"/>
              <w:bottom w:val="single" w:sz="4" w:space="0" w:color="auto"/>
              <w:right w:val="single" w:sz="8" w:space="0" w:color="auto"/>
            </w:tcBorders>
            <w:shd w:val="clear" w:color="auto" w:fill="auto"/>
            <w:noWrap/>
            <w:vAlign w:val="center"/>
            <w:hideMark/>
          </w:tcPr>
          <w:p w:rsidR="00BD4A3E" w:rsidRPr="00BD4A3E" w:rsidRDefault="00BD4A3E" w:rsidP="00BD4A3E">
            <w:pPr>
              <w:jc w:val="right"/>
              <w:rPr>
                <w:rFonts w:ascii="Calibri" w:eastAsia="Calibri" w:hAnsi="Calibri" w:cs="Arial"/>
                <w:sz w:val="22"/>
                <w:szCs w:val="22"/>
              </w:rPr>
            </w:pPr>
            <w:r>
              <w:rPr>
                <w:rFonts w:ascii="Calibri" w:hAnsi="Calibri"/>
                <w:sz w:val="22"/>
                <w:szCs w:val="22"/>
              </w:rPr>
              <w:t>1,068,996,985</w:t>
            </w:r>
          </w:p>
        </w:tc>
      </w:tr>
      <w:tr w:rsidR="00BD4A3E" w:rsidRPr="00BD4A3E" w:rsidTr="00BD4A3E">
        <w:trPr>
          <w:trHeight w:val="536"/>
        </w:trPr>
        <w:tc>
          <w:tcPr>
            <w:tcW w:w="1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A3E" w:rsidRPr="00BD4A3E" w:rsidRDefault="00BD4A3E" w:rsidP="00BD4A3E">
            <w:pPr>
              <w:jc w:val="both"/>
              <w:rPr>
                <w:rFonts w:ascii="Calibri" w:eastAsia="Calibri" w:hAnsi="Calibri" w:cs="Arial"/>
              </w:rPr>
            </w:pPr>
            <w:r>
              <w:rPr>
                <w:rFonts w:ascii="Calibri" w:hAnsi="Calibri"/>
              </w:rPr>
              <w:t>11</w:t>
            </w:r>
          </w:p>
        </w:tc>
        <w:tc>
          <w:tcPr>
            <w:tcW w:w="3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A3E" w:rsidRPr="00BD4A3E" w:rsidRDefault="00BD4A3E" w:rsidP="00BD4A3E">
            <w:pPr>
              <w:jc w:val="both"/>
              <w:rPr>
                <w:rFonts w:ascii="Calibri" w:eastAsia="Calibri" w:hAnsi="Calibri" w:cs="Arial"/>
              </w:rPr>
            </w:pPr>
            <w:r>
              <w:rPr>
                <w:rFonts w:ascii="Calibri" w:hAnsi="Calibri"/>
              </w:rPr>
              <w:t>Ecologic agriculture</w:t>
            </w: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4A3E" w:rsidRPr="00BD4A3E" w:rsidRDefault="00BD4A3E" w:rsidP="00BD4A3E">
            <w:pPr>
              <w:jc w:val="right"/>
              <w:rPr>
                <w:rFonts w:ascii="Calibri" w:eastAsia="Calibri" w:hAnsi="Calibri" w:cs="Arial"/>
                <w:sz w:val="22"/>
                <w:szCs w:val="22"/>
              </w:rPr>
            </w:pPr>
            <w:r>
              <w:rPr>
                <w:rFonts w:ascii="Calibri" w:hAnsi="Calibri"/>
                <w:sz w:val="22"/>
                <w:szCs w:val="22"/>
              </w:rPr>
              <w:t>200,686,161</w:t>
            </w: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4A3E" w:rsidRPr="00BD4A3E" w:rsidRDefault="00BD4A3E" w:rsidP="00BD4A3E">
            <w:pPr>
              <w:jc w:val="right"/>
              <w:rPr>
                <w:rFonts w:ascii="Calibri" w:eastAsia="Calibri" w:hAnsi="Calibri" w:cs="Arial"/>
                <w:sz w:val="22"/>
                <w:szCs w:val="22"/>
              </w:rPr>
            </w:pPr>
            <w:r>
              <w:rPr>
                <w:rFonts w:ascii="Calibri" w:hAnsi="Calibri"/>
                <w:sz w:val="22"/>
                <w:szCs w:val="22"/>
              </w:rPr>
              <w:t>35,011,337</w:t>
            </w:r>
          </w:p>
        </w:tc>
        <w:tc>
          <w:tcPr>
            <w:tcW w:w="1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4A3E" w:rsidRPr="00BD4A3E" w:rsidRDefault="00BD4A3E" w:rsidP="00BD4A3E">
            <w:pPr>
              <w:jc w:val="right"/>
              <w:rPr>
                <w:rFonts w:ascii="Calibri" w:eastAsia="Calibri" w:hAnsi="Calibri" w:cs="Arial"/>
                <w:sz w:val="22"/>
                <w:szCs w:val="22"/>
              </w:rPr>
            </w:pPr>
            <w:r>
              <w:rPr>
                <w:rFonts w:ascii="Calibri" w:hAnsi="Calibri"/>
                <w:sz w:val="22"/>
                <w:szCs w:val="22"/>
              </w:rPr>
              <w:t>235,697,498</w:t>
            </w:r>
          </w:p>
        </w:tc>
      </w:tr>
      <w:tr w:rsidR="00BD4A3E" w:rsidRPr="00BD4A3E" w:rsidTr="00BD4A3E">
        <w:trPr>
          <w:trHeight w:val="1049"/>
        </w:trPr>
        <w:tc>
          <w:tcPr>
            <w:tcW w:w="1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A3E" w:rsidRPr="00BD4A3E" w:rsidRDefault="00BD4A3E" w:rsidP="00BD4A3E">
            <w:pPr>
              <w:jc w:val="both"/>
              <w:rPr>
                <w:rFonts w:ascii="Calibri" w:eastAsia="Calibri" w:hAnsi="Calibri" w:cs="Arial"/>
              </w:rPr>
            </w:pPr>
            <w:r>
              <w:rPr>
                <w:rFonts w:ascii="Calibri" w:hAnsi="Calibri"/>
              </w:rPr>
              <w:t>13</w:t>
            </w:r>
          </w:p>
        </w:tc>
        <w:tc>
          <w:tcPr>
            <w:tcW w:w="3109" w:type="dxa"/>
            <w:tcBorders>
              <w:top w:val="single" w:sz="4" w:space="0" w:color="auto"/>
              <w:left w:val="nil"/>
              <w:bottom w:val="single" w:sz="4" w:space="0" w:color="auto"/>
              <w:right w:val="single" w:sz="4" w:space="0" w:color="auto"/>
            </w:tcBorders>
            <w:shd w:val="clear" w:color="auto" w:fill="auto"/>
            <w:vAlign w:val="center"/>
            <w:hideMark/>
          </w:tcPr>
          <w:p w:rsidR="00BD4A3E" w:rsidRPr="00BD4A3E" w:rsidRDefault="00BD4A3E" w:rsidP="00BD4A3E">
            <w:pPr>
              <w:jc w:val="both"/>
              <w:rPr>
                <w:rFonts w:ascii="Calibri" w:eastAsia="Calibri" w:hAnsi="Calibri" w:cs="Arial"/>
              </w:rPr>
            </w:pPr>
            <w:r>
              <w:rPr>
                <w:rFonts w:ascii="Calibri" w:hAnsi="Calibri"/>
              </w:rPr>
              <w:t>Payments for areas facing natural restrictions or other specific restrictions</w:t>
            </w:r>
          </w:p>
        </w:tc>
        <w:tc>
          <w:tcPr>
            <w:tcW w:w="1748" w:type="dxa"/>
            <w:tcBorders>
              <w:top w:val="single" w:sz="4" w:space="0" w:color="auto"/>
              <w:left w:val="nil"/>
              <w:bottom w:val="single" w:sz="4" w:space="0" w:color="auto"/>
              <w:right w:val="single" w:sz="4" w:space="0" w:color="auto"/>
            </w:tcBorders>
            <w:shd w:val="clear" w:color="auto" w:fill="auto"/>
            <w:noWrap/>
            <w:vAlign w:val="center"/>
            <w:hideMark/>
          </w:tcPr>
          <w:p w:rsidR="00BD4A3E" w:rsidRPr="00BD4A3E" w:rsidRDefault="00BD4A3E" w:rsidP="00BD4A3E">
            <w:pPr>
              <w:jc w:val="right"/>
              <w:rPr>
                <w:rFonts w:ascii="Calibri" w:eastAsia="Calibri" w:hAnsi="Calibri" w:cs="Arial"/>
                <w:sz w:val="22"/>
                <w:szCs w:val="22"/>
              </w:rPr>
            </w:pPr>
            <w:r>
              <w:rPr>
                <w:rFonts w:ascii="Calibri" w:hAnsi="Calibri"/>
                <w:sz w:val="22"/>
                <w:szCs w:val="22"/>
              </w:rPr>
              <w:t>1,150,796,418</w:t>
            </w:r>
          </w:p>
        </w:tc>
        <w:tc>
          <w:tcPr>
            <w:tcW w:w="1748" w:type="dxa"/>
            <w:tcBorders>
              <w:top w:val="single" w:sz="4" w:space="0" w:color="auto"/>
              <w:left w:val="nil"/>
              <w:bottom w:val="single" w:sz="4" w:space="0" w:color="auto"/>
              <w:right w:val="single" w:sz="8" w:space="0" w:color="auto"/>
            </w:tcBorders>
            <w:shd w:val="clear" w:color="auto" w:fill="auto"/>
            <w:noWrap/>
            <w:vAlign w:val="center"/>
            <w:hideMark/>
          </w:tcPr>
          <w:p w:rsidR="00BD4A3E" w:rsidRPr="00BD4A3E" w:rsidRDefault="00BD4A3E" w:rsidP="00BD4A3E">
            <w:pPr>
              <w:jc w:val="right"/>
              <w:rPr>
                <w:rFonts w:ascii="Calibri" w:eastAsia="Calibri" w:hAnsi="Calibri" w:cs="Arial"/>
                <w:sz w:val="22"/>
                <w:szCs w:val="22"/>
              </w:rPr>
            </w:pPr>
            <w:r>
              <w:rPr>
                <w:rFonts w:ascii="Calibri" w:hAnsi="Calibri"/>
                <w:sz w:val="22"/>
                <w:szCs w:val="22"/>
              </w:rPr>
              <w:t>166,798,226</w:t>
            </w:r>
          </w:p>
        </w:tc>
        <w:tc>
          <w:tcPr>
            <w:tcW w:w="1723" w:type="dxa"/>
            <w:tcBorders>
              <w:top w:val="single" w:sz="4" w:space="0" w:color="auto"/>
              <w:left w:val="nil"/>
              <w:bottom w:val="single" w:sz="4" w:space="0" w:color="auto"/>
              <w:right w:val="single" w:sz="8" w:space="0" w:color="auto"/>
            </w:tcBorders>
            <w:shd w:val="clear" w:color="auto" w:fill="auto"/>
            <w:noWrap/>
            <w:vAlign w:val="center"/>
            <w:hideMark/>
          </w:tcPr>
          <w:p w:rsidR="00BD4A3E" w:rsidRPr="00BD4A3E" w:rsidRDefault="00BD4A3E" w:rsidP="00BD4A3E">
            <w:pPr>
              <w:jc w:val="right"/>
              <w:rPr>
                <w:rFonts w:ascii="Calibri" w:eastAsia="Calibri" w:hAnsi="Calibri" w:cs="Arial"/>
                <w:sz w:val="22"/>
                <w:szCs w:val="22"/>
              </w:rPr>
            </w:pPr>
            <w:r>
              <w:rPr>
                <w:rFonts w:ascii="Calibri" w:hAnsi="Calibri"/>
                <w:sz w:val="22"/>
                <w:szCs w:val="22"/>
              </w:rPr>
              <w:t>1,317,594,644</w:t>
            </w:r>
          </w:p>
        </w:tc>
      </w:tr>
      <w:tr w:rsidR="00BD4A3E" w:rsidRPr="00BD4A3E" w:rsidTr="00BD4A3E">
        <w:trPr>
          <w:trHeight w:val="714"/>
        </w:trPr>
        <w:tc>
          <w:tcPr>
            <w:tcW w:w="1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A3E" w:rsidRPr="00BD4A3E" w:rsidRDefault="00BD4A3E" w:rsidP="00BD4A3E">
            <w:pPr>
              <w:jc w:val="both"/>
              <w:rPr>
                <w:rFonts w:ascii="Calibri" w:eastAsia="Calibri" w:hAnsi="Calibri" w:cs="Arial"/>
              </w:rPr>
            </w:pPr>
            <w:r>
              <w:rPr>
                <w:rFonts w:ascii="Calibri" w:hAnsi="Calibri"/>
              </w:rPr>
              <w:t>14</w:t>
            </w:r>
          </w:p>
        </w:tc>
        <w:tc>
          <w:tcPr>
            <w:tcW w:w="3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A3E" w:rsidRPr="00BD4A3E" w:rsidRDefault="00BD4A3E" w:rsidP="00BD4A3E">
            <w:pPr>
              <w:jc w:val="both"/>
              <w:rPr>
                <w:rFonts w:ascii="Calibri" w:eastAsia="Calibri" w:hAnsi="Calibri" w:cs="Arial"/>
              </w:rPr>
            </w:pPr>
            <w:r>
              <w:rPr>
                <w:rFonts w:ascii="Calibri" w:hAnsi="Calibri"/>
              </w:rPr>
              <w:t>Animal welfare</w:t>
            </w: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4A3E" w:rsidRPr="00BD4A3E" w:rsidRDefault="00BD4A3E" w:rsidP="00BD4A3E">
            <w:pPr>
              <w:jc w:val="right"/>
              <w:rPr>
                <w:rFonts w:ascii="Calibri" w:eastAsia="Calibri" w:hAnsi="Calibri" w:cs="Arial"/>
                <w:sz w:val="22"/>
                <w:szCs w:val="22"/>
              </w:rPr>
            </w:pPr>
            <w:r>
              <w:rPr>
                <w:rFonts w:ascii="Calibri" w:hAnsi="Calibri"/>
                <w:sz w:val="22"/>
                <w:szCs w:val="22"/>
              </w:rPr>
              <w:t>687,938,706</w:t>
            </w: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4A3E" w:rsidRPr="00BD4A3E" w:rsidRDefault="00BD4A3E" w:rsidP="00BD4A3E">
            <w:pPr>
              <w:jc w:val="right"/>
              <w:rPr>
                <w:rFonts w:ascii="Calibri" w:eastAsia="Calibri" w:hAnsi="Calibri" w:cs="Arial"/>
                <w:sz w:val="22"/>
                <w:szCs w:val="22"/>
              </w:rPr>
            </w:pPr>
            <w:r>
              <w:rPr>
                <w:rFonts w:ascii="Calibri" w:hAnsi="Calibri"/>
                <w:sz w:val="22"/>
                <w:szCs w:val="22"/>
              </w:rPr>
              <w:t>88,522,854</w:t>
            </w:r>
          </w:p>
        </w:tc>
        <w:tc>
          <w:tcPr>
            <w:tcW w:w="1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4A3E" w:rsidRPr="00BD4A3E" w:rsidRDefault="00BD4A3E" w:rsidP="00BD4A3E">
            <w:pPr>
              <w:jc w:val="right"/>
              <w:rPr>
                <w:rFonts w:ascii="Calibri" w:eastAsia="Calibri" w:hAnsi="Calibri" w:cs="Arial"/>
                <w:sz w:val="22"/>
                <w:szCs w:val="22"/>
              </w:rPr>
            </w:pPr>
            <w:r>
              <w:rPr>
                <w:rFonts w:ascii="Calibri" w:hAnsi="Calibri"/>
                <w:sz w:val="22"/>
                <w:szCs w:val="22"/>
              </w:rPr>
              <w:t>776,461,560</w:t>
            </w:r>
          </w:p>
        </w:tc>
      </w:tr>
      <w:tr w:rsidR="00BD4A3E" w:rsidRPr="00BD4A3E" w:rsidTr="00BD4A3E">
        <w:trPr>
          <w:trHeight w:val="851"/>
        </w:trPr>
        <w:tc>
          <w:tcPr>
            <w:tcW w:w="1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A3E" w:rsidRPr="00BD4A3E" w:rsidRDefault="00BD4A3E" w:rsidP="00BD4A3E">
            <w:pPr>
              <w:jc w:val="both"/>
              <w:rPr>
                <w:rFonts w:ascii="Calibri" w:eastAsia="Calibri" w:hAnsi="Calibri" w:cs="Arial"/>
              </w:rPr>
            </w:pPr>
            <w:r>
              <w:rPr>
                <w:rFonts w:ascii="Calibri" w:hAnsi="Calibri"/>
              </w:rPr>
              <w:t>15</w:t>
            </w:r>
          </w:p>
        </w:tc>
        <w:tc>
          <w:tcPr>
            <w:tcW w:w="3109" w:type="dxa"/>
            <w:tcBorders>
              <w:top w:val="single" w:sz="4" w:space="0" w:color="auto"/>
              <w:left w:val="nil"/>
              <w:bottom w:val="single" w:sz="4" w:space="0" w:color="auto"/>
              <w:right w:val="single" w:sz="4" w:space="0" w:color="000000"/>
            </w:tcBorders>
            <w:shd w:val="clear" w:color="auto" w:fill="auto"/>
            <w:vAlign w:val="center"/>
            <w:hideMark/>
          </w:tcPr>
          <w:p w:rsidR="00BD4A3E" w:rsidRPr="00BD4A3E" w:rsidRDefault="00BD4A3E" w:rsidP="00BD4A3E">
            <w:pPr>
              <w:jc w:val="both"/>
              <w:rPr>
                <w:rFonts w:ascii="Calibri" w:eastAsia="Calibri" w:hAnsi="Calibri" w:cs="Arial"/>
              </w:rPr>
            </w:pPr>
            <w:r>
              <w:rPr>
                <w:rFonts w:ascii="Calibri" w:hAnsi="Calibri"/>
              </w:rPr>
              <w:t xml:space="preserve">Forestry and environment services, climate services and wood preservation </w:t>
            </w:r>
          </w:p>
        </w:tc>
        <w:tc>
          <w:tcPr>
            <w:tcW w:w="1748" w:type="dxa"/>
            <w:tcBorders>
              <w:top w:val="single" w:sz="4" w:space="0" w:color="auto"/>
              <w:left w:val="nil"/>
              <w:bottom w:val="single" w:sz="4" w:space="0" w:color="auto"/>
              <w:right w:val="single" w:sz="4" w:space="0" w:color="auto"/>
            </w:tcBorders>
            <w:shd w:val="clear" w:color="auto" w:fill="auto"/>
            <w:noWrap/>
            <w:vAlign w:val="center"/>
            <w:hideMark/>
          </w:tcPr>
          <w:p w:rsidR="00BD4A3E" w:rsidRPr="00BD4A3E" w:rsidRDefault="00BD4A3E" w:rsidP="00BD4A3E">
            <w:pPr>
              <w:jc w:val="right"/>
              <w:rPr>
                <w:rFonts w:ascii="Calibri" w:eastAsia="Calibri" w:hAnsi="Calibri" w:cs="Arial"/>
                <w:sz w:val="22"/>
                <w:szCs w:val="22"/>
              </w:rPr>
            </w:pPr>
            <w:r>
              <w:rPr>
                <w:rFonts w:ascii="Calibri" w:hAnsi="Calibri"/>
                <w:sz w:val="22"/>
                <w:szCs w:val="22"/>
              </w:rPr>
              <w:t>58,415,000</w:t>
            </w:r>
          </w:p>
        </w:tc>
        <w:tc>
          <w:tcPr>
            <w:tcW w:w="1748" w:type="dxa"/>
            <w:tcBorders>
              <w:top w:val="single" w:sz="4"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right"/>
              <w:rPr>
                <w:rFonts w:ascii="Calibri" w:eastAsia="Calibri" w:hAnsi="Calibri" w:cs="Arial"/>
                <w:sz w:val="22"/>
                <w:szCs w:val="22"/>
              </w:rPr>
            </w:pPr>
            <w:r>
              <w:rPr>
                <w:rFonts w:ascii="Calibri" w:hAnsi="Calibri"/>
                <w:sz w:val="22"/>
                <w:szCs w:val="22"/>
              </w:rPr>
              <w:t>11,732,754</w:t>
            </w:r>
          </w:p>
        </w:tc>
        <w:tc>
          <w:tcPr>
            <w:tcW w:w="1723" w:type="dxa"/>
            <w:tcBorders>
              <w:top w:val="single" w:sz="4" w:space="0" w:color="auto"/>
              <w:left w:val="nil"/>
              <w:bottom w:val="single" w:sz="8" w:space="0" w:color="auto"/>
              <w:right w:val="single" w:sz="8" w:space="0" w:color="auto"/>
            </w:tcBorders>
            <w:shd w:val="clear" w:color="auto" w:fill="auto"/>
            <w:noWrap/>
            <w:vAlign w:val="center"/>
            <w:hideMark/>
          </w:tcPr>
          <w:p w:rsidR="00BD4A3E" w:rsidRPr="00BD4A3E" w:rsidRDefault="00BD4A3E" w:rsidP="00BD4A3E">
            <w:pPr>
              <w:jc w:val="right"/>
              <w:rPr>
                <w:rFonts w:ascii="Calibri" w:eastAsia="Calibri" w:hAnsi="Calibri" w:cs="Arial"/>
                <w:sz w:val="22"/>
                <w:szCs w:val="22"/>
              </w:rPr>
            </w:pPr>
            <w:r>
              <w:rPr>
                <w:rFonts w:ascii="Calibri" w:hAnsi="Calibri"/>
                <w:sz w:val="22"/>
                <w:szCs w:val="22"/>
              </w:rPr>
              <w:t>70,147,754</w:t>
            </w:r>
          </w:p>
        </w:tc>
      </w:tr>
      <w:tr w:rsidR="00BD4A3E" w:rsidRPr="00BD4A3E" w:rsidTr="00BD4A3E">
        <w:trPr>
          <w:trHeight w:val="499"/>
        </w:trPr>
        <w:tc>
          <w:tcPr>
            <w:tcW w:w="4377" w:type="dxa"/>
            <w:gridSpan w:val="2"/>
            <w:tcBorders>
              <w:top w:val="nil"/>
              <w:left w:val="single" w:sz="4" w:space="0" w:color="auto"/>
              <w:bottom w:val="single" w:sz="4" w:space="0" w:color="auto"/>
              <w:right w:val="single" w:sz="4" w:space="0" w:color="000000"/>
            </w:tcBorders>
            <w:shd w:val="clear" w:color="auto" w:fill="9CC2E5"/>
            <w:noWrap/>
            <w:vAlign w:val="bottom"/>
            <w:hideMark/>
          </w:tcPr>
          <w:p w:rsidR="00BD4A3E" w:rsidRPr="00BD4A3E" w:rsidRDefault="00BD4A3E" w:rsidP="00BD4A3E">
            <w:pPr>
              <w:jc w:val="both"/>
              <w:rPr>
                <w:rFonts w:ascii="Calibri" w:eastAsia="Calibri" w:hAnsi="Calibri" w:cs="Arial"/>
                <w:b/>
              </w:rPr>
            </w:pPr>
            <w:r>
              <w:rPr>
                <w:rFonts w:ascii="Calibri" w:hAnsi="Calibri"/>
                <w:b/>
              </w:rPr>
              <w:t>TOTAL</w:t>
            </w:r>
          </w:p>
        </w:tc>
        <w:tc>
          <w:tcPr>
            <w:tcW w:w="1748" w:type="dxa"/>
            <w:tcBorders>
              <w:top w:val="nil"/>
              <w:left w:val="nil"/>
              <w:bottom w:val="single" w:sz="4" w:space="0" w:color="auto"/>
              <w:right w:val="single" w:sz="4" w:space="0" w:color="auto"/>
            </w:tcBorders>
            <w:shd w:val="clear" w:color="auto" w:fill="9CC2E5"/>
            <w:noWrap/>
            <w:vAlign w:val="center"/>
            <w:hideMark/>
          </w:tcPr>
          <w:p w:rsidR="00BD4A3E" w:rsidRPr="00BD4A3E" w:rsidRDefault="00BD4A3E" w:rsidP="00BD4A3E">
            <w:pPr>
              <w:jc w:val="right"/>
              <w:rPr>
                <w:rFonts w:ascii="Calibri" w:eastAsia="Calibri" w:hAnsi="Calibri" w:cs="Arial"/>
                <w:b/>
                <w:sz w:val="22"/>
                <w:szCs w:val="22"/>
              </w:rPr>
            </w:pPr>
            <w:r>
              <w:rPr>
                <w:rFonts w:ascii="Calibri" w:hAnsi="Calibri"/>
                <w:b/>
                <w:sz w:val="22"/>
                <w:szCs w:val="22"/>
              </w:rPr>
              <w:t>3,113,496,361</w:t>
            </w:r>
          </w:p>
        </w:tc>
        <w:tc>
          <w:tcPr>
            <w:tcW w:w="1748" w:type="dxa"/>
            <w:tcBorders>
              <w:top w:val="nil"/>
              <w:left w:val="nil"/>
              <w:bottom w:val="single" w:sz="4" w:space="0" w:color="auto"/>
              <w:right w:val="single" w:sz="4" w:space="0" w:color="auto"/>
            </w:tcBorders>
            <w:shd w:val="clear" w:color="auto" w:fill="9CC2E5"/>
            <w:noWrap/>
            <w:vAlign w:val="center"/>
            <w:hideMark/>
          </w:tcPr>
          <w:p w:rsidR="00BD4A3E" w:rsidRPr="00BD4A3E" w:rsidRDefault="00BD4A3E" w:rsidP="00BD4A3E">
            <w:pPr>
              <w:jc w:val="right"/>
              <w:rPr>
                <w:rFonts w:ascii="Calibri" w:eastAsia="Calibri" w:hAnsi="Calibri" w:cs="Arial"/>
                <w:b/>
                <w:sz w:val="22"/>
                <w:szCs w:val="22"/>
              </w:rPr>
            </w:pPr>
            <w:r>
              <w:rPr>
                <w:rFonts w:ascii="Calibri" w:hAnsi="Calibri"/>
                <w:b/>
                <w:sz w:val="22"/>
                <w:szCs w:val="22"/>
              </w:rPr>
              <w:t>482,203,712</w:t>
            </w:r>
          </w:p>
        </w:tc>
        <w:tc>
          <w:tcPr>
            <w:tcW w:w="1723" w:type="dxa"/>
            <w:tcBorders>
              <w:top w:val="nil"/>
              <w:left w:val="nil"/>
              <w:bottom w:val="single" w:sz="8" w:space="0" w:color="auto"/>
              <w:right w:val="single" w:sz="8" w:space="0" w:color="auto"/>
            </w:tcBorders>
            <w:shd w:val="clear" w:color="auto" w:fill="9CC2E5"/>
            <w:noWrap/>
            <w:vAlign w:val="center"/>
            <w:hideMark/>
          </w:tcPr>
          <w:p w:rsidR="00BD4A3E" w:rsidRPr="00BD4A3E" w:rsidRDefault="00BD4A3E" w:rsidP="00BD4A3E">
            <w:pPr>
              <w:jc w:val="right"/>
              <w:rPr>
                <w:rFonts w:ascii="Calibri" w:eastAsia="Calibri" w:hAnsi="Calibri" w:cs="Arial"/>
                <w:b/>
                <w:sz w:val="22"/>
                <w:szCs w:val="22"/>
              </w:rPr>
            </w:pPr>
            <w:r>
              <w:rPr>
                <w:rFonts w:ascii="Calibri" w:hAnsi="Calibri"/>
                <w:b/>
                <w:sz w:val="22"/>
                <w:szCs w:val="22"/>
              </w:rPr>
              <w:t>3,595,700,073</w:t>
            </w:r>
          </w:p>
        </w:tc>
      </w:tr>
    </w:tbl>
    <w:p w:rsidR="00BD4A3E" w:rsidRPr="00BD4A3E" w:rsidRDefault="00BD4A3E" w:rsidP="00BD4A3E">
      <w:pPr>
        <w:spacing w:after="160"/>
        <w:contextualSpacing/>
        <w:jc w:val="both"/>
        <w:rPr>
          <w:rFonts w:ascii="Calibri" w:eastAsia="Calibri" w:hAnsi="Calibri" w:cs="Arial"/>
          <w:lang w:val="ro-RO"/>
        </w:rPr>
      </w:pPr>
    </w:p>
    <w:p w:rsidR="00BD4A3E" w:rsidRPr="00BD4A3E" w:rsidRDefault="00BD4A3E" w:rsidP="00BD4A3E">
      <w:pPr>
        <w:autoSpaceDE w:val="0"/>
        <w:autoSpaceDN w:val="0"/>
        <w:adjustRightInd w:val="0"/>
        <w:jc w:val="both"/>
        <w:rPr>
          <w:rFonts w:ascii="Calibri" w:eastAsia="Calibri" w:hAnsi="Calibri" w:cs="Arial"/>
        </w:rPr>
      </w:pPr>
      <w:r>
        <w:rPr>
          <w:rFonts w:ascii="Calibri" w:hAnsi="Calibri"/>
        </w:rPr>
        <w:t xml:space="preserve">*The ceilings allocated are compliant with the </w:t>
      </w:r>
      <w:r>
        <w:rPr>
          <w:rFonts w:ascii="Calibri" w:hAnsi="Calibri"/>
          <w:b/>
        </w:rPr>
        <w:t>National Rural Development Program for 2014-2020 - version 6.1</w:t>
      </w:r>
      <w:r>
        <w:rPr>
          <w:rFonts w:ascii="Calibri" w:hAnsi="Calibri"/>
        </w:rPr>
        <w:t>, officially sent by the European Commission for analysis and approval on June 18, 2018.</w:t>
      </w:r>
    </w:p>
    <w:p w:rsidR="00BD4A3E" w:rsidRPr="00BD4A3E" w:rsidRDefault="00BD4A3E" w:rsidP="00BD4A3E">
      <w:pPr>
        <w:autoSpaceDE w:val="0"/>
        <w:autoSpaceDN w:val="0"/>
        <w:adjustRightInd w:val="0"/>
        <w:jc w:val="both"/>
        <w:rPr>
          <w:rFonts w:ascii="Calibri" w:eastAsia="Calibri" w:hAnsi="Calibri" w:cs="Arial"/>
          <w:lang w:val="ro-RO"/>
        </w:rPr>
      </w:pPr>
    </w:p>
    <w:p w:rsidR="00BD4A3E" w:rsidRPr="00BD4A3E" w:rsidRDefault="00BD4A3E" w:rsidP="00BD4A3E">
      <w:pPr>
        <w:autoSpaceDE w:val="0"/>
        <w:autoSpaceDN w:val="0"/>
        <w:adjustRightInd w:val="0"/>
        <w:jc w:val="both"/>
        <w:rPr>
          <w:rFonts w:ascii="Calibri" w:eastAsia="Calibri" w:hAnsi="Calibri" w:cs="Arial"/>
        </w:rPr>
      </w:pPr>
      <w:r>
        <w:rPr>
          <w:rFonts w:ascii="Calibri" w:hAnsi="Calibri"/>
        </w:rPr>
        <w:t xml:space="preserve">From the financial allocation of </w:t>
      </w:r>
      <w:r>
        <w:rPr>
          <w:rFonts w:ascii="Calibri" w:hAnsi="Calibri"/>
          <w:b/>
        </w:rPr>
        <w:t>3.59 billion EUR</w:t>
      </w:r>
      <w:r>
        <w:rPr>
          <w:rFonts w:ascii="Calibri" w:hAnsi="Calibri"/>
        </w:rPr>
        <w:t xml:space="preserve">, APIA requested through the annual declarations for financial years 2016, 2017, respectively the expenditure declarations corresponding to the period October 16, 2017 - December 31, 2017, and January 1, 2018 - June 30, 2018, the amount of </w:t>
      </w:r>
      <w:r>
        <w:rPr>
          <w:rFonts w:ascii="Calibri" w:hAnsi="Calibri"/>
          <w:b/>
        </w:rPr>
        <w:t>1.341 billion EUR.</w:t>
      </w:r>
    </w:p>
    <w:p w:rsidR="00BD4A3E" w:rsidRPr="00BD4A3E" w:rsidRDefault="00BD4A3E" w:rsidP="00BD4A3E">
      <w:pPr>
        <w:autoSpaceDE w:val="0"/>
        <w:autoSpaceDN w:val="0"/>
        <w:adjustRightInd w:val="0"/>
        <w:jc w:val="both"/>
        <w:rPr>
          <w:rFonts w:ascii="Calibri" w:eastAsia="Calibri" w:hAnsi="Calibri" w:cs="Arial"/>
          <w:lang w:val="ro-RO"/>
        </w:rPr>
      </w:pPr>
    </w:p>
    <w:tbl>
      <w:tblPr>
        <w:tblW w:w="5030" w:type="pct"/>
        <w:tblLook w:val="04A0" w:firstRow="1" w:lastRow="0" w:firstColumn="1" w:lastColumn="0" w:noHBand="0" w:noVBand="1"/>
      </w:tblPr>
      <w:tblGrid>
        <w:gridCol w:w="2916"/>
        <w:gridCol w:w="3002"/>
        <w:gridCol w:w="4195"/>
      </w:tblGrid>
      <w:tr w:rsidR="00BD4A3E" w:rsidRPr="00BD4A3E" w:rsidTr="00BD4A3E">
        <w:trPr>
          <w:trHeight w:val="526"/>
        </w:trPr>
        <w:tc>
          <w:tcPr>
            <w:tcW w:w="1442" w:type="pct"/>
            <w:tcBorders>
              <w:top w:val="single" w:sz="8" w:space="0" w:color="auto"/>
              <w:left w:val="single" w:sz="8" w:space="0" w:color="auto"/>
              <w:bottom w:val="single" w:sz="4" w:space="0" w:color="auto"/>
              <w:right w:val="single" w:sz="4" w:space="0" w:color="auto"/>
            </w:tcBorders>
            <w:shd w:val="clear" w:color="000000" w:fill="BDD7EE"/>
            <w:noWrap/>
            <w:vAlign w:val="center"/>
            <w:hideMark/>
          </w:tcPr>
          <w:p w:rsidR="00BD4A3E" w:rsidRPr="00BD4A3E" w:rsidRDefault="00BD4A3E" w:rsidP="00BD4A3E">
            <w:pPr>
              <w:jc w:val="center"/>
              <w:rPr>
                <w:rFonts w:ascii="Calibri" w:eastAsia="Calibri" w:hAnsi="Calibri" w:cs="Arial"/>
              </w:rPr>
            </w:pPr>
            <w:r>
              <w:rPr>
                <w:rFonts w:ascii="Calibri" w:hAnsi="Calibri"/>
              </w:rPr>
              <w:t>Financial year</w:t>
            </w:r>
          </w:p>
        </w:tc>
        <w:tc>
          <w:tcPr>
            <w:tcW w:w="1484" w:type="pct"/>
            <w:tcBorders>
              <w:top w:val="single" w:sz="8" w:space="0" w:color="auto"/>
              <w:left w:val="nil"/>
              <w:bottom w:val="single" w:sz="4" w:space="0" w:color="auto"/>
              <w:right w:val="single" w:sz="4" w:space="0" w:color="auto"/>
            </w:tcBorders>
            <w:shd w:val="clear" w:color="000000" w:fill="BDD7EE"/>
            <w:vAlign w:val="bottom"/>
            <w:hideMark/>
          </w:tcPr>
          <w:p w:rsidR="00BD4A3E" w:rsidRPr="00BD4A3E" w:rsidRDefault="00BD4A3E" w:rsidP="00BD4A3E">
            <w:pPr>
              <w:jc w:val="center"/>
              <w:rPr>
                <w:rFonts w:ascii="Calibri" w:eastAsia="Calibri" w:hAnsi="Calibri" w:cs="Arial"/>
              </w:rPr>
            </w:pPr>
            <w:r>
              <w:rPr>
                <w:rFonts w:ascii="Calibri" w:hAnsi="Calibri"/>
              </w:rPr>
              <w:t xml:space="preserve">PNDR 2007-2013 </w:t>
            </w:r>
            <w:r>
              <w:rPr>
                <w:rFonts w:ascii="Calibri" w:hAnsi="Calibri"/>
              </w:rPr>
              <w:br/>
              <w:t>(EUR)</w:t>
            </w:r>
          </w:p>
        </w:tc>
        <w:tc>
          <w:tcPr>
            <w:tcW w:w="2074" w:type="pct"/>
            <w:tcBorders>
              <w:top w:val="single" w:sz="8" w:space="0" w:color="auto"/>
              <w:left w:val="nil"/>
              <w:bottom w:val="single" w:sz="4" w:space="0" w:color="auto"/>
              <w:right w:val="single" w:sz="8" w:space="0" w:color="auto"/>
            </w:tcBorders>
            <w:shd w:val="clear" w:color="000000" w:fill="BDD7EE"/>
            <w:vAlign w:val="bottom"/>
            <w:hideMark/>
          </w:tcPr>
          <w:p w:rsidR="00BD4A3E" w:rsidRPr="00BD4A3E" w:rsidRDefault="00BD4A3E" w:rsidP="00BD4A3E">
            <w:pPr>
              <w:jc w:val="center"/>
              <w:rPr>
                <w:rFonts w:ascii="Calibri" w:eastAsia="Calibri" w:hAnsi="Calibri" w:cs="Arial"/>
              </w:rPr>
            </w:pPr>
            <w:r>
              <w:rPr>
                <w:rFonts w:ascii="Calibri" w:hAnsi="Calibri"/>
              </w:rPr>
              <w:t xml:space="preserve"> PNDR 2014-2020 </w:t>
            </w:r>
            <w:r>
              <w:rPr>
                <w:rFonts w:ascii="Calibri" w:hAnsi="Calibri"/>
              </w:rPr>
              <w:br/>
              <w:t xml:space="preserve">(EUR) </w:t>
            </w:r>
          </w:p>
        </w:tc>
      </w:tr>
      <w:tr w:rsidR="00BD4A3E" w:rsidRPr="00BD4A3E" w:rsidTr="00BD4A3E">
        <w:trPr>
          <w:trHeight w:val="263"/>
        </w:trPr>
        <w:tc>
          <w:tcPr>
            <w:tcW w:w="1442" w:type="pct"/>
            <w:tcBorders>
              <w:top w:val="nil"/>
              <w:left w:val="single" w:sz="8" w:space="0" w:color="auto"/>
              <w:bottom w:val="single" w:sz="4" w:space="0" w:color="auto"/>
              <w:right w:val="single" w:sz="4" w:space="0" w:color="auto"/>
            </w:tcBorders>
            <w:shd w:val="clear" w:color="auto" w:fill="auto"/>
            <w:noWrap/>
            <w:vAlign w:val="bottom"/>
            <w:hideMark/>
          </w:tcPr>
          <w:p w:rsidR="00BD4A3E" w:rsidRPr="00BD4A3E" w:rsidRDefault="00BD4A3E" w:rsidP="00BD4A3E">
            <w:pPr>
              <w:jc w:val="center"/>
              <w:rPr>
                <w:rFonts w:ascii="Calibri" w:eastAsia="Calibri" w:hAnsi="Calibri" w:cs="Arial"/>
              </w:rPr>
            </w:pPr>
            <w:r>
              <w:rPr>
                <w:rFonts w:ascii="Calibri" w:hAnsi="Calibri"/>
              </w:rPr>
              <w:t>2016</w:t>
            </w:r>
          </w:p>
        </w:tc>
        <w:tc>
          <w:tcPr>
            <w:tcW w:w="1484" w:type="pct"/>
            <w:tcBorders>
              <w:top w:val="nil"/>
              <w:left w:val="nil"/>
              <w:bottom w:val="single" w:sz="4" w:space="0" w:color="auto"/>
              <w:right w:val="single" w:sz="4" w:space="0" w:color="auto"/>
            </w:tcBorders>
            <w:shd w:val="clear" w:color="auto" w:fill="auto"/>
            <w:noWrap/>
            <w:vAlign w:val="center"/>
            <w:hideMark/>
          </w:tcPr>
          <w:p w:rsidR="00BD4A3E" w:rsidRPr="00BD4A3E" w:rsidRDefault="00BD4A3E" w:rsidP="00BD4A3E">
            <w:pPr>
              <w:jc w:val="right"/>
              <w:rPr>
                <w:rFonts w:ascii="Calibri" w:eastAsia="Calibri" w:hAnsi="Calibri" w:cs="Arial"/>
                <w:sz w:val="22"/>
                <w:szCs w:val="22"/>
              </w:rPr>
            </w:pPr>
            <w:r>
              <w:rPr>
                <w:rFonts w:ascii="Calibri" w:hAnsi="Calibri"/>
                <w:sz w:val="22"/>
                <w:szCs w:val="22"/>
              </w:rPr>
              <w:t>97,588,061.91</w:t>
            </w:r>
          </w:p>
        </w:tc>
        <w:tc>
          <w:tcPr>
            <w:tcW w:w="2074" w:type="pct"/>
            <w:tcBorders>
              <w:top w:val="nil"/>
              <w:left w:val="nil"/>
              <w:bottom w:val="single" w:sz="4" w:space="0" w:color="auto"/>
              <w:right w:val="single" w:sz="8" w:space="0" w:color="auto"/>
            </w:tcBorders>
            <w:shd w:val="clear" w:color="auto" w:fill="auto"/>
            <w:noWrap/>
            <w:vAlign w:val="bottom"/>
            <w:hideMark/>
          </w:tcPr>
          <w:p w:rsidR="00BD4A3E" w:rsidRPr="00BD4A3E" w:rsidRDefault="00BD4A3E" w:rsidP="00BD4A3E">
            <w:pPr>
              <w:jc w:val="right"/>
              <w:rPr>
                <w:rFonts w:ascii="Calibri" w:eastAsia="Calibri" w:hAnsi="Calibri" w:cs="Arial"/>
                <w:sz w:val="22"/>
                <w:szCs w:val="22"/>
              </w:rPr>
            </w:pPr>
            <w:r>
              <w:rPr>
                <w:rFonts w:ascii="Calibri" w:hAnsi="Calibri"/>
                <w:sz w:val="22"/>
                <w:szCs w:val="22"/>
              </w:rPr>
              <w:t>338,787,633.67</w:t>
            </w:r>
          </w:p>
        </w:tc>
      </w:tr>
      <w:tr w:rsidR="00BD4A3E" w:rsidRPr="00BD4A3E" w:rsidTr="00BD4A3E">
        <w:trPr>
          <w:trHeight w:val="263"/>
        </w:trPr>
        <w:tc>
          <w:tcPr>
            <w:tcW w:w="1442" w:type="pct"/>
            <w:tcBorders>
              <w:top w:val="nil"/>
              <w:left w:val="single" w:sz="8" w:space="0" w:color="auto"/>
              <w:bottom w:val="single" w:sz="4" w:space="0" w:color="auto"/>
              <w:right w:val="single" w:sz="4" w:space="0" w:color="auto"/>
            </w:tcBorders>
            <w:shd w:val="clear" w:color="auto" w:fill="auto"/>
            <w:noWrap/>
            <w:vAlign w:val="bottom"/>
            <w:hideMark/>
          </w:tcPr>
          <w:p w:rsidR="00BD4A3E" w:rsidRPr="00BD4A3E" w:rsidRDefault="00BD4A3E" w:rsidP="00BD4A3E">
            <w:pPr>
              <w:jc w:val="center"/>
              <w:rPr>
                <w:rFonts w:ascii="Calibri" w:eastAsia="Calibri" w:hAnsi="Calibri" w:cs="Arial"/>
              </w:rPr>
            </w:pPr>
            <w:r>
              <w:rPr>
                <w:rFonts w:ascii="Calibri" w:hAnsi="Calibri"/>
              </w:rPr>
              <w:t>2017</w:t>
            </w:r>
          </w:p>
        </w:tc>
        <w:tc>
          <w:tcPr>
            <w:tcW w:w="1484" w:type="pct"/>
            <w:tcBorders>
              <w:top w:val="nil"/>
              <w:left w:val="nil"/>
              <w:bottom w:val="single" w:sz="4" w:space="0" w:color="auto"/>
              <w:right w:val="single" w:sz="4" w:space="0" w:color="auto"/>
            </w:tcBorders>
            <w:shd w:val="clear" w:color="000000" w:fill="BDD7EE"/>
            <w:noWrap/>
            <w:vAlign w:val="bottom"/>
            <w:hideMark/>
          </w:tcPr>
          <w:p w:rsidR="00BD4A3E" w:rsidRPr="00BD4A3E" w:rsidRDefault="00BD4A3E" w:rsidP="00BD4A3E">
            <w:pPr>
              <w:jc w:val="right"/>
              <w:rPr>
                <w:rFonts w:ascii="Calibri" w:eastAsia="Calibri" w:hAnsi="Calibri" w:cs="Arial"/>
                <w:sz w:val="22"/>
                <w:szCs w:val="22"/>
              </w:rPr>
            </w:pPr>
            <w:r>
              <w:rPr>
                <w:rFonts w:ascii="Calibri" w:hAnsi="Calibri"/>
                <w:sz w:val="22"/>
                <w:szCs w:val="22"/>
              </w:rPr>
              <w:t> </w:t>
            </w:r>
          </w:p>
        </w:tc>
        <w:tc>
          <w:tcPr>
            <w:tcW w:w="2074" w:type="pct"/>
            <w:tcBorders>
              <w:top w:val="nil"/>
              <w:left w:val="nil"/>
              <w:bottom w:val="single" w:sz="4" w:space="0" w:color="auto"/>
              <w:right w:val="single" w:sz="8" w:space="0" w:color="auto"/>
            </w:tcBorders>
            <w:shd w:val="clear" w:color="auto" w:fill="auto"/>
            <w:noWrap/>
            <w:vAlign w:val="bottom"/>
            <w:hideMark/>
          </w:tcPr>
          <w:p w:rsidR="00BD4A3E" w:rsidRPr="00BD4A3E" w:rsidRDefault="00BD4A3E" w:rsidP="00BD4A3E">
            <w:pPr>
              <w:jc w:val="right"/>
              <w:rPr>
                <w:rFonts w:ascii="Calibri" w:eastAsia="Calibri" w:hAnsi="Calibri" w:cs="Arial"/>
                <w:sz w:val="22"/>
                <w:szCs w:val="22"/>
              </w:rPr>
            </w:pPr>
            <w:r>
              <w:rPr>
                <w:rFonts w:ascii="Calibri" w:hAnsi="Calibri"/>
                <w:sz w:val="22"/>
                <w:szCs w:val="22"/>
              </w:rPr>
              <w:t>513,783,019.10</w:t>
            </w:r>
          </w:p>
        </w:tc>
      </w:tr>
      <w:tr w:rsidR="00BD4A3E" w:rsidRPr="00BD4A3E" w:rsidTr="00BD4A3E">
        <w:trPr>
          <w:trHeight w:val="278"/>
        </w:trPr>
        <w:tc>
          <w:tcPr>
            <w:tcW w:w="1442" w:type="pct"/>
            <w:tcBorders>
              <w:top w:val="nil"/>
              <w:left w:val="single" w:sz="8" w:space="0" w:color="auto"/>
              <w:bottom w:val="nil"/>
              <w:right w:val="single" w:sz="4" w:space="0" w:color="auto"/>
            </w:tcBorders>
            <w:shd w:val="clear" w:color="auto" w:fill="auto"/>
            <w:noWrap/>
            <w:vAlign w:val="bottom"/>
            <w:hideMark/>
          </w:tcPr>
          <w:p w:rsidR="00BD4A3E" w:rsidRPr="00BD4A3E" w:rsidRDefault="00BD4A3E" w:rsidP="00BD4A3E">
            <w:pPr>
              <w:jc w:val="center"/>
              <w:rPr>
                <w:rFonts w:ascii="Calibri" w:eastAsia="Calibri" w:hAnsi="Calibri" w:cs="Arial"/>
              </w:rPr>
            </w:pPr>
            <w:r>
              <w:rPr>
                <w:rFonts w:ascii="Calibri" w:hAnsi="Calibri"/>
              </w:rPr>
              <w:t>2018</w:t>
            </w:r>
          </w:p>
        </w:tc>
        <w:tc>
          <w:tcPr>
            <w:tcW w:w="1484" w:type="pct"/>
            <w:tcBorders>
              <w:top w:val="nil"/>
              <w:left w:val="nil"/>
              <w:bottom w:val="nil"/>
              <w:right w:val="single" w:sz="4" w:space="0" w:color="auto"/>
            </w:tcBorders>
            <w:shd w:val="clear" w:color="000000" w:fill="BDD7EE"/>
            <w:noWrap/>
            <w:vAlign w:val="bottom"/>
            <w:hideMark/>
          </w:tcPr>
          <w:p w:rsidR="00BD4A3E" w:rsidRPr="00BD4A3E" w:rsidRDefault="00BD4A3E" w:rsidP="00BD4A3E">
            <w:pPr>
              <w:jc w:val="right"/>
              <w:rPr>
                <w:rFonts w:ascii="Calibri" w:eastAsia="Calibri" w:hAnsi="Calibri" w:cs="Arial"/>
                <w:sz w:val="22"/>
                <w:szCs w:val="22"/>
              </w:rPr>
            </w:pPr>
            <w:r>
              <w:rPr>
                <w:rFonts w:ascii="Calibri" w:hAnsi="Calibri"/>
                <w:sz w:val="22"/>
                <w:szCs w:val="22"/>
              </w:rPr>
              <w:t> </w:t>
            </w:r>
          </w:p>
        </w:tc>
        <w:tc>
          <w:tcPr>
            <w:tcW w:w="2074" w:type="pct"/>
            <w:tcBorders>
              <w:top w:val="nil"/>
              <w:left w:val="nil"/>
              <w:bottom w:val="nil"/>
              <w:right w:val="single" w:sz="8" w:space="0" w:color="auto"/>
            </w:tcBorders>
            <w:shd w:val="clear" w:color="auto" w:fill="auto"/>
            <w:noWrap/>
            <w:vAlign w:val="bottom"/>
            <w:hideMark/>
          </w:tcPr>
          <w:p w:rsidR="00BD4A3E" w:rsidRPr="00BD4A3E" w:rsidRDefault="00BD4A3E" w:rsidP="00BD4A3E">
            <w:pPr>
              <w:jc w:val="right"/>
              <w:rPr>
                <w:rFonts w:ascii="Calibri" w:eastAsia="Calibri" w:hAnsi="Calibri" w:cs="Arial"/>
                <w:sz w:val="22"/>
                <w:szCs w:val="22"/>
              </w:rPr>
            </w:pPr>
            <w:r>
              <w:rPr>
                <w:rFonts w:ascii="Calibri" w:hAnsi="Calibri"/>
                <w:sz w:val="22"/>
                <w:szCs w:val="22"/>
              </w:rPr>
              <w:t>488,959,731.10</w:t>
            </w:r>
          </w:p>
        </w:tc>
      </w:tr>
      <w:tr w:rsidR="00BD4A3E" w:rsidRPr="00BD4A3E" w:rsidTr="00BD4A3E">
        <w:trPr>
          <w:trHeight w:val="278"/>
        </w:trPr>
        <w:tc>
          <w:tcPr>
            <w:tcW w:w="1442"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rsidR="00BD4A3E" w:rsidRPr="00BD4A3E" w:rsidRDefault="00BD4A3E" w:rsidP="00BD4A3E">
            <w:pPr>
              <w:jc w:val="center"/>
              <w:rPr>
                <w:rFonts w:ascii="Calibri" w:eastAsia="Calibri" w:hAnsi="Calibri" w:cs="Arial"/>
              </w:rPr>
            </w:pPr>
            <w:r>
              <w:rPr>
                <w:rFonts w:ascii="Calibri" w:hAnsi="Calibri"/>
              </w:rPr>
              <w:t>TOTAL</w:t>
            </w:r>
          </w:p>
        </w:tc>
        <w:tc>
          <w:tcPr>
            <w:tcW w:w="1484" w:type="pct"/>
            <w:tcBorders>
              <w:top w:val="single" w:sz="8" w:space="0" w:color="auto"/>
              <w:left w:val="nil"/>
              <w:bottom w:val="single" w:sz="8" w:space="0" w:color="auto"/>
              <w:right w:val="single" w:sz="4" w:space="0" w:color="auto"/>
            </w:tcBorders>
            <w:shd w:val="clear" w:color="auto" w:fill="auto"/>
            <w:noWrap/>
            <w:vAlign w:val="bottom"/>
            <w:hideMark/>
          </w:tcPr>
          <w:p w:rsidR="00BD4A3E" w:rsidRPr="00BD4A3E" w:rsidRDefault="00BD4A3E" w:rsidP="00BD4A3E">
            <w:pPr>
              <w:jc w:val="right"/>
              <w:rPr>
                <w:rFonts w:ascii="Calibri" w:eastAsia="Calibri" w:hAnsi="Calibri" w:cs="Arial"/>
                <w:sz w:val="22"/>
                <w:szCs w:val="22"/>
              </w:rPr>
            </w:pPr>
            <w:r>
              <w:rPr>
                <w:rFonts w:ascii="Calibri" w:hAnsi="Calibri"/>
                <w:sz w:val="22"/>
                <w:szCs w:val="22"/>
              </w:rPr>
              <w:t>97,588,061.91</w:t>
            </w:r>
          </w:p>
        </w:tc>
        <w:tc>
          <w:tcPr>
            <w:tcW w:w="2074" w:type="pct"/>
            <w:tcBorders>
              <w:top w:val="single" w:sz="8" w:space="0" w:color="auto"/>
              <w:left w:val="nil"/>
              <w:bottom w:val="single" w:sz="8" w:space="0" w:color="auto"/>
              <w:right w:val="single" w:sz="8" w:space="0" w:color="auto"/>
            </w:tcBorders>
            <w:shd w:val="clear" w:color="auto" w:fill="auto"/>
            <w:noWrap/>
            <w:vAlign w:val="bottom"/>
            <w:hideMark/>
          </w:tcPr>
          <w:p w:rsidR="00BD4A3E" w:rsidRPr="00BD4A3E" w:rsidRDefault="00BD4A3E" w:rsidP="00BD4A3E">
            <w:pPr>
              <w:jc w:val="right"/>
              <w:rPr>
                <w:rFonts w:ascii="Calibri" w:eastAsia="Calibri" w:hAnsi="Calibri" w:cs="Arial"/>
                <w:sz w:val="22"/>
                <w:szCs w:val="22"/>
              </w:rPr>
            </w:pPr>
            <w:r>
              <w:rPr>
                <w:rFonts w:ascii="Calibri" w:hAnsi="Calibri"/>
                <w:sz w:val="22"/>
                <w:szCs w:val="22"/>
              </w:rPr>
              <w:t>1,341,530,383.87</w:t>
            </w:r>
          </w:p>
        </w:tc>
      </w:tr>
    </w:tbl>
    <w:p w:rsidR="00BD4A3E" w:rsidRPr="00BD4A3E" w:rsidRDefault="00BD4A3E" w:rsidP="00BD4A3E">
      <w:pPr>
        <w:autoSpaceDE w:val="0"/>
        <w:autoSpaceDN w:val="0"/>
        <w:adjustRightInd w:val="0"/>
        <w:jc w:val="both"/>
        <w:rPr>
          <w:rFonts w:ascii="Calibri" w:eastAsia="Calibri" w:hAnsi="Calibri" w:cs="Arial"/>
          <w:lang w:val="ro-RO"/>
        </w:rPr>
      </w:pPr>
    </w:p>
    <w:p w:rsidR="00BD4A3E" w:rsidRPr="00BD4A3E" w:rsidRDefault="00BD4A3E" w:rsidP="00BD4A3E">
      <w:pPr>
        <w:spacing w:line="276" w:lineRule="auto"/>
        <w:jc w:val="both"/>
        <w:rPr>
          <w:rFonts w:ascii="Calibri" w:eastAsia="Calibri" w:hAnsi="Calibri" w:cs="Arial"/>
        </w:rPr>
      </w:pPr>
      <w:r>
        <w:rPr>
          <w:rFonts w:ascii="Calibri" w:hAnsi="Calibri"/>
        </w:rPr>
        <w:t>The situation broken down on measures is as follows:</w:t>
      </w:r>
    </w:p>
    <w:tbl>
      <w:tblPr>
        <w:tblpPr w:leftFromText="180" w:rightFromText="180" w:vertAnchor="text" w:horzAnchor="margin" w:tblpY="80"/>
        <w:tblW w:w="5119" w:type="pct"/>
        <w:tblLayout w:type="fixed"/>
        <w:tblLook w:val="04A0" w:firstRow="1" w:lastRow="0" w:firstColumn="1" w:lastColumn="0" w:noHBand="0" w:noVBand="1"/>
      </w:tblPr>
      <w:tblGrid>
        <w:gridCol w:w="1161"/>
        <w:gridCol w:w="2025"/>
        <w:gridCol w:w="1758"/>
        <w:gridCol w:w="1669"/>
        <w:gridCol w:w="1756"/>
        <w:gridCol w:w="1923"/>
      </w:tblGrid>
      <w:tr w:rsidR="00BD4A3E" w:rsidRPr="00BD4A3E" w:rsidTr="00BD4A3E">
        <w:trPr>
          <w:trHeight w:val="2212"/>
        </w:trPr>
        <w:tc>
          <w:tcPr>
            <w:tcW w:w="564" w:type="pct"/>
            <w:tcBorders>
              <w:top w:val="single" w:sz="8" w:space="0" w:color="auto"/>
              <w:left w:val="single" w:sz="8" w:space="0" w:color="auto"/>
              <w:bottom w:val="single" w:sz="8" w:space="0" w:color="auto"/>
              <w:right w:val="single" w:sz="4" w:space="0" w:color="auto"/>
            </w:tcBorders>
            <w:shd w:val="clear" w:color="auto" w:fill="BDD6EE"/>
            <w:noWrap/>
            <w:vAlign w:val="center"/>
            <w:hideMark/>
          </w:tcPr>
          <w:p w:rsidR="00BD4A3E" w:rsidRPr="00BD4A3E" w:rsidRDefault="00BD4A3E" w:rsidP="00BD4A3E">
            <w:pPr>
              <w:jc w:val="both"/>
              <w:rPr>
                <w:rFonts w:ascii="Calibri" w:eastAsia="Calibri" w:hAnsi="Calibri" w:cs="Arial"/>
              </w:rPr>
            </w:pPr>
            <w:r>
              <w:rPr>
                <w:rFonts w:ascii="Calibri" w:hAnsi="Calibri"/>
              </w:rPr>
              <w:t>Financial year</w:t>
            </w:r>
          </w:p>
        </w:tc>
        <w:tc>
          <w:tcPr>
            <w:tcW w:w="984" w:type="pct"/>
            <w:tcBorders>
              <w:top w:val="single" w:sz="8" w:space="0" w:color="auto"/>
              <w:left w:val="nil"/>
              <w:bottom w:val="single" w:sz="8" w:space="0" w:color="auto"/>
              <w:right w:val="single" w:sz="4" w:space="0" w:color="auto"/>
            </w:tcBorders>
            <w:shd w:val="clear" w:color="auto" w:fill="BDD6EE"/>
            <w:noWrap/>
            <w:vAlign w:val="center"/>
            <w:hideMark/>
          </w:tcPr>
          <w:p w:rsidR="00BD4A3E" w:rsidRPr="00BD4A3E" w:rsidRDefault="00BD4A3E" w:rsidP="00BD4A3E">
            <w:pPr>
              <w:jc w:val="both"/>
              <w:rPr>
                <w:rFonts w:ascii="Calibri" w:eastAsia="Calibri" w:hAnsi="Calibri" w:cs="Arial"/>
              </w:rPr>
            </w:pPr>
            <w:r>
              <w:rPr>
                <w:rFonts w:ascii="Calibri" w:hAnsi="Calibri"/>
              </w:rPr>
              <w:t>PNDR for 2014-2020</w:t>
            </w:r>
          </w:p>
          <w:p w:rsidR="00BD4A3E" w:rsidRPr="00BD4A3E" w:rsidRDefault="00BD4A3E" w:rsidP="00BD4A3E">
            <w:pPr>
              <w:jc w:val="both"/>
              <w:rPr>
                <w:rFonts w:ascii="Calibri" w:eastAsia="Calibri" w:hAnsi="Calibri" w:cs="Arial"/>
              </w:rPr>
            </w:pPr>
            <w:r>
              <w:rPr>
                <w:rFonts w:ascii="Calibri" w:hAnsi="Calibri"/>
              </w:rPr>
              <w:t>(EUR)</w:t>
            </w:r>
          </w:p>
        </w:tc>
        <w:tc>
          <w:tcPr>
            <w:tcW w:w="854" w:type="pct"/>
            <w:tcBorders>
              <w:top w:val="single" w:sz="8" w:space="0" w:color="auto"/>
              <w:left w:val="nil"/>
              <w:bottom w:val="single" w:sz="8" w:space="0" w:color="auto"/>
              <w:right w:val="single" w:sz="4" w:space="0" w:color="auto"/>
            </w:tcBorders>
            <w:shd w:val="clear" w:color="auto" w:fill="BDD6EE"/>
            <w:vAlign w:val="center"/>
            <w:hideMark/>
          </w:tcPr>
          <w:p w:rsidR="00BD4A3E" w:rsidRPr="00BD4A3E" w:rsidRDefault="00BD4A3E" w:rsidP="00BD4A3E">
            <w:pPr>
              <w:jc w:val="both"/>
              <w:rPr>
                <w:rFonts w:ascii="Calibri" w:eastAsia="Calibri" w:hAnsi="Calibri" w:cs="Arial"/>
              </w:rPr>
            </w:pPr>
            <w:r>
              <w:rPr>
                <w:rFonts w:ascii="Calibri" w:hAnsi="Calibri"/>
              </w:rPr>
              <w:t>M10 - Agro-environment and climate (EUR)</w:t>
            </w:r>
          </w:p>
        </w:tc>
        <w:tc>
          <w:tcPr>
            <w:tcW w:w="811" w:type="pct"/>
            <w:tcBorders>
              <w:top w:val="single" w:sz="8" w:space="0" w:color="auto"/>
              <w:left w:val="nil"/>
              <w:bottom w:val="single" w:sz="8" w:space="0" w:color="auto"/>
              <w:right w:val="single" w:sz="4" w:space="0" w:color="auto"/>
            </w:tcBorders>
            <w:shd w:val="clear" w:color="auto" w:fill="BDD6EE"/>
            <w:vAlign w:val="center"/>
            <w:hideMark/>
          </w:tcPr>
          <w:p w:rsidR="00BD4A3E" w:rsidRPr="00BD4A3E" w:rsidRDefault="00BD4A3E" w:rsidP="00BD4A3E">
            <w:pPr>
              <w:jc w:val="both"/>
              <w:rPr>
                <w:rFonts w:ascii="Calibri" w:eastAsia="Calibri" w:hAnsi="Calibri" w:cs="Arial"/>
              </w:rPr>
            </w:pPr>
            <w:r>
              <w:rPr>
                <w:rFonts w:ascii="Calibri" w:hAnsi="Calibri"/>
              </w:rPr>
              <w:t>M11 - Ecologic agriculture (EUR)</w:t>
            </w:r>
          </w:p>
        </w:tc>
        <w:tc>
          <w:tcPr>
            <w:tcW w:w="853" w:type="pct"/>
            <w:tcBorders>
              <w:top w:val="single" w:sz="8" w:space="0" w:color="auto"/>
              <w:left w:val="nil"/>
              <w:bottom w:val="single" w:sz="8" w:space="0" w:color="auto"/>
              <w:right w:val="single" w:sz="4" w:space="0" w:color="auto"/>
            </w:tcBorders>
            <w:shd w:val="clear" w:color="auto" w:fill="BDD6EE"/>
            <w:vAlign w:val="center"/>
            <w:hideMark/>
          </w:tcPr>
          <w:p w:rsidR="00BD4A3E" w:rsidRPr="00BD4A3E" w:rsidRDefault="00BD4A3E" w:rsidP="00BD4A3E">
            <w:pPr>
              <w:jc w:val="both"/>
              <w:rPr>
                <w:rFonts w:ascii="Calibri" w:eastAsia="Calibri" w:hAnsi="Calibri" w:cs="Arial"/>
              </w:rPr>
            </w:pPr>
            <w:r>
              <w:rPr>
                <w:rFonts w:ascii="Calibri" w:hAnsi="Calibri"/>
              </w:rPr>
              <w:t>M13 - Payments for areas facing natural restrictions or other specific restrictions (EUR)</w:t>
            </w:r>
          </w:p>
        </w:tc>
        <w:tc>
          <w:tcPr>
            <w:tcW w:w="935" w:type="pct"/>
            <w:tcBorders>
              <w:top w:val="single" w:sz="8" w:space="0" w:color="auto"/>
              <w:left w:val="nil"/>
              <w:bottom w:val="single" w:sz="8" w:space="0" w:color="auto"/>
              <w:right w:val="single" w:sz="8" w:space="0" w:color="auto"/>
            </w:tcBorders>
            <w:shd w:val="clear" w:color="auto" w:fill="BDD6EE"/>
            <w:vAlign w:val="center"/>
            <w:hideMark/>
          </w:tcPr>
          <w:p w:rsidR="00BD4A3E" w:rsidRPr="00BD4A3E" w:rsidRDefault="00BD4A3E" w:rsidP="00BD4A3E">
            <w:pPr>
              <w:jc w:val="both"/>
              <w:rPr>
                <w:rFonts w:ascii="Calibri" w:eastAsia="Calibri" w:hAnsi="Calibri" w:cs="Arial"/>
              </w:rPr>
            </w:pPr>
            <w:r>
              <w:rPr>
                <w:rFonts w:ascii="Calibri" w:hAnsi="Calibri"/>
              </w:rPr>
              <w:t>M14 - Animal welfare (EUR)</w:t>
            </w:r>
          </w:p>
        </w:tc>
      </w:tr>
      <w:tr w:rsidR="00BD4A3E" w:rsidRPr="00BD4A3E" w:rsidTr="00BD4A3E">
        <w:trPr>
          <w:trHeight w:val="325"/>
        </w:trPr>
        <w:tc>
          <w:tcPr>
            <w:tcW w:w="564" w:type="pct"/>
            <w:tcBorders>
              <w:top w:val="nil"/>
              <w:left w:val="single" w:sz="8" w:space="0" w:color="auto"/>
              <w:bottom w:val="single" w:sz="4" w:space="0" w:color="auto"/>
              <w:right w:val="single" w:sz="4" w:space="0" w:color="auto"/>
            </w:tcBorders>
            <w:shd w:val="clear" w:color="auto" w:fill="auto"/>
            <w:noWrap/>
            <w:vAlign w:val="center"/>
            <w:hideMark/>
          </w:tcPr>
          <w:p w:rsidR="00BD4A3E" w:rsidRPr="00BD4A3E" w:rsidRDefault="00BD4A3E" w:rsidP="00BD4A3E">
            <w:pPr>
              <w:jc w:val="both"/>
              <w:rPr>
                <w:rFonts w:ascii="Calibri" w:eastAsia="Calibri" w:hAnsi="Calibri" w:cs="Arial"/>
              </w:rPr>
            </w:pPr>
            <w:r>
              <w:rPr>
                <w:rFonts w:ascii="Calibri" w:hAnsi="Calibri"/>
              </w:rPr>
              <w:t>2016</w:t>
            </w:r>
          </w:p>
        </w:tc>
        <w:tc>
          <w:tcPr>
            <w:tcW w:w="984" w:type="pct"/>
            <w:tcBorders>
              <w:top w:val="nil"/>
              <w:left w:val="nil"/>
              <w:bottom w:val="single" w:sz="4" w:space="0" w:color="auto"/>
              <w:right w:val="single" w:sz="4" w:space="0" w:color="auto"/>
            </w:tcBorders>
            <w:shd w:val="clear" w:color="auto" w:fill="auto"/>
            <w:noWrap/>
            <w:vAlign w:val="center"/>
            <w:hideMark/>
          </w:tcPr>
          <w:p w:rsidR="00BD4A3E" w:rsidRPr="00BD4A3E" w:rsidRDefault="00BD4A3E" w:rsidP="00BD4A3E">
            <w:pPr>
              <w:jc w:val="both"/>
              <w:rPr>
                <w:rFonts w:asciiTheme="minorHAnsi" w:hAnsiTheme="minorHAnsi"/>
                <w:sz w:val="22"/>
                <w:szCs w:val="22"/>
              </w:rPr>
            </w:pPr>
            <w:r>
              <w:rPr>
                <w:rFonts w:asciiTheme="minorHAnsi" w:hAnsiTheme="minorHAnsi"/>
                <w:sz w:val="22"/>
                <w:szCs w:val="22"/>
              </w:rPr>
              <w:t>338,787,633.67</w:t>
            </w:r>
          </w:p>
        </w:tc>
        <w:tc>
          <w:tcPr>
            <w:tcW w:w="854" w:type="pct"/>
            <w:tcBorders>
              <w:top w:val="nil"/>
              <w:left w:val="nil"/>
              <w:bottom w:val="single" w:sz="4" w:space="0" w:color="auto"/>
              <w:right w:val="single" w:sz="4" w:space="0" w:color="auto"/>
            </w:tcBorders>
            <w:shd w:val="clear" w:color="auto" w:fill="auto"/>
            <w:noWrap/>
            <w:vAlign w:val="center"/>
            <w:hideMark/>
          </w:tcPr>
          <w:p w:rsidR="00BD4A3E" w:rsidRPr="00BD4A3E" w:rsidRDefault="00BD4A3E" w:rsidP="00BD4A3E">
            <w:pPr>
              <w:jc w:val="both"/>
              <w:rPr>
                <w:rFonts w:asciiTheme="minorHAnsi" w:hAnsiTheme="minorHAnsi"/>
                <w:sz w:val="22"/>
                <w:szCs w:val="22"/>
              </w:rPr>
            </w:pPr>
            <w:r>
              <w:rPr>
                <w:rFonts w:asciiTheme="minorHAnsi" w:hAnsiTheme="minorHAnsi"/>
                <w:sz w:val="22"/>
                <w:szCs w:val="22"/>
              </w:rPr>
              <w:t>41,343,388.88</w:t>
            </w:r>
          </w:p>
        </w:tc>
        <w:tc>
          <w:tcPr>
            <w:tcW w:w="811" w:type="pct"/>
            <w:tcBorders>
              <w:top w:val="nil"/>
              <w:left w:val="nil"/>
              <w:bottom w:val="single" w:sz="4" w:space="0" w:color="auto"/>
              <w:right w:val="single" w:sz="4" w:space="0" w:color="auto"/>
            </w:tcBorders>
            <w:shd w:val="clear" w:color="auto" w:fill="auto"/>
            <w:noWrap/>
            <w:vAlign w:val="center"/>
            <w:hideMark/>
          </w:tcPr>
          <w:p w:rsidR="00BD4A3E" w:rsidRPr="00BD4A3E" w:rsidRDefault="00BD4A3E" w:rsidP="00BD4A3E">
            <w:pPr>
              <w:jc w:val="both"/>
              <w:rPr>
                <w:rFonts w:asciiTheme="minorHAnsi" w:hAnsiTheme="minorHAnsi"/>
                <w:sz w:val="22"/>
                <w:szCs w:val="22"/>
              </w:rPr>
            </w:pPr>
            <w:r>
              <w:rPr>
                <w:rFonts w:asciiTheme="minorHAnsi" w:hAnsiTheme="minorHAnsi"/>
                <w:sz w:val="22"/>
                <w:szCs w:val="22"/>
              </w:rPr>
              <w:t>8,377,434.73</w:t>
            </w:r>
          </w:p>
        </w:tc>
        <w:tc>
          <w:tcPr>
            <w:tcW w:w="853" w:type="pct"/>
            <w:tcBorders>
              <w:top w:val="nil"/>
              <w:left w:val="nil"/>
              <w:bottom w:val="single" w:sz="4" w:space="0" w:color="auto"/>
              <w:right w:val="single" w:sz="4" w:space="0" w:color="auto"/>
            </w:tcBorders>
            <w:shd w:val="clear" w:color="auto" w:fill="auto"/>
            <w:noWrap/>
            <w:vAlign w:val="center"/>
            <w:hideMark/>
          </w:tcPr>
          <w:p w:rsidR="00BD4A3E" w:rsidRPr="00BD4A3E" w:rsidRDefault="00BD4A3E" w:rsidP="00BD4A3E">
            <w:pPr>
              <w:jc w:val="both"/>
              <w:rPr>
                <w:rFonts w:asciiTheme="minorHAnsi" w:hAnsiTheme="minorHAnsi"/>
                <w:sz w:val="22"/>
                <w:szCs w:val="22"/>
              </w:rPr>
            </w:pPr>
            <w:r>
              <w:rPr>
                <w:rFonts w:asciiTheme="minorHAnsi" w:hAnsiTheme="minorHAnsi"/>
                <w:sz w:val="22"/>
                <w:szCs w:val="22"/>
              </w:rPr>
              <w:t>206,971,753.24</w:t>
            </w:r>
          </w:p>
        </w:tc>
        <w:tc>
          <w:tcPr>
            <w:tcW w:w="935" w:type="pct"/>
            <w:tcBorders>
              <w:top w:val="nil"/>
              <w:left w:val="nil"/>
              <w:bottom w:val="single" w:sz="4" w:space="0" w:color="auto"/>
              <w:right w:val="single" w:sz="8" w:space="0" w:color="auto"/>
            </w:tcBorders>
            <w:shd w:val="clear" w:color="auto" w:fill="auto"/>
            <w:noWrap/>
            <w:vAlign w:val="center"/>
            <w:hideMark/>
          </w:tcPr>
          <w:p w:rsidR="00BD4A3E" w:rsidRPr="00BD4A3E" w:rsidRDefault="00BD4A3E" w:rsidP="00BD4A3E">
            <w:pPr>
              <w:jc w:val="both"/>
              <w:rPr>
                <w:rFonts w:asciiTheme="minorHAnsi" w:hAnsiTheme="minorHAnsi"/>
                <w:sz w:val="22"/>
                <w:szCs w:val="22"/>
              </w:rPr>
            </w:pPr>
            <w:r>
              <w:rPr>
                <w:rFonts w:asciiTheme="minorHAnsi" w:hAnsiTheme="minorHAnsi"/>
                <w:sz w:val="22"/>
                <w:szCs w:val="22"/>
              </w:rPr>
              <w:t>82,095,056.82</w:t>
            </w:r>
          </w:p>
        </w:tc>
      </w:tr>
      <w:tr w:rsidR="00BD4A3E" w:rsidRPr="00BD4A3E" w:rsidTr="00BD4A3E">
        <w:trPr>
          <w:trHeight w:val="325"/>
        </w:trPr>
        <w:tc>
          <w:tcPr>
            <w:tcW w:w="564" w:type="pct"/>
            <w:tcBorders>
              <w:top w:val="nil"/>
              <w:left w:val="single" w:sz="8" w:space="0" w:color="auto"/>
              <w:bottom w:val="single" w:sz="4" w:space="0" w:color="auto"/>
              <w:right w:val="single" w:sz="4" w:space="0" w:color="auto"/>
            </w:tcBorders>
            <w:shd w:val="clear" w:color="auto" w:fill="auto"/>
            <w:noWrap/>
            <w:vAlign w:val="center"/>
            <w:hideMark/>
          </w:tcPr>
          <w:p w:rsidR="00BD4A3E" w:rsidRPr="00BD4A3E" w:rsidRDefault="00BD4A3E" w:rsidP="00BD4A3E">
            <w:pPr>
              <w:jc w:val="both"/>
              <w:rPr>
                <w:rFonts w:ascii="Calibri" w:eastAsia="Calibri" w:hAnsi="Calibri" w:cs="Arial"/>
              </w:rPr>
            </w:pPr>
            <w:r>
              <w:rPr>
                <w:rFonts w:ascii="Calibri" w:hAnsi="Calibri"/>
              </w:rPr>
              <w:t>2017</w:t>
            </w:r>
          </w:p>
        </w:tc>
        <w:tc>
          <w:tcPr>
            <w:tcW w:w="984" w:type="pct"/>
            <w:tcBorders>
              <w:top w:val="nil"/>
              <w:left w:val="nil"/>
              <w:bottom w:val="single" w:sz="4" w:space="0" w:color="auto"/>
              <w:right w:val="single" w:sz="4" w:space="0" w:color="auto"/>
            </w:tcBorders>
            <w:shd w:val="clear" w:color="auto" w:fill="auto"/>
            <w:noWrap/>
            <w:vAlign w:val="center"/>
            <w:hideMark/>
          </w:tcPr>
          <w:p w:rsidR="00BD4A3E" w:rsidRPr="00BD4A3E" w:rsidRDefault="00BD4A3E" w:rsidP="00BD4A3E">
            <w:pPr>
              <w:jc w:val="both"/>
              <w:rPr>
                <w:rFonts w:asciiTheme="minorHAnsi" w:hAnsiTheme="minorHAnsi"/>
                <w:sz w:val="22"/>
                <w:szCs w:val="22"/>
              </w:rPr>
            </w:pPr>
            <w:r>
              <w:rPr>
                <w:rFonts w:asciiTheme="minorHAnsi" w:hAnsiTheme="minorHAnsi"/>
                <w:sz w:val="22"/>
                <w:szCs w:val="22"/>
              </w:rPr>
              <w:t>513,783,019.10</w:t>
            </w:r>
          </w:p>
        </w:tc>
        <w:tc>
          <w:tcPr>
            <w:tcW w:w="854" w:type="pct"/>
            <w:tcBorders>
              <w:top w:val="nil"/>
              <w:left w:val="nil"/>
              <w:bottom w:val="single" w:sz="4" w:space="0" w:color="auto"/>
              <w:right w:val="single" w:sz="4" w:space="0" w:color="auto"/>
            </w:tcBorders>
            <w:shd w:val="clear" w:color="auto" w:fill="auto"/>
            <w:noWrap/>
            <w:vAlign w:val="center"/>
            <w:hideMark/>
          </w:tcPr>
          <w:p w:rsidR="00BD4A3E" w:rsidRPr="00BD4A3E" w:rsidRDefault="00BD4A3E" w:rsidP="00BD4A3E">
            <w:pPr>
              <w:jc w:val="both"/>
              <w:rPr>
                <w:rFonts w:asciiTheme="minorHAnsi" w:hAnsiTheme="minorHAnsi"/>
                <w:sz w:val="22"/>
                <w:szCs w:val="22"/>
              </w:rPr>
            </w:pPr>
            <w:r>
              <w:rPr>
                <w:rFonts w:asciiTheme="minorHAnsi" w:hAnsiTheme="minorHAnsi"/>
                <w:sz w:val="22"/>
                <w:szCs w:val="22"/>
              </w:rPr>
              <w:t>111,652,752.24</w:t>
            </w:r>
          </w:p>
        </w:tc>
        <w:tc>
          <w:tcPr>
            <w:tcW w:w="811" w:type="pct"/>
            <w:tcBorders>
              <w:top w:val="nil"/>
              <w:left w:val="nil"/>
              <w:bottom w:val="single" w:sz="4" w:space="0" w:color="auto"/>
              <w:right w:val="single" w:sz="4" w:space="0" w:color="auto"/>
            </w:tcBorders>
            <w:shd w:val="clear" w:color="auto" w:fill="auto"/>
            <w:noWrap/>
            <w:vAlign w:val="center"/>
            <w:hideMark/>
          </w:tcPr>
          <w:p w:rsidR="00BD4A3E" w:rsidRPr="00BD4A3E" w:rsidRDefault="00BD4A3E" w:rsidP="00BD4A3E">
            <w:pPr>
              <w:jc w:val="both"/>
              <w:rPr>
                <w:rFonts w:asciiTheme="minorHAnsi" w:hAnsiTheme="minorHAnsi"/>
                <w:sz w:val="22"/>
                <w:szCs w:val="22"/>
              </w:rPr>
            </w:pPr>
            <w:r>
              <w:rPr>
                <w:rFonts w:asciiTheme="minorHAnsi" w:hAnsiTheme="minorHAnsi"/>
                <w:sz w:val="22"/>
                <w:szCs w:val="22"/>
              </w:rPr>
              <w:t>30,605,168.56</w:t>
            </w:r>
          </w:p>
        </w:tc>
        <w:tc>
          <w:tcPr>
            <w:tcW w:w="853" w:type="pct"/>
            <w:tcBorders>
              <w:top w:val="nil"/>
              <w:left w:val="nil"/>
              <w:bottom w:val="single" w:sz="4" w:space="0" w:color="auto"/>
              <w:right w:val="single" w:sz="4" w:space="0" w:color="auto"/>
            </w:tcBorders>
            <w:shd w:val="clear" w:color="auto" w:fill="auto"/>
            <w:noWrap/>
            <w:vAlign w:val="center"/>
            <w:hideMark/>
          </w:tcPr>
          <w:p w:rsidR="00BD4A3E" w:rsidRPr="00BD4A3E" w:rsidRDefault="00BD4A3E" w:rsidP="00BD4A3E">
            <w:pPr>
              <w:jc w:val="both"/>
              <w:rPr>
                <w:rFonts w:asciiTheme="minorHAnsi" w:hAnsiTheme="minorHAnsi"/>
                <w:sz w:val="22"/>
                <w:szCs w:val="22"/>
              </w:rPr>
            </w:pPr>
            <w:r>
              <w:rPr>
                <w:rFonts w:asciiTheme="minorHAnsi" w:hAnsiTheme="minorHAnsi"/>
                <w:sz w:val="22"/>
                <w:szCs w:val="22"/>
              </w:rPr>
              <w:t>220,664,570.45</w:t>
            </w:r>
          </w:p>
        </w:tc>
        <w:tc>
          <w:tcPr>
            <w:tcW w:w="935" w:type="pct"/>
            <w:tcBorders>
              <w:top w:val="nil"/>
              <w:left w:val="nil"/>
              <w:bottom w:val="single" w:sz="4" w:space="0" w:color="auto"/>
              <w:right w:val="single" w:sz="8" w:space="0" w:color="auto"/>
            </w:tcBorders>
            <w:shd w:val="clear" w:color="auto" w:fill="auto"/>
            <w:noWrap/>
            <w:vAlign w:val="center"/>
            <w:hideMark/>
          </w:tcPr>
          <w:p w:rsidR="00BD4A3E" w:rsidRPr="00BD4A3E" w:rsidRDefault="00BD4A3E" w:rsidP="00BD4A3E">
            <w:pPr>
              <w:jc w:val="both"/>
              <w:rPr>
                <w:rFonts w:asciiTheme="minorHAnsi" w:hAnsiTheme="minorHAnsi"/>
                <w:sz w:val="22"/>
                <w:szCs w:val="22"/>
              </w:rPr>
            </w:pPr>
            <w:r>
              <w:rPr>
                <w:rFonts w:asciiTheme="minorHAnsi" w:hAnsiTheme="minorHAnsi"/>
                <w:sz w:val="22"/>
                <w:szCs w:val="22"/>
              </w:rPr>
              <w:t>150,860,527.85</w:t>
            </w:r>
          </w:p>
        </w:tc>
      </w:tr>
      <w:tr w:rsidR="00BD4A3E" w:rsidRPr="00BD4A3E" w:rsidTr="00BD4A3E">
        <w:trPr>
          <w:trHeight w:val="325"/>
        </w:trPr>
        <w:tc>
          <w:tcPr>
            <w:tcW w:w="564" w:type="pct"/>
            <w:tcBorders>
              <w:top w:val="nil"/>
              <w:left w:val="single" w:sz="8" w:space="0" w:color="auto"/>
              <w:bottom w:val="single" w:sz="4" w:space="0" w:color="auto"/>
              <w:right w:val="single" w:sz="4" w:space="0" w:color="auto"/>
            </w:tcBorders>
            <w:shd w:val="clear" w:color="auto" w:fill="auto"/>
            <w:noWrap/>
            <w:vAlign w:val="center"/>
            <w:hideMark/>
          </w:tcPr>
          <w:p w:rsidR="00BD4A3E" w:rsidRPr="00BD4A3E" w:rsidRDefault="00BD4A3E" w:rsidP="00BD4A3E">
            <w:pPr>
              <w:jc w:val="both"/>
              <w:rPr>
                <w:rFonts w:ascii="Calibri" w:eastAsia="Calibri" w:hAnsi="Calibri" w:cs="Arial"/>
              </w:rPr>
            </w:pPr>
            <w:r>
              <w:rPr>
                <w:rFonts w:ascii="Calibri" w:hAnsi="Calibri"/>
              </w:rPr>
              <w:t>2018</w:t>
            </w:r>
          </w:p>
        </w:tc>
        <w:tc>
          <w:tcPr>
            <w:tcW w:w="984" w:type="pct"/>
            <w:tcBorders>
              <w:top w:val="nil"/>
              <w:left w:val="nil"/>
              <w:bottom w:val="single" w:sz="4" w:space="0" w:color="auto"/>
              <w:right w:val="single" w:sz="4" w:space="0" w:color="auto"/>
            </w:tcBorders>
            <w:shd w:val="clear" w:color="auto" w:fill="auto"/>
            <w:noWrap/>
            <w:vAlign w:val="center"/>
            <w:hideMark/>
          </w:tcPr>
          <w:p w:rsidR="00BD4A3E" w:rsidRPr="00BD4A3E" w:rsidRDefault="00BD4A3E" w:rsidP="00BD4A3E">
            <w:pPr>
              <w:jc w:val="both"/>
              <w:rPr>
                <w:rFonts w:asciiTheme="minorHAnsi" w:hAnsiTheme="minorHAnsi"/>
                <w:sz w:val="22"/>
                <w:szCs w:val="22"/>
              </w:rPr>
            </w:pPr>
            <w:r>
              <w:rPr>
                <w:rFonts w:asciiTheme="minorHAnsi" w:hAnsiTheme="minorHAnsi"/>
                <w:sz w:val="22"/>
                <w:szCs w:val="22"/>
              </w:rPr>
              <w:t>488,959,731.10</w:t>
            </w:r>
          </w:p>
        </w:tc>
        <w:tc>
          <w:tcPr>
            <w:tcW w:w="854" w:type="pct"/>
            <w:tcBorders>
              <w:top w:val="nil"/>
              <w:left w:val="nil"/>
              <w:bottom w:val="single" w:sz="4" w:space="0" w:color="auto"/>
              <w:right w:val="single" w:sz="4" w:space="0" w:color="auto"/>
            </w:tcBorders>
            <w:shd w:val="clear" w:color="auto" w:fill="auto"/>
            <w:noWrap/>
            <w:vAlign w:val="center"/>
            <w:hideMark/>
          </w:tcPr>
          <w:p w:rsidR="00BD4A3E" w:rsidRPr="00BD4A3E" w:rsidRDefault="00BD4A3E" w:rsidP="00BD4A3E">
            <w:pPr>
              <w:jc w:val="both"/>
              <w:rPr>
                <w:rFonts w:asciiTheme="minorHAnsi" w:hAnsiTheme="minorHAnsi"/>
                <w:sz w:val="22"/>
                <w:szCs w:val="22"/>
              </w:rPr>
            </w:pPr>
            <w:r>
              <w:rPr>
                <w:rFonts w:asciiTheme="minorHAnsi" w:hAnsiTheme="minorHAnsi"/>
                <w:sz w:val="22"/>
                <w:szCs w:val="22"/>
              </w:rPr>
              <w:t>96,234,954.17</w:t>
            </w:r>
          </w:p>
        </w:tc>
        <w:tc>
          <w:tcPr>
            <w:tcW w:w="811" w:type="pct"/>
            <w:tcBorders>
              <w:top w:val="nil"/>
              <w:left w:val="nil"/>
              <w:bottom w:val="single" w:sz="4" w:space="0" w:color="auto"/>
              <w:right w:val="single" w:sz="4" w:space="0" w:color="auto"/>
            </w:tcBorders>
            <w:shd w:val="clear" w:color="auto" w:fill="auto"/>
            <w:noWrap/>
            <w:vAlign w:val="center"/>
            <w:hideMark/>
          </w:tcPr>
          <w:p w:rsidR="00BD4A3E" w:rsidRPr="00BD4A3E" w:rsidRDefault="00BD4A3E" w:rsidP="00BD4A3E">
            <w:pPr>
              <w:jc w:val="both"/>
              <w:rPr>
                <w:rFonts w:asciiTheme="minorHAnsi" w:hAnsiTheme="minorHAnsi"/>
                <w:sz w:val="22"/>
                <w:szCs w:val="22"/>
              </w:rPr>
            </w:pPr>
            <w:r>
              <w:rPr>
                <w:rFonts w:asciiTheme="minorHAnsi" w:hAnsiTheme="minorHAnsi"/>
                <w:sz w:val="22"/>
                <w:szCs w:val="22"/>
              </w:rPr>
              <w:t>24,270,532.45</w:t>
            </w:r>
          </w:p>
        </w:tc>
        <w:tc>
          <w:tcPr>
            <w:tcW w:w="853" w:type="pct"/>
            <w:tcBorders>
              <w:top w:val="nil"/>
              <w:left w:val="nil"/>
              <w:bottom w:val="single" w:sz="4" w:space="0" w:color="auto"/>
              <w:right w:val="single" w:sz="4" w:space="0" w:color="auto"/>
            </w:tcBorders>
            <w:shd w:val="clear" w:color="auto" w:fill="auto"/>
            <w:noWrap/>
            <w:vAlign w:val="center"/>
            <w:hideMark/>
          </w:tcPr>
          <w:p w:rsidR="00BD4A3E" w:rsidRPr="00BD4A3E" w:rsidRDefault="00BD4A3E" w:rsidP="00BD4A3E">
            <w:pPr>
              <w:jc w:val="both"/>
              <w:rPr>
                <w:rFonts w:asciiTheme="minorHAnsi" w:hAnsiTheme="minorHAnsi"/>
                <w:sz w:val="22"/>
                <w:szCs w:val="22"/>
              </w:rPr>
            </w:pPr>
            <w:r>
              <w:rPr>
                <w:rFonts w:asciiTheme="minorHAnsi" w:hAnsiTheme="minorHAnsi"/>
                <w:sz w:val="22"/>
                <w:szCs w:val="22"/>
              </w:rPr>
              <w:t>214,654,355.87</w:t>
            </w:r>
          </w:p>
        </w:tc>
        <w:tc>
          <w:tcPr>
            <w:tcW w:w="935" w:type="pct"/>
            <w:tcBorders>
              <w:top w:val="nil"/>
              <w:left w:val="nil"/>
              <w:bottom w:val="single" w:sz="4" w:space="0" w:color="auto"/>
              <w:right w:val="single" w:sz="8" w:space="0" w:color="auto"/>
            </w:tcBorders>
            <w:shd w:val="clear" w:color="auto" w:fill="auto"/>
            <w:noWrap/>
            <w:vAlign w:val="center"/>
            <w:hideMark/>
          </w:tcPr>
          <w:p w:rsidR="00BD4A3E" w:rsidRPr="00BD4A3E" w:rsidRDefault="00BD4A3E" w:rsidP="00BD4A3E">
            <w:pPr>
              <w:jc w:val="both"/>
              <w:rPr>
                <w:rFonts w:asciiTheme="minorHAnsi" w:hAnsiTheme="minorHAnsi"/>
                <w:sz w:val="22"/>
                <w:szCs w:val="22"/>
              </w:rPr>
            </w:pPr>
            <w:r>
              <w:rPr>
                <w:rFonts w:asciiTheme="minorHAnsi" w:hAnsiTheme="minorHAnsi"/>
                <w:sz w:val="22"/>
                <w:szCs w:val="22"/>
              </w:rPr>
              <w:t>153,799,888.61</w:t>
            </w:r>
          </w:p>
        </w:tc>
      </w:tr>
      <w:tr w:rsidR="00BD4A3E" w:rsidRPr="00BD4A3E" w:rsidTr="00BD4A3E">
        <w:trPr>
          <w:trHeight w:val="340"/>
        </w:trPr>
        <w:tc>
          <w:tcPr>
            <w:tcW w:w="564" w:type="pct"/>
            <w:tcBorders>
              <w:top w:val="nil"/>
              <w:left w:val="single" w:sz="8" w:space="0" w:color="auto"/>
              <w:bottom w:val="single" w:sz="8" w:space="0" w:color="auto"/>
              <w:right w:val="single" w:sz="4" w:space="0" w:color="auto"/>
            </w:tcBorders>
            <w:shd w:val="clear" w:color="auto" w:fill="auto"/>
            <w:noWrap/>
            <w:vAlign w:val="center"/>
            <w:hideMark/>
          </w:tcPr>
          <w:p w:rsidR="00BD4A3E" w:rsidRPr="00BD4A3E" w:rsidRDefault="00BD4A3E" w:rsidP="00BD4A3E">
            <w:pPr>
              <w:jc w:val="both"/>
              <w:rPr>
                <w:rFonts w:ascii="Calibri" w:eastAsia="Calibri" w:hAnsi="Calibri" w:cs="Arial"/>
                <w:b/>
              </w:rPr>
            </w:pPr>
            <w:r>
              <w:rPr>
                <w:rFonts w:ascii="Calibri" w:hAnsi="Calibri"/>
                <w:b/>
              </w:rPr>
              <w:t>TOTAL</w:t>
            </w:r>
          </w:p>
        </w:tc>
        <w:tc>
          <w:tcPr>
            <w:tcW w:w="984" w:type="pct"/>
            <w:tcBorders>
              <w:top w:val="nil"/>
              <w:left w:val="nil"/>
              <w:bottom w:val="single" w:sz="8" w:space="0" w:color="auto"/>
              <w:right w:val="single" w:sz="4" w:space="0" w:color="auto"/>
            </w:tcBorders>
            <w:shd w:val="clear" w:color="auto" w:fill="auto"/>
            <w:noWrap/>
            <w:vAlign w:val="center"/>
            <w:hideMark/>
          </w:tcPr>
          <w:p w:rsidR="00BD4A3E" w:rsidRPr="00BD4A3E" w:rsidRDefault="00BD4A3E" w:rsidP="00BD4A3E">
            <w:pPr>
              <w:jc w:val="both"/>
              <w:rPr>
                <w:rFonts w:asciiTheme="minorHAnsi" w:hAnsiTheme="minorHAnsi"/>
                <w:b/>
                <w:sz w:val="22"/>
                <w:szCs w:val="22"/>
              </w:rPr>
            </w:pPr>
            <w:r>
              <w:rPr>
                <w:rFonts w:asciiTheme="minorHAnsi" w:hAnsiTheme="minorHAnsi"/>
                <w:b/>
                <w:sz w:val="22"/>
                <w:szCs w:val="22"/>
              </w:rPr>
              <w:t>1,341,530,383.87</w:t>
            </w:r>
          </w:p>
        </w:tc>
        <w:tc>
          <w:tcPr>
            <w:tcW w:w="854" w:type="pct"/>
            <w:tcBorders>
              <w:top w:val="nil"/>
              <w:left w:val="nil"/>
              <w:bottom w:val="single" w:sz="8" w:space="0" w:color="auto"/>
              <w:right w:val="single" w:sz="4" w:space="0" w:color="auto"/>
            </w:tcBorders>
            <w:shd w:val="clear" w:color="auto" w:fill="auto"/>
            <w:noWrap/>
            <w:vAlign w:val="center"/>
            <w:hideMark/>
          </w:tcPr>
          <w:p w:rsidR="00BD4A3E" w:rsidRPr="00BD4A3E" w:rsidRDefault="00BD4A3E" w:rsidP="00BD4A3E">
            <w:pPr>
              <w:jc w:val="both"/>
              <w:rPr>
                <w:rFonts w:asciiTheme="minorHAnsi" w:hAnsiTheme="minorHAnsi"/>
                <w:b/>
                <w:sz w:val="22"/>
                <w:szCs w:val="22"/>
              </w:rPr>
            </w:pPr>
            <w:r>
              <w:rPr>
                <w:rFonts w:asciiTheme="minorHAnsi" w:hAnsiTheme="minorHAnsi"/>
                <w:b/>
                <w:sz w:val="22"/>
                <w:szCs w:val="22"/>
              </w:rPr>
              <w:t>249,231,095.29</w:t>
            </w:r>
          </w:p>
        </w:tc>
        <w:tc>
          <w:tcPr>
            <w:tcW w:w="811" w:type="pct"/>
            <w:tcBorders>
              <w:top w:val="nil"/>
              <w:left w:val="nil"/>
              <w:bottom w:val="single" w:sz="8" w:space="0" w:color="auto"/>
              <w:right w:val="single" w:sz="4" w:space="0" w:color="auto"/>
            </w:tcBorders>
            <w:shd w:val="clear" w:color="auto" w:fill="auto"/>
            <w:noWrap/>
            <w:vAlign w:val="center"/>
            <w:hideMark/>
          </w:tcPr>
          <w:p w:rsidR="00BD4A3E" w:rsidRPr="00BD4A3E" w:rsidRDefault="00BD4A3E" w:rsidP="00BD4A3E">
            <w:pPr>
              <w:jc w:val="both"/>
              <w:rPr>
                <w:rFonts w:asciiTheme="minorHAnsi" w:hAnsiTheme="minorHAnsi"/>
                <w:b/>
                <w:sz w:val="22"/>
                <w:szCs w:val="22"/>
              </w:rPr>
            </w:pPr>
            <w:r>
              <w:rPr>
                <w:rFonts w:asciiTheme="minorHAnsi" w:hAnsiTheme="minorHAnsi"/>
                <w:b/>
                <w:sz w:val="22"/>
                <w:szCs w:val="22"/>
              </w:rPr>
              <w:t>63,253,135.74</w:t>
            </w:r>
          </w:p>
        </w:tc>
        <w:tc>
          <w:tcPr>
            <w:tcW w:w="853" w:type="pct"/>
            <w:tcBorders>
              <w:top w:val="nil"/>
              <w:left w:val="nil"/>
              <w:bottom w:val="single" w:sz="8" w:space="0" w:color="auto"/>
              <w:right w:val="single" w:sz="4" w:space="0" w:color="auto"/>
            </w:tcBorders>
            <w:shd w:val="clear" w:color="auto" w:fill="auto"/>
            <w:noWrap/>
            <w:vAlign w:val="center"/>
            <w:hideMark/>
          </w:tcPr>
          <w:p w:rsidR="00BD4A3E" w:rsidRPr="00BD4A3E" w:rsidRDefault="00BD4A3E" w:rsidP="00BD4A3E">
            <w:pPr>
              <w:jc w:val="both"/>
              <w:rPr>
                <w:rFonts w:asciiTheme="minorHAnsi" w:hAnsiTheme="minorHAnsi"/>
                <w:b/>
                <w:sz w:val="22"/>
                <w:szCs w:val="22"/>
              </w:rPr>
            </w:pPr>
            <w:r>
              <w:rPr>
                <w:rFonts w:asciiTheme="minorHAnsi" w:hAnsiTheme="minorHAnsi"/>
                <w:b/>
                <w:sz w:val="22"/>
                <w:szCs w:val="22"/>
              </w:rPr>
              <w:t>642,290,679.56</w:t>
            </w:r>
          </w:p>
        </w:tc>
        <w:tc>
          <w:tcPr>
            <w:tcW w:w="935" w:type="pct"/>
            <w:tcBorders>
              <w:top w:val="nil"/>
              <w:left w:val="nil"/>
              <w:bottom w:val="single" w:sz="8" w:space="0" w:color="auto"/>
              <w:right w:val="single" w:sz="8" w:space="0" w:color="auto"/>
            </w:tcBorders>
            <w:shd w:val="clear" w:color="auto" w:fill="auto"/>
            <w:noWrap/>
            <w:vAlign w:val="center"/>
            <w:hideMark/>
          </w:tcPr>
          <w:p w:rsidR="00BD4A3E" w:rsidRPr="00BD4A3E" w:rsidRDefault="00BD4A3E" w:rsidP="00BD4A3E">
            <w:pPr>
              <w:jc w:val="both"/>
              <w:rPr>
                <w:rFonts w:asciiTheme="minorHAnsi" w:hAnsiTheme="minorHAnsi"/>
                <w:b/>
                <w:sz w:val="22"/>
                <w:szCs w:val="22"/>
              </w:rPr>
            </w:pPr>
            <w:r>
              <w:rPr>
                <w:rFonts w:asciiTheme="minorHAnsi" w:hAnsiTheme="minorHAnsi"/>
                <w:b/>
                <w:sz w:val="22"/>
                <w:szCs w:val="22"/>
              </w:rPr>
              <w:t>386,755,473.28</w:t>
            </w:r>
          </w:p>
        </w:tc>
      </w:tr>
    </w:tbl>
    <w:p w:rsidR="00BD4A3E" w:rsidRPr="00BD4A3E" w:rsidRDefault="00BD4A3E" w:rsidP="00BD4A3E">
      <w:pPr>
        <w:autoSpaceDE w:val="0"/>
        <w:autoSpaceDN w:val="0"/>
        <w:adjustRightInd w:val="0"/>
        <w:jc w:val="both"/>
        <w:rPr>
          <w:rFonts w:ascii="Calibri" w:eastAsia="Calibri" w:hAnsi="Calibri" w:cs="Arial"/>
          <w:lang w:val="ro-RO"/>
        </w:rPr>
      </w:pPr>
    </w:p>
    <w:p w:rsidR="00BD4A3E" w:rsidRPr="003964D3" w:rsidRDefault="00BD4A3E" w:rsidP="00BD4A3E">
      <w:pPr>
        <w:autoSpaceDE w:val="0"/>
        <w:autoSpaceDN w:val="0"/>
        <w:adjustRightInd w:val="0"/>
        <w:jc w:val="both"/>
        <w:rPr>
          <w:rFonts w:ascii="Calibri" w:hAnsi="Calibri"/>
          <w:b/>
          <w:szCs w:val="22"/>
        </w:rPr>
      </w:pPr>
      <w:r>
        <w:rPr>
          <w:rFonts w:ascii="Calibri" w:hAnsi="Calibri"/>
          <w:szCs w:val="22"/>
        </w:rPr>
        <w:t xml:space="preserve">The Agency for Payments and Intervention in Agriculture authorized for payment between October 16, 2017 and October 15, 2018 for the rural development measure in the 2017 Campaign, the total amount of </w:t>
      </w:r>
      <w:r>
        <w:rPr>
          <w:rFonts w:ascii="Calibri" w:hAnsi="Calibri"/>
          <w:b/>
          <w:szCs w:val="22"/>
        </w:rPr>
        <w:t>590.54 million EUR.</w:t>
      </w:r>
    </w:p>
    <w:p w:rsidR="00BD4A3E" w:rsidRPr="00BD4A3E" w:rsidRDefault="00BD4A3E" w:rsidP="00BD4A3E">
      <w:pPr>
        <w:autoSpaceDE w:val="0"/>
        <w:autoSpaceDN w:val="0"/>
        <w:adjustRightInd w:val="0"/>
        <w:jc w:val="both"/>
        <w:rPr>
          <w:rFonts w:ascii="Calibri" w:eastAsia="Calibri" w:hAnsi="Calibri" w:cs="Arial"/>
          <w:lang w:val="ro-RO"/>
        </w:rPr>
      </w:pPr>
    </w:p>
    <w:p w:rsidR="00BD4A3E" w:rsidRPr="00BD4A3E" w:rsidRDefault="00BD4A3E" w:rsidP="00BD4A3E">
      <w:pPr>
        <w:autoSpaceDE w:val="0"/>
        <w:autoSpaceDN w:val="0"/>
        <w:adjustRightInd w:val="0"/>
        <w:jc w:val="both"/>
        <w:rPr>
          <w:rFonts w:ascii="Calibri" w:eastAsia="Calibri" w:hAnsi="Calibri" w:cs="Arial"/>
        </w:rPr>
      </w:pPr>
      <w:r>
        <w:rPr>
          <w:rFonts w:ascii="Calibri" w:hAnsi="Calibri"/>
        </w:rPr>
        <w:t xml:space="preserve">We mention that the payments are made at the foreign exchange rates established by the Central European Bank, as follows: </w:t>
      </w:r>
    </w:p>
    <w:p w:rsidR="00BD4A3E" w:rsidRPr="00BD4A3E" w:rsidRDefault="00BD4A3E" w:rsidP="00BD4A3E">
      <w:pPr>
        <w:autoSpaceDE w:val="0"/>
        <w:autoSpaceDN w:val="0"/>
        <w:adjustRightInd w:val="0"/>
        <w:jc w:val="both"/>
        <w:rPr>
          <w:rFonts w:ascii="Calibri" w:eastAsia="Calibri" w:hAnsi="Calibri" w:cs="Arial"/>
        </w:rPr>
      </w:pPr>
      <w:r>
        <w:rPr>
          <w:rFonts w:ascii="Calibri" w:hAnsi="Calibri"/>
        </w:rPr>
        <w:t xml:space="preserve">- 4.5390 Lei for one EUR, established by the Central European Bank on December 30, 2016 and published in the Official Journal of the European Union, series C, no. 491/01 of December 31, 2016, for the payments financed from the EARDF (European Agricultural and Rural Development Fund). </w:t>
      </w:r>
    </w:p>
    <w:p w:rsidR="00BD4A3E" w:rsidRPr="00BD4A3E" w:rsidRDefault="00BD4A3E" w:rsidP="00BD4A3E">
      <w:pPr>
        <w:autoSpaceDE w:val="0"/>
        <w:autoSpaceDN w:val="0"/>
        <w:adjustRightInd w:val="0"/>
        <w:jc w:val="both"/>
        <w:rPr>
          <w:rFonts w:ascii="Calibri" w:eastAsia="Calibri" w:hAnsi="Calibri" w:cs="Arial"/>
          <w:lang w:val="ro-RO"/>
        </w:rPr>
      </w:pPr>
    </w:p>
    <w:p w:rsidR="00BD4A3E" w:rsidRPr="00BD4A3E" w:rsidRDefault="00BD4A3E" w:rsidP="00021698">
      <w:pPr>
        <w:numPr>
          <w:ilvl w:val="0"/>
          <w:numId w:val="103"/>
        </w:numPr>
        <w:shd w:val="clear" w:color="auto" w:fill="92D050"/>
        <w:tabs>
          <w:tab w:val="left" w:pos="90"/>
          <w:tab w:val="left" w:pos="960"/>
        </w:tabs>
        <w:spacing w:after="120" w:line="276" w:lineRule="auto"/>
        <w:contextualSpacing/>
        <w:jc w:val="both"/>
        <w:rPr>
          <w:rFonts w:ascii="Calibri" w:eastAsia="Calibri" w:hAnsi="Calibri" w:cs="Arial"/>
        </w:rPr>
      </w:pPr>
      <w:r>
        <w:rPr>
          <w:rFonts w:ascii="Calibri" w:hAnsi="Calibri"/>
        </w:rPr>
        <w:t>Main achievements of 2017</w:t>
      </w:r>
    </w:p>
    <w:p w:rsidR="00BD4A3E" w:rsidRPr="00BD4A3E" w:rsidRDefault="00BD4A3E" w:rsidP="00BD4A3E">
      <w:pPr>
        <w:spacing w:after="240"/>
        <w:jc w:val="both"/>
        <w:rPr>
          <w:rFonts w:ascii="Calibri" w:eastAsia="Calibri" w:hAnsi="Calibri" w:cs="Arial"/>
        </w:rPr>
      </w:pPr>
      <w:r>
        <w:rPr>
          <w:rFonts w:ascii="Calibri" w:hAnsi="Calibri"/>
        </w:rPr>
        <w:t>The measures implemented by the Agency for Payments and Intervention in Agriculture have as main purpose to stimulate the absorption of European funds, under observance of the Community and national provisions in force.</w:t>
      </w:r>
    </w:p>
    <w:p w:rsidR="00BD4A3E" w:rsidRPr="00BD4A3E" w:rsidRDefault="00BD4A3E" w:rsidP="00BD4A3E">
      <w:pPr>
        <w:spacing w:after="240"/>
        <w:jc w:val="both"/>
        <w:rPr>
          <w:rFonts w:ascii="Calibri" w:eastAsia="Calibri" w:hAnsi="Calibri" w:cs="Arial"/>
        </w:rPr>
      </w:pPr>
      <w:r>
        <w:rPr>
          <w:rFonts w:ascii="Calibri" w:hAnsi="Calibri"/>
        </w:rPr>
        <w:t>We present hereinbelow a few of the measures taken by APIA in 2017:</w:t>
      </w:r>
    </w:p>
    <w:p w:rsidR="00BD4A3E" w:rsidRPr="00BD4A3E" w:rsidRDefault="00BD4A3E" w:rsidP="00021698">
      <w:pPr>
        <w:numPr>
          <w:ilvl w:val="0"/>
          <w:numId w:val="111"/>
        </w:numPr>
        <w:autoSpaceDE w:val="0"/>
        <w:autoSpaceDN w:val="0"/>
        <w:adjustRightInd w:val="0"/>
        <w:spacing w:line="276" w:lineRule="auto"/>
        <w:jc w:val="both"/>
        <w:rPr>
          <w:rFonts w:ascii="Calibri" w:eastAsia="Calibri" w:hAnsi="Calibri" w:cs="Arial"/>
        </w:rPr>
      </w:pPr>
      <w:r>
        <w:rPr>
          <w:rFonts w:ascii="Calibri" w:hAnsi="Calibri"/>
        </w:rPr>
        <w:t>the authorization and performance of payments in advance to the farmers who benefit of the payment per area scheme;</w:t>
      </w:r>
    </w:p>
    <w:p w:rsidR="00BD4A3E" w:rsidRPr="00BD4A3E" w:rsidRDefault="00BD4A3E" w:rsidP="00021698">
      <w:pPr>
        <w:numPr>
          <w:ilvl w:val="0"/>
          <w:numId w:val="111"/>
        </w:numPr>
        <w:autoSpaceDE w:val="0"/>
        <w:autoSpaceDN w:val="0"/>
        <w:adjustRightInd w:val="0"/>
        <w:spacing w:line="276" w:lineRule="auto"/>
        <w:jc w:val="both"/>
        <w:rPr>
          <w:rFonts w:ascii="Calibri" w:eastAsia="Calibri" w:hAnsi="Calibri" w:cs="Arial"/>
        </w:rPr>
      </w:pPr>
      <w:r>
        <w:rPr>
          <w:rFonts w:ascii="Calibri" w:hAnsi="Calibri"/>
        </w:rPr>
        <w:t>the conclusion/extension of the working agreements concluded between APIA, the guarantee funds in the field of agriculture and the commercial banks in order to issue the certificates in the different support schemes that have been implemented, namely: SAPS, AXIS II (PNDR), transitional national aid in the zoo-technical sector, the payments for animal welfare (poultry and swine);</w:t>
      </w:r>
    </w:p>
    <w:p w:rsidR="00BD4A3E" w:rsidRPr="00BD4A3E" w:rsidRDefault="00BD4A3E" w:rsidP="00021698">
      <w:pPr>
        <w:numPr>
          <w:ilvl w:val="0"/>
          <w:numId w:val="111"/>
        </w:numPr>
        <w:autoSpaceDE w:val="0"/>
        <w:autoSpaceDN w:val="0"/>
        <w:adjustRightInd w:val="0"/>
        <w:spacing w:line="276" w:lineRule="auto"/>
        <w:jc w:val="both"/>
        <w:rPr>
          <w:rFonts w:ascii="Calibri" w:eastAsia="Calibri" w:hAnsi="Calibri" w:cs="Arial"/>
        </w:rPr>
      </w:pPr>
      <w:r>
        <w:rPr>
          <w:rFonts w:ascii="Calibri" w:hAnsi="Calibri"/>
        </w:rPr>
        <w:t>conclusion of agreements and protocols with institutions from the country and from abroad;</w:t>
      </w:r>
    </w:p>
    <w:p w:rsidR="00BD4A3E" w:rsidRPr="00BD4A3E" w:rsidRDefault="00BD4A3E" w:rsidP="00021698">
      <w:pPr>
        <w:numPr>
          <w:ilvl w:val="0"/>
          <w:numId w:val="111"/>
        </w:numPr>
        <w:autoSpaceDE w:val="0"/>
        <w:autoSpaceDN w:val="0"/>
        <w:adjustRightInd w:val="0"/>
        <w:spacing w:line="276" w:lineRule="auto"/>
        <w:jc w:val="both"/>
        <w:rPr>
          <w:rFonts w:ascii="Calibri" w:eastAsia="Calibri" w:hAnsi="Calibri" w:cs="Arial"/>
        </w:rPr>
      </w:pPr>
      <w:r>
        <w:rPr>
          <w:rFonts w:ascii="Calibri" w:hAnsi="Calibri"/>
        </w:rPr>
        <w:t>Participation to the audit missions of the European Commission, of the European Court of Accounts, to the bilateral or conciliation meetings;</w:t>
      </w:r>
    </w:p>
    <w:p w:rsidR="00BD4A3E" w:rsidRPr="00BD4A3E" w:rsidRDefault="00BD4A3E" w:rsidP="00021698">
      <w:pPr>
        <w:numPr>
          <w:ilvl w:val="0"/>
          <w:numId w:val="111"/>
        </w:numPr>
        <w:autoSpaceDE w:val="0"/>
        <w:autoSpaceDN w:val="0"/>
        <w:adjustRightInd w:val="0"/>
        <w:spacing w:line="276" w:lineRule="auto"/>
        <w:jc w:val="both"/>
        <w:rPr>
          <w:rFonts w:ascii="Calibri" w:eastAsia="Calibri" w:hAnsi="Calibri" w:cs="Arial"/>
        </w:rPr>
      </w:pPr>
      <w:r>
        <w:rPr>
          <w:rFonts w:ascii="Calibri" w:hAnsi="Calibri"/>
        </w:rPr>
        <w:t>activities of public information on the support measures/schemes carried out from European funds (EAGF - European Agricultural Guarantee Fund and EARDF - European Agricultural and Rural Development Fund) and from the national budget;</w:t>
      </w:r>
    </w:p>
    <w:p w:rsidR="00BD4A3E" w:rsidRPr="00BD4A3E" w:rsidRDefault="00BD4A3E" w:rsidP="00021698">
      <w:pPr>
        <w:numPr>
          <w:ilvl w:val="0"/>
          <w:numId w:val="111"/>
        </w:numPr>
        <w:autoSpaceDE w:val="0"/>
        <w:autoSpaceDN w:val="0"/>
        <w:adjustRightInd w:val="0"/>
        <w:spacing w:line="276" w:lineRule="auto"/>
        <w:jc w:val="both"/>
        <w:rPr>
          <w:rFonts w:ascii="Calibri" w:eastAsia="Calibri" w:hAnsi="Calibri" w:cs="Arial"/>
        </w:rPr>
      </w:pPr>
      <w:r>
        <w:rPr>
          <w:rFonts w:ascii="Calibri" w:hAnsi="Calibri"/>
        </w:rPr>
        <w:t>organization of training sessions for the representatives of the professional associations from the agricultural field and of informative sessions for the farmers, caravan type actions, through the county and local centers, in the administrative-territorial units;</w:t>
      </w:r>
    </w:p>
    <w:p w:rsidR="00BD4A3E" w:rsidRPr="00BD4A3E" w:rsidRDefault="00BD4A3E" w:rsidP="00021698">
      <w:pPr>
        <w:numPr>
          <w:ilvl w:val="0"/>
          <w:numId w:val="111"/>
        </w:numPr>
        <w:autoSpaceDE w:val="0"/>
        <w:autoSpaceDN w:val="0"/>
        <w:adjustRightInd w:val="0"/>
        <w:spacing w:line="276" w:lineRule="auto"/>
        <w:jc w:val="both"/>
        <w:rPr>
          <w:rFonts w:ascii="Calibri" w:eastAsia="Calibri" w:hAnsi="Calibri" w:cs="Arial"/>
        </w:rPr>
      </w:pPr>
      <w:r>
        <w:rPr>
          <w:rFonts w:ascii="Calibri" w:hAnsi="Calibri"/>
        </w:rPr>
        <w:t>elaboration, printing, distribution/dissemination of informative materials with a special section related to the measures implemented by APIA;</w:t>
      </w:r>
    </w:p>
    <w:p w:rsidR="00BD4A3E" w:rsidRPr="00BD4A3E" w:rsidRDefault="00BD4A3E" w:rsidP="00021698">
      <w:pPr>
        <w:numPr>
          <w:ilvl w:val="0"/>
          <w:numId w:val="111"/>
        </w:numPr>
        <w:autoSpaceDE w:val="0"/>
        <w:autoSpaceDN w:val="0"/>
        <w:adjustRightInd w:val="0"/>
        <w:spacing w:line="276" w:lineRule="auto"/>
        <w:jc w:val="both"/>
        <w:rPr>
          <w:rFonts w:ascii="Calibri" w:eastAsia="Calibri" w:hAnsi="Calibri" w:cs="Arial"/>
        </w:rPr>
      </w:pPr>
      <w:r>
        <w:rPr>
          <w:rFonts w:ascii="Calibri" w:hAnsi="Calibri"/>
        </w:rPr>
        <w:t xml:space="preserve">posting on the official web page of the institution - </w:t>
      </w:r>
      <w:hyperlink r:id="rId41" w:history="1">
        <w:r>
          <w:rPr>
            <w:rFonts w:ascii="Calibri" w:hAnsi="Calibri"/>
          </w:rPr>
          <w:t>www.apia.org.ro</w:t>
        </w:r>
      </w:hyperlink>
      <w:r>
        <w:rPr>
          <w:rFonts w:ascii="Calibri" w:hAnsi="Calibri"/>
        </w:rPr>
        <w:t>, the informative materials corresponding to the Campaign of receipt of applications for support per area, in the sections opened especially for this occasion, which could be accessed from the home page. </w:t>
      </w:r>
    </w:p>
    <w:p w:rsidR="00BD4A3E" w:rsidRPr="00BD4A3E" w:rsidRDefault="00BD4A3E" w:rsidP="00021698">
      <w:pPr>
        <w:numPr>
          <w:ilvl w:val="0"/>
          <w:numId w:val="111"/>
        </w:numPr>
        <w:autoSpaceDE w:val="0"/>
        <w:autoSpaceDN w:val="0"/>
        <w:adjustRightInd w:val="0"/>
        <w:spacing w:line="276" w:lineRule="auto"/>
        <w:jc w:val="both"/>
        <w:rPr>
          <w:rFonts w:ascii="Calibri" w:eastAsia="Calibri" w:hAnsi="Calibri" w:cs="Arial"/>
        </w:rPr>
      </w:pPr>
      <w:r>
        <w:rPr>
          <w:rFonts w:ascii="Calibri" w:hAnsi="Calibri"/>
        </w:rPr>
        <w:t>participation of the institution to public information or promotion events has consisted of the organization of own stands or only in the presence of representatives of the Agency in the stands of partner bodies, from the MARD or foreign, on the occasion of events of the type of fairs (international/national) or exhibitions;</w:t>
      </w:r>
    </w:p>
    <w:p w:rsidR="00BD4A3E" w:rsidRPr="00BD4A3E" w:rsidRDefault="00BD4A3E" w:rsidP="00021698">
      <w:pPr>
        <w:numPr>
          <w:ilvl w:val="0"/>
          <w:numId w:val="111"/>
        </w:numPr>
        <w:autoSpaceDE w:val="0"/>
        <w:autoSpaceDN w:val="0"/>
        <w:adjustRightInd w:val="0"/>
        <w:spacing w:line="276" w:lineRule="auto"/>
        <w:jc w:val="both"/>
        <w:rPr>
          <w:rFonts w:ascii="Calibri" w:eastAsia="Calibri" w:hAnsi="Calibri" w:cs="Arial"/>
        </w:rPr>
      </w:pPr>
      <w:r>
        <w:rPr>
          <w:rFonts w:ascii="Calibri" w:hAnsi="Calibri"/>
        </w:rPr>
        <w:t>public information or promotion activities were carried out during conferences, seminars, symposiums, specialty colloquia, meetings with representatives of city halls or prefect’s institutions, agricultural producers or associations, etc., with participation of the specialists from APIA;</w:t>
      </w:r>
    </w:p>
    <w:p w:rsidR="00BD4A3E" w:rsidRPr="00BD4A3E" w:rsidRDefault="00BD4A3E" w:rsidP="00021698">
      <w:pPr>
        <w:numPr>
          <w:ilvl w:val="0"/>
          <w:numId w:val="111"/>
        </w:numPr>
        <w:autoSpaceDE w:val="0"/>
        <w:autoSpaceDN w:val="0"/>
        <w:adjustRightInd w:val="0"/>
        <w:spacing w:line="276" w:lineRule="auto"/>
        <w:jc w:val="both"/>
        <w:rPr>
          <w:rFonts w:ascii="Calibri" w:eastAsia="Calibri" w:hAnsi="Calibri" w:cs="Arial"/>
        </w:rPr>
      </w:pPr>
      <w:r>
        <w:rPr>
          <w:rFonts w:ascii="Calibri" w:hAnsi="Calibri"/>
        </w:rPr>
        <w:t>participation with own stand at the International fair of products and equipment in the agriculture, horticulture, viticulture and zoo-technical fields - IndAgra 2017;</w:t>
      </w:r>
    </w:p>
    <w:p w:rsidR="00BD4A3E" w:rsidRPr="00BD4A3E" w:rsidRDefault="00BD4A3E" w:rsidP="00021698">
      <w:pPr>
        <w:numPr>
          <w:ilvl w:val="0"/>
          <w:numId w:val="111"/>
        </w:numPr>
        <w:autoSpaceDE w:val="0"/>
        <w:autoSpaceDN w:val="0"/>
        <w:adjustRightInd w:val="0"/>
        <w:spacing w:line="276" w:lineRule="auto"/>
        <w:jc w:val="both"/>
        <w:rPr>
          <w:rFonts w:ascii="Calibri" w:eastAsia="Calibri" w:hAnsi="Calibri" w:cs="Arial"/>
        </w:rPr>
      </w:pPr>
      <w:r>
        <w:rPr>
          <w:rFonts w:ascii="Calibri" w:hAnsi="Calibri"/>
        </w:rPr>
        <w:t>Identification through electronic means of the agricultural plots from the exploitation and of the areas from the commitments.</w:t>
      </w:r>
    </w:p>
    <w:p w:rsidR="00BD4A3E" w:rsidRPr="003964D3" w:rsidRDefault="00BD4A3E" w:rsidP="00BD4A3E">
      <w:pPr>
        <w:spacing w:before="240" w:after="240"/>
        <w:ind w:left="360"/>
        <w:jc w:val="both"/>
        <w:rPr>
          <w:rFonts w:ascii="Calibri" w:hAnsi="Calibri" w:cs="Arial"/>
        </w:rPr>
      </w:pPr>
      <w:r>
        <w:rPr>
          <w:rFonts w:ascii="Calibri" w:hAnsi="Calibri"/>
        </w:rPr>
        <w:t>In order to increase the degree of accessing of Measures 10 and 11, in 2017 the MA PNDR, APIA, and AFIR considered the performance of an extensive informative campaign for the possible beneficiaries of the measure, carried out through the different channels of communication, which included, among others:</w:t>
      </w:r>
    </w:p>
    <w:p w:rsidR="00BD4A3E" w:rsidRPr="00BD4A3E" w:rsidRDefault="00BD4A3E" w:rsidP="00021698">
      <w:pPr>
        <w:numPr>
          <w:ilvl w:val="0"/>
          <w:numId w:val="111"/>
        </w:numPr>
        <w:spacing w:before="240" w:line="276" w:lineRule="auto"/>
        <w:jc w:val="both"/>
        <w:rPr>
          <w:rFonts w:ascii="Calibri" w:eastAsia="Calibri" w:hAnsi="Calibri" w:cs="Arial"/>
        </w:rPr>
      </w:pPr>
      <w:r>
        <w:rPr>
          <w:rFonts w:ascii="Calibri" w:hAnsi="Calibri"/>
        </w:rPr>
        <w:t>the elaboration of informative materials published on the website of the institutions responsible for the elaboration and implementation of environmental and climate measures, on the portal of the National Rural Development Network;</w:t>
      </w:r>
    </w:p>
    <w:p w:rsidR="00BD4A3E" w:rsidRPr="00BD4A3E" w:rsidRDefault="00BD4A3E" w:rsidP="00021698">
      <w:pPr>
        <w:numPr>
          <w:ilvl w:val="0"/>
          <w:numId w:val="111"/>
        </w:numPr>
        <w:spacing w:line="276" w:lineRule="auto"/>
        <w:jc w:val="both"/>
        <w:rPr>
          <w:rFonts w:ascii="Calibri" w:eastAsia="Calibri" w:hAnsi="Calibri" w:cs="Arial"/>
        </w:rPr>
      </w:pPr>
      <w:r>
        <w:rPr>
          <w:rFonts w:ascii="Calibri" w:hAnsi="Calibri"/>
        </w:rPr>
        <w:t>publication of press releases (subsequently taken over by the media channels at national and regional level) and publication of the articles through the use of social media tools,</w:t>
      </w:r>
    </w:p>
    <w:p w:rsidR="00BD4A3E" w:rsidRPr="00BD4A3E" w:rsidRDefault="00BD4A3E" w:rsidP="00021698">
      <w:pPr>
        <w:numPr>
          <w:ilvl w:val="0"/>
          <w:numId w:val="111"/>
        </w:numPr>
        <w:spacing w:after="240" w:line="276" w:lineRule="auto"/>
        <w:jc w:val="both"/>
        <w:rPr>
          <w:rFonts w:ascii="Calibri" w:eastAsia="Calibri" w:hAnsi="Calibri" w:cs="Arial"/>
        </w:rPr>
      </w:pPr>
      <w:r>
        <w:rPr>
          <w:rFonts w:ascii="Calibri" w:hAnsi="Calibri"/>
        </w:rPr>
        <w:t>Information supplied through the single payment application per area and the Applicant’s Guide.   (materials which were published in due time on the website managed by the Agency for Payments and Intervention in Agriculture).</w:t>
      </w:r>
    </w:p>
    <w:p w:rsidR="00BD4A3E" w:rsidRPr="00BD4A3E" w:rsidRDefault="00BD4A3E" w:rsidP="00BD4A3E">
      <w:pPr>
        <w:spacing w:before="240" w:after="240"/>
        <w:jc w:val="both"/>
        <w:rPr>
          <w:rFonts w:ascii="Calibri" w:eastAsia="Calibri" w:hAnsi="Calibri" w:cs="Arial"/>
        </w:rPr>
      </w:pPr>
      <w:r>
        <w:rPr>
          <w:rFonts w:ascii="Calibri" w:hAnsi="Calibri"/>
        </w:rPr>
        <w:t>In parallel, APIA has organized caravans and informative and promotion campaigns before starting the submission of single payment applications.</w:t>
      </w:r>
    </w:p>
    <w:p w:rsidR="00BD4A3E" w:rsidRPr="00BD4A3E" w:rsidRDefault="00BD4A3E" w:rsidP="00021698">
      <w:pPr>
        <w:numPr>
          <w:ilvl w:val="0"/>
          <w:numId w:val="102"/>
        </w:numPr>
        <w:shd w:val="clear" w:color="auto" w:fill="92D050"/>
        <w:tabs>
          <w:tab w:val="left" w:pos="90"/>
          <w:tab w:val="left" w:pos="960"/>
        </w:tabs>
        <w:spacing w:after="120" w:line="276" w:lineRule="auto"/>
        <w:contextualSpacing/>
        <w:jc w:val="both"/>
        <w:rPr>
          <w:rFonts w:ascii="Calibri" w:eastAsia="Calibri" w:hAnsi="Calibri" w:cs="Arial"/>
        </w:rPr>
      </w:pPr>
      <w:r>
        <w:rPr>
          <w:rFonts w:ascii="Calibri" w:hAnsi="Calibri"/>
        </w:rPr>
        <w:t>Objectives for 2019-2021</w:t>
      </w:r>
    </w:p>
    <w:p w:rsidR="00BD4A3E" w:rsidRPr="00BD4A3E" w:rsidRDefault="00BD4A3E" w:rsidP="00BD4A3E">
      <w:pPr>
        <w:widowControl w:val="0"/>
        <w:autoSpaceDE w:val="0"/>
        <w:autoSpaceDN w:val="0"/>
        <w:adjustRightInd w:val="0"/>
        <w:spacing w:before="98"/>
        <w:ind w:right="-20"/>
        <w:jc w:val="both"/>
        <w:rPr>
          <w:rFonts w:ascii="Calibri" w:eastAsia="Calibri" w:hAnsi="Calibri" w:cs="Arial"/>
          <w:b/>
        </w:rPr>
      </w:pPr>
      <w:r>
        <w:rPr>
          <w:rFonts w:ascii="Calibri" w:hAnsi="Calibri"/>
          <w:b/>
        </w:rPr>
        <w:t>With regard to 2019-2021, the main objective of the Agency is to ensure a good management of Community and national funds and to support Romanian farmers, thus ensuring the development of the agricultural field, of vegetable growing and animal breeding farms, under observance of the measures of environmental protection, as well as of capitalization of resources and of the national possibilities available to Romania.</w:t>
      </w:r>
    </w:p>
    <w:p w:rsidR="00BD4A3E" w:rsidRPr="00BD4A3E" w:rsidRDefault="00BD4A3E" w:rsidP="00BD4A3E">
      <w:pPr>
        <w:widowControl w:val="0"/>
        <w:autoSpaceDE w:val="0"/>
        <w:autoSpaceDN w:val="0"/>
        <w:adjustRightInd w:val="0"/>
        <w:spacing w:before="98"/>
        <w:ind w:right="-20"/>
        <w:jc w:val="both"/>
        <w:rPr>
          <w:rFonts w:ascii="Calibri" w:eastAsia="Calibri" w:hAnsi="Calibri" w:cs="Arial"/>
        </w:rPr>
      </w:pPr>
      <w:r>
        <w:rPr>
          <w:rFonts w:ascii="Calibri" w:hAnsi="Calibri"/>
        </w:rPr>
        <w:t xml:space="preserve">To maintain the ascending trend of European fund absorption and to encourage farmers to rely on agriculture by accessing as many forms of financial support as possible. </w:t>
      </w:r>
    </w:p>
    <w:p w:rsidR="00BD4A3E" w:rsidRPr="00BD4A3E" w:rsidRDefault="00BD4A3E" w:rsidP="00BD4A3E">
      <w:pPr>
        <w:widowControl w:val="0"/>
        <w:autoSpaceDE w:val="0"/>
        <w:autoSpaceDN w:val="0"/>
        <w:adjustRightInd w:val="0"/>
        <w:spacing w:before="98"/>
        <w:ind w:right="-20"/>
        <w:jc w:val="both"/>
        <w:rPr>
          <w:rFonts w:ascii="Calibri" w:eastAsia="Calibri" w:hAnsi="Calibri" w:cs="Arial"/>
        </w:rPr>
      </w:pPr>
      <w:r>
        <w:rPr>
          <w:rFonts w:ascii="Calibri" w:hAnsi="Calibri"/>
        </w:rPr>
        <w:t>To continue to contribute, with the farmers’ support and in their interest, to the modernization and efficiency of agriculture, to developing the Romanian village and increasing economy as a whole, on medium and long term, in Romania.</w:t>
      </w:r>
    </w:p>
    <w:p w:rsidR="00BD4A3E" w:rsidRPr="00BD4A3E" w:rsidRDefault="00BD4A3E" w:rsidP="00BD4A3E">
      <w:pPr>
        <w:widowControl w:val="0"/>
        <w:autoSpaceDE w:val="0"/>
        <w:autoSpaceDN w:val="0"/>
        <w:adjustRightInd w:val="0"/>
        <w:spacing w:before="98"/>
        <w:ind w:right="-20"/>
        <w:jc w:val="both"/>
        <w:rPr>
          <w:rFonts w:ascii="Calibri" w:eastAsia="Calibri" w:hAnsi="Calibri" w:cs="Arial"/>
        </w:rPr>
      </w:pPr>
      <w:r>
        <w:rPr>
          <w:rFonts w:ascii="Calibri" w:hAnsi="Calibri"/>
        </w:rPr>
        <w:t>The quality of European agricultural products, the methods of production used, food safety and the nutritional properties of food, ecological production, remain advantages that can support agricultural products in the competition with those obtained in third countries at much lower prices and quality the size of production costs.</w:t>
      </w:r>
    </w:p>
    <w:p w:rsidR="00BD4A3E" w:rsidRPr="00BD4A3E" w:rsidRDefault="00BD4A3E" w:rsidP="00BD4A3E">
      <w:pPr>
        <w:widowControl w:val="0"/>
        <w:autoSpaceDE w:val="0"/>
        <w:autoSpaceDN w:val="0"/>
        <w:adjustRightInd w:val="0"/>
        <w:spacing w:before="98"/>
        <w:ind w:right="-20"/>
        <w:jc w:val="both"/>
        <w:rPr>
          <w:rFonts w:ascii="Calibri" w:eastAsia="Calibri" w:hAnsi="Calibri" w:cs="Arial"/>
        </w:rPr>
      </w:pPr>
      <w:r>
        <w:rPr>
          <w:rFonts w:ascii="Calibri" w:hAnsi="Calibri"/>
        </w:rPr>
        <w:t>The measure of promotion of agricultural products on the domestic market of the European Union and on the markets of third countries to whose financing the European Commission participates, together with the beneficiaries, contains instruments dedicated to consolidating commercial exchanges, to introducing and increasing the market share of products from the European Union, including Romanian products, on the markets of third countries, the beneficial effects being quantified at economic level.</w:t>
      </w:r>
    </w:p>
    <w:p w:rsidR="00BD4A3E" w:rsidRPr="00BD4A3E" w:rsidRDefault="00BD4A3E" w:rsidP="00BD4A3E">
      <w:pPr>
        <w:widowControl w:val="0"/>
        <w:autoSpaceDE w:val="0"/>
        <w:autoSpaceDN w:val="0"/>
        <w:adjustRightInd w:val="0"/>
        <w:spacing w:before="98"/>
        <w:ind w:right="-20"/>
        <w:jc w:val="both"/>
        <w:rPr>
          <w:rFonts w:ascii="Calibri" w:eastAsia="Calibri" w:hAnsi="Calibri" w:cs="Arial"/>
        </w:rPr>
      </w:pPr>
      <w:r>
        <w:rPr>
          <w:rFonts w:ascii="Calibri" w:hAnsi="Calibri"/>
        </w:rPr>
        <w:t>The Common Agricultural Policy (CAP) allows the potential of the European agricultural and agro-food sector to be freed and highlighted to contribute to the Europe 2020 Strategy for smart, sustainable and inclusion favorable growth, supporting agriculture as source of food safety, of sustainable use of resources and of dynamism for the rural areas.</w:t>
      </w:r>
    </w:p>
    <w:p w:rsidR="00BD4A3E" w:rsidRPr="00BD4A3E" w:rsidRDefault="00BD4A3E" w:rsidP="00BD4A3E">
      <w:pPr>
        <w:widowControl w:val="0"/>
        <w:autoSpaceDE w:val="0"/>
        <w:autoSpaceDN w:val="0"/>
        <w:adjustRightInd w:val="0"/>
        <w:spacing w:before="98"/>
        <w:ind w:right="-20"/>
        <w:jc w:val="both"/>
        <w:rPr>
          <w:rFonts w:ascii="Calibri" w:eastAsia="Calibri" w:hAnsi="Calibri" w:cs="Arial"/>
        </w:rPr>
      </w:pPr>
      <w:r>
        <w:rPr>
          <w:rFonts w:ascii="Calibri" w:hAnsi="Calibri"/>
        </w:rPr>
        <w:t>As a CAP instrument, the European policy of promotion for agricultural products seeks the objectives of the CAP reform until 2020 and, especially, the stimulation of competitiveness for the European agriculture, both on the domestic market and in third countries, focusing on the following objectives:</w:t>
      </w:r>
    </w:p>
    <w:p w:rsidR="00BD4A3E" w:rsidRPr="00BD4A3E" w:rsidRDefault="00BD4A3E" w:rsidP="00021698">
      <w:pPr>
        <w:numPr>
          <w:ilvl w:val="0"/>
          <w:numId w:val="112"/>
        </w:numPr>
        <w:autoSpaceDE w:val="0"/>
        <w:autoSpaceDN w:val="0"/>
        <w:adjustRightInd w:val="0"/>
        <w:spacing w:before="60" w:after="60" w:line="276" w:lineRule="auto"/>
        <w:contextualSpacing/>
        <w:jc w:val="both"/>
        <w:rPr>
          <w:rFonts w:ascii="Calibri" w:eastAsia="Calibri" w:hAnsi="Calibri" w:cs="Arial"/>
          <w:szCs w:val="22"/>
        </w:rPr>
      </w:pPr>
      <w:r>
        <w:rPr>
          <w:rFonts w:ascii="Calibri" w:hAnsi="Calibri"/>
          <w:szCs w:val="22"/>
        </w:rPr>
        <w:t>Increasing consumer awareness with regard to the merits of European agricultural products;</w:t>
      </w:r>
    </w:p>
    <w:p w:rsidR="00BD4A3E" w:rsidRPr="00BD4A3E" w:rsidRDefault="00BD4A3E" w:rsidP="00021698">
      <w:pPr>
        <w:numPr>
          <w:ilvl w:val="0"/>
          <w:numId w:val="112"/>
        </w:numPr>
        <w:autoSpaceDE w:val="0"/>
        <w:autoSpaceDN w:val="0"/>
        <w:adjustRightInd w:val="0"/>
        <w:spacing w:line="276" w:lineRule="auto"/>
        <w:contextualSpacing/>
        <w:jc w:val="both"/>
        <w:rPr>
          <w:rFonts w:ascii="Calibri" w:eastAsia="Calibri" w:hAnsi="Calibri" w:cs="Arial"/>
          <w:szCs w:val="22"/>
        </w:rPr>
      </w:pPr>
      <w:r>
        <w:rPr>
          <w:rFonts w:ascii="Calibri" w:hAnsi="Calibri"/>
          <w:szCs w:val="22"/>
        </w:rPr>
        <w:t>Developing and opening new markets for European agricultural products on the domestic market and in third countries;</w:t>
      </w:r>
    </w:p>
    <w:p w:rsidR="00BD4A3E" w:rsidRPr="00BD4A3E" w:rsidRDefault="00BD4A3E" w:rsidP="00021698">
      <w:pPr>
        <w:numPr>
          <w:ilvl w:val="0"/>
          <w:numId w:val="112"/>
        </w:numPr>
        <w:autoSpaceDE w:val="0"/>
        <w:autoSpaceDN w:val="0"/>
        <w:adjustRightInd w:val="0"/>
        <w:spacing w:line="276" w:lineRule="auto"/>
        <w:contextualSpacing/>
        <w:jc w:val="both"/>
        <w:rPr>
          <w:rFonts w:ascii="Calibri" w:eastAsia="Calibri" w:hAnsi="Calibri" w:cs="Arial"/>
          <w:szCs w:val="22"/>
        </w:rPr>
      </w:pPr>
      <w:r>
        <w:rPr>
          <w:rFonts w:ascii="Calibri" w:hAnsi="Calibri"/>
          <w:szCs w:val="22"/>
        </w:rPr>
        <w:t>Increasing the policy’s efficiency and effectiveness, through a more efficient capitalization of European agricultural production and through consolidation of the position thereof on the different existing markets.</w:t>
      </w:r>
    </w:p>
    <w:p w:rsidR="00BD4A3E" w:rsidRDefault="00BD4A3E" w:rsidP="00BD4A3E">
      <w:pPr>
        <w:ind w:right="144"/>
        <w:jc w:val="both"/>
        <w:rPr>
          <w:rFonts w:ascii="Calibri" w:eastAsia="Calibri" w:hAnsi="Calibri" w:cs="Arial"/>
          <w:lang w:val="ro-RO"/>
        </w:rPr>
      </w:pPr>
    </w:p>
    <w:p w:rsidR="00BD4A3E" w:rsidRPr="00BD4A3E" w:rsidRDefault="00BD4A3E" w:rsidP="00021698">
      <w:pPr>
        <w:numPr>
          <w:ilvl w:val="0"/>
          <w:numId w:val="109"/>
        </w:numPr>
        <w:shd w:val="clear" w:color="auto" w:fill="92D050"/>
        <w:tabs>
          <w:tab w:val="left" w:pos="90"/>
          <w:tab w:val="left" w:pos="960"/>
        </w:tabs>
        <w:spacing w:after="120" w:line="276" w:lineRule="auto"/>
        <w:contextualSpacing/>
        <w:jc w:val="both"/>
        <w:rPr>
          <w:rFonts w:ascii="Calibri" w:eastAsia="Calibri" w:hAnsi="Calibri" w:cs="Arial"/>
        </w:rPr>
      </w:pPr>
      <w:r>
        <w:rPr>
          <w:rFonts w:ascii="Calibri" w:hAnsi="Calibri"/>
        </w:rPr>
        <w:t>EUROPEAN MARITIME AND FISHERIES FUND</w:t>
      </w:r>
    </w:p>
    <w:p w:rsidR="00BD4A3E" w:rsidRPr="00BD4A3E" w:rsidRDefault="00BD4A3E" w:rsidP="00BD4A3E">
      <w:pPr>
        <w:tabs>
          <w:tab w:val="left" w:pos="709"/>
          <w:tab w:val="left" w:pos="1899"/>
        </w:tabs>
        <w:ind w:right="-108"/>
        <w:jc w:val="both"/>
        <w:rPr>
          <w:rFonts w:ascii="Calibri" w:eastAsia="Calibri" w:hAnsi="Calibri" w:cs="Arial"/>
          <w:b/>
        </w:rPr>
      </w:pPr>
      <w:r>
        <w:rPr>
          <w:rFonts w:ascii="Calibri" w:hAnsi="Calibri"/>
          <w:b/>
        </w:rPr>
        <w:t>Annual financial allocation from EMFF:</w:t>
      </w:r>
    </w:p>
    <w:p w:rsidR="00BD4A3E" w:rsidRPr="00BD4A3E" w:rsidRDefault="00BD4A3E" w:rsidP="00BD4A3E">
      <w:pPr>
        <w:jc w:val="both"/>
        <w:rPr>
          <w:rFonts w:ascii="Calibri" w:eastAsia="Calibri" w:hAnsi="Calibri" w:cs="Arial"/>
          <w:lang w:val="ro-RO"/>
        </w:rPr>
      </w:pP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3"/>
        <w:gridCol w:w="2286"/>
        <w:gridCol w:w="3309"/>
        <w:gridCol w:w="2706"/>
      </w:tblGrid>
      <w:tr w:rsidR="00BD4A3E" w:rsidRPr="00AC4302" w:rsidTr="00BD4A3E">
        <w:trPr>
          <w:trHeight w:val="604"/>
        </w:trPr>
        <w:tc>
          <w:tcPr>
            <w:tcW w:w="1353" w:type="dxa"/>
            <w:shd w:val="clear" w:color="auto" w:fill="auto"/>
          </w:tcPr>
          <w:p w:rsidR="00BD4A3E" w:rsidRPr="00BD4A3E" w:rsidRDefault="00BD4A3E" w:rsidP="00BD4A3E">
            <w:pPr>
              <w:jc w:val="center"/>
              <w:rPr>
                <w:rFonts w:ascii="Calibri" w:eastAsia="Calibri" w:hAnsi="Calibri" w:cs="Arial"/>
                <w:b/>
              </w:rPr>
            </w:pPr>
            <w:r>
              <w:rPr>
                <w:rFonts w:ascii="Calibri" w:hAnsi="Calibri"/>
                <w:b/>
              </w:rPr>
              <w:t>Allocation year</w:t>
            </w:r>
          </w:p>
        </w:tc>
        <w:tc>
          <w:tcPr>
            <w:tcW w:w="2286" w:type="dxa"/>
            <w:shd w:val="clear" w:color="auto" w:fill="auto"/>
          </w:tcPr>
          <w:p w:rsidR="00BD4A3E" w:rsidRPr="00BD4A3E" w:rsidRDefault="00BD4A3E" w:rsidP="00BD4A3E">
            <w:pPr>
              <w:jc w:val="center"/>
              <w:rPr>
                <w:rFonts w:ascii="Calibri" w:eastAsia="Calibri" w:hAnsi="Calibri" w:cs="Arial"/>
                <w:b/>
              </w:rPr>
            </w:pPr>
            <w:r>
              <w:rPr>
                <w:rFonts w:ascii="Calibri" w:hAnsi="Calibri"/>
                <w:b/>
              </w:rPr>
              <w:t>Main allocation from EMFF</w:t>
            </w:r>
          </w:p>
        </w:tc>
        <w:tc>
          <w:tcPr>
            <w:tcW w:w="3309" w:type="dxa"/>
          </w:tcPr>
          <w:p w:rsidR="00BD4A3E" w:rsidRPr="00BD4A3E" w:rsidRDefault="00BD4A3E" w:rsidP="00BD4A3E">
            <w:pPr>
              <w:jc w:val="center"/>
              <w:rPr>
                <w:rFonts w:ascii="Calibri" w:eastAsia="Calibri" w:hAnsi="Calibri" w:cs="Arial"/>
                <w:b/>
              </w:rPr>
            </w:pPr>
            <w:r>
              <w:rPr>
                <w:rFonts w:ascii="Calibri" w:hAnsi="Calibri"/>
                <w:b/>
              </w:rPr>
              <w:t>Maximum corresponding contribution from the National budget</w:t>
            </w:r>
          </w:p>
        </w:tc>
        <w:tc>
          <w:tcPr>
            <w:tcW w:w="2706" w:type="dxa"/>
          </w:tcPr>
          <w:p w:rsidR="00BD4A3E" w:rsidRPr="00BD4A3E" w:rsidRDefault="00BD4A3E" w:rsidP="00BD4A3E">
            <w:pPr>
              <w:jc w:val="center"/>
              <w:rPr>
                <w:rFonts w:ascii="Calibri" w:eastAsia="Calibri" w:hAnsi="Calibri" w:cs="Arial"/>
                <w:b/>
              </w:rPr>
            </w:pPr>
            <w:r>
              <w:rPr>
                <w:rFonts w:ascii="Calibri" w:hAnsi="Calibri"/>
                <w:b/>
              </w:rPr>
              <w:t>Deadline year for spending of the allocation</w:t>
            </w:r>
          </w:p>
        </w:tc>
      </w:tr>
      <w:tr w:rsidR="00BD4A3E" w:rsidRPr="00BD4A3E" w:rsidTr="00BD4A3E">
        <w:trPr>
          <w:trHeight w:val="294"/>
        </w:trPr>
        <w:tc>
          <w:tcPr>
            <w:tcW w:w="1353" w:type="dxa"/>
            <w:shd w:val="clear" w:color="auto" w:fill="auto"/>
          </w:tcPr>
          <w:p w:rsidR="00BD4A3E" w:rsidRPr="00BD4A3E" w:rsidRDefault="00BD4A3E" w:rsidP="00BD4A3E">
            <w:pPr>
              <w:jc w:val="both"/>
              <w:rPr>
                <w:rFonts w:ascii="Calibri" w:eastAsia="Calibri" w:hAnsi="Calibri" w:cs="Arial"/>
              </w:rPr>
            </w:pPr>
            <w:r>
              <w:rPr>
                <w:rFonts w:ascii="Calibri" w:hAnsi="Calibri"/>
              </w:rPr>
              <w:t>2015</w:t>
            </w:r>
          </w:p>
        </w:tc>
        <w:tc>
          <w:tcPr>
            <w:tcW w:w="2286" w:type="dxa"/>
            <w:shd w:val="clear" w:color="auto" w:fill="auto"/>
          </w:tcPr>
          <w:p w:rsidR="00BD4A3E" w:rsidRPr="00BD4A3E" w:rsidRDefault="00BD4A3E" w:rsidP="00BD4A3E">
            <w:pPr>
              <w:jc w:val="right"/>
              <w:rPr>
                <w:rFonts w:ascii="Calibri" w:eastAsia="Calibri" w:hAnsi="Calibri" w:cs="Arial"/>
                <w:sz w:val="22"/>
                <w:szCs w:val="22"/>
              </w:rPr>
            </w:pPr>
            <w:r>
              <w:rPr>
                <w:rFonts w:ascii="Calibri" w:hAnsi="Calibri"/>
                <w:sz w:val="22"/>
                <w:szCs w:val="22"/>
              </w:rPr>
              <w:t>46,465,937.00</w:t>
            </w:r>
          </w:p>
        </w:tc>
        <w:tc>
          <w:tcPr>
            <w:tcW w:w="3309" w:type="dxa"/>
          </w:tcPr>
          <w:p w:rsidR="00BD4A3E" w:rsidRPr="00BD4A3E" w:rsidRDefault="00BD4A3E" w:rsidP="00BD4A3E">
            <w:pPr>
              <w:jc w:val="right"/>
              <w:rPr>
                <w:rFonts w:ascii="Calibri" w:eastAsia="Calibri" w:hAnsi="Calibri" w:cs="Arial"/>
                <w:sz w:val="22"/>
                <w:szCs w:val="22"/>
              </w:rPr>
            </w:pPr>
            <w:r>
              <w:rPr>
                <w:rFonts w:ascii="Calibri" w:hAnsi="Calibri"/>
                <w:sz w:val="22"/>
                <w:szCs w:val="22"/>
              </w:rPr>
              <w:t>15,488,645.67</w:t>
            </w:r>
          </w:p>
        </w:tc>
        <w:tc>
          <w:tcPr>
            <w:tcW w:w="2706" w:type="dxa"/>
          </w:tcPr>
          <w:p w:rsidR="00BD4A3E" w:rsidRPr="00BD4A3E" w:rsidRDefault="00BD4A3E" w:rsidP="00BD4A3E">
            <w:pPr>
              <w:jc w:val="center"/>
              <w:rPr>
                <w:rFonts w:ascii="Calibri" w:eastAsia="Calibri" w:hAnsi="Calibri" w:cs="Arial"/>
              </w:rPr>
            </w:pPr>
            <w:r>
              <w:rPr>
                <w:rFonts w:ascii="Calibri" w:hAnsi="Calibri"/>
              </w:rPr>
              <w:t>2018</w:t>
            </w:r>
          </w:p>
        </w:tc>
      </w:tr>
      <w:tr w:rsidR="00BD4A3E" w:rsidRPr="00BD4A3E" w:rsidTr="00BD4A3E">
        <w:trPr>
          <w:trHeight w:val="294"/>
        </w:trPr>
        <w:tc>
          <w:tcPr>
            <w:tcW w:w="1353" w:type="dxa"/>
            <w:shd w:val="clear" w:color="auto" w:fill="auto"/>
          </w:tcPr>
          <w:p w:rsidR="00BD4A3E" w:rsidRPr="00BD4A3E" w:rsidRDefault="00BD4A3E" w:rsidP="00BD4A3E">
            <w:pPr>
              <w:jc w:val="both"/>
              <w:rPr>
                <w:rFonts w:ascii="Calibri" w:eastAsia="Calibri" w:hAnsi="Calibri" w:cs="Arial"/>
              </w:rPr>
            </w:pPr>
            <w:r>
              <w:rPr>
                <w:rFonts w:ascii="Calibri" w:hAnsi="Calibri"/>
              </w:rPr>
              <w:t>2016</w:t>
            </w:r>
          </w:p>
        </w:tc>
        <w:tc>
          <w:tcPr>
            <w:tcW w:w="2286" w:type="dxa"/>
            <w:shd w:val="clear" w:color="auto" w:fill="auto"/>
          </w:tcPr>
          <w:p w:rsidR="00BD4A3E" w:rsidRPr="00BD4A3E" w:rsidRDefault="00BD4A3E" w:rsidP="00BD4A3E">
            <w:pPr>
              <w:jc w:val="right"/>
              <w:rPr>
                <w:rFonts w:ascii="Calibri" w:eastAsia="Calibri" w:hAnsi="Calibri" w:cs="Arial"/>
                <w:sz w:val="22"/>
                <w:szCs w:val="22"/>
              </w:rPr>
            </w:pPr>
            <w:r>
              <w:rPr>
                <w:rFonts w:ascii="Calibri" w:hAnsi="Calibri"/>
                <w:sz w:val="22"/>
                <w:szCs w:val="22"/>
              </w:rPr>
              <w:t>23,594,150.00</w:t>
            </w:r>
          </w:p>
        </w:tc>
        <w:tc>
          <w:tcPr>
            <w:tcW w:w="3309" w:type="dxa"/>
          </w:tcPr>
          <w:p w:rsidR="00BD4A3E" w:rsidRPr="00BD4A3E" w:rsidRDefault="00BD4A3E" w:rsidP="00BD4A3E">
            <w:pPr>
              <w:jc w:val="right"/>
              <w:rPr>
                <w:rFonts w:ascii="Calibri" w:eastAsia="Calibri" w:hAnsi="Calibri" w:cs="Arial"/>
                <w:sz w:val="22"/>
                <w:szCs w:val="22"/>
              </w:rPr>
            </w:pPr>
            <w:r>
              <w:rPr>
                <w:rFonts w:ascii="Calibri" w:hAnsi="Calibri"/>
                <w:sz w:val="22"/>
                <w:szCs w:val="22"/>
              </w:rPr>
              <w:t>7,864,716.67</w:t>
            </w:r>
          </w:p>
        </w:tc>
        <w:tc>
          <w:tcPr>
            <w:tcW w:w="2706" w:type="dxa"/>
          </w:tcPr>
          <w:p w:rsidR="00BD4A3E" w:rsidRPr="00BD4A3E" w:rsidRDefault="00BD4A3E" w:rsidP="00BD4A3E">
            <w:pPr>
              <w:jc w:val="center"/>
              <w:rPr>
                <w:rFonts w:ascii="Calibri" w:eastAsia="Calibri" w:hAnsi="Calibri" w:cs="Arial"/>
              </w:rPr>
            </w:pPr>
            <w:r>
              <w:rPr>
                <w:rFonts w:ascii="Calibri" w:hAnsi="Calibri"/>
              </w:rPr>
              <w:t>2019</w:t>
            </w:r>
          </w:p>
        </w:tc>
      </w:tr>
      <w:tr w:rsidR="00BD4A3E" w:rsidRPr="00BD4A3E" w:rsidTr="00BD4A3E">
        <w:trPr>
          <w:trHeight w:val="294"/>
        </w:trPr>
        <w:tc>
          <w:tcPr>
            <w:tcW w:w="1353" w:type="dxa"/>
            <w:shd w:val="clear" w:color="auto" w:fill="auto"/>
          </w:tcPr>
          <w:p w:rsidR="00BD4A3E" w:rsidRPr="00BD4A3E" w:rsidRDefault="00BD4A3E" w:rsidP="00BD4A3E">
            <w:pPr>
              <w:jc w:val="both"/>
              <w:rPr>
                <w:rFonts w:ascii="Calibri" w:eastAsia="Calibri" w:hAnsi="Calibri" w:cs="Arial"/>
              </w:rPr>
            </w:pPr>
            <w:r>
              <w:rPr>
                <w:rFonts w:ascii="Calibri" w:hAnsi="Calibri"/>
              </w:rPr>
              <w:t>2017</w:t>
            </w:r>
          </w:p>
        </w:tc>
        <w:tc>
          <w:tcPr>
            <w:tcW w:w="2286" w:type="dxa"/>
            <w:shd w:val="clear" w:color="auto" w:fill="auto"/>
          </w:tcPr>
          <w:p w:rsidR="00BD4A3E" w:rsidRPr="00BD4A3E" w:rsidRDefault="00BD4A3E" w:rsidP="00BD4A3E">
            <w:pPr>
              <w:jc w:val="right"/>
              <w:rPr>
                <w:rFonts w:ascii="Calibri" w:eastAsia="Calibri" w:hAnsi="Calibri" w:cs="Arial"/>
                <w:sz w:val="22"/>
                <w:szCs w:val="22"/>
              </w:rPr>
            </w:pPr>
            <w:r>
              <w:rPr>
                <w:rFonts w:ascii="Calibri" w:hAnsi="Calibri"/>
                <w:sz w:val="22"/>
                <w:szCs w:val="22"/>
              </w:rPr>
              <w:t>23,976,562.00</w:t>
            </w:r>
          </w:p>
        </w:tc>
        <w:tc>
          <w:tcPr>
            <w:tcW w:w="3309" w:type="dxa"/>
          </w:tcPr>
          <w:p w:rsidR="00BD4A3E" w:rsidRPr="00BD4A3E" w:rsidRDefault="00BD4A3E" w:rsidP="00BD4A3E">
            <w:pPr>
              <w:jc w:val="right"/>
              <w:rPr>
                <w:rFonts w:ascii="Calibri" w:eastAsia="Calibri" w:hAnsi="Calibri" w:cs="Arial"/>
                <w:sz w:val="22"/>
                <w:szCs w:val="22"/>
              </w:rPr>
            </w:pPr>
            <w:r>
              <w:rPr>
                <w:rFonts w:ascii="Calibri" w:hAnsi="Calibri"/>
                <w:sz w:val="22"/>
                <w:szCs w:val="22"/>
              </w:rPr>
              <w:t>7,992,187.33</w:t>
            </w:r>
          </w:p>
        </w:tc>
        <w:tc>
          <w:tcPr>
            <w:tcW w:w="2706" w:type="dxa"/>
          </w:tcPr>
          <w:p w:rsidR="00BD4A3E" w:rsidRPr="00BD4A3E" w:rsidRDefault="00BD4A3E" w:rsidP="00BD4A3E">
            <w:pPr>
              <w:jc w:val="center"/>
              <w:rPr>
                <w:rFonts w:ascii="Calibri" w:eastAsia="Calibri" w:hAnsi="Calibri" w:cs="Arial"/>
              </w:rPr>
            </w:pPr>
            <w:r>
              <w:rPr>
                <w:rFonts w:ascii="Calibri" w:hAnsi="Calibri"/>
              </w:rPr>
              <w:t>2020</w:t>
            </w:r>
          </w:p>
        </w:tc>
      </w:tr>
      <w:tr w:rsidR="00BD4A3E" w:rsidRPr="00BD4A3E" w:rsidTr="00BD4A3E">
        <w:trPr>
          <w:trHeight w:val="309"/>
        </w:trPr>
        <w:tc>
          <w:tcPr>
            <w:tcW w:w="1353" w:type="dxa"/>
            <w:shd w:val="clear" w:color="auto" w:fill="auto"/>
          </w:tcPr>
          <w:p w:rsidR="00BD4A3E" w:rsidRPr="00BD4A3E" w:rsidRDefault="00BD4A3E" w:rsidP="00BD4A3E">
            <w:pPr>
              <w:jc w:val="both"/>
              <w:rPr>
                <w:rFonts w:ascii="Calibri" w:eastAsia="Calibri" w:hAnsi="Calibri" w:cs="Arial"/>
              </w:rPr>
            </w:pPr>
            <w:r>
              <w:rPr>
                <w:rFonts w:ascii="Calibri" w:hAnsi="Calibri"/>
              </w:rPr>
              <w:t>2018</w:t>
            </w:r>
          </w:p>
        </w:tc>
        <w:tc>
          <w:tcPr>
            <w:tcW w:w="2286" w:type="dxa"/>
            <w:shd w:val="clear" w:color="auto" w:fill="auto"/>
          </w:tcPr>
          <w:p w:rsidR="00BD4A3E" w:rsidRPr="00BD4A3E" w:rsidRDefault="00BD4A3E" w:rsidP="00BD4A3E">
            <w:pPr>
              <w:jc w:val="right"/>
              <w:rPr>
                <w:rFonts w:ascii="Calibri" w:eastAsia="Calibri" w:hAnsi="Calibri" w:cs="Arial"/>
                <w:sz w:val="22"/>
                <w:szCs w:val="22"/>
              </w:rPr>
            </w:pPr>
            <w:r>
              <w:rPr>
                <w:rFonts w:ascii="Calibri" w:hAnsi="Calibri"/>
                <w:sz w:val="22"/>
                <w:szCs w:val="22"/>
              </w:rPr>
              <w:t>24,534,471.00</w:t>
            </w:r>
          </w:p>
        </w:tc>
        <w:tc>
          <w:tcPr>
            <w:tcW w:w="3309" w:type="dxa"/>
          </w:tcPr>
          <w:p w:rsidR="00BD4A3E" w:rsidRPr="00BD4A3E" w:rsidRDefault="00BD4A3E" w:rsidP="00BD4A3E">
            <w:pPr>
              <w:jc w:val="right"/>
              <w:rPr>
                <w:rFonts w:ascii="Calibri" w:eastAsia="Calibri" w:hAnsi="Calibri" w:cs="Arial"/>
                <w:sz w:val="22"/>
                <w:szCs w:val="22"/>
              </w:rPr>
            </w:pPr>
            <w:r>
              <w:rPr>
                <w:rFonts w:ascii="Calibri" w:hAnsi="Calibri"/>
                <w:sz w:val="22"/>
                <w:szCs w:val="22"/>
              </w:rPr>
              <w:t>8,178,157.00</w:t>
            </w:r>
          </w:p>
        </w:tc>
        <w:tc>
          <w:tcPr>
            <w:tcW w:w="2706" w:type="dxa"/>
          </w:tcPr>
          <w:p w:rsidR="00BD4A3E" w:rsidRPr="00BD4A3E" w:rsidRDefault="00BD4A3E" w:rsidP="00BD4A3E">
            <w:pPr>
              <w:jc w:val="center"/>
              <w:rPr>
                <w:rFonts w:ascii="Calibri" w:eastAsia="Calibri" w:hAnsi="Calibri" w:cs="Arial"/>
              </w:rPr>
            </w:pPr>
            <w:r>
              <w:rPr>
                <w:rFonts w:ascii="Calibri" w:hAnsi="Calibri"/>
              </w:rPr>
              <w:t>2021</w:t>
            </w:r>
          </w:p>
        </w:tc>
      </w:tr>
      <w:tr w:rsidR="00BD4A3E" w:rsidRPr="00BD4A3E" w:rsidTr="00BD4A3E">
        <w:trPr>
          <w:trHeight w:val="294"/>
        </w:trPr>
        <w:tc>
          <w:tcPr>
            <w:tcW w:w="1353" w:type="dxa"/>
            <w:shd w:val="clear" w:color="auto" w:fill="auto"/>
          </w:tcPr>
          <w:p w:rsidR="00BD4A3E" w:rsidRPr="00BD4A3E" w:rsidRDefault="00BD4A3E" w:rsidP="00BD4A3E">
            <w:pPr>
              <w:jc w:val="both"/>
              <w:rPr>
                <w:rFonts w:ascii="Calibri" w:eastAsia="Calibri" w:hAnsi="Calibri" w:cs="Arial"/>
              </w:rPr>
            </w:pPr>
            <w:r>
              <w:rPr>
                <w:rFonts w:ascii="Calibri" w:hAnsi="Calibri"/>
              </w:rPr>
              <w:t>2019</w:t>
            </w:r>
          </w:p>
        </w:tc>
        <w:tc>
          <w:tcPr>
            <w:tcW w:w="2286" w:type="dxa"/>
            <w:shd w:val="clear" w:color="auto" w:fill="auto"/>
          </w:tcPr>
          <w:p w:rsidR="00BD4A3E" w:rsidRPr="00BD4A3E" w:rsidRDefault="00BD4A3E" w:rsidP="00BD4A3E">
            <w:pPr>
              <w:jc w:val="right"/>
              <w:rPr>
                <w:rFonts w:ascii="Calibri" w:eastAsia="Calibri" w:hAnsi="Calibri" w:cs="Arial"/>
                <w:sz w:val="22"/>
                <w:szCs w:val="22"/>
              </w:rPr>
            </w:pPr>
            <w:r>
              <w:rPr>
                <w:rFonts w:ascii="Calibri" w:hAnsi="Calibri"/>
                <w:sz w:val="22"/>
                <w:szCs w:val="22"/>
              </w:rPr>
              <w:t>24,702,232.00</w:t>
            </w:r>
          </w:p>
        </w:tc>
        <w:tc>
          <w:tcPr>
            <w:tcW w:w="3309" w:type="dxa"/>
          </w:tcPr>
          <w:p w:rsidR="00BD4A3E" w:rsidRPr="00BD4A3E" w:rsidRDefault="00BD4A3E" w:rsidP="00BD4A3E">
            <w:pPr>
              <w:jc w:val="right"/>
              <w:rPr>
                <w:rFonts w:ascii="Calibri" w:eastAsia="Calibri" w:hAnsi="Calibri" w:cs="Arial"/>
                <w:sz w:val="22"/>
                <w:szCs w:val="22"/>
              </w:rPr>
            </w:pPr>
            <w:r>
              <w:rPr>
                <w:rFonts w:ascii="Calibri" w:hAnsi="Calibri"/>
                <w:sz w:val="22"/>
                <w:szCs w:val="22"/>
              </w:rPr>
              <w:t>8,234,077.33</w:t>
            </w:r>
          </w:p>
        </w:tc>
        <w:tc>
          <w:tcPr>
            <w:tcW w:w="2706" w:type="dxa"/>
          </w:tcPr>
          <w:p w:rsidR="00BD4A3E" w:rsidRPr="00BD4A3E" w:rsidRDefault="00BD4A3E" w:rsidP="00BD4A3E">
            <w:pPr>
              <w:jc w:val="center"/>
              <w:rPr>
                <w:rFonts w:ascii="Calibri" w:eastAsia="Calibri" w:hAnsi="Calibri" w:cs="Arial"/>
              </w:rPr>
            </w:pPr>
            <w:r>
              <w:rPr>
                <w:rFonts w:ascii="Calibri" w:hAnsi="Calibri"/>
              </w:rPr>
              <w:t>2022</w:t>
            </w:r>
          </w:p>
        </w:tc>
      </w:tr>
      <w:tr w:rsidR="00BD4A3E" w:rsidRPr="00BD4A3E" w:rsidTr="00BD4A3E">
        <w:trPr>
          <w:trHeight w:val="294"/>
        </w:trPr>
        <w:tc>
          <w:tcPr>
            <w:tcW w:w="1353" w:type="dxa"/>
            <w:shd w:val="clear" w:color="auto" w:fill="auto"/>
          </w:tcPr>
          <w:p w:rsidR="00BD4A3E" w:rsidRPr="00BD4A3E" w:rsidRDefault="00BD4A3E" w:rsidP="00BD4A3E">
            <w:pPr>
              <w:jc w:val="both"/>
              <w:rPr>
                <w:rFonts w:ascii="Calibri" w:eastAsia="Calibri" w:hAnsi="Calibri" w:cs="Arial"/>
              </w:rPr>
            </w:pPr>
            <w:r>
              <w:rPr>
                <w:rFonts w:ascii="Calibri" w:hAnsi="Calibri"/>
              </w:rPr>
              <w:t>2020</w:t>
            </w:r>
          </w:p>
        </w:tc>
        <w:tc>
          <w:tcPr>
            <w:tcW w:w="2286" w:type="dxa"/>
            <w:shd w:val="clear" w:color="auto" w:fill="auto"/>
          </w:tcPr>
          <w:p w:rsidR="00BD4A3E" w:rsidRPr="00BD4A3E" w:rsidRDefault="00BD4A3E" w:rsidP="00BD4A3E">
            <w:pPr>
              <w:jc w:val="right"/>
              <w:rPr>
                <w:rFonts w:ascii="Calibri" w:eastAsia="Calibri" w:hAnsi="Calibri" w:cs="Arial"/>
                <w:sz w:val="22"/>
                <w:szCs w:val="22"/>
              </w:rPr>
            </w:pPr>
            <w:r>
              <w:rPr>
                <w:rFonts w:ascii="Calibri" w:hAnsi="Calibri"/>
                <w:sz w:val="22"/>
                <w:szCs w:val="22"/>
              </w:rPr>
              <w:t>25,148,019.00</w:t>
            </w:r>
          </w:p>
        </w:tc>
        <w:tc>
          <w:tcPr>
            <w:tcW w:w="3309" w:type="dxa"/>
          </w:tcPr>
          <w:p w:rsidR="00BD4A3E" w:rsidRPr="00BD4A3E" w:rsidRDefault="00BD4A3E" w:rsidP="00BD4A3E">
            <w:pPr>
              <w:jc w:val="right"/>
              <w:rPr>
                <w:rFonts w:ascii="Calibri" w:eastAsia="Calibri" w:hAnsi="Calibri" w:cs="Arial"/>
                <w:sz w:val="22"/>
                <w:szCs w:val="22"/>
              </w:rPr>
            </w:pPr>
            <w:r>
              <w:rPr>
                <w:rFonts w:ascii="Calibri" w:hAnsi="Calibri"/>
                <w:sz w:val="22"/>
                <w:szCs w:val="22"/>
              </w:rPr>
              <w:t>7,529,926.50</w:t>
            </w:r>
          </w:p>
        </w:tc>
        <w:tc>
          <w:tcPr>
            <w:tcW w:w="2706" w:type="dxa"/>
          </w:tcPr>
          <w:p w:rsidR="00BD4A3E" w:rsidRPr="00BD4A3E" w:rsidRDefault="00BD4A3E" w:rsidP="00BD4A3E">
            <w:pPr>
              <w:jc w:val="center"/>
              <w:rPr>
                <w:rFonts w:ascii="Calibri" w:eastAsia="Calibri" w:hAnsi="Calibri" w:cs="Arial"/>
              </w:rPr>
            </w:pPr>
            <w:r>
              <w:rPr>
                <w:rFonts w:ascii="Calibri" w:hAnsi="Calibri"/>
              </w:rPr>
              <w:t>2023</w:t>
            </w:r>
          </w:p>
        </w:tc>
      </w:tr>
      <w:tr w:rsidR="00BD4A3E" w:rsidRPr="00BD4A3E" w:rsidTr="00BD4A3E">
        <w:trPr>
          <w:trHeight w:val="294"/>
        </w:trPr>
        <w:tc>
          <w:tcPr>
            <w:tcW w:w="1353" w:type="dxa"/>
            <w:shd w:val="clear" w:color="auto" w:fill="auto"/>
          </w:tcPr>
          <w:p w:rsidR="00BD4A3E" w:rsidRPr="00BD4A3E" w:rsidRDefault="00BD4A3E" w:rsidP="00BD4A3E">
            <w:pPr>
              <w:jc w:val="both"/>
              <w:rPr>
                <w:rFonts w:ascii="Calibri" w:eastAsia="Calibri" w:hAnsi="Calibri" w:cs="Arial"/>
                <w:b/>
                <w:sz w:val="22"/>
                <w:szCs w:val="22"/>
              </w:rPr>
            </w:pPr>
            <w:r>
              <w:rPr>
                <w:rFonts w:ascii="Calibri" w:hAnsi="Calibri"/>
                <w:b/>
                <w:sz w:val="22"/>
                <w:szCs w:val="22"/>
              </w:rPr>
              <w:t>Total</w:t>
            </w:r>
          </w:p>
        </w:tc>
        <w:tc>
          <w:tcPr>
            <w:tcW w:w="2286" w:type="dxa"/>
            <w:shd w:val="clear" w:color="auto" w:fill="auto"/>
          </w:tcPr>
          <w:p w:rsidR="00BD4A3E" w:rsidRPr="00BD4A3E" w:rsidRDefault="0031347F" w:rsidP="00BD4A3E">
            <w:pPr>
              <w:jc w:val="right"/>
              <w:rPr>
                <w:rFonts w:ascii="Calibri" w:eastAsia="Calibri" w:hAnsi="Calibri" w:cs="Arial"/>
                <w:b/>
                <w:sz w:val="22"/>
                <w:szCs w:val="22"/>
              </w:rPr>
            </w:pPr>
            <w:r w:rsidRPr="00BD4A3E">
              <w:rPr>
                <w:rFonts w:ascii="Calibri" w:eastAsia="Calibri" w:hAnsi="Calibri" w:cs="Arial"/>
                <w:b/>
                <w:sz w:val="22"/>
                <w:szCs w:val="22"/>
              </w:rPr>
              <w:fldChar w:fldCharType="begin"/>
            </w:r>
            <w:r w:rsidR="00BD4A3E" w:rsidRPr="00BD4A3E">
              <w:rPr>
                <w:rFonts w:ascii="Calibri" w:eastAsia="Calibri" w:hAnsi="Calibri" w:cs="Arial"/>
                <w:b/>
                <w:sz w:val="22"/>
                <w:szCs w:val="22"/>
              </w:rPr>
              <w:instrText xml:space="preserve"> =SUM(ABOVE) </w:instrText>
            </w:r>
            <w:r w:rsidRPr="00BD4A3E">
              <w:rPr>
                <w:rFonts w:ascii="Calibri" w:eastAsia="Calibri" w:hAnsi="Calibri" w:cs="Arial"/>
                <w:b/>
                <w:sz w:val="22"/>
                <w:szCs w:val="22"/>
              </w:rPr>
              <w:fldChar w:fldCharType="separate"/>
            </w:r>
            <w:r w:rsidR="00BD4A3E" w:rsidRPr="00BD4A3E">
              <w:rPr>
                <w:rFonts w:ascii="Calibri" w:eastAsia="Calibri" w:hAnsi="Calibri" w:cs="Arial"/>
                <w:b/>
                <w:sz w:val="22"/>
                <w:szCs w:val="22"/>
              </w:rPr>
              <w:t>168.421.371</w:t>
            </w:r>
            <w:r w:rsidRPr="00BD4A3E">
              <w:rPr>
                <w:rFonts w:ascii="Calibri" w:eastAsia="Calibri" w:hAnsi="Calibri" w:cs="Arial"/>
                <w:b/>
                <w:sz w:val="22"/>
                <w:szCs w:val="22"/>
              </w:rPr>
              <w:fldChar w:fldCharType="end"/>
            </w:r>
          </w:p>
        </w:tc>
        <w:tc>
          <w:tcPr>
            <w:tcW w:w="3309" w:type="dxa"/>
          </w:tcPr>
          <w:p w:rsidR="00BD4A3E" w:rsidRPr="00BD4A3E" w:rsidRDefault="0031347F" w:rsidP="00BD4A3E">
            <w:pPr>
              <w:jc w:val="right"/>
              <w:rPr>
                <w:rFonts w:ascii="Calibri" w:eastAsia="Calibri" w:hAnsi="Calibri" w:cs="Arial"/>
                <w:b/>
                <w:sz w:val="22"/>
                <w:szCs w:val="22"/>
              </w:rPr>
            </w:pPr>
            <w:r w:rsidRPr="00BD4A3E">
              <w:rPr>
                <w:rFonts w:ascii="Calibri" w:eastAsia="Calibri" w:hAnsi="Calibri" w:cs="Arial"/>
                <w:b/>
                <w:sz w:val="22"/>
                <w:szCs w:val="22"/>
              </w:rPr>
              <w:fldChar w:fldCharType="begin"/>
            </w:r>
            <w:r w:rsidR="00BD4A3E" w:rsidRPr="00BD4A3E">
              <w:rPr>
                <w:rFonts w:ascii="Calibri" w:eastAsia="Calibri" w:hAnsi="Calibri" w:cs="Arial"/>
                <w:b/>
                <w:sz w:val="22"/>
                <w:szCs w:val="22"/>
              </w:rPr>
              <w:instrText xml:space="preserve"> =SUM(ABOVE) </w:instrText>
            </w:r>
            <w:r w:rsidRPr="00BD4A3E">
              <w:rPr>
                <w:rFonts w:ascii="Calibri" w:eastAsia="Calibri" w:hAnsi="Calibri" w:cs="Arial"/>
                <w:b/>
                <w:sz w:val="22"/>
                <w:szCs w:val="22"/>
              </w:rPr>
              <w:fldChar w:fldCharType="separate"/>
            </w:r>
            <w:r w:rsidR="00BD4A3E" w:rsidRPr="00BD4A3E">
              <w:rPr>
                <w:rFonts w:ascii="Calibri" w:eastAsia="Calibri" w:hAnsi="Calibri" w:cs="Arial"/>
                <w:b/>
                <w:sz w:val="22"/>
                <w:szCs w:val="22"/>
              </w:rPr>
              <w:t>55.287.710,5</w:t>
            </w:r>
            <w:r w:rsidRPr="00BD4A3E">
              <w:rPr>
                <w:rFonts w:ascii="Calibri" w:eastAsia="Calibri" w:hAnsi="Calibri" w:cs="Arial"/>
                <w:b/>
                <w:sz w:val="22"/>
                <w:szCs w:val="22"/>
              </w:rPr>
              <w:fldChar w:fldCharType="end"/>
            </w:r>
          </w:p>
        </w:tc>
        <w:tc>
          <w:tcPr>
            <w:tcW w:w="2706" w:type="dxa"/>
          </w:tcPr>
          <w:p w:rsidR="00BD4A3E" w:rsidRPr="00BD4A3E" w:rsidRDefault="00BD4A3E" w:rsidP="00BD4A3E">
            <w:pPr>
              <w:jc w:val="both"/>
              <w:rPr>
                <w:rFonts w:ascii="Calibri" w:eastAsia="Calibri" w:hAnsi="Calibri" w:cs="Arial"/>
                <w:lang w:val="ro-RO"/>
              </w:rPr>
            </w:pPr>
          </w:p>
        </w:tc>
      </w:tr>
    </w:tbl>
    <w:p w:rsidR="00BD4A3E" w:rsidRPr="00BD4A3E" w:rsidRDefault="00BD4A3E" w:rsidP="00BD4A3E">
      <w:pPr>
        <w:tabs>
          <w:tab w:val="left" w:pos="709"/>
          <w:tab w:val="left" w:pos="1899"/>
        </w:tabs>
        <w:ind w:right="-108"/>
        <w:jc w:val="both"/>
        <w:rPr>
          <w:rFonts w:ascii="Calibri" w:eastAsia="Calibri" w:hAnsi="Calibri" w:cs="Arial"/>
          <w:lang w:val="ro-RO"/>
        </w:rPr>
      </w:pPr>
    </w:p>
    <w:p w:rsidR="00BD4A3E" w:rsidRPr="00BD4A3E" w:rsidRDefault="00BD4A3E" w:rsidP="00BD4A3E">
      <w:pPr>
        <w:tabs>
          <w:tab w:val="left" w:pos="709"/>
          <w:tab w:val="left" w:pos="1899"/>
        </w:tabs>
        <w:ind w:right="-108"/>
        <w:jc w:val="both"/>
        <w:rPr>
          <w:rFonts w:ascii="Calibri" w:eastAsia="Calibri" w:hAnsi="Calibri" w:cs="Arial"/>
          <w:b/>
        </w:rPr>
      </w:pPr>
      <w:r>
        <w:rPr>
          <w:rFonts w:ascii="Calibri" w:hAnsi="Calibri"/>
          <w:b/>
        </w:rPr>
        <w:t>Budget commitments on October 22, 2018:</w:t>
      </w:r>
    </w:p>
    <w:p w:rsidR="00BD4A3E" w:rsidRPr="00BD4A3E" w:rsidRDefault="00BD4A3E" w:rsidP="00BD4A3E">
      <w:pPr>
        <w:tabs>
          <w:tab w:val="left" w:pos="709"/>
          <w:tab w:val="left" w:pos="1899"/>
        </w:tabs>
        <w:ind w:right="-108"/>
        <w:jc w:val="both"/>
        <w:rPr>
          <w:rFonts w:ascii="Calibri" w:eastAsia="Calibri" w:hAnsi="Calibri" w:cs="Arial"/>
          <w:lang w:val="ro-RO"/>
        </w:rPr>
      </w:pPr>
    </w:p>
    <w:p w:rsidR="00BD4A3E" w:rsidRPr="00BD4A3E" w:rsidRDefault="00BD4A3E" w:rsidP="00BD4A3E">
      <w:pPr>
        <w:tabs>
          <w:tab w:val="left" w:pos="709"/>
          <w:tab w:val="left" w:pos="1899"/>
        </w:tabs>
        <w:ind w:right="-108"/>
        <w:jc w:val="both"/>
        <w:rPr>
          <w:rFonts w:ascii="Calibri" w:eastAsia="Calibri" w:hAnsi="Calibri" w:cs="Arial"/>
          <w:b/>
        </w:rPr>
      </w:pPr>
      <w:r>
        <w:rPr>
          <w:rFonts w:ascii="Calibri" w:hAnsi="Calibri"/>
          <w:b/>
        </w:rPr>
        <w:t>FINANCING AGREEMENTS WITH THE BENEFICIARIES: 168</w:t>
      </w:r>
    </w:p>
    <w:p w:rsidR="00BD4A3E" w:rsidRPr="00BD4A3E" w:rsidRDefault="00BD4A3E" w:rsidP="00BD4A3E">
      <w:pPr>
        <w:tabs>
          <w:tab w:val="left" w:pos="709"/>
          <w:tab w:val="left" w:pos="1899"/>
        </w:tabs>
        <w:ind w:right="-108"/>
        <w:jc w:val="both"/>
        <w:rPr>
          <w:rFonts w:ascii="Calibri" w:eastAsia="Calibri" w:hAnsi="Calibri" w:cs="Arial"/>
        </w:rPr>
      </w:pPr>
      <w:r>
        <w:rPr>
          <w:rFonts w:ascii="Calibri" w:hAnsi="Calibri"/>
        </w:rPr>
        <w:t>Total eligible value from the FINANCING AGREEMENTS WITH THE BENEFICIARIES: Lei 518,394,414.40</w:t>
      </w:r>
    </w:p>
    <w:p w:rsidR="00BD4A3E" w:rsidRPr="00BD4A3E" w:rsidRDefault="00BD4A3E" w:rsidP="00BD4A3E">
      <w:pPr>
        <w:tabs>
          <w:tab w:val="left" w:pos="709"/>
          <w:tab w:val="left" w:pos="1899"/>
        </w:tabs>
        <w:ind w:right="-108"/>
        <w:jc w:val="both"/>
        <w:rPr>
          <w:rFonts w:ascii="Calibri" w:eastAsia="Calibri" w:hAnsi="Calibri" w:cs="Arial"/>
        </w:rPr>
      </w:pPr>
      <w:r>
        <w:rPr>
          <w:rFonts w:ascii="Calibri" w:hAnsi="Calibri"/>
        </w:rPr>
        <w:t>Value of non-reimbursable contribution from the FINANCING AGREEMENTS WITH THE BENEFICIARIES: 374,199,886.84 Lei (of which EU contribution: Lei 283,240,145.47)</w:t>
      </w:r>
    </w:p>
    <w:p w:rsidR="00BD4A3E" w:rsidRPr="00BD4A3E" w:rsidRDefault="00BD4A3E" w:rsidP="00BD4A3E">
      <w:pPr>
        <w:tabs>
          <w:tab w:val="left" w:pos="709"/>
          <w:tab w:val="left" w:pos="1899"/>
        </w:tabs>
        <w:ind w:right="-108"/>
        <w:jc w:val="both"/>
        <w:rPr>
          <w:rFonts w:ascii="Calibri" w:eastAsia="Calibri" w:hAnsi="Calibri" w:cs="Arial"/>
        </w:rPr>
      </w:pPr>
      <w:r>
        <w:rPr>
          <w:rFonts w:ascii="Calibri" w:hAnsi="Calibri"/>
        </w:rPr>
        <w:t>of which:</w:t>
      </w:r>
    </w:p>
    <w:p w:rsidR="00BD4A3E" w:rsidRPr="00BD4A3E" w:rsidRDefault="00BD4A3E" w:rsidP="009F7237">
      <w:pPr>
        <w:numPr>
          <w:ilvl w:val="0"/>
          <w:numId w:val="71"/>
        </w:numPr>
        <w:tabs>
          <w:tab w:val="left" w:pos="709"/>
          <w:tab w:val="left" w:pos="1899"/>
        </w:tabs>
        <w:ind w:right="-108"/>
        <w:contextualSpacing/>
        <w:jc w:val="both"/>
        <w:rPr>
          <w:rFonts w:ascii="Calibri" w:eastAsia="Calibri" w:hAnsi="Calibri" w:cs="Arial"/>
        </w:rPr>
      </w:pPr>
      <w:r>
        <w:rPr>
          <w:rFonts w:ascii="Calibri" w:hAnsi="Calibri"/>
        </w:rPr>
        <w:t>Terminated agreements: 4</w:t>
      </w:r>
    </w:p>
    <w:p w:rsidR="00BD4A3E" w:rsidRPr="00BD4A3E" w:rsidRDefault="00BD4A3E" w:rsidP="00BD4A3E">
      <w:pPr>
        <w:tabs>
          <w:tab w:val="left" w:pos="709"/>
          <w:tab w:val="left" w:pos="1899"/>
        </w:tabs>
        <w:ind w:right="-108"/>
        <w:jc w:val="both"/>
        <w:rPr>
          <w:rFonts w:ascii="Calibri" w:eastAsia="Calibri" w:hAnsi="Calibri" w:cs="Arial"/>
        </w:rPr>
      </w:pPr>
      <w:r>
        <w:rPr>
          <w:rFonts w:ascii="Calibri" w:hAnsi="Calibri"/>
        </w:rPr>
        <w:t>Total eligible value of terminated agreements: 7,631,347.46 Lei (of which EU contribution: Lei 3,793,531.70)</w:t>
      </w:r>
    </w:p>
    <w:p w:rsidR="00BD4A3E" w:rsidRPr="00BD4A3E" w:rsidRDefault="00BD4A3E" w:rsidP="009F7237">
      <w:pPr>
        <w:numPr>
          <w:ilvl w:val="0"/>
          <w:numId w:val="71"/>
        </w:numPr>
        <w:tabs>
          <w:tab w:val="left" w:pos="709"/>
          <w:tab w:val="left" w:pos="1899"/>
        </w:tabs>
        <w:ind w:right="-108"/>
        <w:contextualSpacing/>
        <w:jc w:val="both"/>
        <w:rPr>
          <w:rFonts w:ascii="Calibri" w:eastAsia="Calibri" w:hAnsi="Calibri" w:cs="Arial"/>
        </w:rPr>
      </w:pPr>
      <w:r>
        <w:rPr>
          <w:rFonts w:ascii="Calibri" w:hAnsi="Calibri"/>
        </w:rPr>
        <w:t>Completed agreements: 75</w:t>
      </w:r>
    </w:p>
    <w:p w:rsidR="00BD4A3E" w:rsidRPr="00BD4A3E" w:rsidRDefault="00BD4A3E" w:rsidP="00BD4A3E">
      <w:pPr>
        <w:tabs>
          <w:tab w:val="left" w:pos="709"/>
          <w:tab w:val="left" w:pos="1899"/>
        </w:tabs>
        <w:ind w:right="-108"/>
        <w:jc w:val="both"/>
        <w:rPr>
          <w:rFonts w:ascii="Calibri" w:eastAsia="Calibri" w:hAnsi="Calibri" w:cs="Arial"/>
        </w:rPr>
      </w:pPr>
      <w:r>
        <w:rPr>
          <w:rFonts w:ascii="Calibri" w:hAnsi="Calibri"/>
        </w:rPr>
        <w:t>Total eligible value of completed agreements: 140,336,820.91 Lei (of which EU contribution: Lei 94,943,989.97)</w:t>
      </w:r>
    </w:p>
    <w:p w:rsidR="00BD4A3E" w:rsidRPr="00BD4A3E" w:rsidRDefault="00BD4A3E" w:rsidP="009F7237">
      <w:pPr>
        <w:numPr>
          <w:ilvl w:val="0"/>
          <w:numId w:val="71"/>
        </w:numPr>
        <w:tabs>
          <w:tab w:val="left" w:pos="709"/>
          <w:tab w:val="left" w:pos="1899"/>
        </w:tabs>
        <w:ind w:right="-108"/>
        <w:contextualSpacing/>
        <w:jc w:val="both"/>
        <w:rPr>
          <w:rFonts w:ascii="Calibri" w:eastAsia="Calibri" w:hAnsi="Calibri" w:cs="Arial"/>
        </w:rPr>
      </w:pPr>
      <w:r>
        <w:rPr>
          <w:rFonts w:ascii="Calibri" w:hAnsi="Calibri"/>
        </w:rPr>
        <w:t>Agreements under implementation: 89</w:t>
      </w:r>
    </w:p>
    <w:p w:rsidR="00BD4A3E" w:rsidRPr="00BD4A3E" w:rsidRDefault="00BD4A3E" w:rsidP="00BD4A3E">
      <w:pPr>
        <w:tabs>
          <w:tab w:val="left" w:pos="709"/>
          <w:tab w:val="left" w:pos="1899"/>
        </w:tabs>
        <w:ind w:right="-108"/>
        <w:jc w:val="both"/>
        <w:rPr>
          <w:rFonts w:ascii="Calibri" w:eastAsia="Calibri" w:hAnsi="Calibri" w:cs="Arial"/>
        </w:rPr>
      </w:pPr>
      <w:r>
        <w:rPr>
          <w:rFonts w:ascii="Calibri" w:hAnsi="Calibri"/>
        </w:rPr>
        <w:t>Total eligible value of agreements under implementation: Lei 370,426,246.02</w:t>
      </w:r>
    </w:p>
    <w:p w:rsidR="00BD4A3E" w:rsidRPr="00BD4A3E" w:rsidRDefault="00BD4A3E" w:rsidP="00BD4A3E">
      <w:pPr>
        <w:tabs>
          <w:tab w:val="left" w:pos="709"/>
          <w:tab w:val="left" w:pos="1899"/>
        </w:tabs>
        <w:ind w:right="-108"/>
        <w:jc w:val="both"/>
        <w:rPr>
          <w:rFonts w:ascii="Calibri" w:eastAsia="Calibri" w:hAnsi="Calibri" w:cs="Arial"/>
          <w:lang w:val="ro-RO"/>
        </w:rPr>
      </w:pPr>
    </w:p>
    <w:p w:rsidR="00BD4A3E" w:rsidRPr="00BD4A3E" w:rsidRDefault="00BD4A3E" w:rsidP="00BD4A3E">
      <w:pPr>
        <w:tabs>
          <w:tab w:val="left" w:pos="709"/>
          <w:tab w:val="left" w:pos="1899"/>
        </w:tabs>
        <w:ind w:right="-108"/>
        <w:jc w:val="both"/>
        <w:rPr>
          <w:rFonts w:ascii="Calibri" w:eastAsia="Calibri" w:hAnsi="Calibri" w:cs="Arial"/>
          <w:b/>
        </w:rPr>
      </w:pPr>
      <w:r>
        <w:rPr>
          <w:rFonts w:ascii="Calibri" w:hAnsi="Calibri"/>
          <w:b/>
        </w:rPr>
        <w:t>Degree of commitment of the allocated amounts = 35.82%.</w:t>
      </w:r>
    </w:p>
    <w:p w:rsidR="00BD4A3E" w:rsidRPr="00BD4A3E" w:rsidRDefault="00BD4A3E" w:rsidP="00BD4A3E">
      <w:pPr>
        <w:tabs>
          <w:tab w:val="left" w:pos="709"/>
          <w:tab w:val="left" w:pos="1899"/>
        </w:tabs>
        <w:spacing w:before="120"/>
        <w:ind w:right="-108"/>
        <w:jc w:val="both"/>
        <w:rPr>
          <w:rFonts w:ascii="Calibri" w:eastAsia="Calibri" w:hAnsi="Calibri" w:cs="Arial"/>
          <w:b/>
        </w:rPr>
      </w:pPr>
      <w:r>
        <w:rPr>
          <w:rFonts w:ascii="Calibri" w:hAnsi="Calibri"/>
          <w:b/>
        </w:rPr>
        <w:t>Payments to beneficiaries as of October 22, 2018:</w:t>
      </w:r>
    </w:p>
    <w:p w:rsidR="00BD4A3E" w:rsidRPr="00BD4A3E" w:rsidRDefault="00BD4A3E" w:rsidP="00BD4A3E">
      <w:pPr>
        <w:tabs>
          <w:tab w:val="left" w:pos="709"/>
          <w:tab w:val="left" w:pos="1899"/>
        </w:tabs>
        <w:ind w:right="-108"/>
        <w:jc w:val="both"/>
        <w:rPr>
          <w:rFonts w:ascii="Calibri" w:eastAsia="Calibri" w:hAnsi="Calibri" w:cs="Arial"/>
          <w:lang w:val="ro-RO"/>
        </w:rPr>
      </w:pPr>
    </w:p>
    <w:tbl>
      <w:tblPr>
        <w:tblStyle w:val="Tabelgril11"/>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1492"/>
        <w:gridCol w:w="1736"/>
        <w:gridCol w:w="1614"/>
        <w:gridCol w:w="1736"/>
        <w:gridCol w:w="1610"/>
      </w:tblGrid>
      <w:tr w:rsidR="00BD4A3E" w:rsidRPr="00AC4302" w:rsidTr="00BD4A3E">
        <w:trPr>
          <w:trHeight w:val="274"/>
        </w:trPr>
        <w:tc>
          <w:tcPr>
            <w:tcW w:w="2915" w:type="dxa"/>
            <w:gridSpan w:val="2"/>
            <w:tcBorders>
              <w:top w:val="single" w:sz="4" w:space="0" w:color="auto"/>
            </w:tcBorders>
            <w:noWrap/>
            <w:vAlign w:val="center"/>
            <w:hideMark/>
          </w:tcPr>
          <w:p w:rsidR="00BD4A3E" w:rsidRPr="00BD4A3E" w:rsidRDefault="00BD4A3E" w:rsidP="00BD4A3E">
            <w:pPr>
              <w:tabs>
                <w:tab w:val="left" w:pos="709"/>
                <w:tab w:val="left" w:pos="1899"/>
              </w:tabs>
              <w:ind w:right="-108"/>
              <w:jc w:val="center"/>
              <w:rPr>
                <w:rFonts w:ascii="Calibri" w:hAnsi="Calibri" w:cs="Arial"/>
                <w:b/>
              </w:rPr>
            </w:pPr>
            <w:r>
              <w:rPr>
                <w:rFonts w:ascii="Calibri" w:hAnsi="Calibri"/>
                <w:b/>
              </w:rPr>
              <w:t>Pre-financing (Lei)</w:t>
            </w:r>
          </w:p>
        </w:tc>
        <w:tc>
          <w:tcPr>
            <w:tcW w:w="3350" w:type="dxa"/>
            <w:gridSpan w:val="2"/>
            <w:tcBorders>
              <w:top w:val="single" w:sz="4" w:space="0" w:color="auto"/>
            </w:tcBorders>
            <w:noWrap/>
            <w:vAlign w:val="center"/>
            <w:hideMark/>
          </w:tcPr>
          <w:p w:rsidR="00BD4A3E" w:rsidRPr="00BD4A3E" w:rsidRDefault="00BD4A3E" w:rsidP="00BD4A3E">
            <w:pPr>
              <w:tabs>
                <w:tab w:val="left" w:pos="709"/>
                <w:tab w:val="left" w:pos="1899"/>
              </w:tabs>
              <w:ind w:right="-108"/>
              <w:jc w:val="center"/>
              <w:rPr>
                <w:rFonts w:ascii="Calibri" w:hAnsi="Calibri" w:cs="Arial"/>
                <w:b/>
              </w:rPr>
            </w:pPr>
            <w:r>
              <w:rPr>
                <w:rFonts w:ascii="Calibri" w:hAnsi="Calibri"/>
                <w:b/>
              </w:rPr>
              <w:t>Reimbursements (Lei)</w:t>
            </w:r>
          </w:p>
        </w:tc>
        <w:tc>
          <w:tcPr>
            <w:tcW w:w="1736" w:type="dxa"/>
            <w:vMerge w:val="restart"/>
            <w:tcBorders>
              <w:top w:val="single" w:sz="4" w:space="0" w:color="auto"/>
            </w:tcBorders>
            <w:vAlign w:val="center"/>
            <w:hideMark/>
          </w:tcPr>
          <w:p w:rsidR="00BD4A3E" w:rsidRPr="00BD4A3E" w:rsidRDefault="00BD4A3E" w:rsidP="00BD4A3E">
            <w:pPr>
              <w:tabs>
                <w:tab w:val="left" w:pos="709"/>
                <w:tab w:val="left" w:pos="1899"/>
              </w:tabs>
              <w:ind w:right="-108"/>
              <w:jc w:val="center"/>
              <w:rPr>
                <w:rFonts w:ascii="Calibri" w:hAnsi="Calibri" w:cs="Arial"/>
                <w:b/>
              </w:rPr>
            </w:pPr>
            <w:r>
              <w:rPr>
                <w:rFonts w:ascii="Calibri" w:hAnsi="Calibri"/>
                <w:b/>
              </w:rPr>
              <w:t>Total (Lei)</w:t>
            </w:r>
          </w:p>
        </w:tc>
        <w:tc>
          <w:tcPr>
            <w:tcW w:w="1610" w:type="dxa"/>
            <w:vMerge w:val="restart"/>
            <w:tcBorders>
              <w:top w:val="single" w:sz="4" w:space="0" w:color="auto"/>
            </w:tcBorders>
            <w:vAlign w:val="center"/>
            <w:hideMark/>
          </w:tcPr>
          <w:p w:rsidR="00BD4A3E" w:rsidRPr="00BD4A3E" w:rsidRDefault="00BD4A3E" w:rsidP="00BD4A3E">
            <w:pPr>
              <w:tabs>
                <w:tab w:val="left" w:pos="709"/>
                <w:tab w:val="left" w:pos="1899"/>
              </w:tabs>
              <w:ind w:right="-108"/>
              <w:jc w:val="center"/>
              <w:rPr>
                <w:rFonts w:ascii="Calibri" w:hAnsi="Calibri" w:cs="Arial"/>
                <w:b/>
              </w:rPr>
            </w:pPr>
            <w:r>
              <w:rPr>
                <w:rFonts w:ascii="Calibri" w:hAnsi="Calibri"/>
                <w:b/>
              </w:rPr>
              <w:t>Payment installment for the beneficiary %</w:t>
            </w:r>
          </w:p>
        </w:tc>
      </w:tr>
      <w:tr w:rsidR="00BD4A3E" w:rsidRPr="00BD4A3E" w:rsidTr="00BD4A3E">
        <w:trPr>
          <w:trHeight w:val="293"/>
        </w:trPr>
        <w:tc>
          <w:tcPr>
            <w:tcW w:w="1492" w:type="dxa"/>
            <w:vMerge w:val="restart"/>
            <w:vAlign w:val="center"/>
            <w:hideMark/>
          </w:tcPr>
          <w:p w:rsidR="00BD4A3E" w:rsidRPr="00BD4A3E" w:rsidRDefault="00BD4A3E" w:rsidP="00BD4A3E">
            <w:pPr>
              <w:tabs>
                <w:tab w:val="left" w:pos="709"/>
                <w:tab w:val="left" w:pos="1899"/>
              </w:tabs>
              <w:ind w:right="-108"/>
              <w:jc w:val="center"/>
              <w:rPr>
                <w:rFonts w:ascii="Calibri" w:hAnsi="Calibri" w:cs="Arial"/>
                <w:b/>
              </w:rPr>
            </w:pPr>
            <w:r>
              <w:rPr>
                <w:rFonts w:ascii="Calibri" w:hAnsi="Calibri"/>
                <w:b/>
              </w:rPr>
              <w:t>EU contribution</w:t>
            </w:r>
          </w:p>
        </w:tc>
        <w:tc>
          <w:tcPr>
            <w:tcW w:w="1423" w:type="dxa"/>
            <w:vMerge w:val="restart"/>
            <w:vAlign w:val="center"/>
            <w:hideMark/>
          </w:tcPr>
          <w:p w:rsidR="00BD4A3E" w:rsidRPr="00BD4A3E" w:rsidRDefault="00BD4A3E" w:rsidP="00BD4A3E">
            <w:pPr>
              <w:tabs>
                <w:tab w:val="left" w:pos="709"/>
                <w:tab w:val="left" w:pos="1899"/>
              </w:tabs>
              <w:ind w:right="-108"/>
              <w:jc w:val="center"/>
              <w:rPr>
                <w:rFonts w:ascii="Calibri" w:hAnsi="Calibri" w:cs="Arial"/>
                <w:b/>
              </w:rPr>
            </w:pPr>
            <w:r>
              <w:rPr>
                <w:rFonts w:ascii="Calibri" w:hAnsi="Calibri"/>
                <w:b/>
              </w:rPr>
              <w:t>National contribution</w:t>
            </w:r>
          </w:p>
        </w:tc>
        <w:tc>
          <w:tcPr>
            <w:tcW w:w="1736" w:type="dxa"/>
            <w:vMerge w:val="restart"/>
            <w:vAlign w:val="center"/>
            <w:hideMark/>
          </w:tcPr>
          <w:p w:rsidR="00BD4A3E" w:rsidRPr="00BD4A3E" w:rsidRDefault="00BD4A3E" w:rsidP="00BD4A3E">
            <w:pPr>
              <w:tabs>
                <w:tab w:val="left" w:pos="709"/>
                <w:tab w:val="left" w:pos="1899"/>
              </w:tabs>
              <w:ind w:right="-108"/>
              <w:jc w:val="center"/>
              <w:rPr>
                <w:rFonts w:ascii="Calibri" w:hAnsi="Calibri" w:cs="Arial"/>
                <w:b/>
              </w:rPr>
            </w:pPr>
            <w:r>
              <w:rPr>
                <w:rFonts w:ascii="Calibri" w:hAnsi="Calibri"/>
                <w:b/>
              </w:rPr>
              <w:t>EU contribution</w:t>
            </w:r>
          </w:p>
        </w:tc>
        <w:tc>
          <w:tcPr>
            <w:tcW w:w="1614" w:type="dxa"/>
            <w:vMerge w:val="restart"/>
            <w:vAlign w:val="center"/>
            <w:hideMark/>
          </w:tcPr>
          <w:p w:rsidR="00BD4A3E" w:rsidRPr="00BD4A3E" w:rsidRDefault="00BD4A3E" w:rsidP="00BD4A3E">
            <w:pPr>
              <w:tabs>
                <w:tab w:val="left" w:pos="709"/>
                <w:tab w:val="left" w:pos="1899"/>
              </w:tabs>
              <w:ind w:right="-108"/>
              <w:jc w:val="center"/>
              <w:rPr>
                <w:rFonts w:ascii="Calibri" w:hAnsi="Calibri" w:cs="Arial"/>
                <w:b/>
              </w:rPr>
            </w:pPr>
            <w:r>
              <w:rPr>
                <w:rFonts w:ascii="Calibri" w:hAnsi="Calibri"/>
                <w:b/>
              </w:rPr>
              <w:t>National contribution</w:t>
            </w:r>
          </w:p>
        </w:tc>
        <w:tc>
          <w:tcPr>
            <w:tcW w:w="1736" w:type="dxa"/>
            <w:vMerge/>
            <w:vAlign w:val="center"/>
            <w:hideMark/>
          </w:tcPr>
          <w:p w:rsidR="00BD4A3E" w:rsidRPr="00BD4A3E" w:rsidRDefault="00BD4A3E" w:rsidP="00BD4A3E">
            <w:pPr>
              <w:tabs>
                <w:tab w:val="left" w:pos="709"/>
                <w:tab w:val="left" w:pos="1899"/>
              </w:tabs>
              <w:ind w:right="-108"/>
              <w:jc w:val="both"/>
              <w:rPr>
                <w:rFonts w:ascii="Calibri" w:hAnsi="Calibri" w:cs="Arial"/>
                <w:lang w:val="ro-RO"/>
              </w:rPr>
            </w:pPr>
          </w:p>
        </w:tc>
        <w:tc>
          <w:tcPr>
            <w:tcW w:w="1610" w:type="dxa"/>
            <w:vMerge/>
            <w:vAlign w:val="center"/>
            <w:hideMark/>
          </w:tcPr>
          <w:p w:rsidR="00BD4A3E" w:rsidRPr="00BD4A3E" w:rsidRDefault="00BD4A3E" w:rsidP="00BD4A3E">
            <w:pPr>
              <w:tabs>
                <w:tab w:val="left" w:pos="709"/>
                <w:tab w:val="left" w:pos="1899"/>
              </w:tabs>
              <w:ind w:right="-108"/>
              <w:jc w:val="both"/>
              <w:rPr>
                <w:rFonts w:ascii="Calibri" w:hAnsi="Calibri" w:cs="Arial"/>
                <w:lang w:val="ro-RO"/>
              </w:rPr>
            </w:pPr>
          </w:p>
        </w:tc>
      </w:tr>
      <w:tr w:rsidR="00BD4A3E" w:rsidRPr="00BD4A3E" w:rsidTr="00BD4A3E">
        <w:trPr>
          <w:trHeight w:val="293"/>
        </w:trPr>
        <w:tc>
          <w:tcPr>
            <w:tcW w:w="1492" w:type="dxa"/>
            <w:vMerge/>
            <w:hideMark/>
          </w:tcPr>
          <w:p w:rsidR="00BD4A3E" w:rsidRPr="00BD4A3E" w:rsidRDefault="00BD4A3E" w:rsidP="00BD4A3E">
            <w:pPr>
              <w:tabs>
                <w:tab w:val="left" w:pos="709"/>
                <w:tab w:val="left" w:pos="1899"/>
              </w:tabs>
              <w:ind w:right="-108"/>
              <w:jc w:val="both"/>
              <w:rPr>
                <w:rFonts w:ascii="Calibri" w:hAnsi="Calibri" w:cs="Arial"/>
                <w:lang w:val="ro-RO"/>
              </w:rPr>
            </w:pPr>
          </w:p>
        </w:tc>
        <w:tc>
          <w:tcPr>
            <w:tcW w:w="1423" w:type="dxa"/>
            <w:vMerge/>
            <w:hideMark/>
          </w:tcPr>
          <w:p w:rsidR="00BD4A3E" w:rsidRPr="00BD4A3E" w:rsidRDefault="00BD4A3E" w:rsidP="00BD4A3E">
            <w:pPr>
              <w:tabs>
                <w:tab w:val="left" w:pos="709"/>
                <w:tab w:val="left" w:pos="1899"/>
              </w:tabs>
              <w:ind w:right="-108"/>
              <w:jc w:val="both"/>
              <w:rPr>
                <w:rFonts w:ascii="Calibri" w:hAnsi="Calibri" w:cs="Arial"/>
                <w:lang w:val="ro-RO"/>
              </w:rPr>
            </w:pPr>
          </w:p>
        </w:tc>
        <w:tc>
          <w:tcPr>
            <w:tcW w:w="1736" w:type="dxa"/>
            <w:vMerge/>
            <w:hideMark/>
          </w:tcPr>
          <w:p w:rsidR="00BD4A3E" w:rsidRPr="00BD4A3E" w:rsidRDefault="00BD4A3E" w:rsidP="00BD4A3E">
            <w:pPr>
              <w:tabs>
                <w:tab w:val="left" w:pos="709"/>
                <w:tab w:val="left" w:pos="1899"/>
              </w:tabs>
              <w:ind w:right="-108"/>
              <w:jc w:val="both"/>
              <w:rPr>
                <w:rFonts w:ascii="Calibri" w:hAnsi="Calibri" w:cs="Arial"/>
                <w:lang w:val="ro-RO"/>
              </w:rPr>
            </w:pPr>
          </w:p>
        </w:tc>
        <w:tc>
          <w:tcPr>
            <w:tcW w:w="1614" w:type="dxa"/>
            <w:vMerge/>
            <w:hideMark/>
          </w:tcPr>
          <w:p w:rsidR="00BD4A3E" w:rsidRPr="00BD4A3E" w:rsidRDefault="00BD4A3E" w:rsidP="00BD4A3E">
            <w:pPr>
              <w:tabs>
                <w:tab w:val="left" w:pos="709"/>
                <w:tab w:val="left" w:pos="1899"/>
              </w:tabs>
              <w:ind w:right="-108"/>
              <w:jc w:val="both"/>
              <w:rPr>
                <w:rFonts w:ascii="Calibri" w:hAnsi="Calibri" w:cs="Arial"/>
                <w:lang w:val="ro-RO"/>
              </w:rPr>
            </w:pPr>
          </w:p>
        </w:tc>
        <w:tc>
          <w:tcPr>
            <w:tcW w:w="1736" w:type="dxa"/>
            <w:vMerge/>
            <w:hideMark/>
          </w:tcPr>
          <w:p w:rsidR="00BD4A3E" w:rsidRPr="00BD4A3E" w:rsidRDefault="00BD4A3E" w:rsidP="00BD4A3E">
            <w:pPr>
              <w:tabs>
                <w:tab w:val="left" w:pos="709"/>
                <w:tab w:val="left" w:pos="1899"/>
              </w:tabs>
              <w:ind w:right="-108"/>
              <w:jc w:val="both"/>
              <w:rPr>
                <w:rFonts w:ascii="Calibri" w:hAnsi="Calibri" w:cs="Arial"/>
                <w:lang w:val="ro-RO"/>
              </w:rPr>
            </w:pPr>
          </w:p>
        </w:tc>
        <w:tc>
          <w:tcPr>
            <w:tcW w:w="1610" w:type="dxa"/>
            <w:vMerge/>
            <w:hideMark/>
          </w:tcPr>
          <w:p w:rsidR="00BD4A3E" w:rsidRPr="00BD4A3E" w:rsidRDefault="00BD4A3E" w:rsidP="00BD4A3E">
            <w:pPr>
              <w:tabs>
                <w:tab w:val="left" w:pos="709"/>
                <w:tab w:val="left" w:pos="1899"/>
              </w:tabs>
              <w:ind w:right="-108"/>
              <w:jc w:val="both"/>
              <w:rPr>
                <w:rFonts w:ascii="Calibri" w:hAnsi="Calibri" w:cs="Arial"/>
                <w:lang w:val="ro-RO"/>
              </w:rPr>
            </w:pPr>
          </w:p>
        </w:tc>
      </w:tr>
      <w:tr w:rsidR="00BD4A3E" w:rsidRPr="00BD4A3E" w:rsidTr="00BD4A3E">
        <w:trPr>
          <w:trHeight w:val="310"/>
        </w:trPr>
        <w:tc>
          <w:tcPr>
            <w:tcW w:w="1492" w:type="dxa"/>
            <w:noWrap/>
          </w:tcPr>
          <w:p w:rsidR="00BD4A3E" w:rsidRPr="00BD4A3E" w:rsidRDefault="00BD4A3E" w:rsidP="00BD4A3E">
            <w:pPr>
              <w:tabs>
                <w:tab w:val="left" w:pos="709"/>
                <w:tab w:val="left" w:pos="1899"/>
              </w:tabs>
              <w:jc w:val="right"/>
              <w:rPr>
                <w:rFonts w:ascii="Calibri" w:hAnsi="Calibri" w:cs="Arial"/>
              </w:rPr>
            </w:pPr>
            <w:r>
              <w:rPr>
                <w:rFonts w:ascii="Calibri" w:hAnsi="Calibri"/>
              </w:rPr>
              <w:t>6,590,268.20</w:t>
            </w:r>
          </w:p>
        </w:tc>
        <w:tc>
          <w:tcPr>
            <w:tcW w:w="1423" w:type="dxa"/>
            <w:noWrap/>
          </w:tcPr>
          <w:p w:rsidR="00BD4A3E" w:rsidRPr="00BD4A3E" w:rsidRDefault="00BD4A3E" w:rsidP="00BD4A3E">
            <w:pPr>
              <w:tabs>
                <w:tab w:val="left" w:pos="709"/>
                <w:tab w:val="left" w:pos="1899"/>
              </w:tabs>
              <w:jc w:val="right"/>
              <w:rPr>
                <w:rFonts w:ascii="Calibri" w:hAnsi="Calibri" w:cs="Arial"/>
              </w:rPr>
            </w:pPr>
            <w:r>
              <w:rPr>
                <w:rFonts w:ascii="Calibri" w:hAnsi="Calibri"/>
              </w:rPr>
              <w:t>2,196,756.07</w:t>
            </w:r>
          </w:p>
        </w:tc>
        <w:tc>
          <w:tcPr>
            <w:tcW w:w="1736" w:type="dxa"/>
            <w:noWrap/>
          </w:tcPr>
          <w:p w:rsidR="00BD4A3E" w:rsidRPr="00BD4A3E" w:rsidRDefault="00BD4A3E" w:rsidP="00BD4A3E">
            <w:pPr>
              <w:tabs>
                <w:tab w:val="left" w:pos="709"/>
                <w:tab w:val="left" w:pos="1899"/>
              </w:tabs>
              <w:jc w:val="right"/>
              <w:rPr>
                <w:rFonts w:ascii="Calibri" w:hAnsi="Calibri" w:cs="Arial"/>
              </w:rPr>
            </w:pPr>
            <w:r>
              <w:rPr>
                <w:rFonts w:ascii="Calibri" w:hAnsi="Calibri"/>
              </w:rPr>
              <w:t>140,795,733.59</w:t>
            </w:r>
          </w:p>
        </w:tc>
        <w:tc>
          <w:tcPr>
            <w:tcW w:w="1614" w:type="dxa"/>
            <w:noWrap/>
          </w:tcPr>
          <w:p w:rsidR="00BD4A3E" w:rsidRPr="00BD4A3E" w:rsidRDefault="00BD4A3E" w:rsidP="00BD4A3E">
            <w:pPr>
              <w:tabs>
                <w:tab w:val="left" w:pos="709"/>
                <w:tab w:val="left" w:pos="1899"/>
              </w:tabs>
              <w:jc w:val="right"/>
              <w:rPr>
                <w:rFonts w:ascii="Calibri" w:hAnsi="Calibri" w:cs="Arial"/>
              </w:rPr>
            </w:pPr>
            <w:r>
              <w:rPr>
                <w:rFonts w:ascii="Calibri" w:hAnsi="Calibri"/>
              </w:rPr>
              <w:t>46,931,911.20</w:t>
            </w:r>
          </w:p>
        </w:tc>
        <w:tc>
          <w:tcPr>
            <w:tcW w:w="1736" w:type="dxa"/>
            <w:noWrap/>
          </w:tcPr>
          <w:p w:rsidR="00BD4A3E" w:rsidRPr="00BD4A3E" w:rsidRDefault="00BD4A3E" w:rsidP="00BD4A3E">
            <w:pPr>
              <w:tabs>
                <w:tab w:val="left" w:pos="709"/>
                <w:tab w:val="left" w:pos="1899"/>
              </w:tabs>
              <w:jc w:val="right"/>
              <w:rPr>
                <w:rFonts w:ascii="Calibri" w:hAnsi="Calibri" w:cs="Arial"/>
              </w:rPr>
            </w:pPr>
            <w:r>
              <w:rPr>
                <w:rFonts w:ascii="Calibri" w:hAnsi="Calibri"/>
              </w:rPr>
              <w:t>196,254,669.05</w:t>
            </w:r>
          </w:p>
        </w:tc>
        <w:tc>
          <w:tcPr>
            <w:tcW w:w="1610" w:type="dxa"/>
            <w:noWrap/>
            <w:hideMark/>
          </w:tcPr>
          <w:p w:rsidR="00BD4A3E" w:rsidRPr="00BD4A3E" w:rsidRDefault="00BD4A3E" w:rsidP="00BD4A3E">
            <w:pPr>
              <w:tabs>
                <w:tab w:val="left" w:pos="709"/>
                <w:tab w:val="left" w:pos="1899"/>
              </w:tabs>
              <w:jc w:val="right"/>
              <w:rPr>
                <w:rFonts w:ascii="Calibri" w:hAnsi="Calibri" w:cs="Arial"/>
              </w:rPr>
            </w:pPr>
            <w:r>
              <w:rPr>
                <w:rFonts w:ascii="Calibri" w:hAnsi="Calibri"/>
              </w:rPr>
              <w:t>18.78</w:t>
            </w:r>
          </w:p>
        </w:tc>
      </w:tr>
    </w:tbl>
    <w:p w:rsidR="00BD4A3E" w:rsidRPr="00BD4A3E" w:rsidRDefault="00BD4A3E" w:rsidP="00BD4A3E">
      <w:pPr>
        <w:tabs>
          <w:tab w:val="left" w:pos="709"/>
          <w:tab w:val="left" w:pos="1899"/>
        </w:tabs>
        <w:ind w:right="-108"/>
        <w:jc w:val="both"/>
        <w:rPr>
          <w:rFonts w:ascii="Calibri" w:eastAsia="Calibri" w:hAnsi="Calibri" w:cs="Arial"/>
          <w:lang w:val="ro-RO"/>
        </w:rPr>
      </w:pPr>
    </w:p>
    <w:p w:rsidR="00BD4A3E" w:rsidRPr="00BD4A3E" w:rsidRDefault="00BD4A3E" w:rsidP="00BD4A3E">
      <w:pPr>
        <w:tabs>
          <w:tab w:val="left" w:pos="709"/>
          <w:tab w:val="left" w:pos="1899"/>
        </w:tabs>
        <w:ind w:right="-108"/>
        <w:jc w:val="both"/>
        <w:rPr>
          <w:rFonts w:ascii="Calibri" w:eastAsia="Calibri" w:hAnsi="Calibri" w:cs="Arial"/>
          <w:b/>
        </w:rPr>
      </w:pPr>
      <w:r>
        <w:rPr>
          <w:rFonts w:ascii="Calibri" w:hAnsi="Calibri"/>
          <w:b/>
        </w:rPr>
        <w:t>Amounts collected from the EC</w:t>
      </w:r>
    </w:p>
    <w:p w:rsidR="00BD4A3E" w:rsidRPr="00BD4A3E" w:rsidRDefault="00BD4A3E" w:rsidP="00BD4A3E">
      <w:pPr>
        <w:tabs>
          <w:tab w:val="left" w:pos="709"/>
          <w:tab w:val="left" w:pos="1899"/>
        </w:tabs>
        <w:ind w:right="-108"/>
        <w:jc w:val="both"/>
        <w:rPr>
          <w:rFonts w:ascii="Calibri" w:eastAsia="Calibri" w:hAnsi="Calibri" w:cs="Arial"/>
          <w:lang w:val="ro-RO"/>
        </w:rPr>
      </w:pPr>
    </w:p>
    <w:p w:rsidR="00BD4A3E" w:rsidRPr="00BD4A3E" w:rsidRDefault="00BD4A3E" w:rsidP="00BD4A3E">
      <w:pPr>
        <w:tabs>
          <w:tab w:val="left" w:pos="709"/>
          <w:tab w:val="left" w:pos="1899"/>
        </w:tabs>
        <w:ind w:right="-108"/>
        <w:jc w:val="both"/>
        <w:rPr>
          <w:rFonts w:ascii="Calibri" w:eastAsia="Calibri" w:hAnsi="Calibri" w:cs="Arial"/>
        </w:rPr>
      </w:pPr>
      <w:r>
        <w:rPr>
          <w:rFonts w:ascii="Calibri" w:hAnsi="Calibri"/>
        </w:rPr>
        <w:t>Pre-financing received from the EC = 10,464,336.01 EUR.</w:t>
      </w:r>
    </w:p>
    <w:p w:rsidR="00BD4A3E" w:rsidRPr="00BD4A3E" w:rsidRDefault="00BD4A3E" w:rsidP="00BD4A3E">
      <w:pPr>
        <w:tabs>
          <w:tab w:val="left" w:pos="709"/>
          <w:tab w:val="left" w:pos="1899"/>
        </w:tabs>
        <w:ind w:right="-108"/>
        <w:jc w:val="both"/>
        <w:rPr>
          <w:rFonts w:ascii="Calibri" w:eastAsia="Calibri" w:hAnsi="Calibri" w:cs="Arial"/>
          <w:lang w:val="ro-RO"/>
        </w:rPr>
      </w:pPr>
    </w:p>
    <w:tbl>
      <w:tblPr>
        <w:tblStyle w:val="Tabelgril12"/>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1614"/>
        <w:gridCol w:w="1736"/>
        <w:gridCol w:w="1614"/>
        <w:gridCol w:w="1736"/>
        <w:gridCol w:w="1325"/>
      </w:tblGrid>
      <w:tr w:rsidR="00BD4A3E" w:rsidRPr="00BD4A3E" w:rsidTr="00BD4A3E">
        <w:trPr>
          <w:trHeight w:val="274"/>
        </w:trPr>
        <w:tc>
          <w:tcPr>
            <w:tcW w:w="3228" w:type="dxa"/>
            <w:gridSpan w:val="2"/>
            <w:tcBorders>
              <w:top w:val="single" w:sz="4" w:space="0" w:color="auto"/>
            </w:tcBorders>
            <w:noWrap/>
            <w:hideMark/>
          </w:tcPr>
          <w:p w:rsidR="00BD4A3E" w:rsidRPr="00BD4A3E" w:rsidRDefault="00BD4A3E" w:rsidP="00BD4A3E">
            <w:pPr>
              <w:tabs>
                <w:tab w:val="left" w:pos="709"/>
                <w:tab w:val="left" w:pos="1899"/>
              </w:tabs>
              <w:ind w:right="-108"/>
              <w:jc w:val="center"/>
              <w:rPr>
                <w:rFonts w:ascii="Calibri" w:hAnsi="Calibri" w:cs="Arial"/>
                <w:b/>
              </w:rPr>
            </w:pPr>
            <w:r>
              <w:rPr>
                <w:rFonts w:ascii="Calibri" w:hAnsi="Calibri"/>
                <w:b/>
              </w:rPr>
              <w:t>Expenditures declared by the MA to the CA (EUR)</w:t>
            </w:r>
          </w:p>
        </w:tc>
        <w:tc>
          <w:tcPr>
            <w:tcW w:w="3350" w:type="dxa"/>
            <w:gridSpan w:val="2"/>
            <w:tcBorders>
              <w:top w:val="single" w:sz="4" w:space="0" w:color="auto"/>
            </w:tcBorders>
            <w:noWrap/>
            <w:hideMark/>
          </w:tcPr>
          <w:p w:rsidR="00BD4A3E" w:rsidRPr="00BD4A3E" w:rsidRDefault="00BD4A3E" w:rsidP="00BD4A3E">
            <w:pPr>
              <w:tabs>
                <w:tab w:val="left" w:pos="709"/>
                <w:tab w:val="left" w:pos="1899"/>
              </w:tabs>
              <w:ind w:right="-108"/>
              <w:jc w:val="center"/>
              <w:rPr>
                <w:rFonts w:ascii="Calibri" w:hAnsi="Calibri" w:cs="Arial"/>
                <w:b/>
              </w:rPr>
            </w:pPr>
            <w:r>
              <w:rPr>
                <w:rFonts w:ascii="Calibri" w:hAnsi="Calibri"/>
                <w:b/>
              </w:rPr>
              <w:t>Expenditures certified by the CPA (EUR)</w:t>
            </w:r>
          </w:p>
        </w:tc>
        <w:tc>
          <w:tcPr>
            <w:tcW w:w="1736" w:type="dxa"/>
            <w:vMerge w:val="restart"/>
            <w:tcBorders>
              <w:top w:val="single" w:sz="4" w:space="0" w:color="auto"/>
            </w:tcBorders>
            <w:hideMark/>
          </w:tcPr>
          <w:p w:rsidR="00BD4A3E" w:rsidRPr="00BD4A3E" w:rsidRDefault="00BD4A3E" w:rsidP="00BD4A3E">
            <w:pPr>
              <w:tabs>
                <w:tab w:val="left" w:pos="709"/>
                <w:tab w:val="left" w:pos="1899"/>
              </w:tabs>
              <w:ind w:right="-108"/>
              <w:jc w:val="center"/>
              <w:rPr>
                <w:rFonts w:ascii="Calibri" w:hAnsi="Calibri" w:cs="Arial"/>
                <w:b/>
              </w:rPr>
            </w:pPr>
            <w:r>
              <w:rPr>
                <w:rFonts w:ascii="Calibri" w:hAnsi="Calibri"/>
                <w:b/>
              </w:rPr>
              <w:t>Reimbursement from the EC</w:t>
            </w:r>
          </w:p>
          <w:p w:rsidR="00BD4A3E" w:rsidRPr="00BD4A3E" w:rsidRDefault="00BD4A3E" w:rsidP="00BD4A3E">
            <w:pPr>
              <w:tabs>
                <w:tab w:val="left" w:pos="709"/>
                <w:tab w:val="left" w:pos="1899"/>
              </w:tabs>
              <w:ind w:right="-108"/>
              <w:jc w:val="center"/>
              <w:rPr>
                <w:rFonts w:ascii="Calibri" w:hAnsi="Calibri" w:cs="Arial"/>
                <w:b/>
              </w:rPr>
            </w:pPr>
            <w:r>
              <w:rPr>
                <w:rFonts w:ascii="Calibri" w:hAnsi="Calibri"/>
                <w:b/>
              </w:rPr>
              <w:t>(EUR)</w:t>
            </w:r>
          </w:p>
        </w:tc>
        <w:tc>
          <w:tcPr>
            <w:tcW w:w="1325" w:type="dxa"/>
            <w:vMerge w:val="restart"/>
            <w:tcBorders>
              <w:top w:val="single" w:sz="4" w:space="0" w:color="auto"/>
            </w:tcBorders>
            <w:vAlign w:val="center"/>
          </w:tcPr>
          <w:p w:rsidR="00BD4A3E" w:rsidRPr="00BD4A3E" w:rsidRDefault="00BD4A3E" w:rsidP="00BD4A3E">
            <w:pPr>
              <w:jc w:val="center"/>
              <w:rPr>
                <w:rFonts w:ascii="Calibri" w:hAnsi="Calibri" w:cs="Arial"/>
                <w:b/>
              </w:rPr>
            </w:pPr>
            <w:r>
              <w:rPr>
                <w:rFonts w:ascii="Calibri" w:hAnsi="Calibri"/>
                <w:b/>
              </w:rPr>
              <w:t xml:space="preserve">Effective absorption rate </w:t>
            </w:r>
            <w:r>
              <w:rPr>
                <w:rFonts w:ascii="Calibri" w:hAnsi="Calibri"/>
                <w:b/>
              </w:rPr>
              <w:br/>
              <w:t>(%)</w:t>
            </w:r>
          </w:p>
        </w:tc>
      </w:tr>
      <w:tr w:rsidR="00BD4A3E" w:rsidRPr="00BD4A3E" w:rsidTr="00BD4A3E">
        <w:trPr>
          <w:trHeight w:val="293"/>
        </w:trPr>
        <w:tc>
          <w:tcPr>
            <w:tcW w:w="1614" w:type="dxa"/>
            <w:vMerge w:val="restart"/>
            <w:hideMark/>
          </w:tcPr>
          <w:p w:rsidR="00BD4A3E" w:rsidRPr="00BD4A3E" w:rsidRDefault="00BD4A3E" w:rsidP="00BD4A3E">
            <w:pPr>
              <w:tabs>
                <w:tab w:val="left" w:pos="709"/>
                <w:tab w:val="left" w:pos="1899"/>
              </w:tabs>
              <w:ind w:right="-108"/>
              <w:jc w:val="center"/>
              <w:rPr>
                <w:rFonts w:ascii="Calibri" w:hAnsi="Calibri" w:cs="Arial"/>
                <w:b/>
              </w:rPr>
            </w:pPr>
            <w:r>
              <w:rPr>
                <w:rFonts w:ascii="Calibri" w:hAnsi="Calibri"/>
                <w:b/>
              </w:rPr>
              <w:t>Public value</w:t>
            </w:r>
          </w:p>
        </w:tc>
        <w:tc>
          <w:tcPr>
            <w:tcW w:w="1614" w:type="dxa"/>
            <w:vMerge w:val="restart"/>
            <w:hideMark/>
          </w:tcPr>
          <w:p w:rsidR="00BD4A3E" w:rsidRPr="00BD4A3E" w:rsidRDefault="00BD4A3E" w:rsidP="00BD4A3E">
            <w:pPr>
              <w:tabs>
                <w:tab w:val="left" w:pos="709"/>
                <w:tab w:val="left" w:pos="1899"/>
              </w:tabs>
              <w:ind w:right="-108"/>
              <w:jc w:val="center"/>
              <w:rPr>
                <w:rFonts w:ascii="Calibri" w:hAnsi="Calibri" w:cs="Arial"/>
                <w:b/>
              </w:rPr>
            </w:pPr>
            <w:r>
              <w:rPr>
                <w:rFonts w:ascii="Calibri" w:hAnsi="Calibri"/>
                <w:b/>
              </w:rPr>
              <w:t>EU contribution</w:t>
            </w:r>
          </w:p>
        </w:tc>
        <w:tc>
          <w:tcPr>
            <w:tcW w:w="1736" w:type="dxa"/>
            <w:vMerge w:val="restart"/>
          </w:tcPr>
          <w:p w:rsidR="00BD4A3E" w:rsidRPr="00BD4A3E" w:rsidRDefault="00BD4A3E" w:rsidP="00BD4A3E">
            <w:pPr>
              <w:tabs>
                <w:tab w:val="left" w:pos="709"/>
                <w:tab w:val="left" w:pos="1899"/>
              </w:tabs>
              <w:ind w:right="-108"/>
              <w:jc w:val="center"/>
              <w:rPr>
                <w:rFonts w:ascii="Calibri" w:hAnsi="Calibri" w:cs="Arial"/>
                <w:b/>
              </w:rPr>
            </w:pPr>
            <w:r>
              <w:rPr>
                <w:rFonts w:ascii="Calibri" w:hAnsi="Calibri"/>
                <w:b/>
              </w:rPr>
              <w:t>Public value</w:t>
            </w:r>
          </w:p>
        </w:tc>
        <w:tc>
          <w:tcPr>
            <w:tcW w:w="1614" w:type="dxa"/>
            <w:vMerge w:val="restart"/>
          </w:tcPr>
          <w:p w:rsidR="00BD4A3E" w:rsidRPr="00BD4A3E" w:rsidRDefault="00BD4A3E" w:rsidP="00BD4A3E">
            <w:pPr>
              <w:tabs>
                <w:tab w:val="left" w:pos="709"/>
                <w:tab w:val="left" w:pos="1899"/>
              </w:tabs>
              <w:ind w:right="-108"/>
              <w:jc w:val="center"/>
              <w:rPr>
                <w:rFonts w:ascii="Calibri" w:hAnsi="Calibri" w:cs="Arial"/>
                <w:b/>
              </w:rPr>
            </w:pPr>
            <w:r>
              <w:rPr>
                <w:rFonts w:ascii="Calibri" w:hAnsi="Calibri"/>
                <w:b/>
              </w:rPr>
              <w:t>EU contribution</w:t>
            </w:r>
          </w:p>
        </w:tc>
        <w:tc>
          <w:tcPr>
            <w:tcW w:w="1736" w:type="dxa"/>
            <w:vMerge/>
            <w:hideMark/>
          </w:tcPr>
          <w:p w:rsidR="00BD4A3E" w:rsidRPr="00BD4A3E" w:rsidRDefault="00BD4A3E" w:rsidP="00BD4A3E">
            <w:pPr>
              <w:tabs>
                <w:tab w:val="left" w:pos="709"/>
                <w:tab w:val="left" w:pos="1899"/>
              </w:tabs>
              <w:ind w:right="-108"/>
              <w:jc w:val="both"/>
              <w:rPr>
                <w:rFonts w:ascii="Calibri" w:hAnsi="Calibri" w:cs="Arial"/>
                <w:lang w:val="ro-RO"/>
              </w:rPr>
            </w:pPr>
          </w:p>
        </w:tc>
        <w:tc>
          <w:tcPr>
            <w:tcW w:w="1325" w:type="dxa"/>
            <w:vMerge/>
            <w:hideMark/>
          </w:tcPr>
          <w:p w:rsidR="00BD4A3E" w:rsidRPr="00BD4A3E" w:rsidRDefault="00BD4A3E" w:rsidP="00BD4A3E">
            <w:pPr>
              <w:tabs>
                <w:tab w:val="left" w:pos="709"/>
                <w:tab w:val="left" w:pos="1899"/>
              </w:tabs>
              <w:ind w:right="-108"/>
              <w:jc w:val="both"/>
              <w:rPr>
                <w:rFonts w:ascii="Calibri" w:hAnsi="Calibri" w:cs="Arial"/>
                <w:lang w:val="ro-RO"/>
              </w:rPr>
            </w:pPr>
          </w:p>
        </w:tc>
      </w:tr>
      <w:tr w:rsidR="00BD4A3E" w:rsidRPr="00BD4A3E" w:rsidTr="00BD4A3E">
        <w:trPr>
          <w:trHeight w:val="293"/>
        </w:trPr>
        <w:tc>
          <w:tcPr>
            <w:tcW w:w="1614" w:type="dxa"/>
            <w:vMerge/>
            <w:hideMark/>
          </w:tcPr>
          <w:p w:rsidR="00BD4A3E" w:rsidRPr="00BD4A3E" w:rsidRDefault="00BD4A3E" w:rsidP="00BD4A3E">
            <w:pPr>
              <w:tabs>
                <w:tab w:val="left" w:pos="709"/>
                <w:tab w:val="left" w:pos="1899"/>
              </w:tabs>
              <w:ind w:right="-108"/>
              <w:jc w:val="both"/>
              <w:rPr>
                <w:rFonts w:ascii="Calibri" w:hAnsi="Calibri" w:cs="Arial"/>
                <w:lang w:val="ro-RO"/>
              </w:rPr>
            </w:pPr>
          </w:p>
        </w:tc>
        <w:tc>
          <w:tcPr>
            <w:tcW w:w="1614" w:type="dxa"/>
            <w:vMerge/>
            <w:hideMark/>
          </w:tcPr>
          <w:p w:rsidR="00BD4A3E" w:rsidRPr="00BD4A3E" w:rsidRDefault="00BD4A3E" w:rsidP="00BD4A3E">
            <w:pPr>
              <w:tabs>
                <w:tab w:val="left" w:pos="709"/>
                <w:tab w:val="left" w:pos="1899"/>
              </w:tabs>
              <w:ind w:right="-108"/>
              <w:jc w:val="both"/>
              <w:rPr>
                <w:rFonts w:ascii="Calibri" w:hAnsi="Calibri" w:cs="Arial"/>
                <w:lang w:val="ro-RO"/>
              </w:rPr>
            </w:pPr>
          </w:p>
        </w:tc>
        <w:tc>
          <w:tcPr>
            <w:tcW w:w="1736" w:type="dxa"/>
            <w:vMerge/>
          </w:tcPr>
          <w:p w:rsidR="00BD4A3E" w:rsidRPr="00BD4A3E" w:rsidRDefault="00BD4A3E" w:rsidP="00BD4A3E">
            <w:pPr>
              <w:tabs>
                <w:tab w:val="left" w:pos="709"/>
                <w:tab w:val="left" w:pos="1899"/>
              </w:tabs>
              <w:ind w:right="-108"/>
              <w:jc w:val="both"/>
              <w:rPr>
                <w:rFonts w:ascii="Calibri" w:hAnsi="Calibri" w:cs="Arial"/>
                <w:lang w:val="ro-RO"/>
              </w:rPr>
            </w:pPr>
          </w:p>
        </w:tc>
        <w:tc>
          <w:tcPr>
            <w:tcW w:w="1614" w:type="dxa"/>
            <w:vMerge/>
          </w:tcPr>
          <w:p w:rsidR="00BD4A3E" w:rsidRPr="00BD4A3E" w:rsidRDefault="00BD4A3E" w:rsidP="00BD4A3E">
            <w:pPr>
              <w:tabs>
                <w:tab w:val="left" w:pos="709"/>
                <w:tab w:val="left" w:pos="1899"/>
              </w:tabs>
              <w:ind w:right="-108"/>
              <w:jc w:val="both"/>
              <w:rPr>
                <w:rFonts w:ascii="Calibri" w:hAnsi="Calibri" w:cs="Arial"/>
                <w:lang w:val="ro-RO"/>
              </w:rPr>
            </w:pPr>
          </w:p>
        </w:tc>
        <w:tc>
          <w:tcPr>
            <w:tcW w:w="1736" w:type="dxa"/>
            <w:vMerge/>
            <w:hideMark/>
          </w:tcPr>
          <w:p w:rsidR="00BD4A3E" w:rsidRPr="00BD4A3E" w:rsidRDefault="00BD4A3E" w:rsidP="00BD4A3E">
            <w:pPr>
              <w:tabs>
                <w:tab w:val="left" w:pos="709"/>
                <w:tab w:val="left" w:pos="1899"/>
              </w:tabs>
              <w:ind w:right="-108"/>
              <w:jc w:val="both"/>
              <w:rPr>
                <w:rFonts w:ascii="Calibri" w:hAnsi="Calibri" w:cs="Arial"/>
                <w:lang w:val="ro-RO"/>
              </w:rPr>
            </w:pPr>
          </w:p>
        </w:tc>
        <w:tc>
          <w:tcPr>
            <w:tcW w:w="1325" w:type="dxa"/>
            <w:vMerge/>
            <w:hideMark/>
          </w:tcPr>
          <w:p w:rsidR="00BD4A3E" w:rsidRPr="00BD4A3E" w:rsidRDefault="00BD4A3E" w:rsidP="00BD4A3E">
            <w:pPr>
              <w:tabs>
                <w:tab w:val="left" w:pos="709"/>
                <w:tab w:val="left" w:pos="1899"/>
              </w:tabs>
              <w:ind w:right="-108"/>
              <w:jc w:val="both"/>
              <w:rPr>
                <w:rFonts w:ascii="Calibri" w:hAnsi="Calibri" w:cs="Arial"/>
                <w:lang w:val="ro-RO"/>
              </w:rPr>
            </w:pPr>
          </w:p>
        </w:tc>
      </w:tr>
      <w:tr w:rsidR="00BD4A3E" w:rsidRPr="00BD4A3E" w:rsidTr="00BD4A3E">
        <w:trPr>
          <w:trHeight w:val="322"/>
        </w:trPr>
        <w:tc>
          <w:tcPr>
            <w:tcW w:w="1614" w:type="dxa"/>
            <w:noWrap/>
          </w:tcPr>
          <w:p w:rsidR="00BD4A3E" w:rsidRPr="00BD4A3E" w:rsidRDefault="00BD4A3E" w:rsidP="00BD4A3E">
            <w:pPr>
              <w:tabs>
                <w:tab w:val="left" w:pos="709"/>
                <w:tab w:val="left" w:pos="1899"/>
              </w:tabs>
              <w:jc w:val="right"/>
              <w:rPr>
                <w:rFonts w:ascii="Calibri" w:hAnsi="Calibri" w:cs="Arial"/>
              </w:rPr>
            </w:pPr>
            <w:r>
              <w:rPr>
                <w:rFonts w:ascii="Calibri" w:hAnsi="Calibri"/>
              </w:rPr>
              <w:t>36,417,226.92</w:t>
            </w:r>
          </w:p>
        </w:tc>
        <w:tc>
          <w:tcPr>
            <w:tcW w:w="1614" w:type="dxa"/>
            <w:noWrap/>
          </w:tcPr>
          <w:p w:rsidR="00BD4A3E" w:rsidRPr="00BD4A3E" w:rsidRDefault="00BD4A3E" w:rsidP="00BD4A3E">
            <w:pPr>
              <w:tabs>
                <w:tab w:val="left" w:pos="709"/>
                <w:tab w:val="left" w:pos="1899"/>
              </w:tabs>
              <w:jc w:val="right"/>
              <w:rPr>
                <w:rFonts w:ascii="Calibri" w:hAnsi="Calibri" w:cs="Arial"/>
              </w:rPr>
            </w:pPr>
            <w:r>
              <w:rPr>
                <w:rFonts w:ascii="Calibri" w:hAnsi="Calibri"/>
              </w:rPr>
              <w:t>27,312,920.19</w:t>
            </w:r>
          </w:p>
        </w:tc>
        <w:tc>
          <w:tcPr>
            <w:tcW w:w="1736" w:type="dxa"/>
            <w:noWrap/>
          </w:tcPr>
          <w:p w:rsidR="00BD4A3E" w:rsidRPr="00BD4A3E" w:rsidRDefault="00BD4A3E" w:rsidP="00BD4A3E">
            <w:pPr>
              <w:tabs>
                <w:tab w:val="left" w:pos="709"/>
                <w:tab w:val="left" w:pos="1899"/>
              </w:tabs>
              <w:jc w:val="right"/>
              <w:rPr>
                <w:rFonts w:ascii="Calibri" w:hAnsi="Calibri" w:cs="Arial"/>
              </w:rPr>
            </w:pPr>
            <w:r>
              <w:rPr>
                <w:rFonts w:ascii="Calibri" w:hAnsi="Calibri"/>
              </w:rPr>
              <w:t>25,900,639.02</w:t>
            </w:r>
          </w:p>
        </w:tc>
        <w:tc>
          <w:tcPr>
            <w:tcW w:w="1614" w:type="dxa"/>
            <w:noWrap/>
          </w:tcPr>
          <w:p w:rsidR="00BD4A3E" w:rsidRPr="00BD4A3E" w:rsidRDefault="00BD4A3E" w:rsidP="00BD4A3E">
            <w:pPr>
              <w:tabs>
                <w:tab w:val="left" w:pos="709"/>
                <w:tab w:val="left" w:pos="1899"/>
              </w:tabs>
              <w:jc w:val="right"/>
              <w:rPr>
                <w:rFonts w:ascii="Calibri" w:hAnsi="Calibri" w:cs="Arial"/>
              </w:rPr>
            </w:pPr>
            <w:r>
              <w:rPr>
                <w:rFonts w:ascii="Calibri" w:hAnsi="Calibri"/>
              </w:rPr>
              <w:t>19,425,479.27</w:t>
            </w:r>
          </w:p>
        </w:tc>
        <w:tc>
          <w:tcPr>
            <w:tcW w:w="1736" w:type="dxa"/>
            <w:noWrap/>
          </w:tcPr>
          <w:p w:rsidR="00BD4A3E" w:rsidRPr="00BD4A3E" w:rsidRDefault="00BD4A3E" w:rsidP="00BD4A3E">
            <w:pPr>
              <w:tabs>
                <w:tab w:val="left" w:pos="709"/>
                <w:tab w:val="left" w:pos="1899"/>
              </w:tabs>
              <w:jc w:val="right"/>
              <w:rPr>
                <w:rFonts w:ascii="Calibri" w:hAnsi="Calibri" w:cs="Arial"/>
              </w:rPr>
            </w:pPr>
            <w:r>
              <w:rPr>
                <w:rFonts w:ascii="Calibri" w:hAnsi="Calibri"/>
              </w:rPr>
              <w:t>17,482,931.30</w:t>
            </w:r>
          </w:p>
        </w:tc>
        <w:tc>
          <w:tcPr>
            <w:tcW w:w="1325" w:type="dxa"/>
            <w:noWrap/>
          </w:tcPr>
          <w:p w:rsidR="00BD4A3E" w:rsidRPr="00BD4A3E" w:rsidRDefault="00BD4A3E" w:rsidP="00BD4A3E">
            <w:pPr>
              <w:tabs>
                <w:tab w:val="left" w:pos="709"/>
                <w:tab w:val="left" w:pos="1899"/>
              </w:tabs>
              <w:jc w:val="right"/>
              <w:rPr>
                <w:rFonts w:ascii="Calibri" w:hAnsi="Calibri" w:cs="Arial"/>
              </w:rPr>
            </w:pPr>
            <w:r>
              <w:rPr>
                <w:rFonts w:ascii="Calibri" w:hAnsi="Calibri"/>
              </w:rPr>
              <w:t>12.35</w:t>
            </w:r>
          </w:p>
        </w:tc>
      </w:tr>
    </w:tbl>
    <w:p w:rsidR="00BD4A3E" w:rsidRPr="00BD4A3E" w:rsidRDefault="00BD4A3E" w:rsidP="00BD4A3E">
      <w:pPr>
        <w:tabs>
          <w:tab w:val="left" w:pos="709"/>
          <w:tab w:val="left" w:pos="1899"/>
        </w:tabs>
        <w:ind w:right="-108"/>
        <w:jc w:val="both"/>
        <w:rPr>
          <w:rFonts w:ascii="Calibri" w:eastAsia="Calibri" w:hAnsi="Calibri" w:cs="Arial"/>
          <w:lang w:val="ro-RO"/>
        </w:rPr>
      </w:pPr>
    </w:p>
    <w:p w:rsidR="00BD4A3E" w:rsidRPr="00BD4A3E" w:rsidRDefault="00BD4A3E" w:rsidP="00BD4A3E">
      <w:pPr>
        <w:tabs>
          <w:tab w:val="left" w:pos="709"/>
          <w:tab w:val="left" w:pos="1899"/>
        </w:tabs>
        <w:ind w:right="-108"/>
        <w:jc w:val="both"/>
        <w:rPr>
          <w:rFonts w:ascii="Calibri" w:eastAsia="Calibri" w:hAnsi="Calibri" w:cs="Arial"/>
        </w:rPr>
      </w:pPr>
      <w:r>
        <w:rPr>
          <w:rFonts w:ascii="Calibri" w:hAnsi="Calibri"/>
        </w:rPr>
        <w:t>The transformation of the amounts from Lei into EUR in this document was made at the INFOREURO exchange rate corresponding to the month of OCTOBER 2018: 1 EUR = 4.6701 Lei</w:t>
      </w:r>
    </w:p>
    <w:p w:rsidR="00BD4A3E" w:rsidRPr="00BD4A3E" w:rsidRDefault="00BD4A3E" w:rsidP="00BD4A3E">
      <w:pPr>
        <w:jc w:val="both"/>
        <w:rPr>
          <w:rFonts w:ascii="Calibri" w:eastAsia="Calibri" w:hAnsi="Calibri" w:cs="Arial"/>
          <w:lang w:val="ro-RO"/>
        </w:rPr>
      </w:pPr>
    </w:p>
    <w:p w:rsidR="00BD4A3E" w:rsidRPr="00BD4A3E" w:rsidRDefault="00BD4A3E" w:rsidP="00BD4A3E">
      <w:pPr>
        <w:spacing w:after="120"/>
        <w:jc w:val="both"/>
        <w:rPr>
          <w:rFonts w:ascii="Calibri" w:eastAsia="Calibri" w:hAnsi="Calibri" w:cs="Arial"/>
          <w:b/>
        </w:rPr>
      </w:pPr>
      <w:r>
        <w:rPr>
          <w:rFonts w:ascii="Calibri" w:hAnsi="Calibri"/>
          <w:b/>
        </w:rPr>
        <w:t>Risks that may intervene in 2018-2020 in the implementation of POPAM</w:t>
      </w:r>
    </w:p>
    <w:p w:rsidR="00BD4A3E" w:rsidRPr="003964D3" w:rsidRDefault="00BD4A3E" w:rsidP="00BD4A3E">
      <w:pPr>
        <w:jc w:val="both"/>
        <w:rPr>
          <w:rFonts w:asciiTheme="minorHAnsi" w:hAnsiTheme="minorHAnsi"/>
          <w:b/>
        </w:rPr>
      </w:pPr>
      <w:r>
        <w:rPr>
          <w:rFonts w:asciiTheme="minorHAnsi" w:hAnsiTheme="minorHAnsi"/>
          <w:b/>
        </w:rPr>
        <w:t>- risk of “delay/lack of appointment of the MA for POPAM”, which</w:t>
      </w:r>
      <w:r>
        <w:rPr>
          <w:rFonts w:asciiTheme="minorHAnsi" w:hAnsiTheme="minorHAnsi"/>
        </w:rPr>
        <w:t xml:space="preserve"> was eliminated as a result of the appointment of MARD as management authority and of the Ministry of Public Finance as certifying authority for the Operational Program for Fishing and Marine Affairs.</w:t>
      </w:r>
    </w:p>
    <w:p w:rsidR="00BD4A3E" w:rsidRPr="00BD4A3E" w:rsidRDefault="00BD4A3E" w:rsidP="00BD4A3E">
      <w:pPr>
        <w:jc w:val="both"/>
        <w:rPr>
          <w:rFonts w:asciiTheme="minorHAnsi" w:hAnsiTheme="minorHAnsi"/>
        </w:rPr>
      </w:pPr>
      <w:r>
        <w:rPr>
          <w:rFonts w:asciiTheme="minorHAnsi" w:hAnsiTheme="minorHAnsi"/>
        </w:rPr>
        <w:t>- lack of available funds of the applicants/beneficiaries of POPAM;</w:t>
      </w:r>
    </w:p>
    <w:p w:rsidR="00BD4A3E" w:rsidRPr="00BD4A3E" w:rsidRDefault="00BD4A3E" w:rsidP="00BD4A3E">
      <w:pPr>
        <w:jc w:val="both"/>
        <w:rPr>
          <w:rFonts w:asciiTheme="minorHAnsi" w:hAnsiTheme="minorHAnsi"/>
        </w:rPr>
      </w:pPr>
      <w:r>
        <w:rPr>
          <w:rFonts w:asciiTheme="minorHAnsi" w:hAnsiTheme="minorHAnsi"/>
        </w:rPr>
        <w:t>- private beneficiaries, more precisely commercial fishermen, do not have sufficient revenues to support investments of the type of those co-financed through POPAM (their revenues are limited to the fishing share allocated on the fishing permit), the co-financing rate being of 50%. In order to intensify their information about the measures that have been provided in the national legislation with regard to payments, the MA will proceed to elaborating a sheet of presentation of the facilities related to payment at invoice and advance up to 50% of the amount of the non-reimbursable financial support and the distribution thereof to fishermen through the ANPA inspectors;</w:t>
      </w:r>
    </w:p>
    <w:p w:rsidR="00BD4A3E" w:rsidRPr="003964D3" w:rsidRDefault="00BD4A3E" w:rsidP="00BD4A3E">
      <w:pPr>
        <w:jc w:val="both"/>
        <w:rPr>
          <w:rFonts w:asciiTheme="minorHAnsi" w:hAnsiTheme="minorHAnsi"/>
        </w:rPr>
      </w:pPr>
      <w:r>
        <w:rPr>
          <w:rFonts w:asciiTheme="minorHAnsi" w:hAnsiTheme="minorHAnsi"/>
        </w:rPr>
        <w:t>- inoperability on significant periods of the electronic data transmission system used by DGP-MAPOPAM;</w:t>
      </w:r>
    </w:p>
    <w:p w:rsidR="00BD4A3E" w:rsidRPr="00BD4A3E" w:rsidRDefault="00BD4A3E" w:rsidP="00BD4A3E">
      <w:pPr>
        <w:jc w:val="both"/>
        <w:rPr>
          <w:rFonts w:asciiTheme="minorHAnsi" w:hAnsiTheme="minorHAnsi"/>
        </w:rPr>
      </w:pPr>
      <w:r>
        <w:rPr>
          <w:rFonts w:asciiTheme="minorHAnsi" w:hAnsiTheme="minorHAnsi"/>
        </w:rPr>
        <w:t>- low interest of the local public authorities for the port fishing infrastructure, due to the fact that it can be financed only the modernization of the existing infrastructure, not the creation of new fishing ports, landing docks or auction centers, although the financial support for public authorities is of 100%. In this respect, the MA started discussions with the port authority in Constanta and with the fishermen organizations to identify a possible location.</w:t>
      </w:r>
    </w:p>
    <w:p w:rsidR="00BD4A3E" w:rsidRPr="00715536" w:rsidRDefault="00BD4A3E" w:rsidP="00BD4A3E">
      <w:pPr>
        <w:contextualSpacing/>
        <w:jc w:val="both"/>
        <w:rPr>
          <w:rFonts w:asciiTheme="minorHAnsi" w:hAnsiTheme="minorHAnsi"/>
        </w:rPr>
      </w:pPr>
      <w:r>
        <w:rPr>
          <w:rFonts w:asciiTheme="minorHAnsi" w:hAnsiTheme="minorHAnsi"/>
        </w:rPr>
        <w:t xml:space="preserve">- significant delays in the MDRAPFE in the operationalization of all modules of the integrated management system SMIS2014+/MySMIS 2014; </w:t>
      </w:r>
    </w:p>
    <w:p w:rsidR="00BD4A3E" w:rsidRPr="00BD4A3E" w:rsidRDefault="00BD4A3E" w:rsidP="00BD4A3E">
      <w:pPr>
        <w:jc w:val="both"/>
        <w:rPr>
          <w:rFonts w:asciiTheme="minorHAnsi" w:hAnsiTheme="minorHAnsi"/>
        </w:rPr>
      </w:pPr>
      <w:r>
        <w:rPr>
          <w:rFonts w:asciiTheme="minorHAnsi" w:hAnsiTheme="minorHAnsi"/>
        </w:rPr>
        <w:t>- difficulties of the beneficiaries in operating the data in MySMIS 2014;</w:t>
      </w:r>
    </w:p>
    <w:p w:rsidR="00BD4A3E" w:rsidRPr="00BD4A3E" w:rsidRDefault="00BD4A3E" w:rsidP="00BD4A3E">
      <w:pPr>
        <w:jc w:val="both"/>
        <w:rPr>
          <w:rFonts w:asciiTheme="minorHAnsi" w:hAnsiTheme="minorHAnsi"/>
        </w:rPr>
      </w:pPr>
      <w:r>
        <w:rPr>
          <w:rFonts w:asciiTheme="minorHAnsi" w:hAnsiTheme="minorHAnsi"/>
        </w:rPr>
        <w:t>- temporary malfunctions of the information systems MySMIS 2014, SMIS2014, and so on.</w:t>
      </w:r>
    </w:p>
    <w:p w:rsidR="00BD4A3E" w:rsidRPr="00BD4A3E" w:rsidRDefault="00BD4A3E" w:rsidP="00BD4A3E">
      <w:pPr>
        <w:jc w:val="both"/>
        <w:rPr>
          <w:rFonts w:asciiTheme="minorHAnsi" w:hAnsiTheme="minorHAnsi"/>
        </w:rPr>
      </w:pPr>
      <w:r>
        <w:rPr>
          <w:rFonts w:asciiTheme="minorHAnsi" w:hAnsiTheme="minorHAnsi"/>
        </w:rPr>
        <w:t>- delay/lack of approval by the EC of the amendments of the targets/operations or budget reallocations for POPAM;</w:t>
      </w:r>
    </w:p>
    <w:p w:rsidR="00BD4A3E" w:rsidRPr="00BD4A3E" w:rsidRDefault="00BD4A3E" w:rsidP="00BD4A3E">
      <w:pPr>
        <w:jc w:val="both"/>
        <w:rPr>
          <w:rFonts w:asciiTheme="minorHAnsi" w:hAnsiTheme="minorHAnsi"/>
        </w:rPr>
      </w:pPr>
      <w:r>
        <w:rPr>
          <w:rFonts w:asciiTheme="minorHAnsi" w:hAnsiTheme="minorHAnsi"/>
        </w:rPr>
        <w:t>- frequent changes of the legislative and institutional framework;</w:t>
      </w:r>
    </w:p>
    <w:p w:rsidR="00BD4A3E" w:rsidRPr="00BD4A3E" w:rsidRDefault="00BD4A3E" w:rsidP="00BD4A3E">
      <w:pPr>
        <w:rPr>
          <w:rFonts w:asciiTheme="minorHAnsi" w:hAnsiTheme="minorHAnsi"/>
        </w:rPr>
      </w:pPr>
      <w:r>
        <w:rPr>
          <w:rFonts w:asciiTheme="minorHAnsi" w:hAnsiTheme="minorHAnsi"/>
        </w:rPr>
        <w:t>- excessive bureaucracy.</w:t>
      </w:r>
    </w:p>
    <w:p w:rsidR="00BD4A3E" w:rsidRPr="00BD4A3E" w:rsidRDefault="00BD4A3E" w:rsidP="00BD4A3E">
      <w:pPr>
        <w:jc w:val="both"/>
        <w:rPr>
          <w:rFonts w:ascii="Calibri" w:eastAsia="Calibri" w:hAnsi="Calibri" w:cs="Arial"/>
          <w:b/>
          <w:lang w:val="ro-RO"/>
        </w:rPr>
      </w:pPr>
    </w:p>
    <w:p w:rsidR="00DC78F8" w:rsidRPr="001F3A7D" w:rsidRDefault="00DC78F8" w:rsidP="00825CEE">
      <w:pPr>
        <w:shd w:val="clear" w:color="auto" w:fill="9CC2E5" w:themeFill="accent1" w:themeFillTint="99"/>
        <w:suppressAutoHyphens/>
        <w:spacing w:before="240" w:after="120"/>
        <w:ind w:firstLine="720"/>
        <w:jc w:val="both"/>
        <w:outlineLvl w:val="1"/>
        <w:rPr>
          <w:rFonts w:ascii="Calibri" w:hAnsi="Calibri" w:cs="Arial"/>
          <w:b/>
          <w:color w:val="0000CC"/>
        </w:rPr>
      </w:pPr>
      <w:r>
        <w:rPr>
          <w:rFonts w:ascii="Calibri" w:hAnsi="Calibri"/>
          <w:b/>
          <w:color w:val="0000CC"/>
        </w:rPr>
        <w:t>Romania’s contribution to the EU budget</w:t>
      </w:r>
    </w:p>
    <w:p w:rsidR="00F54482" w:rsidRPr="003964D3" w:rsidRDefault="00F54482" w:rsidP="00F54482">
      <w:pPr>
        <w:ind w:firstLine="561"/>
        <w:jc w:val="both"/>
        <w:rPr>
          <w:rFonts w:ascii="Calibri" w:hAnsi="Calibri" w:cs="Arial Narrow"/>
        </w:rPr>
      </w:pPr>
      <w:r>
        <w:rPr>
          <w:rFonts w:ascii="Calibri" w:hAnsi="Calibri"/>
        </w:rPr>
        <w:t>According to the commitments undertaken through the Treaty of Accession of the Republic of Bulgaria and of Romania to the European Union, ratified through Law no. 157/2005, Romania, in its capacity as Member State, participates to the financing of the European Union's budget according to unitary Community rules which are directly applicable on accession date. Thus, as of January 1, 2007, Romania ensures the payment of its contribution for the financing of the budget of the European Union within the system of own resources of the Community budget.</w:t>
      </w:r>
    </w:p>
    <w:p w:rsidR="00F54482" w:rsidRPr="00260002" w:rsidRDefault="00F54482" w:rsidP="00F54482">
      <w:pPr>
        <w:widowControl w:val="0"/>
        <w:spacing w:before="120"/>
        <w:ind w:firstLine="561"/>
        <w:jc w:val="both"/>
        <w:rPr>
          <w:rFonts w:asciiTheme="minorHAnsi" w:eastAsia="SimSun" w:hAnsiTheme="minorHAnsi" w:cs="Arial Narrow"/>
        </w:rPr>
      </w:pPr>
      <w:r>
        <w:rPr>
          <w:rFonts w:ascii="Calibri" w:hAnsi="Calibri"/>
        </w:rPr>
        <w:t>As of 2014, the system of own resources of the European Union is regulated through Decision no. 2014/335/EC, Euratom, which is published both in the original counterpart (EN), and in all the official languages of the Member States (including Romanian), in the Official Journal of the European Union no. L168 of June 7, 2014 (pages 105-111 for the Romanian version).</w:t>
      </w:r>
    </w:p>
    <w:p w:rsidR="00F54482" w:rsidRPr="00260002" w:rsidRDefault="00F54482" w:rsidP="00F54482">
      <w:pPr>
        <w:widowControl w:val="0"/>
        <w:spacing w:before="120"/>
        <w:jc w:val="both"/>
        <w:rPr>
          <w:rFonts w:ascii="Arial Narrow" w:eastAsia="SimSun" w:hAnsi="Arial Narrow" w:cs="Arial Narrow"/>
          <w:lang w:val="ro-RO" w:eastAsia="ro-RO"/>
        </w:rPr>
      </w:pPr>
    </w:p>
    <w:p w:rsidR="00F54482" w:rsidRPr="00260002" w:rsidRDefault="00F54482" w:rsidP="00F54482">
      <w:pPr>
        <w:widowControl w:val="0"/>
        <w:ind w:firstLine="561"/>
        <w:jc w:val="both"/>
        <w:rPr>
          <w:rFonts w:ascii="Calibri" w:eastAsia="SimSun" w:hAnsi="Calibri" w:cs="Arial Narrow"/>
          <w:lang w:val="ro-RO" w:eastAsia="ro-RO"/>
        </w:rPr>
      </w:pPr>
    </w:p>
    <w:p w:rsidR="003964D3" w:rsidRDefault="00DF768F" w:rsidP="000321A4">
      <w:pPr>
        <w:widowControl w:val="0"/>
        <w:jc w:val="both"/>
        <w:rPr>
          <w:rFonts w:ascii="Calibri" w:eastAsia="SimSun" w:hAnsi="Calibri" w:cs="Arial Narrow"/>
        </w:rPr>
      </w:pPr>
      <w:r>
        <w:rPr>
          <w:rFonts w:ascii="Arial Narrow" w:hAnsi="Arial Narrow"/>
          <w:noProof/>
          <w:lang w:val="ro-RO" w:eastAsia="ro-RO"/>
        </w:rPr>
        <mc:AlternateContent>
          <mc:Choice Requires="wpc">
            <w:drawing>
              <wp:inline distT="0" distB="0" distL="0" distR="0">
                <wp:extent cx="6482080" cy="3227070"/>
                <wp:effectExtent l="0" t="9525" r="4445" b="1905"/>
                <wp:docPr id="649" name="Canvas 6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53" name="Group 8"/>
                        <wpg:cNvGrpSpPr>
                          <a:grpSpLocks/>
                        </wpg:cNvGrpSpPr>
                        <wpg:grpSpPr bwMode="auto">
                          <a:xfrm>
                            <a:off x="6300" y="0"/>
                            <a:ext cx="6475780" cy="3220070"/>
                            <a:chOff x="0" y="0"/>
                            <a:chExt cx="10198" cy="5071"/>
                          </a:xfrm>
                        </wpg:grpSpPr>
                        <wps:wsp>
                          <wps:cNvPr id="354" name="Rectangle 9"/>
                          <wps:cNvSpPr>
                            <a:spLocks noChangeArrowheads="1"/>
                          </wps:cNvSpPr>
                          <wps:spPr bwMode="auto">
                            <a:xfrm>
                              <a:off x="4906" y="426"/>
                              <a:ext cx="4927" cy="22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Line 10"/>
                          <wps:cNvCnPr/>
                          <wps:spPr bwMode="auto">
                            <a:xfrm>
                              <a:off x="4917" y="2424"/>
                              <a:ext cx="50"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358" name="Rectangle 11"/>
                          <wps:cNvSpPr>
                            <a:spLocks noChangeArrowheads="1"/>
                          </wps:cNvSpPr>
                          <wps:spPr bwMode="auto">
                            <a:xfrm>
                              <a:off x="4917" y="2424"/>
                              <a:ext cx="50"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Line 12"/>
                          <wps:cNvCnPr/>
                          <wps:spPr bwMode="auto">
                            <a:xfrm>
                              <a:off x="4917" y="2435"/>
                              <a:ext cx="40"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360" name="Rectangle 13"/>
                          <wps:cNvSpPr>
                            <a:spLocks noChangeArrowheads="1"/>
                          </wps:cNvSpPr>
                          <wps:spPr bwMode="auto">
                            <a:xfrm>
                              <a:off x="4917" y="2435"/>
                              <a:ext cx="40"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Line 14"/>
                          <wps:cNvCnPr/>
                          <wps:spPr bwMode="auto">
                            <a:xfrm>
                              <a:off x="4917" y="2445"/>
                              <a:ext cx="30"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362" name="Rectangle 15"/>
                          <wps:cNvSpPr>
                            <a:spLocks noChangeArrowheads="1"/>
                          </wps:cNvSpPr>
                          <wps:spPr bwMode="auto">
                            <a:xfrm>
                              <a:off x="4917" y="2445"/>
                              <a:ext cx="30"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Line 16"/>
                          <wps:cNvCnPr/>
                          <wps:spPr bwMode="auto">
                            <a:xfrm>
                              <a:off x="4917" y="2455"/>
                              <a:ext cx="20"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364" name="Rectangle 17"/>
                          <wps:cNvSpPr>
                            <a:spLocks noChangeArrowheads="1"/>
                          </wps:cNvSpPr>
                          <wps:spPr bwMode="auto">
                            <a:xfrm>
                              <a:off x="4917" y="2455"/>
                              <a:ext cx="20"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Line 18"/>
                          <wps:cNvCnPr/>
                          <wps:spPr bwMode="auto">
                            <a:xfrm>
                              <a:off x="4917" y="2465"/>
                              <a:ext cx="10"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366" name="Rectangle 19"/>
                          <wps:cNvSpPr>
                            <a:spLocks noChangeArrowheads="1"/>
                          </wps:cNvSpPr>
                          <wps:spPr bwMode="auto">
                            <a:xfrm>
                              <a:off x="4917" y="2465"/>
                              <a:ext cx="10"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20"/>
                          <wps:cNvSpPr>
                            <a:spLocks noChangeArrowheads="1"/>
                          </wps:cNvSpPr>
                          <wps:spPr bwMode="auto">
                            <a:xfrm>
                              <a:off x="4906" y="2627"/>
                              <a:ext cx="4927" cy="20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21"/>
                          <wps:cNvSpPr>
                            <a:spLocks noChangeArrowheads="1"/>
                          </wps:cNvSpPr>
                          <wps:spPr bwMode="auto">
                            <a:xfrm>
                              <a:off x="9396" y="254"/>
                              <a:ext cx="80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color w:val="000000"/>
                                    <w:sz w:val="14"/>
                                    <w:szCs w:val="14"/>
                                  </w:rPr>
                                  <w:t>thousand Lei</w:t>
                                </w:r>
                              </w:p>
                            </w:txbxContent>
                          </wps:txbx>
                          <wps:bodyPr rot="0" vert="horz" wrap="none" lIns="0" tIns="0" rIns="0" bIns="0" anchor="t" anchorCtr="0" upright="1">
                            <a:spAutoFit/>
                          </wps:bodyPr>
                        </wps:wsp>
                        <wps:wsp>
                          <wps:cNvPr id="369" name="Rectangle 22"/>
                          <wps:cNvSpPr>
                            <a:spLocks noChangeArrowheads="1"/>
                          </wps:cNvSpPr>
                          <wps:spPr bwMode="auto">
                            <a:xfrm>
                              <a:off x="193" y="446"/>
                              <a:ext cx="40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b/>
                                    <w:bCs/>
                                    <w:color w:val="000000"/>
                                    <w:sz w:val="16"/>
                                    <w:szCs w:val="16"/>
                                  </w:rPr>
                                  <w:t xml:space="preserve">Code </w:t>
                                </w:r>
                              </w:p>
                            </w:txbxContent>
                          </wps:txbx>
                          <wps:bodyPr rot="0" vert="horz" wrap="none" lIns="0" tIns="0" rIns="0" bIns="0" anchor="t" anchorCtr="0" upright="1">
                            <a:spAutoFit/>
                          </wps:bodyPr>
                        </wps:wsp>
                        <wps:wsp>
                          <wps:cNvPr id="370" name="Rectangle 23"/>
                          <wps:cNvSpPr>
                            <a:spLocks noChangeArrowheads="1"/>
                          </wps:cNvSpPr>
                          <wps:spPr bwMode="auto">
                            <a:xfrm>
                              <a:off x="2407" y="446"/>
                              <a:ext cx="43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b/>
                                    <w:bCs/>
                                    <w:color w:val="000000"/>
                                    <w:sz w:val="16"/>
                                    <w:szCs w:val="16"/>
                                  </w:rPr>
                                  <w:t>Name</w:t>
                                </w:r>
                              </w:p>
                            </w:txbxContent>
                          </wps:txbx>
                          <wps:bodyPr rot="0" vert="horz" wrap="none" lIns="0" tIns="0" rIns="0" bIns="0" anchor="t" anchorCtr="0" upright="1">
                            <a:spAutoFit/>
                          </wps:bodyPr>
                        </wps:wsp>
                        <wps:wsp>
                          <wps:cNvPr id="371" name="Rectangle 24"/>
                          <wps:cNvSpPr>
                            <a:spLocks noChangeArrowheads="1"/>
                          </wps:cNvSpPr>
                          <wps:spPr bwMode="auto">
                            <a:xfrm>
                              <a:off x="5303" y="446"/>
                              <a:ext cx="35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b/>
                                    <w:bCs/>
                                    <w:color w:val="000000"/>
                                    <w:sz w:val="16"/>
                                    <w:szCs w:val="16"/>
                                  </w:rPr>
                                  <w:t>2019</w:t>
                                </w:r>
                              </w:p>
                            </w:txbxContent>
                          </wps:txbx>
                          <wps:bodyPr rot="0" vert="horz" wrap="none" lIns="0" tIns="0" rIns="0" bIns="0" anchor="t" anchorCtr="0" upright="1">
                            <a:spAutoFit/>
                          </wps:bodyPr>
                        </wps:wsp>
                        <wps:wsp>
                          <wps:cNvPr id="372" name="Rectangle 25"/>
                          <wps:cNvSpPr>
                            <a:spLocks noChangeArrowheads="1"/>
                          </wps:cNvSpPr>
                          <wps:spPr bwMode="auto">
                            <a:xfrm>
                              <a:off x="6501" y="446"/>
                              <a:ext cx="35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b/>
                                    <w:bCs/>
                                    <w:color w:val="000000"/>
                                    <w:sz w:val="16"/>
                                    <w:szCs w:val="16"/>
                                  </w:rPr>
                                  <w:t>2020</w:t>
                                </w:r>
                              </w:p>
                            </w:txbxContent>
                          </wps:txbx>
                          <wps:bodyPr rot="0" vert="horz" wrap="none" lIns="0" tIns="0" rIns="0" bIns="0" anchor="t" anchorCtr="0" upright="1">
                            <a:spAutoFit/>
                          </wps:bodyPr>
                        </wps:wsp>
                        <wps:wsp>
                          <wps:cNvPr id="373" name="Rectangle 26"/>
                          <wps:cNvSpPr>
                            <a:spLocks noChangeArrowheads="1"/>
                          </wps:cNvSpPr>
                          <wps:spPr bwMode="auto">
                            <a:xfrm>
                              <a:off x="7761" y="446"/>
                              <a:ext cx="35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b/>
                                    <w:bCs/>
                                    <w:color w:val="000000"/>
                                    <w:sz w:val="16"/>
                                    <w:szCs w:val="16"/>
                                  </w:rPr>
                                  <w:t>2021</w:t>
                                </w:r>
                              </w:p>
                            </w:txbxContent>
                          </wps:txbx>
                          <wps:bodyPr rot="0" vert="horz" wrap="none" lIns="0" tIns="0" rIns="0" bIns="0" anchor="t" anchorCtr="0" upright="1">
                            <a:spAutoFit/>
                          </wps:bodyPr>
                        </wps:wsp>
                        <wps:wsp>
                          <wps:cNvPr id="374" name="Rectangle 27"/>
                          <wps:cNvSpPr>
                            <a:spLocks noChangeArrowheads="1"/>
                          </wps:cNvSpPr>
                          <wps:spPr bwMode="auto">
                            <a:xfrm>
                              <a:off x="9020" y="446"/>
                              <a:ext cx="35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b/>
                                    <w:bCs/>
                                    <w:color w:val="000000"/>
                                    <w:sz w:val="16"/>
                                    <w:szCs w:val="16"/>
                                  </w:rPr>
                                  <w:t>2022</w:t>
                                </w:r>
                              </w:p>
                            </w:txbxContent>
                          </wps:txbx>
                          <wps:bodyPr rot="0" vert="horz" wrap="none" lIns="0" tIns="0" rIns="0" bIns="0" anchor="t" anchorCtr="0" upright="1">
                            <a:spAutoFit/>
                          </wps:bodyPr>
                        </wps:wsp>
                        <wps:wsp>
                          <wps:cNvPr id="375" name="Rectangle 28"/>
                          <wps:cNvSpPr>
                            <a:spLocks noChangeArrowheads="1"/>
                          </wps:cNvSpPr>
                          <wps:spPr bwMode="auto">
                            <a:xfrm>
                              <a:off x="61" y="700"/>
                              <a:ext cx="62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b/>
                                    <w:bCs/>
                                    <w:color w:val="000000"/>
                                    <w:sz w:val="16"/>
                                    <w:szCs w:val="16"/>
                                  </w:rPr>
                                  <w:t>55.03.01</w:t>
                                </w:r>
                              </w:p>
                            </w:txbxContent>
                          </wps:txbx>
                          <wps:bodyPr rot="0" vert="horz" wrap="none" lIns="0" tIns="0" rIns="0" bIns="0" anchor="t" anchorCtr="0" upright="1">
                            <a:spAutoFit/>
                          </wps:bodyPr>
                        </wps:wsp>
                        <wps:wsp>
                          <wps:cNvPr id="376" name="Rectangle 29"/>
                          <wps:cNvSpPr>
                            <a:spLocks noChangeArrowheads="1"/>
                          </wps:cNvSpPr>
                          <wps:spPr bwMode="auto">
                            <a:xfrm>
                              <a:off x="772" y="700"/>
                              <a:ext cx="241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color w:val="000000"/>
                                    <w:sz w:val="16"/>
                                    <w:szCs w:val="16"/>
                                  </w:rPr>
                                  <w:t xml:space="preserve">Contributions from customs duties </w:t>
                                </w:r>
                              </w:p>
                            </w:txbxContent>
                          </wps:txbx>
                          <wps:bodyPr rot="0" vert="horz" wrap="none" lIns="0" tIns="0" rIns="0" bIns="0" anchor="t" anchorCtr="0" upright="1">
                            <a:spAutoFit/>
                          </wps:bodyPr>
                        </wps:wsp>
                        <wps:wsp>
                          <wps:cNvPr id="377" name="Rectangle 30"/>
                          <wps:cNvSpPr>
                            <a:spLocks noChangeArrowheads="1"/>
                          </wps:cNvSpPr>
                          <wps:spPr bwMode="auto">
                            <a:xfrm>
                              <a:off x="5292" y="700"/>
                              <a:ext cx="71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color w:val="000000"/>
                                    <w:sz w:val="16"/>
                                    <w:szCs w:val="16"/>
                                  </w:rPr>
                                  <w:t>797,508.0</w:t>
                                </w:r>
                              </w:p>
                            </w:txbxContent>
                          </wps:txbx>
                          <wps:bodyPr rot="0" vert="horz" wrap="none" lIns="0" tIns="0" rIns="0" bIns="0" anchor="t" anchorCtr="0" upright="1">
                            <a:spAutoFit/>
                          </wps:bodyPr>
                        </wps:wsp>
                        <wps:wsp>
                          <wps:cNvPr id="378" name="Rectangle 31"/>
                          <wps:cNvSpPr>
                            <a:spLocks noChangeArrowheads="1"/>
                          </wps:cNvSpPr>
                          <wps:spPr bwMode="auto">
                            <a:xfrm>
                              <a:off x="6552" y="700"/>
                              <a:ext cx="71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color w:val="000000"/>
                                    <w:sz w:val="16"/>
                                    <w:szCs w:val="16"/>
                                  </w:rPr>
                                  <w:t>794,056.0</w:t>
                                </w:r>
                              </w:p>
                            </w:txbxContent>
                          </wps:txbx>
                          <wps:bodyPr rot="0" vert="horz" wrap="none" lIns="0" tIns="0" rIns="0" bIns="0" anchor="t" anchorCtr="0" upright="1">
                            <a:spAutoFit/>
                          </wps:bodyPr>
                        </wps:wsp>
                        <wps:wsp>
                          <wps:cNvPr id="379" name="Rectangle 32"/>
                          <wps:cNvSpPr>
                            <a:spLocks noChangeArrowheads="1"/>
                          </wps:cNvSpPr>
                          <wps:spPr bwMode="auto">
                            <a:xfrm>
                              <a:off x="7812" y="700"/>
                              <a:ext cx="71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color w:val="000000"/>
                                    <w:sz w:val="16"/>
                                    <w:szCs w:val="16"/>
                                  </w:rPr>
                                  <w:t>790,603.0</w:t>
                                </w:r>
                              </w:p>
                            </w:txbxContent>
                          </wps:txbx>
                          <wps:bodyPr rot="0" vert="horz" wrap="none" lIns="0" tIns="0" rIns="0" bIns="0" anchor="t" anchorCtr="0" upright="1">
                            <a:spAutoFit/>
                          </wps:bodyPr>
                        </wps:wsp>
                        <wps:wsp>
                          <wps:cNvPr id="380" name="Rectangle 33"/>
                          <wps:cNvSpPr>
                            <a:spLocks noChangeArrowheads="1"/>
                          </wps:cNvSpPr>
                          <wps:spPr bwMode="auto">
                            <a:xfrm>
                              <a:off x="9071" y="700"/>
                              <a:ext cx="71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color w:val="000000"/>
                                    <w:sz w:val="16"/>
                                    <w:szCs w:val="16"/>
                                  </w:rPr>
                                  <w:t>787,151.0</w:t>
                                </w:r>
                              </w:p>
                            </w:txbxContent>
                          </wps:txbx>
                          <wps:bodyPr rot="0" vert="horz" wrap="none" lIns="0" tIns="0" rIns="0" bIns="0" anchor="t" anchorCtr="0" upright="1">
                            <a:spAutoFit/>
                          </wps:bodyPr>
                        </wps:wsp>
                        <wps:wsp>
                          <wps:cNvPr id="381" name="Rectangle 34"/>
                          <wps:cNvSpPr>
                            <a:spLocks noChangeArrowheads="1"/>
                          </wps:cNvSpPr>
                          <wps:spPr bwMode="auto">
                            <a:xfrm>
                              <a:off x="61" y="954"/>
                              <a:ext cx="62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b/>
                                    <w:bCs/>
                                    <w:color w:val="000000"/>
                                    <w:sz w:val="16"/>
                                    <w:szCs w:val="16"/>
                                  </w:rPr>
                                  <w:t>55.03.03</w:t>
                                </w:r>
                              </w:p>
                            </w:txbxContent>
                          </wps:txbx>
                          <wps:bodyPr rot="0" vert="horz" wrap="none" lIns="0" tIns="0" rIns="0" bIns="0" anchor="t" anchorCtr="0" upright="1">
                            <a:spAutoFit/>
                          </wps:bodyPr>
                        </wps:wsp>
                        <wps:wsp>
                          <wps:cNvPr id="382" name="Rectangle 35"/>
                          <wps:cNvSpPr>
                            <a:spLocks noChangeArrowheads="1"/>
                          </wps:cNvSpPr>
                          <wps:spPr bwMode="auto">
                            <a:xfrm>
                              <a:off x="772" y="954"/>
                              <a:ext cx="249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color w:val="000000"/>
                                    <w:sz w:val="16"/>
                                    <w:szCs w:val="16"/>
                                  </w:rPr>
                                  <w:t>Contributions from the sugar sector</w:t>
                                </w:r>
                              </w:p>
                            </w:txbxContent>
                          </wps:txbx>
                          <wps:bodyPr rot="0" vert="horz" wrap="none" lIns="0" tIns="0" rIns="0" bIns="0" anchor="t" anchorCtr="0" upright="1">
                            <a:spAutoFit/>
                          </wps:bodyPr>
                        </wps:wsp>
                        <wps:wsp>
                          <wps:cNvPr id="383" name="Rectangle 36"/>
                          <wps:cNvSpPr>
                            <a:spLocks noChangeArrowheads="1"/>
                          </wps:cNvSpPr>
                          <wps:spPr bwMode="auto">
                            <a:xfrm>
                              <a:off x="5790" y="954"/>
                              <a:ext cx="22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color w:val="000000"/>
                                    <w:sz w:val="16"/>
                                    <w:szCs w:val="16"/>
                                  </w:rPr>
                                  <w:t>0.0</w:t>
                                </w:r>
                              </w:p>
                            </w:txbxContent>
                          </wps:txbx>
                          <wps:bodyPr rot="0" vert="horz" wrap="none" lIns="0" tIns="0" rIns="0" bIns="0" anchor="t" anchorCtr="0" upright="1">
                            <a:spAutoFit/>
                          </wps:bodyPr>
                        </wps:wsp>
                        <wps:wsp>
                          <wps:cNvPr id="384" name="Rectangle 37"/>
                          <wps:cNvSpPr>
                            <a:spLocks noChangeArrowheads="1"/>
                          </wps:cNvSpPr>
                          <wps:spPr bwMode="auto">
                            <a:xfrm>
                              <a:off x="7050" y="954"/>
                              <a:ext cx="22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color w:val="000000"/>
                                    <w:sz w:val="16"/>
                                    <w:szCs w:val="16"/>
                                  </w:rPr>
                                  <w:t>0.0</w:t>
                                </w:r>
                              </w:p>
                            </w:txbxContent>
                          </wps:txbx>
                          <wps:bodyPr rot="0" vert="horz" wrap="none" lIns="0" tIns="0" rIns="0" bIns="0" anchor="t" anchorCtr="0" upright="1">
                            <a:spAutoFit/>
                          </wps:bodyPr>
                        </wps:wsp>
                        <wps:wsp>
                          <wps:cNvPr id="385" name="Rectangle 38"/>
                          <wps:cNvSpPr>
                            <a:spLocks noChangeArrowheads="1"/>
                          </wps:cNvSpPr>
                          <wps:spPr bwMode="auto">
                            <a:xfrm>
                              <a:off x="8309" y="954"/>
                              <a:ext cx="22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color w:val="000000"/>
                                    <w:sz w:val="16"/>
                                    <w:szCs w:val="16"/>
                                  </w:rPr>
                                  <w:t>0.0</w:t>
                                </w:r>
                              </w:p>
                            </w:txbxContent>
                          </wps:txbx>
                          <wps:bodyPr rot="0" vert="horz" wrap="none" lIns="0" tIns="0" rIns="0" bIns="0" anchor="t" anchorCtr="0" upright="1">
                            <a:spAutoFit/>
                          </wps:bodyPr>
                        </wps:wsp>
                        <wps:wsp>
                          <wps:cNvPr id="386" name="Rectangle 39"/>
                          <wps:cNvSpPr>
                            <a:spLocks noChangeArrowheads="1"/>
                          </wps:cNvSpPr>
                          <wps:spPr bwMode="auto">
                            <a:xfrm>
                              <a:off x="9569" y="954"/>
                              <a:ext cx="22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color w:val="000000"/>
                                    <w:sz w:val="16"/>
                                    <w:szCs w:val="16"/>
                                  </w:rPr>
                                  <w:t>0.0</w:t>
                                </w:r>
                              </w:p>
                            </w:txbxContent>
                          </wps:txbx>
                          <wps:bodyPr rot="0" vert="horz" wrap="none" lIns="0" tIns="0" rIns="0" bIns="0" anchor="t" anchorCtr="0" upright="1">
                            <a:spAutoFit/>
                          </wps:bodyPr>
                        </wps:wsp>
                        <wps:wsp>
                          <wps:cNvPr id="387" name="Rectangle 40"/>
                          <wps:cNvSpPr>
                            <a:spLocks noChangeArrowheads="1"/>
                          </wps:cNvSpPr>
                          <wps:spPr bwMode="auto">
                            <a:xfrm>
                              <a:off x="772" y="1177"/>
                              <a:ext cx="387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Pr="00393B6C" w:rsidRDefault="005063CB" w:rsidP="00A325AD">
                                <w:r>
                                  <w:rPr>
                                    <w:rFonts w:ascii="Arial" w:hAnsi="Arial"/>
                                    <w:b/>
                                    <w:bCs/>
                                    <w:i/>
                                    <w:iCs/>
                                    <w:color w:val="000000"/>
                                    <w:sz w:val="16"/>
                                    <w:szCs w:val="16"/>
                                  </w:rPr>
                                  <w:t xml:space="preserve">Total contributions from traditional own resources </w:t>
                                </w:r>
                              </w:p>
                            </w:txbxContent>
                          </wps:txbx>
                          <wps:bodyPr rot="0" vert="horz" wrap="none" lIns="0" tIns="0" rIns="0" bIns="0" anchor="t" anchorCtr="0" upright="1">
                            <a:spAutoFit/>
                          </wps:bodyPr>
                        </wps:wsp>
                        <wps:wsp>
                          <wps:cNvPr id="388" name="Rectangle 41"/>
                          <wps:cNvSpPr>
                            <a:spLocks noChangeArrowheads="1"/>
                          </wps:cNvSpPr>
                          <wps:spPr bwMode="auto">
                            <a:xfrm>
                              <a:off x="5292" y="1177"/>
                              <a:ext cx="71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b/>
                                    <w:bCs/>
                                    <w:color w:val="000000"/>
                                    <w:sz w:val="16"/>
                                    <w:szCs w:val="16"/>
                                  </w:rPr>
                                  <w:t>797,508.0</w:t>
                                </w:r>
                              </w:p>
                            </w:txbxContent>
                          </wps:txbx>
                          <wps:bodyPr rot="0" vert="horz" wrap="none" lIns="0" tIns="0" rIns="0" bIns="0" anchor="t" anchorCtr="0" upright="1">
                            <a:spAutoFit/>
                          </wps:bodyPr>
                        </wps:wsp>
                        <wps:wsp>
                          <wps:cNvPr id="389" name="Rectangle 42"/>
                          <wps:cNvSpPr>
                            <a:spLocks noChangeArrowheads="1"/>
                          </wps:cNvSpPr>
                          <wps:spPr bwMode="auto">
                            <a:xfrm>
                              <a:off x="6552" y="1177"/>
                              <a:ext cx="71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b/>
                                    <w:bCs/>
                                    <w:color w:val="000000"/>
                                    <w:sz w:val="16"/>
                                    <w:szCs w:val="16"/>
                                  </w:rPr>
                                  <w:t>794,056.0</w:t>
                                </w:r>
                              </w:p>
                            </w:txbxContent>
                          </wps:txbx>
                          <wps:bodyPr rot="0" vert="horz" wrap="none" lIns="0" tIns="0" rIns="0" bIns="0" anchor="t" anchorCtr="0" upright="1">
                            <a:spAutoFit/>
                          </wps:bodyPr>
                        </wps:wsp>
                        <wps:wsp>
                          <wps:cNvPr id="390" name="Rectangle 43"/>
                          <wps:cNvSpPr>
                            <a:spLocks noChangeArrowheads="1"/>
                          </wps:cNvSpPr>
                          <wps:spPr bwMode="auto">
                            <a:xfrm>
                              <a:off x="7812" y="1177"/>
                              <a:ext cx="71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b/>
                                    <w:bCs/>
                                    <w:color w:val="000000"/>
                                    <w:sz w:val="16"/>
                                    <w:szCs w:val="16"/>
                                  </w:rPr>
                                  <w:t>790,603.0</w:t>
                                </w:r>
                              </w:p>
                            </w:txbxContent>
                          </wps:txbx>
                          <wps:bodyPr rot="0" vert="horz" wrap="none" lIns="0" tIns="0" rIns="0" bIns="0" anchor="t" anchorCtr="0" upright="1">
                            <a:spAutoFit/>
                          </wps:bodyPr>
                        </wps:wsp>
                        <wps:wsp>
                          <wps:cNvPr id="391" name="Rectangle 44"/>
                          <wps:cNvSpPr>
                            <a:spLocks noChangeArrowheads="1"/>
                          </wps:cNvSpPr>
                          <wps:spPr bwMode="auto">
                            <a:xfrm>
                              <a:off x="9071" y="1177"/>
                              <a:ext cx="71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b/>
                                    <w:bCs/>
                                    <w:color w:val="000000"/>
                                    <w:sz w:val="16"/>
                                    <w:szCs w:val="16"/>
                                  </w:rPr>
                                  <w:t>787,151.0</w:t>
                                </w:r>
                              </w:p>
                            </w:txbxContent>
                          </wps:txbx>
                          <wps:bodyPr rot="0" vert="horz" wrap="none" lIns="0" tIns="0" rIns="0" bIns="0" anchor="t" anchorCtr="0" upright="1">
                            <a:spAutoFit/>
                          </wps:bodyPr>
                        </wps:wsp>
                        <wps:wsp>
                          <wps:cNvPr id="392" name="Rectangle 45"/>
                          <wps:cNvSpPr>
                            <a:spLocks noChangeArrowheads="1"/>
                          </wps:cNvSpPr>
                          <wps:spPr bwMode="auto">
                            <a:xfrm>
                              <a:off x="61" y="1390"/>
                              <a:ext cx="62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b/>
                                    <w:bCs/>
                                    <w:color w:val="000000"/>
                                    <w:sz w:val="16"/>
                                    <w:szCs w:val="16"/>
                                  </w:rPr>
                                  <w:t>55.03.04</w:t>
                                </w:r>
                              </w:p>
                            </w:txbxContent>
                          </wps:txbx>
                          <wps:bodyPr rot="0" vert="horz" wrap="none" lIns="0" tIns="0" rIns="0" bIns="0" anchor="t" anchorCtr="0" upright="1">
                            <a:spAutoFit/>
                          </wps:bodyPr>
                        </wps:wsp>
                        <wps:wsp>
                          <wps:cNvPr id="393" name="Rectangle 46"/>
                          <wps:cNvSpPr>
                            <a:spLocks noChangeArrowheads="1"/>
                          </wps:cNvSpPr>
                          <wps:spPr bwMode="auto">
                            <a:xfrm>
                              <a:off x="772" y="1390"/>
                              <a:ext cx="259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color w:val="000000"/>
                                    <w:sz w:val="16"/>
                                    <w:szCs w:val="16"/>
                                  </w:rPr>
                                  <w:t>Contributions from the VAT resource</w:t>
                                </w:r>
                              </w:p>
                            </w:txbxContent>
                          </wps:txbx>
                          <wps:bodyPr rot="0" vert="horz" wrap="none" lIns="0" tIns="0" rIns="0" bIns="0" anchor="t" anchorCtr="0" upright="1">
                            <a:spAutoFit/>
                          </wps:bodyPr>
                        </wps:wsp>
                        <wps:wsp>
                          <wps:cNvPr id="394" name="Rectangle 47"/>
                          <wps:cNvSpPr>
                            <a:spLocks noChangeArrowheads="1"/>
                          </wps:cNvSpPr>
                          <wps:spPr bwMode="auto">
                            <a:xfrm>
                              <a:off x="5160" y="1390"/>
                              <a:ext cx="84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color w:val="000000"/>
                                    <w:sz w:val="16"/>
                                    <w:szCs w:val="16"/>
                                  </w:rPr>
                                  <w:t>1,089,777.0</w:t>
                                </w:r>
                              </w:p>
                            </w:txbxContent>
                          </wps:txbx>
                          <wps:bodyPr rot="0" vert="horz" wrap="none" lIns="0" tIns="0" rIns="0" bIns="0" anchor="t" anchorCtr="0" upright="1">
                            <a:spAutoFit/>
                          </wps:bodyPr>
                        </wps:wsp>
                        <wps:wsp>
                          <wps:cNvPr id="395" name="Rectangle 48"/>
                          <wps:cNvSpPr>
                            <a:spLocks noChangeArrowheads="1"/>
                          </wps:cNvSpPr>
                          <wps:spPr bwMode="auto">
                            <a:xfrm>
                              <a:off x="6420" y="1390"/>
                              <a:ext cx="84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color w:val="000000"/>
                                    <w:sz w:val="16"/>
                                    <w:szCs w:val="16"/>
                                  </w:rPr>
                                  <w:t>1,085,060.0</w:t>
                                </w:r>
                              </w:p>
                            </w:txbxContent>
                          </wps:txbx>
                          <wps:bodyPr rot="0" vert="horz" wrap="none" lIns="0" tIns="0" rIns="0" bIns="0" anchor="t" anchorCtr="0" upright="1">
                            <a:spAutoFit/>
                          </wps:bodyPr>
                        </wps:wsp>
                        <wps:wsp>
                          <wps:cNvPr id="396" name="Rectangle 49"/>
                          <wps:cNvSpPr>
                            <a:spLocks noChangeArrowheads="1"/>
                          </wps:cNvSpPr>
                          <wps:spPr bwMode="auto">
                            <a:xfrm>
                              <a:off x="7680" y="1390"/>
                              <a:ext cx="84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color w:val="000000"/>
                                    <w:sz w:val="16"/>
                                    <w:szCs w:val="16"/>
                                  </w:rPr>
                                  <w:t>1,080,342.0</w:t>
                                </w:r>
                              </w:p>
                            </w:txbxContent>
                          </wps:txbx>
                          <wps:bodyPr rot="0" vert="horz" wrap="none" lIns="0" tIns="0" rIns="0" bIns="0" anchor="t" anchorCtr="0" upright="1">
                            <a:spAutoFit/>
                          </wps:bodyPr>
                        </wps:wsp>
                        <wps:wsp>
                          <wps:cNvPr id="397" name="Rectangle 50"/>
                          <wps:cNvSpPr>
                            <a:spLocks noChangeArrowheads="1"/>
                          </wps:cNvSpPr>
                          <wps:spPr bwMode="auto">
                            <a:xfrm>
                              <a:off x="8939" y="1390"/>
                              <a:ext cx="84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color w:val="000000"/>
                                    <w:sz w:val="16"/>
                                    <w:szCs w:val="16"/>
                                  </w:rPr>
                                  <w:t>1,075,624.0</w:t>
                                </w:r>
                              </w:p>
                            </w:txbxContent>
                          </wps:txbx>
                          <wps:bodyPr rot="0" vert="horz" wrap="none" lIns="0" tIns="0" rIns="0" bIns="0" anchor="t" anchorCtr="0" upright="1">
                            <a:spAutoFit/>
                          </wps:bodyPr>
                        </wps:wsp>
                        <wps:wsp>
                          <wps:cNvPr id="398" name="Rectangle 51"/>
                          <wps:cNvSpPr>
                            <a:spLocks noChangeArrowheads="1"/>
                          </wps:cNvSpPr>
                          <wps:spPr bwMode="auto">
                            <a:xfrm>
                              <a:off x="61" y="1603"/>
                              <a:ext cx="62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b/>
                                    <w:bCs/>
                                    <w:color w:val="000000"/>
                                    <w:sz w:val="16"/>
                                    <w:szCs w:val="16"/>
                                  </w:rPr>
                                  <w:t>55.03.05</w:t>
                                </w:r>
                              </w:p>
                            </w:txbxContent>
                          </wps:txbx>
                          <wps:bodyPr rot="0" vert="horz" wrap="none" lIns="0" tIns="0" rIns="0" bIns="0" anchor="t" anchorCtr="0" upright="1">
                            <a:spAutoFit/>
                          </wps:bodyPr>
                        </wps:wsp>
                        <wps:wsp>
                          <wps:cNvPr id="399" name="Rectangle 52"/>
                          <wps:cNvSpPr>
                            <a:spLocks noChangeArrowheads="1"/>
                          </wps:cNvSpPr>
                          <wps:spPr bwMode="auto">
                            <a:xfrm>
                              <a:off x="772" y="1603"/>
                              <a:ext cx="449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Pr="00393B6C" w:rsidRDefault="005063CB" w:rsidP="00A325AD">
                                <w:r>
                                  <w:rPr>
                                    <w:rFonts w:ascii="Arial" w:hAnsi="Arial"/>
                                    <w:color w:val="000000"/>
                                    <w:sz w:val="16"/>
                                    <w:szCs w:val="16"/>
                                  </w:rPr>
                                  <w:t>Contributions for the correction/discount offered to Great Britain</w:t>
                                </w:r>
                              </w:p>
                            </w:txbxContent>
                          </wps:txbx>
                          <wps:bodyPr rot="0" vert="horz" wrap="none" lIns="0" tIns="0" rIns="0" bIns="0" anchor="t" anchorCtr="0" upright="1">
                            <a:spAutoFit/>
                          </wps:bodyPr>
                        </wps:wsp>
                        <wps:wsp>
                          <wps:cNvPr id="400" name="Rectangle 53"/>
                          <wps:cNvSpPr>
                            <a:spLocks noChangeArrowheads="1"/>
                          </wps:cNvSpPr>
                          <wps:spPr bwMode="auto">
                            <a:xfrm>
                              <a:off x="5292" y="1603"/>
                              <a:ext cx="71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color w:val="000000"/>
                                    <w:sz w:val="16"/>
                                    <w:szCs w:val="16"/>
                                  </w:rPr>
                                  <w:t>510,775.0</w:t>
                                </w:r>
                              </w:p>
                            </w:txbxContent>
                          </wps:txbx>
                          <wps:bodyPr rot="0" vert="horz" wrap="none" lIns="0" tIns="0" rIns="0" bIns="0" anchor="t" anchorCtr="0" upright="1">
                            <a:spAutoFit/>
                          </wps:bodyPr>
                        </wps:wsp>
                        <wps:wsp>
                          <wps:cNvPr id="401" name="Rectangle 54"/>
                          <wps:cNvSpPr>
                            <a:spLocks noChangeArrowheads="1"/>
                          </wps:cNvSpPr>
                          <wps:spPr bwMode="auto">
                            <a:xfrm>
                              <a:off x="6552" y="1603"/>
                              <a:ext cx="71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color w:val="000000"/>
                                    <w:sz w:val="16"/>
                                    <w:szCs w:val="16"/>
                                  </w:rPr>
                                  <w:t>505,452.0</w:t>
                                </w:r>
                              </w:p>
                            </w:txbxContent>
                          </wps:txbx>
                          <wps:bodyPr rot="0" vert="horz" wrap="none" lIns="0" tIns="0" rIns="0" bIns="0" anchor="t" anchorCtr="0" upright="1">
                            <a:spAutoFit/>
                          </wps:bodyPr>
                        </wps:wsp>
                        <wps:wsp>
                          <wps:cNvPr id="402" name="Rectangle 55"/>
                          <wps:cNvSpPr>
                            <a:spLocks noChangeArrowheads="1"/>
                          </wps:cNvSpPr>
                          <wps:spPr bwMode="auto">
                            <a:xfrm>
                              <a:off x="7812" y="1603"/>
                              <a:ext cx="71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color w:val="000000"/>
                                    <w:sz w:val="16"/>
                                    <w:szCs w:val="16"/>
                                  </w:rPr>
                                  <w:t>503,255.0</w:t>
                                </w:r>
                              </w:p>
                            </w:txbxContent>
                          </wps:txbx>
                          <wps:bodyPr rot="0" vert="horz" wrap="none" lIns="0" tIns="0" rIns="0" bIns="0" anchor="t" anchorCtr="0" upright="1">
                            <a:spAutoFit/>
                          </wps:bodyPr>
                        </wps:wsp>
                        <wps:wsp>
                          <wps:cNvPr id="403" name="Rectangle 56"/>
                          <wps:cNvSpPr>
                            <a:spLocks noChangeArrowheads="1"/>
                          </wps:cNvSpPr>
                          <wps:spPr bwMode="auto">
                            <a:xfrm>
                              <a:off x="9071" y="1603"/>
                              <a:ext cx="71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color w:val="000000"/>
                                    <w:sz w:val="16"/>
                                    <w:szCs w:val="16"/>
                                  </w:rPr>
                                  <w:t>501,057.0</w:t>
                                </w:r>
                              </w:p>
                            </w:txbxContent>
                          </wps:txbx>
                          <wps:bodyPr rot="0" vert="horz" wrap="none" lIns="0" tIns="0" rIns="0" bIns="0" anchor="t" anchorCtr="0" upright="1">
                            <a:spAutoFit/>
                          </wps:bodyPr>
                        </wps:wsp>
                        <wps:wsp>
                          <wps:cNvPr id="404" name="Rectangle 57"/>
                          <wps:cNvSpPr>
                            <a:spLocks noChangeArrowheads="1"/>
                          </wps:cNvSpPr>
                          <wps:spPr bwMode="auto">
                            <a:xfrm>
                              <a:off x="61" y="1816"/>
                              <a:ext cx="62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b/>
                                    <w:bCs/>
                                    <w:color w:val="000000"/>
                                    <w:sz w:val="16"/>
                                    <w:szCs w:val="16"/>
                                  </w:rPr>
                                  <w:t>55.03.06</w:t>
                                </w:r>
                              </w:p>
                            </w:txbxContent>
                          </wps:txbx>
                          <wps:bodyPr rot="0" vert="horz" wrap="none" lIns="0" tIns="0" rIns="0" bIns="0" anchor="t" anchorCtr="0" upright="1">
                            <a:spAutoFit/>
                          </wps:bodyPr>
                        </wps:wsp>
                        <wps:wsp>
                          <wps:cNvPr id="405" name="Rectangle 58"/>
                          <wps:cNvSpPr>
                            <a:spLocks noChangeArrowheads="1"/>
                          </wps:cNvSpPr>
                          <wps:spPr bwMode="auto">
                            <a:xfrm>
                              <a:off x="772" y="1816"/>
                              <a:ext cx="237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color w:val="000000"/>
                                    <w:sz w:val="16"/>
                                    <w:szCs w:val="16"/>
                                  </w:rPr>
                                  <w:t xml:space="preserve">Contributions from NGR resource </w:t>
                                </w:r>
                              </w:p>
                            </w:txbxContent>
                          </wps:txbx>
                          <wps:bodyPr rot="0" vert="horz" wrap="none" lIns="0" tIns="0" rIns="0" bIns="0" anchor="t" anchorCtr="0" upright="1">
                            <a:spAutoFit/>
                          </wps:bodyPr>
                        </wps:wsp>
                        <wps:wsp>
                          <wps:cNvPr id="406" name="Rectangle 59"/>
                          <wps:cNvSpPr>
                            <a:spLocks noChangeArrowheads="1"/>
                          </wps:cNvSpPr>
                          <wps:spPr bwMode="auto">
                            <a:xfrm>
                              <a:off x="5160" y="1816"/>
                              <a:ext cx="84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color w:val="000000"/>
                                    <w:sz w:val="16"/>
                                    <w:szCs w:val="16"/>
                                  </w:rPr>
                                  <w:t>6,107,686.0</w:t>
                                </w:r>
                              </w:p>
                            </w:txbxContent>
                          </wps:txbx>
                          <wps:bodyPr rot="0" vert="horz" wrap="none" lIns="0" tIns="0" rIns="0" bIns="0" anchor="t" anchorCtr="0" upright="1">
                            <a:spAutoFit/>
                          </wps:bodyPr>
                        </wps:wsp>
                        <wps:wsp>
                          <wps:cNvPr id="407" name="Rectangle 60"/>
                          <wps:cNvSpPr>
                            <a:spLocks noChangeArrowheads="1"/>
                          </wps:cNvSpPr>
                          <wps:spPr bwMode="auto">
                            <a:xfrm>
                              <a:off x="6420" y="1816"/>
                              <a:ext cx="84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color w:val="000000"/>
                                    <w:sz w:val="16"/>
                                    <w:szCs w:val="16"/>
                                  </w:rPr>
                                  <w:t>6,654,820.0</w:t>
                                </w:r>
                              </w:p>
                            </w:txbxContent>
                          </wps:txbx>
                          <wps:bodyPr rot="0" vert="horz" wrap="none" lIns="0" tIns="0" rIns="0" bIns="0" anchor="t" anchorCtr="0" upright="1">
                            <a:spAutoFit/>
                          </wps:bodyPr>
                        </wps:wsp>
                        <wps:wsp>
                          <wps:cNvPr id="408" name="Rectangle 61"/>
                          <wps:cNvSpPr>
                            <a:spLocks noChangeArrowheads="1"/>
                          </wps:cNvSpPr>
                          <wps:spPr bwMode="auto">
                            <a:xfrm>
                              <a:off x="7680" y="1816"/>
                              <a:ext cx="84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color w:val="000000"/>
                                    <w:sz w:val="16"/>
                                    <w:szCs w:val="16"/>
                                  </w:rPr>
                                  <w:t>7,202,966.0</w:t>
                                </w:r>
                              </w:p>
                            </w:txbxContent>
                          </wps:txbx>
                          <wps:bodyPr rot="0" vert="horz" wrap="none" lIns="0" tIns="0" rIns="0" bIns="0" anchor="t" anchorCtr="0" upright="1">
                            <a:spAutoFit/>
                          </wps:bodyPr>
                        </wps:wsp>
                        <wps:wsp>
                          <wps:cNvPr id="409" name="Rectangle 62"/>
                          <wps:cNvSpPr>
                            <a:spLocks noChangeArrowheads="1"/>
                          </wps:cNvSpPr>
                          <wps:spPr bwMode="auto">
                            <a:xfrm>
                              <a:off x="8939" y="1816"/>
                              <a:ext cx="84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color w:val="000000"/>
                                    <w:sz w:val="16"/>
                                    <w:szCs w:val="16"/>
                                  </w:rPr>
                                  <w:t>7,449,216.0</w:t>
                                </w:r>
                              </w:p>
                            </w:txbxContent>
                          </wps:txbx>
                          <wps:bodyPr rot="0" vert="horz" wrap="none" lIns="0" tIns="0" rIns="0" bIns="0" anchor="t" anchorCtr="0" upright="1">
                            <a:spAutoFit/>
                          </wps:bodyPr>
                        </wps:wsp>
                        <wps:wsp>
                          <wps:cNvPr id="410" name="Rectangle 63"/>
                          <wps:cNvSpPr>
                            <a:spLocks noChangeArrowheads="1"/>
                          </wps:cNvSpPr>
                          <wps:spPr bwMode="auto">
                            <a:xfrm>
                              <a:off x="61" y="2029"/>
                              <a:ext cx="62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b/>
                                    <w:bCs/>
                                    <w:color w:val="000000"/>
                                    <w:sz w:val="16"/>
                                    <w:szCs w:val="16"/>
                                  </w:rPr>
                                  <w:t>55.03.10</w:t>
                                </w:r>
                              </w:p>
                            </w:txbxContent>
                          </wps:txbx>
                          <wps:bodyPr rot="0" vert="horz" wrap="none" lIns="0" tIns="0" rIns="0" bIns="0" anchor="t" anchorCtr="0" upright="1">
                            <a:spAutoFit/>
                          </wps:bodyPr>
                        </wps:wsp>
                        <wps:wsp>
                          <wps:cNvPr id="411" name="Rectangle 64"/>
                          <wps:cNvSpPr>
                            <a:spLocks noChangeArrowheads="1"/>
                          </wps:cNvSpPr>
                          <wps:spPr bwMode="auto">
                            <a:xfrm>
                              <a:off x="772" y="2029"/>
                              <a:ext cx="364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color w:val="000000"/>
                                    <w:sz w:val="16"/>
                                    <w:szCs w:val="16"/>
                                  </w:rPr>
                                  <w:t xml:space="preserve">Contributions for the discounts in favor of Denmark, </w:t>
                                </w:r>
                              </w:p>
                            </w:txbxContent>
                          </wps:txbx>
                          <wps:bodyPr rot="0" vert="horz" wrap="none" lIns="0" tIns="0" rIns="0" bIns="0" anchor="t" anchorCtr="0" upright="1">
                            <a:spAutoFit/>
                          </wps:bodyPr>
                        </wps:wsp>
                        <wps:wsp>
                          <wps:cNvPr id="412" name="Rectangle 65"/>
                          <wps:cNvSpPr>
                            <a:spLocks noChangeArrowheads="1"/>
                          </wps:cNvSpPr>
                          <wps:spPr bwMode="auto">
                            <a:xfrm>
                              <a:off x="772" y="2232"/>
                              <a:ext cx="265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Pr="00393B6C" w:rsidRDefault="005063CB" w:rsidP="00A325AD">
                                <w:r>
                                  <w:rPr>
                                    <w:rFonts w:ascii="Arial" w:hAnsi="Arial"/>
                                    <w:color w:val="000000"/>
                                    <w:sz w:val="16"/>
                                    <w:szCs w:val="16"/>
                                  </w:rPr>
                                  <w:t>Austria, the Netherlands and Sweden</w:t>
                                </w:r>
                              </w:p>
                            </w:txbxContent>
                          </wps:txbx>
                          <wps:bodyPr rot="0" vert="horz" wrap="none" lIns="0" tIns="0" rIns="0" bIns="0" anchor="t" anchorCtr="0" upright="1">
                            <a:spAutoFit/>
                          </wps:bodyPr>
                        </wps:wsp>
                        <wps:wsp>
                          <wps:cNvPr id="413" name="Rectangle 66"/>
                          <wps:cNvSpPr>
                            <a:spLocks noChangeArrowheads="1"/>
                          </wps:cNvSpPr>
                          <wps:spPr bwMode="auto">
                            <a:xfrm>
                              <a:off x="5384" y="2029"/>
                              <a:ext cx="62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color w:val="000000"/>
                                    <w:sz w:val="16"/>
                                    <w:szCs w:val="16"/>
                                  </w:rPr>
                                  <w:t>66,639.0</w:t>
                                </w:r>
                              </w:p>
                            </w:txbxContent>
                          </wps:txbx>
                          <wps:bodyPr rot="0" vert="horz" wrap="none" lIns="0" tIns="0" rIns="0" bIns="0" anchor="t" anchorCtr="0" upright="1">
                            <a:spAutoFit/>
                          </wps:bodyPr>
                        </wps:wsp>
                        <wps:wsp>
                          <wps:cNvPr id="414" name="Rectangle 67"/>
                          <wps:cNvSpPr>
                            <a:spLocks noChangeArrowheads="1"/>
                          </wps:cNvSpPr>
                          <wps:spPr bwMode="auto">
                            <a:xfrm>
                              <a:off x="6643" y="2029"/>
                              <a:ext cx="62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color w:val="000000"/>
                                    <w:sz w:val="16"/>
                                    <w:szCs w:val="16"/>
                                  </w:rPr>
                                  <w:t>65,344.0</w:t>
                                </w:r>
                              </w:p>
                            </w:txbxContent>
                          </wps:txbx>
                          <wps:bodyPr rot="0" vert="horz" wrap="none" lIns="0" tIns="0" rIns="0" bIns="0" anchor="t" anchorCtr="0" upright="1">
                            <a:spAutoFit/>
                          </wps:bodyPr>
                        </wps:wsp>
                        <wps:wsp>
                          <wps:cNvPr id="415" name="Rectangle 68"/>
                          <wps:cNvSpPr>
                            <a:spLocks noChangeArrowheads="1"/>
                          </wps:cNvSpPr>
                          <wps:spPr bwMode="auto">
                            <a:xfrm>
                              <a:off x="7903" y="2029"/>
                              <a:ext cx="62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color w:val="000000"/>
                                    <w:sz w:val="16"/>
                                    <w:szCs w:val="16"/>
                                  </w:rPr>
                                  <w:t>65,060.0</w:t>
                                </w:r>
                              </w:p>
                            </w:txbxContent>
                          </wps:txbx>
                          <wps:bodyPr rot="0" vert="horz" wrap="none" lIns="0" tIns="0" rIns="0" bIns="0" anchor="t" anchorCtr="0" upright="1">
                            <a:spAutoFit/>
                          </wps:bodyPr>
                        </wps:wsp>
                        <wps:wsp>
                          <wps:cNvPr id="416" name="Rectangle 69"/>
                          <wps:cNvSpPr>
                            <a:spLocks noChangeArrowheads="1"/>
                          </wps:cNvSpPr>
                          <wps:spPr bwMode="auto">
                            <a:xfrm>
                              <a:off x="9163" y="2029"/>
                              <a:ext cx="62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color w:val="000000"/>
                                    <w:sz w:val="16"/>
                                    <w:szCs w:val="16"/>
                                  </w:rPr>
                                  <w:t>64,776.0</w:t>
                                </w:r>
                              </w:p>
                            </w:txbxContent>
                          </wps:txbx>
                          <wps:bodyPr rot="0" vert="horz" wrap="none" lIns="0" tIns="0" rIns="0" bIns="0" anchor="t" anchorCtr="0" upright="1">
                            <a:spAutoFit/>
                          </wps:bodyPr>
                        </wps:wsp>
                        <wps:wsp>
                          <wps:cNvPr id="417" name="Rectangle 70"/>
                          <wps:cNvSpPr>
                            <a:spLocks noChangeArrowheads="1"/>
                          </wps:cNvSpPr>
                          <wps:spPr bwMode="auto">
                            <a:xfrm>
                              <a:off x="772" y="2435"/>
                              <a:ext cx="302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b/>
                                    <w:bCs/>
                                    <w:color w:val="000000"/>
                                    <w:sz w:val="16"/>
                                    <w:szCs w:val="16"/>
                                  </w:rPr>
                                  <w:t>Total contributions from own resources</w:t>
                                </w:r>
                              </w:p>
                            </w:txbxContent>
                          </wps:txbx>
                          <wps:bodyPr rot="0" vert="horz" wrap="none" lIns="0" tIns="0" rIns="0" bIns="0" anchor="t" anchorCtr="0" upright="1">
                            <a:spAutoFit/>
                          </wps:bodyPr>
                        </wps:wsp>
                        <wps:wsp>
                          <wps:cNvPr id="418" name="Rectangle 71"/>
                          <wps:cNvSpPr>
                            <a:spLocks noChangeArrowheads="1"/>
                          </wps:cNvSpPr>
                          <wps:spPr bwMode="auto">
                            <a:xfrm>
                              <a:off x="5160" y="2435"/>
                              <a:ext cx="84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b/>
                                    <w:bCs/>
                                    <w:color w:val="000000"/>
                                    <w:sz w:val="16"/>
                                    <w:szCs w:val="16"/>
                                  </w:rPr>
                                  <w:t>8,572,385.0</w:t>
                                </w:r>
                              </w:p>
                            </w:txbxContent>
                          </wps:txbx>
                          <wps:bodyPr rot="0" vert="horz" wrap="none" lIns="0" tIns="0" rIns="0" bIns="0" anchor="t" anchorCtr="0" upright="1">
                            <a:spAutoFit/>
                          </wps:bodyPr>
                        </wps:wsp>
                        <wps:wsp>
                          <wps:cNvPr id="419" name="Rectangle 72"/>
                          <wps:cNvSpPr>
                            <a:spLocks noChangeArrowheads="1"/>
                          </wps:cNvSpPr>
                          <wps:spPr bwMode="auto">
                            <a:xfrm>
                              <a:off x="6420" y="2435"/>
                              <a:ext cx="84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b/>
                                    <w:bCs/>
                                    <w:color w:val="000000"/>
                                    <w:sz w:val="16"/>
                                    <w:szCs w:val="16"/>
                                  </w:rPr>
                                  <w:t>9,104,732.0</w:t>
                                </w:r>
                              </w:p>
                            </w:txbxContent>
                          </wps:txbx>
                          <wps:bodyPr rot="0" vert="horz" wrap="none" lIns="0" tIns="0" rIns="0" bIns="0" anchor="t" anchorCtr="0" upright="1">
                            <a:spAutoFit/>
                          </wps:bodyPr>
                        </wps:wsp>
                        <wps:wsp>
                          <wps:cNvPr id="420" name="Rectangle 73"/>
                          <wps:cNvSpPr>
                            <a:spLocks noChangeArrowheads="1"/>
                          </wps:cNvSpPr>
                          <wps:spPr bwMode="auto">
                            <a:xfrm>
                              <a:off x="7680" y="2435"/>
                              <a:ext cx="84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b/>
                                    <w:bCs/>
                                    <w:color w:val="000000"/>
                                    <w:sz w:val="16"/>
                                    <w:szCs w:val="16"/>
                                  </w:rPr>
                                  <w:t>9,642,226.0</w:t>
                                </w:r>
                              </w:p>
                            </w:txbxContent>
                          </wps:txbx>
                          <wps:bodyPr rot="0" vert="horz" wrap="none" lIns="0" tIns="0" rIns="0" bIns="0" anchor="t" anchorCtr="0" upright="1">
                            <a:spAutoFit/>
                          </wps:bodyPr>
                        </wps:wsp>
                        <wps:wsp>
                          <wps:cNvPr id="421" name="Rectangle 74"/>
                          <wps:cNvSpPr>
                            <a:spLocks noChangeArrowheads="1"/>
                          </wps:cNvSpPr>
                          <wps:spPr bwMode="auto">
                            <a:xfrm>
                              <a:off x="8939" y="2435"/>
                              <a:ext cx="84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b/>
                                    <w:bCs/>
                                    <w:color w:val="000000"/>
                                    <w:sz w:val="16"/>
                                    <w:szCs w:val="16"/>
                                  </w:rPr>
                                  <w:t>9,877,824.0</w:t>
                                </w:r>
                              </w:p>
                            </w:txbxContent>
                          </wps:txbx>
                          <wps:bodyPr rot="0" vert="horz" wrap="none" lIns="0" tIns="0" rIns="0" bIns="0" anchor="t" anchorCtr="0" upright="1">
                            <a:spAutoFit/>
                          </wps:bodyPr>
                        </wps:wsp>
                        <wps:wsp>
                          <wps:cNvPr id="422" name="Rectangle 75"/>
                          <wps:cNvSpPr>
                            <a:spLocks noChangeArrowheads="1"/>
                          </wps:cNvSpPr>
                          <wps:spPr bwMode="auto">
                            <a:xfrm>
                              <a:off x="61" y="2648"/>
                              <a:ext cx="62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b/>
                                    <w:bCs/>
                                    <w:color w:val="000000"/>
                                    <w:sz w:val="16"/>
                                    <w:szCs w:val="16"/>
                                  </w:rPr>
                                  <w:t>55.03.07</w:t>
                                </w:r>
                              </w:p>
                            </w:txbxContent>
                          </wps:txbx>
                          <wps:bodyPr rot="0" vert="horz" wrap="none" lIns="0" tIns="0" rIns="0" bIns="0" anchor="t" anchorCtr="0" upright="1">
                            <a:spAutoFit/>
                          </wps:bodyPr>
                        </wps:wsp>
                        <wps:wsp>
                          <wps:cNvPr id="423" name="Rectangle 76"/>
                          <wps:cNvSpPr>
                            <a:spLocks noChangeArrowheads="1"/>
                          </wps:cNvSpPr>
                          <wps:spPr bwMode="auto">
                            <a:xfrm>
                              <a:off x="772" y="2648"/>
                              <a:ext cx="297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color w:val="000000"/>
                                    <w:sz w:val="16"/>
                                    <w:szCs w:val="16"/>
                                  </w:rPr>
                                  <w:t>Additional and unpredictable contributions</w:t>
                                </w:r>
                              </w:p>
                            </w:txbxContent>
                          </wps:txbx>
                          <wps:bodyPr rot="0" vert="horz" wrap="none" lIns="0" tIns="0" rIns="0" bIns="0" anchor="t" anchorCtr="0" upright="1">
                            <a:spAutoFit/>
                          </wps:bodyPr>
                        </wps:wsp>
                        <wps:wsp>
                          <wps:cNvPr id="424" name="Rectangle 77"/>
                          <wps:cNvSpPr>
                            <a:spLocks noChangeArrowheads="1"/>
                          </wps:cNvSpPr>
                          <wps:spPr bwMode="auto">
                            <a:xfrm>
                              <a:off x="5292" y="2648"/>
                              <a:ext cx="62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color w:val="000000"/>
                                    <w:sz w:val="16"/>
                                    <w:szCs w:val="16"/>
                                  </w:rPr>
                                  <w:t>55,013.0</w:t>
                                </w:r>
                              </w:p>
                            </w:txbxContent>
                          </wps:txbx>
                          <wps:bodyPr rot="0" vert="horz" wrap="none" lIns="0" tIns="0" rIns="0" bIns="0" anchor="t" anchorCtr="0" upright="1">
                            <a:spAutoFit/>
                          </wps:bodyPr>
                        </wps:wsp>
                        <wps:wsp>
                          <wps:cNvPr id="425" name="Rectangle 78"/>
                          <wps:cNvSpPr>
                            <a:spLocks noChangeArrowheads="1"/>
                          </wps:cNvSpPr>
                          <wps:spPr bwMode="auto">
                            <a:xfrm>
                              <a:off x="7050" y="2648"/>
                              <a:ext cx="22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color w:val="000000"/>
                                    <w:sz w:val="16"/>
                                    <w:szCs w:val="16"/>
                                  </w:rPr>
                                  <w:t>0.0</w:t>
                                </w:r>
                              </w:p>
                            </w:txbxContent>
                          </wps:txbx>
                          <wps:bodyPr rot="0" vert="horz" wrap="none" lIns="0" tIns="0" rIns="0" bIns="0" anchor="t" anchorCtr="0" upright="1">
                            <a:spAutoFit/>
                          </wps:bodyPr>
                        </wps:wsp>
                        <wps:wsp>
                          <wps:cNvPr id="426" name="Rectangle 79"/>
                          <wps:cNvSpPr>
                            <a:spLocks noChangeArrowheads="1"/>
                          </wps:cNvSpPr>
                          <wps:spPr bwMode="auto">
                            <a:xfrm>
                              <a:off x="8309" y="2648"/>
                              <a:ext cx="22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color w:val="000000"/>
                                    <w:sz w:val="16"/>
                                    <w:szCs w:val="16"/>
                                  </w:rPr>
                                  <w:t>0.0</w:t>
                                </w:r>
                              </w:p>
                            </w:txbxContent>
                          </wps:txbx>
                          <wps:bodyPr rot="0" vert="horz" wrap="none" lIns="0" tIns="0" rIns="0" bIns="0" anchor="t" anchorCtr="0" upright="1">
                            <a:spAutoFit/>
                          </wps:bodyPr>
                        </wps:wsp>
                        <wps:wsp>
                          <wps:cNvPr id="427" name="Rectangle 80"/>
                          <wps:cNvSpPr>
                            <a:spLocks noChangeArrowheads="1"/>
                          </wps:cNvSpPr>
                          <wps:spPr bwMode="auto">
                            <a:xfrm>
                              <a:off x="9569" y="2648"/>
                              <a:ext cx="22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color w:val="000000"/>
                                    <w:sz w:val="16"/>
                                    <w:szCs w:val="16"/>
                                  </w:rPr>
                                  <w:t>0.0</w:t>
                                </w:r>
                              </w:p>
                            </w:txbxContent>
                          </wps:txbx>
                          <wps:bodyPr rot="0" vert="horz" wrap="none" lIns="0" tIns="0" rIns="0" bIns="0" anchor="t" anchorCtr="0" upright="1">
                            <a:spAutoFit/>
                          </wps:bodyPr>
                        </wps:wsp>
                        <wps:wsp>
                          <wps:cNvPr id="428" name="Rectangle 81"/>
                          <wps:cNvSpPr>
                            <a:spLocks noChangeArrowheads="1"/>
                          </wps:cNvSpPr>
                          <wps:spPr bwMode="auto">
                            <a:xfrm>
                              <a:off x="1249" y="286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txbxContent>
                          </wps:txbx>
                          <wps:bodyPr rot="0" vert="horz" wrap="none" lIns="0" tIns="0" rIns="0" bIns="0" anchor="t" anchorCtr="0" upright="1">
                            <a:spAutoFit/>
                          </wps:bodyPr>
                        </wps:wsp>
                        <wps:wsp>
                          <wps:cNvPr id="429" name="Rectangle 82"/>
                          <wps:cNvSpPr>
                            <a:spLocks noChangeArrowheads="1"/>
                          </wps:cNvSpPr>
                          <wps:spPr bwMode="auto">
                            <a:xfrm>
                              <a:off x="1280" y="2901"/>
                              <a:ext cx="3264"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color w:val="000000"/>
                                    <w:sz w:val="16"/>
                                    <w:szCs w:val="16"/>
                                  </w:rPr>
                                  <w:t xml:space="preserve">reserves to cover the differences calculated at </w:t>
                                </w:r>
                              </w:p>
                            </w:txbxContent>
                          </wps:txbx>
                          <wps:bodyPr rot="0" vert="horz" wrap="none" lIns="0" tIns="0" rIns="0" bIns="0" anchor="t" anchorCtr="0" upright="1">
                            <a:spAutoFit/>
                          </wps:bodyPr>
                        </wps:wsp>
                        <wps:wsp>
                          <wps:cNvPr id="430" name="Rectangle 83"/>
                          <wps:cNvSpPr>
                            <a:spLocks noChangeArrowheads="1"/>
                          </wps:cNvSpPr>
                          <wps:spPr bwMode="auto">
                            <a:xfrm>
                              <a:off x="1249" y="3104"/>
                              <a:ext cx="170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color w:val="000000"/>
                                    <w:sz w:val="16"/>
                                    <w:szCs w:val="16"/>
                                  </w:rPr>
                                  <w:t xml:space="preserve">VAT and NGR balances </w:t>
                                </w:r>
                              </w:p>
                            </w:txbxContent>
                          </wps:txbx>
                          <wps:bodyPr rot="0" vert="horz" wrap="none" lIns="0" tIns="0" rIns="0" bIns="0" anchor="t" anchorCtr="0" upright="1">
                            <a:spAutoFit/>
                          </wps:bodyPr>
                        </wps:wsp>
                        <wps:wsp>
                          <wps:cNvPr id="431" name="Rectangle 84"/>
                          <wps:cNvSpPr>
                            <a:spLocks noChangeArrowheads="1"/>
                          </wps:cNvSpPr>
                          <wps:spPr bwMode="auto">
                            <a:xfrm>
                              <a:off x="5292" y="2861"/>
                              <a:ext cx="62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color w:val="000000"/>
                                    <w:sz w:val="16"/>
                                    <w:szCs w:val="16"/>
                                  </w:rPr>
                                  <w:t>55,013.0</w:t>
                                </w:r>
                              </w:p>
                            </w:txbxContent>
                          </wps:txbx>
                          <wps:bodyPr rot="0" vert="horz" wrap="none" lIns="0" tIns="0" rIns="0" bIns="0" anchor="t" anchorCtr="0" upright="1">
                            <a:spAutoFit/>
                          </wps:bodyPr>
                        </wps:wsp>
                        <wps:wsp>
                          <wps:cNvPr id="432" name="Rectangle 85"/>
                          <wps:cNvSpPr>
                            <a:spLocks noChangeArrowheads="1"/>
                          </wps:cNvSpPr>
                          <wps:spPr bwMode="auto">
                            <a:xfrm>
                              <a:off x="7050" y="2861"/>
                              <a:ext cx="22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color w:val="000000"/>
                                    <w:sz w:val="16"/>
                                    <w:szCs w:val="16"/>
                                  </w:rPr>
                                  <w:t>0.0</w:t>
                                </w:r>
                              </w:p>
                            </w:txbxContent>
                          </wps:txbx>
                          <wps:bodyPr rot="0" vert="horz" wrap="none" lIns="0" tIns="0" rIns="0" bIns="0" anchor="t" anchorCtr="0" upright="1">
                            <a:spAutoFit/>
                          </wps:bodyPr>
                        </wps:wsp>
                        <wps:wsp>
                          <wps:cNvPr id="433" name="Rectangle 86"/>
                          <wps:cNvSpPr>
                            <a:spLocks noChangeArrowheads="1"/>
                          </wps:cNvSpPr>
                          <wps:spPr bwMode="auto">
                            <a:xfrm>
                              <a:off x="8309" y="2861"/>
                              <a:ext cx="22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color w:val="000000"/>
                                    <w:sz w:val="16"/>
                                    <w:szCs w:val="16"/>
                                  </w:rPr>
                                  <w:t>0.0</w:t>
                                </w:r>
                              </w:p>
                            </w:txbxContent>
                          </wps:txbx>
                          <wps:bodyPr rot="0" vert="horz" wrap="none" lIns="0" tIns="0" rIns="0" bIns="0" anchor="t" anchorCtr="0" upright="1">
                            <a:spAutoFit/>
                          </wps:bodyPr>
                        </wps:wsp>
                        <wps:wsp>
                          <wps:cNvPr id="434" name="Rectangle 87"/>
                          <wps:cNvSpPr>
                            <a:spLocks noChangeArrowheads="1"/>
                          </wps:cNvSpPr>
                          <wps:spPr bwMode="auto">
                            <a:xfrm>
                              <a:off x="9569" y="2861"/>
                              <a:ext cx="22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color w:val="000000"/>
                                    <w:sz w:val="16"/>
                                    <w:szCs w:val="16"/>
                                  </w:rPr>
                                  <w:t>0.0</w:t>
                                </w:r>
                              </w:p>
                            </w:txbxContent>
                          </wps:txbx>
                          <wps:bodyPr rot="0" vert="horz" wrap="none" lIns="0" tIns="0" rIns="0" bIns="0" anchor="t" anchorCtr="0" upright="1">
                            <a:spAutoFit/>
                          </wps:bodyPr>
                        </wps:wsp>
                        <wps:wsp>
                          <wps:cNvPr id="435" name="Rectangle 88"/>
                          <wps:cNvSpPr>
                            <a:spLocks noChangeArrowheads="1"/>
                          </wps:cNvSpPr>
                          <wps:spPr bwMode="auto">
                            <a:xfrm>
                              <a:off x="173" y="3307"/>
                              <a:ext cx="40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b/>
                                    <w:bCs/>
                                    <w:color w:val="000000"/>
                                    <w:sz w:val="16"/>
                                    <w:szCs w:val="16"/>
                                  </w:rPr>
                                  <w:t>55.03</w:t>
                                </w:r>
                              </w:p>
                            </w:txbxContent>
                          </wps:txbx>
                          <wps:bodyPr rot="0" vert="horz" wrap="none" lIns="0" tIns="0" rIns="0" bIns="0" anchor="t" anchorCtr="0" upright="1">
                            <a:spAutoFit/>
                          </wps:bodyPr>
                        </wps:wsp>
                        <wps:wsp>
                          <wps:cNvPr id="436" name="Rectangle 89"/>
                          <wps:cNvSpPr>
                            <a:spLocks noChangeArrowheads="1"/>
                          </wps:cNvSpPr>
                          <wps:spPr bwMode="auto">
                            <a:xfrm>
                              <a:off x="772" y="3307"/>
                              <a:ext cx="314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b/>
                                    <w:bCs/>
                                    <w:i/>
                                    <w:iCs/>
                                    <w:color w:val="000000"/>
                                    <w:sz w:val="16"/>
                                    <w:szCs w:val="16"/>
                                  </w:rPr>
                                  <w:t>Romania’s contribution to the EU budget</w:t>
                                </w:r>
                              </w:p>
                            </w:txbxContent>
                          </wps:txbx>
                          <wps:bodyPr rot="0" vert="horz" wrap="none" lIns="0" tIns="0" rIns="0" bIns="0" anchor="t" anchorCtr="0" upright="1">
                            <a:spAutoFit/>
                          </wps:bodyPr>
                        </wps:wsp>
                        <wps:wsp>
                          <wps:cNvPr id="437" name="Rectangle 90"/>
                          <wps:cNvSpPr>
                            <a:spLocks noChangeArrowheads="1"/>
                          </wps:cNvSpPr>
                          <wps:spPr bwMode="auto">
                            <a:xfrm>
                              <a:off x="5160" y="3307"/>
                              <a:ext cx="84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b/>
                                    <w:bCs/>
                                    <w:color w:val="000000"/>
                                    <w:sz w:val="16"/>
                                    <w:szCs w:val="16"/>
                                  </w:rPr>
                                  <w:t>8,627,398.0</w:t>
                                </w:r>
                              </w:p>
                            </w:txbxContent>
                          </wps:txbx>
                          <wps:bodyPr rot="0" vert="horz" wrap="none" lIns="0" tIns="0" rIns="0" bIns="0" anchor="t" anchorCtr="0" upright="1">
                            <a:spAutoFit/>
                          </wps:bodyPr>
                        </wps:wsp>
                        <wps:wsp>
                          <wps:cNvPr id="438" name="Rectangle 91"/>
                          <wps:cNvSpPr>
                            <a:spLocks noChangeArrowheads="1"/>
                          </wps:cNvSpPr>
                          <wps:spPr bwMode="auto">
                            <a:xfrm>
                              <a:off x="6420" y="3307"/>
                              <a:ext cx="84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b/>
                                    <w:bCs/>
                                    <w:color w:val="000000"/>
                                    <w:sz w:val="16"/>
                                    <w:szCs w:val="16"/>
                                  </w:rPr>
                                  <w:t>9,104,732.0</w:t>
                                </w:r>
                              </w:p>
                            </w:txbxContent>
                          </wps:txbx>
                          <wps:bodyPr rot="0" vert="horz" wrap="none" lIns="0" tIns="0" rIns="0" bIns="0" anchor="t" anchorCtr="0" upright="1">
                            <a:spAutoFit/>
                          </wps:bodyPr>
                        </wps:wsp>
                        <wps:wsp>
                          <wps:cNvPr id="439" name="Rectangle 92"/>
                          <wps:cNvSpPr>
                            <a:spLocks noChangeArrowheads="1"/>
                          </wps:cNvSpPr>
                          <wps:spPr bwMode="auto">
                            <a:xfrm>
                              <a:off x="7680" y="3307"/>
                              <a:ext cx="84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b/>
                                    <w:bCs/>
                                    <w:color w:val="000000"/>
                                    <w:sz w:val="16"/>
                                    <w:szCs w:val="16"/>
                                  </w:rPr>
                                  <w:t>9,642,226.0</w:t>
                                </w:r>
                              </w:p>
                            </w:txbxContent>
                          </wps:txbx>
                          <wps:bodyPr rot="0" vert="horz" wrap="none" lIns="0" tIns="0" rIns="0" bIns="0" anchor="t" anchorCtr="0" upright="1">
                            <a:spAutoFit/>
                          </wps:bodyPr>
                        </wps:wsp>
                        <wps:wsp>
                          <wps:cNvPr id="440" name="Rectangle 93"/>
                          <wps:cNvSpPr>
                            <a:spLocks noChangeArrowheads="1"/>
                          </wps:cNvSpPr>
                          <wps:spPr bwMode="auto">
                            <a:xfrm>
                              <a:off x="8939" y="3307"/>
                              <a:ext cx="84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b/>
                                    <w:bCs/>
                                    <w:color w:val="000000"/>
                                    <w:sz w:val="16"/>
                                    <w:szCs w:val="16"/>
                                  </w:rPr>
                                  <w:t>9,877,824.0</w:t>
                                </w:r>
                              </w:p>
                            </w:txbxContent>
                          </wps:txbx>
                          <wps:bodyPr rot="0" vert="horz" wrap="none" lIns="0" tIns="0" rIns="0" bIns="0" anchor="t" anchorCtr="0" upright="1">
                            <a:spAutoFit/>
                          </wps:bodyPr>
                        </wps:wsp>
                        <wps:wsp>
                          <wps:cNvPr id="441" name="Rectangle 94"/>
                          <wps:cNvSpPr>
                            <a:spLocks noChangeArrowheads="1"/>
                          </wps:cNvSpPr>
                          <wps:spPr bwMode="auto">
                            <a:xfrm>
                              <a:off x="5313" y="3591"/>
                              <a:ext cx="77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i/>
                                    <w:iCs/>
                                    <w:color w:val="FFFFFF"/>
                                    <w:sz w:val="14"/>
                                    <w:szCs w:val="14"/>
                                  </w:rPr>
                                  <w:t>1,572,248.0</w:t>
                                </w:r>
                              </w:p>
                            </w:txbxContent>
                          </wps:txbx>
                          <wps:bodyPr rot="0" vert="horz" wrap="none" lIns="0" tIns="0" rIns="0" bIns="0" anchor="t" anchorCtr="0" upright="1">
                            <a:spAutoFit/>
                          </wps:bodyPr>
                        </wps:wsp>
                        <wps:wsp>
                          <wps:cNvPr id="442" name="Rectangle 95"/>
                          <wps:cNvSpPr>
                            <a:spLocks noChangeArrowheads="1"/>
                          </wps:cNvSpPr>
                          <wps:spPr bwMode="auto">
                            <a:xfrm>
                              <a:off x="6572" y="3591"/>
                              <a:ext cx="77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i/>
                                    <w:iCs/>
                                    <w:color w:val="FFFFFF"/>
                                    <w:sz w:val="14"/>
                                    <w:szCs w:val="14"/>
                                  </w:rPr>
                                  <w:t>1,418,204.0</w:t>
                                </w:r>
                              </w:p>
                            </w:txbxContent>
                          </wps:txbx>
                          <wps:bodyPr rot="0" vert="horz" wrap="none" lIns="0" tIns="0" rIns="0" bIns="0" anchor="t" anchorCtr="0" upright="1">
                            <a:spAutoFit/>
                          </wps:bodyPr>
                        </wps:wsp>
                        <wps:wsp>
                          <wps:cNvPr id="443" name="Rectangle 96"/>
                          <wps:cNvSpPr>
                            <a:spLocks noChangeArrowheads="1"/>
                          </wps:cNvSpPr>
                          <wps:spPr bwMode="auto">
                            <a:xfrm>
                              <a:off x="7832" y="3591"/>
                              <a:ext cx="77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i/>
                                    <w:iCs/>
                                    <w:color w:val="FFFFFF"/>
                                    <w:sz w:val="14"/>
                                    <w:szCs w:val="14"/>
                                  </w:rPr>
                                  <w:t>1,955,698.0</w:t>
                                </w:r>
                              </w:p>
                            </w:txbxContent>
                          </wps:txbx>
                          <wps:bodyPr rot="0" vert="horz" wrap="none" lIns="0" tIns="0" rIns="0" bIns="0" anchor="t" anchorCtr="0" upright="1">
                            <a:spAutoFit/>
                          </wps:bodyPr>
                        </wps:wsp>
                        <wps:wsp>
                          <wps:cNvPr id="444" name="Rectangle 97"/>
                          <wps:cNvSpPr>
                            <a:spLocks noChangeArrowheads="1"/>
                          </wps:cNvSpPr>
                          <wps:spPr bwMode="auto">
                            <a:xfrm>
                              <a:off x="9091" y="3591"/>
                              <a:ext cx="77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i/>
                                    <w:iCs/>
                                    <w:color w:val="FFFFFF"/>
                                    <w:sz w:val="14"/>
                                    <w:szCs w:val="14"/>
                                  </w:rPr>
                                  <w:t>2,191,296.0</w:t>
                                </w:r>
                              </w:p>
                            </w:txbxContent>
                          </wps:txbx>
                          <wps:bodyPr rot="0" vert="horz" wrap="none" lIns="0" tIns="0" rIns="0" bIns="0" anchor="t" anchorCtr="0" upright="1">
                            <a:spAutoFit/>
                          </wps:bodyPr>
                        </wps:wsp>
                        <wps:wsp>
                          <wps:cNvPr id="445" name="Rectangle 98"/>
                          <wps:cNvSpPr>
                            <a:spLocks noChangeArrowheads="1"/>
                          </wps:cNvSpPr>
                          <wps:spPr bwMode="auto">
                            <a:xfrm>
                              <a:off x="762" y="3855"/>
                              <a:ext cx="1734"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color w:val="000000"/>
                                    <w:sz w:val="16"/>
                                    <w:szCs w:val="16"/>
                                  </w:rPr>
                                  <w:t xml:space="preserve">Gross Domestic Product </w:t>
                                </w:r>
                              </w:p>
                            </w:txbxContent>
                          </wps:txbx>
                          <wps:bodyPr rot="0" vert="horz" wrap="none" lIns="0" tIns="0" rIns="0" bIns="0" anchor="t" anchorCtr="0" upright="1">
                            <a:spAutoFit/>
                          </wps:bodyPr>
                        </wps:wsp>
                        <wps:wsp>
                          <wps:cNvPr id="446" name="Rectangle 99"/>
                          <wps:cNvSpPr>
                            <a:spLocks noChangeArrowheads="1"/>
                          </wps:cNvSpPr>
                          <wps:spPr bwMode="auto">
                            <a:xfrm>
                              <a:off x="2113" y="3824"/>
                              <a:ext cx="7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color w:val="000000"/>
                                    <w:sz w:val="10"/>
                                    <w:szCs w:val="10"/>
                                  </w:rPr>
                                  <w:t>*)</w:t>
                                </w:r>
                              </w:p>
                            </w:txbxContent>
                          </wps:txbx>
                          <wps:bodyPr rot="0" vert="horz" wrap="none" lIns="0" tIns="0" rIns="0" bIns="0" anchor="t" anchorCtr="0" upright="1">
                            <a:spAutoFit/>
                          </wps:bodyPr>
                        </wps:wsp>
                        <wps:wsp>
                          <wps:cNvPr id="447" name="Rectangle 100"/>
                          <wps:cNvSpPr>
                            <a:spLocks noChangeArrowheads="1"/>
                          </wps:cNvSpPr>
                          <wps:spPr bwMode="auto">
                            <a:xfrm>
                              <a:off x="4967" y="3824"/>
                              <a:ext cx="115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color w:val="000000"/>
                                    <w:sz w:val="16"/>
                                    <w:szCs w:val="16"/>
                                  </w:rPr>
                                  <w:t>1,022,500,000.0</w:t>
                                </w:r>
                              </w:p>
                            </w:txbxContent>
                          </wps:txbx>
                          <wps:bodyPr rot="0" vert="horz" wrap="none" lIns="0" tIns="0" rIns="0" bIns="0" anchor="t" anchorCtr="0" upright="1">
                            <a:spAutoFit/>
                          </wps:bodyPr>
                        </wps:wsp>
                        <wps:wsp>
                          <wps:cNvPr id="448" name="Rectangle 101"/>
                          <wps:cNvSpPr>
                            <a:spLocks noChangeArrowheads="1"/>
                          </wps:cNvSpPr>
                          <wps:spPr bwMode="auto">
                            <a:xfrm>
                              <a:off x="6227" y="3824"/>
                              <a:ext cx="115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color w:val="000000"/>
                                    <w:sz w:val="16"/>
                                    <w:szCs w:val="16"/>
                                  </w:rPr>
                                  <w:t>1,101,000,000.0</w:t>
                                </w:r>
                              </w:p>
                            </w:txbxContent>
                          </wps:txbx>
                          <wps:bodyPr rot="0" vert="horz" wrap="none" lIns="0" tIns="0" rIns="0" bIns="0" anchor="t" anchorCtr="0" upright="1">
                            <a:spAutoFit/>
                          </wps:bodyPr>
                        </wps:wsp>
                        <wps:wsp>
                          <wps:cNvPr id="449" name="Rectangle 102"/>
                          <wps:cNvSpPr>
                            <a:spLocks noChangeArrowheads="1"/>
                          </wps:cNvSpPr>
                          <wps:spPr bwMode="auto">
                            <a:xfrm>
                              <a:off x="7487" y="3824"/>
                              <a:ext cx="115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color w:val="000000"/>
                                    <w:sz w:val="16"/>
                                    <w:szCs w:val="16"/>
                                  </w:rPr>
                                  <w:t>1,178,600,000.0</w:t>
                                </w:r>
                              </w:p>
                            </w:txbxContent>
                          </wps:txbx>
                          <wps:bodyPr rot="0" vert="horz" wrap="none" lIns="0" tIns="0" rIns="0" bIns="0" anchor="t" anchorCtr="0" upright="1">
                            <a:spAutoFit/>
                          </wps:bodyPr>
                        </wps:wsp>
                        <wps:wsp>
                          <wps:cNvPr id="450" name="Rectangle 103"/>
                          <wps:cNvSpPr>
                            <a:spLocks noChangeArrowheads="1"/>
                          </wps:cNvSpPr>
                          <wps:spPr bwMode="auto">
                            <a:xfrm>
                              <a:off x="8746" y="3824"/>
                              <a:ext cx="115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color w:val="000000"/>
                                    <w:sz w:val="16"/>
                                    <w:szCs w:val="16"/>
                                  </w:rPr>
                                  <w:t>1,261,500,000.0</w:t>
                                </w:r>
                              </w:p>
                            </w:txbxContent>
                          </wps:txbx>
                          <wps:bodyPr rot="0" vert="horz" wrap="none" lIns="0" tIns="0" rIns="0" bIns="0" anchor="t" anchorCtr="0" upright="1">
                            <a:spAutoFit/>
                          </wps:bodyPr>
                        </wps:wsp>
                        <wps:wsp>
                          <wps:cNvPr id="451" name="Rectangle 104"/>
                          <wps:cNvSpPr>
                            <a:spLocks noChangeArrowheads="1"/>
                          </wps:cNvSpPr>
                          <wps:spPr bwMode="auto">
                            <a:xfrm>
                              <a:off x="762" y="4078"/>
                              <a:ext cx="493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Pr="00393B6C" w:rsidRDefault="005063CB" w:rsidP="00A325AD">
                                <w:r>
                                  <w:rPr>
                                    <w:rFonts w:ascii="Arial" w:hAnsi="Arial"/>
                                    <w:color w:val="000000"/>
                                    <w:sz w:val="16"/>
                                    <w:szCs w:val="16"/>
                                  </w:rPr>
                                  <w:t xml:space="preserve">Romania’s contribution regarding own resources to the EU budget, as </w:t>
                                </w:r>
                              </w:p>
                            </w:txbxContent>
                          </wps:txbx>
                          <wps:bodyPr rot="0" vert="horz" wrap="none" lIns="0" tIns="0" rIns="0" bIns="0" anchor="t" anchorCtr="0" upright="1">
                            <a:spAutoFit/>
                          </wps:bodyPr>
                        </wps:wsp>
                        <wps:wsp>
                          <wps:cNvPr id="452" name="Rectangle 105"/>
                          <wps:cNvSpPr>
                            <a:spLocks noChangeArrowheads="1"/>
                          </wps:cNvSpPr>
                          <wps:spPr bwMode="auto">
                            <a:xfrm>
                              <a:off x="762" y="4271"/>
                              <a:ext cx="426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color w:val="000000"/>
                                    <w:sz w:val="16"/>
                                    <w:szCs w:val="16"/>
                                  </w:rPr>
                                  <w:t xml:space="preserve">Share in the GDP (%), including additional contributions and </w:t>
                                </w:r>
                              </w:p>
                            </w:txbxContent>
                          </wps:txbx>
                          <wps:bodyPr rot="0" vert="horz" wrap="none" lIns="0" tIns="0" rIns="0" bIns="0" anchor="t" anchorCtr="0" upright="1">
                            <a:spAutoFit/>
                          </wps:bodyPr>
                        </wps:wsp>
                        <wps:wsp>
                          <wps:cNvPr id="453" name="Rectangle 106"/>
                          <wps:cNvSpPr>
                            <a:spLocks noChangeArrowheads="1"/>
                          </wps:cNvSpPr>
                          <wps:spPr bwMode="auto">
                            <a:xfrm>
                              <a:off x="762" y="4463"/>
                              <a:ext cx="191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color w:val="000000"/>
                                    <w:sz w:val="16"/>
                                    <w:szCs w:val="16"/>
                                  </w:rPr>
                                  <w:t>unpredictable contributions</w:t>
                                </w:r>
                              </w:p>
                            </w:txbxContent>
                          </wps:txbx>
                          <wps:bodyPr rot="0" vert="horz" wrap="none" lIns="0" tIns="0" rIns="0" bIns="0" anchor="t" anchorCtr="0" upright="1">
                            <a:spAutoFit/>
                          </wps:bodyPr>
                        </wps:wsp>
                        <wps:wsp>
                          <wps:cNvPr id="454" name="Rectangle 107"/>
                          <wps:cNvSpPr>
                            <a:spLocks noChangeArrowheads="1"/>
                          </wps:cNvSpPr>
                          <wps:spPr bwMode="auto">
                            <a:xfrm>
                              <a:off x="5739" y="4271"/>
                              <a:ext cx="31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color w:val="000000"/>
                                    <w:sz w:val="16"/>
                                    <w:szCs w:val="16"/>
                                  </w:rPr>
                                  <w:t>0.84</w:t>
                                </w:r>
                              </w:p>
                            </w:txbxContent>
                          </wps:txbx>
                          <wps:bodyPr rot="0" vert="horz" wrap="none" lIns="0" tIns="0" rIns="0" bIns="0" anchor="t" anchorCtr="0" upright="1">
                            <a:spAutoFit/>
                          </wps:bodyPr>
                        </wps:wsp>
                        <wps:wsp>
                          <wps:cNvPr id="455" name="Rectangle 108"/>
                          <wps:cNvSpPr>
                            <a:spLocks noChangeArrowheads="1"/>
                          </wps:cNvSpPr>
                          <wps:spPr bwMode="auto">
                            <a:xfrm>
                              <a:off x="6999" y="4271"/>
                              <a:ext cx="31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color w:val="000000"/>
                                    <w:sz w:val="16"/>
                                    <w:szCs w:val="16"/>
                                  </w:rPr>
                                  <w:t>0.83</w:t>
                                </w:r>
                              </w:p>
                            </w:txbxContent>
                          </wps:txbx>
                          <wps:bodyPr rot="0" vert="horz" wrap="none" lIns="0" tIns="0" rIns="0" bIns="0" anchor="t" anchorCtr="0" upright="1">
                            <a:spAutoFit/>
                          </wps:bodyPr>
                        </wps:wsp>
                        <wps:wsp>
                          <wps:cNvPr id="456" name="Rectangle 109"/>
                          <wps:cNvSpPr>
                            <a:spLocks noChangeArrowheads="1"/>
                          </wps:cNvSpPr>
                          <wps:spPr bwMode="auto">
                            <a:xfrm>
                              <a:off x="8259" y="4271"/>
                              <a:ext cx="31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color w:val="000000"/>
                                    <w:sz w:val="16"/>
                                    <w:szCs w:val="16"/>
                                  </w:rPr>
                                  <w:t>0.82</w:t>
                                </w:r>
                              </w:p>
                            </w:txbxContent>
                          </wps:txbx>
                          <wps:bodyPr rot="0" vert="horz" wrap="none" lIns="0" tIns="0" rIns="0" bIns="0" anchor="t" anchorCtr="0" upright="1">
                            <a:spAutoFit/>
                          </wps:bodyPr>
                        </wps:wsp>
                        <wps:wsp>
                          <wps:cNvPr id="457" name="Rectangle 110"/>
                          <wps:cNvSpPr>
                            <a:spLocks noChangeArrowheads="1"/>
                          </wps:cNvSpPr>
                          <wps:spPr bwMode="auto">
                            <a:xfrm>
                              <a:off x="9518" y="4271"/>
                              <a:ext cx="31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rFonts w:ascii="Arial" w:hAnsi="Arial"/>
                                    <w:color w:val="000000"/>
                                    <w:sz w:val="16"/>
                                    <w:szCs w:val="16"/>
                                  </w:rPr>
                                  <w:t>0.78</w:t>
                                </w:r>
                              </w:p>
                            </w:txbxContent>
                          </wps:txbx>
                          <wps:bodyPr rot="0" vert="horz" wrap="none" lIns="0" tIns="0" rIns="0" bIns="0" anchor="t" anchorCtr="0" upright="1">
                            <a:spAutoFit/>
                          </wps:bodyPr>
                        </wps:wsp>
                        <wps:wsp>
                          <wps:cNvPr id="458" name="Rectangle 111"/>
                          <wps:cNvSpPr>
                            <a:spLocks noChangeArrowheads="1"/>
                          </wps:cNvSpPr>
                          <wps:spPr bwMode="auto">
                            <a:xfrm>
                              <a:off x="30" y="4869"/>
                              <a:ext cx="84"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Default="005063CB" w:rsidP="00A325AD">
                                <w:r>
                                  <w:rPr>
                                    <w:color w:val="000000"/>
                                    <w:sz w:val="10"/>
                                    <w:szCs w:val="10"/>
                                  </w:rPr>
                                  <w:t>*)</w:t>
                                </w:r>
                              </w:p>
                            </w:txbxContent>
                          </wps:txbx>
                          <wps:bodyPr rot="0" vert="horz" wrap="none" lIns="0" tIns="0" rIns="0" bIns="0" anchor="t" anchorCtr="0" upright="1">
                            <a:spAutoFit/>
                          </wps:bodyPr>
                        </wps:wsp>
                        <wps:wsp>
                          <wps:cNvPr id="459" name="Rectangle 112"/>
                          <wps:cNvSpPr>
                            <a:spLocks noChangeArrowheads="1"/>
                          </wps:cNvSpPr>
                          <wps:spPr bwMode="auto">
                            <a:xfrm>
                              <a:off x="112" y="4910"/>
                              <a:ext cx="223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Pr="00393B6C" w:rsidRDefault="005063CB" w:rsidP="00A325AD">
                                <w:r>
                                  <w:rPr>
                                    <w:color w:val="000000"/>
                                    <w:sz w:val="14"/>
                                    <w:szCs w:val="14"/>
                                  </w:rPr>
                                  <w:t xml:space="preserve"> NCSP - Winter forecast - January 2019</w:t>
                                </w:r>
                              </w:p>
                            </w:txbxContent>
                          </wps:txbx>
                          <wps:bodyPr rot="0" vert="horz" wrap="none" lIns="0" tIns="0" rIns="0" bIns="0" anchor="t" anchorCtr="0" upright="1">
                            <a:spAutoFit/>
                          </wps:bodyPr>
                        </wps:wsp>
                        <wps:wsp>
                          <wps:cNvPr id="460" name="Rectangle 113"/>
                          <wps:cNvSpPr>
                            <a:spLocks noChangeArrowheads="1"/>
                          </wps:cNvSpPr>
                          <wps:spPr bwMode="auto">
                            <a:xfrm>
                              <a:off x="386" y="20"/>
                              <a:ext cx="7904"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3CB" w:rsidRPr="00393B6C" w:rsidRDefault="005063CB" w:rsidP="00A325AD">
                                <w:r>
                                  <w:rPr>
                                    <w:rFonts w:ascii="Arial" w:hAnsi="Arial"/>
                                    <w:b/>
                                    <w:bCs/>
                                    <w:color w:val="000000"/>
                                    <w:sz w:val="16"/>
                                    <w:szCs w:val="16"/>
                                  </w:rPr>
                                  <w:t>Romania’s contribution to the budget of the European Union for 2019 and estimates for years 2020-2022</w:t>
                                </w:r>
                              </w:p>
                            </w:txbxContent>
                          </wps:txbx>
                          <wps:bodyPr rot="0" vert="horz" wrap="none" lIns="0" tIns="0" rIns="0" bIns="0" anchor="t" anchorCtr="0" upright="1">
                            <a:spAutoFit/>
                          </wps:bodyPr>
                        </wps:wsp>
                        <wps:wsp>
                          <wps:cNvPr id="461" name="Line 114"/>
                          <wps:cNvCnPr/>
                          <wps:spPr bwMode="auto">
                            <a:xfrm>
                              <a:off x="731" y="0"/>
                              <a:ext cx="0" cy="1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62" name="Rectangle 115"/>
                          <wps:cNvSpPr>
                            <a:spLocks noChangeArrowheads="1"/>
                          </wps:cNvSpPr>
                          <wps:spPr bwMode="auto">
                            <a:xfrm>
                              <a:off x="731" y="0"/>
                              <a:ext cx="11"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Line 116"/>
                          <wps:cNvCnPr/>
                          <wps:spPr bwMode="auto">
                            <a:xfrm>
                              <a:off x="4906" y="0"/>
                              <a:ext cx="0" cy="1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64" name="Rectangle 117"/>
                          <wps:cNvSpPr>
                            <a:spLocks noChangeArrowheads="1"/>
                          </wps:cNvSpPr>
                          <wps:spPr bwMode="auto">
                            <a:xfrm>
                              <a:off x="4906" y="0"/>
                              <a:ext cx="11"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Line 118"/>
                          <wps:cNvCnPr/>
                          <wps:spPr bwMode="auto">
                            <a:xfrm>
                              <a:off x="6044" y="0"/>
                              <a:ext cx="0" cy="1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66" name="Rectangle 119"/>
                          <wps:cNvSpPr>
                            <a:spLocks noChangeArrowheads="1"/>
                          </wps:cNvSpPr>
                          <wps:spPr bwMode="auto">
                            <a:xfrm>
                              <a:off x="6044" y="0"/>
                              <a:ext cx="10"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Line 120"/>
                          <wps:cNvCnPr/>
                          <wps:spPr bwMode="auto">
                            <a:xfrm>
                              <a:off x="7304" y="0"/>
                              <a:ext cx="0" cy="1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68" name="Rectangle 121"/>
                          <wps:cNvSpPr>
                            <a:spLocks noChangeArrowheads="1"/>
                          </wps:cNvSpPr>
                          <wps:spPr bwMode="auto">
                            <a:xfrm>
                              <a:off x="7304" y="0"/>
                              <a:ext cx="10"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Line 122"/>
                          <wps:cNvCnPr/>
                          <wps:spPr bwMode="auto">
                            <a:xfrm>
                              <a:off x="0" y="0"/>
                              <a:ext cx="0" cy="416"/>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70" name="Rectangle 123"/>
                          <wps:cNvSpPr>
                            <a:spLocks noChangeArrowheads="1"/>
                          </wps:cNvSpPr>
                          <wps:spPr bwMode="auto">
                            <a:xfrm>
                              <a:off x="0" y="0"/>
                              <a:ext cx="10" cy="41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Line 124"/>
                          <wps:cNvCnPr/>
                          <wps:spPr bwMode="auto">
                            <a:xfrm>
                              <a:off x="731" y="223"/>
                              <a:ext cx="0" cy="193"/>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72" name="Rectangle 125"/>
                          <wps:cNvSpPr>
                            <a:spLocks noChangeArrowheads="1"/>
                          </wps:cNvSpPr>
                          <wps:spPr bwMode="auto">
                            <a:xfrm>
                              <a:off x="731" y="223"/>
                              <a:ext cx="11" cy="19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Line 126"/>
                          <wps:cNvCnPr/>
                          <wps:spPr bwMode="auto">
                            <a:xfrm>
                              <a:off x="4906" y="223"/>
                              <a:ext cx="0" cy="193"/>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74" name="Rectangle 127"/>
                          <wps:cNvSpPr>
                            <a:spLocks noChangeArrowheads="1"/>
                          </wps:cNvSpPr>
                          <wps:spPr bwMode="auto">
                            <a:xfrm>
                              <a:off x="4906" y="223"/>
                              <a:ext cx="11" cy="19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Line 128"/>
                          <wps:cNvCnPr/>
                          <wps:spPr bwMode="auto">
                            <a:xfrm>
                              <a:off x="6044" y="223"/>
                              <a:ext cx="0" cy="193"/>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76" name="Rectangle 129"/>
                          <wps:cNvSpPr>
                            <a:spLocks noChangeArrowheads="1"/>
                          </wps:cNvSpPr>
                          <wps:spPr bwMode="auto">
                            <a:xfrm>
                              <a:off x="6044" y="223"/>
                              <a:ext cx="10" cy="19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Line 130"/>
                          <wps:cNvCnPr/>
                          <wps:spPr bwMode="auto">
                            <a:xfrm>
                              <a:off x="7304" y="223"/>
                              <a:ext cx="0" cy="193"/>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78" name="Rectangle 131"/>
                          <wps:cNvSpPr>
                            <a:spLocks noChangeArrowheads="1"/>
                          </wps:cNvSpPr>
                          <wps:spPr bwMode="auto">
                            <a:xfrm>
                              <a:off x="7304" y="223"/>
                              <a:ext cx="10" cy="19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Line 132"/>
                          <wps:cNvCnPr/>
                          <wps:spPr bwMode="auto">
                            <a:xfrm>
                              <a:off x="8563" y="0"/>
                              <a:ext cx="0" cy="416"/>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0" name="Rectangle 133"/>
                          <wps:cNvSpPr>
                            <a:spLocks noChangeArrowheads="1"/>
                          </wps:cNvSpPr>
                          <wps:spPr bwMode="auto">
                            <a:xfrm>
                              <a:off x="8563" y="0"/>
                              <a:ext cx="10" cy="41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Rectangle 134"/>
                          <wps:cNvSpPr>
                            <a:spLocks noChangeArrowheads="1"/>
                          </wps:cNvSpPr>
                          <wps:spPr bwMode="auto">
                            <a:xfrm>
                              <a:off x="10" y="416"/>
                              <a:ext cx="9823"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Line 135"/>
                          <wps:cNvCnPr/>
                          <wps:spPr bwMode="auto">
                            <a:xfrm>
                              <a:off x="9823" y="0"/>
                              <a:ext cx="0" cy="416"/>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3" name="Rectangle 136"/>
                          <wps:cNvSpPr>
                            <a:spLocks noChangeArrowheads="1"/>
                          </wps:cNvSpPr>
                          <wps:spPr bwMode="auto">
                            <a:xfrm>
                              <a:off x="9823" y="0"/>
                              <a:ext cx="10" cy="41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Line 137"/>
                          <wps:cNvCnPr/>
                          <wps:spPr bwMode="auto">
                            <a:xfrm>
                              <a:off x="10" y="680"/>
                              <a:ext cx="602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 name="Rectangle 138"/>
                          <wps:cNvSpPr>
                            <a:spLocks noChangeArrowheads="1"/>
                          </wps:cNvSpPr>
                          <wps:spPr bwMode="auto">
                            <a:xfrm>
                              <a:off x="10" y="680"/>
                              <a:ext cx="602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Line 139"/>
                          <wps:cNvCnPr/>
                          <wps:spPr bwMode="auto">
                            <a:xfrm>
                              <a:off x="6054" y="680"/>
                              <a:ext cx="12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 name="Rectangle 140"/>
                          <wps:cNvSpPr>
                            <a:spLocks noChangeArrowheads="1"/>
                          </wps:cNvSpPr>
                          <wps:spPr bwMode="auto">
                            <a:xfrm>
                              <a:off x="6054" y="680"/>
                              <a:ext cx="124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Line 141"/>
                          <wps:cNvCnPr/>
                          <wps:spPr bwMode="auto">
                            <a:xfrm>
                              <a:off x="7314" y="680"/>
                              <a:ext cx="123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 name="Rectangle 142"/>
                          <wps:cNvSpPr>
                            <a:spLocks noChangeArrowheads="1"/>
                          </wps:cNvSpPr>
                          <wps:spPr bwMode="auto">
                            <a:xfrm>
                              <a:off x="7314" y="680"/>
                              <a:ext cx="123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Line 143"/>
                          <wps:cNvCnPr/>
                          <wps:spPr bwMode="auto">
                            <a:xfrm>
                              <a:off x="8573" y="680"/>
                              <a:ext cx="12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 name="Rectangle 144"/>
                          <wps:cNvSpPr>
                            <a:spLocks noChangeArrowheads="1"/>
                          </wps:cNvSpPr>
                          <wps:spPr bwMode="auto">
                            <a:xfrm>
                              <a:off x="8573" y="680"/>
                              <a:ext cx="124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Line 145"/>
                          <wps:cNvCnPr/>
                          <wps:spPr bwMode="auto">
                            <a:xfrm>
                              <a:off x="10" y="933"/>
                              <a:ext cx="602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 name="Rectangle 146"/>
                          <wps:cNvSpPr>
                            <a:spLocks noChangeArrowheads="1"/>
                          </wps:cNvSpPr>
                          <wps:spPr bwMode="auto">
                            <a:xfrm>
                              <a:off x="10" y="933"/>
                              <a:ext cx="602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Line 147"/>
                          <wps:cNvCnPr/>
                          <wps:spPr bwMode="auto">
                            <a:xfrm>
                              <a:off x="6054" y="933"/>
                              <a:ext cx="12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 name="Rectangle 148"/>
                          <wps:cNvSpPr>
                            <a:spLocks noChangeArrowheads="1"/>
                          </wps:cNvSpPr>
                          <wps:spPr bwMode="auto">
                            <a:xfrm>
                              <a:off x="6054" y="933"/>
                              <a:ext cx="124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Line 149"/>
                          <wps:cNvCnPr/>
                          <wps:spPr bwMode="auto">
                            <a:xfrm>
                              <a:off x="7314" y="933"/>
                              <a:ext cx="123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 name="Rectangle 150"/>
                          <wps:cNvSpPr>
                            <a:spLocks noChangeArrowheads="1"/>
                          </wps:cNvSpPr>
                          <wps:spPr bwMode="auto">
                            <a:xfrm>
                              <a:off x="7314" y="933"/>
                              <a:ext cx="123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Line 151"/>
                          <wps:cNvCnPr/>
                          <wps:spPr bwMode="auto">
                            <a:xfrm>
                              <a:off x="8573" y="933"/>
                              <a:ext cx="12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9" name="Rectangle 152"/>
                          <wps:cNvSpPr>
                            <a:spLocks noChangeArrowheads="1"/>
                          </wps:cNvSpPr>
                          <wps:spPr bwMode="auto">
                            <a:xfrm>
                              <a:off x="8573" y="933"/>
                              <a:ext cx="124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Line 153"/>
                          <wps:cNvCnPr/>
                          <wps:spPr bwMode="auto">
                            <a:xfrm>
                              <a:off x="10" y="1156"/>
                              <a:ext cx="602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1" name="Rectangle 154"/>
                          <wps:cNvSpPr>
                            <a:spLocks noChangeArrowheads="1"/>
                          </wps:cNvSpPr>
                          <wps:spPr bwMode="auto">
                            <a:xfrm>
                              <a:off x="10" y="1156"/>
                              <a:ext cx="6024"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Line 155"/>
                          <wps:cNvCnPr/>
                          <wps:spPr bwMode="auto">
                            <a:xfrm>
                              <a:off x="6054" y="1156"/>
                              <a:ext cx="12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3" name="Rectangle 156"/>
                          <wps:cNvSpPr>
                            <a:spLocks noChangeArrowheads="1"/>
                          </wps:cNvSpPr>
                          <wps:spPr bwMode="auto">
                            <a:xfrm>
                              <a:off x="6054" y="1156"/>
                              <a:ext cx="1240"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Line 157"/>
                          <wps:cNvCnPr/>
                          <wps:spPr bwMode="auto">
                            <a:xfrm>
                              <a:off x="7314" y="1156"/>
                              <a:ext cx="123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5" name="Rectangle 158"/>
                          <wps:cNvSpPr>
                            <a:spLocks noChangeArrowheads="1"/>
                          </wps:cNvSpPr>
                          <wps:spPr bwMode="auto">
                            <a:xfrm>
                              <a:off x="7314" y="1156"/>
                              <a:ext cx="1239"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Line 159"/>
                          <wps:cNvCnPr/>
                          <wps:spPr bwMode="auto">
                            <a:xfrm>
                              <a:off x="8573" y="1156"/>
                              <a:ext cx="12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7" name="Rectangle 160"/>
                          <wps:cNvSpPr>
                            <a:spLocks noChangeArrowheads="1"/>
                          </wps:cNvSpPr>
                          <wps:spPr bwMode="auto">
                            <a:xfrm>
                              <a:off x="8573" y="1156"/>
                              <a:ext cx="1240"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Line 161"/>
                          <wps:cNvCnPr/>
                          <wps:spPr bwMode="auto">
                            <a:xfrm>
                              <a:off x="10" y="1369"/>
                              <a:ext cx="602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9" name="Rectangle 162"/>
                          <wps:cNvSpPr>
                            <a:spLocks noChangeArrowheads="1"/>
                          </wps:cNvSpPr>
                          <wps:spPr bwMode="auto">
                            <a:xfrm>
                              <a:off x="10" y="1369"/>
                              <a:ext cx="6024"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Line 163"/>
                          <wps:cNvCnPr/>
                          <wps:spPr bwMode="auto">
                            <a:xfrm>
                              <a:off x="6054" y="1369"/>
                              <a:ext cx="12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1" name="Rectangle 164"/>
                          <wps:cNvSpPr>
                            <a:spLocks noChangeArrowheads="1"/>
                          </wps:cNvSpPr>
                          <wps:spPr bwMode="auto">
                            <a:xfrm>
                              <a:off x="6054" y="1369"/>
                              <a:ext cx="1240"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Line 165"/>
                          <wps:cNvCnPr/>
                          <wps:spPr bwMode="auto">
                            <a:xfrm>
                              <a:off x="7314" y="1369"/>
                              <a:ext cx="123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3" name="Rectangle 166"/>
                          <wps:cNvSpPr>
                            <a:spLocks noChangeArrowheads="1"/>
                          </wps:cNvSpPr>
                          <wps:spPr bwMode="auto">
                            <a:xfrm>
                              <a:off x="7314" y="1369"/>
                              <a:ext cx="1239"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Line 167"/>
                          <wps:cNvCnPr/>
                          <wps:spPr bwMode="auto">
                            <a:xfrm>
                              <a:off x="8573" y="1369"/>
                              <a:ext cx="12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5" name="Rectangle 168"/>
                          <wps:cNvSpPr>
                            <a:spLocks noChangeArrowheads="1"/>
                          </wps:cNvSpPr>
                          <wps:spPr bwMode="auto">
                            <a:xfrm>
                              <a:off x="8573" y="1369"/>
                              <a:ext cx="1240"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Line 169"/>
                          <wps:cNvCnPr/>
                          <wps:spPr bwMode="auto">
                            <a:xfrm>
                              <a:off x="10" y="1582"/>
                              <a:ext cx="602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7" name="Rectangle 170"/>
                          <wps:cNvSpPr>
                            <a:spLocks noChangeArrowheads="1"/>
                          </wps:cNvSpPr>
                          <wps:spPr bwMode="auto">
                            <a:xfrm>
                              <a:off x="10" y="1582"/>
                              <a:ext cx="6024"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Line 171"/>
                          <wps:cNvCnPr/>
                          <wps:spPr bwMode="auto">
                            <a:xfrm>
                              <a:off x="6054" y="1582"/>
                              <a:ext cx="12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9" name="Rectangle 172"/>
                          <wps:cNvSpPr>
                            <a:spLocks noChangeArrowheads="1"/>
                          </wps:cNvSpPr>
                          <wps:spPr bwMode="auto">
                            <a:xfrm>
                              <a:off x="6054" y="1582"/>
                              <a:ext cx="1240"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Line 173"/>
                          <wps:cNvCnPr/>
                          <wps:spPr bwMode="auto">
                            <a:xfrm>
                              <a:off x="7314" y="1582"/>
                              <a:ext cx="123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1" name="Rectangle 174"/>
                          <wps:cNvSpPr>
                            <a:spLocks noChangeArrowheads="1"/>
                          </wps:cNvSpPr>
                          <wps:spPr bwMode="auto">
                            <a:xfrm>
                              <a:off x="7314" y="1582"/>
                              <a:ext cx="1239"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Line 175"/>
                          <wps:cNvCnPr/>
                          <wps:spPr bwMode="auto">
                            <a:xfrm>
                              <a:off x="8573" y="1582"/>
                              <a:ext cx="12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3" name="Rectangle 176"/>
                          <wps:cNvSpPr>
                            <a:spLocks noChangeArrowheads="1"/>
                          </wps:cNvSpPr>
                          <wps:spPr bwMode="auto">
                            <a:xfrm>
                              <a:off x="8573" y="1582"/>
                              <a:ext cx="1240"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Line 177"/>
                          <wps:cNvCnPr/>
                          <wps:spPr bwMode="auto">
                            <a:xfrm>
                              <a:off x="10" y="1795"/>
                              <a:ext cx="602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5" name="Rectangle 178"/>
                          <wps:cNvSpPr>
                            <a:spLocks noChangeArrowheads="1"/>
                          </wps:cNvSpPr>
                          <wps:spPr bwMode="auto">
                            <a:xfrm>
                              <a:off x="10" y="1795"/>
                              <a:ext cx="6024"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Line 179"/>
                          <wps:cNvCnPr/>
                          <wps:spPr bwMode="auto">
                            <a:xfrm>
                              <a:off x="6054" y="1795"/>
                              <a:ext cx="12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7" name="Rectangle 180"/>
                          <wps:cNvSpPr>
                            <a:spLocks noChangeArrowheads="1"/>
                          </wps:cNvSpPr>
                          <wps:spPr bwMode="auto">
                            <a:xfrm>
                              <a:off x="6054" y="1795"/>
                              <a:ext cx="1240"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Line 181"/>
                          <wps:cNvCnPr/>
                          <wps:spPr bwMode="auto">
                            <a:xfrm>
                              <a:off x="7314" y="1795"/>
                              <a:ext cx="123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9" name="Rectangle 182"/>
                          <wps:cNvSpPr>
                            <a:spLocks noChangeArrowheads="1"/>
                          </wps:cNvSpPr>
                          <wps:spPr bwMode="auto">
                            <a:xfrm>
                              <a:off x="7314" y="1795"/>
                              <a:ext cx="1239"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Line 183"/>
                          <wps:cNvCnPr/>
                          <wps:spPr bwMode="auto">
                            <a:xfrm>
                              <a:off x="8573" y="1795"/>
                              <a:ext cx="12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1" name="Rectangle 184"/>
                          <wps:cNvSpPr>
                            <a:spLocks noChangeArrowheads="1"/>
                          </wps:cNvSpPr>
                          <wps:spPr bwMode="auto">
                            <a:xfrm>
                              <a:off x="8573" y="1795"/>
                              <a:ext cx="1240"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Line 185"/>
                          <wps:cNvCnPr/>
                          <wps:spPr bwMode="auto">
                            <a:xfrm>
                              <a:off x="10" y="2008"/>
                              <a:ext cx="602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 name="Rectangle 186"/>
                          <wps:cNvSpPr>
                            <a:spLocks noChangeArrowheads="1"/>
                          </wps:cNvSpPr>
                          <wps:spPr bwMode="auto">
                            <a:xfrm>
                              <a:off x="10" y="2008"/>
                              <a:ext cx="6024"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Line 187"/>
                          <wps:cNvCnPr/>
                          <wps:spPr bwMode="auto">
                            <a:xfrm>
                              <a:off x="6054" y="2008"/>
                              <a:ext cx="12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5" name="Rectangle 188"/>
                          <wps:cNvSpPr>
                            <a:spLocks noChangeArrowheads="1"/>
                          </wps:cNvSpPr>
                          <wps:spPr bwMode="auto">
                            <a:xfrm>
                              <a:off x="6054" y="2008"/>
                              <a:ext cx="1240"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Line 189"/>
                          <wps:cNvCnPr/>
                          <wps:spPr bwMode="auto">
                            <a:xfrm>
                              <a:off x="7314" y="2008"/>
                              <a:ext cx="123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7" name="Rectangle 190"/>
                          <wps:cNvSpPr>
                            <a:spLocks noChangeArrowheads="1"/>
                          </wps:cNvSpPr>
                          <wps:spPr bwMode="auto">
                            <a:xfrm>
                              <a:off x="7314" y="2008"/>
                              <a:ext cx="1239"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Line 191"/>
                          <wps:cNvCnPr/>
                          <wps:spPr bwMode="auto">
                            <a:xfrm>
                              <a:off x="8573" y="2008"/>
                              <a:ext cx="12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9" name="Rectangle 192"/>
                          <wps:cNvSpPr>
                            <a:spLocks noChangeArrowheads="1"/>
                          </wps:cNvSpPr>
                          <wps:spPr bwMode="auto">
                            <a:xfrm>
                              <a:off x="8573" y="2008"/>
                              <a:ext cx="1240"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Line 193"/>
                          <wps:cNvCnPr/>
                          <wps:spPr bwMode="auto">
                            <a:xfrm>
                              <a:off x="10" y="2414"/>
                              <a:ext cx="602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1" name="Rectangle 194"/>
                          <wps:cNvSpPr>
                            <a:spLocks noChangeArrowheads="1"/>
                          </wps:cNvSpPr>
                          <wps:spPr bwMode="auto">
                            <a:xfrm>
                              <a:off x="10" y="2414"/>
                              <a:ext cx="602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Line 195"/>
                          <wps:cNvCnPr/>
                          <wps:spPr bwMode="auto">
                            <a:xfrm>
                              <a:off x="6054" y="2414"/>
                              <a:ext cx="12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3" name="Rectangle 196"/>
                          <wps:cNvSpPr>
                            <a:spLocks noChangeArrowheads="1"/>
                          </wps:cNvSpPr>
                          <wps:spPr bwMode="auto">
                            <a:xfrm>
                              <a:off x="6054" y="2414"/>
                              <a:ext cx="124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Line 197"/>
                          <wps:cNvCnPr/>
                          <wps:spPr bwMode="auto">
                            <a:xfrm>
                              <a:off x="7314" y="2414"/>
                              <a:ext cx="123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5" name="Rectangle 198"/>
                          <wps:cNvSpPr>
                            <a:spLocks noChangeArrowheads="1"/>
                          </wps:cNvSpPr>
                          <wps:spPr bwMode="auto">
                            <a:xfrm>
                              <a:off x="7314" y="2414"/>
                              <a:ext cx="123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Line 199"/>
                          <wps:cNvCnPr/>
                          <wps:spPr bwMode="auto">
                            <a:xfrm>
                              <a:off x="8573" y="2414"/>
                              <a:ext cx="12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7" name="Rectangle 200"/>
                          <wps:cNvSpPr>
                            <a:spLocks noChangeArrowheads="1"/>
                          </wps:cNvSpPr>
                          <wps:spPr bwMode="auto">
                            <a:xfrm>
                              <a:off x="8573" y="2414"/>
                              <a:ext cx="124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Line 201"/>
                          <wps:cNvCnPr/>
                          <wps:spPr bwMode="auto">
                            <a:xfrm>
                              <a:off x="10" y="2627"/>
                              <a:ext cx="602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9" name="Rectangle 202"/>
                          <wps:cNvSpPr>
                            <a:spLocks noChangeArrowheads="1"/>
                          </wps:cNvSpPr>
                          <wps:spPr bwMode="auto">
                            <a:xfrm>
                              <a:off x="10" y="2627"/>
                              <a:ext cx="602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Line 203"/>
                          <wps:cNvCnPr/>
                          <wps:spPr bwMode="auto">
                            <a:xfrm>
                              <a:off x="6054" y="2627"/>
                              <a:ext cx="12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 name="Rectangle 204"/>
                          <wps:cNvSpPr>
                            <a:spLocks noChangeArrowheads="1"/>
                          </wps:cNvSpPr>
                          <wps:spPr bwMode="auto">
                            <a:xfrm>
                              <a:off x="6054" y="2627"/>
                              <a:ext cx="124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Line 205"/>
                          <wps:cNvCnPr/>
                          <wps:spPr bwMode="auto">
                            <a:xfrm>
                              <a:off x="7314" y="2627"/>
                              <a:ext cx="123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 name="Rectangle 206"/>
                          <wps:cNvSpPr>
                            <a:spLocks noChangeArrowheads="1"/>
                          </wps:cNvSpPr>
                          <wps:spPr bwMode="auto">
                            <a:xfrm>
                              <a:off x="7314" y="2627"/>
                              <a:ext cx="123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Line 207"/>
                          <wps:cNvCnPr/>
                          <wps:spPr bwMode="auto">
                            <a:xfrm>
                              <a:off x="8573" y="2627"/>
                              <a:ext cx="12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5" name="Rectangle 208"/>
                          <wps:cNvSpPr>
                            <a:spLocks noChangeArrowheads="1"/>
                          </wps:cNvSpPr>
                          <wps:spPr bwMode="auto">
                            <a:xfrm>
                              <a:off x="8573" y="2627"/>
                              <a:ext cx="124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556" name="Line 209"/>
                        <wps:cNvCnPr/>
                        <wps:spPr bwMode="auto">
                          <a:xfrm>
                            <a:off x="12700" y="1803439"/>
                            <a:ext cx="457806" cy="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57" name="Rectangle 210"/>
                        <wps:cNvSpPr>
                          <a:spLocks noChangeArrowheads="1"/>
                        </wps:cNvSpPr>
                        <wps:spPr bwMode="auto">
                          <a:xfrm>
                            <a:off x="12700" y="1803439"/>
                            <a:ext cx="457806" cy="63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Line 211"/>
                        <wps:cNvCnPr/>
                        <wps:spPr bwMode="auto">
                          <a:xfrm>
                            <a:off x="477506" y="1803439"/>
                            <a:ext cx="336044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 name="Rectangle 212"/>
                        <wps:cNvSpPr>
                          <a:spLocks noChangeArrowheads="1"/>
                        </wps:cNvSpPr>
                        <wps:spPr bwMode="auto">
                          <a:xfrm>
                            <a:off x="477506" y="1803439"/>
                            <a:ext cx="3360441" cy="6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Line 213"/>
                        <wps:cNvCnPr/>
                        <wps:spPr bwMode="auto">
                          <a:xfrm>
                            <a:off x="3850648" y="1803439"/>
                            <a:ext cx="7874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 name="Rectangle 214"/>
                        <wps:cNvSpPr>
                          <a:spLocks noChangeArrowheads="1"/>
                        </wps:cNvSpPr>
                        <wps:spPr bwMode="auto">
                          <a:xfrm>
                            <a:off x="3850648" y="1803439"/>
                            <a:ext cx="787410" cy="6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Line 215"/>
                        <wps:cNvCnPr/>
                        <wps:spPr bwMode="auto">
                          <a:xfrm>
                            <a:off x="4650757" y="1803439"/>
                            <a:ext cx="7868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 name="Rectangle 216"/>
                        <wps:cNvSpPr>
                          <a:spLocks noChangeArrowheads="1"/>
                        </wps:cNvSpPr>
                        <wps:spPr bwMode="auto">
                          <a:xfrm>
                            <a:off x="4650757" y="1803439"/>
                            <a:ext cx="786810" cy="6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Line 217"/>
                        <wps:cNvCnPr/>
                        <wps:spPr bwMode="auto">
                          <a:xfrm>
                            <a:off x="5450267" y="1803439"/>
                            <a:ext cx="7874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5" name="Rectangle 218"/>
                        <wps:cNvSpPr>
                          <a:spLocks noChangeArrowheads="1"/>
                        </wps:cNvSpPr>
                        <wps:spPr bwMode="auto">
                          <a:xfrm>
                            <a:off x="5450267" y="1803439"/>
                            <a:ext cx="787410" cy="6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Line 219"/>
                        <wps:cNvCnPr/>
                        <wps:spPr bwMode="auto">
                          <a:xfrm>
                            <a:off x="12700" y="2087245"/>
                            <a:ext cx="382524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7" name="Rectangle 220"/>
                        <wps:cNvSpPr>
                          <a:spLocks noChangeArrowheads="1"/>
                        </wps:cNvSpPr>
                        <wps:spPr bwMode="auto">
                          <a:xfrm>
                            <a:off x="12700" y="2087245"/>
                            <a:ext cx="3825247" cy="6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Line 221"/>
                        <wps:cNvCnPr/>
                        <wps:spPr bwMode="auto">
                          <a:xfrm>
                            <a:off x="3850648" y="2087245"/>
                            <a:ext cx="7874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 name="Rectangle 222"/>
                        <wps:cNvSpPr>
                          <a:spLocks noChangeArrowheads="1"/>
                        </wps:cNvSpPr>
                        <wps:spPr bwMode="auto">
                          <a:xfrm>
                            <a:off x="3850648" y="2087245"/>
                            <a:ext cx="787410" cy="6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Line 223"/>
                        <wps:cNvCnPr/>
                        <wps:spPr bwMode="auto">
                          <a:xfrm>
                            <a:off x="4650757" y="2087245"/>
                            <a:ext cx="7868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1" name="Rectangle 224"/>
                        <wps:cNvSpPr>
                          <a:spLocks noChangeArrowheads="1"/>
                        </wps:cNvSpPr>
                        <wps:spPr bwMode="auto">
                          <a:xfrm>
                            <a:off x="4650757" y="2087245"/>
                            <a:ext cx="786810" cy="6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Line 225"/>
                        <wps:cNvCnPr/>
                        <wps:spPr bwMode="auto">
                          <a:xfrm>
                            <a:off x="5450267" y="2087245"/>
                            <a:ext cx="7874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 name="Rectangle 226"/>
                        <wps:cNvSpPr>
                          <a:spLocks noChangeArrowheads="1"/>
                        </wps:cNvSpPr>
                        <wps:spPr bwMode="auto">
                          <a:xfrm>
                            <a:off x="5450267" y="2087245"/>
                            <a:ext cx="787410" cy="6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Line 227"/>
                        <wps:cNvCnPr/>
                        <wps:spPr bwMode="auto">
                          <a:xfrm>
                            <a:off x="470506" y="276806"/>
                            <a:ext cx="0" cy="19907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 name="Rectangle 228"/>
                        <wps:cNvSpPr>
                          <a:spLocks noChangeArrowheads="1"/>
                        </wps:cNvSpPr>
                        <wps:spPr bwMode="auto">
                          <a:xfrm>
                            <a:off x="470506" y="276806"/>
                            <a:ext cx="7000" cy="19907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Line 229"/>
                        <wps:cNvCnPr/>
                        <wps:spPr bwMode="auto">
                          <a:xfrm>
                            <a:off x="3121639" y="276806"/>
                            <a:ext cx="0" cy="19907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7" name="Rectangle 230"/>
                        <wps:cNvSpPr>
                          <a:spLocks noChangeArrowheads="1"/>
                        </wps:cNvSpPr>
                        <wps:spPr bwMode="auto">
                          <a:xfrm>
                            <a:off x="3121639" y="276806"/>
                            <a:ext cx="7000" cy="19907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Rectangle 231"/>
                        <wps:cNvSpPr>
                          <a:spLocks noChangeArrowheads="1"/>
                        </wps:cNvSpPr>
                        <wps:spPr bwMode="auto">
                          <a:xfrm>
                            <a:off x="3837947" y="276806"/>
                            <a:ext cx="12700" cy="20034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Rectangle 232"/>
                        <wps:cNvSpPr>
                          <a:spLocks noChangeArrowheads="1"/>
                        </wps:cNvSpPr>
                        <wps:spPr bwMode="auto">
                          <a:xfrm>
                            <a:off x="4638057" y="276806"/>
                            <a:ext cx="12700" cy="20034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Rectangle 233"/>
                        <wps:cNvSpPr>
                          <a:spLocks noChangeArrowheads="1"/>
                        </wps:cNvSpPr>
                        <wps:spPr bwMode="auto">
                          <a:xfrm>
                            <a:off x="5437567" y="276806"/>
                            <a:ext cx="12700" cy="20034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Rectangle 234"/>
                        <wps:cNvSpPr>
                          <a:spLocks noChangeArrowheads="1"/>
                        </wps:cNvSpPr>
                        <wps:spPr bwMode="auto">
                          <a:xfrm>
                            <a:off x="12700" y="2267549"/>
                            <a:ext cx="6237677"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Rectangle 235"/>
                        <wps:cNvSpPr>
                          <a:spLocks noChangeArrowheads="1"/>
                        </wps:cNvSpPr>
                        <wps:spPr bwMode="auto">
                          <a:xfrm>
                            <a:off x="6237677" y="276806"/>
                            <a:ext cx="12700" cy="20034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Line 236"/>
                        <wps:cNvCnPr/>
                        <wps:spPr bwMode="auto">
                          <a:xfrm>
                            <a:off x="470506" y="2280249"/>
                            <a:ext cx="0" cy="128903"/>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84" name="Rectangle 237"/>
                        <wps:cNvSpPr>
                          <a:spLocks noChangeArrowheads="1"/>
                        </wps:cNvSpPr>
                        <wps:spPr bwMode="auto">
                          <a:xfrm>
                            <a:off x="470506" y="2280249"/>
                            <a:ext cx="7000" cy="12890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Rectangle 238"/>
                        <wps:cNvSpPr>
                          <a:spLocks noChangeArrowheads="1"/>
                        </wps:cNvSpPr>
                        <wps:spPr bwMode="auto">
                          <a:xfrm>
                            <a:off x="12700" y="2409152"/>
                            <a:ext cx="6237677"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Rectangle 239"/>
                        <wps:cNvSpPr>
                          <a:spLocks noChangeArrowheads="1"/>
                        </wps:cNvSpPr>
                        <wps:spPr bwMode="auto">
                          <a:xfrm>
                            <a:off x="12700" y="2569856"/>
                            <a:ext cx="6237677" cy="13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Rectangle 240"/>
                        <wps:cNvSpPr>
                          <a:spLocks noChangeArrowheads="1"/>
                        </wps:cNvSpPr>
                        <wps:spPr bwMode="auto">
                          <a:xfrm>
                            <a:off x="0" y="264106"/>
                            <a:ext cx="12700" cy="26924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Rectangle 241"/>
                        <wps:cNvSpPr>
                          <a:spLocks noChangeArrowheads="1"/>
                        </wps:cNvSpPr>
                        <wps:spPr bwMode="auto">
                          <a:xfrm>
                            <a:off x="464106" y="2421853"/>
                            <a:ext cx="13400" cy="5347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Rectangle 242"/>
                        <wps:cNvSpPr>
                          <a:spLocks noChangeArrowheads="1"/>
                        </wps:cNvSpPr>
                        <wps:spPr bwMode="auto">
                          <a:xfrm>
                            <a:off x="3115338" y="2421853"/>
                            <a:ext cx="13300" cy="5347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Rectangle 243"/>
                        <wps:cNvSpPr>
                          <a:spLocks noChangeArrowheads="1"/>
                        </wps:cNvSpPr>
                        <wps:spPr bwMode="auto">
                          <a:xfrm>
                            <a:off x="3837947" y="2421853"/>
                            <a:ext cx="12700" cy="5347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Rectangle 244"/>
                        <wps:cNvSpPr>
                          <a:spLocks noChangeArrowheads="1"/>
                        </wps:cNvSpPr>
                        <wps:spPr bwMode="auto">
                          <a:xfrm>
                            <a:off x="4638057" y="2421853"/>
                            <a:ext cx="12700" cy="5347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Rectangle 245"/>
                        <wps:cNvSpPr>
                          <a:spLocks noChangeArrowheads="1"/>
                        </wps:cNvSpPr>
                        <wps:spPr bwMode="auto">
                          <a:xfrm>
                            <a:off x="5437567" y="2421853"/>
                            <a:ext cx="12700" cy="5347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246"/>
                        <wps:cNvSpPr>
                          <a:spLocks noChangeArrowheads="1"/>
                        </wps:cNvSpPr>
                        <wps:spPr bwMode="auto">
                          <a:xfrm>
                            <a:off x="12700" y="2943864"/>
                            <a:ext cx="6237677"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Rectangle 247"/>
                        <wps:cNvSpPr>
                          <a:spLocks noChangeArrowheads="1"/>
                        </wps:cNvSpPr>
                        <wps:spPr bwMode="auto">
                          <a:xfrm>
                            <a:off x="6237677" y="2421853"/>
                            <a:ext cx="12700" cy="5347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Line 248"/>
                        <wps:cNvCnPr/>
                        <wps:spPr bwMode="auto">
                          <a:xfrm>
                            <a:off x="6300" y="2956564"/>
                            <a:ext cx="600" cy="264206"/>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96" name="Rectangle 249"/>
                        <wps:cNvSpPr>
                          <a:spLocks noChangeArrowheads="1"/>
                        </wps:cNvSpPr>
                        <wps:spPr bwMode="auto">
                          <a:xfrm>
                            <a:off x="6300" y="2956564"/>
                            <a:ext cx="6400" cy="2705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Line 250"/>
                        <wps:cNvCnPr/>
                        <wps:spPr bwMode="auto">
                          <a:xfrm>
                            <a:off x="470506" y="2956564"/>
                            <a:ext cx="0" cy="128903"/>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98" name="Rectangle 251"/>
                        <wps:cNvSpPr>
                          <a:spLocks noChangeArrowheads="1"/>
                        </wps:cNvSpPr>
                        <wps:spPr bwMode="auto">
                          <a:xfrm>
                            <a:off x="470506" y="2956564"/>
                            <a:ext cx="7000" cy="12890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Line 252"/>
                        <wps:cNvCnPr/>
                        <wps:spPr bwMode="auto">
                          <a:xfrm>
                            <a:off x="3121639" y="2956564"/>
                            <a:ext cx="600" cy="264206"/>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600" name="Rectangle 253"/>
                        <wps:cNvSpPr>
                          <a:spLocks noChangeArrowheads="1"/>
                        </wps:cNvSpPr>
                        <wps:spPr bwMode="auto">
                          <a:xfrm>
                            <a:off x="3121639" y="2956564"/>
                            <a:ext cx="7000" cy="2705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Line 254"/>
                        <wps:cNvCnPr/>
                        <wps:spPr bwMode="auto">
                          <a:xfrm>
                            <a:off x="3844247" y="2956564"/>
                            <a:ext cx="700" cy="264206"/>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602" name="Rectangle 255"/>
                        <wps:cNvSpPr>
                          <a:spLocks noChangeArrowheads="1"/>
                        </wps:cNvSpPr>
                        <wps:spPr bwMode="auto">
                          <a:xfrm>
                            <a:off x="3844247" y="2956564"/>
                            <a:ext cx="6400" cy="2705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Line 256"/>
                        <wps:cNvCnPr/>
                        <wps:spPr bwMode="auto">
                          <a:xfrm>
                            <a:off x="4644357" y="2956564"/>
                            <a:ext cx="700" cy="264206"/>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604" name="Rectangle 257"/>
                        <wps:cNvSpPr>
                          <a:spLocks noChangeArrowheads="1"/>
                        </wps:cNvSpPr>
                        <wps:spPr bwMode="auto">
                          <a:xfrm>
                            <a:off x="4644357" y="2956564"/>
                            <a:ext cx="6400" cy="2705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Line 258"/>
                        <wps:cNvCnPr/>
                        <wps:spPr bwMode="auto">
                          <a:xfrm>
                            <a:off x="5443867" y="2956564"/>
                            <a:ext cx="600" cy="264206"/>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606" name="Rectangle 259"/>
                        <wps:cNvSpPr>
                          <a:spLocks noChangeArrowheads="1"/>
                        </wps:cNvSpPr>
                        <wps:spPr bwMode="auto">
                          <a:xfrm>
                            <a:off x="5443867" y="2956564"/>
                            <a:ext cx="6400" cy="2705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Line 260"/>
                        <wps:cNvCnPr/>
                        <wps:spPr bwMode="auto">
                          <a:xfrm>
                            <a:off x="6243977" y="2956564"/>
                            <a:ext cx="600" cy="264206"/>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608" name="Rectangle 261"/>
                        <wps:cNvSpPr>
                          <a:spLocks noChangeArrowheads="1"/>
                        </wps:cNvSpPr>
                        <wps:spPr bwMode="auto">
                          <a:xfrm>
                            <a:off x="6243977" y="2956564"/>
                            <a:ext cx="6400" cy="2705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Line 262"/>
                        <wps:cNvCnPr/>
                        <wps:spPr bwMode="auto">
                          <a:xfrm>
                            <a:off x="6300" y="0"/>
                            <a:ext cx="6244077"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610" name="Rectangle 263"/>
                        <wps:cNvSpPr>
                          <a:spLocks noChangeArrowheads="1"/>
                        </wps:cNvSpPr>
                        <wps:spPr bwMode="auto">
                          <a:xfrm>
                            <a:off x="6300" y="0"/>
                            <a:ext cx="6250377" cy="63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 name="Line 264"/>
                        <wps:cNvCnPr/>
                        <wps:spPr bwMode="auto">
                          <a:xfrm>
                            <a:off x="6300" y="135203"/>
                            <a:ext cx="6244077"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612" name="Rectangle 265"/>
                        <wps:cNvSpPr>
                          <a:spLocks noChangeArrowheads="1"/>
                        </wps:cNvSpPr>
                        <wps:spPr bwMode="auto">
                          <a:xfrm>
                            <a:off x="6300" y="135203"/>
                            <a:ext cx="6250377" cy="64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Line 266"/>
                        <wps:cNvCnPr/>
                        <wps:spPr bwMode="auto">
                          <a:xfrm>
                            <a:off x="6250377" y="270506"/>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614" name="Rectangle 267"/>
                        <wps:cNvSpPr>
                          <a:spLocks noChangeArrowheads="1"/>
                        </wps:cNvSpPr>
                        <wps:spPr bwMode="auto">
                          <a:xfrm>
                            <a:off x="6250377" y="270506"/>
                            <a:ext cx="6300" cy="63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Line 268"/>
                        <wps:cNvCnPr/>
                        <wps:spPr bwMode="auto">
                          <a:xfrm>
                            <a:off x="6250377" y="431809"/>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616" name="Rectangle 269"/>
                        <wps:cNvSpPr>
                          <a:spLocks noChangeArrowheads="1"/>
                        </wps:cNvSpPr>
                        <wps:spPr bwMode="auto">
                          <a:xfrm>
                            <a:off x="6250377" y="431809"/>
                            <a:ext cx="6300" cy="63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 name="Line 270"/>
                        <wps:cNvCnPr/>
                        <wps:spPr bwMode="auto">
                          <a:xfrm>
                            <a:off x="6250377" y="592413"/>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618" name="Rectangle 271"/>
                        <wps:cNvSpPr>
                          <a:spLocks noChangeArrowheads="1"/>
                        </wps:cNvSpPr>
                        <wps:spPr bwMode="auto">
                          <a:xfrm>
                            <a:off x="6250377" y="592413"/>
                            <a:ext cx="6300" cy="64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 name="Line 272"/>
                        <wps:cNvCnPr/>
                        <wps:spPr bwMode="auto">
                          <a:xfrm>
                            <a:off x="6250377" y="734016"/>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620" name="Rectangle 273"/>
                        <wps:cNvSpPr>
                          <a:spLocks noChangeArrowheads="1"/>
                        </wps:cNvSpPr>
                        <wps:spPr bwMode="auto">
                          <a:xfrm>
                            <a:off x="6250377" y="734016"/>
                            <a:ext cx="6300" cy="70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 name="Line 274"/>
                        <wps:cNvCnPr/>
                        <wps:spPr bwMode="auto">
                          <a:xfrm>
                            <a:off x="6250377" y="869319"/>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622" name="Rectangle 275"/>
                        <wps:cNvSpPr>
                          <a:spLocks noChangeArrowheads="1"/>
                        </wps:cNvSpPr>
                        <wps:spPr bwMode="auto">
                          <a:xfrm>
                            <a:off x="6250377" y="869319"/>
                            <a:ext cx="6300" cy="70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Line 276"/>
                        <wps:cNvCnPr/>
                        <wps:spPr bwMode="auto">
                          <a:xfrm>
                            <a:off x="6250377" y="1004522"/>
                            <a:ext cx="600" cy="7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624" name="Rectangle 277"/>
                        <wps:cNvSpPr>
                          <a:spLocks noChangeArrowheads="1"/>
                        </wps:cNvSpPr>
                        <wps:spPr bwMode="auto">
                          <a:xfrm>
                            <a:off x="6250377" y="1004522"/>
                            <a:ext cx="6300" cy="70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Line 278"/>
                        <wps:cNvCnPr/>
                        <wps:spPr bwMode="auto">
                          <a:xfrm>
                            <a:off x="6250377" y="1139825"/>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626" name="Rectangle 279"/>
                        <wps:cNvSpPr>
                          <a:spLocks noChangeArrowheads="1"/>
                        </wps:cNvSpPr>
                        <wps:spPr bwMode="auto">
                          <a:xfrm>
                            <a:off x="6250377" y="1139825"/>
                            <a:ext cx="6300" cy="70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 name="Line 280"/>
                        <wps:cNvCnPr/>
                        <wps:spPr bwMode="auto">
                          <a:xfrm>
                            <a:off x="6250377" y="1275028"/>
                            <a:ext cx="600" cy="7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628" name="Rectangle 281"/>
                        <wps:cNvSpPr>
                          <a:spLocks noChangeArrowheads="1"/>
                        </wps:cNvSpPr>
                        <wps:spPr bwMode="auto">
                          <a:xfrm>
                            <a:off x="6250377" y="1275028"/>
                            <a:ext cx="6300" cy="70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 name="Line 282"/>
                        <wps:cNvCnPr/>
                        <wps:spPr bwMode="auto">
                          <a:xfrm>
                            <a:off x="6250377" y="1532833"/>
                            <a:ext cx="600" cy="7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630" name="Rectangle 283"/>
                        <wps:cNvSpPr>
                          <a:spLocks noChangeArrowheads="1"/>
                        </wps:cNvSpPr>
                        <wps:spPr bwMode="auto">
                          <a:xfrm>
                            <a:off x="6250377" y="1532833"/>
                            <a:ext cx="6300" cy="64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Line 284"/>
                        <wps:cNvCnPr/>
                        <wps:spPr bwMode="auto">
                          <a:xfrm>
                            <a:off x="6250377" y="1668136"/>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632" name="Rectangle 285"/>
                        <wps:cNvSpPr>
                          <a:spLocks noChangeArrowheads="1"/>
                        </wps:cNvSpPr>
                        <wps:spPr bwMode="auto">
                          <a:xfrm>
                            <a:off x="6250377" y="1668136"/>
                            <a:ext cx="6300" cy="63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 name="Line 286"/>
                        <wps:cNvCnPr/>
                        <wps:spPr bwMode="auto">
                          <a:xfrm>
                            <a:off x="6250377" y="1803439"/>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634" name="Rectangle 287"/>
                        <wps:cNvSpPr>
                          <a:spLocks noChangeArrowheads="1"/>
                        </wps:cNvSpPr>
                        <wps:spPr bwMode="auto">
                          <a:xfrm>
                            <a:off x="6250377" y="1803439"/>
                            <a:ext cx="6300" cy="63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 name="Line 288"/>
                        <wps:cNvCnPr/>
                        <wps:spPr bwMode="auto">
                          <a:xfrm>
                            <a:off x="6250377" y="2087245"/>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636" name="Rectangle 289"/>
                        <wps:cNvSpPr>
                          <a:spLocks noChangeArrowheads="1"/>
                        </wps:cNvSpPr>
                        <wps:spPr bwMode="auto">
                          <a:xfrm>
                            <a:off x="6250377" y="2087245"/>
                            <a:ext cx="6300" cy="63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Line 290"/>
                        <wps:cNvCnPr/>
                        <wps:spPr bwMode="auto">
                          <a:xfrm>
                            <a:off x="6250377" y="2273949"/>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638" name="Rectangle 291"/>
                        <wps:cNvSpPr>
                          <a:spLocks noChangeArrowheads="1"/>
                        </wps:cNvSpPr>
                        <wps:spPr bwMode="auto">
                          <a:xfrm>
                            <a:off x="6250377" y="2273949"/>
                            <a:ext cx="6300" cy="63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 name="Line 292"/>
                        <wps:cNvCnPr/>
                        <wps:spPr bwMode="auto">
                          <a:xfrm>
                            <a:off x="6250377" y="2415552"/>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640" name="Rectangle 293"/>
                        <wps:cNvSpPr>
                          <a:spLocks noChangeArrowheads="1"/>
                        </wps:cNvSpPr>
                        <wps:spPr bwMode="auto">
                          <a:xfrm>
                            <a:off x="6250377" y="2415552"/>
                            <a:ext cx="6300" cy="63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Line 294"/>
                        <wps:cNvCnPr/>
                        <wps:spPr bwMode="auto">
                          <a:xfrm>
                            <a:off x="6250377" y="2576856"/>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642" name="Rectangle 295"/>
                        <wps:cNvSpPr>
                          <a:spLocks noChangeArrowheads="1"/>
                        </wps:cNvSpPr>
                        <wps:spPr bwMode="auto">
                          <a:xfrm>
                            <a:off x="6250377" y="2576856"/>
                            <a:ext cx="6300" cy="63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Line 296"/>
                        <wps:cNvCnPr/>
                        <wps:spPr bwMode="auto">
                          <a:xfrm>
                            <a:off x="6250377" y="2950264"/>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644" name="Rectangle 297"/>
                        <wps:cNvSpPr>
                          <a:spLocks noChangeArrowheads="1"/>
                        </wps:cNvSpPr>
                        <wps:spPr bwMode="auto">
                          <a:xfrm>
                            <a:off x="6250377" y="2950264"/>
                            <a:ext cx="6300" cy="63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 name="Line 298"/>
                        <wps:cNvCnPr/>
                        <wps:spPr bwMode="auto">
                          <a:xfrm>
                            <a:off x="6300" y="3079167"/>
                            <a:ext cx="6244077"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646" name="Rectangle 299"/>
                        <wps:cNvSpPr>
                          <a:spLocks noChangeArrowheads="1"/>
                        </wps:cNvSpPr>
                        <wps:spPr bwMode="auto">
                          <a:xfrm>
                            <a:off x="6300" y="3079167"/>
                            <a:ext cx="6250377" cy="63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 name="Line 300"/>
                        <wps:cNvCnPr/>
                        <wps:spPr bwMode="auto">
                          <a:xfrm>
                            <a:off x="6300" y="3214370"/>
                            <a:ext cx="6244077" cy="7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648" name="Rectangle 301"/>
                        <wps:cNvSpPr>
                          <a:spLocks noChangeArrowheads="1"/>
                        </wps:cNvSpPr>
                        <wps:spPr bwMode="auto">
                          <a:xfrm>
                            <a:off x="6300" y="3214370"/>
                            <a:ext cx="6250377" cy="64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Canvas 648" o:spid="_x0000_s1104" editas="canvas" style="width:510.4pt;height:254.1pt;mso-position-horizontal-relative:char;mso-position-vertical-relative:line" coordsize="64820,3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">
                <v:shape id="_x0000_s1105" type="#_x0000_t75" style="position:absolute;width:64820;height:32270;visibility:visible;mso-wrap-style:square">
                  <v:fill o:detectmouseclick="t"/>
                  <v:path o:connecttype="none"/>
                </v:shape>
                <v:group id="Group 8" o:spid="_x0000_s1106" style="position:absolute;left:63;width:64757;height:32200" coordsize="10198,5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rect id="Rectangle 9" o:spid="_x0000_s1107" style="position:absolute;left:4906;top:426;width:4927;height:2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nz8QA&#10;AADcAAAADwAAAGRycy9kb3ducmV2LnhtbESPT4vCMBTE78J+h/AWvGmyqxatRlkEQXA9+Ae8Pppn&#10;W2xeuk3U+u3NguBxmJnfMLNFaytxo8aXjjV89RUI4syZknMNx8OqNwbhA7LByjFpeJCHxfyjM8PU&#10;uDvv6LYPuYgQ9ilqKEKoUyl9VpBF33c1cfTOrrEYomxyaRq8R7it5LdSibRYclwosKZlQdllf7Ua&#10;MBmav+158HvYXBOc5K1ajU5K6+5n+zMFEagN7/CrvTYaBqMh/J+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E58/EAAAA3AAAAA8AAAAAAAAAAAAAAAAAmAIAAGRycy9k&#10;b3ducmV2LnhtbFBLBQYAAAAABAAEAPUAAACJAwAAAAA=&#10;" stroked="f"/>
                  <v:line id="Line 10" o:spid="_x0000_s1108" style="position:absolute;visibility:visible;mso-wrap-style:square" from="4917,2424" to="4967,2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y0lMcAAADcAAAADwAAAGRycy9kb3ducmV2LnhtbESPT0sDMRTE74LfITzBm822alu2TYtY&#10;xFo89B+F3h6b193FzcuSxOz22xtB8DjMzG+Y+bI3jYjkfG1ZwXCQgSAurK65VHA8vD1MQfiArLGx&#10;TAqu5GG5uL2ZY65txzuK+1CKBGGfo4IqhDaX0hcVGfQD2xIn72KdwZCkK6V22CW4aeQoy8bSYM1p&#10;ocKWXisqvvbfRsEojldr/PiM5/fN06rbungK14tS93f9ywxEoD78h//aa63g8Xk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fLSUxwAAANwAAAAPAAAAAAAA&#10;AAAAAAAAAKECAABkcnMvZG93bnJldi54bWxQSwUGAAAAAAQABAD5AAAAlQMAAAAA&#10;" strokecolor="green" strokeweight="0"/>
                  <v:rect id="Rectangle 11" o:spid="_x0000_s1109" style="position:absolute;left:4917;top:2424;width:50;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AX8sMA&#10;AADcAAAADwAAAGRycy9kb3ducmV2LnhtbERPy2rCQBTdF/yH4QrdFJ1oq4ToKCIG6qr4QtxdMtck&#10;mrkTMqOmfn1nUXB5OO/pvDWVuFPjSssKBv0IBHFmdcm5gv0u7cUgnEfWWFkmBb/kYD7rvE0x0fbB&#10;G7pvfS5CCLsEFRTe14mULivIoOvbmjhwZ9sY9AE2udQNPkK4qeQwisbSYMmhocCalgVl1+3NKCjj&#10;9OBH8dfPc5WuL2Z1/Dgd+abUe7ddTEB4av1L/O/+1go+R2FtOBOO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AX8sMAAADcAAAADwAAAAAAAAAAAAAAAACYAgAAZHJzL2Rv&#10;d25yZXYueG1sUEsFBgAAAAAEAAQA9QAAAIgDAAAAAA==&#10;" fillcolor="green" stroked="f"/>
                  <v:line id="Line 12" o:spid="_x0000_s1110" style="position:absolute;visibility:visible;mso-wrap-style:square" from="4917,2435" to="4957,2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FfccAAADcAAAADwAAAGRycy9kb3ducmV2LnhtbESPT0sDMRTE74LfITzBm822amm3TYtY&#10;xFo89B+F3h6b193FzcuSxOz22xtB8DjMzG+Y+bI3jYjkfG1ZwXCQgSAurK65VHA8vD1MQPiArLGx&#10;TAqu5GG5uL2ZY65txzuK+1CKBGGfo4IqhDaX0hcVGfQD2xIn72KdwZCkK6V22CW4aeQoy8bSYM1p&#10;ocKWXisqvvbfRsEojldr/PiM5/fN06rbungK14tS93f9ywxEoD78h//aa63g8XkK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r4V9xwAAANwAAAAPAAAAAAAA&#10;AAAAAAAAAKECAABkcnMvZG93bnJldi54bWxQSwUGAAAAAAQABAD5AAAAlQMAAAAA&#10;" strokecolor="green" strokeweight="0"/>
                  <v:rect id="Rectangle 13" o:spid="_x0000_s1111" style="position:absolute;left:4917;top:2435;width:4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rRScMA&#10;AADcAAAADwAAAGRycy9kb3ducmV2LnhtbERPy2rCQBTdF/yH4QrdFJ1oq4ToKCIG6qr4QtxdMtck&#10;mrkTMqOmfn1nUXB5OO/pvDWVuFPjSssKBv0IBHFmdcm5gv0u7cUgnEfWWFkmBb/kYD7rvE0x0fbB&#10;G7pvfS5CCLsEFRTe14mULivIoOvbmjhwZ9sY9AE2udQNPkK4qeQwisbSYMmhocCalgVl1+3NKCjj&#10;9OBH8dfPc5WuL2Z1/Dgd+abUe7ddTEB4av1L/O/+1go+x2F+OBOO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rRScMAAADcAAAADwAAAAAAAAAAAAAAAACYAgAAZHJzL2Rv&#10;d25yZXYueG1sUEsFBgAAAAAEAAQA9QAAAIgDAAAAAA==&#10;" fillcolor="green" stroked="f"/>
                  <v:line id="Line 14" o:spid="_x0000_s1112" style="position:absolute;visibility:visible;mso-wrap-style:square" from="4917,2445" to="4947,2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VDxsYAAADcAAAADwAAAGRycy9kb3ducmV2LnhtbESPQWsCMRSE7wX/Q3hCbzWrlkVWoxRF&#10;tKWHVkvB22Pz3F26eVmSNLv++6ZQ6HGYmW+Y1WYwrYjkfGNZwXSSgSAurW64UvBx3j8sQPiArLG1&#10;TApu5GGzHt2tsNC253eKp1CJBGFfoII6hK6Q0pc1GfQT2xEn72qdwZCkq6R22Ce4aeUsy3JpsOG0&#10;UGNH25rKr9O3UTCL+e6Iz6/xcnh53PVvLn6G21Wp+/HwtAQRaAj/4b/2USuY51P4PZOO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1Q8bGAAAA3AAAAA8AAAAAAAAA&#10;AAAAAAAAoQIAAGRycy9kb3ducmV2LnhtbFBLBQYAAAAABAAEAPkAAACUAwAAAAA=&#10;" strokecolor="green" strokeweight="0"/>
                  <v:rect id="Rectangle 15" o:spid="_x0000_s1113" style="position:absolute;left:4917;top:2445;width:3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qpccA&#10;AADcAAAADwAAAGRycy9kb3ducmV2LnhtbESPT2vCQBTE74V+h+UVvBTd+KcSoquIGLAn0Sri7ZF9&#10;Jmmzb0N21bSfvisIHoeZ+Q0znbemEldqXGlZQb8XgSDOrC45V7D/SrsxCOeRNVaWScEvOZjPXl+m&#10;mGh74y1ddz4XAcIuQQWF93UipcsKMuh6tiYO3tk2Bn2QTS51g7cAN5UcRNFYGiw5LBRY07Kg7Gd3&#10;MQrKOD34j3i0+Vuln99mdXw/HfmiVOetXUxAeGr9M/xor7WC4XgA9zPhCM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E6qXHAAAA3AAAAA8AAAAAAAAAAAAAAAAAmAIAAGRy&#10;cy9kb3ducmV2LnhtbFBLBQYAAAAABAAEAPUAAACMAwAAAAA=&#10;" fillcolor="green" stroked="f"/>
                  <v:line id="Line 16" o:spid="_x0000_s1114" style="position:absolute;visibility:visible;mso-wrap-style:square" from="4917,2455" to="4937,2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t4KsYAAADcAAAADwAAAGRycy9kb3ducmV2LnhtbESPQWsCMRSE74X+h/AKvdVstSxlNYpU&#10;RFs8tFYEb4/Nc3dx87IkaXb9941Q6HGYmW+Y2WIwrYjkfGNZwfMoA0FcWt1wpeDwvX56BeEDssbW&#10;Mim4kofF/P5uhoW2PX9R3IdKJAj7AhXUIXSFlL6syaAf2Y44eWfrDIYkXSW1wz7BTSvHWZZLgw2n&#10;hRo7equpvOx/jIJxzFdbfN/F0+bjZdV/ungM17NSjw/Dcgoi0BD+w3/trVYwySdwO5OO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reCrGAAAA3AAAAA8AAAAAAAAA&#10;AAAAAAAAoQIAAGRycy9kb3ducmV2LnhtbFBLBQYAAAAABAAEAPkAAACUAwAAAAA=&#10;" strokecolor="green" strokeweight="0"/>
                  <v:rect id="Rectangle 17" o:spid="_x0000_s1115" style="position:absolute;left:4917;top:2455;width:2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XSscA&#10;AADcAAAADwAAAGRycy9kb3ducmV2LnhtbESPT2vCQBTE74LfYXkFL1I3rX8IqauUYkBPolbE2yP7&#10;mqRm34bsqtFP3y0IHoeZ+Q0znbemEhdqXGlZwdsgAkGcWV1yruB7l77GIJxH1lhZJgU3cjCfdTtT&#10;TLS98oYuW5+LAGGXoILC+zqR0mUFGXQDWxMH78c2Bn2QTS51g9cAN5V8j6KJNFhyWCiwpq+CstP2&#10;bBSUcbr343i0vi/S1a9ZHPrHA5+V6r20nx8gPLX+GX60l1rBcDKC/zPh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h10rHAAAA3AAAAA8AAAAAAAAAAAAAAAAAmAIAAGRy&#10;cy9kb3ducmV2LnhtbFBLBQYAAAAABAAEAPUAAACMAwAAAAA=&#10;" fillcolor="green" stroked="f"/>
                  <v:line id="Line 18" o:spid="_x0000_s1116" style="position:absolute;visibility:visible;mso-wrap-style:square" from="4917,2465" to="4927,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5FxcYAAADcAAAADwAAAGRycy9kb3ducmV2LnhtbESPT0sDMRTE74LfITzBm81adSlr0yIW&#10;sS0e+o+Ct8fmdXdx87IkMbv99k1B8DjMzG+Y6XwwrYjkfGNZweMoA0FcWt1wpeCw/3iYgPABWWNr&#10;mRScycN8dnszxULbnrcUd6ESCcK+QAV1CF0hpS9rMuhHtiNO3sk6gyFJV0ntsE9w08pxluXSYMNp&#10;ocaO3msqf3a/RsE45oslrr7i9+f6edFvXDyG80mp+7vh7RVEoCH8h//aS63gKX+B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RcXGAAAA3AAAAA8AAAAAAAAA&#10;AAAAAAAAoQIAAGRycy9kb3ducmV2LnhtbFBLBQYAAAAABAAEAPkAAACUAwAAAAA=&#10;" strokecolor="green" strokeweight="0"/>
                  <v:rect id="Rectangle 19" o:spid="_x0000_s1117" style="position:absolute;left:4917;top:246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spscA&#10;AADcAAAADwAAAGRycy9kb3ducmV2LnhtbESPW2vCQBSE3wX/w3KEvohuejGE6CqlGGifxBvi2yF7&#10;TGKzZ0N21bS/visUfBxm5htmtuhMLa7UusqygudxBII4t7riQsFum40SEM4ja6wtk4IfcrCY93sz&#10;TLW98ZquG1+IAGGXooLS+yaV0uUlGXRj2xAH72Rbgz7ItpC6xVuAm1q+RFEsDVYcFkps6KOk/Htz&#10;MQqqJNv7SfK2+l1mX2ezPAyPB74o9TTo3qcgPHX+Ef5vf2oFr3EM9zPh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7KbHAAAA3AAAAA8AAAAAAAAAAAAAAAAAmAIAAGRy&#10;cy9kb3ducmV2LnhtbFBLBQYAAAAABAAEAPUAAACMAwAAAAA=&#10;" fillcolor="green" stroked="f"/>
                  <v:rect id="Rectangle 20" o:spid="_x0000_s1118" style="position:absolute;left:4906;top:2627;width:4927;height:2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zBcQA&#10;AADcAAAADwAAAGRycy9kb3ducmV2LnhtbESPQWsCMRSE74X+h/AEb5pYddWtUUQQBPWgFnp9bJ67&#10;Szcv6ybq9t83gtDjMDPfMPNlaytxp8aXjjUM+goEceZMybmGr/OmNwXhA7LByjFp+CUPy8X72xxT&#10;4x58pPsp5CJC2KeooQihTqX0WUEWfd/VxNG7uMZiiLLJpWnwEeG2kh9KJdJiyXGhwJrWBWU/p5vV&#10;gMnIXA+X4f68uyU4y1u1GX8rrbuddvUJIlAb/sOv9tZoGCYTeJ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6swXEAAAA3AAAAA8AAAAAAAAAAAAAAAAAmAIAAGRycy9k&#10;b3ducmV2LnhtbFBLBQYAAAAABAAEAPUAAACJAwAAAAA=&#10;" stroked="f"/>
                  <v:rect id="Rectangle 21" o:spid="_x0000_s1119" style="position:absolute;left:9396;top:254;width:802;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Y4qcAA&#10;AADcAAAADwAAAGRycy9kb3ducmV2LnhtbERPS2rDMBDdF3IHMYHuGjkuBO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Y4qcAAAADcAAAADwAAAAAAAAAAAAAAAACYAgAAZHJzL2Rvd25y&#10;ZXYueG1sUEsFBgAAAAAEAAQA9QAAAIUDAAAAAA==&#10;" filled="f" stroked="f">
                    <v:textbox style="mso-fit-shape-to-text:t" inset="0,0,0,0">
                      <w:txbxContent>
                        <w:p w:rsidR="005063CB" w:rsidRDefault="005063CB" w:rsidP="00A325AD">
                          <w:r>
                            <w:rPr>
                              <w:rFonts w:ascii="Arial" w:hAnsi="Arial"/>
                              <w:color w:val="000000"/>
                              <w:sz w:val="14"/>
                              <w:szCs w:val="14"/>
                            </w:rPr>
                            <w:t>thousand Lei</w:t>
                          </w:r>
                        </w:p>
                      </w:txbxContent>
                    </v:textbox>
                  </v:rect>
                  <v:rect id="Rectangle 22" o:spid="_x0000_s1120" style="position:absolute;left:193;top:446;width:401;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dMsIA&#10;AADcAAAADwAAAGRycy9kb3ducmV2LnhtbESPzYoCMRCE74LvEFrwphkVxB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p0ywgAAANwAAAAPAAAAAAAAAAAAAAAAAJgCAABkcnMvZG93&#10;bnJldi54bWxQSwUGAAAAAAQABAD1AAAAhwMAAAAA&#10;" filled="f" stroked="f">
                    <v:textbox style="mso-fit-shape-to-text:t" inset="0,0,0,0">
                      <w:txbxContent>
                        <w:p w:rsidR="005063CB" w:rsidRDefault="005063CB" w:rsidP="00A325AD">
                          <w:r>
                            <w:rPr>
                              <w:rFonts w:ascii="Arial" w:hAnsi="Arial"/>
                              <w:b/>
                              <w:bCs/>
                              <w:color w:val="000000"/>
                              <w:sz w:val="16"/>
                              <w:szCs w:val="16"/>
                            </w:rPr>
                            <w:t xml:space="preserve">Code </w:t>
                          </w:r>
                        </w:p>
                      </w:txbxContent>
                    </v:textbox>
                  </v:rect>
                  <v:rect id="Rectangle 23" o:spid="_x0000_s1121" style="position:absolute;left:2407;top:446;width:436;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icr8A&#10;AADcAAAADwAAAGRycy9kb3ducmV2LnhtbERPy4rCMBTdC/MP4Q7MTtNRUKlGkQFBBze2fsCluX1g&#10;clOSaOvfTxYDLg/nvd2P1ogn+dA5VvA9y0AQV0533Ci4lcfpGkSIyBqNY1LwogD73cdki7l2A1/p&#10;WcRGpBAOOSpoY+xzKUPVksUwcz1x4mrnLcYEfSO1xyGFWyPnWbaUFjtODS329NNSdS8eVoEsi+Ow&#10;LozP3O+8vpjz6VqTU+rrczxsQEQa41v87z5pBYtV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2aJyvwAAANwAAAAPAAAAAAAAAAAAAAAAAJgCAABkcnMvZG93bnJl&#10;di54bWxQSwUGAAAAAAQABAD1AAAAhAMAAAAA&#10;" filled="f" stroked="f">
                    <v:textbox style="mso-fit-shape-to-text:t" inset="0,0,0,0">
                      <w:txbxContent>
                        <w:p w:rsidR="005063CB" w:rsidRDefault="005063CB" w:rsidP="00A325AD">
                          <w:r>
                            <w:rPr>
                              <w:rFonts w:ascii="Arial" w:hAnsi="Arial"/>
                              <w:b/>
                              <w:bCs/>
                              <w:color w:val="000000"/>
                              <w:sz w:val="16"/>
                              <w:szCs w:val="16"/>
                            </w:rPr>
                            <w:t>Name</w:t>
                          </w:r>
                        </w:p>
                      </w:txbxContent>
                    </v:textbox>
                  </v:rect>
                  <v:rect id="Rectangle 24" o:spid="_x0000_s1122" style="position:absolute;left:5303;top:446;width:356;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UH6cIA&#10;AADcAAAADwAAAGRycy9kb3ducmV2LnhtbESPzYoCMRCE74LvEFrwphkVXB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QfpwgAAANwAAAAPAAAAAAAAAAAAAAAAAJgCAABkcnMvZG93&#10;bnJldi54bWxQSwUGAAAAAAQABAD1AAAAhwMAAAAA&#10;" filled="f" stroked="f">
                    <v:textbox style="mso-fit-shape-to-text:t" inset="0,0,0,0">
                      <w:txbxContent>
                        <w:p w:rsidR="005063CB" w:rsidRDefault="005063CB" w:rsidP="00A325AD">
                          <w:r>
                            <w:rPr>
                              <w:rFonts w:ascii="Arial" w:hAnsi="Arial"/>
                              <w:b/>
                              <w:bCs/>
                              <w:color w:val="000000"/>
                              <w:sz w:val="16"/>
                              <w:szCs w:val="16"/>
                            </w:rPr>
                            <w:t>2019</w:t>
                          </w:r>
                        </w:p>
                      </w:txbxContent>
                    </v:textbox>
                  </v:rect>
                  <v:rect id="Rectangle 25" o:spid="_x0000_s1123" style="position:absolute;left:6501;top:446;width:356;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ZnsIA&#10;AADcAAAADwAAAGRycy9kb3ducmV2LnhtbESP3WoCMRSE7wXfIRzBO826Qi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5mewgAAANwAAAAPAAAAAAAAAAAAAAAAAJgCAABkcnMvZG93&#10;bnJldi54bWxQSwUGAAAAAAQABAD1AAAAhwMAAAAA&#10;" filled="f" stroked="f">
                    <v:textbox style="mso-fit-shape-to-text:t" inset="0,0,0,0">
                      <w:txbxContent>
                        <w:p w:rsidR="005063CB" w:rsidRDefault="005063CB" w:rsidP="00A325AD">
                          <w:r>
                            <w:rPr>
                              <w:rFonts w:ascii="Arial" w:hAnsi="Arial"/>
                              <w:b/>
                              <w:bCs/>
                              <w:color w:val="000000"/>
                              <w:sz w:val="16"/>
                              <w:szCs w:val="16"/>
                            </w:rPr>
                            <w:t>2020</w:t>
                          </w:r>
                        </w:p>
                      </w:txbxContent>
                    </v:textbox>
                  </v:rect>
                  <v:rect id="Rectangle 26" o:spid="_x0000_s1124" style="position:absolute;left:7761;top:446;width:356;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8BcIA&#10;AADcAAAADwAAAGRycy9kb3ducmV2LnhtbESPzYoCMRCE74LvEFrwphkVVGaNIoKgixfHfYBm0vOD&#10;SWdIss7s228WFjwWVfUVtTsM1ogX+dA6VrCYZyCIS6dbrhV8Pc6zLYgQkTUax6TghwIc9uPRDnPt&#10;er7Tq4i1SBAOOSpoYuxyKUPZkMUwdx1x8irnLcYkfS21xz7BrZHLLFtLiy2nhQY7OjVUPotvq0A+&#10;inO/LYzP3Oeyupnr5V6RU2o6GY4fICIN8R3+b1+0gtVm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zwFwgAAANwAAAAPAAAAAAAAAAAAAAAAAJgCAABkcnMvZG93&#10;bnJldi54bWxQSwUGAAAAAAQABAD1AAAAhwMAAAAA&#10;" filled="f" stroked="f">
                    <v:textbox style="mso-fit-shape-to-text:t" inset="0,0,0,0">
                      <w:txbxContent>
                        <w:p w:rsidR="005063CB" w:rsidRDefault="005063CB" w:rsidP="00A325AD">
                          <w:r>
                            <w:rPr>
                              <w:rFonts w:ascii="Arial" w:hAnsi="Arial"/>
                              <w:b/>
                              <w:bCs/>
                              <w:color w:val="000000"/>
                              <w:sz w:val="16"/>
                              <w:szCs w:val="16"/>
                            </w:rPr>
                            <w:t>2021</w:t>
                          </w:r>
                        </w:p>
                      </w:txbxContent>
                    </v:textbox>
                  </v:rect>
                  <v:rect id="Rectangle 27" o:spid="_x0000_s1125" style="position:absolute;left:9020;top:446;width:356;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KkccIA&#10;AADcAAAADwAAAGRycy9kb3ducmV2LnhtbESP3WoCMRSE7wu+QziCdzWrFp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4qRxwgAAANwAAAAPAAAAAAAAAAAAAAAAAJgCAABkcnMvZG93&#10;bnJldi54bWxQSwUGAAAAAAQABAD1AAAAhwMAAAAA&#10;" filled="f" stroked="f">
                    <v:textbox style="mso-fit-shape-to-text:t" inset="0,0,0,0">
                      <w:txbxContent>
                        <w:p w:rsidR="005063CB" w:rsidRDefault="005063CB" w:rsidP="00A325AD">
                          <w:r>
                            <w:rPr>
                              <w:rFonts w:ascii="Arial" w:hAnsi="Arial"/>
                              <w:b/>
                              <w:bCs/>
                              <w:color w:val="000000"/>
                              <w:sz w:val="16"/>
                              <w:szCs w:val="16"/>
                            </w:rPr>
                            <w:t>2022</w:t>
                          </w:r>
                        </w:p>
                      </w:txbxContent>
                    </v:textbox>
                  </v:rect>
                  <v:rect id="Rectangle 28" o:spid="_x0000_s1126" style="position:absolute;left:61;top:700;width:623;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B6sIA&#10;AADcAAAADwAAAGRycy9kb3ducmV2LnhtbESP3WoCMRSE7wu+QziCdzWrUp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gHqwgAAANwAAAAPAAAAAAAAAAAAAAAAAJgCAABkcnMvZG93&#10;bnJldi54bWxQSwUGAAAAAAQABAD1AAAAhwMAAAAA&#10;" filled="f" stroked="f">
                    <v:textbox style="mso-fit-shape-to-text:t" inset="0,0,0,0">
                      <w:txbxContent>
                        <w:p w:rsidR="005063CB" w:rsidRDefault="005063CB" w:rsidP="00A325AD">
                          <w:r>
                            <w:rPr>
                              <w:rFonts w:ascii="Arial" w:hAnsi="Arial"/>
                              <w:b/>
                              <w:bCs/>
                              <w:color w:val="000000"/>
                              <w:sz w:val="16"/>
                              <w:szCs w:val="16"/>
                            </w:rPr>
                            <w:t>55.03.01</w:t>
                          </w:r>
                        </w:p>
                      </w:txbxContent>
                    </v:textbox>
                  </v:rect>
                  <v:rect id="Rectangle 29" o:spid="_x0000_s1127" style="position:absolute;left:772;top:700;width:2419;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fncIA&#10;AADcAAAADwAAAGRycy9kb3ducmV2LnhtbESPzYoCMRCE74LvEFrYm2ZUcG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fJ+dwgAAANwAAAAPAAAAAAAAAAAAAAAAAJgCAABkcnMvZG93&#10;bnJldi54bWxQSwUGAAAAAAQABAD1AAAAhwMAAAAA&#10;" filled="f" stroked="f">
                    <v:textbox style="mso-fit-shape-to-text:t" inset="0,0,0,0">
                      <w:txbxContent>
                        <w:p w:rsidR="005063CB" w:rsidRDefault="005063CB" w:rsidP="00A325AD">
                          <w:r>
                            <w:rPr>
                              <w:rFonts w:ascii="Arial" w:hAnsi="Arial"/>
                              <w:color w:val="000000"/>
                              <w:sz w:val="16"/>
                              <w:szCs w:val="16"/>
                            </w:rPr>
                            <w:t xml:space="preserve">Contributions from customs duties </w:t>
                          </w:r>
                        </w:p>
                      </w:txbxContent>
                    </v:textbox>
                  </v:rect>
                  <v:rect id="Rectangle 30" o:spid="_x0000_s1128" style="position:absolute;left:5292;top:700;width:712;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6BsIA&#10;AADcAAAADwAAAGRycy9kb3ducmV2LnhtbESPzYoCMRCE74LvEFrwphkVVp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DoGwgAAANwAAAAPAAAAAAAAAAAAAAAAAJgCAABkcnMvZG93&#10;bnJldi54bWxQSwUGAAAAAAQABAD1AAAAhwMAAAAA&#10;" filled="f" stroked="f">
                    <v:textbox style="mso-fit-shape-to-text:t" inset="0,0,0,0">
                      <w:txbxContent>
                        <w:p w:rsidR="005063CB" w:rsidRDefault="005063CB" w:rsidP="00A325AD">
                          <w:r>
                            <w:rPr>
                              <w:rFonts w:ascii="Arial" w:hAnsi="Arial"/>
                              <w:color w:val="000000"/>
                              <w:sz w:val="16"/>
                              <w:szCs w:val="16"/>
                            </w:rPr>
                            <w:t>797,508.0</w:t>
                          </w:r>
                        </w:p>
                      </w:txbxContent>
                    </v:textbox>
                  </v:rect>
                  <v:rect id="Rectangle 31" o:spid="_x0000_s1129" style="position:absolute;left:6552;top:700;width:712;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udL8A&#10;AADcAAAADwAAAGRycy9kb3ducmV2LnhtbERPy4rCMBTdC/MP4Q7MTtNRUKlGkQFBBze2fsCluX1g&#10;clOSaOvfTxYDLg/nvd2P1ogn+dA5VvA9y0AQV0533Ci4lcfpGkSIyBqNY1LwogD73cdki7l2A1/p&#10;WcRGpBAOOSpoY+xzKUPVksUwcz1x4mrnLcYEfSO1xyGFWyPnWbaUFjtODS329NNSdS8eVoEsi+Ow&#10;LozP3O+8vpjz6VqTU+rrczxsQEQa41v87z5pBYtV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r650vwAAANwAAAAPAAAAAAAAAAAAAAAAAJgCAABkcnMvZG93bnJl&#10;di54bWxQSwUGAAAAAAQABAD1AAAAhAMAAAAA&#10;" filled="f" stroked="f">
                    <v:textbox style="mso-fit-shape-to-text:t" inset="0,0,0,0">
                      <w:txbxContent>
                        <w:p w:rsidR="005063CB" w:rsidRDefault="005063CB" w:rsidP="00A325AD">
                          <w:r>
                            <w:rPr>
                              <w:rFonts w:ascii="Arial" w:hAnsi="Arial"/>
                              <w:color w:val="000000"/>
                              <w:sz w:val="16"/>
                              <w:szCs w:val="16"/>
                            </w:rPr>
                            <w:t>794,056.0</w:t>
                          </w:r>
                        </w:p>
                      </w:txbxContent>
                    </v:textbox>
                  </v:rect>
                  <v:rect id="Rectangle 32" o:spid="_x0000_s1130" style="position:absolute;left:7812;top:700;width:712;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L78IA&#10;AADcAAAADwAAAGRycy9kb3ducmV2LnhtbESP3WoCMRSE7wu+QziCdzWrQt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4wvvwgAAANwAAAAPAAAAAAAAAAAAAAAAAJgCAABkcnMvZG93&#10;bnJldi54bWxQSwUGAAAAAAQABAD1AAAAhwMAAAAA&#10;" filled="f" stroked="f">
                    <v:textbox style="mso-fit-shape-to-text:t" inset="0,0,0,0">
                      <w:txbxContent>
                        <w:p w:rsidR="005063CB" w:rsidRDefault="005063CB" w:rsidP="00A325AD">
                          <w:r>
                            <w:rPr>
                              <w:rFonts w:ascii="Arial" w:hAnsi="Arial"/>
                              <w:color w:val="000000"/>
                              <w:sz w:val="16"/>
                              <w:szCs w:val="16"/>
                            </w:rPr>
                            <w:t>790,603.0</w:t>
                          </w:r>
                        </w:p>
                      </w:txbxContent>
                    </v:textbox>
                  </v:rect>
                  <v:rect id="Rectangle 33" o:spid="_x0000_s1131" style="position:absolute;left:9071;top:700;width:712;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SVb4A&#10;AADcAAAADwAAAGRycy9kb3ducmV2LnhtbERPy4rCMBTdD/gP4QruxlSF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gM0lW+AAAA3AAAAA8AAAAAAAAAAAAAAAAAmAIAAGRycy9kb3ducmV2&#10;LnhtbFBLBQYAAAAABAAEAPUAAACDAwAAAAA=&#10;" filled="f" stroked="f">
                    <v:textbox style="mso-fit-shape-to-text:t" inset="0,0,0,0">
                      <w:txbxContent>
                        <w:p w:rsidR="005063CB" w:rsidRDefault="005063CB" w:rsidP="00A325AD">
                          <w:r>
                            <w:rPr>
                              <w:rFonts w:ascii="Arial" w:hAnsi="Arial"/>
                              <w:color w:val="000000"/>
                              <w:sz w:val="16"/>
                              <w:szCs w:val="16"/>
                            </w:rPr>
                            <w:t>787,151.0</w:t>
                          </w:r>
                        </w:p>
                      </w:txbxContent>
                    </v:textbox>
                  </v:rect>
                  <v:rect id="Rectangle 34" o:spid="_x0000_s1132" style="position:absolute;left:61;top:954;width:623;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B3zsEA&#10;AADcAAAADwAAAGRycy9kb3ducmV2LnhtbESP3YrCMBSE7xd8h3AE79ZUh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Ad87BAAAA3AAAAA8AAAAAAAAAAAAAAAAAmAIAAGRycy9kb3du&#10;cmV2LnhtbFBLBQYAAAAABAAEAPUAAACGAwAAAAA=&#10;" filled="f" stroked="f">
                    <v:textbox style="mso-fit-shape-to-text:t" inset="0,0,0,0">
                      <w:txbxContent>
                        <w:p w:rsidR="005063CB" w:rsidRDefault="005063CB" w:rsidP="00A325AD">
                          <w:r>
                            <w:rPr>
                              <w:rFonts w:ascii="Arial" w:hAnsi="Arial"/>
                              <w:b/>
                              <w:bCs/>
                              <w:color w:val="000000"/>
                              <w:sz w:val="16"/>
                              <w:szCs w:val="16"/>
                            </w:rPr>
                            <w:t>55.03.03</w:t>
                          </w:r>
                        </w:p>
                      </w:txbxContent>
                    </v:textbox>
                  </v:rect>
                  <v:rect id="Rectangle 35" o:spid="_x0000_s1133" style="position:absolute;left:772;top:954;width:2499;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LpucIA&#10;AADcAAAADwAAAGRycy9kb3ducmV2LnhtbESP3WoCMRSE7wu+QziCdzXbFcq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kum5wgAAANwAAAAPAAAAAAAAAAAAAAAAAJgCAABkcnMvZG93&#10;bnJldi54bWxQSwUGAAAAAAQABAD1AAAAhwMAAAAA&#10;" filled="f" stroked="f">
                    <v:textbox style="mso-fit-shape-to-text:t" inset="0,0,0,0">
                      <w:txbxContent>
                        <w:p w:rsidR="005063CB" w:rsidRDefault="005063CB" w:rsidP="00A325AD">
                          <w:r>
                            <w:rPr>
                              <w:rFonts w:ascii="Arial" w:hAnsi="Arial"/>
                              <w:color w:val="000000"/>
                              <w:sz w:val="16"/>
                              <w:szCs w:val="16"/>
                            </w:rPr>
                            <w:t>Contributions from the sugar sector</w:t>
                          </w:r>
                        </w:p>
                      </w:txbxContent>
                    </v:textbox>
                  </v:rect>
                  <v:rect id="Rectangle 36" o:spid="_x0000_s1134" style="position:absolute;left:5790;top:954;width:223;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5MIsEA&#10;AADcAAAADwAAAGRycy9kb3ducmV2LnhtbESP3YrCMBSE7xd8h3AE79ZUh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eTCLBAAAA3AAAAA8AAAAAAAAAAAAAAAAAmAIAAGRycy9kb3du&#10;cmV2LnhtbFBLBQYAAAAABAAEAPUAAACGAwAAAAA=&#10;" filled="f" stroked="f">
                    <v:textbox style="mso-fit-shape-to-text:t" inset="0,0,0,0">
                      <w:txbxContent>
                        <w:p w:rsidR="005063CB" w:rsidRDefault="005063CB" w:rsidP="00A325AD">
                          <w:r>
                            <w:rPr>
                              <w:rFonts w:ascii="Arial" w:hAnsi="Arial"/>
                              <w:color w:val="000000"/>
                              <w:sz w:val="16"/>
                              <w:szCs w:val="16"/>
                            </w:rPr>
                            <w:t>0.0</w:t>
                          </w:r>
                        </w:p>
                      </w:txbxContent>
                    </v:textbox>
                  </v:rect>
                  <v:rect id="Rectangle 37" o:spid="_x0000_s1135" style="position:absolute;left:7050;top:954;width:223;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fUVsIA&#10;AADcAAAADwAAAGRycy9kb3ducmV2LnhtbESP3WoCMRSE74W+QzgF7zRbF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9RWwgAAANwAAAAPAAAAAAAAAAAAAAAAAJgCAABkcnMvZG93&#10;bnJldi54bWxQSwUGAAAAAAQABAD1AAAAhwMAAAAA&#10;" filled="f" stroked="f">
                    <v:textbox style="mso-fit-shape-to-text:t" inset="0,0,0,0">
                      <w:txbxContent>
                        <w:p w:rsidR="005063CB" w:rsidRDefault="005063CB" w:rsidP="00A325AD">
                          <w:r>
                            <w:rPr>
                              <w:rFonts w:ascii="Arial" w:hAnsi="Arial"/>
                              <w:color w:val="000000"/>
                              <w:sz w:val="16"/>
                              <w:szCs w:val="16"/>
                            </w:rPr>
                            <w:t>0.0</w:t>
                          </w:r>
                        </w:p>
                      </w:txbxContent>
                    </v:textbox>
                  </v:rect>
                  <v:rect id="Rectangle 38" o:spid="_x0000_s1136" style="position:absolute;left:8309;top:954;width:223;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xzcIA&#10;AADcAAAADwAAAGRycy9kb3ducmV2LnhtbESP3WoCMRSE74W+QzgF7zRbR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e3HNwgAAANwAAAAPAAAAAAAAAAAAAAAAAJgCAABkcnMvZG93&#10;bnJldi54bWxQSwUGAAAAAAQABAD1AAAAhwMAAAAA&#10;" filled="f" stroked="f">
                    <v:textbox style="mso-fit-shape-to-text:t" inset="0,0,0,0">
                      <w:txbxContent>
                        <w:p w:rsidR="005063CB" w:rsidRDefault="005063CB" w:rsidP="00A325AD">
                          <w:r>
                            <w:rPr>
                              <w:rFonts w:ascii="Arial" w:hAnsi="Arial"/>
                              <w:color w:val="000000"/>
                              <w:sz w:val="16"/>
                              <w:szCs w:val="16"/>
                            </w:rPr>
                            <w:t>0.0</w:t>
                          </w:r>
                        </w:p>
                      </w:txbxContent>
                    </v:textbox>
                  </v:rect>
                  <v:rect id="Rectangle 39" o:spid="_x0000_s1137" style="position:absolute;left:9569;top:954;width:223;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vusEA&#10;AADcAAAADwAAAGRycy9kb3ducmV2LnhtbESP3YrCMBSE7xd8h3AE79ZUB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p77rBAAAA3AAAAA8AAAAAAAAAAAAAAAAAmAIAAGRycy9kb3du&#10;cmV2LnhtbFBLBQYAAAAABAAEAPUAAACGAwAAAAA=&#10;" filled="f" stroked="f">
                    <v:textbox style="mso-fit-shape-to-text:t" inset="0,0,0,0">
                      <w:txbxContent>
                        <w:p w:rsidR="005063CB" w:rsidRDefault="005063CB" w:rsidP="00A325AD">
                          <w:r>
                            <w:rPr>
                              <w:rFonts w:ascii="Arial" w:hAnsi="Arial"/>
                              <w:color w:val="000000"/>
                              <w:sz w:val="16"/>
                              <w:szCs w:val="16"/>
                            </w:rPr>
                            <w:t>0.0</w:t>
                          </w:r>
                        </w:p>
                      </w:txbxContent>
                    </v:textbox>
                  </v:rect>
                  <v:rect id="Rectangle 40" o:spid="_x0000_s1138" style="position:absolute;left:772;top:1177;width:3878;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IcIA&#10;AADcAAAADwAAAGRycy9kb3ducmV2LnhtbESP3WoCMRSE74W+QzgF7zRbB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5UohwgAAANwAAAAPAAAAAAAAAAAAAAAAAJgCAABkcnMvZG93&#10;bnJldi54bWxQSwUGAAAAAAQABAD1AAAAhwMAAAAA&#10;" filled="f" stroked="f">
                    <v:textbox style="mso-fit-shape-to-text:t" inset="0,0,0,0">
                      <w:txbxContent>
                        <w:p w:rsidR="005063CB" w:rsidRPr="00393B6C" w:rsidRDefault="005063CB" w:rsidP="00A325AD">
                          <w:r>
                            <w:rPr>
                              <w:rFonts w:ascii="Arial" w:hAnsi="Arial"/>
                              <w:b/>
                              <w:bCs/>
                              <w:i/>
                              <w:iCs/>
                              <w:color w:val="000000"/>
                              <w:sz w:val="16"/>
                              <w:szCs w:val="16"/>
                            </w:rPr>
                            <w:t xml:space="preserve">Total contributions from traditional own resources </w:t>
                          </w:r>
                        </w:p>
                      </w:txbxContent>
                    </v:textbox>
                  </v:rect>
                  <v:rect id="Rectangle 41" o:spid="_x0000_s1139" style="position:absolute;left:5292;top:1177;width:712;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eU74A&#10;AADcAAAADwAAAGRycy9kb3ducmV2LnhtbERPy4rCMBTdD/gP4QruxlSF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63lO+AAAA3AAAAA8AAAAAAAAAAAAAAAAAmAIAAGRycy9kb3ducmV2&#10;LnhtbFBLBQYAAAAABAAEAPUAAACDAwAAAAA=&#10;" filled="f" stroked="f">
                    <v:textbox style="mso-fit-shape-to-text:t" inset="0,0,0,0">
                      <w:txbxContent>
                        <w:p w:rsidR="005063CB" w:rsidRDefault="005063CB" w:rsidP="00A325AD">
                          <w:r>
                            <w:rPr>
                              <w:rFonts w:ascii="Arial" w:hAnsi="Arial"/>
                              <w:b/>
                              <w:bCs/>
                              <w:color w:val="000000"/>
                              <w:sz w:val="16"/>
                              <w:szCs w:val="16"/>
                            </w:rPr>
                            <w:t>797,508.0</w:t>
                          </w:r>
                        </w:p>
                      </w:txbxContent>
                    </v:textbox>
                  </v:rect>
                  <v:rect id="Rectangle 42" o:spid="_x0000_s1140" style="position:absolute;left:6552;top:1177;width:712;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7yMIA&#10;AADcAAAADwAAAGRycy9kb3ducmV2LnhtbESP3WoCMRSE7wXfIRzBO81qo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NnvIwgAAANwAAAAPAAAAAAAAAAAAAAAAAJgCAABkcnMvZG93&#10;bnJldi54bWxQSwUGAAAAAAQABAD1AAAAhwMAAAAA&#10;" filled="f" stroked="f">
                    <v:textbox style="mso-fit-shape-to-text:t" inset="0,0,0,0">
                      <w:txbxContent>
                        <w:p w:rsidR="005063CB" w:rsidRDefault="005063CB" w:rsidP="00A325AD">
                          <w:r>
                            <w:rPr>
                              <w:rFonts w:ascii="Arial" w:hAnsi="Arial"/>
                              <w:b/>
                              <w:bCs/>
                              <w:color w:val="000000"/>
                              <w:sz w:val="16"/>
                              <w:szCs w:val="16"/>
                            </w:rPr>
                            <w:t>794,056.0</w:t>
                          </w:r>
                        </w:p>
                      </w:txbxContent>
                    </v:textbox>
                  </v:rect>
                  <v:rect id="Rectangle 43" o:spid="_x0000_s1141" style="position:absolute;left:7812;top:1177;width:712;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EiL4A&#10;AADcAAAADwAAAGRycy9kb3ducmV2LnhtbERPy4rCMBTdC/5DuII7TUdB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3VRIi+AAAA3AAAAA8AAAAAAAAAAAAAAAAAmAIAAGRycy9kb3ducmV2&#10;LnhtbFBLBQYAAAAABAAEAPUAAACDAwAAAAA=&#10;" filled="f" stroked="f">
                    <v:textbox style="mso-fit-shape-to-text:t" inset="0,0,0,0">
                      <w:txbxContent>
                        <w:p w:rsidR="005063CB" w:rsidRDefault="005063CB" w:rsidP="00A325AD">
                          <w:r>
                            <w:rPr>
                              <w:rFonts w:ascii="Arial" w:hAnsi="Arial"/>
                              <w:b/>
                              <w:bCs/>
                              <w:color w:val="000000"/>
                              <w:sz w:val="16"/>
                              <w:szCs w:val="16"/>
                            </w:rPr>
                            <w:t>790,603.0</w:t>
                          </w:r>
                        </w:p>
                      </w:txbxContent>
                    </v:textbox>
                  </v:rect>
                  <v:rect id="Rectangle 44" o:spid="_x0000_s1142" style="position:absolute;left:9071;top:1177;width:712;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hE8IA&#10;AADcAAAADwAAAGRycy9kb3ducmV2LnhtbESPzYoCMRCE74LvEFrwphkVFn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eETwgAAANwAAAAPAAAAAAAAAAAAAAAAAJgCAABkcnMvZG93&#10;bnJldi54bWxQSwUGAAAAAAQABAD1AAAAhwMAAAAA&#10;" filled="f" stroked="f">
                    <v:textbox style="mso-fit-shape-to-text:t" inset="0,0,0,0">
                      <w:txbxContent>
                        <w:p w:rsidR="005063CB" w:rsidRDefault="005063CB" w:rsidP="00A325AD">
                          <w:r>
                            <w:rPr>
                              <w:rFonts w:ascii="Arial" w:hAnsi="Arial"/>
                              <w:b/>
                              <w:bCs/>
                              <w:color w:val="000000"/>
                              <w:sz w:val="16"/>
                              <w:szCs w:val="16"/>
                            </w:rPr>
                            <w:t>787,151.0</w:t>
                          </w:r>
                        </w:p>
                      </w:txbxContent>
                    </v:textbox>
                  </v:rect>
                  <v:rect id="Rectangle 45" o:spid="_x0000_s1143" style="position:absolute;left:61;top:1390;width:623;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ZMIA&#10;AADcAAAADwAAAGRycy9kb3ducmV2LnhtbESP3WoCMRSE7wu+QziCdzXrC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39kwgAAANwAAAAPAAAAAAAAAAAAAAAAAJgCAABkcnMvZG93&#10;bnJldi54bWxQSwUGAAAAAAQABAD1AAAAhwMAAAAA&#10;" filled="f" stroked="f">
                    <v:textbox style="mso-fit-shape-to-text:t" inset="0,0,0,0">
                      <w:txbxContent>
                        <w:p w:rsidR="005063CB" w:rsidRDefault="005063CB" w:rsidP="00A325AD">
                          <w:r>
                            <w:rPr>
                              <w:rFonts w:ascii="Arial" w:hAnsi="Arial"/>
                              <w:b/>
                              <w:bCs/>
                              <w:color w:val="000000"/>
                              <w:sz w:val="16"/>
                              <w:szCs w:val="16"/>
                            </w:rPr>
                            <w:t>55.03.04</w:t>
                          </w:r>
                        </w:p>
                      </w:txbxContent>
                    </v:textbox>
                  </v:rect>
                  <v:rect id="Rectangle 46" o:spid="_x0000_s1144" style="position:absolute;left:772;top:1390;width:2597;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fa/8IA&#10;AADcAAAADwAAAGRycy9kb3ducmV2LnhtbESPzYoCMRCE7wu+Q2jB25pRYX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9r/wgAAANwAAAAPAAAAAAAAAAAAAAAAAJgCAABkcnMvZG93&#10;bnJldi54bWxQSwUGAAAAAAQABAD1AAAAhwMAAAAA&#10;" filled="f" stroked="f">
                    <v:textbox style="mso-fit-shape-to-text:t" inset="0,0,0,0">
                      <w:txbxContent>
                        <w:p w:rsidR="005063CB" w:rsidRDefault="005063CB" w:rsidP="00A325AD">
                          <w:r>
                            <w:rPr>
                              <w:rFonts w:ascii="Arial" w:hAnsi="Arial"/>
                              <w:color w:val="000000"/>
                              <w:sz w:val="16"/>
                              <w:szCs w:val="16"/>
                            </w:rPr>
                            <w:t>Contributions from the VAT resource</w:t>
                          </w:r>
                        </w:p>
                      </w:txbxContent>
                    </v:textbox>
                  </v:rect>
                  <v:rect id="Rectangle 47" o:spid="_x0000_s1145" style="position:absolute;left:5160;top:1390;width:846;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5Ci8IA&#10;AADcAAAADwAAAGRycy9kb3ducmV2LnhtbESP3WoCMRSE7wu+QziCdzWrF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kKLwgAAANwAAAAPAAAAAAAAAAAAAAAAAJgCAABkcnMvZG93&#10;bnJldi54bWxQSwUGAAAAAAQABAD1AAAAhwMAAAAA&#10;" filled="f" stroked="f">
                    <v:textbox style="mso-fit-shape-to-text:t" inset="0,0,0,0">
                      <w:txbxContent>
                        <w:p w:rsidR="005063CB" w:rsidRDefault="005063CB" w:rsidP="00A325AD">
                          <w:r>
                            <w:rPr>
                              <w:rFonts w:ascii="Arial" w:hAnsi="Arial"/>
                              <w:color w:val="000000"/>
                              <w:sz w:val="16"/>
                              <w:szCs w:val="16"/>
                            </w:rPr>
                            <w:t>1,089,777.0</w:t>
                          </w:r>
                        </w:p>
                      </w:txbxContent>
                    </v:textbox>
                  </v:rect>
                  <v:rect id="Rectangle 48" o:spid="_x0000_s1146" style="position:absolute;left:6420;top:1390;width:846;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nEMIA&#10;AADcAAAADwAAAGRycy9kb3ducmV2LnhtbESP3WoCMRSE7wu+QziCdzWrU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oucQwgAAANwAAAAPAAAAAAAAAAAAAAAAAJgCAABkcnMvZG93&#10;bnJldi54bWxQSwUGAAAAAAQABAD1AAAAhwMAAAAA&#10;" filled="f" stroked="f">
                    <v:textbox style="mso-fit-shape-to-text:t" inset="0,0,0,0">
                      <w:txbxContent>
                        <w:p w:rsidR="005063CB" w:rsidRDefault="005063CB" w:rsidP="00A325AD">
                          <w:r>
                            <w:rPr>
                              <w:rFonts w:ascii="Arial" w:hAnsi="Arial"/>
                              <w:color w:val="000000"/>
                              <w:sz w:val="16"/>
                              <w:szCs w:val="16"/>
                            </w:rPr>
                            <w:t>1,085,060.0</w:t>
                          </w:r>
                        </w:p>
                      </w:txbxContent>
                    </v:textbox>
                  </v:rect>
                  <v:rect id="Rectangle 49" o:spid="_x0000_s1147" style="position:absolute;left:7680;top:1390;width:846;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5Z8IA&#10;AADcAAAADwAAAGRycy9kb3ducmV2LnhtbESPzYoCMRCE74LvEFrwphkVxB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HlnwgAAANwAAAAPAAAAAAAAAAAAAAAAAJgCAABkcnMvZG93&#10;bnJldi54bWxQSwUGAAAAAAQABAD1AAAAhwMAAAAA&#10;" filled="f" stroked="f">
                    <v:textbox style="mso-fit-shape-to-text:t" inset="0,0,0,0">
                      <w:txbxContent>
                        <w:p w:rsidR="005063CB" w:rsidRDefault="005063CB" w:rsidP="00A325AD">
                          <w:r>
                            <w:rPr>
                              <w:rFonts w:ascii="Arial" w:hAnsi="Arial"/>
                              <w:color w:val="000000"/>
                              <w:sz w:val="16"/>
                              <w:szCs w:val="16"/>
                            </w:rPr>
                            <w:t>1,080,342.0</w:t>
                          </w:r>
                        </w:p>
                      </w:txbxContent>
                    </v:textbox>
                  </v:rect>
                  <v:rect id="Rectangle 50" o:spid="_x0000_s1148" style="position:absolute;left:8939;top:1390;width:846;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c/MIA&#10;AADcAAAADwAAAGRycy9kb3ducmV2LnhtbESP3WoCMRSE7wu+QziCdzWrQt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PNz8wgAAANwAAAAPAAAAAAAAAAAAAAAAAJgCAABkcnMvZG93&#10;bnJldi54bWxQSwUGAAAAAAQABAD1AAAAhwMAAAAA&#10;" filled="f" stroked="f">
                    <v:textbox style="mso-fit-shape-to-text:t" inset="0,0,0,0">
                      <w:txbxContent>
                        <w:p w:rsidR="005063CB" w:rsidRDefault="005063CB" w:rsidP="00A325AD">
                          <w:r>
                            <w:rPr>
                              <w:rFonts w:ascii="Arial" w:hAnsi="Arial"/>
                              <w:color w:val="000000"/>
                              <w:sz w:val="16"/>
                              <w:szCs w:val="16"/>
                            </w:rPr>
                            <w:t>1,075,624.0</w:t>
                          </w:r>
                        </w:p>
                      </w:txbxContent>
                    </v:textbox>
                  </v:rect>
                  <v:rect id="Rectangle 51" o:spid="_x0000_s1149" style="position:absolute;left:61;top:1603;width:623;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NIjr4A&#10;AADcAAAADwAAAGRycy9kb3ducmV2LnhtbERPy4rCMBTdC/5DuII7TUdB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OjSI6+AAAA3AAAAA8AAAAAAAAAAAAAAAAAmAIAAGRycy9kb3ducmV2&#10;LnhtbFBLBQYAAAAABAAEAPUAAACDAwAAAAA=&#10;" filled="f" stroked="f">
                    <v:textbox style="mso-fit-shape-to-text:t" inset="0,0,0,0">
                      <w:txbxContent>
                        <w:p w:rsidR="005063CB" w:rsidRDefault="005063CB" w:rsidP="00A325AD">
                          <w:r>
                            <w:rPr>
                              <w:rFonts w:ascii="Arial" w:hAnsi="Arial"/>
                              <w:b/>
                              <w:bCs/>
                              <w:color w:val="000000"/>
                              <w:sz w:val="16"/>
                              <w:szCs w:val="16"/>
                            </w:rPr>
                            <w:t>55.03.05</w:t>
                          </w:r>
                        </w:p>
                      </w:txbxContent>
                    </v:textbox>
                  </v:rect>
                  <v:rect id="Rectangle 52" o:spid="_x0000_s1150" style="position:absolute;left:772;top:1603;width:4492;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FcIA&#10;AADcAAAADwAAAGRycy9kb3ducmV2LnhtbESPzYoCMRCE74LvEFrwphkVFp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7+0VwgAAANwAAAAPAAAAAAAAAAAAAAAAAJgCAABkcnMvZG93&#10;bnJldi54bWxQSwUGAAAAAAQABAD1AAAAhwMAAAAA&#10;" filled="f" stroked="f">
                    <v:textbox style="mso-fit-shape-to-text:t" inset="0,0,0,0">
                      <w:txbxContent>
                        <w:p w:rsidR="005063CB" w:rsidRPr="00393B6C" w:rsidRDefault="005063CB" w:rsidP="00A325AD">
                          <w:r>
                            <w:rPr>
                              <w:rFonts w:ascii="Arial" w:hAnsi="Arial"/>
                              <w:color w:val="000000"/>
                              <w:sz w:val="16"/>
                              <w:szCs w:val="16"/>
                            </w:rPr>
                            <w:t>Contributions for the correction/discount offered to Great Britain</w:t>
                          </w:r>
                        </w:p>
                      </w:txbxContent>
                    </v:textbox>
                  </v:rect>
                  <v:rect id="Rectangle 53" o:spid="_x0000_s1151" style="position:absolute;left:5292;top:1603;width:712;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car4A&#10;AADcAAAADwAAAGRycy9kb3ducmV2LnhtbERPy2oCMRTdC/5DuEJ3miil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V1HGq+AAAA3AAAAA8AAAAAAAAAAAAAAAAAmAIAAGRycy9kb3ducmV2&#10;LnhtbFBLBQYAAAAABAAEAPUAAACDAwAAAAA=&#10;" filled="f" stroked="f">
                    <v:textbox style="mso-fit-shape-to-text:t" inset="0,0,0,0">
                      <w:txbxContent>
                        <w:p w:rsidR="005063CB" w:rsidRDefault="005063CB" w:rsidP="00A325AD">
                          <w:r>
                            <w:rPr>
                              <w:rFonts w:ascii="Arial" w:hAnsi="Arial"/>
                              <w:color w:val="000000"/>
                              <w:sz w:val="16"/>
                              <w:szCs w:val="16"/>
                            </w:rPr>
                            <w:t>510,775.0</w:t>
                          </w:r>
                        </w:p>
                      </w:txbxContent>
                    </v:textbox>
                  </v:rect>
                  <v:rect id="Rectangle 54" o:spid="_x0000_s1152" style="position:absolute;left:6552;top:1603;width:712;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58cIA&#10;AADcAAAADwAAAGRycy9kb3ducmV2LnhtbESPzWrDMBCE74G+g9hCb4nkE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bnxwgAAANwAAAAPAAAAAAAAAAAAAAAAAJgCAABkcnMvZG93&#10;bnJldi54bWxQSwUGAAAAAAQABAD1AAAAhwMAAAAA&#10;" filled="f" stroked="f">
                    <v:textbox style="mso-fit-shape-to-text:t" inset="0,0,0,0">
                      <w:txbxContent>
                        <w:p w:rsidR="005063CB" w:rsidRDefault="005063CB" w:rsidP="00A325AD">
                          <w:r>
                            <w:rPr>
                              <w:rFonts w:ascii="Arial" w:hAnsi="Arial"/>
                              <w:color w:val="000000"/>
                              <w:sz w:val="16"/>
                              <w:szCs w:val="16"/>
                            </w:rPr>
                            <w:t>505,452.0</w:t>
                          </w:r>
                        </w:p>
                      </w:txbxContent>
                    </v:textbox>
                  </v:rect>
                  <v:rect id="Rectangle 55" o:spid="_x0000_s1153" style="position:absolute;left:7812;top:1603;width:712;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nhsIA&#10;AADcAAAADwAAAGRycy9kb3ducmV2LnhtbESP3WoCMRSE74W+QziF3mnSR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6yeGwgAAANwAAAAPAAAAAAAAAAAAAAAAAJgCAABkcnMvZG93&#10;bnJldi54bWxQSwUGAAAAAAQABAD1AAAAhwMAAAAA&#10;" filled="f" stroked="f">
                    <v:textbox style="mso-fit-shape-to-text:t" inset="0,0,0,0">
                      <w:txbxContent>
                        <w:p w:rsidR="005063CB" w:rsidRDefault="005063CB" w:rsidP="00A325AD">
                          <w:r>
                            <w:rPr>
                              <w:rFonts w:ascii="Arial" w:hAnsi="Arial"/>
                              <w:color w:val="000000"/>
                              <w:sz w:val="16"/>
                              <w:szCs w:val="16"/>
                            </w:rPr>
                            <w:t>503,255.0</w:t>
                          </w:r>
                        </w:p>
                      </w:txbxContent>
                    </v:textbox>
                  </v:rect>
                  <v:rect id="Rectangle 56" o:spid="_x0000_s1154" style="position:absolute;left:9071;top:1603;width:712;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eCHcIA&#10;AADcAAAADwAAAGRycy9kb3ducmV2LnhtbESP3WoCMRSE74W+QziF3mmilS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p4IdwgAAANwAAAAPAAAAAAAAAAAAAAAAAJgCAABkcnMvZG93&#10;bnJldi54bWxQSwUGAAAAAAQABAD1AAAAhwMAAAAA&#10;" filled="f" stroked="f">
                    <v:textbox style="mso-fit-shape-to-text:t" inset="0,0,0,0">
                      <w:txbxContent>
                        <w:p w:rsidR="005063CB" w:rsidRDefault="005063CB" w:rsidP="00A325AD">
                          <w:r>
                            <w:rPr>
                              <w:rFonts w:ascii="Arial" w:hAnsi="Arial"/>
                              <w:color w:val="000000"/>
                              <w:sz w:val="16"/>
                              <w:szCs w:val="16"/>
                            </w:rPr>
                            <w:t>501,057.0</w:t>
                          </w:r>
                        </w:p>
                      </w:txbxContent>
                    </v:textbox>
                  </v:rect>
                  <v:rect id="Rectangle 57" o:spid="_x0000_s1155" style="position:absolute;left:61;top:1816;width:623;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aacEA&#10;AADcAAAADwAAAGRycy9kb3ducmV2LnhtbESP3WoCMRSE74W+QzhC7zRRRG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OGmnBAAAA3AAAAA8AAAAAAAAAAAAAAAAAmAIAAGRycy9kb3du&#10;cmV2LnhtbFBLBQYAAAAABAAEAPUAAACGAwAAAAA=&#10;" filled="f" stroked="f">
                    <v:textbox style="mso-fit-shape-to-text:t" inset="0,0,0,0">
                      <w:txbxContent>
                        <w:p w:rsidR="005063CB" w:rsidRDefault="005063CB" w:rsidP="00A325AD">
                          <w:r>
                            <w:rPr>
                              <w:rFonts w:ascii="Arial" w:hAnsi="Arial"/>
                              <w:b/>
                              <w:bCs/>
                              <w:color w:val="000000"/>
                              <w:sz w:val="16"/>
                              <w:szCs w:val="16"/>
                            </w:rPr>
                            <w:t>55.03.06</w:t>
                          </w:r>
                        </w:p>
                      </w:txbxContent>
                    </v:textbox>
                  </v:rect>
                  <v:rect id="Rectangle 58" o:spid="_x0000_s1156" style="position:absolute;left:772;top:1816;width:2375;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8sIA&#10;AADcAAAADwAAAGRycy9kb3ducmV2LnhtbESP3WoCMRSE74W+QziF3mmi1C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r/ywgAAANwAAAAPAAAAAAAAAAAAAAAAAJgCAABkcnMvZG93&#10;bnJldi54bWxQSwUGAAAAAAQABAD1AAAAhwMAAAAA&#10;" filled="f" stroked="f">
                    <v:textbox style="mso-fit-shape-to-text:t" inset="0,0,0,0">
                      <w:txbxContent>
                        <w:p w:rsidR="005063CB" w:rsidRDefault="005063CB" w:rsidP="00A325AD">
                          <w:r>
                            <w:rPr>
                              <w:rFonts w:ascii="Arial" w:hAnsi="Arial"/>
                              <w:color w:val="000000"/>
                              <w:sz w:val="16"/>
                              <w:szCs w:val="16"/>
                            </w:rPr>
                            <w:t xml:space="preserve">Contributions from NGR resource </w:t>
                          </w:r>
                        </w:p>
                      </w:txbxContent>
                    </v:textbox>
                  </v:rect>
                  <v:rect id="Rectangle 59" o:spid="_x0000_s1157" style="position:absolute;left:5160;top:1816;width:846;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hhcEA&#10;AADcAAAADwAAAGRycy9kb3ducmV2LnhtbESP3WoCMRSE74W+QzhC7zRRi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QIYXBAAAA3AAAAA8AAAAAAAAAAAAAAAAAmAIAAGRycy9kb3du&#10;cmV2LnhtbFBLBQYAAAAABAAEAPUAAACGAwAAAAA=&#10;" filled="f" stroked="f">
                    <v:textbox style="mso-fit-shape-to-text:t" inset="0,0,0,0">
                      <w:txbxContent>
                        <w:p w:rsidR="005063CB" w:rsidRDefault="005063CB" w:rsidP="00A325AD">
                          <w:r>
                            <w:rPr>
                              <w:rFonts w:ascii="Arial" w:hAnsi="Arial"/>
                              <w:color w:val="000000"/>
                              <w:sz w:val="16"/>
                              <w:szCs w:val="16"/>
                            </w:rPr>
                            <w:t>6,107,686.0</w:t>
                          </w:r>
                        </w:p>
                      </w:txbxContent>
                    </v:textbox>
                  </v:rect>
                  <v:rect id="Rectangle 60" o:spid="_x0000_s1158" style="position:absolute;left:6420;top:1816;width:846;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EHsIA&#10;AADcAAAADwAAAGRycy9kb3ducmV2LnhtbESP3WoCMRSE74W+QziF3mmiFC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IQewgAAANwAAAAPAAAAAAAAAAAAAAAAAJgCAABkcnMvZG93&#10;bnJldi54bWxQSwUGAAAAAAQABAD1AAAAhwMAAAAA&#10;" filled="f" stroked="f">
                    <v:textbox style="mso-fit-shape-to-text:t" inset="0,0,0,0">
                      <w:txbxContent>
                        <w:p w:rsidR="005063CB" w:rsidRDefault="005063CB" w:rsidP="00A325AD">
                          <w:r>
                            <w:rPr>
                              <w:rFonts w:ascii="Arial" w:hAnsi="Arial"/>
                              <w:color w:val="000000"/>
                              <w:sz w:val="16"/>
                              <w:szCs w:val="16"/>
                            </w:rPr>
                            <w:t>6,654,820.0</w:t>
                          </w:r>
                        </w:p>
                      </w:txbxContent>
                    </v:textbox>
                  </v:rect>
                  <v:rect id="Rectangle 61" o:spid="_x0000_s1159" style="position:absolute;left:7680;top:1816;width:846;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bL4A&#10;AADcAAAADwAAAGRycy9kb3ducmV2LnhtbERPy2oCMRTdC/5DuEJ3miil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sDEGy+AAAA3AAAAA8AAAAAAAAAAAAAAAAAmAIAAGRycy9kb3ducmV2&#10;LnhtbFBLBQYAAAAABAAEAPUAAACDAwAAAAA=&#10;" filled="f" stroked="f">
                    <v:textbox style="mso-fit-shape-to-text:t" inset="0,0,0,0">
                      <w:txbxContent>
                        <w:p w:rsidR="005063CB" w:rsidRDefault="005063CB" w:rsidP="00A325AD">
                          <w:r>
                            <w:rPr>
                              <w:rFonts w:ascii="Arial" w:hAnsi="Arial"/>
                              <w:color w:val="000000"/>
                              <w:sz w:val="16"/>
                              <w:szCs w:val="16"/>
                            </w:rPr>
                            <w:t>7,202,966.0</w:t>
                          </w:r>
                        </w:p>
                      </w:txbxContent>
                    </v:textbox>
                  </v:rect>
                  <v:rect id="Rectangle 62" o:spid="_x0000_s1160" style="position:absolute;left:8939;top:1816;width:846;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98IA&#10;AADcAAAADwAAAGRycy9kb3ducmV2LnhtbESP3WoCMRSE74W+QzgF7zSpF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7X3wgAAANwAAAAPAAAAAAAAAAAAAAAAAJgCAABkcnMvZG93&#10;bnJldi54bWxQSwUGAAAAAAQABAD1AAAAhwMAAAAA&#10;" filled="f" stroked="f">
                    <v:textbox style="mso-fit-shape-to-text:t" inset="0,0,0,0">
                      <w:txbxContent>
                        <w:p w:rsidR="005063CB" w:rsidRDefault="005063CB" w:rsidP="00A325AD">
                          <w:r>
                            <w:rPr>
                              <w:rFonts w:ascii="Arial" w:hAnsi="Arial"/>
                              <w:color w:val="000000"/>
                              <w:sz w:val="16"/>
                              <w:szCs w:val="16"/>
                            </w:rPr>
                            <w:t>7,449,216.0</w:t>
                          </w:r>
                        </w:p>
                      </w:txbxContent>
                    </v:textbox>
                  </v:rect>
                  <v:rect id="Rectangle 63" o:spid="_x0000_s1161" style="position:absolute;left:61;top:2029;width:623;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Kt8AA&#10;AADcAAAADwAAAGRycy9kb3ducmV2LnhtbERPS2rDMBDdF3IHMYHsGjkh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yKt8AAAADcAAAADwAAAAAAAAAAAAAAAACYAgAAZHJzL2Rvd25y&#10;ZXYueG1sUEsFBgAAAAAEAAQA9QAAAIUDAAAAAA==&#10;" filled="f" stroked="f">
                    <v:textbox style="mso-fit-shape-to-text:t" inset="0,0,0,0">
                      <w:txbxContent>
                        <w:p w:rsidR="005063CB" w:rsidRDefault="005063CB" w:rsidP="00A325AD">
                          <w:r>
                            <w:rPr>
                              <w:rFonts w:ascii="Arial" w:hAnsi="Arial"/>
                              <w:b/>
                              <w:bCs/>
                              <w:color w:val="000000"/>
                              <w:sz w:val="16"/>
                              <w:szCs w:val="16"/>
                            </w:rPr>
                            <w:t>55.03.10</w:t>
                          </w:r>
                        </w:p>
                      </w:txbxContent>
                    </v:textbox>
                  </v:rect>
                  <v:rect id="Rectangle 64" o:spid="_x0000_s1162" style="position:absolute;left:772;top:2029;width:3647;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vLMEA&#10;AADcAAAADwAAAGRycy9kb3ducmV2LnhtbESP3YrCMBSE7xd8h3AE79a0I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LyzBAAAA3AAAAA8AAAAAAAAAAAAAAAAAmAIAAGRycy9kb3du&#10;cmV2LnhtbFBLBQYAAAAABAAEAPUAAACGAwAAAAA=&#10;" filled="f" stroked="f">
                    <v:textbox style="mso-fit-shape-to-text:t" inset="0,0,0,0">
                      <w:txbxContent>
                        <w:p w:rsidR="005063CB" w:rsidRDefault="005063CB" w:rsidP="00A325AD">
                          <w:r>
                            <w:rPr>
                              <w:rFonts w:ascii="Arial" w:hAnsi="Arial"/>
                              <w:color w:val="000000"/>
                              <w:sz w:val="16"/>
                              <w:szCs w:val="16"/>
                            </w:rPr>
                            <w:t xml:space="preserve">Contributions for the discounts in favor of Denmark, </w:t>
                          </w:r>
                        </w:p>
                      </w:txbxContent>
                    </v:textbox>
                  </v:rect>
                  <v:rect id="Rectangle 65" o:spid="_x0000_s1163" style="position:absolute;left:772;top:2232;width:2651;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xW8EA&#10;AADcAAAADwAAAGRycy9kb3ducmV2LnhtbESP3YrCMBSE7xd8h3AE79bUI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ysVvBAAAA3AAAAA8AAAAAAAAAAAAAAAAAmAIAAGRycy9kb3du&#10;cmV2LnhtbFBLBQYAAAAABAAEAPUAAACGAwAAAAA=&#10;" filled="f" stroked="f">
                    <v:textbox style="mso-fit-shape-to-text:t" inset="0,0,0,0">
                      <w:txbxContent>
                        <w:p w:rsidR="005063CB" w:rsidRPr="00393B6C" w:rsidRDefault="005063CB" w:rsidP="00A325AD">
                          <w:r>
                            <w:rPr>
                              <w:rFonts w:ascii="Arial" w:hAnsi="Arial"/>
                              <w:color w:val="000000"/>
                              <w:sz w:val="16"/>
                              <w:szCs w:val="16"/>
                            </w:rPr>
                            <w:t>Austria, the Netherlands and Sweden</w:t>
                          </w:r>
                        </w:p>
                      </w:txbxContent>
                    </v:textbox>
                  </v:rect>
                  <v:rect id="Rectangle 66" o:spid="_x0000_s1164" style="position:absolute;left:5384;top:2029;width:623;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UwMIA&#10;AADcAAAADwAAAGRycy9kb3ducmV2LnhtbESPzYoCMRCE74LvEFrwphl/WGQ0igiCu3hx9AGaSc8P&#10;Jp0hic7s228WFvZYVNVX1O4wWCPe5EPrWMFinoEgLp1uuVbwuJ9nGxAhIms0jknBNwU47MejHeba&#10;9XyjdxFrkSAcclTQxNjlUoayIYth7jri5FXOW4xJ+lpqj32CWyOXWfYhLbacFhrs6NRQ+SxeVoG8&#10;F+d+Uxifua9ldTWfl1tFTqnpZDhuQUQa4n/4r33RCtaLF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hTAwgAAANwAAAAPAAAAAAAAAAAAAAAAAJgCAABkcnMvZG93&#10;bnJldi54bWxQSwUGAAAAAAQABAD1AAAAhwMAAAAA&#10;" filled="f" stroked="f">
                    <v:textbox style="mso-fit-shape-to-text:t" inset="0,0,0,0">
                      <w:txbxContent>
                        <w:p w:rsidR="005063CB" w:rsidRDefault="005063CB" w:rsidP="00A325AD">
                          <w:r>
                            <w:rPr>
                              <w:rFonts w:ascii="Arial" w:hAnsi="Arial"/>
                              <w:color w:val="000000"/>
                              <w:sz w:val="16"/>
                              <w:szCs w:val="16"/>
                            </w:rPr>
                            <w:t>66,639.0</w:t>
                          </w:r>
                        </w:p>
                      </w:txbxContent>
                    </v:textbox>
                  </v:rect>
                  <v:rect id="Rectangle 67" o:spid="_x0000_s1165" style="position:absolute;left:6643;top:2029;width:623;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MtMIA&#10;AADcAAAADwAAAGRycy9kb3ducmV2LnhtbESP3YrCMBSE74V9h3AE72yqy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4y0wgAAANwAAAAPAAAAAAAAAAAAAAAAAJgCAABkcnMvZG93&#10;bnJldi54bWxQSwUGAAAAAAQABAD1AAAAhwMAAAAA&#10;" filled="f" stroked="f">
                    <v:textbox style="mso-fit-shape-to-text:t" inset="0,0,0,0">
                      <w:txbxContent>
                        <w:p w:rsidR="005063CB" w:rsidRDefault="005063CB" w:rsidP="00A325AD">
                          <w:r>
                            <w:rPr>
                              <w:rFonts w:ascii="Arial" w:hAnsi="Arial"/>
                              <w:color w:val="000000"/>
                              <w:sz w:val="16"/>
                              <w:szCs w:val="16"/>
                            </w:rPr>
                            <w:t>65,344.0</w:t>
                          </w:r>
                        </w:p>
                      </w:txbxContent>
                    </v:textbox>
                  </v:rect>
                  <v:rect id="Rectangle 68" o:spid="_x0000_s1166" style="position:absolute;left:7903;top:2029;width:623;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pL8IA&#10;AADcAAAADwAAAGRycy9kb3ducmV2LnhtbESPzYoCMRCE74LvEFrwphlF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ykvwgAAANwAAAAPAAAAAAAAAAAAAAAAAJgCAABkcnMvZG93&#10;bnJldi54bWxQSwUGAAAAAAQABAD1AAAAhwMAAAAA&#10;" filled="f" stroked="f">
                    <v:textbox style="mso-fit-shape-to-text:t" inset="0,0,0,0">
                      <w:txbxContent>
                        <w:p w:rsidR="005063CB" w:rsidRDefault="005063CB" w:rsidP="00A325AD">
                          <w:r>
                            <w:rPr>
                              <w:rFonts w:ascii="Arial" w:hAnsi="Arial"/>
                              <w:color w:val="000000"/>
                              <w:sz w:val="16"/>
                              <w:szCs w:val="16"/>
                            </w:rPr>
                            <w:t>65,060.0</w:t>
                          </w:r>
                        </w:p>
                      </w:txbxContent>
                    </v:textbox>
                  </v:rect>
                  <v:rect id="Rectangle 69" o:spid="_x0000_s1167" style="position:absolute;left:9163;top:2029;width:623;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3WMEA&#10;AADcAAAADwAAAGRycy9kb3ducmV2LnhtbESPzYoCMRCE7wu+Q2jB25pRRG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Jt1jBAAAA3AAAAA8AAAAAAAAAAAAAAAAAmAIAAGRycy9kb3du&#10;cmV2LnhtbFBLBQYAAAAABAAEAPUAAACGAwAAAAA=&#10;" filled="f" stroked="f">
                    <v:textbox style="mso-fit-shape-to-text:t" inset="0,0,0,0">
                      <w:txbxContent>
                        <w:p w:rsidR="005063CB" w:rsidRDefault="005063CB" w:rsidP="00A325AD">
                          <w:r>
                            <w:rPr>
                              <w:rFonts w:ascii="Arial" w:hAnsi="Arial"/>
                              <w:color w:val="000000"/>
                              <w:sz w:val="16"/>
                              <w:szCs w:val="16"/>
                            </w:rPr>
                            <w:t>64,776.0</w:t>
                          </w:r>
                        </w:p>
                      </w:txbxContent>
                    </v:textbox>
                  </v:rect>
                  <v:rect id="Rectangle 70" o:spid="_x0000_s1168" style="position:absolute;left:772;top:2435;width:3023;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Sw8IA&#10;AADcAAAADwAAAGRycy9kb3ducmV2LnhtbESPzYoCMRCE74LvEFrwphlF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RLDwgAAANwAAAAPAAAAAAAAAAAAAAAAAJgCAABkcnMvZG93&#10;bnJldi54bWxQSwUGAAAAAAQABAD1AAAAhwMAAAAA&#10;" filled="f" stroked="f">
                    <v:textbox style="mso-fit-shape-to-text:t" inset="0,0,0,0">
                      <w:txbxContent>
                        <w:p w:rsidR="005063CB" w:rsidRDefault="005063CB" w:rsidP="00A325AD">
                          <w:r>
                            <w:rPr>
                              <w:rFonts w:ascii="Arial" w:hAnsi="Arial"/>
                              <w:b/>
                              <w:bCs/>
                              <w:color w:val="000000"/>
                              <w:sz w:val="16"/>
                              <w:szCs w:val="16"/>
                            </w:rPr>
                            <w:t>Total contributions from own resources</w:t>
                          </w:r>
                        </w:p>
                      </w:txbxContent>
                    </v:textbox>
                  </v:rect>
                  <v:rect id="Rectangle 71" o:spid="_x0000_s1169" style="position:absolute;left:5160;top:2435;width:846;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GscAA&#10;AADcAAAADwAAAGRycy9kb3ducmV2LnhtbERPS2rDMBDdF3IHMYHsGjkh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qGscAAAADcAAAADwAAAAAAAAAAAAAAAACYAgAAZHJzL2Rvd25y&#10;ZXYueG1sUEsFBgAAAAAEAAQA9QAAAIUDAAAAAA==&#10;" filled="f" stroked="f">
                    <v:textbox style="mso-fit-shape-to-text:t" inset="0,0,0,0">
                      <w:txbxContent>
                        <w:p w:rsidR="005063CB" w:rsidRDefault="005063CB" w:rsidP="00A325AD">
                          <w:r>
                            <w:rPr>
                              <w:rFonts w:ascii="Arial" w:hAnsi="Arial"/>
                              <w:b/>
                              <w:bCs/>
                              <w:color w:val="000000"/>
                              <w:sz w:val="16"/>
                              <w:szCs w:val="16"/>
                            </w:rPr>
                            <w:t>8,572,385.0</w:t>
                          </w:r>
                        </w:p>
                      </w:txbxContent>
                    </v:textbox>
                  </v:rect>
                  <v:rect id="Rectangle 72" o:spid="_x0000_s1170" style="position:absolute;left:6420;top:2435;width:846;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jKsIA&#10;AADcAAAADwAAAGRycy9kb3ducmV2LnhtbESPzYoCMRCE74LvEFrwphlFFn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iMqwgAAANwAAAAPAAAAAAAAAAAAAAAAAJgCAABkcnMvZG93&#10;bnJldi54bWxQSwUGAAAAAAQABAD1AAAAhwMAAAAA&#10;" filled="f" stroked="f">
                    <v:textbox style="mso-fit-shape-to-text:t" inset="0,0,0,0">
                      <w:txbxContent>
                        <w:p w:rsidR="005063CB" w:rsidRDefault="005063CB" w:rsidP="00A325AD">
                          <w:r>
                            <w:rPr>
                              <w:rFonts w:ascii="Arial" w:hAnsi="Arial"/>
                              <w:b/>
                              <w:bCs/>
                              <w:color w:val="000000"/>
                              <w:sz w:val="16"/>
                              <w:szCs w:val="16"/>
                            </w:rPr>
                            <w:t>9,104,732.0</w:t>
                          </w:r>
                        </w:p>
                      </w:txbxContent>
                    </v:textbox>
                  </v:rect>
                  <v:rect id="Rectangle 73" o:spid="_x0000_s1171" style="position:absolute;left:7680;top:2435;width:846;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ACr4A&#10;AADcAAAADwAAAGRycy9kb3ducmV2LnhtbERPy4rCMBTdC/5DuMLsNLUM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7AQAq+AAAA3AAAAA8AAAAAAAAAAAAAAAAAmAIAAGRycy9kb3ducmV2&#10;LnhtbFBLBQYAAAAABAAEAPUAAACDAwAAAAA=&#10;" filled="f" stroked="f">
                    <v:textbox style="mso-fit-shape-to-text:t" inset="0,0,0,0">
                      <w:txbxContent>
                        <w:p w:rsidR="005063CB" w:rsidRDefault="005063CB" w:rsidP="00A325AD">
                          <w:r>
                            <w:rPr>
                              <w:rFonts w:ascii="Arial" w:hAnsi="Arial"/>
                              <w:b/>
                              <w:bCs/>
                              <w:color w:val="000000"/>
                              <w:sz w:val="16"/>
                              <w:szCs w:val="16"/>
                            </w:rPr>
                            <w:t>9,642,226.0</w:t>
                          </w:r>
                        </w:p>
                      </w:txbxContent>
                    </v:textbox>
                  </v:rect>
                  <v:rect id="Rectangle 74" o:spid="_x0000_s1172" style="position:absolute;left:8939;top:2435;width:846;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lkcEA&#10;AADcAAAADwAAAGRycy9kb3ducmV2LnhtbESP3YrCMBSE7xd8h3AE79bUI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M5ZHBAAAA3AAAAA8AAAAAAAAAAAAAAAAAmAIAAGRycy9kb3du&#10;cmV2LnhtbFBLBQYAAAAABAAEAPUAAACGAwAAAAA=&#10;" filled="f" stroked="f">
                    <v:textbox style="mso-fit-shape-to-text:t" inset="0,0,0,0">
                      <w:txbxContent>
                        <w:p w:rsidR="005063CB" w:rsidRDefault="005063CB" w:rsidP="00A325AD">
                          <w:r>
                            <w:rPr>
                              <w:rFonts w:ascii="Arial" w:hAnsi="Arial"/>
                              <w:b/>
                              <w:bCs/>
                              <w:color w:val="000000"/>
                              <w:sz w:val="16"/>
                              <w:szCs w:val="16"/>
                            </w:rPr>
                            <w:t>9,877,824.0</w:t>
                          </w:r>
                        </w:p>
                      </w:txbxContent>
                    </v:textbox>
                  </v:rect>
                  <v:rect id="Rectangle 75" o:spid="_x0000_s1173" style="position:absolute;left:61;top:2648;width:623;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575sEA&#10;AADcAAAADwAAAGRycy9kb3ducmV2LnhtbESP3YrCMBSE7wXfIRxh7zS1yC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ee+bBAAAA3AAAAA8AAAAAAAAAAAAAAAAAmAIAAGRycy9kb3du&#10;cmV2LnhtbFBLBQYAAAAABAAEAPUAAACGAwAAAAA=&#10;" filled="f" stroked="f">
                    <v:textbox style="mso-fit-shape-to-text:t" inset="0,0,0,0">
                      <w:txbxContent>
                        <w:p w:rsidR="005063CB" w:rsidRDefault="005063CB" w:rsidP="00A325AD">
                          <w:r>
                            <w:rPr>
                              <w:rFonts w:ascii="Arial" w:hAnsi="Arial"/>
                              <w:b/>
                              <w:bCs/>
                              <w:color w:val="000000"/>
                              <w:sz w:val="16"/>
                              <w:szCs w:val="16"/>
                            </w:rPr>
                            <w:t>55.03.07</w:t>
                          </w:r>
                        </w:p>
                      </w:txbxContent>
                    </v:textbox>
                  </v:rect>
                  <v:rect id="Rectangle 76" o:spid="_x0000_s1174" style="position:absolute;left:772;top:2648;width:2971;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efcIA&#10;AADcAAAADwAAAGRycy9kb3ducmV2LnhtbESP3WoCMRSE7wXfIRzBO826li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59wgAAANwAAAAPAAAAAAAAAAAAAAAAAJgCAABkcnMvZG93&#10;bnJldi54bWxQSwUGAAAAAAQABAD1AAAAhwMAAAAA&#10;" filled="f" stroked="f">
                    <v:textbox style="mso-fit-shape-to-text:t" inset="0,0,0,0">
                      <w:txbxContent>
                        <w:p w:rsidR="005063CB" w:rsidRDefault="005063CB" w:rsidP="00A325AD">
                          <w:r>
                            <w:rPr>
                              <w:rFonts w:ascii="Arial" w:hAnsi="Arial"/>
                              <w:color w:val="000000"/>
                              <w:sz w:val="16"/>
                              <w:szCs w:val="16"/>
                            </w:rPr>
                            <w:t>Additional and unpredictable contributions</w:t>
                          </w:r>
                        </w:p>
                      </w:txbxContent>
                    </v:textbox>
                  </v:rect>
                  <v:rect id="Rectangle 77" o:spid="_x0000_s1175" style="position:absolute;left:5292;top:2648;width:623;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GCcEA&#10;AADcAAAADwAAAGRycy9kb3ducmV2LnhtbESP3YrCMBSE74V9h3CEvdPUI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RgnBAAAA3AAAAA8AAAAAAAAAAAAAAAAAmAIAAGRycy9kb3du&#10;cmV2LnhtbFBLBQYAAAAABAAEAPUAAACGAwAAAAA=&#10;" filled="f" stroked="f">
                    <v:textbox style="mso-fit-shape-to-text:t" inset="0,0,0,0">
                      <w:txbxContent>
                        <w:p w:rsidR="005063CB" w:rsidRDefault="005063CB" w:rsidP="00A325AD">
                          <w:r>
                            <w:rPr>
                              <w:rFonts w:ascii="Arial" w:hAnsi="Arial"/>
                              <w:color w:val="000000"/>
                              <w:sz w:val="16"/>
                              <w:szCs w:val="16"/>
                            </w:rPr>
                            <w:t>55,013.0</w:t>
                          </w:r>
                        </w:p>
                      </w:txbxContent>
                    </v:textbox>
                  </v:rect>
                  <v:rect id="Rectangle 78" o:spid="_x0000_s1176" style="position:absolute;left:7050;top:2648;width:223;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jksIA&#10;AADcAAAADwAAAGRycy9kb3ducmV2LnhtbESP3WoCMRSE7wXfIRzBO8262C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OSwgAAANwAAAAPAAAAAAAAAAAAAAAAAJgCAABkcnMvZG93&#10;bnJldi54bWxQSwUGAAAAAAQABAD1AAAAhwMAAAAA&#10;" filled="f" stroked="f">
                    <v:textbox style="mso-fit-shape-to-text:t" inset="0,0,0,0">
                      <w:txbxContent>
                        <w:p w:rsidR="005063CB" w:rsidRDefault="005063CB" w:rsidP="00A325AD">
                          <w:r>
                            <w:rPr>
                              <w:rFonts w:ascii="Arial" w:hAnsi="Arial"/>
                              <w:color w:val="000000"/>
                              <w:sz w:val="16"/>
                              <w:szCs w:val="16"/>
                            </w:rPr>
                            <w:t>0.0</w:t>
                          </w:r>
                        </w:p>
                      </w:txbxContent>
                    </v:textbox>
                  </v:rect>
                  <v:rect id="Rectangle 79" o:spid="_x0000_s1177" style="position:absolute;left:8309;top:2648;width:223;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95cEA&#10;AADcAAAADwAAAGRycy9kb3ducmV2LnhtbESP3YrCMBSE7xd8h3AWvFvTLSJ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lfeXBAAAA3AAAAA8AAAAAAAAAAAAAAAAAmAIAAGRycy9kb3du&#10;cmV2LnhtbFBLBQYAAAAABAAEAPUAAACGAwAAAAA=&#10;" filled="f" stroked="f">
                    <v:textbox style="mso-fit-shape-to-text:t" inset="0,0,0,0">
                      <w:txbxContent>
                        <w:p w:rsidR="005063CB" w:rsidRDefault="005063CB" w:rsidP="00A325AD">
                          <w:r>
                            <w:rPr>
                              <w:rFonts w:ascii="Arial" w:hAnsi="Arial"/>
                              <w:color w:val="000000"/>
                              <w:sz w:val="16"/>
                              <w:szCs w:val="16"/>
                            </w:rPr>
                            <w:t>0.0</w:t>
                          </w:r>
                        </w:p>
                      </w:txbxContent>
                    </v:textbox>
                  </v:rect>
                  <v:rect id="Rectangle 80" o:spid="_x0000_s1178" style="position:absolute;left:9569;top:2648;width:223;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YfsIA&#10;AADcAAAADwAAAGRycy9kb3ducmV2LnhtbESP3WoCMRSE7wXfIRzBO826SC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dh+wgAAANwAAAAPAAAAAAAAAAAAAAAAAJgCAABkcnMvZG93&#10;bnJldi54bWxQSwUGAAAAAAQABAD1AAAAhwMAAAAA&#10;" filled="f" stroked="f">
                    <v:textbox style="mso-fit-shape-to-text:t" inset="0,0,0,0">
                      <w:txbxContent>
                        <w:p w:rsidR="005063CB" w:rsidRDefault="005063CB" w:rsidP="00A325AD">
                          <w:r>
                            <w:rPr>
                              <w:rFonts w:ascii="Arial" w:hAnsi="Arial"/>
                              <w:color w:val="000000"/>
                              <w:sz w:val="16"/>
                              <w:szCs w:val="16"/>
                            </w:rPr>
                            <w:t>0.0</w:t>
                          </w:r>
                        </w:p>
                      </w:txbxContent>
                    </v:textbox>
                  </v:rect>
                  <v:rect id="Rectangle 81" o:spid="_x0000_s1179" style="position:absolute;left:1249;top:286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MDL4A&#10;AADcAAAADwAAAGRycy9kb3ducmV2LnhtbERPy4rCMBTdC/5DuMLsNLUM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C2TAy+AAAA3AAAAA8AAAAAAAAAAAAAAAAAmAIAAGRycy9kb3ducmV2&#10;LnhtbFBLBQYAAAAABAAEAPUAAACDAwAAAAA=&#10;" filled="f" stroked="f">
                    <v:textbox style="mso-fit-shape-to-text:t" inset="0,0,0,0">
                      <w:txbxContent>
                        <w:p w:rsidR="005063CB" w:rsidRDefault="005063CB" w:rsidP="00A325AD"/>
                      </w:txbxContent>
                    </v:textbox>
                  </v:rect>
                  <v:rect id="Rectangle 82" o:spid="_x0000_s1180" style="position:absolute;left:1280;top:2901;width:3264;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pl8IA&#10;AADcAAAADwAAAGRycy9kb3ducmV2LnhtbESP3WoCMRSE7wu+QziCdzXrI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mXwgAAANwAAAAPAAAAAAAAAAAAAAAAAJgCAABkcnMvZG93&#10;bnJldi54bWxQSwUGAAAAAAQABAD1AAAAhwMAAAAA&#10;" filled="f" stroked="f">
                    <v:textbox style="mso-fit-shape-to-text:t" inset="0,0,0,0">
                      <w:txbxContent>
                        <w:p w:rsidR="005063CB" w:rsidRDefault="005063CB" w:rsidP="00A325AD">
                          <w:r>
                            <w:rPr>
                              <w:rFonts w:ascii="Arial" w:hAnsi="Arial"/>
                              <w:color w:val="000000"/>
                              <w:sz w:val="16"/>
                              <w:szCs w:val="16"/>
                            </w:rPr>
                            <w:t xml:space="preserve">reserves to cover the differences calculated at </w:t>
                          </w:r>
                        </w:p>
                      </w:txbxContent>
                    </v:textbox>
                  </v:rect>
                  <v:rect id="Rectangle 83" o:spid="_x0000_s1181" style="position:absolute;left:1249;top:3104;width:1708;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W178A&#10;AADcAAAADwAAAGRycy9kb3ducmV2LnhtbERPy4rCMBTdC/MP4Q7MTtNREa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GdbXvwAAANwAAAAPAAAAAAAAAAAAAAAAAJgCAABkcnMvZG93bnJl&#10;di54bWxQSwUGAAAAAAQABAD1AAAAhAMAAAAA&#10;" filled="f" stroked="f">
                    <v:textbox style="mso-fit-shape-to-text:t" inset="0,0,0,0">
                      <w:txbxContent>
                        <w:p w:rsidR="005063CB" w:rsidRDefault="005063CB" w:rsidP="00A325AD">
                          <w:r>
                            <w:rPr>
                              <w:rFonts w:ascii="Arial" w:hAnsi="Arial"/>
                              <w:color w:val="000000"/>
                              <w:sz w:val="16"/>
                              <w:szCs w:val="16"/>
                            </w:rPr>
                            <w:t xml:space="preserve">VAT and NGR balances </w:t>
                          </w:r>
                        </w:p>
                      </w:txbxContent>
                    </v:textbox>
                  </v:rect>
                  <v:rect id="Rectangle 84" o:spid="_x0000_s1182" style="position:absolute;left:5292;top:2861;width:623;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zTMIA&#10;AADcAAAADwAAAGRycy9kb3ducmV2LnhtbESPzYoCMRCE74LvEFrwphl/WGQ0igiCu3hx9AGaSc8P&#10;Jp0hic7s228WFvZYVNVX1O4wWCPe5EPrWMFinoEgLp1uuVbwuJ9nGxAhIms0jknBNwU47MejHeba&#10;9XyjdxFrkSAcclTQxNjlUoayIYth7jri5FXOW4xJ+lpqj32CWyOXWfYhLbacFhrs6NRQ+SxeVoG8&#10;F+d+Uxifua9ldTWfl1tFTqnpZDhuQUQa4n/4r33RCtarB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XNMwgAAANwAAAAPAAAAAAAAAAAAAAAAAJgCAABkcnMvZG93&#10;bnJldi54bWxQSwUGAAAAAAQABAD1AAAAhwMAAAAA&#10;" filled="f" stroked="f">
                    <v:textbox style="mso-fit-shape-to-text:t" inset="0,0,0,0">
                      <w:txbxContent>
                        <w:p w:rsidR="005063CB" w:rsidRDefault="005063CB" w:rsidP="00A325AD">
                          <w:r>
                            <w:rPr>
                              <w:rFonts w:ascii="Arial" w:hAnsi="Arial"/>
                              <w:color w:val="000000"/>
                              <w:sz w:val="16"/>
                              <w:szCs w:val="16"/>
                            </w:rPr>
                            <w:t>55,013.0</w:t>
                          </w:r>
                        </w:p>
                      </w:txbxContent>
                    </v:textbox>
                  </v:rect>
                  <v:rect id="Rectangle 85" o:spid="_x0000_s1183" style="position:absolute;left:7050;top:2861;width:223;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tO8IA&#10;AADcAAAADwAAAGRycy9kb3ducmV2LnhtbESP3WoCMRSE7wXfIRzBO826li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07wgAAANwAAAAPAAAAAAAAAAAAAAAAAJgCAABkcnMvZG93&#10;bnJldi54bWxQSwUGAAAAAAQABAD1AAAAhwMAAAAA&#10;" filled="f" stroked="f">
                    <v:textbox style="mso-fit-shape-to-text:t" inset="0,0,0,0">
                      <w:txbxContent>
                        <w:p w:rsidR="005063CB" w:rsidRDefault="005063CB" w:rsidP="00A325AD">
                          <w:r>
                            <w:rPr>
                              <w:rFonts w:ascii="Arial" w:hAnsi="Arial"/>
                              <w:color w:val="000000"/>
                              <w:sz w:val="16"/>
                              <w:szCs w:val="16"/>
                            </w:rPr>
                            <w:t>0.0</w:t>
                          </w:r>
                        </w:p>
                      </w:txbxContent>
                    </v:textbox>
                  </v:rect>
                  <v:rect id="Rectangle 86" o:spid="_x0000_s1184" style="position:absolute;left:8309;top:2861;width:223;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tIoMIA&#10;AADcAAAADwAAAGRycy9kb3ducmV2LnhtbESPzYoCMRCE74LvEFrwphl/EJk1igiCLl4c9wGaSc8P&#10;Jp0hyTqzb79ZWPBYVNVX1O4wWCNe5EPrWMFinoEgLp1uuVbw9TjPtiBCRNZoHJOCHwpw2I9HO8y1&#10;6/lOryLWIkE45KigibHLpQxlQxbD3HXEyauctxiT9LXUHvsEt0Yus2wjLbacFhrs6NRQ+Sy+rQL5&#10;KM79tjA+c5/L6maul3tFTqnpZDh+gIg0xHf4v33RCta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y0igwgAAANwAAAAPAAAAAAAAAAAAAAAAAJgCAABkcnMvZG93&#10;bnJldi54bWxQSwUGAAAAAAQABAD1AAAAhwMAAAAA&#10;" filled="f" stroked="f">
                    <v:textbox style="mso-fit-shape-to-text:t" inset="0,0,0,0">
                      <w:txbxContent>
                        <w:p w:rsidR="005063CB" w:rsidRDefault="005063CB" w:rsidP="00A325AD">
                          <w:r>
                            <w:rPr>
                              <w:rFonts w:ascii="Arial" w:hAnsi="Arial"/>
                              <w:color w:val="000000"/>
                              <w:sz w:val="16"/>
                              <w:szCs w:val="16"/>
                            </w:rPr>
                            <w:t>0.0</w:t>
                          </w:r>
                        </w:p>
                      </w:txbxContent>
                    </v:textbox>
                  </v:rect>
                  <v:rect id="Rectangle 87" o:spid="_x0000_s1185" style="position:absolute;left:9569;top:2861;width:223;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Q1MIA&#10;AADcAAAADwAAAGRycy9kb3ducmV2LnhtbESPzYoCMRCE74LvEFrYm2b8YZFZo4ggqHhx3AdoJj0/&#10;mHSGJOvMvv1GEPZYVNVX1GY3WCOe5EPrWMF8loEgLp1uuVbwfT9O1yBCRNZoHJOCXwqw245HG8y1&#10;6/lGzyLWIkE45KigibHLpQxlQxbDzHXEyauctxiT9LXUHvsEt0YusuxTWmw5LTTY0aGh8lH8WAXy&#10;Xhz7dWF85i6L6mrOp1tFTqmPybD/AhFpiP/hd/ukFayW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ItDUwgAAANwAAAAPAAAAAAAAAAAAAAAAAJgCAABkcnMvZG93&#10;bnJldi54bWxQSwUGAAAAAAQABAD1AAAAhwMAAAAA&#10;" filled="f" stroked="f">
                    <v:textbox style="mso-fit-shape-to-text:t" inset="0,0,0,0">
                      <w:txbxContent>
                        <w:p w:rsidR="005063CB" w:rsidRDefault="005063CB" w:rsidP="00A325AD">
                          <w:r>
                            <w:rPr>
                              <w:rFonts w:ascii="Arial" w:hAnsi="Arial"/>
                              <w:color w:val="000000"/>
                              <w:sz w:val="16"/>
                              <w:szCs w:val="16"/>
                            </w:rPr>
                            <w:t>0.0</w:t>
                          </w:r>
                        </w:p>
                      </w:txbxContent>
                    </v:textbox>
                  </v:rect>
                  <v:rect id="Rectangle 88" o:spid="_x0000_s1186" style="position:absolute;left:173;top:3307;width:401;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51T8IA&#10;AADcAAAADwAAAGRycy9kb3ducmV2LnhtbESP3WoCMRSE7wu+QziCdzWrVpHVKFIQbPHG1Qc4bM7+&#10;YHKyJKm7ffumIHg5zMw3zHY/WCMe5EPrWMFsmoEgLp1uuVZwux7f1yBCRNZoHJOCXwqw343etphr&#10;1/OFHkWsRYJwyFFBE2OXSxnKhiyGqeuIk1c5bzEm6WupPfYJbo2cZ9lKWmw5LTTY0WdD5b34sQrk&#10;tTj268L4zH3Pq7P5Ol0qckpNxsNhAyLSEF/hZ/ukFXws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nVPwgAAANwAAAAPAAAAAAAAAAAAAAAAAJgCAABkcnMvZG93&#10;bnJldi54bWxQSwUGAAAAAAQABAD1AAAAhwMAAAAA&#10;" filled="f" stroked="f">
                    <v:textbox style="mso-fit-shape-to-text:t" inset="0,0,0,0">
                      <w:txbxContent>
                        <w:p w:rsidR="005063CB" w:rsidRDefault="005063CB" w:rsidP="00A325AD">
                          <w:r>
                            <w:rPr>
                              <w:rFonts w:ascii="Arial" w:hAnsi="Arial"/>
                              <w:b/>
                              <w:bCs/>
                              <w:color w:val="000000"/>
                              <w:sz w:val="16"/>
                              <w:szCs w:val="16"/>
                            </w:rPr>
                            <w:t>55.03</w:t>
                          </w:r>
                        </w:p>
                      </w:txbxContent>
                    </v:textbox>
                  </v:rect>
                  <v:rect id="Rectangle 89" o:spid="_x0000_s1187" style="position:absolute;left:772;top:3307;width:3149;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zrOMIA&#10;AADcAAAADwAAAGRycy9kb3ducmV2LnhtbESPzYoCMRCE74LvEFrwphl1E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vOs4wgAAANwAAAAPAAAAAAAAAAAAAAAAAJgCAABkcnMvZG93&#10;bnJldi54bWxQSwUGAAAAAAQABAD1AAAAhwMAAAAA&#10;" filled="f" stroked="f">
                    <v:textbox style="mso-fit-shape-to-text:t" inset="0,0,0,0">
                      <w:txbxContent>
                        <w:p w:rsidR="005063CB" w:rsidRDefault="005063CB" w:rsidP="00A325AD">
                          <w:r>
                            <w:rPr>
                              <w:rFonts w:ascii="Arial" w:hAnsi="Arial"/>
                              <w:b/>
                              <w:bCs/>
                              <w:i/>
                              <w:iCs/>
                              <w:color w:val="000000"/>
                              <w:sz w:val="16"/>
                              <w:szCs w:val="16"/>
                            </w:rPr>
                            <w:t>Romania’s contribution to the EU budget</w:t>
                          </w:r>
                        </w:p>
                      </w:txbxContent>
                    </v:textbox>
                  </v:rect>
                  <v:rect id="Rectangle 90" o:spid="_x0000_s1188" style="position:absolute;left:5160;top:3307;width:846;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Oo8IA&#10;AADcAAAADwAAAGRycy9kb3ducmV2LnhtbESP3WoCMRSE7wu+QziCdzWrFp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E6jwgAAANwAAAAPAAAAAAAAAAAAAAAAAJgCAABkcnMvZG93&#10;bnJldi54bWxQSwUGAAAAAAQABAD1AAAAhwMAAAAA&#10;" filled="f" stroked="f">
                    <v:textbox style="mso-fit-shape-to-text:t" inset="0,0,0,0">
                      <w:txbxContent>
                        <w:p w:rsidR="005063CB" w:rsidRDefault="005063CB" w:rsidP="00A325AD">
                          <w:r>
                            <w:rPr>
                              <w:rFonts w:ascii="Arial" w:hAnsi="Arial"/>
                              <w:b/>
                              <w:bCs/>
                              <w:color w:val="000000"/>
                              <w:sz w:val="16"/>
                              <w:szCs w:val="16"/>
                            </w:rPr>
                            <w:t>8,627,398.0</w:t>
                          </w:r>
                        </w:p>
                      </w:txbxContent>
                    </v:textbox>
                  </v:rect>
                  <v:rect id="Rectangle 91" o:spid="_x0000_s1189" style="position:absolute;left:6420;top:3307;width:846;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0b8A&#10;AADcAAAADwAAAGRycy9kb3ducmV2LnhtbERPy4rCMBTdC/MP4Q7MTtNREa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b9rRvwAAANwAAAAPAAAAAAAAAAAAAAAAAJgCAABkcnMvZG93bnJl&#10;di54bWxQSwUGAAAAAAQABAD1AAAAhAMAAAAA&#10;" filled="f" stroked="f">
                    <v:textbox style="mso-fit-shape-to-text:t" inset="0,0,0,0">
                      <w:txbxContent>
                        <w:p w:rsidR="005063CB" w:rsidRDefault="005063CB" w:rsidP="00A325AD">
                          <w:r>
                            <w:rPr>
                              <w:rFonts w:ascii="Arial" w:hAnsi="Arial"/>
                              <w:b/>
                              <w:bCs/>
                              <w:color w:val="000000"/>
                              <w:sz w:val="16"/>
                              <w:szCs w:val="16"/>
                            </w:rPr>
                            <w:t>9,104,732.0</w:t>
                          </w:r>
                        </w:p>
                      </w:txbxContent>
                    </v:textbox>
                  </v:rect>
                  <v:rect id="Rectangle 92" o:spid="_x0000_s1190" style="position:absolute;left:7680;top:3307;width:846;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sIA&#10;AADcAAAADwAAAGRycy9kb3ducmV2LnhtbESP3WoCMRSE7wu+QziCdzWrFt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I39KwgAAANwAAAAPAAAAAAAAAAAAAAAAAJgCAABkcnMvZG93&#10;bnJldi54bWxQSwUGAAAAAAQABAD1AAAAhwMAAAAA&#10;" filled="f" stroked="f">
                    <v:textbox style="mso-fit-shape-to-text:t" inset="0,0,0,0">
                      <w:txbxContent>
                        <w:p w:rsidR="005063CB" w:rsidRDefault="005063CB" w:rsidP="00A325AD">
                          <w:r>
                            <w:rPr>
                              <w:rFonts w:ascii="Arial" w:hAnsi="Arial"/>
                              <w:b/>
                              <w:bCs/>
                              <w:color w:val="000000"/>
                              <w:sz w:val="16"/>
                              <w:szCs w:val="16"/>
                            </w:rPr>
                            <w:t>9,642,226.0</w:t>
                          </w:r>
                        </w:p>
                      </w:txbxContent>
                    </v:textbox>
                  </v:rect>
                  <v:rect id="Rectangle 93" o:spid="_x0000_s1191" style="position:absolute;left:8939;top:3307;width:846;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qsAA&#10;AADcAAAADwAAAGRycy9kb3ducmV2LnhtbERPS2rDMBDdF3IHMYHsGrkh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lqsAAAADcAAAADwAAAAAAAAAAAAAAAACYAgAAZHJzL2Rvd25y&#10;ZXYueG1sUEsFBgAAAAAEAAQA9QAAAIUDAAAAAA==&#10;" filled="f" stroked="f">
                    <v:textbox style="mso-fit-shape-to-text:t" inset="0,0,0,0">
                      <w:txbxContent>
                        <w:p w:rsidR="005063CB" w:rsidRDefault="005063CB" w:rsidP="00A325AD">
                          <w:r>
                            <w:rPr>
                              <w:rFonts w:ascii="Arial" w:hAnsi="Arial"/>
                              <w:b/>
                              <w:bCs/>
                              <w:color w:val="000000"/>
                              <w:sz w:val="16"/>
                              <w:szCs w:val="16"/>
                            </w:rPr>
                            <w:t>9,877,824.0</w:t>
                          </w:r>
                        </w:p>
                      </w:txbxContent>
                    </v:textbox>
                  </v:rect>
                  <v:rect id="Rectangle 94" o:spid="_x0000_s1192" style="position:absolute;left:5313;top:3591;width:773;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McIA&#10;AADcAAAADwAAAGRycy9kb3ducmV2LnhtbESP3YrCMBSE74V9h3AE72yqyC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UwAxwgAAANwAAAAPAAAAAAAAAAAAAAAAAJgCAABkcnMvZG93&#10;bnJldi54bWxQSwUGAAAAAAQABAD1AAAAhwMAAAAA&#10;" filled="f" stroked="f">
                    <v:textbox style="mso-fit-shape-to-text:t" inset="0,0,0,0">
                      <w:txbxContent>
                        <w:p w:rsidR="005063CB" w:rsidRDefault="005063CB" w:rsidP="00A325AD">
                          <w:r>
                            <w:rPr>
                              <w:rFonts w:ascii="Arial" w:hAnsi="Arial"/>
                              <w:i/>
                              <w:iCs/>
                              <w:color w:val="FFFFFF"/>
                              <w:sz w:val="14"/>
                              <w:szCs w:val="14"/>
                            </w:rPr>
                            <w:t>1,572,248.0</w:t>
                          </w:r>
                        </w:p>
                      </w:txbxContent>
                    </v:textbox>
                  </v:rect>
                  <v:rect id="Rectangle 95" o:spid="_x0000_s1193" style="position:absolute;left:6572;top:3591;width:773;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eRsEA&#10;AADcAAAADwAAAGRycy9kb3ducmV2LnhtbESP3YrCMBSE74V9h3CEvdPUI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BnkbBAAAA3AAAAA8AAAAAAAAAAAAAAAAAmAIAAGRycy9kb3du&#10;cmV2LnhtbFBLBQYAAAAABAAEAPUAAACGAwAAAAA=&#10;" filled="f" stroked="f">
                    <v:textbox style="mso-fit-shape-to-text:t" inset="0,0,0,0">
                      <w:txbxContent>
                        <w:p w:rsidR="005063CB" w:rsidRDefault="005063CB" w:rsidP="00A325AD">
                          <w:r>
                            <w:rPr>
                              <w:rFonts w:ascii="Arial" w:hAnsi="Arial"/>
                              <w:i/>
                              <w:iCs/>
                              <w:color w:val="FFFFFF"/>
                              <w:sz w:val="14"/>
                              <w:szCs w:val="14"/>
                            </w:rPr>
                            <w:t>1,418,204.0</w:t>
                          </w:r>
                        </w:p>
                      </w:txbxContent>
                    </v:textbox>
                  </v:rect>
                  <v:rect id="Rectangle 96" o:spid="_x0000_s1194" style="position:absolute;left:7832;top:3591;width:773;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073cIA&#10;AADcAAAADwAAAGRycy9kb3ducmV2LnhtbESPzYoCMRCE74LvEFrYm2b8YZFZo4ggqHhx3AdoJj0/&#10;mHSGJOvMvv1GEPZYVNVX1GY3WCOe5EPrWMF8loEgLp1uuVbwfT9O1yBCRNZoHJOCXwqw245HG8y1&#10;6/lGzyLWIkE45KigibHLpQxlQxbDzHXEyauctxiT9LXUHvsEt0YusuxTWmw5LTTY0aGh8lH8WAXy&#10;Xhz7dWF85i6L6mrOp1tFTqmPybD/AhFpiP/hd/ukFaxWS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zTvdwgAAANwAAAAPAAAAAAAAAAAAAAAAAJgCAABkcnMvZG93&#10;bnJldi54bWxQSwUGAAAAAAQABAD1AAAAhwMAAAAA&#10;" filled="f" stroked="f">
                    <v:textbox style="mso-fit-shape-to-text:t" inset="0,0,0,0">
                      <w:txbxContent>
                        <w:p w:rsidR="005063CB" w:rsidRDefault="005063CB" w:rsidP="00A325AD">
                          <w:r>
                            <w:rPr>
                              <w:rFonts w:ascii="Arial" w:hAnsi="Arial"/>
                              <w:i/>
                              <w:iCs/>
                              <w:color w:val="FFFFFF"/>
                              <w:sz w:val="14"/>
                              <w:szCs w:val="14"/>
                            </w:rPr>
                            <w:t>1,955,698.0</w:t>
                          </w:r>
                        </w:p>
                      </w:txbxContent>
                    </v:textbox>
                  </v:rect>
                  <v:rect id="Rectangle 97" o:spid="_x0000_s1195" style="position:absolute;left:9091;top:3591;width:773;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SjqcEA&#10;AADcAAAADwAAAGRycy9kb3ducmV2LnhtbESP3YrCMBSE74V9h3CEvdNUKY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ko6nBAAAA3AAAAA8AAAAAAAAAAAAAAAAAmAIAAGRycy9kb3du&#10;cmV2LnhtbFBLBQYAAAAABAAEAPUAAACGAwAAAAA=&#10;" filled="f" stroked="f">
                    <v:textbox style="mso-fit-shape-to-text:t" inset="0,0,0,0">
                      <w:txbxContent>
                        <w:p w:rsidR="005063CB" w:rsidRDefault="005063CB" w:rsidP="00A325AD">
                          <w:r>
                            <w:rPr>
                              <w:rFonts w:ascii="Arial" w:hAnsi="Arial"/>
                              <w:i/>
                              <w:iCs/>
                              <w:color w:val="FFFFFF"/>
                              <w:sz w:val="14"/>
                              <w:szCs w:val="14"/>
                            </w:rPr>
                            <w:t>2,191,296.0</w:t>
                          </w:r>
                        </w:p>
                      </w:txbxContent>
                    </v:textbox>
                  </v:rect>
                  <v:rect id="Rectangle 98" o:spid="_x0000_s1196" style="position:absolute;left:762;top:3855;width:1734;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gGMsIA&#10;AADcAAAADwAAAGRycy9kb3ducmV2LnhtbESPzYoCMRCE74LvEFrwphlFRWaNIoKgixfHfYBm0vOD&#10;SWdIss7s228WFjwWVfUVtTsM1ogX+dA6VrCYZyCIS6dbrhV8Pc6zLYgQkTUax6TghwIc9uPRDnPt&#10;er7Tq4i1SBAOOSpoYuxyKUPZkMUwdx1x8irnLcYkfS21xz7BrZHLLNtIiy2nhQY7OjVUPotvq0A+&#10;inO/LYzP3Oeyupnr5V6RU2o6GY4fICIN8R3+b1+0gtVqD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aAYywgAAANwAAAAPAAAAAAAAAAAAAAAAAJgCAABkcnMvZG93&#10;bnJldi54bWxQSwUGAAAAAAQABAD1AAAAhwMAAAAA&#10;" filled="f" stroked="f">
                    <v:textbox style="mso-fit-shape-to-text:t" inset="0,0,0,0">
                      <w:txbxContent>
                        <w:p w:rsidR="005063CB" w:rsidRDefault="005063CB" w:rsidP="00A325AD">
                          <w:r>
                            <w:rPr>
                              <w:rFonts w:ascii="Arial" w:hAnsi="Arial"/>
                              <w:color w:val="000000"/>
                              <w:sz w:val="16"/>
                              <w:szCs w:val="16"/>
                            </w:rPr>
                            <w:t xml:space="preserve">Gross Domestic Product </w:t>
                          </w:r>
                        </w:p>
                      </w:txbxContent>
                    </v:textbox>
                  </v:rect>
                  <v:rect id="Rectangle 99" o:spid="_x0000_s1197" style="position:absolute;left:2113;top:3824;width:73;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qYRcEA&#10;AADcAAAADwAAAGRycy9kb3ducmV2LnhtbESPzYoCMRCE7wu+Q2jB25pRRG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6mEXBAAAA3AAAAA8AAAAAAAAAAAAAAAAAmAIAAGRycy9kb3du&#10;cmV2LnhtbFBLBQYAAAAABAAEAPUAAACGAwAAAAA=&#10;" filled="f" stroked="f">
                    <v:textbox style="mso-fit-shape-to-text:t" inset="0,0,0,0">
                      <w:txbxContent>
                        <w:p w:rsidR="005063CB" w:rsidRDefault="005063CB" w:rsidP="00A325AD">
                          <w:r>
                            <w:rPr>
                              <w:rFonts w:ascii="Arial" w:hAnsi="Arial"/>
                              <w:color w:val="000000"/>
                              <w:sz w:val="10"/>
                              <w:szCs w:val="10"/>
                            </w:rPr>
                            <w:t>*)</w:t>
                          </w:r>
                        </w:p>
                      </w:txbxContent>
                    </v:textbox>
                  </v:rect>
                  <v:rect id="Rectangle 100" o:spid="_x0000_s1198" style="position:absolute;left:4967;top:3824;width:1157;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93sIA&#10;AADcAAAADwAAAGRycy9kb3ducmV2LnhtbESPzYoCMRCE74LvEFrwphlFVGaNIoKgixfHfYBm0vOD&#10;SWdIss7s228WFjwWVfUVtTsM1ogX+dA6VrCYZyCIS6dbrhV8Pc6zLYgQkTUax6TghwIc9uPRDnPt&#10;er7Tq4i1SBAOOSpoYuxyKUPZkMUwdx1x8irnLcYkfS21xz7BrZHLLFtLiy2nhQY7OjVUPotvq0A+&#10;inO/LYzP3Oeyupnr5V6RU2o6GY4fICIN8R3+b1+0gtVqA3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9j3ewgAAANwAAAAPAAAAAAAAAAAAAAAAAJgCAABkcnMvZG93&#10;bnJldi54bWxQSwUGAAAAAAQABAD1AAAAhwMAAAAA&#10;" filled="f" stroked="f">
                    <v:textbox style="mso-fit-shape-to-text:t" inset="0,0,0,0">
                      <w:txbxContent>
                        <w:p w:rsidR="005063CB" w:rsidRDefault="005063CB" w:rsidP="00A325AD">
                          <w:r>
                            <w:rPr>
                              <w:rFonts w:ascii="Arial" w:hAnsi="Arial"/>
                              <w:color w:val="000000"/>
                              <w:sz w:val="16"/>
                              <w:szCs w:val="16"/>
                            </w:rPr>
                            <w:t>1,022,500,000.0</w:t>
                          </w:r>
                        </w:p>
                      </w:txbxContent>
                    </v:textbox>
                  </v:rect>
                  <v:rect id="Rectangle 101" o:spid="_x0000_s1199" style="position:absolute;left:6227;top:3824;width:1157;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prMAA&#10;AADcAAAADwAAAGRycy9kb3ducmV2LnhtbERPS2rDMBDdF3IHMYHsGrkh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mprMAAAADcAAAADwAAAAAAAAAAAAAAAACYAgAAZHJzL2Rvd25y&#10;ZXYueG1sUEsFBgAAAAAEAAQA9QAAAIUDAAAAAA==&#10;" filled="f" stroked="f">
                    <v:textbox style="mso-fit-shape-to-text:t" inset="0,0,0,0">
                      <w:txbxContent>
                        <w:p w:rsidR="005063CB" w:rsidRDefault="005063CB" w:rsidP="00A325AD">
                          <w:r>
                            <w:rPr>
                              <w:rFonts w:ascii="Arial" w:hAnsi="Arial"/>
                              <w:color w:val="000000"/>
                              <w:sz w:val="16"/>
                              <w:szCs w:val="16"/>
                            </w:rPr>
                            <w:t>1,101,000,000.0</w:t>
                          </w:r>
                        </w:p>
                      </w:txbxContent>
                    </v:textbox>
                  </v:rect>
                  <v:rect id="Rectangle 102" o:spid="_x0000_s1200" style="position:absolute;left:7487;top:3824;width:1157;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MN8IA&#10;AADcAAAADwAAAGRycy9kb3ducmV2LnhtbESPzYoCMRCE7wu+Q2jB25pRZH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Qw3wgAAANwAAAAPAAAAAAAAAAAAAAAAAJgCAABkcnMvZG93&#10;bnJldi54bWxQSwUGAAAAAAQABAD1AAAAhwMAAAAA&#10;" filled="f" stroked="f">
                    <v:textbox style="mso-fit-shape-to-text:t" inset="0,0,0,0">
                      <w:txbxContent>
                        <w:p w:rsidR="005063CB" w:rsidRDefault="005063CB" w:rsidP="00A325AD">
                          <w:r>
                            <w:rPr>
                              <w:rFonts w:ascii="Arial" w:hAnsi="Arial"/>
                              <w:color w:val="000000"/>
                              <w:sz w:val="16"/>
                              <w:szCs w:val="16"/>
                            </w:rPr>
                            <w:t>1,178,600,000.0</w:t>
                          </w:r>
                        </w:p>
                      </w:txbxContent>
                    </v:textbox>
                  </v:rect>
                  <v:rect id="Rectangle 103" o:spid="_x0000_s1201" style="position:absolute;left:8746;top:3824;width:1157;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zd78A&#10;AADcAAAADwAAAGRycy9kb3ducmV2LnhtbERPy4rCMBTdC/MP4Q7MTtMRFa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xjN3vwAAANwAAAAPAAAAAAAAAAAAAAAAAJgCAABkcnMvZG93bnJl&#10;di54bWxQSwUGAAAAAAQABAD1AAAAhAMAAAAA&#10;" filled="f" stroked="f">
                    <v:textbox style="mso-fit-shape-to-text:t" inset="0,0,0,0">
                      <w:txbxContent>
                        <w:p w:rsidR="005063CB" w:rsidRDefault="005063CB" w:rsidP="00A325AD">
                          <w:r>
                            <w:rPr>
                              <w:rFonts w:ascii="Arial" w:hAnsi="Arial"/>
                              <w:color w:val="000000"/>
                              <w:sz w:val="16"/>
                              <w:szCs w:val="16"/>
                            </w:rPr>
                            <w:t>1,261,500,000.0</w:t>
                          </w:r>
                        </w:p>
                      </w:txbxContent>
                    </v:textbox>
                  </v:rect>
                  <v:rect id="Rectangle 104" o:spid="_x0000_s1202" style="position:absolute;left:762;top:4078;width:4937;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W7MIA&#10;AADcAAAADwAAAGRycy9kb3ducmV2LnhtbESPzYoCMRCE74LvEFrwphlFFxmNIoLgLl4cfYBm0vOD&#10;SWdIojP79puFhT0WVfUVtTsM1og3+dA6VrCYZyCIS6dbrhU87ufZBkSIyBqNY1LwTQEO+/Foh7l2&#10;Pd/oXcRaJAiHHBU0MXa5lKFsyGKYu444eZXzFmOSvpbaY5/g1shlln1Iiy2nhQY7OjVUPouXVSDv&#10;xbnfFMZn7mtZXc3n5VaRU2o6GY5bEJGG+B/+a1+0gtV6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pbswgAAANwAAAAPAAAAAAAAAAAAAAAAAJgCAABkcnMvZG93&#10;bnJldi54bWxQSwUGAAAAAAQABAD1AAAAhwMAAAAA&#10;" filled="f" stroked="f">
                    <v:textbox style="mso-fit-shape-to-text:t" inset="0,0,0,0">
                      <w:txbxContent>
                        <w:p w:rsidR="005063CB" w:rsidRPr="00393B6C" w:rsidRDefault="005063CB" w:rsidP="00A325AD">
                          <w:r>
                            <w:rPr>
                              <w:rFonts w:ascii="Arial" w:hAnsi="Arial"/>
                              <w:color w:val="000000"/>
                              <w:sz w:val="16"/>
                              <w:szCs w:val="16"/>
                            </w:rPr>
                            <w:t xml:space="preserve">Romania’s contribution regarding own resources to the EU budget, as </w:t>
                          </w:r>
                        </w:p>
                      </w:txbxContent>
                    </v:textbox>
                  </v:rect>
                  <v:rect id="Rectangle 105" o:spid="_x0000_s1203" style="position:absolute;left:762;top:4271;width:4261;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Im8IA&#10;AADcAAAADwAAAGRycy9kb3ducmV2LnhtbESP3WoCMRSE7wXfIRzBO8262C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AibwgAAANwAAAAPAAAAAAAAAAAAAAAAAJgCAABkcnMvZG93&#10;bnJldi54bWxQSwUGAAAAAAQABAD1AAAAhwMAAAAA&#10;" filled="f" stroked="f">
                    <v:textbox style="mso-fit-shape-to-text:t" inset="0,0,0,0">
                      <w:txbxContent>
                        <w:p w:rsidR="005063CB" w:rsidRDefault="005063CB" w:rsidP="00A325AD">
                          <w:r>
                            <w:rPr>
                              <w:rFonts w:ascii="Arial" w:hAnsi="Arial"/>
                              <w:color w:val="000000"/>
                              <w:sz w:val="16"/>
                              <w:szCs w:val="16"/>
                            </w:rPr>
                            <w:t xml:space="preserve">Share in the GDP (%), including additional contributions and </w:t>
                          </w:r>
                        </w:p>
                      </w:txbxContent>
                    </v:textbox>
                  </v:rect>
                  <v:rect id="Rectangle 106" o:spid="_x0000_s1204" style="position:absolute;left:762;top:4463;width:1913;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tAMIA&#10;AADcAAAADwAAAGRycy9kb3ducmV2LnhtbESP3WoCMRSE7wu+QziCdzWrVpHVKFIQbPHG1Qc4bM7+&#10;YHKyJKm7ffumIHg5zMw3zHY/WCMe5EPrWMFsmoEgLp1uuVZwux7f1yBCRNZoHJOCXwqw343etphr&#10;1/OFHkWsRYJwyFFBE2OXSxnKhiyGqeuIk1c5bzEm6WupPfYJbo2cZ9lKWmw5LTTY0WdD5b34sQrk&#10;tTj268L4zH3Pq7P5Ol0qckpNxsNhAyLSEF/hZ/ukFXw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K0AwgAAANwAAAAPAAAAAAAAAAAAAAAAAJgCAABkcnMvZG93&#10;bnJldi54bWxQSwUGAAAAAAQABAD1AAAAhwMAAAAA&#10;" filled="f" stroked="f">
                    <v:textbox style="mso-fit-shape-to-text:t" inset="0,0,0,0">
                      <w:txbxContent>
                        <w:p w:rsidR="005063CB" w:rsidRDefault="005063CB" w:rsidP="00A325AD">
                          <w:r>
                            <w:rPr>
                              <w:rFonts w:ascii="Arial" w:hAnsi="Arial"/>
                              <w:color w:val="000000"/>
                              <w:sz w:val="16"/>
                              <w:szCs w:val="16"/>
                            </w:rPr>
                            <w:t>unpredictable contributions</w:t>
                          </w:r>
                        </w:p>
                      </w:txbxContent>
                    </v:textbox>
                  </v:rect>
                  <v:rect id="Rectangle 107" o:spid="_x0000_s1205" style="position:absolute;left:5739;top:4271;width:312;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01dMIA&#10;AADcAAAADwAAAGRycy9kb3ducmV2LnhtbESPzYoCMRCE74LvEFrwphlFRWaNIoKgixfHfYBm0vOD&#10;SWdIss7s228WFjwWVfUVtTsM1ogX+dA6VrCYZyCIS6dbrhV8Pc6zLYgQkTUax6TghwIc9uPRDnPt&#10;er7Tq4i1SBAOOSpoYuxyKUPZkMUwdx1x8irnLcYkfS21xz7BrZHLLNtIiy2nhQY7OjVUPotvq0A+&#10;inO/LYzP3Oeyupnr5V6RU2o6GY4fICIN8R3+b1+0gtV6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V0wgAAANwAAAAPAAAAAAAAAAAAAAAAAJgCAABkcnMvZG93&#10;bnJldi54bWxQSwUGAAAAAAQABAD1AAAAhwMAAAAA&#10;" filled="f" stroked="f">
                    <v:textbox style="mso-fit-shape-to-text:t" inset="0,0,0,0">
                      <w:txbxContent>
                        <w:p w:rsidR="005063CB" w:rsidRDefault="005063CB" w:rsidP="00A325AD">
                          <w:r>
                            <w:rPr>
                              <w:rFonts w:ascii="Arial" w:hAnsi="Arial"/>
                              <w:color w:val="000000"/>
                              <w:sz w:val="16"/>
                              <w:szCs w:val="16"/>
                            </w:rPr>
                            <w:t>0.84</w:t>
                          </w:r>
                        </w:p>
                      </w:txbxContent>
                    </v:textbox>
                  </v:rect>
                  <v:rect id="Rectangle 108" o:spid="_x0000_s1206" style="position:absolute;left:6999;top:4271;width:312;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GQ78IA&#10;AADcAAAADwAAAGRycy9kb3ducmV2LnhtbESPzYoCMRCE74LvEFrYm2YUXWTWKCIIKl4c9wGaSc8P&#10;Jp0hyTqzb78RhD0WVfUVtdkN1ogn+dA6VjCfZSCIS6dbrhV834/TNYgQkTUax6TglwLstuPRBnPt&#10;er7Rs4i1SBAOOSpoYuxyKUPZkMUwcx1x8irnLcYkfS21xz7BrZGLLPuUFltOCw12dGiofBQ/VoG8&#10;F8d+XRifucuiuprz6VaRU+pjMuy/QEQa4n/43T5pBcvV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ZDvwgAAANwAAAAPAAAAAAAAAAAAAAAAAJgCAABkcnMvZG93&#10;bnJldi54bWxQSwUGAAAAAAQABAD1AAAAhwMAAAAA&#10;" filled="f" stroked="f">
                    <v:textbox style="mso-fit-shape-to-text:t" inset="0,0,0,0">
                      <w:txbxContent>
                        <w:p w:rsidR="005063CB" w:rsidRDefault="005063CB" w:rsidP="00A325AD">
                          <w:r>
                            <w:rPr>
                              <w:rFonts w:ascii="Arial" w:hAnsi="Arial"/>
                              <w:color w:val="000000"/>
                              <w:sz w:val="16"/>
                              <w:szCs w:val="16"/>
                            </w:rPr>
                            <w:t>0.83</w:t>
                          </w:r>
                        </w:p>
                      </w:txbxContent>
                    </v:textbox>
                  </v:rect>
                  <v:rect id="Rectangle 109" o:spid="_x0000_s1207" style="position:absolute;left:8259;top:4271;width:312;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OmMIA&#10;AADcAAAADwAAAGRycy9kb3ducmV2LnhtbESPzYoCMRCE74LvEFrwphnFF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Yw6YwgAAANwAAAAPAAAAAAAAAAAAAAAAAJgCAABkcnMvZG93&#10;bnJldi54bWxQSwUGAAAAAAQABAD1AAAAhwMAAAAA&#10;" filled="f" stroked="f">
                    <v:textbox style="mso-fit-shape-to-text:t" inset="0,0,0,0">
                      <w:txbxContent>
                        <w:p w:rsidR="005063CB" w:rsidRDefault="005063CB" w:rsidP="00A325AD">
                          <w:r>
                            <w:rPr>
                              <w:rFonts w:ascii="Arial" w:hAnsi="Arial"/>
                              <w:color w:val="000000"/>
                              <w:sz w:val="16"/>
                              <w:szCs w:val="16"/>
                            </w:rPr>
                            <w:t>0.82</w:t>
                          </w:r>
                        </w:p>
                      </w:txbxContent>
                    </v:textbox>
                  </v:rect>
                  <v:rect id="Rectangle 110" o:spid="_x0000_s1208" style="position:absolute;left:9518;top:4271;width:312;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A8IA&#10;AADcAAAADwAAAGRycy9kb3ducmV2LnhtbESP3WoCMRSE7wu+QziCdzWrWJ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L6sDwgAAANwAAAAPAAAAAAAAAAAAAAAAAJgCAABkcnMvZG93&#10;bnJldi54bWxQSwUGAAAAAAQABAD1AAAAhwMAAAAA&#10;" filled="f" stroked="f">
                    <v:textbox style="mso-fit-shape-to-text:t" inset="0,0,0,0">
                      <w:txbxContent>
                        <w:p w:rsidR="005063CB" w:rsidRDefault="005063CB" w:rsidP="00A325AD">
                          <w:r>
                            <w:rPr>
                              <w:rFonts w:ascii="Arial" w:hAnsi="Arial"/>
                              <w:color w:val="000000"/>
                              <w:sz w:val="16"/>
                              <w:szCs w:val="16"/>
                            </w:rPr>
                            <w:t>0.78</w:t>
                          </w:r>
                        </w:p>
                      </w:txbxContent>
                    </v:textbox>
                  </v:rect>
                  <v:rect id="Rectangle 111" o:spid="_x0000_s1209" style="position:absolute;left:30;top:4869;width:84;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A/cb8A&#10;AADcAAAADwAAAGRycy9kb3ducmV2LnhtbERPy4rCMBTdC/MP4Q7MTtMRFa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sD9xvwAAANwAAAAPAAAAAAAAAAAAAAAAAJgCAABkcnMvZG93bnJl&#10;di54bWxQSwUGAAAAAAQABAD1AAAAhAMAAAAA&#10;" filled="f" stroked="f">
                    <v:textbox style="mso-fit-shape-to-text:t" inset="0,0,0,0">
                      <w:txbxContent>
                        <w:p w:rsidR="005063CB" w:rsidRDefault="005063CB" w:rsidP="00A325AD">
                          <w:r>
                            <w:rPr>
                              <w:color w:val="000000"/>
                              <w:sz w:val="10"/>
                              <w:szCs w:val="10"/>
                            </w:rPr>
                            <w:t>*)</w:t>
                          </w:r>
                        </w:p>
                      </w:txbxContent>
                    </v:textbox>
                  </v:rect>
                  <v:rect id="Rectangle 112" o:spid="_x0000_s1210" style="position:absolute;left:112;top:4910;width:223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6sIA&#10;AADcAAAADwAAAGRycy9kb3ducmV2LnhtbESP3WoCMRSE7wu+QziCdzWrWN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rqwgAAANwAAAAPAAAAAAAAAAAAAAAAAJgCAABkcnMvZG93&#10;bnJldi54bWxQSwUGAAAAAAQABAD1AAAAhwMAAAAA&#10;" filled="f" stroked="f">
                    <v:textbox style="mso-fit-shape-to-text:t" inset="0,0,0,0">
                      <w:txbxContent>
                        <w:p w:rsidR="005063CB" w:rsidRPr="00393B6C" w:rsidRDefault="005063CB" w:rsidP="00A325AD">
                          <w:r>
                            <w:rPr>
                              <w:color w:val="000000"/>
                              <w:sz w:val="14"/>
                              <w:szCs w:val="14"/>
                            </w:rPr>
                            <w:t xml:space="preserve"> NCSP - Winter forecast - January 2019</w:t>
                          </w:r>
                        </w:p>
                      </w:txbxContent>
                    </v:textbox>
                  </v:rect>
                  <v:rect id="Rectangle 113" o:spid="_x0000_s1211" style="position:absolute;left:386;top:20;width:7904;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5ysAA&#10;AADcAAAADwAAAGRycy9kb3ducmV2LnhtbERPS2rDMBDdF3IHMYHuGjmmBO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r5ysAAAADcAAAADwAAAAAAAAAAAAAAAACYAgAAZHJzL2Rvd25y&#10;ZXYueG1sUEsFBgAAAAAEAAQA9QAAAIUDAAAAAA==&#10;" filled="f" stroked="f">
                    <v:textbox style="mso-fit-shape-to-text:t" inset="0,0,0,0">
                      <w:txbxContent>
                        <w:p w:rsidR="005063CB" w:rsidRPr="00393B6C" w:rsidRDefault="005063CB" w:rsidP="00A325AD">
                          <w:r>
                            <w:rPr>
                              <w:rFonts w:ascii="Arial" w:hAnsi="Arial"/>
                              <w:b/>
                              <w:bCs/>
                              <w:color w:val="000000"/>
                              <w:sz w:val="16"/>
                              <w:szCs w:val="16"/>
                            </w:rPr>
                            <w:t>Romania’s contribution to the budget of the European Union for 2019 and estimates for years 2020-2022</w:t>
                          </w:r>
                        </w:p>
                      </w:txbxContent>
                    </v:textbox>
                  </v:rect>
                  <v:line id="Line 114" o:spid="_x0000_s1212" style="position:absolute;visibility:visible;mso-wrap-style:square" from="731,0" to="73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dX1scAAADcAAAADwAAAGRycy9kb3ducmV2LnhtbESP3WoCMRSE7wu+QzhCb4pmV4qU1Sja&#10;WmlBKP7h7XFz3F3cnCxJ1G2fvikUvBxm5htmPG1NLa7kfGVZQdpPQBDnVldcKNht33svIHxA1lhb&#10;JgXf5GE66TyMMdP2xmu6bkIhIoR9hgrKEJpMSp+XZND3bUMcvZN1BkOUrpDa4S3CTS0HSTKUBiuO&#10;CyU29FpSft5cjIJD+pn/rHduvpwfnlZvfPxa7OVJqcduOxuBCNSGe/i//aEVPA9T+DsTj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d1fWxwAAANwAAAAPAAAAAAAA&#10;AAAAAAAAAKECAABkcnMvZG93bnJldi54bWxQSwUGAAAAAAQABAD5AAAAlQMAAAAA&#10;" strokecolor="#d4d4d4" strokeweight="0"/>
                  <v:rect id="Rectangle 115" o:spid="_x0000_s1213" style="position:absolute;left:731;width:1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gzVsQA&#10;AADcAAAADwAAAGRycy9kb3ducmV2LnhtbESPUWvCMBSF34X9h3AHe5GZTmbZukYZMsG9qdsPuDS3&#10;TbW5KUnU6q9fBoKPh3POdzjlYrCdOJEPrWMFL5MMBHHldMuNgt+f1fMbiBCRNXaOScGFAizmD6MS&#10;C+3OvKXTLjYiQTgUqMDE2BdShsqQxTBxPXHyauctxiR9I7XHc4LbTk6zLJcWW04LBntaGqoOu6NV&#10;IPcb3cr+K/f7enzQ7+Z7hteZUk+Pw+cHiEhDvIdv7bVW8JpP4f9MO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IM1bEAAAA3AAAAA8AAAAAAAAAAAAAAAAAmAIAAGRycy9k&#10;b3ducmV2LnhtbFBLBQYAAAAABAAEAPUAAACJAwAAAAA=&#10;" fillcolor="#d4d4d4" stroked="f"/>
                  <v:line id="Line 116" o:spid="_x0000_s1214" style="position:absolute;visibility:visible;mso-wrap-style:square" from="4906,0" to="490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lsOscAAADcAAAADwAAAGRycy9kb3ducmV2LnhtbESPW2sCMRSE3wv9D+EUfBHNaovI1ije&#10;WloQxBu+nm6Ou4ubkyWJuu2vbwpCH4eZ+YYZTRpTiSs5X1pW0OsmIIgzq0vOFex3b50hCB+QNVaW&#10;ScE3eZiMHx9GmGp74w1dtyEXEcI+RQVFCHUqpc8KMui7tiaO3sk6gyFKl0vt8BbhppL9JBlIgyXH&#10;hQJrmheUnbcXo+DY+8x+Nns3e58d26sFf62XB3lSqvXUTF9BBGrCf/je/tAKXgbP8HcmHgE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6Ww6xwAAANwAAAAPAAAAAAAA&#10;AAAAAAAAAKECAABkcnMvZG93bnJldi54bWxQSwUGAAAAAAQABAD5AAAAlQMAAAAA&#10;" strokecolor="#d4d4d4" strokeweight="0"/>
                  <v:rect id="Rectangle 117" o:spid="_x0000_s1215" style="position:absolute;left:4906;width:1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OucQA&#10;AADcAAAADwAAAGRycy9kb3ducmV2LnhtbESPUWvCMBSF34X9h3AHvshMFS1b1ygyFLY3p/6AS3Pb&#10;VJubkmTa7dcvA2GPh3POdzjlerCduJIPrWMFs2kGgrhyuuVGwem4e3oGESKyxs4xKfimAOvVw6jE&#10;Qrsbf9L1EBuRIBwKVGBi7AspQ2XIYpi6njh5tfMWY5K+kdrjLcFtJ+dZlkuLLacFgz29Gaouhy+r&#10;QJ73upX9NvfnenLRL+ZjiT9LpcaPw+YVRKQh/ofv7XetYJEv4O9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rnEAAAA3AAAAA8AAAAAAAAAAAAAAAAAmAIAAGRycy9k&#10;b3ducmV2LnhtbFBLBQYAAAAABAAEAPUAAACJAwAAAAA=&#10;" fillcolor="#d4d4d4" stroked="f"/>
                  <v:line id="Line 118" o:spid="_x0000_s1216" style="position:absolute;visibility:visible;mso-wrap-style:square" from="6044,0" to="60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xR1ccAAADcAAAADwAAAGRycy9kb3ducmV2LnhtbESPW2sCMRSE3wv9D+EUfBHNKq3I1ije&#10;WloQxBu+nm6Ou4ubkyWJuu2vbwpCH4eZ+YYZTRpTiSs5X1pW0OsmIIgzq0vOFex3b50hCB+QNVaW&#10;ScE3eZiMHx9GmGp74w1dtyEXEcI+RQVFCHUqpc8KMui7tiaO3sk6gyFKl0vt8BbhppL9JBlIgyXH&#10;hQJrmheUnbcXo+DY+8x+Nns3e58d26sFf62XB3lSqvXUTF9BBGrCf/je/tAKngcv8HcmHgE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TFHVxwAAANwAAAAPAAAAAAAA&#10;AAAAAAAAAKECAABkcnMvZG93bnJldi54bWxQSwUGAAAAAAQABAD5AAAAlQMAAAAA&#10;" strokecolor="#d4d4d4" strokeweight="0"/>
                  <v:rect id="Rectangle 119" o:spid="_x0000_s1217" style="position:absolute;left:604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1VcQA&#10;AADcAAAADwAAAGRycy9kb3ducmV2LnhtbESPUWvCMBSF3wX/Q7jCXmSmjlm22igiDra3qfsBl+a2&#10;qTY3JYna7dcvg4GPh3POdzjlerCduJIPrWMF81kGgrhyuuVGwdfx7fEFRIjIGjvHpOCbAqxX41GJ&#10;hXY33tP1EBuRIBwKVGBi7AspQ2XIYpi5njh5tfMWY5K+kdrjLcFtJ5+yLJcWW04LBnvaGqrOh4tV&#10;IE+fupX9LvenenrWr+ZjgT8LpR4mw2YJItIQ7+H/9rtW8Jzn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zNVXEAAAA3AAAAA8AAAAAAAAAAAAAAAAAmAIAAGRycy9k&#10;b3ducmV2LnhtbFBLBQYAAAAABAAEAPUAAACJAwAAAAA=&#10;" fillcolor="#d4d4d4" stroked="f"/>
                  <v:line id="Line 120" o:spid="_x0000_s1218" style="position:absolute;visibility:visible;mso-wrap-style:square" from="7304,0" to="730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qOccAAADcAAAADwAAAGRycy9kb3ducmV2LnhtbESPW2sCMRSE34X+h3AKvhTNKkVlaxRv&#10;LS0UxBu+nm6Ou4ubkyWJuu2vbwoFH4eZ+YYZTxtTiSs5X1pW0OsmIIgzq0vOFex3r50RCB+QNVaW&#10;ScE3eZhOHlpjTLW98Yau25CLCGGfooIihDqV0mcFGfRdWxNH72SdwRCly6V2eItwU8l+kgykwZLj&#10;QoE1LQrKztuLUXDsfWQ/m72bv82PT59L/lqvDvKkVPuxmb2ACNSEe/i//a4VPA+G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0mo5xwAAANwAAAAPAAAAAAAA&#10;AAAAAAAAAKECAABkcnMvZG93bnJldi54bWxQSwUGAAAAAAQABAD5AAAAlQMAAAAA&#10;" strokecolor="#d4d4d4" strokeweight="0"/>
                  <v:rect id="Rectangle 121" o:spid="_x0000_s1219" style="position:absolute;left:730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EvMEA&#10;AADcAAAADwAAAGRycy9kb3ducmV2LnhtbERP3WrCMBS+F3yHcITdiKaOWbQ2ioiD7W5zPsChOTat&#10;zUlJonZ7+uVisMuP77/cDbYTd/KhcaxgMc9AEFdON1wrOH+9zlYgQkTW2DkmBd8UYLcdj0ostHvw&#10;J91PsRYphEOBCkyMfSFlqAxZDHPXEyfu4rzFmKCvpfb4SOG2k89ZlkuLDacGgz0dDFXX080qkO2H&#10;bmR/zH17mV712rwv8Wep1NNk2G9ARBriv/jP/aYVvORpbTqTjo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gBLzBAAAA3AAAAA8AAAAAAAAAAAAAAAAAmAIAAGRycy9kb3du&#10;cmV2LnhtbFBLBQYAAAAABAAEAPUAAACGAwAAAAA=&#10;" fillcolor="#d4d4d4" stroked="f"/>
                  <v:line id="Line 122" o:spid="_x0000_s1220" style="position:absolute;visibility:visible;mso-wrap-style:square" from="0,0" to="0,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Fb0McAAADcAAAADwAAAGRycy9kb3ducmV2LnhtbESPW2sCMRSE34X+h3AKvhTNKkV0axRv&#10;LS0UxBu+nm6Ou4ubkyWJuu2vbwoFH4eZ+YYZTxtTiSs5X1pW0OsmIIgzq0vOFex3r50hCB+QNVaW&#10;ScE3eZhOHlpjTLW98Yau25CLCGGfooIihDqV0mcFGfRdWxNH72SdwRCly6V2eItwU8l+kgykwZLj&#10;QoE1LQrKztuLUXDsfWQ/m72bv82PT59L/lqvDvKkVPuxmb2ACNSEe/i//a4VPA9G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AVvQxwAAANwAAAAPAAAAAAAA&#10;AAAAAAAAAKECAABkcnMvZG93bnJldi54bWxQSwUGAAAAAAQABAD5AAAAlQMAAAAA&#10;" strokecolor="#d4d4d4" strokeweight="0"/>
                  <v:rect id="Rectangle 123" o:spid="_x0000_s1221" style="position:absolute;width:1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eZ8AA&#10;AADcAAAADwAAAGRycy9kb3ducmV2LnhtbERPy2oCMRTdC/2HcAtuRDOV+hqNUsRC3VnrB1wm18no&#10;5GZIoo5+vVkUXB7Oe7FqbS2u5EPlWMHHIANBXDhdcang8Pfdn4IIEVlj7ZgU3CnAavnWWWCu3Y1/&#10;6bqPpUghHHJUYGJscilDYchiGLiGOHFH5y3GBH0ptcdbCre1HGbZWFqsODUYbGhtqDjvL1aBPO10&#10;JZvN2J+OvbOeme0IHyOluu/t1xxEpDa+xP/uH63gc5LmpzPp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Q+eZ8AAAADcAAAADwAAAAAAAAAAAAAAAACYAgAAZHJzL2Rvd25y&#10;ZXYueG1sUEsFBgAAAAAEAAQA9QAAAIUDAAAAAA==&#10;" fillcolor="#d4d4d4" stroked="f"/>
                  <v:line id="Line 124" o:spid="_x0000_s1222" style="position:absolute;visibility:visible;mso-wrap-style:square" from="731,223" to="731,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7BC8gAAADcAAAADwAAAGRycy9kb3ducmV2LnhtbESP3WoCMRSE7wt9h3AEb4pmtxQtW6PU&#10;VqWCUPwp3h43x92lm5Mlibrt0xuh0MthZr5hRpPW1OJMzleWFaT9BARxbnXFhYLddt57BuEDssba&#10;Min4IQ+T8f3dCDNtL7ym8yYUIkLYZ6igDKHJpPR5SQZ93zbE0TtaZzBE6QqpHV4i3NTyMUkG0mDF&#10;caHEht5Kyr83J6Ngny7z3/XOTRfT/cPqnQ+fsy95VKrbaV9fQARqw3/4r/2hFTwNU7idiUdAj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q7BC8gAAADcAAAADwAAAAAA&#10;AAAAAAAAAAChAgAAZHJzL2Rvd25yZXYueG1sUEsFBgAAAAAEAAQA+QAAAJYDAAAAAA==&#10;" strokecolor="#d4d4d4" strokeweight="0"/>
                  <v:rect id="Rectangle 125" o:spid="_x0000_s1223" style="position:absolute;left:731;top:223;width:11;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Gli8UA&#10;AADcAAAADwAAAGRycy9kb3ducmV2LnhtbESP3WoCMRSE7wu+QzhCb4pmlfq3bhQpFdo7a32Aw+a4&#10;2XVzsiSprn36plDo5TAz3zDFtretuJIPtWMFk3EGgrh0uuZKwelzP1qCCBFZY+uYFNwpwHYzeCgw&#10;1+7GH3Q9xkokCIccFZgYu1zKUBqyGMauI07e2XmLMUlfSe3xluC2ldMsm0uLNacFgx29GCovxy+r&#10;QDYHXcvude6b89NFr8z7DL9nSj0O+90aRKQ+/of/2m9awfNiCr9n0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aWLxQAAANwAAAAPAAAAAAAAAAAAAAAAAJgCAABkcnMv&#10;ZG93bnJldi54bWxQSwUGAAAAAAQABAD1AAAAigMAAAAA&#10;" fillcolor="#d4d4d4" stroked="f"/>
                  <v:line id="Line 126" o:spid="_x0000_s1224" style="position:absolute;visibility:visible;mso-wrap-style:square" from="4906,223" to="4906,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D658gAAADcAAAADwAAAGRycy9kb3ducmV2LnhtbESPQUvDQBSE74X+h+UVehG7qYpK7LZY&#10;W6UFQVIrvT6zr0kw+zbsrknqr3cFocdhZr5hZove1KIl5yvLCqaTBARxbnXFhYL9+/PlPQgfkDXW&#10;lknBiTws5sPBDFNtO86o3YVCRAj7FBWUITSplD4vyaCf2IY4ekfrDIYoXSG1wy7CTS2vkuRWGqw4&#10;LpTY0FNJ+dfu2yg4TLf5T7Z3y5fl4eJ1xZ9v6w95VGo86h8fQATqwzn8395oBTd31/B3Jh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TD658gAAADcAAAADwAAAAAA&#10;AAAAAAAAAAChAgAAZHJzL2Rvd25yZXYueG1sUEsFBgAAAAAEAAQA+QAAAJYDAAAAAA==&#10;" strokecolor="#d4d4d4" strokeweight="0"/>
                  <v:rect id="Rectangle 127" o:spid="_x0000_s1225" style="position:absolute;left:4906;top:223;width:11;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SYZMQA&#10;AADcAAAADwAAAGRycy9kb3ducmV2LnhtbESP3WoCMRSE7wu+QzhCb0SzFn/XjSKlhfbOWh/gsDlu&#10;dt2cLEmq2z59UxB6OczMN0yx620rruRD7VjBdJKBIC6drrlScPp8Ha9AhIissXVMCr4pwG47eCgw&#10;1+7GH3Q9xkokCIccFZgYu1zKUBqyGCauI07e2XmLMUlfSe3xluC2lU9ZtpAWa04LBjt6NlRejl9W&#10;gWwOupbdy8I359FFr837HH/mSj0O+/0GRKQ+/ofv7TetYLacwd+Zd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0mGTEAAAA3AAAAA8AAAAAAAAAAAAAAAAAmAIAAGRycy9k&#10;b3ducmV2LnhtbFBLBQYAAAAABAAEAPUAAACJAwAAAAA=&#10;" fillcolor="#d4d4d4" stroked="f"/>
                  <v:line id="Line 128" o:spid="_x0000_s1226" style="position:absolute;visibility:visible;mso-wrap-style:square" from="6044,223" to="6044,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XHCMgAAADcAAAADwAAAGRycy9kb3ducmV2LnhtbESP3UrDQBSE7wt9h+UUeiN2U/GP2G2x&#10;tkoLgqRWenvMnibB7NmwuyapT+8KQi+HmfmGmS16U4uWnK8sK5hOEhDEudUVFwr278+X9yB8QNZY&#10;WyYFJ/KwmA8HM0y17TijdhcKESHsU1RQhtCkUvq8JIN+Yhvi6B2tMxiidIXUDrsIN7W8SpJbabDi&#10;uFBiQ08l5V+7b6PgMN3mP9neLV+Wh4vXFX++rT/kUanxqH98ABGoD+fwf3ujFVzf3cDfmXgE5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ZXHCMgAAADcAAAADwAAAAAA&#10;AAAAAAAAAAChAgAAZHJzL2Rvd25yZXYueG1sUEsFBgAAAAAEAAQA+QAAAJYDAAAAAA==&#10;" strokecolor="#d4d4d4" strokeweight="0"/>
                  <v:rect id="Rectangle 129" o:spid="_x0000_s1227" style="position:absolute;left:6044;top:223;width:10;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jiMQA&#10;AADcAAAADwAAAGRycy9kb3ducmV2LnhtbESP0WoCMRRE3wX/IVyhL6VmLbq2q1GkVKhvrfYDLpvr&#10;ZnVzsyRRV7++EQo+DjNzhpkvO9uIM/lQO1YwGmYgiEuna64U/O7WL28gQkTW2DgmBVcKsFz0e3Ms&#10;tLvwD523sRIJwqFABSbGtpAylIYshqFriZO3d95iTNJXUnu8JLht5GuW5dJizWnBYEsfhsrj9mQV&#10;yMO3rmX7mfvD/vmo381mgreJUk+DbjUDEamLj/B/+0srGE9zuJ9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qo4jEAAAA3AAAAA8AAAAAAAAAAAAAAAAAmAIAAGRycy9k&#10;b3ducmV2LnhtbFBLBQYAAAAABAAEAPUAAACJAwAAAAA=&#10;" fillcolor="#d4d4d4" stroked="f"/>
                  <v:line id="Line 130" o:spid="_x0000_s1228" style="position:absolute;visibility:visible;mso-wrap-style:square" from="7304,223" to="7304,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v85McAAADcAAAADwAAAGRycy9kb3ducmV2LnhtbESPW2sCMRSE3wv9D+EUfBHNKqXK1ije&#10;WloQxBu+nm6Ou4ubkyWJuu2vbwpCH4eZ+YYZTRpTiSs5X1pW0OsmIIgzq0vOFex3b50hCB+QNVaW&#10;ScE3eZiMHx9GmGp74w1dtyEXEcI+RQVFCHUqpc8KMui7tiaO3sk6gyFKl0vt8BbhppL9JHmRBkuO&#10;CwXWNC8oO28vRsGx95n9bPZu9j47tlcL/lovD/KkVOupmb6CCNSE//C9/aEVPA8G8HcmHgE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zkxwAAANwAAAAPAAAAAAAA&#10;AAAAAAAAAKECAABkcnMvZG93bnJldi54bWxQSwUGAAAAAAQABAD5AAAAlQMAAAAA&#10;" strokecolor="#d4d4d4" strokeweight="0"/>
                  <v:rect id="Rectangle 131" o:spid="_x0000_s1229" style="position:absolute;left:7304;top:223;width:10;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mSYcAA&#10;AADcAAAADwAAAGRycy9kb3ducmV2LnhtbERPy2oCMRTdC/2HcAtuRDOV+hqNUsRC3VnrB1wm18no&#10;5GZIoo5+vVkUXB7Oe7FqbS2u5EPlWMHHIANBXDhdcang8Pfdn4IIEVlj7ZgU3CnAavnWWWCu3Y1/&#10;6bqPpUghHHJUYGJscilDYchiGLiGOHFH5y3GBH0ptcdbCre1HGbZWFqsODUYbGhtqDjvL1aBPO10&#10;JZvN2J+OvbOeme0IHyOluu/t1xxEpDa+xP/uH63gc5LWpjPp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3mSYcAAAADcAAAADwAAAAAAAAAAAAAAAACYAgAAZHJzL2Rvd25y&#10;ZXYueG1sUEsFBgAAAAAEAAQA9QAAAIUDAAAAAA==&#10;" fillcolor="#d4d4d4" stroked="f"/>
                  <v:line id="Line 132" o:spid="_x0000_s1230" style="position:absolute;visibility:visible;mso-wrap-style:square" from="8563,0" to="8563,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jNDckAAADcAAAADwAAAGRycy9kb3ducmV2LnhtbESP3UrDQBSE7wt9h+UUeiN2UxF/YrfF&#10;2iotCJJa6e0xe5oEs2fD7pqkPr0rCL0cZuYbZrboTS1acr6yrGA6SUAQ51ZXXCjYvz9f3oHwAVlj&#10;bZkUnMjDYj4czDDVtuOM2l0oRISwT1FBGUKTSunzkgz6iW2Io3e0zmCI0hVSO+wi3NTyKklupMGK&#10;40KJDT2VlH/tvo2Cw3Sb/2R7t3xZHi5eV/z5tv6QR6XGo/7xAUSgPpzD/+2NVnB9ew9/Z+IR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DYzQ3JAAAA3AAAAA8AAAAA&#10;AAAAAAAAAAAAoQIAAGRycy9kb3ducmV2LnhtbFBLBQYAAAAABAAEAPkAAACXAwAAAAA=&#10;" strokecolor="#d4d4d4" strokeweight="0"/>
                  <v:rect id="Rectangle 133" o:spid="_x0000_s1231" style="position:absolute;left:8563;width:1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ruQMIA&#10;AADcAAAADwAAAGRycy9kb3ducmV2LnhtbERPy2oCMRTdF/yHcIVuimZaquhoZpBiod3VxwdcJtfJ&#10;PHIzJFGn/fpmUejycN7bcrS9uJEPjWMFz/MMBHHldMO1gvPpfbYCESKyxt4xKfimAGUxedhirt2d&#10;D3Q7xlqkEA45KjAxDrmUoTJkMczdQJy4i/MWY4K+ltrjPYXbXr5k2VJabDg1GBzozVDVHa9WgWy/&#10;dCOH/dK3l6dOr83nAn8WSj1Ox90GRKQx/ov/3B9awesqzU9n0h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2u5AwgAAANwAAAAPAAAAAAAAAAAAAAAAAJgCAABkcnMvZG93&#10;bnJldi54bWxQSwUGAAAAAAQABAD1AAAAhwMAAAAA&#10;" fillcolor="#d4d4d4" stroked="f"/>
                  <v:rect id="Rectangle 134" o:spid="_x0000_s1232" style="position:absolute;left:10;top:416;width:982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xWaMYA&#10;AADcAAAADwAAAGRycy9kb3ducmV2LnhtbESPQWsCMRSE74L/IbxCb5pVtKyrUbRQ8CKo9aC35+Z1&#10;d3Hzsk2ibvvrG0HocZiZb5jZojW1uJHzlWUFg34Cgji3uuJCweHzo5eC8AFZY22ZFPyQh8W825lh&#10;pu2dd3Tbh0JECPsMFZQhNJmUPi/JoO/bhjh6X9YZDFG6QmqH9wg3tRwmyZs0WHFcKLGh95Lyy/5q&#10;FKwm6ep7O+LN7+58otPxfBkPXaLU60u7nIII1Ib/8LO91gpG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xWaMYAAADcAAAADwAAAAAAAAAAAAAAAACYAgAAZHJz&#10;L2Rvd25yZXYueG1sUEsFBgAAAAAEAAQA9QAAAIsDAAAAAA==&#10;" fillcolor="black" stroked="f"/>
                  <v:line id="Line 135" o:spid="_x0000_s1233" style="position:absolute;visibility:visible;mso-wrap-style:square" from="9823,0" to="9823,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kvW8cAAADcAAAADwAAAGRycy9kb3ducmV2LnhtbESP3WoCMRSE74W+QziF3kjNKiKyNUrt&#10;HwqCrLV4e7o57i7dnCxJqqtPbwTBy2FmvmEms9bU4kDOV5YV9HsJCOLc6ooLBdvvz+cxCB+QNdaW&#10;ScGJPMymD50JptoeOaPDJhQiQtinqKAMoUml9HlJBn3PNsTR21tnMETpCqkdHiPc1HKQJCNpsOK4&#10;UGJDbyXlf5t/o2DXX+bnbOvmX/Ndd/XOv+uPH7lX6umxfX0BEagN9/CtvdAKhuMBXM/EI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qS9bxwAAANwAAAAPAAAAAAAA&#10;AAAAAAAAAKECAABkcnMvZG93bnJldi54bWxQSwUGAAAAAAQABAD5AAAAlQMAAAAA&#10;" strokecolor="#d4d4d4" strokeweight="0"/>
                  <v:rect id="Rectangle 136" o:spid="_x0000_s1234" style="position:absolute;left:9823;width:1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wN8UA&#10;AADcAAAADwAAAGRycy9kb3ducmV2LnhtbESP3WoCMRSE74W+QziF3kg32/qD3RqlSIV6Z20f4LA5&#10;u1ndnCxJ1K1PbwqCl8PMfMPMl71txYl8aBwreMlyEMSl0w3XCn5/1s8zECEia2wdk4I/CrBcPAzm&#10;WGh35m867WItEoRDgQpMjF0hZSgNWQyZ64iTVzlvMSbpa6k9nhPctvI1z6fSYsNpwWBHK0PlYXe0&#10;CuR+qxvZfU79vhoe9JvZTPAyUerpsf94BxGpj/fwrf2lFYxnI/g/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HA3xQAAANwAAAAPAAAAAAAAAAAAAAAAAJgCAABkcnMv&#10;ZG93bnJldi54bWxQSwUGAAAAAAQABAD1AAAAigMAAAAA&#10;" fillcolor="#d4d4d4" stroked="f"/>
                  <v:line id="Line 137" o:spid="_x0000_s1235" style="position:absolute;visibility:visible;mso-wrap-style:square" from="10,680" to="603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DYXcQAAADcAAAADwAAAGRycy9kb3ducmV2LnhtbESPT4vCMBTE78J+h/AWvGmquG6tRllE&#10;cb25/gGPj+ZtG2xeShO1++03guBxmJnfMLNFaytxo8YbxwoG/QQEce604ULB8bDupSB8QNZYOSYF&#10;f+RhMX/rzDDT7s4/dNuHQkQI+wwVlCHUmZQ+L8mi77uaOHq/rrEYomwKqRu8R7it5DBJxtKi4bhQ&#10;Yk3LkvLL/moVmN1487H9PE1OcrUJg3N6SY09KtV9b7+mIAK14RV+tr+1glE6gs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NhdxAAAANwAAAAPAAAAAAAAAAAA&#10;AAAAAKECAABkcnMvZG93bnJldi54bWxQSwUGAAAAAAQABAD5AAAAkgMAAAAA&#10;" strokeweight="0"/>
                  <v:rect id="Rectangle 138" o:spid="_x0000_s1236" style="position:absolute;left:10;top:680;width:602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Qa8YA&#10;AADcAAAADwAAAGRycy9kb3ducmV2LnhtbESPT2sCMRTE70K/Q3iF3jSrqKyrUbRQ6KXgnx7q7bl5&#10;7i5uXtYk1W0/vREEj8PM/IaZLVpTiws5X1lW0O8lIIhzqysuFHzvPropCB+QNdaWScEfeVjMXzoz&#10;zLS98oYu21CICGGfoYIyhCaT0uclGfQ92xBH72idwRClK6R2eI1wU8tBkoylwYrjQokNvZeUn7a/&#10;RsFqkq7O6yF//W8Oe9r/HE6jgUuUenttl1MQgdrwDD/an1rBMB3B/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dQa8YAAADcAAAADwAAAAAAAAAAAAAAAACYAgAAZHJz&#10;L2Rvd25yZXYueG1sUEsFBgAAAAAEAAQA9QAAAIsDAAAAAA==&#10;" fillcolor="black" stroked="f"/>
                  <v:line id="Line 139" o:spid="_x0000_s1237" style="position:absolute;visibility:visible;mso-wrap-style:square" from="6054,680" to="729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7jscUAAADcAAAADwAAAGRycy9kb3ducmV2LnhtbESPT2vCQBTE74LfYXmCN90oNqapq0hp&#10;UW+tf6DHR/Y1Wcy+Ddmtpt/eFQSPw8z8hlmsOluLC7XeOFYwGScgiAunDZcKjofPUQbCB2SNtWNS&#10;8E8eVst+b4G5dlf+pss+lCJC2OeooAqhyaX0RUUW/dg1xNH7da3FEGVbSt3iNcJtLadJkkqLhuNC&#10;hQ29V1Sc939WgflKNy+7+en1JD82YfKTnTNjj0oNB936DUSgLjzDj/ZWK5hlK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p7jscUAAADcAAAADwAAAAAAAAAA&#10;AAAAAAChAgAAZHJzL2Rvd25yZXYueG1sUEsFBgAAAAAEAAQA+QAAAJMDAAAAAA==&#10;" strokeweight="0"/>
                  <v:rect id="Rectangle 140" o:spid="_x0000_s1238" style="position:absolute;left:6054;top:680;width:124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rh8cA&#10;AADcAAAADwAAAGRycy9kb3ducmV2LnhtbESPQWvCQBSE74L/YXmF3symom1MXUWFQi8FtT3o7Zl9&#10;TYLZt3F3q7G/3hUKPQ4z8w0znXemEWdyvras4ClJQRAXVtdcKvj6fBtkIHxA1thYJgVX8jCf9XtT&#10;zLW98IbO21CKCGGfo4IqhDaX0hcVGfSJbYmj922dwRClK6V2eIlw08hhmj5LgzXHhQpbWlVUHLc/&#10;RsFyki1P6xF//G4Oe9rvDsfx0KVKPT50i1cQgbrwH/5rv2sFo+wF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a4fHAAAA3AAAAA8AAAAAAAAAAAAAAAAAmAIAAGRy&#10;cy9kb3ducmV2LnhtbFBLBQYAAAAABAAEAPUAAACMAwAAAAA=&#10;" fillcolor="black" stroked="f"/>
                  <v:line id="Line 141" o:spid="_x0000_s1239" style="position:absolute;visibility:visible;mso-wrap-style:square" from="7314,680" to="855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3SWMEAAADcAAAADwAAAGRycy9kb3ducmV2LnhtbERPy4rCMBTdC/MP4Q6401Tx0alGGURx&#10;3Kmj4PLS3GmDzU1pota/N4sBl4fzni9bW4k7Nd44VjDoJyCIc6cNFwpOv5teCsIHZI2VY1LwJA/L&#10;xUdnjpl2Dz7Q/RgKEUPYZ6igDKHOpPR5SRZ939XEkftzjcUQYVNI3eAjhttKDpNkIi0ajg0l1rQq&#10;Kb8eb1aB2U+24930/HWW620YXNJrauxJqe5n+z0DEagNb/G/+0crGKVxbTwTj4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TdJYwQAAANwAAAAPAAAAAAAAAAAAAAAA&#10;AKECAABkcnMvZG93bnJldi54bWxQSwUGAAAAAAQABAD5AAAAjwMAAAAA&#10;" strokeweight="0"/>
                  <v:rect id="Rectangle 142" o:spid="_x0000_s1240" style="position:absolute;left:7314;top:680;width:123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absYA&#10;AADcAAAADwAAAGRycy9kb3ducmV2LnhtbESPT2sCMRTE7wW/Q3iCt5pVbFlXo2hB6KVQ/xz09tw8&#10;dxc3L9sk1dVP3xQEj8PM/IaZzltTiws5X1lWMOgnIIhzqysuFOy2q9cUhA/IGmvLpOBGHuazzssU&#10;M22vvKbLJhQiQthnqKAMocmk9HlJBn3fNsTRO1lnMETpCqkdXiPc1HKYJO/SYMVxocSGPkrKz5tf&#10;o2A5Tpc/3yP+uq+PBzrsj+e3oUuU6nXbxQREoDY8w4/2p1YwSsfwfy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pabsYAAADcAAAADwAAAAAAAAAAAAAAAACYAgAAZHJz&#10;L2Rvd25yZXYueG1sUEsFBgAAAAAEAAQA9QAAAIsDAAAAAA==&#10;" fillcolor="black" stroked="f"/>
                  <v:line id="Line 143" o:spid="_x0000_s1241" style="position:absolute;visibility:visible;mso-wrap-style:square" from="8573,680" to="981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Ig8IAAADcAAAADwAAAGRycy9kb3ducmV2LnhtbERPz2vCMBS+C/sfwhN207QyXe2MZcjE&#10;edtcCzs+mmcbbF5Kk2n33y+HgceP7/emGG0nrjR441hBOk9AENdOG24UlF/7WQbCB2SNnWNS8Ese&#10;iu3DZIO5djf+pOspNCKGsM9RQRtCn0vp65Ys+rnriSN3doPFEOHQSD3gLYbbTi6SZCUtGo4NLfa0&#10;a6m+nH6sAvOxOiyPz9W6km+HkH5nl8zYUqnH6fj6AiLQGO7if/e7VvC0jvPjmXg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Ig8IAAADcAAAADwAAAAAAAAAAAAAA&#10;AAChAgAAZHJzL2Rvd25yZXYueG1sUEsFBgAAAAAEAAQA+QAAAJADAAAAAA==&#10;" strokeweight="0"/>
                  <v:rect id="Rectangle 144" o:spid="_x0000_s1242" style="position:absolute;left:8573;top:680;width:124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AtcYA&#10;AADcAAAADwAAAGRycy9kb3ducmV2LnhtbESPQWvCQBSE70L/w/IKvelGsaJpVqlCwUtBbQ/19pJ9&#10;TYLZt3F31bS/3hUEj8PMfMNki8404kzO15YVDAcJCOLC6ppLBd9fH/0pCB+QNTaWScEfeVjMn3oZ&#10;ptpeeEvnXShFhLBPUUEVQptK6YuKDPqBbYmj92udwRClK6V2eIlw08hRkkykwZrjQoUtrSoqDruT&#10;UbCcTZfHzZg//7f5nvY/+eF15BKlXp679zcQgbrwCN/ba61gPBv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XAtcYAAADcAAAADwAAAAAAAAAAAAAAAACYAgAAZHJz&#10;L2Rvd25yZXYueG1sUEsFBgAAAAAEAAQA9QAAAIsDAAAAAA==&#10;" fillcolor="black" stroked="f"/>
                  <v:line id="Line 145" o:spid="_x0000_s1243" style="position:absolute;visibility:visible;mso-wrap-style:square" from="10,933" to="6034,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xzb8QAAADcAAAADwAAAGRycy9kb3ducmV2LnhtbESPT4vCMBTE7wt+h/AEb2uquFqrUURc&#10;dG/+BY+P5tkGm5fSZLX77c3Cwh6HmfkNM1+2thIParxxrGDQT0AQ504bLhScT5/vKQgfkDVWjknB&#10;D3lYLjpvc8y0e/KBHsdQiAhhn6GCMoQ6k9LnJVn0fVcTR+/mGoshyqaQusFnhNtKDpNkLC0ajgsl&#10;1rQuKb8fv60Csx9vP74ml+lFbrZhcE3vqbFnpXrddjUDEagN/+G/9k4rGE2H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fHNvxAAAANwAAAAPAAAAAAAAAAAA&#10;AAAAAKECAABkcnMvZG93bnJldi54bWxQSwUGAAAAAAQABAD5AAAAkgMAAAAA&#10;" strokeweight="0"/>
                  <v:rect id="Rectangle 146" o:spid="_x0000_s1244" style="position:absolute;left:10;top:933;width:602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7WccA&#10;AADcAAAADwAAAGRycy9kb3ducmV2LnhtbESPQWvCQBSE74X+h+UVequbWls0ZpUqCF4Kaj3o7SX7&#10;TILZt3F31dhf7xYKPQ4z8w2TTTvTiAs5X1tW8NpLQBAXVtdcKth+L16GIHxA1thYJgU38jCdPD5k&#10;mGp75TVdNqEUEcI+RQVVCG0qpS8qMuh7tiWO3sE6gyFKV0rt8BrhppH9JPmQBmuOCxW2NK+oOG7O&#10;RsFsNJydVgP++lnne9rv8uN73yVKPT91n2MQgbrwH/5rL7WCwegN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b+1nHAAAA3AAAAA8AAAAAAAAAAAAAAAAAmAIAAGRy&#10;cy9kb3ducmV2LnhtbFBLBQYAAAAABAAEAPUAAACMAwAAAAA=&#10;" fillcolor="black" stroked="f"/>
                  <v:line id="Line 147" o:spid="_x0000_s1245" style="position:absolute;visibility:visible;mso-wrap-style:square" from="6054,933" to="7294,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lOgMUAAADcAAAADwAAAGRycy9kb3ducmV2LnhtbESPT2vCQBTE74V+h+UVetONYjVJXaVI&#10;RXvzX6DHR/Y1Wcy+DdlV02/vFoQeh5n5DTNf9rYRV+q8caxgNExAEJdOG64UnI7rQQrCB2SNjWNS&#10;8Eselovnpznm2t14T9dDqESEsM9RQR1Cm0vpy5os+qFriaP34zqLIcqukrrDW4TbRo6TZCotGo4L&#10;Nba0qqk8Hy5WgdlNN29fsyIr5OcmjL7Tc2rsSanXl/7jHUSgPvyHH+2tVjDJJvB3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lOgMUAAADcAAAADwAAAAAAAAAA&#10;AAAAAAChAgAAZHJzL2Rvd25yZXYueG1sUEsFBgAAAAAEAAQA+QAAAJMDAAAAAA==&#10;" strokeweight="0"/>
                  <v:rect id="Rectangle 148" o:spid="_x0000_s1246" style="position:absolute;left:6054;top:933;width:124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7GtsYA&#10;AADcAAAADwAAAGRycy9kb3ducmV2LnhtbESPQWsCMRSE74L/ITyhNzerqOjWKFUQeimo7aHenpvn&#10;7uLmZZukuu2vN4LgcZiZb5j5sjW1uJDzlWUFgyQFQZxbXXGh4Otz05+C8AFZY22ZFPyRh+Wi25lj&#10;pu2Vd3TZh0JECPsMFZQhNJmUPi/JoE9sQxy9k3UGQ5SukNrhNcJNLYdpOpEGK44LJTa0Lik/73+N&#10;gtVsuvrZjvjjf3c80OH7eB4PXarUS699ewURqA3P8KP9rhWMZm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7GtsYAAADcAAAADwAAAAAAAAAAAAAAAACYAgAAZHJz&#10;L2Rvd25yZXYueG1sUEsFBgAAAAAEAAQA9QAAAIsDAAAAAA==&#10;" fillcolor="black" stroked="f"/>
                  <v:line id="Line 149" o:spid="_x0000_s1247" style="position:absolute;visibility:visible;mso-wrap-style:square" from="7314,933" to="855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d1bMQAAADcAAAADwAAAGRycy9kb3ducmV2LnhtbESPQWvCQBSE7wX/w/KE3nRjqTFGVyml&#10;or2pVejxkX0mi9m3Ibtq/PduQehxmJlvmPmys7W4UuuNYwWjYQKCuHDacKng8LMaZCB8QNZYOyYF&#10;d/KwXPRe5phrd+MdXfehFBHCPkcFVQhNLqUvKrLoh64hjt7JtRZDlG0pdYu3CLe1fEuSVFo0HBcq&#10;bOizouK8v1gFZpuux9+T4/Qov9Zh9JudM2MPSr32u48ZiEBd+A8/2xut4H2awt+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R3VsxAAAANwAAAAPAAAAAAAAAAAA&#10;AAAAAKECAABkcnMvZG93bnJldi54bWxQSwUGAAAAAAQABAD5AAAAkgMAAAAA&#10;" strokeweight="0"/>
                  <v:rect id="Rectangle 150" o:spid="_x0000_s1248" style="position:absolute;left:7314;top:933;width:123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9WscA&#10;AADcAAAADwAAAGRycy9kb3ducmV2LnhtbESPT2vCQBTE7wW/w/KE3upG0appVlGh0EvBPz3U20v2&#10;NQlm38bdrcZ+erdQ6HGYmd8w2bIzjbiQ87VlBcNBAoK4sLrmUsHH4fVpBsIHZI2NZVJwIw/LRe8h&#10;w1TbK+/osg+liBD2KSqoQmhTKX1RkUE/sC1x9L6sMxiidKXUDq8Rbho5SpJnabDmuFBhS5uKitP+&#10;2yhYz2fr83bM7z+7/EjHz/w0GblEqcd+t3oBEagL/+G/9ptWMJ5P4fdM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g/VrHAAAA3AAAAA8AAAAAAAAAAAAAAAAAmAIAAGRy&#10;cy9kb3ducmV2LnhtbFBLBQYAAAAABAAEAPUAAACMAwAAAAA=&#10;" fillcolor="black" stroked="f"/>
                  <v:line id="Line 151" o:spid="_x0000_s1249" style="position:absolute;visibility:visible;mso-wrap-style:square" from="8573,933" to="981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REhcIAAADcAAAADwAAAGRycy9kb3ducmV2LnhtbERPz2vCMBS+C/sfwhN207QyXe2MZcjE&#10;edtcCzs+mmcbbF5Kk2n33y+HgceP7/emGG0nrjR441hBOk9AENdOG24UlF/7WQbCB2SNnWNS8Ese&#10;iu3DZIO5djf+pOspNCKGsM9RQRtCn0vp65Ys+rnriSN3doPFEOHQSD3gLYbbTi6SZCUtGo4NLfa0&#10;a6m+nH6sAvOxOiyPz9W6km+HkH5nl8zYUqnH6fj6AiLQGO7if/e7VvC0jmvjmXg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REhcIAAADcAAAADwAAAAAAAAAAAAAA&#10;AAChAgAAZHJzL2Rvd25yZXYueG1sUEsFBgAAAAAEAAQA+QAAAJADAAAAAA==&#10;" strokeweight="0"/>
                  <v:rect id="Rectangle 152" o:spid="_x0000_s1250" style="position:absolute;left:8573;top:933;width:124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Ms8YA&#10;AADcAAAADwAAAGRycy9kb3ducmV2LnhtbESPT2sCMRTE74LfIbxCb5qtaHFXo2ih4EXwTw/19tw8&#10;dxc3L9sk6rafvhEEj8PM/IaZzltTiys5X1lW8NZPQBDnVldcKPjaf/bGIHxA1lhbJgW/5GE+63am&#10;mGl74y1dd6EQEcI+QwVlCE0mpc9LMuj7tiGO3sk6gyFKV0jt8BbhppaDJHmXBiuOCyU29FFSft5d&#10;jIJlOl7+bIa8/tseD3T4Pp5HA5co9frSLiYgArXhGX60V1rBME3hfiYe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PMs8YAAADcAAAADwAAAAAAAAAAAAAAAACYAgAAZHJz&#10;L2Rvd25yZXYueG1sUEsFBgAAAAAEAAQA9QAAAIsDAAAAAA==&#10;" fillcolor="black" stroked="f"/>
                  <v:line id="Line 153" o:spid="_x0000_s1251" style="position:absolute;visibility:visible;mso-wrap-style:square" from="10,1156" to="6034,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nSmcIAAADcAAAADwAAAGRycy9kb3ducmV2LnhtbERPz2vCMBS+C/sfwht4s6kDXVeNMobS&#10;7Ta7Ch4fzVsbbF5KE2333y+HwY4f3+/tfrKduNPgjWMFyyQFQVw7bbhRUH0dFxkIH5A1do5JwQ95&#10;2O8eZlvMtRv5RPcyNCKGsM9RQRtCn0vp65Ys+sT1xJH7doPFEOHQSD3gGMNtJ5/SdC0tGo4NLfb0&#10;1lJ9LW9WgflcF6uP5/PLWR6KsLxk18zYSqn54/S6ARFoCv/iP/e7VrBK4/x4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QnSmcIAAADcAAAADwAAAAAAAAAAAAAA&#10;AAChAgAAZHJzL2Rvd25yZXYueG1sUEsFBgAAAAAEAAQA+QAAAJADAAAAAA==&#10;" strokeweight="0"/>
                  <v:rect id="Rectangle 154" o:spid="_x0000_s1252" style="position:absolute;left:10;top:1156;width:6024;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5ar8YA&#10;AADcAAAADwAAAGRycy9kb3ducmV2LnhtbESPQWsCMRSE74L/IbxCb26iVLFbo6hQ6KVQbQ/19ty8&#10;7i5uXtYk1dVfbwpCj8PMfMPMFp1txIl8qB1rGGYKBHHhTM2lhq/P18EURIjIBhvHpOFCARbzfm+G&#10;uXFn3tBpG0uRIBxy1FDF2OZShqIiiyFzLXHyfpy3GJP0pTQezwluGzlSaiIt1pwWKmxpXVFx2P5a&#10;Davn6er48cTv181+R7vv/WE88krrx4du+QIiUhf/w/f2m9EwVkP4O5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5ar8YAAADcAAAADwAAAAAAAAAAAAAAAACYAgAAZHJz&#10;L2Rvd25yZXYueG1sUEsFBgAAAAAEAAQA9QAAAIsDAAAAAA==&#10;" fillcolor="black" stroked="f"/>
                  <v:line id="Line 155" o:spid="_x0000_s1253" style="position:absolute;visibility:visible;mso-wrap-style:square" from="6054,1156" to="7294,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fpdcMAAADcAAAADwAAAGRycy9kb3ducmV2LnhtbESPT4vCMBTE78J+h/AW9qapglqrUZbF&#10;xfXmX/D4aJ5tsHkpTdTutzeC4HGYmd8ws0VrK3GjxhvHCvq9BARx7rThQsFh/9tNQfiArLFyTAr+&#10;ycNi/tGZYabdnbd024VCRAj7DBWUIdSZlD4vyaLvuZo4emfXWAxRNoXUDd4j3FZykCQjadFwXCix&#10;pp+S8svuahWYzWg1XI+Pk6NcrkL/lF5SYw9KfX2231MQgdrwDr/af1rBMBnA80w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X6XXDAAAA3AAAAA8AAAAAAAAAAAAA&#10;AAAAoQIAAGRycy9kb3ducmV2LnhtbFBLBQYAAAAABAAEAPkAAACRAwAAAAA=&#10;" strokeweight="0"/>
                  <v:rect id="Rectangle 156" o:spid="_x0000_s1254" style="position:absolute;left:6054;top:1156;width:1240;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Q8YA&#10;AADcAAAADwAAAGRycy9kb3ducmV2LnhtbESPQWsCMRSE70L/Q3hCb5poa7Fbo9SC0Iugtod6e25e&#10;dxc3L9sk6uqvN4LQ4zAz3zCTWWtrcSQfKscaBn0Fgjh3puJCw/fXojcGESKywdoxaThTgNn0oTPB&#10;zLgTr+m4iYVIEA4ZaihjbDIpQ16SxdB3DXHyfp23GJP0hTQeTwluazlU6kVarDgtlNjQR0n5fnOw&#10;Guav4/nf6pmXl/VuS9uf3X409Errx277/gYiUhv/w/f2p9EwUk9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hQ8YAAADcAAAADwAAAAAAAAAAAAAAAACYAgAAZHJz&#10;L2Rvd25yZXYueG1sUEsFBgAAAAAEAAQA9QAAAIsDAAAAAA==&#10;" fillcolor="black" stroked="f"/>
                  <v:line id="Line 157" o:spid="_x0000_s1255" style="position:absolute;visibility:visible;mso-wrap-style:square" from="7314,1156" to="8553,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LUmsQAAADcAAAADwAAAGRycy9kb3ducmV2LnhtbESPW4vCMBSE3xf8D+EI+6api5dajSKL&#10;i+6bV/Dx0BzbYHNSmqx2/71ZEPZxmJlvmPmytZW4U+ONYwWDfgKCOHfacKHgdPzqpSB8QNZYOSYF&#10;v+Rhuei8zTHT7sF7uh9CISKEfYYKyhDqTEqfl2TR911NHL2rayyGKJtC6gYfEW4r+ZEkY2nRcFwo&#10;sabPkvLb4ccqMLvxZvQ9OU/Pcr0Jg0t6S409KfXebVczEIHa8B9+tbdawSgZwt+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tSaxAAAANwAAAAPAAAAAAAAAAAA&#10;AAAAAKECAABkcnMvZG93bnJldi54bWxQSwUGAAAAAAQABAD5AAAAkgMAAAAA&#10;" strokeweight="0"/>
                  <v:rect id="Rectangle 158" o:spid="_x0000_s1256" style="position:absolute;left:7314;top:1156;width:1239;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VcrMYA&#10;AADcAAAADwAAAGRycy9kb3ducmV2LnhtbESPT2sCMRTE74LfIbxCb5pUusVujaJCwYtQ/xzq7bl5&#10;3V3cvKxJqqufvikUehxm5jfMZNbZRlzIh9qxhqehAkFcOFNzqWG/ex+MQYSIbLBxTBpuFGA27fcm&#10;mBt35Q1dtrEUCcIhRw1VjG0uZSgqshiGriVO3pfzFmOSvpTG4zXBbSNHSr1IizWnhQpbWlZUnLbf&#10;VsPidbw4fzzz+r45HujweTxlI6+0fnzo5m8gInXxP/zXXhkNmcrg90w6An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VcrMYAAADcAAAADwAAAAAAAAAAAAAAAACYAgAAZHJz&#10;L2Rvd25yZXYueG1sUEsFBgAAAAAEAAQA9QAAAIsDAAAAAA==&#10;" fillcolor="black" stroked="f"/>
                  <v:line id="Line 159" o:spid="_x0000_s1257" style="position:absolute;visibility:visible;mso-wrap-style:square" from="8573,1156" to="9813,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zvdsQAAADcAAAADwAAAGRycy9kb3ducmV2LnhtbESPQWvCQBSE70L/w/KE3nSjYEyjqxRp&#10;sb1pquDxkX0mi9m3IbvV9N93BcHjMDPfMMt1bxtxpc4bxwom4wQEcem04UrB4edzlIHwAVlj45gU&#10;/JGH9eplsMRcuxvv6VqESkQI+xwV1CG0uZS+rMmiH7uWOHpn11kMUXaV1B3eItw2cpokqbRoOC7U&#10;2NKmpvJS/FoFZpduZ9/z49tRfmzD5JRdMmMPSr0O+/cFiEB9eIYf7S+tYJak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rO92xAAAANwAAAAPAAAAAAAAAAAA&#10;AAAAAKECAABkcnMvZG93bnJldi54bWxQSwUGAAAAAAQABAD5AAAAkgMAAAAA&#10;" strokeweight="0"/>
                  <v:rect id="Rectangle 160" o:spid="_x0000_s1258" style="position:absolute;left:8573;top:1156;width:1240;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nQMYA&#10;AADcAAAADwAAAGRycy9kb3ducmV2LnhtbESPT2sCMRTE70K/Q3hCb5ooterWKLVQ6EWofw56e25e&#10;dxc3L9sk1a2fvhEKHoeZ+Q0zW7S2FmfyoXKsYdBXIIhzZyouNOy2770JiBCRDdaOScMvBVjMHzoz&#10;zIy78JrOm1iIBOGQoYYyxiaTMuQlWQx91xAn78t5izFJX0jj8ZLgtpZDpZ6lxYrTQokNvZWUnzY/&#10;VsNyOll+fz7x6ro+HuiwP55GQ6+0fuy2ry8gIrXxHv5vfxgNIzWG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tnQMYAAADcAAAADwAAAAAAAAAAAAAAAACYAgAAZHJz&#10;L2Rvd25yZXYueG1sUEsFBgAAAAAEAAQA9QAAAIsDAAAAAA==&#10;" fillcolor="black" stroked="f"/>
                  <v:line id="Line 161" o:spid="_x0000_s1259" style="position:absolute;visibility:visible;mso-wrap-style:square" from="10,1369" to="6034,1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en8IAAADcAAAADwAAAGRycy9kb3ducmV2LnhtbERPz2vCMBS+C/sfwht4s6kDXVeNMobS&#10;7Ta7Ch4fzVsbbF5KE2333y+HwY4f3+/tfrKduNPgjWMFyyQFQVw7bbhRUH0dFxkIH5A1do5JwQ95&#10;2O8eZlvMtRv5RPcyNCKGsM9RQRtCn0vp65Ys+sT1xJH7doPFEOHQSD3gGMNtJ5/SdC0tGo4NLfb0&#10;1lJ9LW9WgflcF6uP5/PLWR6KsLxk18zYSqn54/S6ARFoCv/iP/e7VrBK49p4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3/en8IAAADcAAAADwAAAAAAAAAAAAAA&#10;AAChAgAAZHJzL2Rvd25yZXYueG1sUEsFBgAAAAAEAAQA+QAAAJADAAAAAA==&#10;" strokeweight="0"/>
                  <v:rect id="Rectangle 162" o:spid="_x0000_s1260" style="position:absolute;left:10;top:1369;width:6024;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hWqcYA&#10;AADcAAAADwAAAGRycy9kb3ducmV2LnhtbESPQWsCMRSE74L/IbxCb25SqaJbo6hQ6KVQtYd6e25e&#10;dxc3L2uS6ra/3hQEj8PMfMPMFp1txJl8qB1reMoUCOLCmZpLDZ+718EERIjIBhvHpOGXAizm/d4M&#10;c+MuvKHzNpYiQTjkqKGKsc2lDEVFFkPmWuLkfTtvMSbpS2k8XhLcNnKo1FharDktVNjSuqLiuP2x&#10;GlbTyer08czvf5vDnvZfh+No6JXWjw/d8gVEpC7ew7f2m9EwUlP4P5OO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hWqcYAAADcAAAADwAAAAAAAAAAAAAAAACYAgAAZHJz&#10;L2Rvd25yZXYueG1sUEsFBgAAAAAEAAQA9QAAAIsDAAAAAA==&#10;" fillcolor="black" stroked="f"/>
                  <v:line id="Line 163" o:spid="_x0000_s1261" style="position:absolute;visibility:visible;mso-wrap-style:square" from="6054,1369" to="7294,1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BERMIAAADcAAAADwAAAGRycy9kb3ducmV2LnhtbERPyWrDMBC9F/IPYgq5NbILTh03Sgil&#10;wc2t2aDHwZraItbIWKrt/n10KPT4ePt6O9lWDNR741hBukhAEFdOG64VXM77pxyED8gaW8ek4Jc8&#10;bDezhzUW2o18pOEUahFD2BeooAmhK6T0VUMW/cJ1xJH7dr3FEGFfS93jGMNtK5+TZCktGo4NDXb0&#10;1lB1O/1YBeZzWWaHl+vqKt/LkH7lt9zYi1Lzx2n3CiLQFP7Ff+4PrSBL4/x4Jh4B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BERMIAAADcAAAADwAAAAAAAAAAAAAA&#10;AAChAgAAZHJzL2Rvd25yZXYueG1sUEsFBgAAAAAEAAQA+QAAAJADAAAAAA==&#10;" strokeweight="0"/>
                  <v:rect id="Rectangle 164" o:spid="_x0000_s1262" style="position:absolute;left:6054;top:1369;width:1240;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McsYA&#10;AADcAAAADwAAAGRycy9kb3ducmV2LnhtbESPT2sCMRTE74LfITyhN82u1KKrUbRQ8CL4p4d6e26e&#10;u4ubl22S6rafvhEEj8PM/IaZLVpTiys5X1lWkA4SEMS51RUXCj4PH/0xCB+QNdaWScEveVjMu50Z&#10;ZtreeEfXfShEhLDPUEEZQpNJ6fOSDPqBbYijd7bOYIjSFVI7vEW4qeUwSd6kwYrjQokNvZeUX/Y/&#10;RsFqMl59b19587c7Hen4dbqMhi5R6qXXLqcgArXhGX6011rBKE3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fMcsYAAADcAAAADwAAAAAAAAAAAAAAAACYAgAAZHJz&#10;L2Rvd25yZXYueG1sUEsFBgAAAAAEAAQA9QAAAIsDAAAAAA==&#10;" fillcolor="black" stroked="f"/>
                  <v:line id="Line 165" o:spid="_x0000_s1263" style="position:absolute;visibility:visible;mso-wrap-style:square" from="7314,1369" to="8553,1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5/qMQAAADcAAAADwAAAGRycy9kb3ducmV2LnhtbESPT4vCMBTE7wt+h/AEb2taQbdWo4is&#10;uN7Wf+Dx0TzbYPNSmqx2v71ZWPA4zMxvmPmys7W4U+uNYwXpMAFBXDhtuFRwOm7eMxA+IGusHZOC&#10;X/KwXPTe5phr9+A93Q+hFBHCPkcFVQhNLqUvKrLoh64hjt7VtRZDlG0pdYuPCLe1HCXJRFo0HBcq&#10;bGhdUXE7/FgF5nuyHe8+ztOz/NyG9JLdMmNPSg363WoGIlAXXuH/9pdWME5H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oxAAAANwAAAAPAAAAAAAAAAAA&#10;AAAAAKECAABkcnMvZG93bnJldi54bWxQSwUGAAAAAAQABAD5AAAAkgMAAAAA&#10;" strokeweight="0"/>
                  <v:rect id="Rectangle 166" o:spid="_x0000_s1264" style="position:absolute;left:7314;top:1369;width:1239;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3nscA&#10;AADcAAAADwAAAGRycy9kb3ducmV2LnhtbESPT2vCQBTE70K/w/IK3nTjv2LTrFIFwYtQbQ/19sy+&#10;JiHZt3F31dhP3y0Uehxm5jdMtuxMI67kfGVZwWiYgCDOra64UPDxvhnMQfiArLGxTAru5GG5eOhl&#10;mGp74z1dD6EQEcI+RQVlCG0qpc9LMuiHtiWO3pd1BkOUrpDa4S3CTSPHSfIkDVYcF0psaV1SXh8u&#10;RsHqeb46v015970/Hen4eapnY5co1X/sXl9ABOrCf/ivvdUKZqMJ/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p957HAAAA3AAAAA8AAAAAAAAAAAAAAAAAmAIAAGRy&#10;cy9kb3ducmV2LnhtbFBLBQYAAAAABAAEAPUAAACMAwAAAAA=&#10;" fillcolor="black" stroked="f"/>
                  <v:line id="Line 167" o:spid="_x0000_s1265" style="position:absolute;visibility:visible;mso-wrap-style:square" from="8573,1369" to="9813,1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CR8UAAADcAAAADwAAAGRycy9kb3ducmV2LnhtbESPW2vCQBSE3wv+h+UIfaubFC8xuooU&#10;i/bNK/h4yB6TxezZkN1q+u/dQqGPw8x8w8yXna3FnVpvHCtIBwkI4sJpw6WC0/HzLQPhA7LG2jEp&#10;+CEPy0XvZY65dg/e0/0QShEh7HNUUIXQ5FL6oiKLfuAa4uhdXWsxRNmWUrf4iHBby/ckGUuLhuNC&#10;hQ19VFTcDt9WgdmNN6OvyXl6lutNSC/ZLTP2pNRrv1vNQATqwn/4r73VCkbpEH7Px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CR8UAAADcAAAADwAAAAAAAAAA&#10;AAAAAAChAgAAZHJzL2Rvd25yZXYueG1sUEsFBgAAAAAEAAQA+QAAAJMDAAAAAA==&#10;" strokeweight="0"/>
                  <v:rect id="Rectangle 168" o:spid="_x0000_s1266" style="position:absolute;left:8573;top:1369;width:1240;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KccYA&#10;AADcAAAADwAAAGRycy9kb3ducmV2LnhtbESPQWsCMRSE70L/Q3gFb5pV3KKrUWpB8CJU7aHenpvX&#10;3cXNyzaJuvrrm4LgcZiZb5jZojW1uJDzlWUFg34Cgji3uuJCwdd+1RuD8AFZY22ZFNzIw2L+0plh&#10;pu2Vt3TZhUJECPsMFZQhNJmUPi/JoO/bhjh6P9YZDFG6QmqH1wg3tRwmyZs0WHFcKLGhj5Ly0+5s&#10;FCwn4+Xv54g39+3xQIfv4ykdukSp7mv7PgURqA3P8KO91grSQQr/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zKccYAAADcAAAADwAAAAAAAAAAAAAAAACYAgAAZHJz&#10;L2Rvd25yZXYueG1sUEsFBgAAAAAEAAQA9QAAAIsDAAAAAA==&#10;" fillcolor="black" stroked="f"/>
                  <v:line id="Line 169" o:spid="_x0000_s1267" style="position:absolute;visibility:visible;mso-wrap-style:square" from="10,1582" to="6034,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V5q8QAAADcAAAADwAAAGRycy9kb3ducmV2LnhtbESPQWvCQBSE7wX/w/IKvdVNBNM0uopI&#10;i3qrVsHjI/uaLGbfhuxW4793BcHjMDPfMNN5bxtxps4bxwrSYQKCuHTacKVg//v9noPwAVlj45gU&#10;XMnDfDZ4mWKh3YW3dN6FSkQI+wIV1CG0hZS+rMmiH7qWOHp/rrMYouwqqTu8RLht5ChJMmnRcFyo&#10;saVlTeVp928VmJ9sNd58HD4P8msV0mN+yo3dK/X22i8mIAL14Rl+tNdawTjN4H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dXmrxAAAANwAAAAPAAAAAAAAAAAA&#10;AAAAAKECAABkcnMvZG93bnJldi54bWxQSwUGAAAAAAQABAD5AAAAkgMAAAAA&#10;" strokeweight="0"/>
                  <v:rect id="Rectangle 170" o:spid="_x0000_s1268" style="position:absolute;left:10;top:1582;width:6024;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xnccA&#10;AADcAAAADwAAAGRycy9kb3ducmV2LnhtbESPQWvCQBSE70L/w/IKvelGqdamWaUWBC9CtT3U2zP7&#10;moRk36a7q0Z/fVcQPA4z8w2TzTvTiCM5X1lWMBwkIIhzqysuFHx/LftTED4ga2wsk4IzeZjPHnoZ&#10;ptqeeEPHbShEhLBPUUEZQptK6fOSDPqBbYmj92udwRClK6R2eIpw08hRkkykwYrjQoktfZSU19uD&#10;UbB4nS7+Pp95fdnsd7T72dfjkUuUenrs3t9ABOrCPXxrr7SC8fAF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S8Z3HAAAA3AAAAA8AAAAAAAAAAAAAAAAAmAIAAGRy&#10;cy9kb3ducmV2LnhtbFBLBQYAAAAABAAEAPUAAACMAwAAAAA=&#10;" fillcolor="black" stroked="f"/>
                  <v:line id="Line 171" o:spid="_x0000_s1269" style="position:absolute;visibility:visible;mso-wrap-style:square" from="6054,1582" to="7294,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ZIQsIAAADcAAAADwAAAGRycy9kb3ducmV2LnhtbERPyWrDMBC9F/IPYgq5NbILTh03Sgil&#10;wc2t2aDHwZraItbIWKrt/n10KPT4ePt6O9lWDNR741hBukhAEFdOG64VXM77pxyED8gaW8ek4Jc8&#10;bDezhzUW2o18pOEUahFD2BeooAmhK6T0VUMW/cJ1xJH7dr3FEGFfS93jGMNtK5+TZCktGo4NDXb0&#10;1lB1O/1YBeZzWWaHl+vqKt/LkH7lt9zYi1Lzx2n3CiLQFP7Ff+4PrSBL49p4Jh4B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ZIQsIAAADcAAAADwAAAAAAAAAAAAAA&#10;AAChAgAAZHJzL2Rvd25yZXYueG1sUEsFBgAAAAAEAAQA+QAAAJADAAAAAA==&#10;" strokeweight="0"/>
                  <v:rect id="Rectangle 172" o:spid="_x0000_s1270" style="position:absolute;left:6054;top:1582;width:1240;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HAdMYA&#10;AADcAAAADwAAAGRycy9kb3ducmV2LnhtbESPT2sCMRTE7wW/Q3hCbzWrVNHVKCoUein476C35+a5&#10;u7h5WZNUVz+9EQo9DjPzG2Yya0wlruR8aVlBt5OAIM6sLjlXsNt+fQxB+ICssbJMCu7kYTZtvU0w&#10;1fbGa7puQi4ihH2KCooQ6lRKnxVk0HdsTRy9k3UGQ5Qul9rhLcJNJXtJMpAGS44LBda0LCg7b36N&#10;gsVouLisPvnnsT4e6LA/nvs9lyj13m7mYxCBmvAf/mt/awX97gheZ+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HAdMYAAADcAAAADwAAAAAAAAAAAAAAAACYAgAAZHJz&#10;L2Rvd25yZXYueG1sUEsFBgAAAAAEAAQA9QAAAIsDAAAAAA==&#10;" fillcolor="black" stroked="f"/>
                  <v:line id="Line 173" o:spid="_x0000_s1271" style="position:absolute;visibility:visible;mso-wrap-style:square" from="7314,1582" to="8553,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yO+cEAAADcAAAADwAAAGRycy9kb3ducmV2LnhtbERPTYvCMBC9C/sfwizsTVMFtVuNsiwu&#10;6k2rwh6HZmyDzaQ0Ueu/NwfB4+N9z5edrcWNWm8cKxgOEhDEhdOGSwXHw18/BeEDssbaMSl4kIfl&#10;4qM3x0y7O+/plodSxBD2GSqoQmgyKX1RkUU/cA1x5M6utRgibEupW7zHcFvLUZJMpEXDsaHChn4r&#10;Ki751Sowu8l6vJ2evk9ytQ7D//SSGntU6uuz+5mBCNSFt/jl3mgF41GcH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vI75wQAAANwAAAAPAAAAAAAAAAAAAAAA&#10;AKECAABkcnMvZG93bnJldi54bWxQSwUGAAAAAAQABAD5AAAAjwMAAAAA&#10;" strokeweight="0"/>
                  <v:rect id="Rectangle 174" o:spid="_x0000_s1272" style="position:absolute;left:7314;top:1582;width:1239;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sGz8YA&#10;AADcAAAADwAAAGRycy9kb3ducmV2LnhtbESPT2sCMRTE74LfITyhN8261KKrUbRQ8CL4p4d6e26e&#10;u4ubl22S6rafvhEEj8PM/IaZLVpTiys5X1lWMBwkIIhzqysuFHwePvpjED4ga6wtk4Jf8rCYdzsz&#10;zLS98Y6u+1CICGGfoYIyhCaT0uclGfQD2xBH72ydwRClK6R2eItwU8s0Sd6kwYrjQokNvZeUX/Y/&#10;RsFqMl59b19587c7Hen4dbqMUpco9dJrl1MQgdrwDD/aa61glA7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sGz8YAAADcAAAADwAAAAAAAAAAAAAAAACYAgAAZHJz&#10;L2Rvd25yZXYueG1sUEsFBgAAAAAEAAQA9QAAAIsDAAAAAA==&#10;" fillcolor="black" stroked="f"/>
                  <v:line id="Line 175" o:spid="_x0000_s1273" style="position:absolute;visibility:visible;mso-wrap-style:square" from="8573,1582" to="9813,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K1FcQAAADcAAAADwAAAGRycy9kb3ducmV2LnhtbESPT4vCMBTE7wt+h/AEb2tqQbdWo4is&#10;uN7Wf+Dx0TzbYPNSmqx2v71ZWPA4zMxvmPmys7W4U+uNYwWjYQKCuHDacKngdNy8ZyB8QNZYOyYF&#10;v+Rhuei9zTHX7sF7uh9CKSKEfY4KqhCaXEpfVGTRD11DHL2ray2GKNtS6hYfEW5rmSbJRFo0HBcq&#10;bGhdUXE7/FgF5nuyHe8+ztOz/NyG0SW7ZcaelBr0u9UMRKAuvML/7S+tYJym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IrUVxAAAANwAAAAPAAAAAAAAAAAA&#10;AAAAAKECAABkcnMvZG93bnJldi54bWxQSwUGAAAAAAQABAD5AAAAkgMAAAAA&#10;" strokeweight="0"/>
                  <v:rect id="Rectangle 176" o:spid="_x0000_s1274" style="position:absolute;left:8573;top:1582;width:1240;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U9I8cA&#10;AADcAAAADwAAAGRycy9kb3ducmV2LnhtbESPT2sCMRTE74V+h/AEbzXrWkVXo9SC0Euh/jno7bl5&#10;7i5uXrZJ1G0/fSMUPA4z8xtmtmhNLa7kfGVZQb+XgCDOra64ULDbrl7GIHxA1lhbJgU/5GExf36a&#10;Yabtjdd03YRCRAj7DBWUITSZlD4vyaDv2YY4eifrDIYoXSG1w1uEm1qmSTKSBiuOCyU29F5Sft5c&#10;jILlZLz8/nrlz9/18UCH/fE8TF2iVLfTvk1BBGrDI/zf/tAKhukA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FPSPHAAAA3AAAAA8AAAAAAAAAAAAAAAAAmAIAAGRy&#10;cy9kb3ducmV2LnhtbFBLBQYAAAAABAAEAPUAAACMAwAAAAA=&#10;" fillcolor="black" stroked="f"/>
                  <v:line id="Line 177" o:spid="_x0000_s1275" style="position:absolute;visibility:visible;mso-wrap-style:square" from="10,1795" to="6034,1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eI+sUAAADcAAAADwAAAGRycy9kb3ducmV2LnhtbESPT2vCQBTE74V+h+UVvOlGaTRNXUWk&#10;YnvzX6DHR/Y1Wcy+DdlV47fvFoQeh5n5DTNf9rYRV+q8caxgPEpAEJdOG64UnI6bYQbCB2SNjWNS&#10;cCcPy8Xz0xxz7W68p+shVCJC2OeooA6hzaX0ZU0W/ci1xNH7cZ3FEGVXSd3hLcJtIydJMpUWDceF&#10;Glta11SeDxerwOym2/RrVrwV8mMbxt/ZOTP2pNTgpV+9gwjUh//wo/2pFaST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eI+sUAAADcAAAADwAAAAAAAAAA&#10;AAAAAAChAgAAZHJzL2Rvd25yZXYueG1sUEsFBgAAAAAEAAQA+QAAAJMDAAAAAA==&#10;" strokeweight="0"/>
                  <v:rect id="Rectangle 178" o:spid="_x0000_s1276" style="position:absolute;left:10;top:1795;width:6024;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AzMYA&#10;AADcAAAADwAAAGRycy9kb3ducmV2LnhtbESPQWvCQBSE74L/YXmF3nTTYMRGV1FB6KVQbQ/19sw+&#10;k2D2bdzdavTXu4VCj8PMfMPMFp1pxIWcry0reBkmIIgLq2suFXx9bgYTED4ga2wsk4IbeVjM+70Z&#10;5tpeeUuXXShFhLDPUUEVQptL6YuKDPqhbYmjd7TOYIjSlVI7vEa4aWSaJGNpsOa4UGFL64qK0+7H&#10;KFi9TlbnjxG/37eHPe2/D6csdYlSz0/dcgoiUBf+w3/tN60gSzP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AAzMYAAADcAAAADwAAAAAAAAAAAAAAAACYAgAAZHJz&#10;L2Rvd25yZXYueG1sUEsFBgAAAAAEAAQA9QAAAIsDAAAAAA==&#10;" fillcolor="black" stroked="f"/>
                  <v:line id="Line 179" o:spid="_x0000_s1277" style="position:absolute;visibility:visible;mso-wrap-style:square" from="6054,1795" to="7294,1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mzFsQAAADcAAAADwAAAGRycy9kb3ducmV2LnhtbESPT4vCMBTE7wt+h/AEb2uqYLdWo4is&#10;6N7Wf+Dx0TzbYPNSmqzWb79ZWPA4zMxvmPmys7W4U+uNYwWjYQKCuHDacKngdNy8ZyB8QNZYOyYF&#10;T/KwXPTe5phr9+A93Q+hFBHCPkcFVQhNLqUvKrLoh64hjt7VtRZDlG0pdYuPCLe1HCdJKi0ajgsV&#10;NrSuqLgdfqwC851uJ18f5+lZfm7D6JLdMmNPSg363WoGIlAXXuH/9k4rmIxT+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GbMWxAAAANwAAAAPAAAAAAAAAAAA&#10;AAAAAKECAABkcnMvZG93bnJldi54bWxQSwUGAAAAAAQABAD5AAAAkgMAAAAA&#10;" strokeweight="0"/>
                  <v:rect id="Rectangle 180" o:spid="_x0000_s1278" style="position:absolute;left:6054;top:1795;width:1240;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47I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RukY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OyDHAAAA3AAAAA8AAAAAAAAAAAAAAAAAmAIAAGRy&#10;cy9kb3ducmV2LnhtbFBLBQYAAAAABAAEAPUAAACMAwAAAAA=&#10;" fillcolor="black" stroked="f"/>
                  <v:line id="Line 181" o:spid="_x0000_s1279" style="position:absolute;visibility:visible;mso-wrap-style:square" from="7314,1795" to="8553,1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qC/8EAAADcAAAADwAAAGRycy9kb3ducmV2LnhtbERPTYvCMBC9C/sfwizsTVMFtVuNsiwu&#10;6k2rwh6HZmyDzaQ0Ueu/NwfB4+N9z5edrcWNWm8cKxgOEhDEhdOGSwXHw18/BeEDssbaMSl4kIfl&#10;4qM3x0y7O+/plodSxBD2GSqoQmgyKX1RkUU/cA1x5M6utRgibEupW7zHcFvLUZJMpEXDsaHChn4r&#10;Ki751Sowu8l6vJ2evk9ytQ7D//SSGntU6uuz+5mBCNSFt/jl3mgF41FcG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yoL/wQAAANwAAAAPAAAAAAAAAAAAAAAA&#10;AKECAABkcnMvZG93bnJldi54bWxQSwUGAAAAAAQABAD5AAAAjwMAAAAA&#10;" strokeweight="0"/>
                  <v:rect id="Rectangle 182" o:spid="_x0000_s1280" style="position:absolute;left:7314;top:1795;width:1239;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0KycYA&#10;AADcAAAADwAAAGRycy9kb3ducmV2LnhtbESPT2sCMRTE70K/Q3iF3jTbpRZdjVILBS+C/w56e26e&#10;u4ubl22S6uqnbwTB4zAzv2HG09bU4kzOV5YVvPcSEMS51RUXCrabn+4AhA/IGmvLpOBKHqaTl84Y&#10;M20vvKLzOhQiQthnqKAMocmk9HlJBn3PNsTRO1pnMETpCqkdXiLc1DJNkk9psOK4UGJD3yXlp/Wf&#10;UTAbDma/yw9e3FaHPe13h1M/dYlSb6/t1whEoDY8w4/2XCvop0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0KycYAAADcAAAADwAAAAAAAAAAAAAAAACYAgAAZHJz&#10;L2Rvd25yZXYueG1sUEsFBgAAAAAEAAQA9QAAAIsDAAAAAA==&#10;" fillcolor="black" stroked="f"/>
                  <v:line id="Line 183" o:spid="_x0000_s1281" style="position:absolute;visibility:visible;mso-wrap-style:square" from="8573,1795" to="9813,1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UYJMEAAADcAAAADwAAAGRycy9kb3ducmV2LnhtbERPy4rCMBTdD8w/hDswO02dQa3VKIMo&#10;6s4nuLw01zbY3JQmav17sxBmeTjvyay1lbhT441jBb1uAoI4d9pwoeB4WHZSED4ga6wck4IneZhN&#10;Pz8mmGn34B3d96EQMYR9hgrKEOpMSp+XZNF3XU0cuYtrLIYIm0LqBh8x3FbyJ0kG0qLh2FBiTfOS&#10;8uv+ZhWY7WDV3wxPo5NcrELvnF5TY49KfX+1f2MQgdrwL36711pB/zfOj2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ZRgkwQAAANwAAAAPAAAAAAAAAAAAAAAA&#10;AKECAABkcnMvZG93bnJldi54bWxQSwUGAAAAAAQABAD5AAAAjwMAAAAA&#10;" strokeweight="0"/>
                  <v:rect id="Rectangle 184" o:spid="_x0000_s1282" style="position:absolute;left:8573;top:1795;width:1240;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KQEscA&#10;AADcAAAADwAAAGRycy9kb3ducmV2LnhtbESPT2vCQBTE70K/w/IK3nTjv2LTrFIFwYtQbQ/19sy+&#10;JiHZt3F31dhP3y0Uehxm5jdMtuxMI67kfGVZwWiYgCDOra64UPDxvhnMQfiArLGxTAru5GG5eOhl&#10;mGp74z1dD6EQEcI+RQVlCG0qpc9LMuiHtiWO3pd1BkOUrpDa4S3CTSPHSfIkDVYcF0psaV1SXh8u&#10;RsHqeb46v015970/Hen4eapnY5co1X/sXl9ABOrCf/ivvdUKZpMR/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CkBLHAAAA3AAAAA8AAAAAAAAAAAAAAAAAmAIAAGRy&#10;cy9kb3ducmV2LnhtbFBLBQYAAAAABAAEAPUAAACMAwAAAAA=&#10;" fillcolor="black" stroked="f"/>
                  <v:line id="Line 185" o:spid="_x0000_s1283" style="position:absolute;visibility:visible;mso-wrap-style:square" from="10,2008" to="6034,2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sjyMUAAADcAAAADwAAAGRycy9kb3ducmV2LnhtbESPT2vCQBTE74V+h+UVvOlGSzRNXUWk&#10;YnvzX6DHR/Y1Wcy+DdlV47fvFoQeh5n5DTNf9rYRV+q8caxgPEpAEJdOG64UnI6bYQbCB2SNjWNS&#10;cCcPy8Xz0xxz7W68p+shVCJC2OeooA6hzaX0ZU0W/ci1xNH7cZ3FEGVXSd3hLcJtIydJMpUWDceF&#10;Glta11SeDxerwOym2/RrVrwV8mMbxt/ZOTP2pNTgpV+9gwjUh//wo/2pFaSv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sjyMUAAADcAAAADwAAAAAAAAAA&#10;AAAAAAChAgAAZHJzL2Rvd25yZXYueG1sUEsFBgAAAAAEAAQA+QAAAJMDAAAAAA==&#10;" strokeweight="0"/>
                  <v:rect id="Rectangle 186" o:spid="_x0000_s1284" style="position:absolute;left:10;top:2008;width:6024;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r/sYA&#10;AADcAAAADwAAAGRycy9kb3ducmV2LnhtbESPT2sCMRTE7wW/Q3iCt5pVq+hqlCoIvRTqn4Penpvn&#10;7uLmZZtE3frpTaHQ4zAzv2Fmi8ZU4kbOl5YV9LoJCOLM6pJzBfvd+nUMwgdkjZVlUvBDHhbz1ssM&#10;U23vvKHbNuQiQtinqKAIoU6l9FlBBn3X1sTRO1tnMETpcqkd3iPcVLKfJCNpsOS4UGBNq4Kyy/Zq&#10;FCwn4+X31xt/PjanIx0Pp8uw7xKlOu3mfQoiUBP+w3/tD61gOBjA75l4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yr/sYAAADcAAAADwAAAAAAAAAAAAAAAACYAgAAZHJz&#10;L2Rvd25yZXYueG1sUEsFBgAAAAAEAAQA9QAAAIsDAAAAAA==&#10;" fillcolor="black" stroked="f"/>
                  <v:line id="Line 187" o:spid="_x0000_s1285" style="position:absolute;visibility:visible;mso-wrap-style:square" from="6054,2008" to="7294,2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4eJ8UAAADcAAAADwAAAGRycy9kb3ducmV2LnhtbESPT2sCMRTE7wW/Q3iCt5q1Vl23Rimi&#10;aG+tf8DjY/O6G9y8LJuo229vBKHHYWZ+w8wWra3ElRpvHCsY9BMQxLnThgsFh/36NQXhA7LGyjEp&#10;+CMPi3nnZYaZdjf+oesuFCJC2GeooAyhzqT0eUkWfd/VxNH7dY3FEGVTSN3gLcJtJd+SZCwtGo4L&#10;Jda0LCk/7y5Wgfkeb0Zfk+P0KFebMDil59TYg1K9bvv5ASJQG/7Dz/ZWKxgN3+F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4eJ8UAAADcAAAADwAAAAAAAAAA&#10;AAAAAAChAgAAZHJzL2Rvd25yZXYueG1sUEsFBgAAAAAEAAQA+QAAAJMDAAAAAA==&#10;" strokeweight="0"/>
                  <v:rect id="Rectangle 188" o:spid="_x0000_s1286" style="position:absolute;left:6054;top:2008;width:1240;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WEccA&#10;AADcAAAADwAAAGRycy9kb3ducmV2LnhtbESPT2sCMRTE74V+h/AEbzWrdkVXo9SC0Euh/jno7bl5&#10;7i5uXrZJ1G0/fSMUPA4z8xtmtmhNLa7kfGVZQb+XgCDOra64ULDbrl7GIHxA1lhbJgU/5GExf36a&#10;Yabtjdd03YRCRAj7DBWUITSZlD4vyaDv2YY4eifrDIYoXSG1w1uEm1oOkmQkDVYcF0ps6L2k/Ly5&#10;GAXLyXj5/fXKn7/r44EO++M5HbhEqW6nfZuCCNSGR/i//aEVpM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5lhHHAAAA3AAAAA8AAAAAAAAAAAAAAAAAmAIAAGRy&#10;cy9kb3ducmV2LnhtbFBLBQYAAAAABAAEAPUAAACMAwAAAAA=&#10;" fillcolor="black" stroked="f"/>
                  <v:line id="Line 189" o:spid="_x0000_s1287" style="position:absolute;visibility:visible;mso-wrap-style:square" from="7314,2008" to="8553,2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Aly8QAAADcAAAADwAAAGRycy9kb3ducmV2LnhtbESPT2vCQBTE7wW/w/KE3upGxRijq4hY&#10;bG/+BY+P7DNZzL4N2a2m375bKPQ4zMxvmMWqs7V4UOuNYwXDQQKCuHDacKngfHp/y0D4gKyxdkwK&#10;vsnDatl7WWCu3ZMP9DiGUkQI+xwVVCE0uZS+qMiiH7iGOHo311oMUbal1C0+I9zWcpQkqbRoOC5U&#10;2NCmouJ+/LIKzD7dTT6nl9lFbndheM3umbFnpV773XoOIlAX/sN/7Q+tYDJO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wCXLxAAAANwAAAAPAAAAAAAAAAAA&#10;AAAAAKECAABkcnMvZG93bnJldi54bWxQSwUGAAAAAAQABAD5AAAAkgMAAAAA&#10;" strokeweight="0"/>
                  <v:rect id="Rectangle 190" o:spid="_x0000_s1288" style="position:absolute;left:7314;top:2008;width:1239;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t/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waA3h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nrf3HAAAA3AAAAA8AAAAAAAAAAAAAAAAAmAIAAGRy&#10;cy9kb3ducmV2LnhtbFBLBQYAAAAABAAEAPUAAACMAwAAAAA=&#10;" fillcolor="black" stroked="f"/>
                  <v:line id="Line 191" o:spid="_x0000_s1289" style="position:absolute;visibility:visible;mso-wrap-style:square" from="8573,2008" to="9813,2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MUIsEAAADcAAAADwAAAGRycy9kb3ducmV2LnhtbERPy4rCMBTdD8w/hDswO02dQa3VKIMo&#10;6s4nuLw01zbY3JQmav17sxBmeTjvyay1lbhT441jBb1uAoI4d9pwoeB4WHZSED4ga6wck4IneZhN&#10;Pz8mmGn34B3d96EQMYR9hgrKEOpMSp+XZNF3XU0cuYtrLIYIm0LqBh8x3FbyJ0kG0qLh2FBiTfOS&#10;8uv+ZhWY7WDV3wxPo5NcrELvnF5TY49KfX+1f2MQgdrwL36711pB/zeujW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ExQiwQAAANwAAAAPAAAAAAAAAAAAAAAA&#10;AKECAABkcnMvZG93bnJldi54bWxQSwUGAAAAAAQABAD5AAAAjwMAAAAA&#10;" strokeweight="0"/>
                  <v:rect id="Rectangle 192" o:spid="_x0000_s1290" style="position:absolute;left:8573;top:2008;width:1240;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cFMcA&#10;AADcAAAADwAAAGRycy9kb3ducmV2LnhtbESPQWvCQBSE74X+h+UVequbWi0as0oVCl4Kaj3o7SX7&#10;TILZt3F3q2l/fVcQPA4z8w2TzTrTiDM5X1tW8NpLQBAXVtdcKth+f76MQPiArLGxTAp+ycNs+viQ&#10;Yarthdd03oRSRAj7FBVUIbSplL6oyKDv2ZY4egfrDIYoXSm1w0uEm0b2k+RdGqw5LlTY0qKi4rj5&#10;MQrm49H8tBrw198639N+lx+HfZco9fzUfUxABOrCPXxrL7WC4dsY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0nBTHAAAA3AAAAA8AAAAAAAAAAAAAAAAAmAIAAGRy&#10;cy9kb3ducmV2LnhtbFBLBQYAAAAABAAEAPUAAACMAwAAAAA=&#10;" fillcolor="black" stroked="f"/>
                  <v:line id="Line 193" o:spid="_x0000_s1291" style="position:absolute;visibility:visible;mso-wrap-style:square" from="10,2414" to="6034,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NrWcEAAADcAAAADwAAAGRycy9kb3ducmV2LnhtbERPy4rCMBTdD8w/hDswO00dRq3VKIMo&#10;6s4nuLw01zbY3JQmav17sxBmeTjvyay1lbhT441jBb1uAoI4d9pwoeB4WHZSED4ga6wck4IneZhN&#10;Pz8mmGn34B3d96EQMYR9hgrKEOpMSp+XZNF3XU0cuYtrLIYIm0LqBh8x3FbyJ0kG0qLh2FBiTfOS&#10;8uv+ZhWY7WDV3wxPo5NcrELvnF5TY49KfX+1f2MQgdrwL36711pB/zfOj2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Y2tZwQAAANwAAAAPAAAAAAAAAAAAAAAA&#10;AKECAABkcnMvZG93bnJldi54bWxQSwUGAAAAAAQABAD5AAAAjwMAAAAA&#10;" strokeweight="0"/>
                  <v:rect id="Rectangle 194" o:spid="_x0000_s1292" style="position:absolute;left:10;top:2414;width:602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jb8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Bz2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Tjb8YAAADcAAAADwAAAAAAAAAAAAAAAACYAgAAZHJz&#10;L2Rvd25yZXYueG1sUEsFBgAAAAAEAAQA9QAAAIsDAAAAAA==&#10;" fillcolor="black" stroked="f"/>
                  <v:line id="Line 195" o:spid="_x0000_s1293" style="position:absolute;visibility:visible;mso-wrap-style:square" from="6054,2414" to="7294,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1QtcUAAADcAAAADwAAAGRycy9kb3ducmV2LnhtbESPT2vCQBTE74V+h+UVvOlGaTRNXUWk&#10;YnvzX6DHR/Y1Wcy+DdlV47fvFoQeh5n5DTNf9rYRV+q8caxgPEpAEJdOG64UnI6bYQbCB2SNjWNS&#10;cCcPy8Xz0xxz7W68p+shVCJC2OeooA6hzaX0ZU0W/ci1xNH7cZ3FEGVXSd3hLcJtIydJMpUWDceF&#10;Glta11SeDxerwOym2/RrVrwV8mMbxt/ZOTP2pNTgpV+9gwjUh//wo/2pFaSv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1QtcUAAADcAAAADwAAAAAAAAAA&#10;AAAAAAChAgAAZHJzL2Rvd25yZXYueG1sUEsFBgAAAAAEAAQA+QAAAJMDAAAAAA==&#10;" strokeweight="0"/>
                  <v:rect id="Rectangle 196" o:spid="_x0000_s1294" style="position:absolute;left:6054;top:2414;width:124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rYg8YA&#10;AADcAAAADwAAAGRycy9kb3ducmV2LnhtbESPT2sCMRTE70K/Q3gFb5qtf4rdGkUFwUtBbQ/19ty8&#10;7i5uXtYk6tZPbwTB4zAzv2HG08ZU4kzOl5YVvHUTEMSZ1SXnCn6+l50RCB+QNVaWScE/eZhOXlpj&#10;TLW98IbO25CLCGGfooIihDqV0mcFGfRdWxNH7886gyFKl0vt8BLhppK9JHmXBkuOCwXWtCgoO2xP&#10;RsH8YzQ/rgf8dd3sd7T73R+GPZco1X5tZp8gAjXhGX60V1rBcNCH+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rYg8YAAADcAAAADwAAAAAAAAAAAAAAAACYAgAAZHJz&#10;L2Rvd25yZXYueG1sUEsFBgAAAAAEAAQA9QAAAIsDAAAAAA==&#10;" fillcolor="black" stroked="f"/>
                  <v:line id="Line 197" o:spid="_x0000_s1295" style="position:absolute;visibility:visible;mso-wrap-style:square" from="7314,2414" to="8553,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htWsUAAADcAAAADwAAAGRycy9kb3ducmV2LnhtbESPT2vCQBTE74V+h+UVetONYjRNXUVE&#10;sb35L9DjI/uaLGbfhuxW47fvFoQeh5n5DTNf9rYRV+q8caxgNExAEJdOG64UnE/bQQbCB2SNjWNS&#10;cCcPy8Xz0xxz7W58oOsxVCJC2OeooA6hzaX0ZU0W/dC1xNH7dp3FEGVXSd3hLcJtI8dJMpUWDceF&#10;Glta11Rejj9WgdlPd+nnrHgr5GYXRl/ZJTP2rNTrS796BxGoD//hR/tDK0gn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htWsUAAADcAAAADwAAAAAAAAAA&#10;AAAAAAChAgAAZHJzL2Rvd25yZXYueG1sUEsFBgAAAAAEAAQA+QAAAJMDAAAAAA==&#10;" strokeweight="0"/>
                  <v:rect id="Rectangle 198" o:spid="_x0000_s1296" style="position:absolute;left:7314;top:2414;width:123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bMYA&#10;AADcAAAADwAAAGRycy9kb3ducmV2LnhtbESPQWsCMRSE7wX/Q3iCt5pV3KKrUVQQeimo7aHenpvn&#10;7uLmZU2ibvvrG0HocZiZb5jZojW1uJHzlWUFg34Cgji3uuJCwdfn5nUMwgdkjbVlUvBDHhbzzssM&#10;M23vvKPbPhQiQthnqKAMocmk9HlJBn3fNsTRO1lnMETpCqkd3iPc1HKYJG/SYMVxocSG1iXl5/3V&#10;KFhNxqvLdsQfv7vjgQ7fx3M6dIlSvW67nIII1Ib/8LP9rhWkoxQ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lbMYAAADcAAAADwAAAAAAAAAAAAAAAACYAgAAZHJz&#10;L2Rvd25yZXYueG1sUEsFBgAAAAAEAAQA9QAAAIsDAAAAAA==&#10;" fillcolor="black" stroked="f"/>
                  <v:line id="Line 199" o:spid="_x0000_s1297" style="position:absolute;visibility:visible;mso-wrap-style:square" from="8573,2414" to="9813,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ZWtsQAAADcAAAADwAAAGRycy9kb3ducmV2LnhtbESPT2vCQBTE7wW/w/KE3upG0Rijq4hY&#10;bG/+BY+P7DNZzL4N2a2m375bKPQ4zMxvmMWqs7V4UOuNYwXDQQKCuHDacKngfHp/y0D4gKyxdkwK&#10;vsnDatl7WWCu3ZMP9DiGUkQI+xwVVCE0uZS+qMiiH7iGOHo311oMUbal1C0+I9zWcpQkqbRoOC5U&#10;2NCmouJ+/LIKzD7dTT6nl9lFbndheM3umbFnpV773XoOIlAX/sN/7Q+tYDJO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xla2xAAAANwAAAAPAAAAAAAAAAAA&#10;AAAAAKECAABkcnMvZG93bnJldi54bWxQSwUGAAAAAAQABAD5AAAAkgMAAAAA&#10;" strokeweight="0"/>
                  <v:rect id="Rectangle 200" o:spid="_x0000_s1298" style="position:absolute;left:8573;top:2414;width:124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HegMYA&#10;AADcAAAADwAAAGRycy9kb3ducmV2LnhtbESPQWsCMRSE70L/Q3gFb5qtqNXVKFUQehGq9aC35+Z1&#10;d3Hzsk2ibv31jSB4HGbmG2Y6b0wlLuR8aVnBWzcBQZxZXXKuYPe96oxA+ICssbJMCv7Iw3z20ppi&#10;qu2VN3TZhlxECPsUFRQh1KmUPivIoO/amjh6P9YZDFG6XGqH1wg3lewlyVAaLDkuFFjTsqDstD0b&#10;BYvxaPH71ef1bXM80GF/PA16LlGq/dp8TEAEasIz/Gh/agWD/jv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HegMYAAADcAAAADwAAAAAAAAAAAAAAAACYAgAAZHJz&#10;L2Rvd25yZXYueG1sUEsFBgAAAAAEAAQA9QAAAIsDAAAAAA==&#10;" fillcolor="black" stroked="f"/>
                  <v:line id="Line 201" o:spid="_x0000_s1299" style="position:absolute;visibility:visible;mso-wrap-style:square" from="10,2627" to="6034,2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VnX8EAAADcAAAADwAAAGRycy9kb3ducmV2LnhtbERPy4rCMBTdD8w/hDswO00dRq3VKIMo&#10;6s4nuLw01zbY3JQmav17sxBmeTjvyay1lbhT441jBb1uAoI4d9pwoeB4WHZSED4ga6wck4IneZhN&#10;Pz8mmGn34B3d96EQMYR9hgrKEOpMSp+XZNF3XU0cuYtrLIYIm0LqBh8x3FbyJ0kG0qLh2FBiTfOS&#10;8uv+ZhWY7WDV3wxPo5NcrELvnF5TY49KfX+1f2MQgdrwL36711pB/zeujW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FWdfwQAAANwAAAAPAAAAAAAAAAAAAAAA&#10;AKECAABkcnMvZG93bnJldi54bWxQSwUGAAAAAAQABAD5AAAAjwMAAAAA&#10;" strokeweight="0"/>
                  <v:rect id="Rectangle 202" o:spid="_x0000_s1300" style="position:absolute;left:10;top:2627;width:602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vacYA&#10;AADcAAAADwAAAGRycy9kb3ducmV2LnhtbESPQWsCMRSE74L/ITyhNzerqOjWKFUQeimo7aHenpvn&#10;7uLmZZukuu2vN4LgcZiZb5j5sjW1uJDzlWUFgyQFQZxbXXGh4Otz05+C8AFZY22ZFPyRh+Wi25lj&#10;pu2Vd3TZh0JECPsMFZQhNJmUPi/JoE9sQxy9k3UGQ5SukNrhNcJNLYdpOpEGK44LJTa0Lik/73+N&#10;gtVsuvrZjvjjf3c80OH7eB4PXarUS699ewURqA3P8KP9rhWMRz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LvacYAAADcAAAADwAAAAAAAAAAAAAAAACYAgAAZHJz&#10;L2Rvd25yZXYueG1sUEsFBgAAAAAEAAQA9QAAAIsDAAAAAA==&#10;" fillcolor="black" stroked="f"/>
                  <v:line id="Line 203" o:spid="_x0000_s1301" style="position:absolute;visibility:visible;mso-wrap-style:square" from="6054,2627" to="7294,2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r9hMIAAADcAAAADwAAAGRycy9kb3ducmV2LnhtbERPz2vCMBS+D/wfwht4W1MHdbUzioyJ&#10;8zZrCzs+mrc22LyUJtPuvzeHwY4f3+/1drK9uNLojWMFiyQFQdw4bbhVUJ33TzkIH5A19o5JwS95&#10;2G5mD2sstLvxia5laEUMYV+ggi6EoZDSNx1Z9IkbiCP37UaLIcKxlXrEWwy3vXxO06W0aDg2dDjQ&#10;W0fNpfyxCszn8pAdX+pVLd8PYfGVX3JjK6Xmj9PuFUSgKfyL/9wfWkGWxfnxTDwCcn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r9hMIAAADcAAAADwAAAAAAAAAAAAAA&#10;AAChAgAAZHJzL2Rvd25yZXYueG1sUEsFBgAAAAAEAAQA+QAAAJADAAAAAA==&#10;" strokeweight="0"/>
                  <v:rect id="Rectangle 204" o:spid="_x0000_s1302" style="position:absolute;left:6054;top:2627;width:124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11ssYA&#10;AADcAAAADwAAAGRycy9kb3ducmV2LnhtbESPQWsCMRSE70L/Q3gFb5pV3KKrUWpB8CJU7aHenpvX&#10;3cXNyzaJuvrrm4LgcZiZb5jZojW1uJDzlWUFg34Cgji3uuJCwdd+1RuD8AFZY22ZFNzIw2L+0plh&#10;pu2Vt3TZhUJECPsMFZQhNJmUPi/JoO/bhjh6P9YZDFG6QmqH1wg3tRwmyZs0WHFcKLGhj5Ly0+5s&#10;FCwn4+Xv54g39+3xQIfv4ykdukSp7mv7PgURqA3P8KO91grSdAD/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11ssYAAADcAAAADwAAAAAAAAAAAAAAAACYAgAAZHJz&#10;L2Rvd25yZXYueG1sUEsFBgAAAAAEAAQA9QAAAIsDAAAAAA==&#10;" fillcolor="black" stroked="f"/>
                  <v:line id="Line 205" o:spid="_x0000_s1303" style="position:absolute;visibility:visible;mso-wrap-style:square" from="7314,2627" to="8553,2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TGaMUAAADcAAAADwAAAGRycy9kb3ducmV2LnhtbESPQWvCQBSE74X+h+UVeqsbhdg0uhER&#10;i3prrUKPj+wzWZJ9G7Krxn/vFgoeh5n5hpkvBtuKC/XeOFYwHiUgiEunDVcKDj+fbxkIH5A1to5J&#10;wY08LIrnpznm2l35my77UIkIYZ+jgjqELpfSlzVZ9CPXEUfv5HqLIcq+krrHa4TbVk6SZCotGo4L&#10;NXa0qqls9merwHxNN+nu/fhxlOtNGP9mTWbsQanXl2E5AxFoCI/wf3urFaTpBP7OxCMg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TGaMUAAADcAAAADwAAAAAAAAAA&#10;AAAAAAChAgAAZHJzL2Rvd25yZXYueG1sUEsFBgAAAAAEAAQA+QAAAJMDAAAAAA==&#10;" strokeweight="0"/>
                  <v:rect id="Rectangle 206" o:spid="_x0000_s1304" style="position:absolute;left:7314;top:2627;width:123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NOXscA&#10;AADcAAAADwAAAGRycy9kb3ducmV2LnhtbESPT2sCMRTE74V+h/AEbzWrdkVXo9SC0Euh/jno7bl5&#10;7i5uXrZJ1G0/fSMUPA4z8xtmtmhNLa7kfGVZQb+XgCDOra64ULDbrl7GIHxA1lhbJgU/5GExf36a&#10;Yabtjdd03YRCRAj7DBWUITSZlD4vyaDv2YY4eifrDIYoXSG1w1uEm1oOkmQkDVYcF0ps6L2k/Ly5&#10;GAXLyXj5/fXKn7/r44EO++M5HbhEqW6nfZuCCNSGR/i//aEVpOkQ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DTl7HAAAA3AAAAA8AAAAAAAAAAAAAAAAAmAIAAGRy&#10;cy9kb3ducmV2LnhtbFBLBQYAAAAABAAEAPUAAACMAwAAAAA=&#10;" fillcolor="black" stroked="f"/>
                  <v:line id="Line 207" o:spid="_x0000_s1305" style="position:absolute;visibility:visible;mso-wrap-style:square" from="8573,2627" to="9813,2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H7h8QAAADcAAAADwAAAGRycy9kb3ducmV2LnhtbESPT2vCQBTE7wW/w/KE3urGYjRGV5Fi&#10;0d78Cx4f2WeymH0bsltNv71bKPQ4zMxvmPmys7W4U+uNYwXDQQKCuHDacKngdPx8y0D4gKyxdkwK&#10;fsjDctF7mWOu3YP3dD+EUkQI+xwVVCE0uZS+qMiiH7iGOHpX11oMUbal1C0+ItzW8j1JxtKi4bhQ&#10;YUMfFRW3w7dVYHbjTfo1OU/Pcr0Jw0t2y4w9KfXa71YzEIG68B/+a2+1gjQ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gfuHxAAAANwAAAAPAAAAAAAAAAAA&#10;AAAAAKECAABkcnMvZG93bnJldi54bWxQSwUGAAAAAAQABAD5AAAAkgMAAAAA&#10;" strokeweight="0"/>
                  <v:rect id="Rectangle 208" o:spid="_x0000_s1306" style="position:absolute;left:8573;top:2627;width:124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ZzsccA&#10;AADcAAAADwAAAGRycy9kb3ducmV2LnhtbESPT2vCQBTE7wW/w/IK3uqmYsSmbkQLQi+F+udQb8/s&#10;axKSfZvurpr207sFweMwM79h5ovetOJMzteWFTyPEhDEhdU1lwr2u/XTDIQPyBpby6Tglzws8sHD&#10;HDNtL7yh8zaUIkLYZ6igCqHLpPRFRQb9yHbE0fu2zmCI0pVSO7xEuGnlOEmm0mDNcaHCjt4qKprt&#10;yShYvcxWP58T/vjbHA90+Do26dglSg0f++UriEB9uIdv7XetIE1T+D8Tj4D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mc7HHAAAA3AAAAA8AAAAAAAAAAAAAAAAAmAIAAGRy&#10;cy9kb3ducmV2LnhtbFBLBQYAAAAABAAEAPUAAACMAwAAAAA=&#10;" fillcolor="black" stroked="f"/>
                </v:group>
                <v:line id="Line 209" o:spid="_x0000_s1307" style="position:absolute;visibility:visible;mso-wrap-style:square" from="127,18034" to="4705,18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MKgscAAADcAAAADwAAAGRycy9kb3ducmV2LnhtbESP3WoCMRSE7wu+QzhCb4pmLSiyGqXa&#10;WiwI4h/enm6Ou4ubkyWJuvbpm0LBy2FmvmHG08ZU4krOl5YV9LoJCOLM6pJzBfvdojME4QOyxsoy&#10;KbiTh+mk9TTGVNsbb+i6DbmIEPYpKihCqFMpfVaQQd+1NXH0TtYZDFG6XGqHtwg3lXxNkoE0WHJc&#10;KLCmeUHZeXsxCo69r+xns3ezz9nxZfXO3+uPgzwp9dxu3kYgAjXhEf5vL7WCfn8Af2fiEZC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wqCxwAAANwAAAAPAAAAAAAA&#10;AAAAAAAAAKECAABkcnMvZG93bnJldi54bWxQSwUGAAAAAAQABAD5AAAAlQMAAAAA&#10;" strokecolor="#d4d4d4" strokeweight="0"/>
                <v:rect id="Rectangle 210" o:spid="_x0000_s1308" style="position:absolute;left:127;top:18034;width:4578;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JV7sQA&#10;AADcAAAADwAAAGRycy9kb3ducmV2LnhtbESPUWvCMBSF34X9h3AHvshMJ9RtXaOM4UDf1O0HXJrb&#10;ptrclCRq5683g4GPh3POdzjlcrCdOJMPrWMFz9MMBHHldMuNgp/vr6dXECEia+wck4JfCrBcPIxK&#10;LLS78I7O+9iIBOFQoAITY19IGSpDFsPU9cTJq523GJP0jdQeLwluOznLsrm02HJaMNjTp6HquD9Z&#10;BfKw1a3sV3N/qCdH/WY2OV5zpcaPw8c7iEhDvIf/22utIM9f4O9MO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yVe7EAAAA3AAAAA8AAAAAAAAAAAAAAAAAmAIAAGRycy9k&#10;b3ducmV2LnhtbFBLBQYAAAAABAAEAPUAAACJAwAAAAA=&#10;" fillcolor="#d4d4d4" stroked="f"/>
                <v:line id="Line 211" o:spid="_x0000_s1309" style="position:absolute;visibility:visible;mso-wrap-style:square" from="4775,18034" to="38379,18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zxgsIAAADcAAAADwAAAGRycy9kb3ducmV2LnhtbERPz2vCMBS+D/wfwht4W1MHdbUzioyJ&#10;8zZrCzs+mrc22LyUJtPuvzeHwY4f3+/1drK9uNLojWMFiyQFQdw4bbhVUJ33TzkIH5A19o5JwS95&#10;2G5mD2sstLvxia5laEUMYV+ggi6EoZDSNx1Z9IkbiCP37UaLIcKxlXrEWwy3vXxO06W0aDg2dDjQ&#10;W0fNpfyxCszn8pAdX+pVLd8PYfGVX3JjK6Xmj9PuFUSgKfyL/9wfWkGWxbXxTDwCcn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zxgsIAAADcAAAADwAAAAAAAAAAAAAA&#10;AAChAgAAZHJzL2Rvd25yZXYueG1sUEsFBgAAAAAEAAQA+QAAAJADAAAAAA==&#10;" strokeweight="0"/>
                <v:rect id="Rectangle 212" o:spid="_x0000_s1310" style="position:absolute;left:4775;top:18034;width:33604;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5tMYA&#10;AADcAAAADwAAAGRycy9kb3ducmV2LnhtbESPQWsCMRSE70L/Q3gFb5qtuEVXo9SC4EWo2kO9PTfP&#10;3cXNyzaJuvrrm4LgcZiZb5jpvDW1uJDzlWUFb/0EBHFudcWFgu/dsjcC4QOyxtoyKbiRh/nspTPF&#10;TNsrb+iyDYWIEPYZKihDaDIpfV6SQd+3DXH0jtYZDFG6QmqH1wg3tRwkybs0WHFcKLGhz5Ly0/Zs&#10;FCzGo8Xv15DX981hT/ufwykduESp7mv7MQERqA3P8KO90grSdAz/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t5tMYAAADcAAAADwAAAAAAAAAAAAAAAACYAgAAZHJz&#10;L2Rvd25yZXYueG1sUEsFBgAAAAAEAAQA9QAAAIsDAAAAAA==&#10;" fillcolor="black" stroked="f"/>
                <v:line id="Line 213" o:spid="_x0000_s1311" style="position:absolute;visibility:visible;mso-wrap-style:square" from="38506,18034" to="46380,18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3OcIAAADcAAAADwAAAGRycy9kb3ducmV2LnhtbERPz2vCMBS+D/wfwht4W1MHdrUzigzF&#10;7TZrCzs+mrc22LyUJmr33y+HwY4f3+/1drK9uNHojWMFiyQFQdw4bbhVUJ0PTzkIH5A19o5JwQ95&#10;2G5mD2sstLvziW5laEUMYV+ggi6EoZDSNx1Z9IkbiCP37UaLIcKxlXrEewy3vXxO00xaNBwbOhzo&#10;raPmUl6tAvOZHZcfL/WqlvtjWHzll9zYSqn547R7BRFoCv/iP/e7VrDM4vx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3OcIAAADcAAAADwAAAAAAAAAAAAAA&#10;AAChAgAAZHJzL2Rvd25yZXYueG1sUEsFBgAAAAAEAAQA+QAAAJADAAAAAA==&#10;" strokeweight="0"/>
                <v:rect id="Rectangle 214" o:spid="_x0000_s1312" style="position:absolute;left:38506;top:18034;width:7874;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8YA&#10;AADcAAAADwAAAGRycy9kb3ducmV2LnhtbESPT2vCQBTE74V+h+UVeqsbpYqN2YgKQi8F/x3q7Zl9&#10;JsHs27i71dRP7wqFHoeZ+Q2TTTvTiAs5X1tW0O8lIIgLq2suFey2y7cxCB+QNTaWScEveZjmz08Z&#10;ptpeeU2XTShFhLBPUUEVQptK6YuKDPqebYmjd7TOYIjSlVI7vEa4aeQgSUbSYM1xocKWFhUVp82P&#10;UTD/GM/Pq3f+uq0Pe9p/H07DgUuUen3pZhMQgbrwH/5rf2oFw1Ef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D8YAAADcAAAADwAAAAAAAAAAAAAAAACYAgAAZHJz&#10;L2Rvd25yZXYueG1sUEsFBgAAAAAEAAQA9QAAAIsDAAAAAA==&#10;" fillcolor="black" stroked="f"/>
                <v:line id="Line 215" o:spid="_x0000_s1313" style="position:absolute;visibility:visible;mso-wrap-style:square" from="46507,18034" to="54375,18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gM1cQAAADcAAAADwAAAGRycy9kb3ducmV2LnhtbESPT4vCMBTE7wt+h/AEb2uqYLdWo4is&#10;6N7Wf+Dx0TzbYPNSmqzWb79ZWPA4zMxvmPmys7W4U+uNYwWjYQKCuHDacKngdNy8ZyB8QNZYOyYF&#10;T/KwXPTe5phr9+A93Q+hFBHCPkcFVQhNLqUvKrLoh64hjt7VtRZDlG0pdYuPCLe1HCdJKi0ajgsV&#10;NrSuqLgdfqwC851uJ18f5+lZfm7D6JLdMmNPSg363WoGIlAXXuH/9k4rmKRj+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SAzVxAAAANwAAAAPAAAAAAAAAAAA&#10;AAAAAKECAABkcnMvZG93bnJldi54bWxQSwUGAAAAAAQABAD5AAAAkgMAAAAA&#10;" strokeweight="0"/>
                <v:rect id="Rectangle 216" o:spid="_x0000_s1314" style="position:absolute;left:46507;top:18034;width:7868;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48YA&#10;AADcAAAADwAAAGRycy9kb3ducmV2LnhtbESPQWsCMRSE70L/Q3gFb5qtVrFbo6ggeBHU9lBvz83r&#10;7uLmZU2ibv31RhB6HGbmG2Y8bUwlLuR8aVnBWzcBQZxZXXKu4Ptr2RmB8AFZY2WZFPyRh+nkpTXG&#10;VNsrb+myC7mIEPYpKihCqFMpfVaQQd+1NXH0fq0zGKJ0udQOrxFuKtlLkqE0WHJcKLCmRUHZcXc2&#10;CuYfo/lp887r2/awp/3P4TjouUSp9msz+wQRqAn/4Wd7pRUMhn1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E48YAAADcAAAADwAAAAAAAAAAAAAAAACYAgAAZHJz&#10;L2Rvd25yZXYueG1sUEsFBgAAAAAEAAQA9QAAAIsDAAAAAA==&#10;" fillcolor="black" stroked="f"/>
                <v:line id="Line 217" o:spid="_x0000_s1315" style="position:absolute;visibility:visible;mso-wrap-style:square" from="54502,18034" to="62376,18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xOsQAAADcAAAADwAAAGRycy9kb3ducmV2LnhtbESPT2vCQBTE7wW/w/KE3upG0Rijq4hY&#10;bG/+BY+P7DNZzL4N2a2m375bKPQ4zMxvmMWqs7V4UOuNYwXDQQKCuHDacKngfHp/y0D4gKyxdkwK&#10;vsnDatl7WWCu3ZMP9DiGUkQI+xwVVCE0uZS+qMiiH7iGOHo311oMUbal1C0+I9zWcpQkqbRoOC5U&#10;2NCmouJ+/LIKzD7dTT6nl9lFbndheM3umbFnpV773XoOIlAX/sN/7Q+tYJKO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7TE6xAAAANwAAAAPAAAAAAAAAAAA&#10;AAAAAKECAABkcnMvZG93bnJldi54bWxQSwUGAAAAAAQABAD5AAAAkgMAAAAA&#10;" strokeweight="0"/>
                <v:rect id="Rectangle 218" o:spid="_x0000_s1316" style="position:absolute;left:54502;top:18034;width:7874;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5DMYA&#10;AADcAAAADwAAAGRycy9kb3ducmV2LnhtbESPT2sCMRTE74V+h/AK3mq24oquRtFCoRfBPz3U23Pz&#10;uru4eVmTVFc/vREEj8PM/IaZzFpTixM5X1lW8NFNQBDnVldcKPjZfr0PQfiArLG2TAou5GE2fX2Z&#10;YKbtmdd02oRCRAj7DBWUITSZlD4vyaDv2oY4en/WGQxRukJqh+cIN7XsJclAGqw4LpTY0GdJ+WHz&#10;bxQsRsPFcdXn5XW939Hud39Iey5RqvPWzscgArXhGX60v7WCdJD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q5DMYAAADcAAAADwAAAAAAAAAAAAAAAACYAgAAZHJz&#10;L2Rvd25yZXYueG1sUEsFBgAAAAAEAAQA9QAAAIsDAAAAAA==&#10;" fillcolor="black" stroked="f"/>
                <v:line id="Line 219" o:spid="_x0000_s1317" style="position:absolute;visibility:visible;mso-wrap-style:square" from="127,20872" to="38379,20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MK1sQAAADcAAAADwAAAGRycy9kb3ducmV2LnhtbESPQWvCQBSE70L/w/KE3nSjYEyjqxRp&#10;sb1pquDxkX0mi9m3IbvV9N93BcHjMDPfMMt1bxtxpc4bxwom4wQEcem04UrB4edzlIHwAVlj45gU&#10;/JGH9eplsMRcuxvv6VqESkQI+xwV1CG0uZS+rMmiH7uWOHpn11kMUXaV1B3eItw2cpokqbRoOC7U&#10;2NKmpvJS/FoFZpduZ9/z49tRfmzD5JRdMmMPSr0O+/cFiEB9eIYf7S+tYJam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cwrWxAAAANwAAAAPAAAAAAAAAAAA&#10;AAAAAKECAABkcnMvZG93bnJldi54bWxQSwUGAAAAAAQABAD5AAAAkgMAAAAA&#10;" strokeweight="0"/>
                <v:rect id="Rectangle 220" o:spid="_x0000_s1318" style="position:absolute;left:127;top:20872;width:38252;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SC4MYA&#10;AADcAAAADwAAAGRycy9kb3ducmV2LnhtbESPQWsCMRSE70L/Q3gFb5qtqLVbo6ggeCmo7aHenpvX&#10;3cXNy5pE3frrjSB4HGbmG2Y8bUwlzuR8aVnBWzcBQZxZXXKu4Od72RmB8AFZY2WZFPyTh+nkpTXG&#10;VNsLb+i8DbmIEPYpKihCqFMpfVaQQd+1NXH0/qwzGKJ0udQOLxFuKtlLkqE0WHJcKLCmRUHZYXsy&#10;CuYfo/lx3eev62a/o93v/jDouUSp9msz+wQRqAnP8KO90goGw3e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SC4MYAAADcAAAADwAAAAAAAAAAAAAAAACYAgAAZHJz&#10;L2Rvd25yZXYueG1sUEsFBgAAAAAEAAQA9QAAAIsDAAAAAA==&#10;" fillcolor="black" stroked="f"/>
                <v:line id="Line 221" o:spid="_x0000_s1319" style="position:absolute;visibility:visible;mso-wrap-style:square" from="38506,20872" to="46380,20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A7P8IAAADcAAAADwAAAGRycy9kb3ducmV2LnhtbERPz2vCMBS+D/wfwht4W1MHdrUzigzF&#10;7TZrCzs+mrc22LyUJmr33y+HwY4f3+/1drK9uNHojWMFiyQFQdw4bbhVUJ0PTzkIH5A19o5JwQ95&#10;2G5mD2sstLvziW5laEUMYV+ggi6EoZDSNx1Z9IkbiCP37UaLIcKxlXrEewy3vXxO00xaNBwbOhzo&#10;raPmUl6tAvOZHZcfL/WqlvtjWHzll9zYSqn547R7BRFoCv/iP/e7VrDM4tp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A7P8IAAADcAAAADwAAAAAAAAAAAAAA&#10;AAChAgAAZHJzL2Rvd25yZXYueG1sUEsFBgAAAAAEAAQA+QAAAJADAAAAAA==&#10;" strokeweight="0"/>
                <v:rect id="Rectangle 222" o:spid="_x0000_s1320" style="position:absolute;left:38506;top:20872;width:7874;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ezCcYA&#10;AADcAAAADwAAAGRycy9kb3ducmV2LnhtbESPQWvCQBSE7wX/w/IEb3WjqGiaVaog9CKo7aHeXrLP&#10;JJh9m+5uNfbXu4VCj8PMfMNkq8404krO15YVjIYJCOLC6ppLBR/v2+c5CB+QNTaWScGdPKyWvacM&#10;U21vfKDrMZQiQtinqKAKoU2l9EVFBv3QtsTRO1tnMETpSqkd3iLcNHKcJDNpsOa4UGFLm4qKy/Hb&#10;KFgv5uuv/YR3P4f8RKfP/DIdu0SpQb97fQERqAv/4b/2m1YwnS3g9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ezCcYAAADcAAAADwAAAAAAAAAAAAAAAACYAgAAZHJz&#10;L2Rvd25yZXYueG1sUEsFBgAAAAAEAAQA9QAAAIsDAAAAAA==&#10;" fillcolor="black" stroked="f"/>
                <v:line id="Line 223" o:spid="_x0000_s1321" style="position:absolute;visibility:visible;mso-wrap-style:square" from="46507,20872" to="54375,20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h5MEAAADcAAAADwAAAGRycy9kb3ducmV2LnhtbERPTYvCMBC9C/sfwix401RB7VajLIvi&#10;etOqsMehGdtgMylN1PrvNwfB4+N9L1adrcWdWm8cKxgNExDEhdOGSwWn42aQgvABWWPtmBQ8ycNq&#10;+dFbYKbdgw90z0MpYgj7DBVUITSZlL6oyKIfuoY4chfXWgwRtqXULT5iuK3lOEmm0qLh2FBhQz8V&#10;Fdf8ZhWY/XQ72c3OX2e53obRX3pNjT0p1f/svucgAnXhLX65f7WCySzOj2fiEZ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D6HkwQAAANwAAAAPAAAAAAAAAAAAAAAA&#10;AKECAABkcnMvZG93bnJldi54bWxQSwUGAAAAAAQABAD5AAAAjwMAAAAA&#10;" strokeweight="0"/>
                <v:rect id="Rectangle 224" o:spid="_x0000_s1322" style="position:absolute;left:46507;top:20872;width:7868;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p0scA&#10;AADcAAAADwAAAGRycy9kb3ducmV2LnhtbESPQWvCQBSE70L/w/IKvelGqdamWaUWBC9CtT3U2zP7&#10;moRk36a7q0Z/fVcQPA4z8w2TzTvTiCM5X1lWMBwkIIhzqysuFHx/LftTED4ga2wsk4IzeZjPHnoZ&#10;ptqeeEPHbShEhLBPUUEZQptK6fOSDPqBbYmj92udwRClK6R2eIpw08hRkkykwYrjQoktfZSU19uD&#10;UbB4nS7+Pp95fdnsd7T72dfjkUuUenrs3t9ABOrCPXxrr7SC8csQ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oKdLHAAAA3AAAAA8AAAAAAAAAAAAAAAAAmAIAAGRy&#10;cy9kb3ducmV2LnhtbFBLBQYAAAAABAAEAPUAAACMAwAAAAA=&#10;" fillcolor="black" stroked="f"/>
                <v:line id="Line 225" o:spid="_x0000_s1323" style="position:absolute;visibility:visible;mso-wrap-style:square" from="54502,20872" to="62376,20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GaCMMAAADcAAAADwAAAGRycy9kb3ducmV2LnhtbESPQYvCMBSE78L+h/AEb5oqqN1qlGXZ&#10;Rb2pq+Dx0TzbYPNSmqzWf28EweMwM98w82VrK3GlxhvHCoaDBARx7rThQsHh77efgvABWWPlmBTc&#10;ycNy8dGZY6bdjXd03YdCRAj7DBWUIdSZlD4vyaIfuJo4emfXWAxRNoXUDd4i3FZylCQTadFwXCix&#10;pu+S8sv+3yow28lqvJkeP4/yZxWGp/SSGntQqtdtv2YgArXhHX6111rBeDqC55l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RmgjDAAAA3AAAAA8AAAAAAAAAAAAA&#10;AAAAoQIAAGRycy9kb3ducmV2LnhtbFBLBQYAAAAABAAEAPkAAACRAwAAAAA=&#10;" strokeweight="0"/>
                <v:rect id="Rectangle 226" o:spid="_x0000_s1324" style="position:absolute;left:54502;top:20872;width:7874;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SPscA&#10;AADcAAAADwAAAGRycy9kb3ducmV2LnhtbESPS2/CMBCE75X6H6ytxK1xyqPQFIMKEhKXSrwOcFvi&#10;bRIRr1PbQNpfjysh9TiamW8042lranEh5yvLCl6SFARxbnXFhYLddvE8AuEDssbaMin4IQ/TyePD&#10;GDNtr7ymyyYUIkLYZ6igDKHJpPR5SQZ9Yhvi6H1ZZzBE6QqpHV4j3NSym6av0mDFcaHEhuYl5afN&#10;2SiYvY1m36s+f/6ujwc67I+nQdelSnWe2o93EIHa8B++t5dawWDYg7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2Ej7HAAAA3AAAAA8AAAAAAAAAAAAAAAAAmAIAAGRy&#10;cy9kb3ducmV2LnhtbFBLBQYAAAAABAAEAPUAAACMAwAAAAA=&#10;" fillcolor="black" stroked="f"/>
                <v:line id="Line 227" o:spid="_x0000_s1325" style="position:absolute;visibility:visible;mso-wrap-style:square" from="4705,2768" to="4705,22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Sn58UAAADcAAAADwAAAGRycy9kb3ducmV2LnhtbESPQWvCQBSE74X+h+UVvOnGUk2aukop&#10;FetNbQI9PrKvyWL2bciuGv99VxB6HGbmG2axGmwrztR741jBdJKAIK6cNlwrKL7X4wyED8gaW8ek&#10;4EoeVsvHhwXm2l14T+dDqEWEsM9RQRNCl0vpq4Ys+onriKP363qLIcq+lrrHS4TbVj4nyVxaNBwX&#10;Guzoo6HqeDhZBWY338y2aflays9NmP5kx8zYQqnR0/D+BiLQEP7D9/aXVjBLX+B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Sn58UAAADcAAAADwAAAAAAAAAA&#10;AAAAAAChAgAAZHJzL2Rvd25yZXYueG1sUEsFBgAAAAAEAAQA+QAAAJMDAAAAAA==&#10;" strokeweight="0"/>
                <v:rect id="Rectangle 228" o:spid="_x0000_s1326" style="position:absolute;left:4705;top:2768;width:70;height:19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Mv0ccA&#10;AADcAAAADwAAAGRycy9kb3ducmV2LnhtbESPT2sCMRTE7wW/Q3iCt5pV3KqrUbRQ6KVQ/xz09tw8&#10;dxc3L9sk1W0/fSMUPA4z8xtmvmxNLa7kfGVZwaCfgCDOra64ULDfvT1PQPiArLG2TAp+yMNy0Xma&#10;Y6btjTd03YZCRAj7DBWUITSZlD4vyaDv24Y4emfrDIYoXSG1w1uEm1oOk+RFGqw4LpTY0GtJ+WX7&#10;bRSsp5P11+eIP343pyMdD6dLOnSJUr1uu5qBCNSGR/i//a4VpO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TL9HHAAAA3AAAAA8AAAAAAAAAAAAAAAAAmAIAAGRy&#10;cy9kb3ducmV2LnhtbFBLBQYAAAAABAAEAPUAAACMAwAAAAA=&#10;" fillcolor="black" stroked="f"/>
                <v:line id="Line 229" o:spid="_x0000_s1327" style="position:absolute;visibility:visible;mso-wrap-style:square" from="31216,2768" to="31216,22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qcC8QAAADcAAAADwAAAGRycy9kb3ducmV2LnhtbESPT4vCMBTE7wv7HcJb8LamLlhrNcqy&#10;rKi39R94fDTPNti8lCZq/fZGWPA4zMxvmOm8s7W4UuuNYwWDfgKCuHDacKlgv1t8ZiB8QNZYOyYF&#10;d/Iwn72/TTHX7sYbum5DKSKEfY4KqhCaXEpfVGTR911DHL2Tay2GKNtS6hZvEW5r+ZUkqbRoOC5U&#10;2NBPRcV5e7EKzF+6HK5Hh/FB/i7D4JidM2P3SvU+uu8JiEBdeIX/2yutYDhK4XkmHg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qpwLxAAAANwAAAAPAAAAAAAAAAAA&#10;AAAAAKECAABkcnMvZG93bnJldi54bWxQSwUGAAAAAAQABAD5AAAAkgMAAAAA&#10;" strokeweight="0"/>
                <v:rect id="Rectangle 230" o:spid="_x0000_s1328" style="position:absolute;left:31216;top:2768;width:70;height:19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0UPcYA&#10;AADcAAAADwAAAGRycy9kb3ducmV2LnhtbESPT2sCMRTE70K/Q3gFb5qt+K9bo6ggeCmo7aHenpvX&#10;3cXNy5pE3frpjSD0OMzMb5jJrDGVuJDzpWUFb90EBHFmdcm5gu+vVWcMwgdkjZVlUvBHHmbTl9YE&#10;U22vvKXLLuQiQtinqKAIoU6l9FlBBn3X1sTR+7XOYIjS5VI7vEa4qWQvSYbSYMlxocCalgVlx93Z&#10;KFi8jxenTZ8/b9vDnvY/h+Og5xKl2q/N/ANEoCb8h5/ttVYwGI3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0UPcYAAADcAAAADwAAAAAAAAAAAAAAAACYAgAAZHJz&#10;L2Rvd25yZXYueG1sUEsFBgAAAAAEAAQA9QAAAIsDAAAAAA==&#10;" fillcolor="black" stroked="f"/>
                <v:rect id="Rectangle 231" o:spid="_x0000_s1329" style="position:absolute;left:38379;top:2768;width:127;height:20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KAT8MA&#10;AADcAAAADwAAAGRycy9kb3ducmV2LnhtbERPy2oCMRTdF/yHcAV3NaPUqqNRtFDoplAfC91dJ9eZ&#10;wcnNmESd+vVmIbg8nPd03phKXMn50rKCXjcBQZxZXXKuYLv5fh+B8AFZY2WZFPyTh/ms9TbFVNsb&#10;r+i6DrmIIexTVFCEUKdS+qwgg75ra+LIHa0zGCJ0udQObzHcVLKfJJ/SYMmxocCavgrKTuuLUbAc&#10;j5bnvw/+va8Oe9rvDqdB3yVKddrNYgIiUBNe4qf7RysYDOPa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KAT8MAAADcAAAADwAAAAAAAAAAAAAAAACYAgAAZHJzL2Rv&#10;d25yZXYueG1sUEsFBgAAAAAEAAQA9QAAAIgDAAAAAA==&#10;" fillcolor="black" stroked="f"/>
                <v:rect id="Rectangle 232" o:spid="_x0000_s1330" style="position:absolute;left:46380;top:2768;width:127;height:20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4l1McA&#10;AADcAAAADwAAAGRycy9kb3ducmV2LnhtbESPQWvCQBSE74X+h+UVequbSm01ZpUqCF4Kaj3o7SX7&#10;TILZt3F31dhf7xYKPQ4z8w2TTTvTiAs5X1tW8NpLQBAXVtdcKth+L16GIHxA1thYJgU38jCdPD5k&#10;mGp75TVdNqEUEcI+RQVVCG0qpS8qMuh7tiWO3sE6gyFKV0rt8BrhppH9JHmXBmuOCxW2NK+oOG7O&#10;RsFsNJydVm/89bPO97Tf5cdB3yVKPT91n2MQgbrwH/5rL7WCwccI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eJdTHAAAA3AAAAA8AAAAAAAAAAAAAAAAAmAIAAGRy&#10;cy9kb3ducmV2LnhtbFBLBQYAAAAABAAEAPUAAACMAwAAAAA=&#10;" fillcolor="black" stroked="f"/>
                <v:rect id="Rectangle 233" o:spid="_x0000_s1331" style="position:absolute;left:54375;top:2768;width:127;height:20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8bsMA&#10;AADcAAAADwAAAGRycy9kb3ducmV2LnhtbERPy4rCMBTdC/5DuAOz03REpXaMogPCbAZ8LXR3be60&#10;xeamk2S0+vVmIbg8nPd03ppaXMj5yrKCj34Cgji3uuJCwX636qUgfEDWWFsmBTfyMJ91O1PMtL3y&#10;hi7bUIgYwj5DBWUITSalz0sy6Pu2IY7cr3UGQ4SukNrhNYabWg6SZCwNVhwbSmzoq6T8vP03CpaT&#10;dPm3HvLPfXM60vFwOo8GLlHq/a1dfIII1IaX+On+1gpGaZwf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H8bsMAAADcAAAADwAAAAAAAAAAAAAAAACYAgAAZHJzL2Rv&#10;d25yZXYueG1sUEsFBgAAAAAEAAQA9QAAAIgDAAAAAA==&#10;" fillcolor="black" stroked="f"/>
                <v:rect id="Rectangle 234" o:spid="_x0000_s1332" style="position:absolute;left:127;top:22675;width:62376;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1Z9cYA&#10;AADcAAAADwAAAGRycy9kb3ducmV2LnhtbESPT2sCMRTE74LfITyhN80qtayrUbRQ8CL4p4d6e26e&#10;u4ubl22S6rafvhEEj8PM/IaZLVpTiys5X1lWMBwkIIhzqysuFHwePvopCB+QNdaWScEveVjMu50Z&#10;ZtreeEfXfShEhLDPUEEZQpNJ6fOSDPqBbYijd7bOYIjSFVI7vEW4qeUoSd6kwYrjQokNvZeUX/Y/&#10;RsFqkq6+t6+8+dudjnT8Ol3GI5co9dJrl1MQgdrwDD/aa61gnA7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1Z9cYAAADcAAAADwAAAAAAAAAAAAAAAACYAgAAZHJz&#10;L2Rvd25yZXYueG1sUEsFBgAAAAAEAAQA9QAAAIsDAAAAAA==&#10;" fillcolor="black" stroked="f"/>
                <v:rect id="Rectangle 235" o:spid="_x0000_s1333" style="position:absolute;left:62376;top:2768;width:127;height:20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gsYA&#10;AADcAAAADwAAAGRycy9kb3ducmV2LnhtbESPQWvCQBSE7wX/w/KE3urGUEuMrqKFgheh2h709sw+&#10;k2D2bbq71eiv7xYEj8PMfMNM551pxJmcry0rGA4SEMSF1TWXCr6/Pl4yED4ga2wsk4IreZjPek9T&#10;zLW98IbO21CKCGGfo4IqhDaX0hcVGfQD2xJH72idwRClK6V2eIlw08g0Sd6kwZrjQoUtvVdUnLa/&#10;RsFynC1/Pl95fdsc9rTfHU6j1CVKPfe7xQREoC48wvf2SisYZS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HgsYAAADcAAAADwAAAAAAAAAAAAAAAACYAgAAZHJz&#10;L2Rvd25yZXYueG1sUEsFBgAAAAAEAAQA9QAAAIsDAAAAAA==&#10;" fillcolor="black" stroked="f"/>
                <v:line id="Line 236" o:spid="_x0000_s1334" style="position:absolute;visibility:visible;mso-wrap-style:square" from="4705,22802" to="4705,2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SFXccAAADcAAAADwAAAGRycy9kb3ducmV2LnhtbESPW2sCMRSE34X+h3AKvohmtVRkaxRv&#10;LS0UxBu+nm6Ou4ubkyWJuu2vbwoFH4eZ+YYZTxtTiSs5X1pW0O8lIIgzq0vOFex3r90RCB+QNVaW&#10;ScE3eZhOHlpjTLW98Yau25CLCGGfooIihDqV0mcFGfQ9WxNH72SdwRCly6V2eItwU8lBkgylwZLj&#10;QoE1LQrKztuLUXDsf2Q/m72bv82Pnc8lf61XB3lSqv3YzF5ABGrCPfzfftcKnkdP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BIVdxwAAANwAAAAPAAAAAAAA&#10;AAAAAAAAAKECAABkcnMvZG93bnJldi54bWxQSwUGAAAAAAQABAD5AAAAlQMAAAAA&#10;" strokecolor="#d4d4d4" strokeweight="0"/>
                <v:rect id="Rectangle 237" o:spid="_x0000_s1335" style="position:absolute;left:4705;top:22802;width:70;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Dn3sUA&#10;AADcAAAADwAAAGRycy9kb3ducmV2LnhtbESPzWrDMBCE74W8g9hCL6WRW+qQulZCKAmkt+bnARZr&#10;Y9mxVkZSEidPXxUKOQ4z8w1TzgfbiTP50DhW8DrOQBBXTjdcK9jvVi9TECEia+wck4IrBZjPRg8l&#10;FtpdeEPnbaxFgnAoUIGJsS+kDJUhi2HseuLkHZy3GJP0tdQeLwluO/mWZRNpseG0YLCnL0PVcXuy&#10;CmT7oxvZLye+PTwf9Yf5zvGWK/X0OCw+QUQa4j38315rBfn0Hf7Op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OfexQAAANwAAAAPAAAAAAAAAAAAAAAAAJgCAABkcnMv&#10;ZG93bnJldi54bWxQSwUGAAAAAAQABAD1AAAAigMAAAAA&#10;" fillcolor="#d4d4d4" stroked="f"/>
                <v:rect id="Rectangle 238" o:spid="_x0000_s1336" style="position:absolute;left:127;top:24091;width:62376;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f9sYA&#10;AADcAAAADwAAAGRycy9kb3ducmV2LnhtbESPQWvCQBSE7wX/w/IKvTWbiilpdBUVhF4K1fZQb8/s&#10;Mwlm38bdrUZ/fbcgeBxm5htmMutNK07kfGNZwUuSgiAurW64UvD9tXrOQfiArLG1TAou5GE2HTxM&#10;sND2zGs6bUIlIoR9gQrqELpCSl/WZNAntiOO3t46gyFKV0nt8BzhppXDNH2VBhuOCzV2tKypPGx+&#10;jYLFW744fo7447rebWn7sztkQ5cq9fTYz8cgAvXhHr6137WCLM/g/0w8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Zf9sYAAADcAAAADwAAAAAAAAAAAAAAAACYAgAAZHJz&#10;L2Rvd25yZXYueG1sUEsFBgAAAAAEAAQA9QAAAIsDAAAAAA==&#10;" fillcolor="black" stroked="f"/>
                <v:rect id="Rectangle 239" o:spid="_x0000_s1337" style="position:absolute;left:127;top:25698;width:62376;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BgcYA&#10;AADcAAAADwAAAGRycy9kb3ducmV2LnhtbESPT2sCMRTE70K/Q3gFb5qtqKyrUbRQ6KXgnx7q7bl5&#10;3V3cvKxJqls/vREEj8PM/IaZLVpTizM5X1lW8NZPQBDnVldcKPjeffRSED4ga6wtk4J/8rCYv3Rm&#10;mGl74Q2dt6EQEcI+QwVlCE0mpc9LMuj7tiGO3q91BkOUrpDa4SXCTS0HSTKWBiuOCyU29F5Sftz+&#10;GQWrSbo6rYf8dd0c9rT/ORxHA5co1X1tl1MQgdrwDD/an1rBKB3D/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TBgcYAAADcAAAADwAAAAAAAAAAAAAAAACYAgAAZHJz&#10;L2Rvd25yZXYueG1sUEsFBgAAAAAEAAQA9QAAAIsDAAAAAA==&#10;" fillcolor="black" stroked="f"/>
                <v:rect id="Rectangle 240" o:spid="_x0000_s1338" style="position:absolute;top:2641;width:127;height:26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kGscA&#10;AADcAAAADwAAAGRycy9kb3ducmV2LnhtbESPQWvCQBSE7wX/w/KE3pqNUtuYuooKQi9CtT3o7Zl9&#10;TYLZt3F31dRf3xUKPQ4z8w0zmXWmERdyvrasYJCkIIgLq2suFXx9rp4yED4ga2wsk4If8jCb9h4m&#10;mGt75Q1dtqEUEcI+RwVVCG0upS8qMugT2xJH79s6gyFKV0rt8BrhppHDNH2RBmuOCxW2tKyoOG7P&#10;RsFinC1OH8+8vm0Oe9rvDsfR0KVKPfa7+RuIQF34D/+137WCUfYK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YZBrHAAAA3AAAAA8AAAAAAAAAAAAAAAAAmAIAAGRy&#10;cy9kb3ducmV2LnhtbFBLBQYAAAAABAAEAPUAAACMAwAAAAA=&#10;" fillcolor="black" stroked="f"/>
                <v:rect id="Rectangle 241" o:spid="_x0000_s1339" style="position:absolute;left:4641;top:24218;width:134;height:5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fwaMMA&#10;AADcAAAADwAAAGRycy9kb3ducmV2LnhtbERPy4rCMBTdC/5DuAOz03REpXaMogPCbAZ8LXR3be60&#10;xeamk2S0+vVmIbg8nPd03ppaXMj5yrKCj34Cgji3uuJCwX636qUgfEDWWFsmBTfyMJ91O1PMtL3y&#10;hi7bUIgYwj5DBWUITSalz0sy6Pu2IY7cr3UGQ4SukNrhNYabWg6SZCwNVhwbSmzoq6T8vP03CpaT&#10;dPm3HvLPfXM60vFwOo8GLlHq/a1dfIII1IaX+On+1gpGaVwb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fwaMMAAADcAAAADwAAAAAAAAAAAAAAAACYAgAAZHJzL2Rv&#10;d25yZXYueG1sUEsFBgAAAAAEAAQA9QAAAIgDAAAAAA==&#10;" fillcolor="black" stroked="f"/>
                <v:rect id="Rectangle 242" o:spid="_x0000_s1340" style="position:absolute;left:31153;top:24218;width:133;height:5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tV88YA&#10;AADcAAAADwAAAGRycy9kb3ducmV2LnhtbESPT2sCMRTE70K/Q3iF3jRbqWVdjVILBS+C/w56e26e&#10;u4ubl22S6uqnbwTB4zAzv2HG09bU4kzOV5YVvPcSEMS51RUXCrabn24KwgdkjbVlUnAlD9PJS2eM&#10;mbYXXtF5HQoRIewzVFCG0GRS+rwkg75nG+LoHa0zGKJ0hdQOLxFuatlPkk9psOK4UGJD3yXlp/Wf&#10;UTAbprPf5QcvbqvDnva7w2nQd4lSb6/t1whEoDY8w4/2XCsYpE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tV88YAAADcAAAADwAAAAAAAAAAAAAAAACYAgAAZHJz&#10;L2Rvd25yZXYueG1sUEsFBgAAAAAEAAQA9QAAAIsDAAAAAA==&#10;" fillcolor="black" stroked="f"/>
                <v:rect id="Rectangle 243" o:spid="_x0000_s1341" style="position:absolute;left:38379;top:24218;width:127;height:5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qs8QA&#10;AADcAAAADwAAAGRycy9kb3ducmV2LnhtbERPz2vCMBS+D/Y/hDfwNtOVKbYayxQGXoTpdlhvz+bZ&#10;FpuXmkTt9tcvB2HHj+/3ohhMJ67kfGtZwcs4AUFcWd1yreDr8/15BsIHZI2dZVLwQx6K5ePDAnNt&#10;b7yj6z7UIoawz1FBE0KfS+mrhgz6se2JI3e0zmCI0NVSO7zFcNPJNEmm0mDLsaHBntYNVaf9xShY&#10;ZbPV+eOVt7+7Q0nl9+E0SV2i1OhpeJuDCDSEf/HdvdEKJlmcH8/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oarPEAAAA3AAAAA8AAAAAAAAAAAAAAAAAmAIAAGRycy9k&#10;b3ducmV2LnhtbFBLBQYAAAAABAAEAPUAAACJAwAAAAA=&#10;" fillcolor="black" stroked="f"/>
                <v:rect id="Rectangle 244" o:spid="_x0000_s1342" style="position:absolute;left:46380;top:24218;width:127;height:5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TPKMYA&#10;AADcAAAADwAAAGRycy9kb3ducmV2LnhtbESPT2sCMRTE7wW/Q3hCbzWrVNHVKCoUein476C35+a5&#10;u7h5WZNUVz+9EQo9DjPzG2Yya0wlruR8aVlBt5OAIM6sLjlXsNt+fQxB+ICssbJMCu7kYTZtvU0w&#10;1fbGa7puQi4ihH2KCooQ6lRKnxVk0HdsTRy9k3UGQ5Qul9rhLcJNJXtJMpAGS44LBda0LCg7b36N&#10;gsVouLisPvnnsT4e6LA/nvs9lyj13m7mYxCBmvAf/mt/awX9URdeZ+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TPKMYAAADcAAAADwAAAAAAAAAAAAAAAACYAgAAZHJz&#10;L2Rvd25yZXYueG1sUEsFBgAAAAAEAAQA9QAAAIsDAAAAAA==&#10;" fillcolor="black" stroked="f"/>
                <v:rect id="Rectangle 245" o:spid="_x0000_s1343" style="position:absolute;left:54375;top:24218;width:127;height:5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RX8YA&#10;AADcAAAADwAAAGRycy9kb3ducmV2LnhtbESPT2sCMRTE70K/Q3iF3jTbpRZdjVILBS+C/w56e26e&#10;u4ubl22S6uqnbwTB4zAzv2HG09bU4kzOV5YVvPcSEMS51RUXCrabn+4AhA/IGmvLpOBKHqaTl84Y&#10;M20vvKLzOhQiQthnqKAMocmk9HlJBn3PNsTRO1pnMETpCqkdXiLc1DJNkk9psOK4UGJD3yXlp/Wf&#10;UTAbDma/yw9e3FaHPe13h1M/dYlSb6/t1whEoDY8w4/2XCvoD1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ZRX8YAAADcAAAADwAAAAAAAAAAAAAAAACYAgAAZHJz&#10;L2Rvd25yZXYueG1sUEsFBgAAAAAEAAQA9QAAAIsDAAAAAA==&#10;" fillcolor="black" stroked="f"/>
                <v:rect id="Rectangle 246" o:spid="_x0000_s1344" style="position:absolute;left:127;top:29438;width:62376;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0xMcA&#10;AADcAAAADwAAAGRycy9kb3ducmV2LnhtbESPQWvCQBSE74X+h+UVequbWi0as0oVCl4Kaj3o7SX7&#10;TILZt3F3q2l/fVcQPA4z8w2TzTrTiDM5X1tW8NpLQBAXVtdcKth+f76MQPiArLGxTAp+ycNs+viQ&#10;Yarthdd03oRSRAj7FBVUIbSplL6oyKDv2ZY4egfrDIYoXSm1w0uEm0b2k+RdGqw5LlTY0qKi4rj5&#10;MQrm49H8tBrw198639N+lx+HfZco9fzUfUxABOrCPXxrL7WC4fgN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69MTHAAAA3AAAAA8AAAAAAAAAAAAAAAAAmAIAAGRy&#10;cy9kb3ducmV2LnhtbFBLBQYAAAAABAAEAPUAAACMAwAAAAA=&#10;" fillcolor="black" stroked="f"/>
                <v:rect id="Rectangle 247" o:spid="_x0000_s1345" style="position:absolute;left:62376;top:24218;width:127;height:5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NssMYA&#10;AADcAAAADwAAAGRycy9kb3ducmV2LnhtbESPQWsCMRSE74L/ITyhNzerqOjWKFUQeimo7aHenpvn&#10;7uLmZZukuu2vN4LgcZiZb5j5sjW1uJDzlWUFgyQFQZxbXXGh4Otz05+C8AFZY22ZFPyRh+Wi25lj&#10;pu2Vd3TZh0JECPsMFZQhNJmUPi/JoE9sQxy9k3UGQ5SukNrhNcJNLYdpOpEGK44LJTa0Lik/73+N&#10;gtVsuvrZjvjjf3c80OH7eB4PXarUS699ewURqA3P8KP9rhWMZy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NssMYAAADcAAAADwAAAAAAAAAAAAAAAACYAgAAZHJz&#10;L2Rvd25yZXYueG1sUEsFBgAAAAAEAAQA9QAAAIsDAAAAAA==&#10;" fillcolor="black" stroked="f"/>
                <v:line id="Line 248" o:spid="_x0000_s1346" style="position:absolute;visibility:visible;mso-wrap-style:square" from="63,29565" to="69,32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gub8cAAADcAAAADwAAAGRycy9kb3ducmV2LnhtbESPW2sCMRSE3wv9D+EUfBHNKlh0axRv&#10;LS0UxBu+nm6Ou4ubkyWJuu2vbwpCH4eZ+YYZTxtTiSs5X1pW0OsmIIgzq0vOFex3r50hCB+QNVaW&#10;ScE3eZhOHh/GmGp74w1dtyEXEcI+RQVFCHUqpc8KMui7tiaO3sk6gyFKl0vt8BbhppL9JHmWBkuO&#10;CwXWtCgoO28vRsGx95H9bPZu/jY/tj+X/LVeHeRJqdZTM3sBEagJ/+F7+10rGIwG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eC5vxwAAANwAAAAPAAAAAAAA&#10;AAAAAAAAAKECAABkcnMvZG93bnJldi54bWxQSwUGAAAAAAQABAD5AAAAlQMAAAAA&#10;" strokecolor="#d4d4d4" strokeweight="0"/>
                <v:rect id="Rectangle 249" o:spid="_x0000_s1347" style="position:absolute;left:63;top:29565;width:64;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dK78MA&#10;AADcAAAADwAAAGRycy9kb3ducmV2LnhtbESP3WoCMRSE7wXfIRyhN1KzLeyiW6OUotDe+fcAh81x&#10;s7o5WZJUtz69KQheDjPzDTNf9rYVF/KhcazgbZKBIK6cbrhWcNivX6cgQkTW2DomBX8UYLkYDuZY&#10;anflLV12sRYJwqFEBSbGrpQyVIYshonriJN3dN5iTNLXUnu8Jrht5XuWFdJiw2nBYEdfhqrz7tcq&#10;kKeNbmS3KvzpOD7rmfnJ8ZYr9TLqPz9AROrjM/xof2sF+ayA/zPp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dK78MAAADcAAAADwAAAAAAAAAAAAAAAACYAgAAZHJzL2Rv&#10;d25yZXYueG1sUEsFBgAAAAAEAAQA9QAAAIgDAAAAAA==&#10;" fillcolor="#d4d4d4" stroked="f"/>
                <v:line id="Line 250" o:spid="_x0000_s1348" style="position:absolute;visibility:visible;mso-wrap-style:square" from="4705,29565" to="4705,3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YVg8gAAADcAAAADwAAAGRycy9kb3ducmV2LnhtbESP3UrDQBSE7wt9h+UUeiN2U8G/2G2x&#10;tkoLgqRWenvMnibB7NmwuyapT+8KQi+HmfmGmS16U4uWnK8sK5hOEhDEudUVFwr278+XdyB8QNZY&#10;WyYFJ/KwmA8HM0y17TijdhcKESHsU1RQhtCkUvq8JIN+Yhvi6B2tMxiidIXUDrsIN7W8SpIbabDi&#10;uFBiQ08l5V+7b6PgMN3mP9neLV+Wh4vXFX++rT/kUanxqH98ABGoD+fwf3ujFVzf38LfmXgE5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OYVg8gAAADcAAAADwAAAAAA&#10;AAAAAAAAAAChAgAAZHJzL2Rvd25yZXYueG1sUEsFBgAAAAAEAAQA+QAAAJYDAAAAAA==&#10;" strokecolor="#d4d4d4" strokeweight="0"/>
                <v:rect id="Rectangle 251" o:spid="_x0000_s1349" style="position:absolute;left:4705;top:29565;width:70;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R7BsEA&#10;AADcAAAADwAAAGRycy9kb3ducmV2LnhtbERP3WrCMBS+H/gO4Qi7GZpu0GKrUWRssN256gMcmmNT&#10;bU5KktluT79cCLv8+P43u8n24kY+dI4VPC8zEMSN0x23Ck7H98UKRIjIGnvHpOCHAuy2s4cNVtqN&#10;/EW3OrYihXCoUIGJcaikDI0hi2HpBuLEnZ23GBP0rdQexxRue/mSZYW02HFqMDjQq6HmWn9bBfJy&#10;0J0c3gp/OT9ddWk+c/zNlXqcT/s1iEhT/Bff3R9aQV6mtelMOgJ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UewbBAAAA3AAAAA8AAAAAAAAAAAAAAAAAmAIAAGRycy9kb3du&#10;cmV2LnhtbFBLBQYAAAAABAAEAPUAAACGAwAAAAA=&#10;" fillcolor="#d4d4d4" stroked="f"/>
                <v:line id="Line 252" o:spid="_x0000_s1350" style="position:absolute;visibility:visible;mso-wrap-style:square" from="31216,29565" to="31222,32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kascAAADcAAAADwAAAGRycy9kb3ducmV2LnhtbESPW2sCMRSE34X+h3AKvohmFVp0axRv&#10;LS0UxBu+nm6Ou4ubkyWJuu2vbwoFH4eZ+YYZTxtTiSs5X1pW0O8lIIgzq0vOFex3r90hCB+QNVaW&#10;ScE3eZhOHlpjTLW98Yau25CLCGGfooIihDqV0mcFGfQ9WxNH72SdwRCly6V2eItwU8lBkjxLgyXH&#10;hQJrWhSUnbcXo+DY/8h+Nns3f5sfO59L/lqvDvKkVPuxmb2ACNSEe/i//a4VPI1G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NSRqxwAAANwAAAAPAAAAAAAA&#10;AAAAAAAAAKECAABkcnMvZG93bnJldi54bWxQSwUGAAAAAAQABAD5AAAAlQMAAAAA&#10;" strokecolor="#d4d4d4" strokeweight="0"/>
                <v:rect id="Rectangle 253" o:spid="_x0000_s1351" style="position:absolute;left:31216;top:29565;width:70;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2D+8EA&#10;AADcAAAADwAAAGRycy9kb3ducmV2LnhtbERP3WrCMBS+H/gO4Qi7GZpuYNFqWmRs4O429QEOzbGp&#10;NiclydrOp18uBrv8+P531WQ7MZAPrWMFz8sMBHHtdMuNgvPpfbEGESKyxs4xKfihAFU5e9hhod3I&#10;XzQcYyNSCIcCFZgY+0LKUBuyGJauJ07cxXmLMUHfSO1xTOG2ky9ZlkuLLacGgz29Gqpvx2+rQF4/&#10;dSv7t9xfL083vTEfK7yvlHqcT/stiEhT/Bf/uQ9aQZ6l+elMOg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Ng/vBAAAA3AAAAA8AAAAAAAAAAAAAAAAAmAIAAGRycy9kb3du&#10;cmV2LnhtbFBLBQYAAAAABAAEAPUAAACGAwAAAAA=&#10;" fillcolor="#d4d4d4" stroked="f"/>
                <v:line id="Line 254" o:spid="_x0000_s1352" style="position:absolute;visibility:visible;mso-wrap-style:square" from="38442,29565" to="38449,32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zcl8cAAADcAAAADwAAAGRycy9kb3ducmV2LnhtbESPQWvCQBSE70L/w/IEL1I38SAldRVt&#10;VSwUitHi9TX7TEKzb8PuqrG/vlsoeBxm5htmOu9MIy7kfG1ZQTpKQBAXVtdcKjjs149PIHxA1thY&#10;JgU38jCfPfSmmGl75R1d8lCKCGGfoYIqhDaT0hcVGfQj2xJH72SdwRClK6V2eI1w08hxkkykwZrj&#10;QoUtvVRUfOdno+CYvhU/u4NbbpbH4fsrf32sPuVJqUG/WzyDCNSFe/i/vdUKJkkKf2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bNyXxwAAANwAAAAPAAAAAAAA&#10;AAAAAAAAAKECAABkcnMvZG93bnJldi54bWxQSwUGAAAAAAQABAD5AAAAlQMAAAAA&#10;" strokecolor="#d4d4d4" strokeweight="0"/>
                <v:rect id="Rectangle 255" o:spid="_x0000_s1353" style="position:absolute;left:38442;top:29565;width:64;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O4F8QA&#10;AADcAAAADwAAAGRycy9kb3ducmV2LnhtbESP3WoCMRSE7wXfIZyCN1KzFVzsdqNIUWjv6s8DHDbH&#10;za6bkyWJuu3TN4WCl8PMfMOU68F24kY+NI4VvMwyEMSV0w3XCk7H3fMSRIjIGjvHpOCbAqxX41GJ&#10;hXZ33tPtEGuRIBwKVGBi7AspQ2XIYpi5njh5Z+ctxiR9LbXHe4LbTs6zLJcWG04LBnt6N1RdDler&#10;QLZfupH9NvfteXrRr+ZzgT8LpSZPw+YNRKQhPsL/7Q+tIM/m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TuBfEAAAA3AAAAA8AAAAAAAAAAAAAAAAAmAIAAGRycy9k&#10;b3ducmV2LnhtbFBLBQYAAAAABAAEAPUAAACJAwAAAAA=&#10;" fillcolor="#d4d4d4" stroked="f"/>
                <v:line id="Line 256" o:spid="_x0000_s1354" style="position:absolute;visibility:visible;mso-wrap-style:square" from="46443,29565" to="46450,32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Lne8YAAADcAAAADwAAAGRycy9kb3ducmV2LnhtbESPQWsCMRSE7wX/Q3hCL6VmVRDZGkVb&#10;WywIolW8PjfP3cXNy5KkuvrrjVDocZiZb5jRpDGVOJPzpWUF3U4CgjizuuRcwfbn83UIwgdkjZVl&#10;UnAlD5Nx62mEqbYXXtN5E3IRIexTVFCEUKdS+qwgg75ja+LoHa0zGKJ0udQOLxFuKtlLkoE0WHJc&#10;KLCm94Ky0+bXKNh3v7PbeutmX7P9y/KDD6v5Th6Vem430zcQgZrwH/5rL7SCQdKHx5l4BOT4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y53vGAAAA3AAAAA8AAAAAAAAA&#10;AAAAAAAAoQIAAGRycy9kb3ducmV2LnhtbFBLBQYAAAAABAAEAPkAAACUAwAAAAA=&#10;" strokecolor="#d4d4d4" strokeweight="0"/>
                <v:rect id="Rectangle 257" o:spid="_x0000_s1355" style="position:absolute;left:46443;top:29565;width:64;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F+MQA&#10;AADcAAAADwAAAGRycy9kb3ducmV2LnhtbESPUWvCMBSF3wX/Q7jCXmSmjlm22igiDra3qfsBl+a2&#10;qTY3JYna7dcvg4GPh3POdzjlerCduJIPrWMF81kGgrhyuuVGwdfx7fEFRIjIGjvHpOCbAqxX41GJ&#10;hXY33tP1EBuRIBwKVGBi7AspQ2XIYpi5njh5tfMWY5K+kdrjLcFtJ5+yLJcWW04LBnvaGqrOh4tV&#10;IE+fupX9LvenenrWr+ZjgT8LpR4mw2YJItIQ7+H/9rtWkGfP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hfjEAAAA3AAAAA8AAAAAAAAAAAAAAAAAmAIAAGRycy9k&#10;b3ducmV2LnhtbFBLBQYAAAAABAAEAPUAAACJAwAAAAA=&#10;" fillcolor="#d4d4d4" stroked="f"/>
                <v:line id="Line 258" o:spid="_x0000_s1356" style="position:absolute;visibility:visible;mso-wrap-style:square" from="54438,29565" to="54444,32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falMYAAADcAAAADwAAAGRycy9kb3ducmV2LnhtbESPQWsCMRSE7wX/Q3hCL6VmFRTZGkVb&#10;WywIolW8PjfP3cXNy5KkuvrrjVDocZiZb5jRpDGVOJPzpWUF3U4CgjizuuRcwfbn83UIwgdkjZVl&#10;UnAlD5Nx62mEqbYXXtN5E3IRIexTVFCEUKdS+qwgg75ja+LoHa0zGKJ0udQOLxFuKtlLkoE0WHJc&#10;KLCm94Ky0+bXKNh3v7PbeutmX7P9y/KDD6v5Th6Vem430zcQgZrwH/5rL7SCQdKHx5l4BOT4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X2pTGAAAA3AAAAA8AAAAAAAAA&#10;AAAAAAAAoQIAAGRycy9kb3ducmV2LnhtbFBLBQYAAAAABAAEAPkAAACUAwAAAAA=&#10;" strokecolor="#d4d4d4" strokeweight="0"/>
                <v:rect id="Rectangle 259" o:spid="_x0000_s1357" style="position:absolute;left:54438;top:29565;width:64;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i+FMMA&#10;AADcAAAADwAAAGRycy9kb3ducmV2LnhtbESP0WoCMRRE3wv+Q7iCL0WzFVzqahQRhfbNbv2Ay+a6&#10;Wd3cLEmqW7/eFIQ+DjNzhlmue9uKK/nQOFbwNslAEFdON1wrOH7vx+8gQkTW2DomBb8UYL0avCyx&#10;0O7GX3QtYy0ShEOBCkyMXSFlqAxZDBPXESfv5LzFmKSvpfZ4S3DbymmW5dJiw2nBYEdbQ9Wl/LEK&#10;5PmgG9ntcn8+vV703HzO8D5TajTsNwsQkfr4H362P7SCPMvh70w6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i+FMMAAADcAAAADwAAAAAAAAAAAAAAAACYAgAAZHJzL2Rv&#10;d25yZXYueG1sUEsFBgAAAAAEAAQA9QAAAIgDAAAAAA==&#10;" fillcolor="#d4d4d4" stroked="f"/>
                <v:line id="Line 260" o:spid="_x0000_s1358" style="position:absolute;visibility:visible;mso-wrap-style:square" from="62439,29565" to="62445,32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nheMcAAADcAAAADwAAAGRycy9kb3ducmV2LnhtbESPQWsCMRSE74L/ITyhF6lZPdiyNYq2&#10;ViwIZa3i9bl57i5uXpYk6ra/3hQKPQ4z8w0zmbWmFldyvrKsYDhIQBDnVldcKNh9vT8+g/ABWWNt&#10;mRR8k4fZtNuZYKrtjTO6bkMhIoR9igrKEJpUSp+XZNAPbEMcvZN1BkOUrpDa4S3CTS1HSTKWBiuO&#10;CyU29FpSft5ejILD8CP/yXZusVoc+ps3Pn4u9/Kk1EOvnb+ACNSG//Bfe60VjJMn+D0Tj4C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yeF4xwAAANwAAAAPAAAAAAAA&#10;AAAAAAAAAKECAABkcnMvZG93bnJldi54bWxQSwUGAAAAAAQABAD5AAAAlQMAAAAA&#10;" strokecolor="#d4d4d4" strokeweight="0"/>
                <v:rect id="Rectangle 261" o:spid="_x0000_s1359" style="position:absolute;left:62439;top:29565;width:64;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uP/cEA&#10;AADcAAAADwAAAGRycy9kb3ducmV2LnhtbERP3WrCMBS+H/gO4Qi7GZpuYNFqWmRs4O429QEOzbGp&#10;NiclydrOp18uBrv8+P531WQ7MZAPrWMFz8sMBHHtdMuNgvPpfbEGESKyxs4xKfihAFU5e9hhod3I&#10;XzQcYyNSCIcCFZgY+0LKUBuyGJauJ07cxXmLMUHfSO1xTOG2ky9ZlkuLLacGgz29Gqpvx2+rQF4/&#10;dSv7t9xfL083vTEfK7yvlHqcT/stiEhT/Bf/uQ9aQZ6ltelMOg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7j/3BAAAA3AAAAA8AAAAAAAAAAAAAAAAAmAIAAGRycy9kb3du&#10;cmV2LnhtbFBLBQYAAAAABAAEAPUAAACGAwAAAAA=&#10;" fillcolor="#d4d4d4" stroked="f"/>
                <v:line id="Line 262" o:spid="_x0000_s1360" style="position:absolute;visibility:visible;mso-wrap-style:square" from="63,0" to="62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rQkccAAADcAAAADwAAAGRycy9kb3ducmV2LnhtbESPQWsCMRSE74L/ITyhF6lZPUi7NYq2&#10;ViwIZa3i9bl57i5uXpYk6ra/3hQKPQ4z8w0zmbWmFldyvrKsYDhIQBDnVldcKNh9vT8+gfABWWNt&#10;mRR8k4fZtNuZYKrtjTO6bkMhIoR9igrKEJpUSp+XZNAPbEMcvZN1BkOUrpDa4S3CTS1HSTKWBiuO&#10;CyU29FpSft5ejILD8CP/yXZusVoc+ps3Pn4u9/Kk1EOvnb+ACNSG//Bfe60VjJNn+D0Tj4C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GtCRxwAAANwAAAAPAAAAAAAA&#10;AAAAAAAAAKECAABkcnMvZG93bnJldi54bWxQSwUGAAAAAAQABAD5AAAAlQMAAAAA&#10;" strokecolor="#d4d4d4" strokeweight="0"/>
                <v:rect id="Rectangle 263" o:spid="_x0000_s1361" style="position:absolute;left:63;width:6250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QVJsAA&#10;AADcAAAADwAAAGRycy9kb3ducmV2LnhtbERPy4rCMBTdC/MP4Q64EU0dsDjVKMPggO58zAdcmmtT&#10;bW5KErX69WYhuDyc93zZ2UZcyYfasYLxKANBXDpdc6Xg//A3nIIIEVlj45gU3CnAcvHRm2Oh3Y13&#10;dN3HSqQQDgUqMDG2hZShNGQxjFxLnLij8xZjgr6S2uMthdtGfmVZLi3WnBoMtvRrqDzvL1aBPG11&#10;LdtV7k/HwVl/m80EHxOl+p/dzwxEpC6+xS/3WivIx2l+OpOO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QVJsAAAADcAAAADwAAAAAAAAAAAAAAAACYAgAAZHJzL2Rvd25y&#10;ZXYueG1sUEsFBgAAAAAEAAQA9QAAAIUDAAAAAA==&#10;" fillcolor="#d4d4d4" stroked="f"/>
                <v:line id="Line 264" o:spid="_x0000_s1362" style="position:absolute;visibility:visible;mso-wrap-style:square" from="63,1352" to="62503,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VKSscAAADcAAAADwAAAGRycy9kb3ducmV2LnhtbESPT2vCQBTE70K/w/IKvYhu0oOU6Cq1&#10;f0ShIKaK12f2mYRm34bdVaOfvlsQehxm5jfMZNaZRpzJ+dqygnSYgCAurK65VLD9/hy8gPABWWNj&#10;mRRcycNs+tCbYKbthTd0zkMpIoR9hgqqENpMSl9UZNAPbUscvaN1BkOUrpTa4SXCTSOfk2QkDdYc&#10;Fyps6a2i4ic/GQX7dFXcNls3X8z3/a93Pqw/dvKo1NNj9zoGEagL/+F7e6kVjNIU/s7EI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tUpKxwAAANwAAAAPAAAAAAAA&#10;AAAAAAAAAKECAABkcnMvZG93bnJldi54bWxQSwUGAAAAAAQABAD5AAAAlQMAAAAA&#10;" strokecolor="#d4d4d4" strokeweight="0"/>
                <v:rect id="Rectangle 265" o:spid="_x0000_s1363" style="position:absolute;left:63;top:1352;width:62503;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ouysQA&#10;AADcAAAADwAAAGRycy9kb3ducmV2LnhtbESPUWvCMBSF3wf+h3AFX8ZMFSzaNYrIBPe2qT/g0lyb&#10;1uamJJnW/fplMNjj4ZzzHU65GWwnbuRD41jBbJqBIK6cbrhWcD7tX5YgQkTW2DkmBQ8KsFmPnkos&#10;tLvzJ92OsRYJwqFABSbGvpAyVIYshqnriZN3cd5iTNLXUnu8J7jt5DzLcmmx4bRgsKedoep6/LIK&#10;ZPuhG9m/5b69PF/1yrwv8Huh1GQ8bF9BRBrif/ivfdAK8tkc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KLsrEAAAA3AAAAA8AAAAAAAAAAAAAAAAAmAIAAGRycy9k&#10;b3ducmV2LnhtbFBLBQYAAAAABAAEAPUAAACJAwAAAAA=&#10;" fillcolor="#d4d4d4" stroked="f"/>
                <v:line id="Line 266" o:spid="_x0000_s1364" style="position:absolute;visibility:visible;mso-wrap-style:square" from="62503,2705" to="62509,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txpscAAADcAAAADwAAAGRycy9kb3ducmV2LnhtbESP3WoCMRSE7wu+QzhCb4pm14KU1Sja&#10;WmlBKP7h7XFz3F3cnCxJ1G2fvikUvBxm5htmPG1NLa7kfGVZQdpPQBDnVldcKNht33svIHxA1lhb&#10;JgXf5GE66TyMMdP2xmu6bkIhIoR9hgrKEJpMSp+XZND3bUMcvZN1BkOUrpDa4S3CTS0HSTKUBiuO&#10;CyU29FpSft5cjIJD+pn/rHduvpwfnlZvfPxa7OVJqcduOxuBCNSGe/i//aEVDNNn+DsTj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K3GmxwAAANwAAAAPAAAAAAAA&#10;AAAAAAAAAKECAABkcnMvZG93bnJldi54bWxQSwUGAAAAAAQABAD5AAAAlQMAAAAA&#10;" strokecolor="#d4d4d4" strokeweight="0"/>
                <v:rect id="Rectangle 267" o:spid="_x0000_s1365" style="position:absolute;left:62503;top:2705;width:6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8TJcQA&#10;AADcAAAADwAAAGRycy9kb3ducmV2LnhtbESP3WoCMRSE74W+QziF3kjNWupSV6OIVGjvrPoAh81x&#10;sz85WZJU1z59UxB6OczMN8xyPdhOXMiH2rGC6SQDQVw6XXOl4HTcPb+BCBFZY+eYFNwowHr1MFpi&#10;od2Vv+hyiJVIEA4FKjAx9oWUoTRkMUxcT5y8s/MWY5K+ktrjNcFtJ1+yLJcWa04LBnvaGirbw7dV&#10;IJu9rmX/nvvmPG713HzO8Gem1NPjsFmAiDTE//C9/aEV5NNX+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vEyXEAAAA3AAAAA8AAAAAAAAAAAAAAAAAmAIAAGRycy9k&#10;b3ducmV2LnhtbFBLBQYAAAAABAAEAPUAAACJAwAAAAA=&#10;" fillcolor="#d4d4d4" stroked="f"/>
                <v:line id="Line 268" o:spid="_x0000_s1366" style="position:absolute;visibility:visible;mso-wrap-style:square" from="62503,4318" to="62509,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5MSccAAADcAAAADwAAAGRycy9kb3ducmV2LnhtbESP3WoCMRSE7wu+QzhCb4pmV6iU1Sja&#10;WmlBKP7h7XFz3F3cnCxJ1G2fvikUvBxm5htmPG1NLa7kfGVZQdpPQBDnVldcKNht33svIHxA1lhb&#10;JgXf5GE66TyMMdP2xmu6bkIhIoR9hgrKEJpMSp+XZND3bUMcvZN1BkOUrpDa4S3CTS0HSTKUBiuO&#10;CyU29FpSft5cjIJD+pn/rHduvpwfnlZvfPxa7OVJqcduOxuBCNSGe/i//aEVDNNn+DsTj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jkxJxwAAANwAAAAPAAAAAAAA&#10;AAAAAAAAAKECAABkcnMvZG93bnJldi54bWxQSwUGAAAAAAQABAD5AAAAlQMAAAAA&#10;" strokecolor="#d4d4d4" strokeweight="0"/>
                <v:rect id="Rectangle 269" o:spid="_x0000_s1367" style="position:absolute;left:62503;top:4318;width:6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oycMA&#10;AADcAAAADwAAAGRycy9kb3ducmV2LnhtbESP0WoCMRRE3wv+Q7hCX4pmLbjoahQRBfvWrn7AZXPd&#10;rG5uliTq2q9vCoU+DjNzhlmue9uKO/nQOFYwGWcgiCunG64VnI770QxEiMgaW8ek4EkB1qvByxIL&#10;7R78Rfcy1iJBOBSowMTYFVKGypDFMHYdcfLOzluMSfpaao+PBLetfM+yXFpsOC0Y7GhrqLqWN6tA&#10;Xj51I7td7i/nt6uem48pfk+Veh32mwWISH38D/+1D1pBPsnh90w6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EoycMAAADcAAAADwAAAAAAAAAAAAAAAACYAgAAZHJzL2Rv&#10;d25yZXYueG1sUEsFBgAAAAAEAAQA9QAAAIgDAAAAAA==&#10;" fillcolor="#d4d4d4" stroked="f"/>
                <v:line id="Line 270" o:spid="_x0000_s1368" style="position:absolute;visibility:visible;mso-wrap-style:square" from="62503,5924" to="62509,5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B3pcgAAADcAAAADwAAAGRycy9kb3ducmV2LnhtbESPW2sCMRSE3wv+h3CEvpSa3T5YWY3i&#10;pS0WBPFSfD3dHHcXNydLkurqrzeFQh+HmfmGGU1aU4szOV9ZVpD2EhDEudUVFwr2u/fnAQgfkDXW&#10;lknBlTxMxp2HEWbaXnhD520oRISwz1BBGUKTSenzkgz6nm2Io3e0zmCI0hVSO7xEuKnlS5L0pcGK&#10;40KJDc1Lyk/bH6PgkH7mt83ezT5mh6fVgr/Xb1/yqNRjt50OQQRqw3/4r73UCvrpK/yeiUdAj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hB3pcgAAADcAAAADwAAAAAA&#10;AAAAAAAAAAChAgAAZHJzL2Rvd25yZXYueG1sUEsFBgAAAAAEAAQA+QAAAJYDAAAAAA==&#10;" strokecolor="#d4d4d4" strokeweight="0"/>
                <v:rect id="Rectangle 271" o:spid="_x0000_s1369" style="position:absolute;left:62503;top:5924;width:63;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IZIMAA&#10;AADcAAAADwAAAGRycy9kb3ducmV2LnhtbERPy4rCMBTdC/MP4Q64EU0dsDjVKMPggO58zAdcmmtT&#10;bW5KErX69WYhuDyc93zZ2UZcyYfasYLxKANBXDpdc6Xg//A3nIIIEVlj45gU3CnAcvHRm2Oh3Y13&#10;dN3HSqQQDgUqMDG2hZShNGQxjFxLnLij8xZjgr6S2uMthdtGfmVZLi3WnBoMtvRrqDzvL1aBPG11&#10;LdtV7k/HwVl/m80EHxOl+p/dzwxEpC6+xS/3WivIx2ltOpOO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2IZIMAAAADcAAAADwAAAAAAAAAAAAAAAACYAgAAZHJzL2Rvd25y&#10;ZXYueG1sUEsFBgAAAAAEAAQA9QAAAIUDAAAAAA==&#10;" fillcolor="#d4d4d4" stroked="f"/>
                <v:line id="Line 272" o:spid="_x0000_s1370" style="position:absolute;visibility:visible;mso-wrap-style:square" from="62503,7340" to="62509,7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NGTMgAAADcAAAADwAAAGRycy9kb3ducmV2LnhtbESPW2sCMRSE3wv+h3CEvpSa3T5IXY3i&#10;pS0WBPFSfD3dHHcXNydLkurqrzeFQh+HmfmGGU1aU4szOV9ZVpD2EhDEudUVFwr2u/fnVxA+IGus&#10;LZOCK3mYjDsPI8y0vfCGzttQiAhhn6GCMoQmk9LnJRn0PdsQR+9oncEQpSukdniJcFPLlyTpS4MV&#10;x4USG5qXlJ+2P0bBIf3Mb5u9m33MDk+rBX+v377kUanHbjsdggjUhv/wX3upFfTTAfyeiUdAj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MNGTMgAAADcAAAADwAAAAAA&#10;AAAAAAAAAAChAgAAZHJzL2Rvd25yZXYueG1sUEsFBgAAAAAEAAQA+QAAAJYDAAAAAA==&#10;" strokecolor="#d4d4d4" strokeweight="0"/>
                <v:rect id="Rectangle 273" o:spid="_x0000_s1371" style="position:absolute;left:62503;top:7340;width:63;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jfm8EA&#10;AADcAAAADwAAAGRycy9kb3ducmV2LnhtbERP3WrCMBS+H/gO4Qi7GZpOsMxqWkQUtrvN+QCH5tj0&#10;JyclybTb0y8Xg11+fP+7arKDuJEPrWMFz8sMBHHtdMuNgsvnafECIkRkjYNjUvBNAapy9rDDQrs7&#10;f9DtHBuRQjgUqMDEOBZShtqQxbB0I3Hirs5bjAn6RmqP9xRuB7nKslxabDk1GBzpYKjuz19Wgeze&#10;dSvHY+6761OvN+ZtjT9rpR7n034LItIU/8V/7letIF+l+elMOg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435vBAAAA3AAAAA8AAAAAAAAAAAAAAAAAmAIAAGRycy9kb3du&#10;cmV2LnhtbFBLBQYAAAAABAAEAPUAAACGAwAAAAA=&#10;" fillcolor="#d4d4d4" stroked="f"/>
                <v:line id="Line 274" o:spid="_x0000_s1372" style="position:absolute;visibility:visible;mso-wrap-style:square" from="62503,8693" to="62509,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mA98cAAADcAAAADwAAAGRycy9kb3ducmV2LnhtbESPT2sCMRTE7wW/Q3iCl6LZ9SBlNYra&#10;WlooiP/w+tw8dxc3L0uS6rafvikIHoeZ+Q0zmbWmFldyvrKsIB0kIIhzqysuFOx3q/4LCB+QNdaW&#10;ScEPeZhNO08TzLS98Yau21CICGGfoYIyhCaT0uclGfQD2xBH72ydwRClK6R2eItwU8thkoykwYrj&#10;QokNLUvKL9tvo+CYfua/m71bvC+Oz1+vfFq/HeRZqV63nY9BBGrDI3xvf2gFo2EK/2fiEZ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2YD3xwAAANwAAAAPAAAAAAAA&#10;AAAAAAAAAKECAABkcnMvZG93bnJldi54bWxQSwUGAAAAAAQABAD5AAAAlQMAAAAA&#10;" strokecolor="#d4d4d4" strokeweight="0"/>
                <v:rect id="Rectangle 275" o:spid="_x0000_s1373" style="position:absolute;left:62503;top:8693;width:63;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bkd8QA&#10;AADcAAAADwAAAGRycy9kb3ducmV2LnhtbESPUWvCMBSF3wf7D+EKvow1XcHiaqOMoeDeNvUHXJpr&#10;U21uShK17tcvg8EeD+ec73Dq1Wh7cSUfOscKXrIcBHHjdMetgsN+8zwHESKyxt4xKbhTgNXy8aHG&#10;Srsbf9F1F1uRIBwqVGBiHCopQ2PIYsjcQJy8o/MWY5K+ldrjLcFtL4s8L6XFjtOCwYHeDTXn3cUq&#10;kKdP3clhXfrT8emsX83HDL9nSk0n49sCRKQx/of/2lutoCwK+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m5HfEAAAA3AAAAA8AAAAAAAAAAAAAAAAAmAIAAGRycy9k&#10;b3ducmV2LnhtbFBLBQYAAAAABAAEAPUAAACJAwAAAAA=&#10;" fillcolor="#d4d4d4" stroked="f"/>
                <v:line id="Line 276" o:spid="_x0000_s1374" style="position:absolute;visibility:visible;mso-wrap-style:square" from="62503,10045" to="62509,10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e7G8cAAADcAAAADwAAAGRycy9kb3ducmV2LnhtbESP3WoCMRSE7wXfIRzBG6lZLUjZGqXW&#10;HyoIstbi7enmuLt0c7IkUbd9+qYg9HKYmW+Y6bw1tbiS85VlBaNhAoI4t7riQsHxff3wBMIHZI21&#10;ZVLwTR7ms25niqm2N87oegiFiBD2KSooQ2hSKX1ekkE/tA1x9M7WGQxRukJqh7cIN7UcJ8lEGqw4&#10;LpTY0GtJ+dfhYhScRtv8Jzu6xWZxGuyW/LlffcizUv1e+/IMIlAb/sP39ptWMBk/wt+Ze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7sbxwAAANwAAAAPAAAAAAAA&#10;AAAAAAAAAKECAABkcnMvZG93bnJldi54bWxQSwUGAAAAAAQABAD5AAAAlQMAAAAA&#10;" strokecolor="#d4d4d4" strokeweight="0"/>
                <v:rect id="Rectangle 277" o:spid="_x0000_s1375" style="position:absolute;left:62503;top:10045;width:63;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PZmMQA&#10;AADcAAAADwAAAGRycy9kb3ducmV2LnhtbESPUWvCMBSF34X9h3AHe5GZTmbZukYZMsG9qdsPuDS3&#10;TbW5KUnU6q9fBoKPh3POdzjlYrCdOJEPrWMFL5MMBHHldMuNgt+f1fMbiBCRNXaOScGFAizmD6MS&#10;C+3OvKXTLjYiQTgUqMDE2BdShsqQxTBxPXHyauctxiR9I7XHc4LbTk6zLJcWW04LBntaGqoOu6NV&#10;IPcb3cr+K/f7enzQ7+Z7hteZUk+Pw+cHiEhDvIdv7bVWkE9f4f9MO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D2ZjEAAAA3AAAAA8AAAAAAAAAAAAAAAAAmAIAAGRycy9k&#10;b3ducmV2LnhtbFBLBQYAAAAABAAEAPUAAACJAwAAAAA=&#10;" fillcolor="#d4d4d4" stroked="f"/>
                <v:line id="Line 278" o:spid="_x0000_s1376" style="position:absolute;visibility:visible;mso-wrap-style:square" from="62503,11398" to="62509,1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G9McAAADcAAAADwAAAGRycy9kb3ducmV2LnhtbESP3WoCMRSE7wXfIRzBG6lZhUrZGqXW&#10;HyoIstbi7enmuLt0c7IkUbd9+qYg9HKYmW+Y6bw1tbiS85VlBaNhAoI4t7riQsHxff3wBMIHZI21&#10;ZVLwTR7ms25niqm2N87oegiFiBD2KSooQ2hSKX1ekkE/tA1x9M7WGQxRukJqh7cIN7UcJ8lEGqw4&#10;LpTY0GtJ+dfhYhScRtv8Jzu6xWZxGuyW/LlffcizUv1e+/IMIlAb/sP39ptWMBk/wt+Ze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4ob0xwAAANwAAAAPAAAAAAAA&#10;AAAAAAAAAKECAABkcnMvZG93bnJldi54bWxQSwUGAAAAAAQABAD5AAAAlQMAAAAA&#10;" strokecolor="#d4d4d4" strokeweight="0"/>
                <v:rect id="Rectangle 279" o:spid="_x0000_s1377" style="position:absolute;left:62503;top:11398;width:63;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3idMQA&#10;AADcAAAADwAAAGRycy9kb3ducmV2LnhtbESPUWvCMBSF34X9h3CFvYimCpZZG2XIBtvbrPsBl+ba&#10;tDY3Jcm0269fBgMfD+ec73DK/Wh7cSUfWscKlosMBHHtdMuNgs/T6/wJRIjIGnvHpOCbAux3D5MS&#10;C+1ufKRrFRuRIBwKVGBiHAopQ23IYli4gTh5Z+ctxiR9I7XHW4LbXq6yLJcWW04LBgc6GKov1ZdV&#10;ILsP3crhJffdeXbRG/O+xp+1Uo/T8XkLItIY7+H/9ptWkK9y+DuTj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d4nTEAAAA3AAAAA8AAAAAAAAAAAAAAAAAmAIAAGRycy9k&#10;b3ducmV2LnhtbFBLBQYAAAAABAAEAPUAAACJAwAAAAA=&#10;" fillcolor="#d4d4d4" stroked="f"/>
                <v:line id="Line 280" o:spid="_x0000_s1378" style="position:absolute;visibility:visible;mso-wrap-style:square" from="62503,12750" to="62509,12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y9GMgAAADcAAAADwAAAGRycy9kb3ducmV2LnhtbESPT2sCMRTE74LfITzBi9SsHmzZGqXW&#10;P1QQZK3F6+vmubt087IkUbf99I1Q6HGYmd8w03lranEl5yvLCkbDBARxbnXFhYLj+/rhCYQPyBpr&#10;y6TgmzzMZ93OFFNtb5zR9RAKESHsU1RQhtCkUvq8JIN+aBvi6J2tMxiidIXUDm8Rbmo5TpKJNFhx&#10;XCixodeS8q/DxSg4jbb5T3Z0i83iNNgt+XO/+pBnpfq99uUZRKA2/If/2m9awWT8CPcz8Qj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Hy9GMgAAADcAAAADwAAAAAA&#10;AAAAAAAAAAChAgAAZHJzL2Rvd25yZXYueG1sUEsFBgAAAAAEAAQA+QAAAJYDAAAAAA==&#10;" strokecolor="#d4d4d4" strokeweight="0"/>
                <v:rect id="Rectangle 281" o:spid="_x0000_s1379" style="position:absolute;left:62503;top:12750;width:63;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7TncEA&#10;AADcAAAADwAAAGRycy9kb3ducmV2LnhtbERP3WrCMBS+H/gO4Qi7GZpOsMxqWkQUtrvN+QCH5tj0&#10;JyclybTb0y8Xg11+fP+7arKDuJEPrWMFz8sMBHHtdMuNgsvnafECIkRkjYNjUvBNAapy9rDDQrs7&#10;f9DtHBuRQjgUqMDEOBZShtqQxbB0I3Hirs5bjAn6RmqP9xRuB7nKslxabDk1GBzpYKjuz19Wgeze&#10;dSvHY+6761OvN+ZtjT9rpR7n034LItIU/8V/7letIF+ltelMOg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O053BAAAA3AAAAA8AAAAAAAAAAAAAAAAAmAIAAGRycy9kb3du&#10;cmV2LnhtbFBLBQYAAAAABAAEAPUAAACGAwAAAAA=&#10;" fillcolor="#d4d4d4" stroked="f"/>
                <v:line id="Line 282" o:spid="_x0000_s1380" style="position:absolute;visibility:visible;mso-wrap-style:square" from="62503,15328" to="62509,1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M8cgAAADcAAAADwAAAGRycy9kb3ducmV2LnhtbESPT2sCMRTE74LfITzBi9SsHqTdGqXW&#10;P1QQZK3F6+vmubt087IkUbf99I1Q6HGYmd8w03lranEl5yvLCkbDBARxbnXFhYLj+/rhEYQPyBpr&#10;y6TgmzzMZ93OFFNtb5zR9RAKESHsU1RQhtCkUvq8JIN+aBvi6J2tMxiidIXUDm8Rbmo5TpKJNFhx&#10;XCixodeS8q/DxSg4jbb5T3Z0i83iNNgt+XO/+pBnpfq99uUZRKA2/If/2m9awWT8BPcz8Qj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q+M8cgAAADcAAAADwAAAAAA&#10;AAAAAAAAAAChAgAAZHJzL2Rvd25yZXYueG1sUEsFBgAAAAAEAAQA+QAAAJYDAAAAAA==&#10;" strokecolor="#d4d4d4" strokeweight="0"/>
                <v:rect id="Rectangle 283" o:spid="_x0000_s1381" style="position:absolute;left:62503;top:15328;width:63;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FJRsEA&#10;AADcAAAADwAAAGRycy9kb3ducmV2LnhtbERP3WrCMBS+F3yHcITdiKZuWLQ2ioiD7W5zPsChOTat&#10;zUlJonZ7+uVisMuP77/cDbYTd/KhcaxgMc9AEFdON1wrOH+9zlYgQkTW2DkmBd8UYLcdj0ostHvw&#10;J91PsRYphEOBCkyMfSFlqAxZDHPXEyfu4rzFmKCvpfb4SOG2k89ZlkuLDacGgz0dDFXX080qkO2H&#10;bmR/zH17mV712rwv8Wep1NNk2G9ARBriv/jP/aYV5C9pfjqTjo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hSUbBAAAA3AAAAA8AAAAAAAAAAAAAAAAAmAIAAGRycy9kb3du&#10;cmV2LnhtbFBLBQYAAAAABAAEAPUAAACGAwAAAAA=&#10;" fillcolor="#d4d4d4" stroked="f"/>
                <v:line id="Line 284" o:spid="_x0000_s1382" style="position:absolute;visibility:visible;mso-wrap-style:square" from="62503,16681" to="62509,16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AWKscAAADcAAAADwAAAGRycy9kb3ducmV2LnhtbESP3WoCMRSE7wu+QzhCb4pm14KU1Sja&#10;WmlBKP7h7XFz3F3cnCxJ1G2fvikUvBxm5htmPG1NLa7kfGVZQdpPQBDnVldcKNht33svIHxA1lhb&#10;JgXf5GE66TyMMdP2xmu6bkIhIoR9hgrKEJpMSp+XZND3bUMcvZN1BkOUrpDa4S3CTS0HSTKUBiuO&#10;CyU29FpSft5cjIJD+pn/rHduvpwfnlZvfPxa7OVJqcduOxuBCNSGe/i//aEVDJ9T+DsTj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ABYqxwAAANwAAAAPAAAAAAAA&#10;AAAAAAAAAKECAABkcnMvZG93bnJldi54bWxQSwUGAAAAAAQABAD5AAAAlQMAAAAA&#10;" strokecolor="#d4d4d4" strokeweight="0"/>
                <v:rect id="Rectangle 285" o:spid="_x0000_s1383" style="position:absolute;left:62503;top:16681;width:6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9yqsQA&#10;AADcAAAADwAAAGRycy9kb3ducmV2LnhtbESPUWvCMBSF34X9h3AHe5GZzmHZukYZMsG9qdsPuDS3&#10;TbW5KUnU6q9fBoKPh3POdzjlYrCdOJEPrWMFL5MMBHHldMuNgt+f1fMbiBCRNXaOScGFAizmD6MS&#10;C+3OvKXTLjYiQTgUqMDE2BdShsqQxTBxPXHyauctxiR9I7XHc4LbTk6zLJcWW04LBntaGqoOu6NV&#10;IPcb3cr+K/f7enzQ7+Z7hteZUk+Pw+cHiEhDvIdv7bVWkL9O4f9MO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cqrEAAAA3AAAAA8AAAAAAAAAAAAAAAAAmAIAAGRycy9k&#10;b3ducmV2LnhtbFBLBQYAAAAABAAEAPUAAACJAwAAAAA=&#10;" fillcolor="#d4d4d4" stroked="f"/>
                <v:line id="Line 286" o:spid="_x0000_s1384" style="position:absolute;visibility:visible;mso-wrap-style:square" from="62503,18034" to="62509,18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4txscAAADcAAAADwAAAGRycy9kb3ducmV2LnhtbESP3WoCMRSE7wu+QzhCb4pmrSCyGqXa&#10;WiwI4h/enm6Ou4ubkyWJuvbpm0LBy2FmvmHG08ZU4krOl5YV9LoJCOLM6pJzBfvdojME4QOyxsoy&#10;KbiTh+mk9TTGVNsbb+i6DbmIEPYpKihCqFMpfVaQQd+1NXH0TtYZDFG6XGqHtwg3lXxNkoE0WHJc&#10;KLCmeUHZeXsxCo69r+xns3ezz9nxZfXO3+uPgzwp9dxu3kYgAjXhEf5vL7WCQb8Pf2fiEZC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ni3GxwAAANwAAAAPAAAAAAAA&#10;AAAAAAAAAKECAABkcnMvZG93bnJldi54bWxQSwUGAAAAAAQABAD5AAAAlQMAAAAA&#10;" strokecolor="#d4d4d4" strokeweight="0"/>
                <v:rect id="Rectangle 287" o:spid="_x0000_s1385" style="position:absolute;left:62503;top:18034;width:6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PRcQA&#10;AADcAAAADwAAAGRycy9kb3ducmV2LnhtbESP0WoCMRRE34X+Q7iFvkjNtuqiq1GKVKhvrfUDLpvr&#10;ZnVzsyRRt369KQg+DjNzhpkvO9uIM/lQO1bwNshAEJdO11wp2P2uXycgQkTW2DgmBX8UYLl46s2x&#10;0O7CP3TexkokCIcCFZgY20LKUBqyGAauJU7e3nmLMUlfSe3xkuC2ke9ZlkuLNacFgy2tDJXH7ckq&#10;kIdvXcv2M/eHff+op2YzxutYqZfn7mMGIlIXH+F7+0sryIcj+D+Tj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aT0XEAAAA3AAAAA8AAAAAAAAAAAAAAAAAmAIAAGRycy9k&#10;b3ducmV2LnhtbFBLBQYAAAAABAAEAPUAAACJAwAAAAA=&#10;" fillcolor="#d4d4d4" stroked="f"/>
                <v:line id="Line 288" o:spid="_x0000_s1386" style="position:absolute;visibility:visible;mso-wrap-style:square" from="62503,20872" to="62509,20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sQKccAAADcAAAADwAAAGRycy9kb3ducmV2LnhtbESPW2sCMRSE3wv9D+EUfBHNaqnI1ije&#10;WloQxBu+nm6Ou4ubkyWJuu2vbwpCH4eZ+YYZTRpTiSs5X1pW0OsmIIgzq0vOFex3b50hCB+QNVaW&#10;ScE3eZiMHx9GmGp74w1dtyEXEcI+RQVFCHUqpc8KMui7tiaO3sk6gyFKl0vt8BbhppL9JBlIgyXH&#10;hQJrmheUnbcXo+DY+8x+Nns3e58d26sFf62XB3lSqvXUTF9BBGrCf/je/tAKBs8v8HcmHgE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OxApxwAAANwAAAAPAAAAAAAA&#10;AAAAAAAAAKECAABkcnMvZG93bnJldi54bWxQSwUGAAAAAAQABAD5AAAAlQMAAAAA&#10;" strokecolor="#d4d4d4" strokeweight="0"/>
                <v:rect id="Rectangle 289" o:spid="_x0000_s1387" style="position:absolute;left:62503;top:20872;width:6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0qcQA&#10;AADcAAAADwAAAGRycy9kb3ducmV2LnhtbESPUWvCMBSF3wX/Q7jCXmSmbli22igiDra3qfsBl+a2&#10;qTY3JYna7dcvg4GPh3POdzjlerCduJIPrWMF81kGgrhyuuVGwdfx7fEFRIjIGjvHpOCbAqxX41GJ&#10;hXY33tP1EBuRIBwKVGBi7AspQ2XIYpi5njh5tfMWY5K+kdrjLcFtJ5+yLJcWW04LBnvaGqrOh4tV&#10;IE+fupX9LvenenrWr+ZjgT8LpR4mw2YJItIQ7+H/9rtWkD/n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EdKnEAAAA3AAAAA8AAAAAAAAAAAAAAAAAmAIAAGRycy9k&#10;b3ducmV2LnhtbFBLBQYAAAAABAAEAPUAAACJAwAAAAA=&#10;" fillcolor="#d4d4d4" stroked="f"/>
                <v:line id="Line 290" o:spid="_x0000_s1388" style="position:absolute;visibility:visible;mso-wrap-style:square" from="62503,22739" to="62509,22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UrxccAAADcAAAADwAAAGRycy9kb3ducmV2LnhtbESPW2sCMRSE34X+h3AKvhTNakFlaxRv&#10;LS0UxBu+nm6Ou4ubkyWJuu2vbwoFH4eZ+YYZTxtTiSs5X1pW0OsmIIgzq0vOFex3r50RCB+QNVaW&#10;ScE3eZhOHlpjTLW98Yau25CLCGGfooIihDqV0mcFGfRdWxNH72SdwRCly6V2eItwU8l+kgykwZLj&#10;QoE1LQrKztuLUXDsfWQ/m72bv82PT59L/lqvDvKkVPuxmb2ACNSEe/i//a4VDJ6H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pSvFxwAAANwAAAAPAAAAAAAA&#10;AAAAAAAAAKECAABkcnMvZG93bnJldi54bWxQSwUGAAAAAAQABAD5AAAAlQMAAAAA&#10;" strokecolor="#d4d4d4" strokeweight="0"/>
                <v:rect id="Rectangle 291" o:spid="_x0000_s1389" style="position:absolute;left:62503;top:22739;width:6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dFQMEA&#10;AADcAAAADwAAAGRycy9kb3ducmV2LnhtbERP3WrCMBS+F3yHcITdiKZuWLQ2ioiD7W5zPsChOTat&#10;zUlJonZ7+uVisMuP77/cDbYTd/KhcaxgMc9AEFdON1wrOH+9zlYgQkTW2DkmBd8UYLcdj0ostHvw&#10;J91PsRYphEOBCkyMfSFlqAxZDHPXEyfu4rzFmKCvpfb4SOG2k89ZlkuLDacGgz0dDFXX080qkO2H&#10;bmR/zH17mV712rwv8Wep1NNk2G9ARBriv/jP/aYV5C9pbTqTjo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XRUDBAAAA3AAAAA8AAAAAAAAAAAAAAAAAmAIAAGRycy9kb3du&#10;cmV2LnhtbFBLBQYAAAAABAAEAPUAAACGAwAAAAA=&#10;" fillcolor="#d4d4d4" stroked="f"/>
                <v:line id="Line 292" o:spid="_x0000_s1390" style="position:absolute;visibility:visible;mso-wrap-style:square" from="62503,24155" to="62509,24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YaLMcAAADcAAAADwAAAGRycy9kb3ducmV2LnhtbESPW2sCMRSE34X+h3AKvhTNakF0axRv&#10;LS0UxBu+nm6Ou4ubkyWJuu2vbwoFH4eZ+YYZTxtTiSs5X1pW0OsmIIgzq0vOFex3r50hCB+QNVaW&#10;ScE3eZhOHlpjTLW98Yau25CLCGGfooIihDqV0mcFGfRdWxNH72SdwRCly6V2eItwU8l+kgykwZLj&#10;QoE1LQrKztuLUXDsfWQ/m72bv82PT59L/lqvDvKkVPuxmb2ACNSEe/i//a4VDJ5H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dhosxwAAANwAAAAPAAAAAAAA&#10;AAAAAAAAAKECAABkcnMvZG93bnJldi54bWxQSwUGAAAAAAQABAD5AAAAlQMAAAAA&#10;" strokecolor="#d4d4d4" strokeweight="0"/>
                <v:rect id="Rectangle 293" o:spid="_x0000_s1391" style="position:absolute;left:62503;top:24155;width:6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6O8EA&#10;AADcAAAADwAAAGRycy9kb3ducmV2LnhtbERP3WrCMBS+F3yHcITdiKaOWbQ2ioiD7W5zPsChOTat&#10;zUlJonZ7+uVisMuP77/cDbYTd/KhcaxgMc9AEFdON1wrOH+9zlYgQkTW2DkmBd8UYLcdj0ostHvw&#10;J91PsRYphEOBCkyMfSFlqAxZDHPXEyfu4rzFmKCvpfb4SOG2k89ZlkuLDacGgz0dDFXX080qkO2H&#10;bmR/zH17mV712rwv8Wep1NNk2G9ARBriv/jP/aYV5C9pfjqTjo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nOjvBAAAA3AAAAA8AAAAAAAAAAAAAAAAAmAIAAGRycy9kb3du&#10;cmV2LnhtbFBLBQYAAAAABAAEAPUAAACGAwAAAAA=&#10;" fillcolor="#d4d4d4" stroked="f"/>
                <v:line id="Line 294" o:spid="_x0000_s1392" style="position:absolute;visibility:visible;mso-wrap-style:square" from="62503,25768" to="62509,25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lV8cAAADcAAAADwAAAGRycy9kb3ducmV2LnhtbESP3WoCMRSE7wu+QzhCb4pmV4qU1Sja&#10;WmlBKP7h7XFz3F3cnCxJ1G2fvikUvBxm5htmPG1NLa7kfGVZQdpPQBDnVldcKNht33svIHxA1lhb&#10;JgXf5GE66TyMMdP2xmu6bkIhIoR9hgrKEJpMSp+XZND3bUMcvZN1BkOUrpDa4S3CTS0HSTKUBiuO&#10;CyU29FpSft5cjIJD+pn/rHduvpwfnlZvfPxa7OVJqcduOxuBCNSGe/i//aEVDJ9T+DsTj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BmVXxwAAANwAAAAPAAAAAAAA&#10;AAAAAAAAAKECAABkcnMvZG93bnJldi54bWxQSwUGAAAAAAQABAD5AAAAlQMAAAAA&#10;" strokecolor="#d4d4d4" strokeweight="0"/>
                <v:rect id="Rectangle 295" o:spid="_x0000_s1393" style="position:absolute;left:62503;top:25768;width:6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B18QA&#10;AADcAAAADwAAAGRycy9kb3ducmV2LnhtbESPUWvCMBSF34X9h3AHe5GZTmbZukYZMsG9qdsPuDS3&#10;TbW5KUnU6q9fBoKPh3POdzjlYrCdOJEPrWMFL5MMBHHldMuNgt+f1fMbiBCRNXaOScGFAizmD6MS&#10;C+3OvKXTLjYiQTgUqMDE2BdShsqQxTBxPXHyauctxiR9I7XHc4LbTk6zLJcWW04LBntaGqoOu6NV&#10;IPcb3cr+K/f7enzQ7+Z7hteZUk+Pw+cHiEhDvIdv7bVWkL9O4f9MO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5AdfEAAAA3AAAAA8AAAAAAAAAAAAAAAAAmAIAAGRycy9k&#10;b3ducmV2LnhtbFBLBQYAAAAABAAEAPUAAACJAwAAAAA=&#10;" fillcolor="#d4d4d4" stroked="f"/>
                <v:line id="Line 296" o:spid="_x0000_s1394" style="position:absolute;visibility:visible;mso-wrap-style:square" from="62503,29502" to="62509,29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heu8cAAADcAAAADwAAAGRycy9kb3ducmV2LnhtbESPW2sCMRSE3wv9D+EUfBHNaovI1ije&#10;WloQxBu+nm6Ou4ubkyWJuu2vbwpCH4eZ+YYZTRpTiSs5X1pW0OsmIIgzq0vOFex3b50hCB+QNVaW&#10;ScE3eZiMHx9GmGp74w1dtyEXEcI+RQVFCHUqpc8KMui7tiaO3sk6gyFKl0vt8BbhppL9JBlIgyXH&#10;hQJrmheUnbcXo+DY+8x+Nns3e58d26sFf62XB3lSqvXUTF9BBGrCf/je/tAKBi/P8HcmHgE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mF67xwAAANwAAAAPAAAAAAAA&#10;AAAAAAAAAKECAABkcnMvZG93bnJldi54bWxQSwUGAAAAAAQABAD5AAAAlQMAAAAA&#10;" strokecolor="#d4d4d4" strokeweight="0"/>
                <v:rect id="Rectangle 297" o:spid="_x0000_s1395" style="position:absolute;left:62503;top:29502;width:6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8OMQA&#10;AADcAAAADwAAAGRycy9kb3ducmV2LnhtbESPUWvCMBSF34X9h3AHvshMFS1b1ygyFLY3p/6AS3Pb&#10;VJubkmTa7dcvA2GPh3POdzjlerCduJIPrWMFs2kGgrhyuuVGwem4e3oGESKyxs4xKfimAOvVw6jE&#10;Qrsbf9L1EBuRIBwKVGBi7AspQ2XIYpi6njh5tfMWY5K+kdrjLcFtJ+dZlkuLLacFgz29Gaouhy+r&#10;QJ73upX9NvfnenLRL+ZjiT9LpcaPw+YVRKQh/ofv7XetIF8s4O9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cPDjEAAAA3AAAAA8AAAAAAAAAAAAAAAAAmAIAAGRycy9k&#10;b3ducmV2LnhtbFBLBQYAAAAABAAEAPUAAACJAwAAAAA=&#10;" fillcolor="#d4d4d4" stroked="f"/>
                <v:line id="Line 298" o:spid="_x0000_s1396" style="position:absolute;visibility:visible;mso-wrap-style:square" from="63,30791" to="62503,30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1jVMcAAADcAAAADwAAAGRycy9kb3ducmV2LnhtbESPW2sCMRSE3wv9D+EUfBHNKq3I1ije&#10;WloQxBu+nm6Ou4ubkyWJuu2vbwpCH4eZ+YYZTRpTiSs5X1pW0OsmIIgzq0vOFex3b50hCB+QNVaW&#10;ScE3eZiMHx9GmGp74w1dtyEXEcI+RQVFCHUqpc8KMui7tiaO3sk6gyFKl0vt8BbhppL9JBlIgyXH&#10;hQJrmheUnbcXo+DY+8x+Nns3e58d26sFf62XB3lSqvXUTF9BBGrCf/je/tAKBs8v8HcmHgE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PWNUxwAAANwAAAAPAAAAAAAA&#10;AAAAAAAAAKECAABkcnMvZG93bnJldi54bWxQSwUGAAAAAAQABAD5AAAAlQMAAAAA&#10;" strokecolor="#d4d4d4" strokeweight="0"/>
                <v:rect id="Rectangle 299" o:spid="_x0000_s1397" style="position:absolute;left:63;top:30791;width:6250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H1MQA&#10;AADcAAAADwAAAGRycy9kb3ducmV2LnhtbESPUWvCMBSF3wX/Q7jCXmSmjlm22igiDra3qfsBl+a2&#10;qTY3JYna7dcvg4GPh3POdzjlerCduJIPrWMF81kGgrhyuuVGwdfx7fEFRIjIGjvHpOCbAqxX41GJ&#10;hXY33tP1EBuRIBwKVGBi7AspQ2XIYpi5njh5tfMWY5K+kdrjLcFtJ5+yLJcWW04LBnvaGqrOh4tV&#10;IE+fupX9LvenenrWr+ZjgT8LpR4mw2YJItIQ7+H/9rtWkD/n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CB9TEAAAA3AAAAA8AAAAAAAAAAAAAAAAAmAIAAGRycy9k&#10;b3ducmV2LnhtbFBLBQYAAAAABAAEAPUAAACJAwAAAAA=&#10;" fillcolor="#d4d4d4" stroked="f"/>
                <v:line id="Line 300" o:spid="_x0000_s1398" style="position:absolute;visibility:visible;mso-wrap-style:square" from="63,32143" to="62503,32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NYuMcAAADcAAAADwAAAGRycy9kb3ducmV2LnhtbESPW2sCMRSE34X+h3AKvhTNKkVlaxRv&#10;LS0UxBu+nm6Ou4ubkyWJuu2vbwoFH4eZ+YYZTxtTiSs5X1pW0OsmIIgzq0vOFex3r50RCB+QNVaW&#10;ScE3eZhOHlpjTLW98Yau25CLCGGfooIihDqV0mcFGfRdWxNH72SdwRCly6V2eItwU8l+kgykwZLj&#10;QoE1LQrKztuLUXDsfWQ/m72bv82PT59L/lqvDvKkVPuxmb2ACNSEe/i//a4VDJ6H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o1i4xwAAANwAAAAPAAAAAAAA&#10;AAAAAAAAAKECAABkcnMvZG93bnJldi54bWxQSwUGAAAAAAQABAD5AAAAlQMAAAAA&#10;" strokecolor="#d4d4d4" strokeweight="0"/>
                <v:rect id="Rectangle 301" o:spid="_x0000_s1399" style="position:absolute;left:63;top:32143;width:62503;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2PcEA&#10;AADcAAAADwAAAGRycy9kb3ducmV2LnhtbERP3WrCMBS+F3yHcITdiKaOWbQ2ioiD7W5zPsChOTat&#10;zUlJonZ7+uVisMuP77/cDbYTd/KhcaxgMc9AEFdON1wrOH+9zlYgQkTW2DkmBd8UYLcdj0ostHvw&#10;J91PsRYphEOBCkyMfSFlqAxZDHPXEyfu4rzFmKCvpfb4SOG2k89ZlkuLDacGgz0dDFXX080qkO2H&#10;bmR/zH17mV712rwv8Wep1NNk2G9ARBriv/jP/aYV5C9pbTqTjo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RNj3BAAAA3AAAAA8AAAAAAAAAAAAAAAAAmAIAAGRycy9kb3du&#10;cmV2LnhtbFBLBQYAAAAABAAEAPUAAACGAwAAAAA=&#10;" fillcolor="#d4d4d4" stroked="f"/>
                <w10:anchorlock/>
              </v:group>
            </w:pict>
          </mc:Fallback>
        </mc:AlternateContent>
      </w:r>
    </w:p>
    <w:p w:rsidR="003964D3" w:rsidRDefault="003964D3" w:rsidP="00F54482">
      <w:pPr>
        <w:widowControl w:val="0"/>
        <w:ind w:firstLine="561"/>
        <w:jc w:val="both"/>
        <w:rPr>
          <w:rFonts w:ascii="Calibri" w:eastAsia="SimSun" w:hAnsi="Calibri" w:cs="Arial Narrow"/>
          <w:lang w:val="ro-RO" w:eastAsia="ro-RO"/>
        </w:rPr>
      </w:pPr>
    </w:p>
    <w:p w:rsidR="00F54482" w:rsidRPr="003964D3" w:rsidRDefault="00F54482" w:rsidP="00F54482">
      <w:pPr>
        <w:widowControl w:val="0"/>
        <w:ind w:firstLine="561"/>
        <w:jc w:val="both"/>
        <w:rPr>
          <w:rFonts w:ascii="Calibri" w:eastAsia="SimSun" w:hAnsi="Calibri"/>
          <w:sz w:val="28"/>
          <w:szCs w:val="28"/>
        </w:rPr>
      </w:pPr>
      <w:r>
        <w:rPr>
          <w:rFonts w:ascii="Calibri" w:hAnsi="Calibri"/>
        </w:rPr>
        <w:t>These amounts may suffer changes because, on the one hand, according to Community procedures, automatic technical adjustments will be made of the indicators established in the ACOR - Forecasts meeting, at the time of occurrence of the new macroeconomic indicators estimated by the European Commission, and, on the other hand, the level of the contribution of all Member States, therefore also Romania’s, shall be amended according to negotiations at Community level with regard to the total volume of the European Union’s budget.</w:t>
      </w:r>
    </w:p>
    <w:p w:rsidR="00F54482" w:rsidRPr="00260002" w:rsidRDefault="00F54482" w:rsidP="00F54482">
      <w:pPr>
        <w:widowControl w:val="0"/>
        <w:spacing w:before="60"/>
        <w:ind w:firstLine="561"/>
        <w:jc w:val="both"/>
        <w:rPr>
          <w:rFonts w:ascii="Calibri" w:eastAsia="SimSun" w:hAnsi="Calibri" w:cs="Arial Narrow"/>
        </w:rPr>
      </w:pPr>
      <w:r>
        <w:rPr>
          <w:rFonts w:ascii="Calibri" w:hAnsi="Calibri"/>
        </w:rPr>
        <w:t>We mention that for years 2021 and 2022 may arise substantial changes, among which the following can be foreseen at this point in time:</w:t>
      </w:r>
    </w:p>
    <w:p w:rsidR="00F54482" w:rsidRPr="00260002" w:rsidRDefault="00F54482" w:rsidP="00021698">
      <w:pPr>
        <w:widowControl w:val="0"/>
        <w:numPr>
          <w:ilvl w:val="0"/>
          <w:numId w:val="108"/>
        </w:numPr>
        <w:suppressAutoHyphens/>
        <w:ind w:left="708" w:hanging="147"/>
        <w:jc w:val="both"/>
        <w:rPr>
          <w:rFonts w:ascii="Calibri" w:eastAsia="SimSun" w:hAnsi="Calibri" w:cs="Arial Narrow"/>
        </w:rPr>
      </w:pPr>
      <w:r>
        <w:rPr>
          <w:rFonts w:ascii="Calibri" w:hAnsi="Calibri"/>
        </w:rPr>
        <w:t>BREXIT - covering the gap left after the UK withdraws from the EU (the equivalent of UK’s contribution to the EU budget or another amount, according to the result of the agreement from March 2019);</w:t>
      </w:r>
    </w:p>
    <w:p w:rsidR="00F54482" w:rsidRPr="00260002" w:rsidRDefault="00F54482" w:rsidP="00021698">
      <w:pPr>
        <w:widowControl w:val="0"/>
        <w:numPr>
          <w:ilvl w:val="0"/>
          <w:numId w:val="108"/>
        </w:numPr>
        <w:suppressAutoHyphens/>
        <w:ind w:left="709" w:hanging="148"/>
        <w:jc w:val="both"/>
        <w:rPr>
          <w:rFonts w:ascii="Calibri" w:eastAsia="SimSun" w:hAnsi="Calibri" w:cs="Arial Narrow"/>
        </w:rPr>
      </w:pPr>
      <w:r>
        <w:rPr>
          <w:rFonts w:ascii="Calibri" w:hAnsi="Calibri"/>
        </w:rPr>
        <w:t>The Multi-annual Financial Framework for 2021-2027 - for which negotiations have just started, and it is expected that it will be completed in 2019 or, in the worst case, in 2020. The factors which influence the amount of Romania’s contribution to the EU budget are:</w:t>
      </w:r>
    </w:p>
    <w:p w:rsidR="00F54482" w:rsidRPr="00260002" w:rsidRDefault="00F54482" w:rsidP="00021698">
      <w:pPr>
        <w:widowControl w:val="0"/>
        <w:numPr>
          <w:ilvl w:val="1"/>
          <w:numId w:val="108"/>
        </w:numPr>
        <w:suppressAutoHyphens/>
        <w:ind w:left="1418" w:hanging="284"/>
        <w:jc w:val="both"/>
        <w:rPr>
          <w:rFonts w:ascii="Calibri" w:eastAsia="SimSun" w:hAnsi="Calibri" w:cs="Arial Narrow"/>
        </w:rPr>
      </w:pPr>
      <w:r>
        <w:rPr>
          <w:rFonts w:ascii="Calibri" w:hAnsi="Calibri"/>
        </w:rPr>
        <w:t>New own resources - will generate amendments of the share of Romania’s contribution to the EU budget in the total Own resources;</w:t>
      </w:r>
    </w:p>
    <w:p w:rsidR="00F54482" w:rsidRPr="00260002" w:rsidRDefault="00F54482" w:rsidP="00021698">
      <w:pPr>
        <w:widowControl w:val="0"/>
        <w:numPr>
          <w:ilvl w:val="1"/>
          <w:numId w:val="108"/>
        </w:numPr>
        <w:suppressAutoHyphens/>
        <w:ind w:left="1418" w:hanging="284"/>
        <w:jc w:val="both"/>
        <w:rPr>
          <w:rFonts w:ascii="Calibri" w:eastAsia="SimSun" w:hAnsi="Calibri" w:cs="Arial Narrow"/>
        </w:rPr>
      </w:pPr>
      <w:r>
        <w:rPr>
          <w:rFonts w:ascii="Calibri" w:hAnsi="Calibri"/>
        </w:rPr>
        <w:t>The increase of the financing ceiling of the EU budget through the system of own resources;</w:t>
      </w:r>
    </w:p>
    <w:p w:rsidR="00F54482" w:rsidRPr="00260002" w:rsidRDefault="00F54482" w:rsidP="00021698">
      <w:pPr>
        <w:widowControl w:val="0"/>
        <w:numPr>
          <w:ilvl w:val="1"/>
          <w:numId w:val="108"/>
        </w:numPr>
        <w:suppressAutoHyphens/>
        <w:ind w:left="1418" w:hanging="284"/>
        <w:jc w:val="both"/>
        <w:rPr>
          <w:rFonts w:ascii="Calibri" w:eastAsia="SimSun" w:hAnsi="Calibri" w:cs="Arial Narrow"/>
        </w:rPr>
      </w:pPr>
      <w:r>
        <w:rPr>
          <w:rFonts w:ascii="Calibri" w:hAnsi="Calibri"/>
        </w:rPr>
        <w:t>Other influences on the Domestic and International Market.</w:t>
      </w:r>
    </w:p>
    <w:p w:rsidR="00F54482" w:rsidRPr="00260002" w:rsidRDefault="00F54482" w:rsidP="00F54482">
      <w:pPr>
        <w:widowControl w:val="0"/>
        <w:suppressAutoHyphens/>
        <w:ind w:left="1418"/>
        <w:jc w:val="both"/>
        <w:rPr>
          <w:rFonts w:ascii="Calibri" w:eastAsia="SimSun" w:hAnsi="Calibri" w:cs="Arial Narrow"/>
          <w:lang w:val="ro-RO" w:eastAsia="ro-RO"/>
        </w:rPr>
      </w:pPr>
    </w:p>
    <w:p w:rsidR="00F54482" w:rsidRPr="003964D3" w:rsidRDefault="00F54482" w:rsidP="00F54482">
      <w:pPr>
        <w:spacing w:before="120" w:after="120"/>
        <w:jc w:val="both"/>
        <w:rPr>
          <w:rFonts w:asciiTheme="minorHAnsi" w:hAnsiTheme="minorHAnsi"/>
        </w:rPr>
      </w:pPr>
      <w:r>
        <w:rPr>
          <w:rFonts w:asciiTheme="minorHAnsi" w:hAnsiTheme="minorHAnsi"/>
          <w:b/>
        </w:rPr>
        <w:t>Estimating Romania’s contribution to the European Development Fund for 2019-2022</w:t>
      </w:r>
    </w:p>
    <w:p w:rsidR="00F54482" w:rsidRPr="00260002" w:rsidRDefault="00F54482" w:rsidP="00F54482">
      <w:pPr>
        <w:widowControl w:val="0"/>
        <w:spacing w:before="120"/>
        <w:ind w:firstLine="561"/>
        <w:jc w:val="both"/>
        <w:rPr>
          <w:rFonts w:ascii="Calibri" w:eastAsia="SimSun" w:hAnsi="Calibri" w:cs="Arial Narrow"/>
        </w:rPr>
      </w:pPr>
      <w:r>
        <w:rPr>
          <w:rFonts w:ascii="Calibri" w:hAnsi="Calibri"/>
        </w:rPr>
        <w:t>Through Law no. 16/2008, Romania adhered to the Agreement signed in Luxembourg on June 25, 2005 and amending the Partnership Agreement between the members of the groups of countries from Africa, the Caribbean and the Pacific, on the one hand, and the European Community and the Member States, on the other hand, signed in Cotonou on June 23, 2000. In this framework, since 2011 Romania has been contributing to the 10th European Development Fund (EDF 10).</w:t>
      </w:r>
    </w:p>
    <w:p w:rsidR="00F54482" w:rsidRPr="00260002" w:rsidRDefault="00F54482" w:rsidP="00F54482">
      <w:pPr>
        <w:widowControl w:val="0"/>
        <w:spacing w:before="120"/>
        <w:ind w:firstLine="561"/>
        <w:jc w:val="both"/>
        <w:rPr>
          <w:rFonts w:ascii="Calibri" w:eastAsia="SimSun" w:hAnsi="Calibri" w:cs="Arial Narrow"/>
        </w:rPr>
      </w:pPr>
      <w:r>
        <w:rPr>
          <w:rFonts w:ascii="Calibri" w:hAnsi="Calibri"/>
        </w:rPr>
        <w:t>The table below presents the estimation of Romania’s contribution to the EDF for the period 2019-2022:</w:t>
      </w:r>
    </w:p>
    <w:p w:rsidR="00F54482" w:rsidRPr="00260002" w:rsidRDefault="00F54482" w:rsidP="00F54482">
      <w:pPr>
        <w:widowControl w:val="0"/>
        <w:spacing w:before="120"/>
        <w:ind w:firstLine="561"/>
        <w:jc w:val="both"/>
        <w:rPr>
          <w:rFonts w:ascii="Calibri" w:eastAsia="SimSun" w:hAnsi="Calibri" w:cs="Arial Narrow"/>
          <w:sz w:val="16"/>
          <w:szCs w:val="16"/>
          <w:lang w:val="ro-RO" w:eastAsia="ro-RO"/>
        </w:rPr>
      </w:pPr>
    </w:p>
    <w:p w:rsidR="00F54482" w:rsidRPr="00260002" w:rsidRDefault="00DF768F" w:rsidP="00F54482">
      <w:pPr>
        <w:widowControl w:val="0"/>
        <w:spacing w:before="120"/>
        <w:jc w:val="both"/>
        <w:rPr>
          <w:rFonts w:ascii="Arial Narrow" w:eastAsia="SimSun" w:hAnsi="Arial Narrow" w:cs="Arial Narrow"/>
        </w:rPr>
      </w:pPr>
      <w:r>
        <w:rPr>
          <w:noProof/>
          <w:lang w:val="ro-RO" w:eastAsia="ro-RO"/>
        </w:rPr>
        <mc:AlternateContent>
          <mc:Choice Requires="wps">
            <w:drawing>
              <wp:anchor distT="0" distB="0" distL="114300" distR="114300" simplePos="0" relativeHeight="251757056" behindDoc="0" locked="0" layoutInCell="1" allowOverlap="1">
                <wp:simplePos x="0" y="0"/>
                <wp:positionH relativeFrom="column">
                  <wp:posOffset>448945</wp:posOffset>
                </wp:positionH>
                <wp:positionV relativeFrom="paragraph">
                  <wp:posOffset>238125</wp:posOffset>
                </wp:positionV>
                <wp:extent cx="2677160" cy="601980"/>
                <wp:effectExtent l="10795" t="9525" r="7620" b="7620"/>
                <wp:wrapNone/>
                <wp:docPr id="352"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7160" cy="601980"/>
                        </a:xfrm>
                        <a:prstGeom prst="rect">
                          <a:avLst/>
                        </a:prstGeom>
                        <a:solidFill>
                          <a:srgbClr val="FFFFFF"/>
                        </a:solidFill>
                        <a:ln w="9525">
                          <a:solidFill>
                            <a:srgbClr val="000000"/>
                          </a:solidFill>
                          <a:miter lim="800000"/>
                          <a:headEnd/>
                          <a:tailEnd/>
                        </a:ln>
                      </wps:spPr>
                      <wps:txbx>
                        <w:txbxContent>
                          <w:p w:rsidR="005063CB" w:rsidRPr="005674E9" w:rsidRDefault="005063CB">
                            <w:pPr>
                              <w:rPr>
                                <w:b/>
                                <w:sz w:val="16"/>
                              </w:rPr>
                            </w:pPr>
                            <w:r w:rsidRPr="005674E9">
                              <w:rPr>
                                <w:b/>
                                <w:sz w:val="16"/>
                              </w:rPr>
                              <w:t>Name</w:t>
                            </w:r>
                          </w:p>
                          <w:p w:rsidR="005063CB" w:rsidRPr="005674E9" w:rsidRDefault="005063CB">
                            <w:pPr>
                              <w:rPr>
                                <w:sz w:val="16"/>
                              </w:rPr>
                            </w:pPr>
                            <w:r w:rsidRPr="005674E9">
                              <w:rPr>
                                <w:sz w:val="16"/>
                              </w:rPr>
                              <w:t>Romania’s contribution to the European Development Fund</w:t>
                            </w:r>
                          </w:p>
                          <w:p w:rsidR="005063CB" w:rsidRPr="005674E9" w:rsidRDefault="005063CB">
                            <w:pPr>
                              <w:rPr>
                                <w:b/>
                                <w:sz w:val="16"/>
                              </w:rPr>
                            </w:pPr>
                            <w:r w:rsidRPr="005674E9">
                              <w:rPr>
                                <w:b/>
                                <w:sz w:val="16"/>
                              </w:rPr>
                              <w:t>Current transfers abroad (to international organizations)</w:t>
                            </w:r>
                          </w:p>
                          <w:p w:rsidR="005063CB" w:rsidRPr="005674E9" w:rsidRDefault="005063CB">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8" o:spid="_x0000_s1400" style="position:absolute;left:0;text-align:left;margin-left:35.35pt;margin-top:18.75pt;width:210.8pt;height:47.4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">
                <v:textbox>
                  <w:txbxContent>
                    <w:p w:rsidR="005063CB" w:rsidRPr="005674E9" w:rsidRDefault="005063CB">
                      <w:pPr>
                        <w:rPr>
                          <w:b/>
                          <w:sz w:val="16"/>
                        </w:rPr>
                      </w:pPr>
                      <w:r w:rsidRPr="005674E9">
                        <w:rPr>
                          <w:b/>
                          <w:sz w:val="16"/>
                        </w:rPr>
                        <w:t>Name</w:t>
                      </w:r>
                    </w:p>
                    <w:p w:rsidR="005063CB" w:rsidRPr="005674E9" w:rsidRDefault="005063CB">
                      <w:pPr>
                        <w:rPr>
                          <w:sz w:val="16"/>
                        </w:rPr>
                      </w:pPr>
                      <w:r w:rsidRPr="005674E9">
                        <w:rPr>
                          <w:sz w:val="16"/>
                        </w:rPr>
                        <w:t>Romania’s contribution to the European Development Fund</w:t>
                      </w:r>
                    </w:p>
                    <w:p w:rsidR="005063CB" w:rsidRPr="005674E9" w:rsidRDefault="005063CB">
                      <w:pPr>
                        <w:rPr>
                          <w:b/>
                          <w:sz w:val="16"/>
                        </w:rPr>
                      </w:pPr>
                      <w:r w:rsidRPr="005674E9">
                        <w:rPr>
                          <w:b/>
                          <w:sz w:val="16"/>
                        </w:rPr>
                        <w:t>Current transfers abroad (to international organizations)</w:t>
                      </w:r>
                    </w:p>
                    <w:p w:rsidR="005063CB" w:rsidRPr="005674E9" w:rsidRDefault="005063CB">
                      <w:pPr>
                        <w:rPr>
                          <w:sz w:val="16"/>
                        </w:rPr>
                      </w:pPr>
                    </w:p>
                  </w:txbxContent>
                </v:textbox>
              </v:rect>
            </w:pict>
          </mc:Fallback>
        </mc:AlternateContent>
      </w:r>
      <w:r>
        <w:rPr>
          <w:noProof/>
          <w:lang w:val="ro-RO" w:eastAsia="ro-RO"/>
        </w:rPr>
        <mc:AlternateContent>
          <mc:Choice Requires="wps">
            <w:drawing>
              <wp:anchor distT="0" distB="0" distL="114300" distR="114300" simplePos="0" relativeHeight="251756032" behindDoc="0" locked="0" layoutInCell="1" allowOverlap="1">
                <wp:simplePos x="0" y="0"/>
                <wp:positionH relativeFrom="column">
                  <wp:posOffset>498475</wp:posOffset>
                </wp:positionH>
                <wp:positionV relativeFrom="paragraph">
                  <wp:posOffset>-123825</wp:posOffset>
                </wp:positionV>
                <wp:extent cx="5288280" cy="272415"/>
                <wp:effectExtent l="12700" t="9525" r="13970" b="13335"/>
                <wp:wrapNone/>
                <wp:docPr id="351"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8280" cy="272415"/>
                        </a:xfrm>
                        <a:prstGeom prst="rect">
                          <a:avLst/>
                        </a:prstGeom>
                        <a:solidFill>
                          <a:srgbClr val="FFFFFF"/>
                        </a:solidFill>
                        <a:ln w="9525">
                          <a:solidFill>
                            <a:srgbClr val="000000"/>
                          </a:solidFill>
                          <a:miter lim="800000"/>
                          <a:headEnd/>
                          <a:tailEnd/>
                        </a:ln>
                      </wps:spPr>
                      <wps:txbx>
                        <w:txbxContent>
                          <w:p w:rsidR="005063CB" w:rsidRPr="005674E9" w:rsidRDefault="005063CB">
                            <w:pPr>
                              <w:rPr>
                                <w:sz w:val="20"/>
                              </w:rPr>
                            </w:pPr>
                            <w:r w:rsidRPr="005674E9">
                              <w:rPr>
                                <w:sz w:val="20"/>
                              </w:rPr>
                              <w:t xml:space="preserve">Romania’s contribution to the European Development Fund </w:t>
                            </w:r>
                            <w:r>
                              <w:rPr>
                                <w:sz w:val="20"/>
                              </w:rPr>
                              <w:t>for 2019 and estimate for 2020-2022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7" o:spid="_x0000_s1401" style="position:absolute;left:0;text-align:left;margin-left:39.25pt;margin-top:-9.75pt;width:416.4pt;height:21.4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">
                <v:textbox>
                  <w:txbxContent>
                    <w:p w:rsidR="005063CB" w:rsidRPr="005674E9" w:rsidRDefault="005063CB">
                      <w:pPr>
                        <w:rPr>
                          <w:sz w:val="20"/>
                        </w:rPr>
                      </w:pPr>
                      <w:r w:rsidRPr="005674E9">
                        <w:rPr>
                          <w:sz w:val="20"/>
                        </w:rPr>
                        <w:t xml:space="preserve">Romania’s contribution to the European Development Fund </w:t>
                      </w:r>
                      <w:r>
                        <w:rPr>
                          <w:sz w:val="20"/>
                        </w:rPr>
                        <w:t>for 2019 and estimate for 2020-2022</w:t>
                      </w:r>
                    </w:p>
                  </w:txbxContent>
                </v:textbox>
              </v:rect>
            </w:pict>
          </mc:Fallback>
        </mc:AlternateContent>
      </w:r>
      <w:r w:rsidR="00F54482">
        <w:rPr>
          <w:noProof/>
          <w:lang w:val="ro-RO" w:eastAsia="ro-RO"/>
        </w:rPr>
        <w:drawing>
          <wp:inline distT="0" distB="0" distL="0" distR="0">
            <wp:extent cx="6299835" cy="857905"/>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99835" cy="857905"/>
                    </a:xfrm>
                    <a:prstGeom prst="rect">
                      <a:avLst/>
                    </a:prstGeom>
                    <a:noFill/>
                    <a:ln>
                      <a:noFill/>
                    </a:ln>
                  </pic:spPr>
                </pic:pic>
              </a:graphicData>
            </a:graphic>
          </wp:inline>
        </w:drawing>
      </w:r>
    </w:p>
    <w:p w:rsidR="00F54482" w:rsidRPr="00260002" w:rsidRDefault="00F54482" w:rsidP="00F54482">
      <w:pPr>
        <w:spacing w:after="120"/>
        <w:ind w:right="6"/>
        <w:jc w:val="both"/>
        <w:rPr>
          <w:rFonts w:ascii="Arial Narrow" w:hAnsi="Arial Narrow" w:cs="Arial Narrow"/>
          <w:lang w:val="fr-FR"/>
        </w:rPr>
      </w:pPr>
    </w:p>
    <w:p w:rsidR="00F54482" w:rsidRPr="00260002" w:rsidRDefault="00F54482" w:rsidP="00F54482">
      <w:pPr>
        <w:spacing w:before="120" w:after="120"/>
        <w:ind w:right="6"/>
        <w:jc w:val="both"/>
        <w:rPr>
          <w:rFonts w:asciiTheme="minorHAnsi" w:hAnsiTheme="minorHAnsi" w:cs="Arial Narrow"/>
        </w:rPr>
      </w:pPr>
      <w:r>
        <w:rPr>
          <w:rFonts w:ascii="Calibri" w:hAnsi="Calibri"/>
        </w:rPr>
        <w:t>These amounts can be amended according to the decisions taken at Community level with regard to the necessary funds for the payments to the CPA countries.</w:t>
      </w:r>
    </w:p>
    <w:p w:rsidR="00DC78F8" w:rsidRPr="00410235" w:rsidRDefault="00DC78F8" w:rsidP="00DC78F8">
      <w:pPr>
        <w:pStyle w:val="BodyTextIndent2"/>
        <w:spacing w:after="0"/>
        <w:ind w:firstLine="561"/>
        <w:rPr>
          <w:rFonts w:asciiTheme="minorHAnsi" w:hAnsiTheme="minorHAnsi"/>
        </w:rPr>
      </w:pPr>
    </w:p>
    <w:p w:rsidR="00352B52" w:rsidRPr="00C86702" w:rsidRDefault="00352B52" w:rsidP="00DC78F8">
      <w:pPr>
        <w:keepNext/>
        <w:suppressAutoHyphens/>
        <w:spacing w:before="240" w:after="120"/>
        <w:jc w:val="both"/>
        <w:outlineLvl w:val="1"/>
        <w:rPr>
          <w:rFonts w:ascii="Calibri" w:hAnsi="Calibri" w:cs="Arial"/>
          <w:b/>
          <w:bCs/>
          <w:iCs/>
          <w:color w:val="000066"/>
        </w:rPr>
      </w:pPr>
      <w:r>
        <w:rPr>
          <w:rFonts w:ascii="Calibri" w:hAnsi="Calibri"/>
          <w:b/>
          <w:bCs/>
          <w:iCs/>
          <w:color w:val="000066"/>
        </w:rPr>
        <w:t xml:space="preserve">Romania’s net financial position in relation to the EU budget </w:t>
      </w:r>
    </w:p>
    <w:tbl>
      <w:tblPr>
        <w:tblW w:w="15490" w:type="dxa"/>
        <w:tblInd w:w="108" w:type="dxa"/>
        <w:tblLook w:val="04A0" w:firstRow="1" w:lastRow="0" w:firstColumn="1" w:lastColumn="0" w:noHBand="0" w:noVBand="1"/>
      </w:tblPr>
      <w:tblGrid>
        <w:gridCol w:w="15490"/>
      </w:tblGrid>
      <w:tr w:rsidR="00DC78F8" w:rsidRPr="0012479C" w:rsidTr="0028639D">
        <w:trPr>
          <w:trHeight w:val="996"/>
        </w:trPr>
        <w:tc>
          <w:tcPr>
            <w:tcW w:w="15490" w:type="dxa"/>
            <w:tcBorders>
              <w:top w:val="nil"/>
              <w:left w:val="nil"/>
              <w:bottom w:val="nil"/>
              <w:right w:val="nil"/>
            </w:tcBorders>
            <w:shd w:val="clear" w:color="auto" w:fill="auto"/>
          </w:tcPr>
          <w:tbl>
            <w:tblPr>
              <w:tblW w:w="9829" w:type="dxa"/>
              <w:tblLook w:val="04A0" w:firstRow="1" w:lastRow="0" w:firstColumn="1" w:lastColumn="0" w:noHBand="0" w:noVBand="1"/>
            </w:tblPr>
            <w:tblGrid>
              <w:gridCol w:w="5728"/>
              <w:gridCol w:w="1311"/>
              <w:gridCol w:w="1394"/>
              <w:gridCol w:w="1396"/>
            </w:tblGrid>
            <w:tr w:rsidR="0056747E" w:rsidRPr="001549B5" w:rsidTr="001E0D47">
              <w:trPr>
                <w:trHeight w:val="603"/>
              </w:trPr>
              <w:tc>
                <w:tcPr>
                  <w:tcW w:w="9829" w:type="dxa"/>
                  <w:gridSpan w:val="4"/>
                  <w:tcBorders>
                    <w:top w:val="nil"/>
                    <w:left w:val="nil"/>
                    <w:bottom w:val="nil"/>
                    <w:right w:val="nil"/>
                  </w:tcBorders>
                  <w:shd w:val="clear" w:color="auto" w:fill="auto"/>
                  <w:vAlign w:val="bottom"/>
                  <w:hideMark/>
                </w:tcPr>
                <w:p w:rsidR="0056747E" w:rsidRPr="001549B5" w:rsidRDefault="0056747E" w:rsidP="0056747E">
                  <w:pPr>
                    <w:widowControl w:val="0"/>
                    <w:tabs>
                      <w:tab w:val="num" w:pos="709"/>
                    </w:tabs>
                    <w:suppressAutoHyphens/>
                    <w:jc w:val="center"/>
                    <w:rPr>
                      <w:rFonts w:ascii="Calibri" w:hAnsi="Calibri" w:cs="Arial"/>
                      <w:b/>
                      <w:bCs/>
                    </w:rPr>
                  </w:pPr>
                  <w:r>
                    <w:rPr>
                      <w:rFonts w:ascii="Calibri" w:hAnsi="Calibri"/>
                      <w:b/>
                      <w:bCs/>
                    </w:rPr>
                    <w:t>Evolution of the financial flows between Romania and the European Union (NET FINANCIAL BALANCE)</w:t>
                  </w:r>
                </w:p>
              </w:tc>
            </w:tr>
            <w:tr w:rsidR="0056747E" w:rsidRPr="001549B5" w:rsidTr="001E0D47">
              <w:trPr>
                <w:trHeight w:val="285"/>
              </w:trPr>
              <w:tc>
                <w:tcPr>
                  <w:tcW w:w="9829" w:type="dxa"/>
                  <w:gridSpan w:val="4"/>
                  <w:tcBorders>
                    <w:top w:val="nil"/>
                    <w:left w:val="nil"/>
                    <w:bottom w:val="nil"/>
                    <w:right w:val="nil"/>
                  </w:tcBorders>
                  <w:shd w:val="clear" w:color="auto" w:fill="auto"/>
                  <w:vAlign w:val="bottom"/>
                  <w:hideMark/>
                </w:tcPr>
                <w:p w:rsidR="0056747E" w:rsidRPr="001549B5" w:rsidRDefault="0056747E" w:rsidP="0056747E">
                  <w:pPr>
                    <w:widowControl w:val="0"/>
                    <w:tabs>
                      <w:tab w:val="num" w:pos="709"/>
                    </w:tabs>
                    <w:suppressAutoHyphens/>
                    <w:jc w:val="center"/>
                    <w:rPr>
                      <w:rFonts w:ascii="Calibri" w:hAnsi="Calibri" w:cs="Arial"/>
                      <w:b/>
                      <w:bCs/>
                    </w:rPr>
                  </w:pPr>
                  <w:r>
                    <w:rPr>
                      <w:rFonts w:ascii="Calibri" w:hAnsi="Calibri"/>
                      <w:b/>
                      <w:bCs/>
                    </w:rPr>
                    <w:t>at December 31, 2018</w:t>
                  </w:r>
                </w:p>
              </w:tc>
            </w:tr>
            <w:tr w:rsidR="0056747E" w:rsidRPr="001549B5" w:rsidTr="001E0D47">
              <w:trPr>
                <w:trHeight w:val="276"/>
              </w:trPr>
              <w:tc>
                <w:tcPr>
                  <w:tcW w:w="5728" w:type="dxa"/>
                  <w:tcBorders>
                    <w:top w:val="nil"/>
                    <w:left w:val="nil"/>
                    <w:bottom w:val="nil"/>
                    <w:right w:val="nil"/>
                  </w:tcBorders>
                  <w:shd w:val="clear" w:color="auto" w:fill="auto"/>
                  <w:vAlign w:val="bottom"/>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Amounts received in the MFF</w:t>
                  </w:r>
                  <w:r>
                    <w:rPr>
                      <w:rFonts w:ascii="Calibri" w:hAnsi="Calibri"/>
                      <w:b/>
                      <w:bCs/>
                      <w:vertAlign w:val="superscript"/>
                    </w:rPr>
                    <w:t>*)</w:t>
                  </w:r>
                  <w:r>
                    <w:rPr>
                      <w:rFonts w:ascii="Calibri" w:hAnsi="Calibri"/>
                      <w:b/>
                      <w:bCs/>
                    </w:rPr>
                    <w:t xml:space="preserve"> for 2007-2013</w:t>
                  </w:r>
                </w:p>
              </w:tc>
              <w:tc>
                <w:tcPr>
                  <w:tcW w:w="1311" w:type="dxa"/>
                  <w:tcBorders>
                    <w:top w:val="nil"/>
                    <w:left w:val="nil"/>
                    <w:bottom w:val="nil"/>
                    <w:right w:val="nil"/>
                  </w:tcBorders>
                  <w:shd w:val="clear" w:color="auto" w:fill="auto"/>
                  <w:noWrap/>
                  <w:vAlign w:val="bottom"/>
                  <w:hideMark/>
                </w:tcPr>
                <w:p w:rsidR="0056747E" w:rsidRPr="001549B5" w:rsidRDefault="0056747E" w:rsidP="0056747E">
                  <w:pPr>
                    <w:widowControl w:val="0"/>
                    <w:tabs>
                      <w:tab w:val="num" w:pos="709"/>
                    </w:tabs>
                    <w:suppressAutoHyphens/>
                    <w:jc w:val="both"/>
                    <w:rPr>
                      <w:rFonts w:ascii="Calibri" w:hAnsi="Calibri" w:cs="Arial"/>
                      <w:b/>
                      <w:bCs/>
                      <w:lang w:val="ro-RO" w:eastAsia="zh-CN"/>
                    </w:rPr>
                  </w:pPr>
                </w:p>
              </w:tc>
              <w:tc>
                <w:tcPr>
                  <w:tcW w:w="1394" w:type="dxa"/>
                  <w:tcBorders>
                    <w:top w:val="nil"/>
                    <w:left w:val="nil"/>
                    <w:bottom w:val="nil"/>
                    <w:right w:val="nil"/>
                  </w:tcBorders>
                  <w:shd w:val="clear" w:color="auto" w:fill="auto"/>
                  <w:noWrap/>
                  <w:vAlign w:val="bottom"/>
                  <w:hideMark/>
                </w:tcPr>
                <w:p w:rsidR="0056747E" w:rsidRPr="001549B5" w:rsidRDefault="0056747E" w:rsidP="0056747E">
                  <w:pPr>
                    <w:widowControl w:val="0"/>
                    <w:tabs>
                      <w:tab w:val="num" w:pos="709"/>
                    </w:tabs>
                    <w:suppressAutoHyphens/>
                    <w:jc w:val="both"/>
                    <w:rPr>
                      <w:rFonts w:ascii="Calibri" w:hAnsi="Calibri" w:cs="Arial"/>
                      <w:lang w:val="ro-RO" w:eastAsia="zh-CN"/>
                    </w:rPr>
                  </w:pPr>
                </w:p>
              </w:tc>
              <w:tc>
                <w:tcPr>
                  <w:tcW w:w="1396" w:type="dxa"/>
                  <w:tcBorders>
                    <w:top w:val="nil"/>
                    <w:left w:val="nil"/>
                    <w:bottom w:val="nil"/>
                    <w:right w:val="nil"/>
                  </w:tcBorders>
                  <w:shd w:val="clear" w:color="auto" w:fill="auto"/>
                  <w:noWrap/>
                  <w:vAlign w:val="bottom"/>
                  <w:hideMark/>
                </w:tcPr>
                <w:p w:rsidR="0056747E" w:rsidRPr="002E0E4B" w:rsidRDefault="0056747E" w:rsidP="0056747E">
                  <w:pPr>
                    <w:widowControl w:val="0"/>
                    <w:tabs>
                      <w:tab w:val="num" w:pos="709"/>
                    </w:tabs>
                    <w:suppressAutoHyphens/>
                    <w:jc w:val="both"/>
                    <w:rPr>
                      <w:rFonts w:ascii="Calibri" w:hAnsi="Calibri" w:cs="Arial"/>
                      <w:b/>
                      <w:bCs/>
                      <w:sz w:val="20"/>
                      <w:szCs w:val="20"/>
                    </w:rPr>
                  </w:pPr>
                  <w:r>
                    <w:rPr>
                      <w:rFonts w:ascii="Calibri" w:hAnsi="Calibri"/>
                      <w:b/>
                      <w:bCs/>
                      <w:sz w:val="20"/>
                      <w:szCs w:val="20"/>
                    </w:rPr>
                    <w:t>Million EUR</w:t>
                  </w:r>
                </w:p>
              </w:tc>
            </w:tr>
            <w:tr w:rsidR="0056747E" w:rsidRPr="001549B5" w:rsidTr="001E0D47">
              <w:trPr>
                <w:trHeight w:val="1176"/>
              </w:trPr>
              <w:tc>
                <w:tcPr>
                  <w:tcW w:w="5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Name</w:t>
                  </w:r>
                </w:p>
              </w:tc>
              <w:tc>
                <w:tcPr>
                  <w:tcW w:w="1311" w:type="dxa"/>
                  <w:tcBorders>
                    <w:top w:val="single" w:sz="4" w:space="0" w:color="auto"/>
                    <w:left w:val="nil"/>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Achieved</w:t>
                  </w:r>
                  <w:r>
                    <w:rPr>
                      <w:rFonts w:ascii="Calibri" w:hAnsi="Calibri"/>
                    </w:rPr>
                    <w:br/>
                    <w:t>2007- 2017</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 xml:space="preserve">Achieved in 2018 </w:t>
                  </w:r>
                  <w:r>
                    <w:rPr>
                      <w:rFonts w:ascii="Calibri" w:hAnsi="Calibri"/>
                    </w:rPr>
                    <w:br/>
                    <w:t xml:space="preserve">(execution at </w:t>
                  </w:r>
                  <w:r>
                    <w:rPr>
                      <w:rFonts w:ascii="Calibri" w:hAnsi="Calibri"/>
                    </w:rPr>
                    <w:br/>
                    <w:t>December 31, 2018)</w:t>
                  </w:r>
                </w:p>
              </w:tc>
              <w:tc>
                <w:tcPr>
                  <w:tcW w:w="1396" w:type="dxa"/>
                  <w:tcBorders>
                    <w:top w:val="single" w:sz="4" w:space="0" w:color="auto"/>
                    <w:left w:val="nil"/>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Achieved</w:t>
                  </w:r>
                  <w:r>
                    <w:rPr>
                      <w:rFonts w:ascii="Calibri" w:hAnsi="Calibri"/>
                    </w:rPr>
                    <w:br/>
                    <w:t xml:space="preserve"> 2007-2018</w:t>
                  </w:r>
                  <w:r>
                    <w:rPr>
                      <w:rFonts w:ascii="Calibri" w:hAnsi="Calibri"/>
                    </w:rPr>
                    <w:br/>
                    <w:t xml:space="preserve">(execution at </w:t>
                  </w:r>
                  <w:r>
                    <w:rPr>
                      <w:rFonts w:ascii="Calibri" w:hAnsi="Calibri"/>
                    </w:rPr>
                    <w:br/>
                    <w:t>December 31, 2018)</w:t>
                  </w:r>
                </w:p>
              </w:tc>
            </w:tr>
            <w:tr w:rsidR="0056747E" w:rsidRPr="001549B5" w:rsidTr="001E0D47">
              <w:trPr>
                <w:trHeight w:val="439"/>
              </w:trPr>
              <w:tc>
                <w:tcPr>
                  <w:tcW w:w="5728" w:type="dxa"/>
                  <w:tcBorders>
                    <w:top w:val="nil"/>
                    <w:left w:val="single" w:sz="4" w:space="0" w:color="auto"/>
                    <w:bottom w:val="single" w:sz="4" w:space="0" w:color="auto"/>
                    <w:right w:val="single" w:sz="4" w:space="0" w:color="auto"/>
                  </w:tcBorders>
                  <w:shd w:val="clear" w:color="CCCCFF" w:fill="C0C0C0"/>
                  <w:vAlign w:val="center"/>
                  <w:hideMark/>
                </w:tcPr>
                <w:p w:rsidR="0056747E" w:rsidRPr="003964D3" w:rsidRDefault="0056747E" w:rsidP="0056747E">
                  <w:pPr>
                    <w:widowControl w:val="0"/>
                    <w:tabs>
                      <w:tab w:val="num" w:pos="709"/>
                    </w:tabs>
                    <w:suppressAutoHyphens/>
                    <w:jc w:val="both"/>
                    <w:rPr>
                      <w:rFonts w:ascii="Calibri" w:hAnsi="Calibri" w:cs="Arial"/>
                      <w:b/>
                      <w:bCs/>
                    </w:rPr>
                  </w:pPr>
                  <w:r>
                    <w:rPr>
                      <w:rFonts w:ascii="Calibri" w:hAnsi="Calibri"/>
                      <w:b/>
                    </w:rPr>
                    <w:t>I. AMOUNTS RECEIVED FROM THE EU BUDGET</w:t>
                  </w:r>
                  <w:r>
                    <w:rPr>
                      <w:rFonts w:ascii="Calibri" w:hAnsi="Calibri"/>
                    </w:rPr>
                    <w:t xml:space="preserve"> (A+B)</w:t>
                  </w:r>
                </w:p>
              </w:tc>
              <w:tc>
                <w:tcPr>
                  <w:tcW w:w="1311" w:type="dxa"/>
                  <w:tcBorders>
                    <w:top w:val="nil"/>
                    <w:left w:val="nil"/>
                    <w:bottom w:val="single" w:sz="4" w:space="0" w:color="auto"/>
                    <w:right w:val="single" w:sz="4" w:space="0" w:color="auto"/>
                  </w:tcBorders>
                  <w:shd w:val="clear" w:color="CCCCFF" w:fill="C0C0C0"/>
                  <w:noWrap/>
                  <w:vAlign w:val="center"/>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37,066.11</w:t>
                  </w:r>
                </w:p>
              </w:tc>
              <w:tc>
                <w:tcPr>
                  <w:tcW w:w="1394" w:type="dxa"/>
                  <w:tcBorders>
                    <w:top w:val="nil"/>
                    <w:left w:val="nil"/>
                    <w:bottom w:val="single" w:sz="4" w:space="0" w:color="auto"/>
                    <w:right w:val="single" w:sz="4" w:space="0" w:color="auto"/>
                  </w:tcBorders>
                  <w:shd w:val="clear" w:color="CCCCFF" w:fill="C0C0C0"/>
                  <w:noWrap/>
                  <w:vAlign w:val="center"/>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6.55</w:t>
                  </w:r>
                </w:p>
              </w:tc>
              <w:tc>
                <w:tcPr>
                  <w:tcW w:w="1396" w:type="dxa"/>
                  <w:tcBorders>
                    <w:top w:val="nil"/>
                    <w:left w:val="nil"/>
                    <w:bottom w:val="single" w:sz="4" w:space="0" w:color="auto"/>
                    <w:right w:val="single" w:sz="4" w:space="0" w:color="auto"/>
                  </w:tcBorders>
                  <w:shd w:val="clear" w:color="CCCCFF" w:fill="C0C0C0"/>
                  <w:noWrap/>
                  <w:vAlign w:val="center"/>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37,072.66</w:t>
                  </w:r>
                </w:p>
              </w:tc>
            </w:tr>
            <w:tr w:rsidR="0056747E" w:rsidRPr="001549B5" w:rsidTr="001E0D47">
              <w:trPr>
                <w:trHeight w:val="339"/>
              </w:trPr>
              <w:tc>
                <w:tcPr>
                  <w:tcW w:w="5728" w:type="dxa"/>
                  <w:tcBorders>
                    <w:top w:val="nil"/>
                    <w:left w:val="single" w:sz="4" w:space="0" w:color="auto"/>
                    <w:bottom w:val="single" w:sz="4" w:space="0" w:color="auto"/>
                    <w:right w:val="single" w:sz="4" w:space="0" w:color="auto"/>
                  </w:tcBorders>
                  <w:shd w:val="clear" w:color="auto" w:fill="auto"/>
                  <w:vAlign w:val="center"/>
                  <w:hideMark/>
                </w:tcPr>
                <w:p w:rsidR="0056747E" w:rsidRPr="003964D3" w:rsidRDefault="0056747E" w:rsidP="0056747E">
                  <w:pPr>
                    <w:widowControl w:val="0"/>
                    <w:tabs>
                      <w:tab w:val="num" w:pos="709"/>
                    </w:tabs>
                    <w:suppressAutoHyphens/>
                    <w:jc w:val="both"/>
                    <w:rPr>
                      <w:rFonts w:ascii="Calibri" w:hAnsi="Calibri" w:cs="Arial"/>
                      <w:b/>
                      <w:bCs/>
                      <w:i/>
                      <w:iCs/>
                    </w:rPr>
                  </w:pPr>
                  <w:r>
                    <w:rPr>
                      <w:rFonts w:ascii="Calibri" w:hAnsi="Calibri"/>
                      <w:b/>
                      <w:bCs/>
                      <w:i/>
                      <w:iCs/>
                    </w:rPr>
                    <w:t>A. Pre-accession funds</w:t>
                  </w:r>
                </w:p>
              </w:tc>
              <w:tc>
                <w:tcPr>
                  <w:tcW w:w="1311"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2,711.65</w:t>
                  </w:r>
                </w:p>
              </w:tc>
              <w:tc>
                <w:tcPr>
                  <w:tcW w:w="1394"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6.54</w:t>
                  </w:r>
                </w:p>
              </w:tc>
              <w:tc>
                <w:tcPr>
                  <w:tcW w:w="1396"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2,718.20</w:t>
                  </w:r>
                </w:p>
              </w:tc>
            </w:tr>
            <w:tr w:rsidR="0056747E" w:rsidRPr="001549B5" w:rsidTr="001E0D47">
              <w:trPr>
                <w:trHeight w:val="294"/>
              </w:trPr>
              <w:tc>
                <w:tcPr>
                  <w:tcW w:w="5728" w:type="dxa"/>
                  <w:tcBorders>
                    <w:top w:val="nil"/>
                    <w:left w:val="single" w:sz="4" w:space="0" w:color="auto"/>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b/>
                      <w:bCs/>
                      <w:i/>
                      <w:iCs/>
                    </w:rPr>
                  </w:pPr>
                  <w:r>
                    <w:rPr>
                      <w:rFonts w:ascii="Calibri" w:hAnsi="Calibri"/>
                      <w:b/>
                      <w:i/>
                      <w:iCs/>
                    </w:rPr>
                    <w:t>B. Post-accession funds,</w:t>
                  </w:r>
                  <w:r>
                    <w:rPr>
                      <w:rFonts w:ascii="Calibri" w:hAnsi="Calibri"/>
                      <w:i/>
                      <w:iCs/>
                    </w:rPr>
                    <w:t xml:space="preserve"> of which: </w:t>
                  </w:r>
                </w:p>
              </w:tc>
              <w:tc>
                <w:tcPr>
                  <w:tcW w:w="1311"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34,354.46</w:t>
                  </w:r>
                </w:p>
              </w:tc>
              <w:tc>
                <w:tcPr>
                  <w:tcW w:w="1394"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0.01</w:t>
                  </w:r>
                </w:p>
              </w:tc>
              <w:tc>
                <w:tcPr>
                  <w:tcW w:w="1396"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34,354.46</w:t>
                  </w:r>
                </w:p>
              </w:tc>
            </w:tr>
            <w:tr w:rsidR="0056747E" w:rsidRPr="001549B5" w:rsidTr="001E0D47">
              <w:trPr>
                <w:trHeight w:val="339"/>
              </w:trPr>
              <w:tc>
                <w:tcPr>
                  <w:tcW w:w="5728" w:type="dxa"/>
                  <w:tcBorders>
                    <w:top w:val="nil"/>
                    <w:left w:val="single" w:sz="4" w:space="0" w:color="auto"/>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b/>
                      <w:bCs/>
                      <w:i/>
                      <w:iCs/>
                    </w:rPr>
                  </w:pPr>
                  <w:r>
                    <w:rPr>
                      <w:rFonts w:ascii="Calibri" w:hAnsi="Calibri"/>
                      <w:b/>
                      <w:i/>
                    </w:rPr>
                    <w:t>i)</w:t>
                  </w:r>
                  <w:r>
                    <w:rPr>
                      <w:rFonts w:ascii="Calibri" w:hAnsi="Calibri"/>
                      <w:i/>
                    </w:rPr>
                    <w:t xml:space="preserve"> Advances</w:t>
                  </w:r>
                  <w:r>
                    <w:rPr>
                      <w:rFonts w:ascii="Calibri" w:hAnsi="Calibri"/>
                    </w:rPr>
                    <w:t xml:space="preserve"> </w:t>
                  </w:r>
                </w:p>
              </w:tc>
              <w:tc>
                <w:tcPr>
                  <w:tcW w:w="1311"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4,217.07</w:t>
                  </w:r>
                </w:p>
              </w:tc>
              <w:tc>
                <w:tcPr>
                  <w:tcW w:w="1394"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0.01</w:t>
                  </w:r>
                </w:p>
              </w:tc>
              <w:tc>
                <w:tcPr>
                  <w:tcW w:w="1396"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4,217.07</w:t>
                  </w:r>
                </w:p>
              </w:tc>
            </w:tr>
            <w:tr w:rsidR="0056747E" w:rsidRPr="001549B5" w:rsidTr="001E0D47">
              <w:trPr>
                <w:trHeight w:val="339"/>
              </w:trPr>
              <w:tc>
                <w:tcPr>
                  <w:tcW w:w="5728" w:type="dxa"/>
                  <w:tcBorders>
                    <w:top w:val="nil"/>
                    <w:left w:val="single" w:sz="4" w:space="0" w:color="auto"/>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b/>
                      <w:bCs/>
                      <w:i/>
                      <w:iCs/>
                    </w:rPr>
                  </w:pPr>
                  <w:r>
                    <w:rPr>
                      <w:rFonts w:ascii="Calibri" w:hAnsi="Calibri"/>
                      <w:b/>
                      <w:i/>
                    </w:rPr>
                    <w:t>ii)</w:t>
                  </w:r>
                  <w:r>
                    <w:rPr>
                      <w:rFonts w:ascii="Calibri" w:hAnsi="Calibri"/>
                    </w:rPr>
                    <w:t xml:space="preserve"> Reimbursements (including EAGF)</w:t>
                  </w:r>
                </w:p>
              </w:tc>
              <w:tc>
                <w:tcPr>
                  <w:tcW w:w="1311"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30,137.39</w:t>
                  </w:r>
                </w:p>
              </w:tc>
              <w:tc>
                <w:tcPr>
                  <w:tcW w:w="1394"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0.00</w:t>
                  </w:r>
                </w:p>
              </w:tc>
              <w:tc>
                <w:tcPr>
                  <w:tcW w:w="1396"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30,137.39</w:t>
                  </w:r>
                </w:p>
              </w:tc>
            </w:tr>
            <w:tr w:rsidR="0056747E" w:rsidRPr="001549B5" w:rsidTr="001E0D47">
              <w:trPr>
                <w:trHeight w:val="339"/>
              </w:trPr>
              <w:tc>
                <w:tcPr>
                  <w:tcW w:w="5728" w:type="dxa"/>
                  <w:tcBorders>
                    <w:top w:val="nil"/>
                    <w:left w:val="single" w:sz="4" w:space="0" w:color="auto"/>
                    <w:bottom w:val="single" w:sz="4" w:space="0" w:color="auto"/>
                    <w:right w:val="single" w:sz="4" w:space="0" w:color="auto"/>
                  </w:tcBorders>
                  <w:shd w:val="clear" w:color="auto" w:fill="auto"/>
                  <w:vAlign w:val="center"/>
                  <w:hideMark/>
                </w:tcPr>
                <w:p w:rsidR="0056747E" w:rsidRPr="003964D3" w:rsidRDefault="0056747E" w:rsidP="0056747E">
                  <w:pPr>
                    <w:widowControl w:val="0"/>
                    <w:tabs>
                      <w:tab w:val="num" w:pos="709"/>
                    </w:tabs>
                    <w:suppressAutoHyphens/>
                    <w:jc w:val="both"/>
                    <w:rPr>
                      <w:rFonts w:ascii="Calibri" w:hAnsi="Calibri" w:cs="Arial"/>
                      <w:b/>
                      <w:bCs/>
                    </w:rPr>
                  </w:pPr>
                  <w:r>
                    <w:rPr>
                      <w:rFonts w:ascii="Calibri" w:hAnsi="Calibri"/>
                      <w:b/>
                      <w:bCs/>
                    </w:rPr>
                    <w:t xml:space="preserve">B1. </w:t>
                  </w:r>
                  <w:r>
                    <w:rPr>
                      <w:rFonts w:ascii="Calibri" w:hAnsi="Calibri"/>
                      <w:b/>
                    </w:rPr>
                    <w:t>Structural and cohesion funds (SCG)</w:t>
                  </w:r>
                  <w:r>
                    <w:rPr>
                      <w:rFonts w:ascii="Calibri" w:hAnsi="Calibri"/>
                    </w:rPr>
                    <w:t>, of which:</w:t>
                  </w:r>
                </w:p>
              </w:tc>
              <w:tc>
                <w:tcPr>
                  <w:tcW w:w="1311"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17,254.26</w:t>
                  </w:r>
                </w:p>
              </w:tc>
              <w:tc>
                <w:tcPr>
                  <w:tcW w:w="1394"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0.00</w:t>
                  </w:r>
                </w:p>
              </w:tc>
              <w:tc>
                <w:tcPr>
                  <w:tcW w:w="1396"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17,254.26</w:t>
                  </w:r>
                </w:p>
              </w:tc>
            </w:tr>
            <w:tr w:rsidR="0056747E" w:rsidRPr="001549B5" w:rsidTr="001E0D47">
              <w:trPr>
                <w:trHeight w:val="339"/>
              </w:trPr>
              <w:tc>
                <w:tcPr>
                  <w:tcW w:w="5728" w:type="dxa"/>
                  <w:tcBorders>
                    <w:top w:val="nil"/>
                    <w:left w:val="single" w:sz="4" w:space="0" w:color="auto"/>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rPr>
                    <w:t>a)</w:t>
                  </w:r>
                  <w:r>
                    <w:rPr>
                      <w:rFonts w:ascii="Calibri" w:hAnsi="Calibri"/>
                    </w:rPr>
                    <w:t xml:space="preserve"> Advances from SCF</w:t>
                  </w:r>
                </w:p>
              </w:tc>
              <w:tc>
                <w:tcPr>
                  <w:tcW w:w="1311"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2,125.81</w:t>
                  </w:r>
                </w:p>
              </w:tc>
              <w:tc>
                <w:tcPr>
                  <w:tcW w:w="1394"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0.00</w:t>
                  </w:r>
                </w:p>
              </w:tc>
              <w:tc>
                <w:tcPr>
                  <w:tcW w:w="1396"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2,125.81</w:t>
                  </w:r>
                </w:p>
              </w:tc>
            </w:tr>
            <w:tr w:rsidR="0056747E" w:rsidRPr="001549B5" w:rsidTr="001E0D47">
              <w:trPr>
                <w:trHeight w:val="339"/>
              </w:trPr>
              <w:tc>
                <w:tcPr>
                  <w:tcW w:w="5728" w:type="dxa"/>
                  <w:tcBorders>
                    <w:top w:val="nil"/>
                    <w:left w:val="single" w:sz="4" w:space="0" w:color="auto"/>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rPr>
                    <w:t>b)</w:t>
                  </w:r>
                  <w:r>
                    <w:rPr>
                      <w:rFonts w:ascii="Calibri" w:hAnsi="Calibri"/>
                    </w:rPr>
                    <w:t xml:space="preserve"> Reimbursements from SCF</w:t>
                  </w:r>
                </w:p>
              </w:tc>
              <w:tc>
                <w:tcPr>
                  <w:tcW w:w="1311"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15,128.45</w:t>
                  </w:r>
                </w:p>
              </w:tc>
              <w:tc>
                <w:tcPr>
                  <w:tcW w:w="1394"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0.00</w:t>
                  </w:r>
                </w:p>
              </w:tc>
              <w:tc>
                <w:tcPr>
                  <w:tcW w:w="1396"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15,128.45</w:t>
                  </w:r>
                </w:p>
              </w:tc>
            </w:tr>
            <w:tr w:rsidR="0056747E" w:rsidRPr="001549B5" w:rsidTr="001E0D47">
              <w:trPr>
                <w:trHeight w:val="678"/>
              </w:trPr>
              <w:tc>
                <w:tcPr>
                  <w:tcW w:w="5728" w:type="dxa"/>
                  <w:tcBorders>
                    <w:top w:val="nil"/>
                    <w:left w:val="single" w:sz="4" w:space="0" w:color="auto"/>
                    <w:bottom w:val="single" w:sz="4" w:space="0" w:color="auto"/>
                    <w:right w:val="single" w:sz="4" w:space="0" w:color="auto"/>
                  </w:tcBorders>
                  <w:shd w:val="clear" w:color="auto" w:fill="auto"/>
                  <w:vAlign w:val="center"/>
                  <w:hideMark/>
                </w:tcPr>
                <w:p w:rsidR="0056747E" w:rsidRPr="003964D3" w:rsidRDefault="0056747E" w:rsidP="0056747E">
                  <w:pPr>
                    <w:widowControl w:val="0"/>
                    <w:tabs>
                      <w:tab w:val="num" w:pos="709"/>
                    </w:tabs>
                    <w:suppressAutoHyphens/>
                    <w:jc w:val="both"/>
                    <w:rPr>
                      <w:rFonts w:ascii="Calibri" w:hAnsi="Calibri" w:cs="Arial"/>
                      <w:b/>
                      <w:bCs/>
                    </w:rPr>
                  </w:pPr>
                  <w:r>
                    <w:rPr>
                      <w:rFonts w:ascii="Calibri" w:hAnsi="Calibri"/>
                      <w:b/>
                      <w:bCs/>
                    </w:rPr>
                    <w:t xml:space="preserve">B2. </w:t>
                  </w:r>
                  <w:r>
                    <w:rPr>
                      <w:rFonts w:ascii="Calibri" w:hAnsi="Calibri"/>
                      <w:b/>
                    </w:rPr>
                    <w:t>Funds for rural development and fishing (EARDF+EFF)</w:t>
                  </w:r>
                  <w:r>
                    <w:rPr>
                      <w:rFonts w:ascii="Calibri" w:hAnsi="Calibri"/>
                    </w:rPr>
                    <w:t xml:space="preserve">, of which: </w:t>
                  </w:r>
                </w:p>
              </w:tc>
              <w:tc>
                <w:tcPr>
                  <w:tcW w:w="1311"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7,734.02</w:t>
                  </w:r>
                </w:p>
              </w:tc>
              <w:tc>
                <w:tcPr>
                  <w:tcW w:w="1394"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0.00</w:t>
                  </w:r>
                </w:p>
              </w:tc>
              <w:tc>
                <w:tcPr>
                  <w:tcW w:w="1396"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7,734.02</w:t>
                  </w:r>
                </w:p>
              </w:tc>
            </w:tr>
            <w:tr w:rsidR="0056747E" w:rsidRPr="001549B5" w:rsidTr="001E0D47">
              <w:trPr>
                <w:trHeight w:val="339"/>
              </w:trPr>
              <w:tc>
                <w:tcPr>
                  <w:tcW w:w="5728" w:type="dxa"/>
                  <w:tcBorders>
                    <w:top w:val="nil"/>
                    <w:left w:val="single" w:sz="4" w:space="0" w:color="auto"/>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rPr>
                    <w:t>a)</w:t>
                  </w:r>
                  <w:r>
                    <w:rPr>
                      <w:rFonts w:ascii="Calibri" w:hAnsi="Calibri"/>
                    </w:rPr>
                    <w:t xml:space="preserve"> Advances (EARDF+EFF)</w:t>
                  </w:r>
                </w:p>
              </w:tc>
              <w:tc>
                <w:tcPr>
                  <w:tcW w:w="1311"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593.88</w:t>
                  </w:r>
                </w:p>
              </w:tc>
              <w:tc>
                <w:tcPr>
                  <w:tcW w:w="1394"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0.00</w:t>
                  </w:r>
                </w:p>
              </w:tc>
              <w:tc>
                <w:tcPr>
                  <w:tcW w:w="1396"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593.88</w:t>
                  </w:r>
                </w:p>
              </w:tc>
            </w:tr>
            <w:tr w:rsidR="0056747E" w:rsidRPr="001549B5" w:rsidTr="001E0D47">
              <w:trPr>
                <w:trHeight w:val="339"/>
              </w:trPr>
              <w:tc>
                <w:tcPr>
                  <w:tcW w:w="5728" w:type="dxa"/>
                  <w:tcBorders>
                    <w:top w:val="nil"/>
                    <w:left w:val="single" w:sz="4" w:space="0" w:color="auto"/>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rPr>
                    <w:t>b)</w:t>
                  </w:r>
                  <w:r>
                    <w:rPr>
                      <w:rFonts w:ascii="Calibri" w:hAnsi="Calibri"/>
                    </w:rPr>
                    <w:t xml:space="preserve"> Reimbursements (EARDF+EFF)</w:t>
                  </w:r>
                </w:p>
              </w:tc>
              <w:tc>
                <w:tcPr>
                  <w:tcW w:w="1311"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7,140.15</w:t>
                  </w:r>
                </w:p>
              </w:tc>
              <w:tc>
                <w:tcPr>
                  <w:tcW w:w="1394"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0.00</w:t>
                  </w:r>
                </w:p>
              </w:tc>
              <w:tc>
                <w:tcPr>
                  <w:tcW w:w="1396"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7,140.15</w:t>
                  </w:r>
                </w:p>
              </w:tc>
            </w:tr>
            <w:tr w:rsidR="0056747E" w:rsidRPr="001549B5" w:rsidTr="001E0D47">
              <w:trPr>
                <w:trHeight w:val="339"/>
              </w:trPr>
              <w:tc>
                <w:tcPr>
                  <w:tcW w:w="5728" w:type="dxa"/>
                  <w:tcBorders>
                    <w:top w:val="nil"/>
                    <w:left w:val="single" w:sz="4" w:space="0" w:color="auto"/>
                    <w:bottom w:val="single" w:sz="4" w:space="0" w:color="auto"/>
                    <w:right w:val="single" w:sz="4" w:space="0" w:color="auto"/>
                  </w:tcBorders>
                  <w:shd w:val="clear" w:color="auto" w:fill="auto"/>
                  <w:vAlign w:val="center"/>
                  <w:hideMark/>
                </w:tcPr>
                <w:p w:rsidR="0056747E" w:rsidRPr="003964D3" w:rsidRDefault="0056747E" w:rsidP="0056747E">
                  <w:pPr>
                    <w:widowControl w:val="0"/>
                    <w:tabs>
                      <w:tab w:val="num" w:pos="709"/>
                    </w:tabs>
                    <w:suppressAutoHyphens/>
                    <w:jc w:val="both"/>
                    <w:rPr>
                      <w:rFonts w:ascii="Calibri" w:hAnsi="Calibri" w:cs="Arial"/>
                      <w:b/>
                      <w:bCs/>
                    </w:rPr>
                  </w:pPr>
                  <w:r>
                    <w:rPr>
                      <w:rFonts w:ascii="Calibri" w:hAnsi="Calibri"/>
                      <w:b/>
                      <w:bCs/>
                    </w:rPr>
                    <w:t>B3. European Agricultural Guarantee Fund (EAGF)</w:t>
                  </w:r>
                </w:p>
              </w:tc>
              <w:tc>
                <w:tcPr>
                  <w:tcW w:w="1311"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7,658.82</w:t>
                  </w:r>
                </w:p>
              </w:tc>
              <w:tc>
                <w:tcPr>
                  <w:tcW w:w="1394"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0.00</w:t>
                  </w:r>
                </w:p>
              </w:tc>
              <w:tc>
                <w:tcPr>
                  <w:tcW w:w="1396"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7,658.82</w:t>
                  </w:r>
                </w:p>
              </w:tc>
            </w:tr>
            <w:tr w:rsidR="0056747E" w:rsidRPr="001549B5" w:rsidTr="001E0D47">
              <w:trPr>
                <w:trHeight w:val="339"/>
              </w:trPr>
              <w:tc>
                <w:tcPr>
                  <w:tcW w:w="5728" w:type="dxa"/>
                  <w:tcBorders>
                    <w:top w:val="nil"/>
                    <w:left w:val="single" w:sz="4" w:space="0" w:color="auto"/>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 xml:space="preserve">B4. </w:t>
                  </w:r>
                  <w:r>
                    <w:rPr>
                      <w:rFonts w:ascii="Calibri" w:hAnsi="Calibri"/>
                      <w:b/>
                    </w:rPr>
                    <w:t>Other (post-accession)</w:t>
                  </w:r>
                  <w:r>
                    <w:rPr>
                      <w:rFonts w:ascii="Calibri" w:hAnsi="Calibri"/>
                    </w:rPr>
                    <w:t xml:space="preserve">, of which: </w:t>
                  </w:r>
                </w:p>
              </w:tc>
              <w:tc>
                <w:tcPr>
                  <w:tcW w:w="1311"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1,707.35</w:t>
                  </w:r>
                </w:p>
              </w:tc>
              <w:tc>
                <w:tcPr>
                  <w:tcW w:w="1394"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0.01</w:t>
                  </w:r>
                </w:p>
              </w:tc>
              <w:tc>
                <w:tcPr>
                  <w:tcW w:w="1396"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1,707.36</w:t>
                  </w:r>
                </w:p>
              </w:tc>
            </w:tr>
            <w:tr w:rsidR="0056747E" w:rsidRPr="001549B5" w:rsidTr="001E0D47">
              <w:trPr>
                <w:trHeight w:val="339"/>
              </w:trPr>
              <w:tc>
                <w:tcPr>
                  <w:tcW w:w="5728" w:type="dxa"/>
                  <w:tcBorders>
                    <w:top w:val="nil"/>
                    <w:left w:val="single" w:sz="4" w:space="0" w:color="auto"/>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b/>
                      <w:bCs/>
                      <w:i/>
                      <w:iCs/>
                    </w:rPr>
                  </w:pPr>
                  <w:r>
                    <w:rPr>
                      <w:rFonts w:ascii="Calibri" w:hAnsi="Calibri"/>
                      <w:b/>
                      <w:i/>
                    </w:rPr>
                    <w:t>a)</w:t>
                  </w:r>
                  <w:r>
                    <w:rPr>
                      <w:rFonts w:ascii="Calibri" w:hAnsi="Calibri"/>
                    </w:rPr>
                    <w:t xml:space="preserve"> Advances </w:t>
                  </w:r>
                </w:p>
              </w:tc>
              <w:tc>
                <w:tcPr>
                  <w:tcW w:w="1311"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1,497.38</w:t>
                  </w:r>
                </w:p>
              </w:tc>
              <w:tc>
                <w:tcPr>
                  <w:tcW w:w="1394"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0.01</w:t>
                  </w:r>
                </w:p>
              </w:tc>
              <w:tc>
                <w:tcPr>
                  <w:tcW w:w="1396"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1,497.39</w:t>
                  </w:r>
                </w:p>
              </w:tc>
            </w:tr>
            <w:tr w:rsidR="0056747E" w:rsidRPr="001549B5" w:rsidTr="001E0D47">
              <w:trPr>
                <w:trHeight w:val="339"/>
              </w:trPr>
              <w:tc>
                <w:tcPr>
                  <w:tcW w:w="5728" w:type="dxa"/>
                  <w:tcBorders>
                    <w:top w:val="nil"/>
                    <w:left w:val="single" w:sz="4" w:space="0" w:color="auto"/>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b/>
                      <w:bCs/>
                      <w:i/>
                      <w:iCs/>
                    </w:rPr>
                  </w:pPr>
                  <w:r>
                    <w:rPr>
                      <w:rFonts w:ascii="Calibri" w:hAnsi="Calibri"/>
                      <w:b/>
                      <w:i/>
                    </w:rPr>
                    <w:t>b)</w:t>
                  </w:r>
                  <w:r>
                    <w:rPr>
                      <w:rFonts w:ascii="Calibri" w:hAnsi="Calibri"/>
                    </w:rPr>
                    <w:t xml:space="preserve"> Reimbursements</w:t>
                  </w:r>
                </w:p>
              </w:tc>
              <w:tc>
                <w:tcPr>
                  <w:tcW w:w="1311"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209.97</w:t>
                  </w:r>
                </w:p>
              </w:tc>
              <w:tc>
                <w:tcPr>
                  <w:tcW w:w="1394"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0.00</w:t>
                  </w:r>
                </w:p>
              </w:tc>
              <w:tc>
                <w:tcPr>
                  <w:tcW w:w="1396"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209.97</w:t>
                  </w:r>
                </w:p>
              </w:tc>
            </w:tr>
            <w:tr w:rsidR="0056747E" w:rsidRPr="001549B5" w:rsidTr="001E0D47">
              <w:trPr>
                <w:trHeight w:val="490"/>
              </w:trPr>
              <w:tc>
                <w:tcPr>
                  <w:tcW w:w="5728" w:type="dxa"/>
                  <w:tcBorders>
                    <w:top w:val="nil"/>
                    <w:left w:val="nil"/>
                    <w:bottom w:val="nil"/>
                    <w:right w:val="nil"/>
                  </w:tcBorders>
                  <w:shd w:val="clear" w:color="auto" w:fill="auto"/>
                  <w:vAlign w:val="bottom"/>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Amounts received in the MFF for 2014-2020</w:t>
                  </w:r>
                </w:p>
              </w:tc>
              <w:tc>
                <w:tcPr>
                  <w:tcW w:w="1311" w:type="dxa"/>
                  <w:tcBorders>
                    <w:top w:val="nil"/>
                    <w:left w:val="nil"/>
                    <w:bottom w:val="nil"/>
                    <w:right w:val="nil"/>
                  </w:tcBorders>
                  <w:shd w:val="clear" w:color="auto" w:fill="auto"/>
                  <w:noWrap/>
                  <w:vAlign w:val="bottom"/>
                  <w:hideMark/>
                </w:tcPr>
                <w:p w:rsidR="0056747E" w:rsidRPr="001549B5" w:rsidRDefault="0056747E" w:rsidP="0056747E">
                  <w:pPr>
                    <w:widowControl w:val="0"/>
                    <w:tabs>
                      <w:tab w:val="num" w:pos="709"/>
                    </w:tabs>
                    <w:suppressAutoHyphens/>
                    <w:jc w:val="both"/>
                    <w:rPr>
                      <w:rFonts w:ascii="Calibri" w:hAnsi="Calibri" w:cs="Arial"/>
                      <w:b/>
                      <w:bCs/>
                      <w:lang w:val="ro-RO" w:eastAsia="zh-CN"/>
                    </w:rPr>
                  </w:pPr>
                </w:p>
              </w:tc>
              <w:tc>
                <w:tcPr>
                  <w:tcW w:w="1394" w:type="dxa"/>
                  <w:tcBorders>
                    <w:top w:val="nil"/>
                    <w:left w:val="nil"/>
                    <w:bottom w:val="nil"/>
                    <w:right w:val="nil"/>
                  </w:tcBorders>
                  <w:shd w:val="clear" w:color="auto" w:fill="auto"/>
                  <w:noWrap/>
                  <w:vAlign w:val="bottom"/>
                  <w:hideMark/>
                </w:tcPr>
                <w:p w:rsidR="0056747E" w:rsidRPr="001549B5" w:rsidRDefault="0056747E" w:rsidP="0056747E">
                  <w:pPr>
                    <w:widowControl w:val="0"/>
                    <w:tabs>
                      <w:tab w:val="num" w:pos="709"/>
                    </w:tabs>
                    <w:suppressAutoHyphens/>
                    <w:jc w:val="both"/>
                    <w:rPr>
                      <w:rFonts w:ascii="Calibri" w:hAnsi="Calibri" w:cs="Arial"/>
                      <w:lang w:val="ro-RO" w:eastAsia="zh-CN"/>
                    </w:rPr>
                  </w:pPr>
                </w:p>
              </w:tc>
              <w:tc>
                <w:tcPr>
                  <w:tcW w:w="1396" w:type="dxa"/>
                  <w:tcBorders>
                    <w:top w:val="nil"/>
                    <w:left w:val="nil"/>
                    <w:bottom w:val="nil"/>
                    <w:right w:val="nil"/>
                  </w:tcBorders>
                  <w:shd w:val="clear" w:color="auto" w:fill="auto"/>
                  <w:noWrap/>
                  <w:vAlign w:val="bottom"/>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sz w:val="20"/>
                      <w:szCs w:val="20"/>
                    </w:rPr>
                    <w:t>Million EUR</w:t>
                  </w:r>
                </w:p>
              </w:tc>
            </w:tr>
            <w:tr w:rsidR="0056747E" w:rsidRPr="001549B5" w:rsidTr="001E0D47">
              <w:trPr>
                <w:trHeight w:val="1096"/>
              </w:trPr>
              <w:tc>
                <w:tcPr>
                  <w:tcW w:w="5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Name</w:t>
                  </w:r>
                </w:p>
              </w:tc>
              <w:tc>
                <w:tcPr>
                  <w:tcW w:w="1311" w:type="dxa"/>
                  <w:tcBorders>
                    <w:top w:val="single" w:sz="4" w:space="0" w:color="auto"/>
                    <w:left w:val="nil"/>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Achieved</w:t>
                  </w:r>
                  <w:r>
                    <w:rPr>
                      <w:rFonts w:ascii="Calibri" w:hAnsi="Calibri"/>
                    </w:rPr>
                    <w:br/>
                    <w:t>2014- 2017</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 xml:space="preserve">Achieved in 2018 </w:t>
                  </w:r>
                  <w:r>
                    <w:rPr>
                      <w:rFonts w:ascii="Calibri" w:hAnsi="Calibri"/>
                    </w:rPr>
                    <w:br/>
                    <w:t xml:space="preserve">(execution at </w:t>
                  </w:r>
                  <w:r>
                    <w:rPr>
                      <w:rFonts w:ascii="Calibri" w:hAnsi="Calibri"/>
                    </w:rPr>
                    <w:br/>
                    <w:t>December 31, 2018)</w:t>
                  </w:r>
                </w:p>
              </w:tc>
              <w:tc>
                <w:tcPr>
                  <w:tcW w:w="1396" w:type="dxa"/>
                  <w:tcBorders>
                    <w:top w:val="single" w:sz="4" w:space="0" w:color="auto"/>
                    <w:left w:val="nil"/>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Achieved</w:t>
                  </w:r>
                  <w:r>
                    <w:rPr>
                      <w:rFonts w:ascii="Calibri" w:hAnsi="Calibri"/>
                    </w:rPr>
                    <w:br/>
                    <w:t xml:space="preserve"> 2014-2018</w:t>
                  </w:r>
                  <w:r>
                    <w:rPr>
                      <w:rFonts w:ascii="Calibri" w:hAnsi="Calibri"/>
                    </w:rPr>
                    <w:br/>
                    <w:t xml:space="preserve">(execution at </w:t>
                  </w:r>
                  <w:r>
                    <w:rPr>
                      <w:rFonts w:ascii="Calibri" w:hAnsi="Calibri"/>
                    </w:rPr>
                    <w:br/>
                    <w:t>December 31, 2018)</w:t>
                  </w:r>
                </w:p>
              </w:tc>
            </w:tr>
            <w:tr w:rsidR="0056747E" w:rsidRPr="001549B5" w:rsidTr="001E0D47">
              <w:trPr>
                <w:trHeight w:val="435"/>
              </w:trPr>
              <w:tc>
                <w:tcPr>
                  <w:tcW w:w="5728" w:type="dxa"/>
                  <w:tcBorders>
                    <w:top w:val="nil"/>
                    <w:left w:val="single" w:sz="4" w:space="0" w:color="auto"/>
                    <w:bottom w:val="single" w:sz="4" w:space="0" w:color="auto"/>
                    <w:right w:val="single" w:sz="4" w:space="0" w:color="auto"/>
                  </w:tcBorders>
                  <w:shd w:val="clear" w:color="CCCCFF" w:fill="C0C0C0"/>
                  <w:vAlign w:val="center"/>
                  <w:hideMark/>
                </w:tcPr>
                <w:p w:rsidR="0056747E" w:rsidRPr="003964D3" w:rsidRDefault="0056747E" w:rsidP="0056747E">
                  <w:pPr>
                    <w:widowControl w:val="0"/>
                    <w:tabs>
                      <w:tab w:val="num" w:pos="709"/>
                    </w:tabs>
                    <w:suppressAutoHyphens/>
                    <w:jc w:val="both"/>
                    <w:rPr>
                      <w:rFonts w:ascii="Calibri" w:hAnsi="Calibri" w:cs="Arial"/>
                      <w:b/>
                      <w:bCs/>
                    </w:rPr>
                  </w:pPr>
                  <w:r>
                    <w:rPr>
                      <w:rFonts w:ascii="Calibri" w:hAnsi="Calibri"/>
                      <w:b/>
                    </w:rPr>
                    <w:t>I. AMOUNTS RECEIVED FROM THE EU BUDGET</w:t>
                  </w:r>
                  <w:r>
                    <w:rPr>
                      <w:rFonts w:ascii="Calibri" w:hAnsi="Calibri"/>
                    </w:rPr>
                    <w:t xml:space="preserve"> (A+B+C+D)</w:t>
                  </w:r>
                </w:p>
              </w:tc>
              <w:tc>
                <w:tcPr>
                  <w:tcW w:w="1311" w:type="dxa"/>
                  <w:tcBorders>
                    <w:top w:val="nil"/>
                    <w:left w:val="nil"/>
                    <w:bottom w:val="single" w:sz="4" w:space="0" w:color="auto"/>
                    <w:right w:val="single" w:sz="4" w:space="0" w:color="auto"/>
                  </w:tcBorders>
                  <w:shd w:val="clear" w:color="000000" w:fill="BFBFBF"/>
                  <w:noWrap/>
                  <w:vAlign w:val="center"/>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8,619.81</w:t>
                  </w:r>
                </w:p>
              </w:tc>
              <w:tc>
                <w:tcPr>
                  <w:tcW w:w="1394" w:type="dxa"/>
                  <w:tcBorders>
                    <w:top w:val="nil"/>
                    <w:left w:val="nil"/>
                    <w:bottom w:val="single" w:sz="4" w:space="0" w:color="auto"/>
                    <w:right w:val="single" w:sz="4" w:space="0" w:color="auto"/>
                  </w:tcBorders>
                  <w:shd w:val="clear" w:color="000000" w:fill="BFBFBF"/>
                  <w:noWrap/>
                  <w:vAlign w:val="center"/>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4,437.87</w:t>
                  </w:r>
                </w:p>
              </w:tc>
              <w:tc>
                <w:tcPr>
                  <w:tcW w:w="1396" w:type="dxa"/>
                  <w:tcBorders>
                    <w:top w:val="nil"/>
                    <w:left w:val="nil"/>
                    <w:bottom w:val="single" w:sz="4" w:space="0" w:color="auto"/>
                    <w:right w:val="single" w:sz="4" w:space="0" w:color="auto"/>
                  </w:tcBorders>
                  <w:shd w:val="clear" w:color="000000" w:fill="BFBFBF"/>
                  <w:noWrap/>
                  <w:vAlign w:val="center"/>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13,057.68</w:t>
                  </w:r>
                </w:p>
              </w:tc>
            </w:tr>
            <w:tr w:rsidR="0056747E" w:rsidRPr="001549B5" w:rsidTr="001E0D47">
              <w:trPr>
                <w:trHeight w:val="339"/>
              </w:trPr>
              <w:tc>
                <w:tcPr>
                  <w:tcW w:w="5728" w:type="dxa"/>
                  <w:tcBorders>
                    <w:top w:val="nil"/>
                    <w:left w:val="single" w:sz="4" w:space="0" w:color="auto"/>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b/>
                      <w:bCs/>
                      <w:i/>
                      <w:iCs/>
                    </w:rPr>
                  </w:pPr>
                  <w:r>
                    <w:rPr>
                      <w:rFonts w:ascii="Calibri" w:hAnsi="Calibri"/>
                      <w:b/>
                      <w:i/>
                    </w:rPr>
                    <w:t>i)</w:t>
                  </w:r>
                  <w:r>
                    <w:rPr>
                      <w:rFonts w:ascii="Calibri" w:hAnsi="Calibri"/>
                      <w:i/>
                    </w:rPr>
                    <w:t xml:space="preserve"> Advances</w:t>
                  </w:r>
                  <w:r>
                    <w:rPr>
                      <w:rFonts w:ascii="Calibri" w:hAnsi="Calibri"/>
                    </w:rPr>
                    <w:t xml:space="preserve"> </w:t>
                  </w:r>
                </w:p>
              </w:tc>
              <w:tc>
                <w:tcPr>
                  <w:tcW w:w="1311"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1,867.35</w:t>
                  </w:r>
                </w:p>
              </w:tc>
              <w:tc>
                <w:tcPr>
                  <w:tcW w:w="1394"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69.81</w:t>
                  </w:r>
                </w:p>
              </w:tc>
              <w:tc>
                <w:tcPr>
                  <w:tcW w:w="1396"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1,937.16</w:t>
                  </w:r>
                </w:p>
              </w:tc>
            </w:tr>
            <w:tr w:rsidR="0056747E" w:rsidRPr="001549B5" w:rsidTr="001E0D47">
              <w:trPr>
                <w:trHeight w:val="339"/>
              </w:trPr>
              <w:tc>
                <w:tcPr>
                  <w:tcW w:w="5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b/>
                      <w:bCs/>
                      <w:i/>
                      <w:iCs/>
                    </w:rPr>
                  </w:pPr>
                  <w:r>
                    <w:rPr>
                      <w:rFonts w:ascii="Calibri" w:hAnsi="Calibri"/>
                      <w:b/>
                      <w:i/>
                    </w:rPr>
                    <w:t>ii)</w:t>
                  </w:r>
                  <w:r>
                    <w:rPr>
                      <w:rFonts w:ascii="Calibri" w:hAnsi="Calibri"/>
                    </w:rPr>
                    <w:t xml:space="preserve"> Reimbursements (including EAGF)</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6,752.46</w:t>
                  </w:r>
                </w:p>
              </w:tc>
              <w:tc>
                <w:tcPr>
                  <w:tcW w:w="1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4,368.06</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11,120.52</w:t>
                  </w:r>
                </w:p>
              </w:tc>
            </w:tr>
            <w:tr w:rsidR="0056747E" w:rsidRPr="001549B5" w:rsidTr="001E0D47">
              <w:trPr>
                <w:trHeight w:val="339"/>
              </w:trPr>
              <w:tc>
                <w:tcPr>
                  <w:tcW w:w="5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747E" w:rsidRPr="003964D3" w:rsidRDefault="0056747E" w:rsidP="0056747E">
                  <w:pPr>
                    <w:widowControl w:val="0"/>
                    <w:tabs>
                      <w:tab w:val="num" w:pos="709"/>
                    </w:tabs>
                    <w:suppressAutoHyphens/>
                    <w:jc w:val="both"/>
                    <w:rPr>
                      <w:rFonts w:ascii="Calibri" w:hAnsi="Calibri" w:cs="Arial"/>
                      <w:b/>
                      <w:bCs/>
                    </w:rPr>
                  </w:pPr>
                  <w:r>
                    <w:rPr>
                      <w:rFonts w:ascii="Calibri" w:hAnsi="Calibri"/>
                      <w:b/>
                    </w:rPr>
                    <w:t>A.</w:t>
                  </w:r>
                  <w:r>
                    <w:rPr>
                      <w:rFonts w:ascii="Calibri" w:hAnsi="Calibri"/>
                    </w:rPr>
                    <w:t xml:space="preserve"> </w:t>
                  </w:r>
                  <w:r>
                    <w:rPr>
                      <w:rFonts w:ascii="Calibri" w:hAnsi="Calibri"/>
                      <w:b/>
                    </w:rPr>
                    <w:t>Structural and cohesion funds (SCG)</w:t>
                  </w:r>
                  <w:r>
                    <w:rPr>
                      <w:rFonts w:ascii="Calibri" w:hAnsi="Calibri"/>
                    </w:rPr>
                    <w:t>, of which:</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2,655.35</w:t>
                  </w:r>
                </w:p>
              </w:tc>
              <w:tc>
                <w:tcPr>
                  <w:tcW w:w="1394" w:type="dxa"/>
                  <w:tcBorders>
                    <w:top w:val="single" w:sz="4" w:space="0" w:color="auto"/>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1,469.11</w:t>
                  </w:r>
                </w:p>
              </w:tc>
              <w:tc>
                <w:tcPr>
                  <w:tcW w:w="1396" w:type="dxa"/>
                  <w:tcBorders>
                    <w:top w:val="single" w:sz="4" w:space="0" w:color="auto"/>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4,124.46</w:t>
                  </w:r>
                </w:p>
              </w:tc>
            </w:tr>
            <w:tr w:rsidR="0056747E" w:rsidRPr="001549B5" w:rsidTr="001E0D47">
              <w:trPr>
                <w:trHeight w:val="339"/>
              </w:trPr>
              <w:tc>
                <w:tcPr>
                  <w:tcW w:w="5728" w:type="dxa"/>
                  <w:tcBorders>
                    <w:top w:val="nil"/>
                    <w:left w:val="single" w:sz="4" w:space="0" w:color="auto"/>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rPr>
                    <w:t>a)</w:t>
                  </w:r>
                  <w:r>
                    <w:rPr>
                      <w:rFonts w:ascii="Calibri" w:hAnsi="Calibri"/>
                    </w:rPr>
                    <w:t xml:space="preserve"> Advances from SCF</w:t>
                  </w:r>
                </w:p>
              </w:tc>
              <w:tc>
                <w:tcPr>
                  <w:tcW w:w="1311"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1,511.00</w:t>
                  </w:r>
                </w:p>
              </w:tc>
              <w:tc>
                <w:tcPr>
                  <w:tcW w:w="1394"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31.08</w:t>
                  </w:r>
                </w:p>
              </w:tc>
              <w:tc>
                <w:tcPr>
                  <w:tcW w:w="1396"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1,542.07</w:t>
                  </w:r>
                </w:p>
              </w:tc>
            </w:tr>
            <w:tr w:rsidR="0056747E" w:rsidRPr="001549B5" w:rsidTr="001E0D47">
              <w:trPr>
                <w:trHeight w:val="339"/>
              </w:trPr>
              <w:tc>
                <w:tcPr>
                  <w:tcW w:w="5728" w:type="dxa"/>
                  <w:tcBorders>
                    <w:top w:val="nil"/>
                    <w:left w:val="single" w:sz="4" w:space="0" w:color="auto"/>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rPr>
                    <w:t>b)</w:t>
                  </w:r>
                  <w:r>
                    <w:rPr>
                      <w:rFonts w:ascii="Calibri" w:hAnsi="Calibri"/>
                    </w:rPr>
                    <w:t xml:space="preserve"> Reimbursements from SCF</w:t>
                  </w:r>
                </w:p>
              </w:tc>
              <w:tc>
                <w:tcPr>
                  <w:tcW w:w="1311"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1,144.36</w:t>
                  </w:r>
                </w:p>
              </w:tc>
              <w:tc>
                <w:tcPr>
                  <w:tcW w:w="1394"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1,438.03</w:t>
                  </w:r>
                </w:p>
              </w:tc>
              <w:tc>
                <w:tcPr>
                  <w:tcW w:w="1396"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2,582.39</w:t>
                  </w:r>
                </w:p>
              </w:tc>
            </w:tr>
            <w:tr w:rsidR="0056747E" w:rsidRPr="001549B5" w:rsidTr="001E0D47">
              <w:trPr>
                <w:trHeight w:val="619"/>
              </w:trPr>
              <w:tc>
                <w:tcPr>
                  <w:tcW w:w="5728" w:type="dxa"/>
                  <w:tcBorders>
                    <w:top w:val="nil"/>
                    <w:left w:val="single" w:sz="4" w:space="0" w:color="auto"/>
                    <w:bottom w:val="single" w:sz="4" w:space="0" w:color="auto"/>
                    <w:right w:val="single" w:sz="4" w:space="0" w:color="auto"/>
                  </w:tcBorders>
                  <w:shd w:val="clear" w:color="auto" w:fill="auto"/>
                  <w:vAlign w:val="center"/>
                  <w:hideMark/>
                </w:tcPr>
                <w:p w:rsidR="0056747E" w:rsidRPr="003964D3" w:rsidRDefault="0056747E" w:rsidP="0056747E">
                  <w:pPr>
                    <w:widowControl w:val="0"/>
                    <w:tabs>
                      <w:tab w:val="num" w:pos="709"/>
                    </w:tabs>
                    <w:suppressAutoHyphens/>
                    <w:jc w:val="both"/>
                    <w:rPr>
                      <w:rFonts w:ascii="Calibri" w:hAnsi="Calibri" w:cs="Arial"/>
                      <w:b/>
                      <w:bCs/>
                    </w:rPr>
                  </w:pPr>
                  <w:r>
                    <w:rPr>
                      <w:rFonts w:ascii="Calibri" w:hAnsi="Calibri"/>
                      <w:b/>
                    </w:rPr>
                    <w:t>B.</w:t>
                  </w:r>
                  <w:r>
                    <w:rPr>
                      <w:rFonts w:ascii="Calibri" w:hAnsi="Calibri"/>
                    </w:rPr>
                    <w:t xml:space="preserve"> </w:t>
                  </w:r>
                  <w:r>
                    <w:rPr>
                      <w:rFonts w:ascii="Calibri" w:hAnsi="Calibri"/>
                      <w:b/>
                    </w:rPr>
                    <w:t>Funds for rural development and fishing (EARDF+EFF)</w:t>
                  </w:r>
                  <w:r>
                    <w:rPr>
                      <w:rFonts w:ascii="Calibri" w:hAnsi="Calibri"/>
                    </w:rPr>
                    <w:t>, of which:</w:t>
                  </w:r>
                </w:p>
              </w:tc>
              <w:tc>
                <w:tcPr>
                  <w:tcW w:w="1311"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2,379.53</w:t>
                  </w:r>
                </w:p>
              </w:tc>
              <w:tc>
                <w:tcPr>
                  <w:tcW w:w="1394"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1,026.06</w:t>
                  </w:r>
                </w:p>
              </w:tc>
              <w:tc>
                <w:tcPr>
                  <w:tcW w:w="1396"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3,405.59</w:t>
                  </w:r>
                </w:p>
              </w:tc>
            </w:tr>
            <w:tr w:rsidR="0056747E" w:rsidRPr="001549B5" w:rsidTr="001E0D47">
              <w:trPr>
                <w:trHeight w:val="339"/>
              </w:trPr>
              <w:tc>
                <w:tcPr>
                  <w:tcW w:w="5728" w:type="dxa"/>
                  <w:tcBorders>
                    <w:top w:val="nil"/>
                    <w:left w:val="single" w:sz="4" w:space="0" w:color="auto"/>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rPr>
                    <w:t>a)</w:t>
                  </w:r>
                  <w:r>
                    <w:rPr>
                      <w:rFonts w:ascii="Calibri" w:hAnsi="Calibri"/>
                    </w:rPr>
                    <w:t xml:space="preserve"> Advances (EARDF+EFF)</w:t>
                  </w:r>
                </w:p>
              </w:tc>
              <w:tc>
                <w:tcPr>
                  <w:tcW w:w="1311"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335.61</w:t>
                  </w:r>
                </w:p>
              </w:tc>
              <w:tc>
                <w:tcPr>
                  <w:tcW w:w="1394"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0.20</w:t>
                  </w:r>
                </w:p>
              </w:tc>
              <w:tc>
                <w:tcPr>
                  <w:tcW w:w="1396"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335.81</w:t>
                  </w:r>
                </w:p>
              </w:tc>
            </w:tr>
            <w:tr w:rsidR="0056747E" w:rsidRPr="001549B5" w:rsidTr="001E0D47">
              <w:trPr>
                <w:trHeight w:val="339"/>
              </w:trPr>
              <w:tc>
                <w:tcPr>
                  <w:tcW w:w="5728" w:type="dxa"/>
                  <w:tcBorders>
                    <w:top w:val="nil"/>
                    <w:left w:val="single" w:sz="4" w:space="0" w:color="auto"/>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rPr>
                    <w:t>b)</w:t>
                  </w:r>
                  <w:r>
                    <w:rPr>
                      <w:rFonts w:ascii="Calibri" w:hAnsi="Calibri"/>
                    </w:rPr>
                    <w:t xml:space="preserve"> Reimbursements (EARDF+EFF)</w:t>
                  </w:r>
                </w:p>
              </w:tc>
              <w:tc>
                <w:tcPr>
                  <w:tcW w:w="1311"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2,043.92</w:t>
                  </w:r>
                </w:p>
              </w:tc>
              <w:tc>
                <w:tcPr>
                  <w:tcW w:w="1394"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1,025.86</w:t>
                  </w:r>
                </w:p>
              </w:tc>
              <w:tc>
                <w:tcPr>
                  <w:tcW w:w="1396"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3,069.79</w:t>
                  </w:r>
                </w:p>
              </w:tc>
            </w:tr>
            <w:tr w:rsidR="0056747E" w:rsidRPr="001549B5" w:rsidTr="001E0D47">
              <w:trPr>
                <w:trHeight w:val="339"/>
              </w:trPr>
              <w:tc>
                <w:tcPr>
                  <w:tcW w:w="5728" w:type="dxa"/>
                  <w:tcBorders>
                    <w:top w:val="nil"/>
                    <w:left w:val="single" w:sz="4" w:space="0" w:color="auto"/>
                    <w:bottom w:val="single" w:sz="4" w:space="0" w:color="auto"/>
                    <w:right w:val="single" w:sz="4" w:space="0" w:color="auto"/>
                  </w:tcBorders>
                  <w:shd w:val="clear" w:color="auto" w:fill="auto"/>
                  <w:vAlign w:val="center"/>
                  <w:hideMark/>
                </w:tcPr>
                <w:p w:rsidR="0056747E" w:rsidRPr="003964D3" w:rsidRDefault="0056747E" w:rsidP="0056747E">
                  <w:pPr>
                    <w:widowControl w:val="0"/>
                    <w:tabs>
                      <w:tab w:val="num" w:pos="709"/>
                    </w:tabs>
                    <w:suppressAutoHyphens/>
                    <w:jc w:val="both"/>
                    <w:rPr>
                      <w:rFonts w:ascii="Calibri" w:hAnsi="Calibri" w:cs="Arial"/>
                      <w:b/>
                      <w:bCs/>
                    </w:rPr>
                  </w:pPr>
                  <w:r>
                    <w:rPr>
                      <w:rFonts w:ascii="Calibri" w:hAnsi="Calibri"/>
                      <w:b/>
                      <w:bCs/>
                    </w:rPr>
                    <w:t>C. European Agricultural Guarantee Fund (EAGF)</w:t>
                  </w:r>
                </w:p>
              </w:tc>
              <w:tc>
                <w:tcPr>
                  <w:tcW w:w="1311"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3,013.10</w:t>
                  </w:r>
                </w:p>
              </w:tc>
              <w:tc>
                <w:tcPr>
                  <w:tcW w:w="1394"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1,768.96</w:t>
                  </w:r>
                </w:p>
              </w:tc>
              <w:tc>
                <w:tcPr>
                  <w:tcW w:w="1396"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4,782.06</w:t>
                  </w:r>
                </w:p>
              </w:tc>
            </w:tr>
            <w:tr w:rsidR="0056747E" w:rsidRPr="001549B5" w:rsidTr="001E0D47">
              <w:trPr>
                <w:trHeight w:val="339"/>
              </w:trPr>
              <w:tc>
                <w:tcPr>
                  <w:tcW w:w="5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rPr>
                    <w:t>D.</w:t>
                  </w:r>
                  <w:r>
                    <w:rPr>
                      <w:rFonts w:ascii="Calibri" w:hAnsi="Calibri"/>
                    </w:rPr>
                    <w:t xml:space="preserve"> </w:t>
                  </w:r>
                  <w:r>
                    <w:rPr>
                      <w:rFonts w:ascii="Calibri" w:hAnsi="Calibri"/>
                      <w:b/>
                    </w:rPr>
                    <w:t>Other (post-accession)</w:t>
                  </w:r>
                  <w:r>
                    <w:rPr>
                      <w:rFonts w:ascii="Calibri" w:hAnsi="Calibri"/>
                    </w:rPr>
                    <w:t xml:space="preserve">, of which: </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571.83</w:t>
                  </w:r>
                </w:p>
              </w:tc>
              <w:tc>
                <w:tcPr>
                  <w:tcW w:w="1394" w:type="dxa"/>
                  <w:tcBorders>
                    <w:top w:val="single" w:sz="4" w:space="0" w:color="auto"/>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173.75</w:t>
                  </w:r>
                </w:p>
              </w:tc>
              <w:tc>
                <w:tcPr>
                  <w:tcW w:w="1396" w:type="dxa"/>
                  <w:tcBorders>
                    <w:top w:val="single" w:sz="4" w:space="0" w:color="auto"/>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745.57</w:t>
                  </w:r>
                </w:p>
              </w:tc>
            </w:tr>
            <w:tr w:rsidR="0056747E" w:rsidRPr="001549B5" w:rsidTr="001E0D47">
              <w:trPr>
                <w:trHeight w:val="339"/>
              </w:trPr>
              <w:tc>
                <w:tcPr>
                  <w:tcW w:w="5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b/>
                      <w:bCs/>
                      <w:i/>
                      <w:iCs/>
                    </w:rPr>
                  </w:pPr>
                  <w:r>
                    <w:rPr>
                      <w:rFonts w:ascii="Calibri" w:hAnsi="Calibri"/>
                      <w:b/>
                      <w:i/>
                    </w:rPr>
                    <w:t>a)</w:t>
                  </w:r>
                  <w:r>
                    <w:rPr>
                      <w:rFonts w:ascii="Calibri" w:hAnsi="Calibri"/>
                    </w:rPr>
                    <w:t xml:space="preserve"> Advances </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20.74</w:t>
                  </w:r>
                </w:p>
              </w:tc>
              <w:tc>
                <w:tcPr>
                  <w:tcW w:w="1394" w:type="dxa"/>
                  <w:tcBorders>
                    <w:top w:val="single" w:sz="4" w:space="0" w:color="auto"/>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38.53</w:t>
                  </w:r>
                </w:p>
              </w:tc>
              <w:tc>
                <w:tcPr>
                  <w:tcW w:w="1396" w:type="dxa"/>
                  <w:tcBorders>
                    <w:top w:val="single" w:sz="4" w:space="0" w:color="auto"/>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59.28</w:t>
                  </w:r>
                </w:p>
              </w:tc>
            </w:tr>
            <w:tr w:rsidR="0056747E" w:rsidRPr="001549B5" w:rsidTr="001E0D47">
              <w:trPr>
                <w:trHeight w:val="339"/>
              </w:trPr>
              <w:tc>
                <w:tcPr>
                  <w:tcW w:w="5728" w:type="dxa"/>
                  <w:tcBorders>
                    <w:top w:val="nil"/>
                    <w:left w:val="single" w:sz="4" w:space="0" w:color="auto"/>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b/>
                      <w:bCs/>
                      <w:i/>
                      <w:iCs/>
                    </w:rPr>
                  </w:pPr>
                  <w:r>
                    <w:rPr>
                      <w:rFonts w:ascii="Calibri" w:hAnsi="Calibri"/>
                      <w:b/>
                      <w:i/>
                    </w:rPr>
                    <w:t>b)</w:t>
                  </w:r>
                  <w:r>
                    <w:rPr>
                      <w:rFonts w:ascii="Calibri" w:hAnsi="Calibri"/>
                    </w:rPr>
                    <w:t xml:space="preserve"> Reimbursements</w:t>
                  </w:r>
                </w:p>
              </w:tc>
              <w:tc>
                <w:tcPr>
                  <w:tcW w:w="1311"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551.08</w:t>
                  </w:r>
                </w:p>
              </w:tc>
              <w:tc>
                <w:tcPr>
                  <w:tcW w:w="1394"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135.21</w:t>
                  </w:r>
                </w:p>
              </w:tc>
              <w:tc>
                <w:tcPr>
                  <w:tcW w:w="1396"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686.29</w:t>
                  </w:r>
                </w:p>
              </w:tc>
            </w:tr>
            <w:tr w:rsidR="0056747E" w:rsidRPr="001549B5" w:rsidTr="001E0D47">
              <w:trPr>
                <w:trHeight w:val="490"/>
              </w:trPr>
              <w:tc>
                <w:tcPr>
                  <w:tcW w:w="5728" w:type="dxa"/>
                  <w:tcBorders>
                    <w:top w:val="nil"/>
                    <w:left w:val="nil"/>
                    <w:bottom w:val="nil"/>
                    <w:right w:val="nil"/>
                  </w:tcBorders>
                  <w:shd w:val="clear" w:color="auto" w:fill="auto"/>
                  <w:vAlign w:val="bottom"/>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Amounts paid in 2007-2018</w:t>
                  </w:r>
                </w:p>
              </w:tc>
              <w:tc>
                <w:tcPr>
                  <w:tcW w:w="1311" w:type="dxa"/>
                  <w:tcBorders>
                    <w:top w:val="nil"/>
                    <w:left w:val="nil"/>
                    <w:bottom w:val="nil"/>
                    <w:right w:val="nil"/>
                  </w:tcBorders>
                  <w:shd w:val="clear" w:color="auto" w:fill="auto"/>
                  <w:noWrap/>
                  <w:vAlign w:val="bottom"/>
                  <w:hideMark/>
                </w:tcPr>
                <w:p w:rsidR="0056747E" w:rsidRPr="001549B5" w:rsidRDefault="0056747E" w:rsidP="0056747E">
                  <w:pPr>
                    <w:widowControl w:val="0"/>
                    <w:tabs>
                      <w:tab w:val="num" w:pos="709"/>
                    </w:tabs>
                    <w:suppressAutoHyphens/>
                    <w:jc w:val="both"/>
                    <w:rPr>
                      <w:rFonts w:ascii="Calibri" w:hAnsi="Calibri" w:cs="Arial"/>
                      <w:b/>
                      <w:bCs/>
                      <w:lang w:val="ro-RO" w:eastAsia="zh-CN"/>
                    </w:rPr>
                  </w:pPr>
                </w:p>
              </w:tc>
              <w:tc>
                <w:tcPr>
                  <w:tcW w:w="1394" w:type="dxa"/>
                  <w:tcBorders>
                    <w:top w:val="nil"/>
                    <w:left w:val="nil"/>
                    <w:bottom w:val="nil"/>
                    <w:right w:val="nil"/>
                  </w:tcBorders>
                  <w:shd w:val="clear" w:color="auto" w:fill="auto"/>
                  <w:noWrap/>
                  <w:vAlign w:val="bottom"/>
                  <w:hideMark/>
                </w:tcPr>
                <w:p w:rsidR="0056747E" w:rsidRPr="001549B5" w:rsidRDefault="0056747E" w:rsidP="0056747E">
                  <w:pPr>
                    <w:widowControl w:val="0"/>
                    <w:tabs>
                      <w:tab w:val="num" w:pos="709"/>
                    </w:tabs>
                    <w:suppressAutoHyphens/>
                    <w:jc w:val="both"/>
                    <w:rPr>
                      <w:rFonts w:ascii="Calibri" w:hAnsi="Calibri" w:cs="Arial"/>
                      <w:lang w:val="ro-RO" w:eastAsia="zh-CN"/>
                    </w:rPr>
                  </w:pPr>
                </w:p>
              </w:tc>
              <w:tc>
                <w:tcPr>
                  <w:tcW w:w="1396" w:type="dxa"/>
                  <w:tcBorders>
                    <w:top w:val="nil"/>
                    <w:left w:val="nil"/>
                    <w:bottom w:val="nil"/>
                    <w:right w:val="nil"/>
                  </w:tcBorders>
                  <w:shd w:val="clear" w:color="auto" w:fill="auto"/>
                  <w:noWrap/>
                  <w:vAlign w:val="bottom"/>
                  <w:hideMark/>
                </w:tcPr>
                <w:p w:rsidR="0056747E" w:rsidRPr="002E0E4B" w:rsidRDefault="0056747E" w:rsidP="0056747E">
                  <w:pPr>
                    <w:widowControl w:val="0"/>
                    <w:tabs>
                      <w:tab w:val="num" w:pos="709"/>
                    </w:tabs>
                    <w:suppressAutoHyphens/>
                    <w:jc w:val="both"/>
                    <w:rPr>
                      <w:rFonts w:ascii="Calibri" w:hAnsi="Calibri" w:cs="Arial"/>
                      <w:b/>
                      <w:bCs/>
                      <w:sz w:val="20"/>
                      <w:szCs w:val="20"/>
                    </w:rPr>
                  </w:pPr>
                  <w:r>
                    <w:rPr>
                      <w:rFonts w:ascii="Calibri" w:hAnsi="Calibri"/>
                      <w:b/>
                      <w:bCs/>
                      <w:sz w:val="20"/>
                      <w:szCs w:val="20"/>
                    </w:rPr>
                    <w:t>Million EUR</w:t>
                  </w:r>
                </w:p>
              </w:tc>
            </w:tr>
            <w:tr w:rsidR="0056747E" w:rsidRPr="001549B5" w:rsidTr="001E0D47">
              <w:trPr>
                <w:trHeight w:val="1204"/>
              </w:trPr>
              <w:tc>
                <w:tcPr>
                  <w:tcW w:w="5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Name</w:t>
                  </w:r>
                </w:p>
              </w:tc>
              <w:tc>
                <w:tcPr>
                  <w:tcW w:w="1311" w:type="dxa"/>
                  <w:tcBorders>
                    <w:top w:val="single" w:sz="4" w:space="0" w:color="auto"/>
                    <w:left w:val="nil"/>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Achieved</w:t>
                  </w:r>
                  <w:r>
                    <w:rPr>
                      <w:rFonts w:ascii="Calibri" w:hAnsi="Calibri"/>
                    </w:rPr>
                    <w:br/>
                    <w:t>2007- 2017</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 xml:space="preserve">Achieved in 2018 </w:t>
                  </w:r>
                  <w:r>
                    <w:rPr>
                      <w:rFonts w:ascii="Calibri" w:hAnsi="Calibri"/>
                    </w:rPr>
                    <w:br/>
                    <w:t xml:space="preserve">(execution at </w:t>
                  </w:r>
                  <w:r>
                    <w:rPr>
                      <w:rFonts w:ascii="Calibri" w:hAnsi="Calibri"/>
                    </w:rPr>
                    <w:br/>
                    <w:t>December 31, 2018)</w:t>
                  </w:r>
                </w:p>
              </w:tc>
              <w:tc>
                <w:tcPr>
                  <w:tcW w:w="1396" w:type="dxa"/>
                  <w:tcBorders>
                    <w:top w:val="single" w:sz="4" w:space="0" w:color="auto"/>
                    <w:left w:val="nil"/>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Achieved</w:t>
                  </w:r>
                  <w:r>
                    <w:rPr>
                      <w:rFonts w:ascii="Calibri" w:hAnsi="Calibri"/>
                    </w:rPr>
                    <w:br/>
                    <w:t xml:space="preserve"> 2007-2018</w:t>
                  </w:r>
                  <w:r>
                    <w:rPr>
                      <w:rFonts w:ascii="Calibri" w:hAnsi="Calibri"/>
                    </w:rPr>
                    <w:br/>
                    <w:t xml:space="preserve">(execution at </w:t>
                  </w:r>
                  <w:r>
                    <w:rPr>
                      <w:rFonts w:ascii="Calibri" w:hAnsi="Calibri"/>
                    </w:rPr>
                    <w:br/>
                    <w:t>December 31, 2018)</w:t>
                  </w:r>
                </w:p>
              </w:tc>
            </w:tr>
            <w:tr w:rsidR="0056747E" w:rsidRPr="001549B5" w:rsidTr="001E0D47">
              <w:trPr>
                <w:trHeight w:val="439"/>
              </w:trPr>
              <w:tc>
                <w:tcPr>
                  <w:tcW w:w="5728" w:type="dxa"/>
                  <w:tcBorders>
                    <w:top w:val="nil"/>
                    <w:left w:val="single" w:sz="4" w:space="0" w:color="auto"/>
                    <w:bottom w:val="single" w:sz="4" w:space="0" w:color="auto"/>
                    <w:right w:val="single" w:sz="4" w:space="0" w:color="auto"/>
                  </w:tcBorders>
                  <w:shd w:val="clear" w:color="000000" w:fill="BFBFBF"/>
                  <w:vAlign w:val="center"/>
                  <w:hideMark/>
                </w:tcPr>
                <w:p w:rsidR="0056747E" w:rsidRPr="003964D3" w:rsidRDefault="0056747E" w:rsidP="0056747E">
                  <w:pPr>
                    <w:widowControl w:val="0"/>
                    <w:tabs>
                      <w:tab w:val="num" w:pos="709"/>
                    </w:tabs>
                    <w:suppressAutoHyphens/>
                    <w:jc w:val="both"/>
                    <w:rPr>
                      <w:rFonts w:ascii="Calibri" w:hAnsi="Calibri" w:cs="Arial"/>
                      <w:b/>
                      <w:bCs/>
                    </w:rPr>
                  </w:pPr>
                  <w:r>
                    <w:rPr>
                      <w:rFonts w:ascii="Calibri" w:hAnsi="Calibri"/>
                      <w:b/>
                      <w:bCs/>
                    </w:rPr>
                    <w:t>II. AMOUNTS PAID TO THE EU BUDGET</w:t>
                  </w:r>
                </w:p>
              </w:tc>
              <w:tc>
                <w:tcPr>
                  <w:tcW w:w="1311" w:type="dxa"/>
                  <w:tcBorders>
                    <w:top w:val="nil"/>
                    <w:left w:val="nil"/>
                    <w:bottom w:val="single" w:sz="4" w:space="0" w:color="auto"/>
                    <w:right w:val="single" w:sz="4" w:space="0" w:color="auto"/>
                  </w:tcBorders>
                  <w:shd w:val="clear" w:color="000000" w:fill="BFBFBF"/>
                  <w:vAlign w:val="center"/>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15,282.32</w:t>
                  </w:r>
                </w:p>
              </w:tc>
              <w:tc>
                <w:tcPr>
                  <w:tcW w:w="1394" w:type="dxa"/>
                  <w:tcBorders>
                    <w:top w:val="nil"/>
                    <w:left w:val="nil"/>
                    <w:bottom w:val="single" w:sz="4" w:space="0" w:color="auto"/>
                    <w:right w:val="single" w:sz="4" w:space="0" w:color="auto"/>
                  </w:tcBorders>
                  <w:shd w:val="clear" w:color="000000" w:fill="BFBFBF"/>
                  <w:vAlign w:val="center"/>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1,677.48</w:t>
                  </w:r>
                </w:p>
              </w:tc>
              <w:tc>
                <w:tcPr>
                  <w:tcW w:w="1396" w:type="dxa"/>
                  <w:tcBorders>
                    <w:top w:val="nil"/>
                    <w:left w:val="nil"/>
                    <w:bottom w:val="single" w:sz="4" w:space="0" w:color="auto"/>
                    <w:right w:val="single" w:sz="4" w:space="0" w:color="auto"/>
                  </w:tcBorders>
                  <w:shd w:val="clear" w:color="000000" w:fill="BFBFBF"/>
                  <w:vAlign w:val="center"/>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16,959.80</w:t>
                  </w:r>
                </w:p>
              </w:tc>
            </w:tr>
            <w:tr w:rsidR="0056747E" w:rsidRPr="001549B5" w:rsidTr="001E0D47">
              <w:trPr>
                <w:trHeight w:val="365"/>
              </w:trPr>
              <w:tc>
                <w:tcPr>
                  <w:tcW w:w="5728" w:type="dxa"/>
                  <w:tcBorders>
                    <w:top w:val="nil"/>
                    <w:left w:val="single" w:sz="4" w:space="0" w:color="auto"/>
                    <w:bottom w:val="single" w:sz="4" w:space="0" w:color="auto"/>
                    <w:right w:val="single" w:sz="4" w:space="0" w:color="auto"/>
                  </w:tcBorders>
                  <w:shd w:val="clear" w:color="auto" w:fill="auto"/>
                  <w:vAlign w:val="bottom"/>
                  <w:hideMark/>
                </w:tcPr>
                <w:p w:rsidR="0056747E" w:rsidRPr="003964D3" w:rsidRDefault="0056747E" w:rsidP="0056747E">
                  <w:pPr>
                    <w:widowControl w:val="0"/>
                    <w:tabs>
                      <w:tab w:val="num" w:pos="709"/>
                    </w:tabs>
                    <w:suppressAutoHyphens/>
                    <w:jc w:val="both"/>
                    <w:rPr>
                      <w:rFonts w:ascii="Calibri" w:hAnsi="Calibri" w:cs="Arial"/>
                      <w:b/>
                      <w:bCs/>
                    </w:rPr>
                  </w:pPr>
                  <w:r>
                    <w:rPr>
                      <w:rFonts w:ascii="Calibri" w:hAnsi="Calibri"/>
                      <w:b/>
                      <w:bCs/>
                    </w:rPr>
                    <w:t>C. Romania’s contribution to the EU budget</w:t>
                  </w:r>
                </w:p>
              </w:tc>
              <w:tc>
                <w:tcPr>
                  <w:tcW w:w="1311" w:type="dxa"/>
                  <w:tcBorders>
                    <w:top w:val="nil"/>
                    <w:left w:val="nil"/>
                    <w:bottom w:val="single" w:sz="4" w:space="0" w:color="auto"/>
                    <w:right w:val="single" w:sz="4" w:space="0" w:color="auto"/>
                  </w:tcBorders>
                  <w:shd w:val="clear" w:color="auto" w:fill="auto"/>
                  <w:noWrap/>
                  <w:vAlign w:val="bottom"/>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14,905.36</w:t>
                  </w:r>
                </w:p>
              </w:tc>
              <w:tc>
                <w:tcPr>
                  <w:tcW w:w="1394" w:type="dxa"/>
                  <w:tcBorders>
                    <w:top w:val="nil"/>
                    <w:left w:val="nil"/>
                    <w:bottom w:val="single" w:sz="4" w:space="0" w:color="auto"/>
                    <w:right w:val="single" w:sz="4" w:space="0" w:color="auto"/>
                  </w:tcBorders>
                  <w:shd w:val="clear" w:color="auto" w:fill="auto"/>
                  <w:noWrap/>
                  <w:vAlign w:val="bottom"/>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1,640.15</w:t>
                  </w:r>
                </w:p>
              </w:tc>
              <w:tc>
                <w:tcPr>
                  <w:tcW w:w="1396" w:type="dxa"/>
                  <w:tcBorders>
                    <w:top w:val="nil"/>
                    <w:left w:val="nil"/>
                    <w:bottom w:val="single" w:sz="4" w:space="0" w:color="auto"/>
                    <w:right w:val="single" w:sz="4" w:space="0" w:color="auto"/>
                  </w:tcBorders>
                  <w:shd w:val="clear" w:color="auto" w:fill="auto"/>
                  <w:noWrap/>
                  <w:vAlign w:val="bottom"/>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16,545.50</w:t>
                  </w:r>
                </w:p>
              </w:tc>
            </w:tr>
            <w:tr w:rsidR="0056747E" w:rsidRPr="001549B5" w:rsidTr="001E0D47">
              <w:trPr>
                <w:trHeight w:val="365"/>
              </w:trPr>
              <w:tc>
                <w:tcPr>
                  <w:tcW w:w="5728" w:type="dxa"/>
                  <w:tcBorders>
                    <w:top w:val="nil"/>
                    <w:left w:val="single" w:sz="4" w:space="0" w:color="auto"/>
                    <w:bottom w:val="single" w:sz="4" w:space="0" w:color="auto"/>
                    <w:right w:val="single" w:sz="4" w:space="0" w:color="auto"/>
                  </w:tcBorders>
                  <w:shd w:val="clear" w:color="auto" w:fill="auto"/>
                  <w:vAlign w:val="bottom"/>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D. Other contributions</w:t>
                  </w:r>
                </w:p>
              </w:tc>
              <w:tc>
                <w:tcPr>
                  <w:tcW w:w="1311" w:type="dxa"/>
                  <w:tcBorders>
                    <w:top w:val="nil"/>
                    <w:left w:val="nil"/>
                    <w:bottom w:val="single" w:sz="4" w:space="0" w:color="auto"/>
                    <w:right w:val="single" w:sz="4" w:space="0" w:color="auto"/>
                  </w:tcBorders>
                  <w:shd w:val="clear" w:color="auto" w:fill="auto"/>
                  <w:noWrap/>
                  <w:vAlign w:val="bottom"/>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376.96</w:t>
                  </w:r>
                </w:p>
              </w:tc>
              <w:tc>
                <w:tcPr>
                  <w:tcW w:w="1394" w:type="dxa"/>
                  <w:tcBorders>
                    <w:top w:val="nil"/>
                    <w:left w:val="nil"/>
                    <w:bottom w:val="single" w:sz="4" w:space="0" w:color="auto"/>
                    <w:right w:val="single" w:sz="4" w:space="0" w:color="auto"/>
                  </w:tcBorders>
                  <w:shd w:val="clear" w:color="auto" w:fill="auto"/>
                  <w:noWrap/>
                  <w:vAlign w:val="bottom"/>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37.33</w:t>
                  </w:r>
                </w:p>
              </w:tc>
              <w:tc>
                <w:tcPr>
                  <w:tcW w:w="1396" w:type="dxa"/>
                  <w:tcBorders>
                    <w:top w:val="nil"/>
                    <w:left w:val="nil"/>
                    <w:bottom w:val="single" w:sz="4" w:space="0" w:color="auto"/>
                    <w:right w:val="single" w:sz="4" w:space="0" w:color="auto"/>
                  </w:tcBorders>
                  <w:shd w:val="clear" w:color="auto" w:fill="auto"/>
                  <w:noWrap/>
                  <w:vAlign w:val="bottom"/>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414.29</w:t>
                  </w:r>
                </w:p>
              </w:tc>
            </w:tr>
            <w:tr w:rsidR="0056747E" w:rsidRPr="001549B5" w:rsidTr="001E0D47">
              <w:trPr>
                <w:trHeight w:val="490"/>
              </w:trPr>
              <w:tc>
                <w:tcPr>
                  <w:tcW w:w="5728" w:type="dxa"/>
                  <w:tcBorders>
                    <w:top w:val="nil"/>
                    <w:left w:val="nil"/>
                    <w:bottom w:val="nil"/>
                    <w:right w:val="nil"/>
                  </w:tcBorders>
                  <w:shd w:val="clear" w:color="auto" w:fill="auto"/>
                  <w:vAlign w:val="bottom"/>
                  <w:hideMark/>
                </w:tcPr>
                <w:p w:rsidR="00674083" w:rsidRDefault="00674083" w:rsidP="0056747E">
                  <w:pPr>
                    <w:widowControl w:val="0"/>
                    <w:tabs>
                      <w:tab w:val="num" w:pos="709"/>
                    </w:tabs>
                    <w:suppressAutoHyphens/>
                    <w:jc w:val="both"/>
                    <w:rPr>
                      <w:rFonts w:ascii="Calibri" w:hAnsi="Calibri" w:cs="Arial"/>
                      <w:b/>
                      <w:bCs/>
                      <w:lang w:val="ro-RO" w:eastAsia="zh-CN"/>
                    </w:rPr>
                  </w:pPr>
                </w:p>
                <w:p w:rsidR="00674083" w:rsidRDefault="00674083" w:rsidP="0056747E">
                  <w:pPr>
                    <w:widowControl w:val="0"/>
                    <w:tabs>
                      <w:tab w:val="num" w:pos="709"/>
                    </w:tabs>
                    <w:suppressAutoHyphens/>
                    <w:jc w:val="both"/>
                    <w:rPr>
                      <w:rFonts w:ascii="Calibri" w:hAnsi="Calibri" w:cs="Arial"/>
                      <w:b/>
                      <w:bCs/>
                      <w:lang w:val="ro-RO" w:eastAsia="zh-CN"/>
                    </w:rPr>
                  </w:pPr>
                </w:p>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BALANCE - MFF 2007-2013 + MFF 2014-2020</w:t>
                  </w:r>
                </w:p>
              </w:tc>
              <w:tc>
                <w:tcPr>
                  <w:tcW w:w="1311" w:type="dxa"/>
                  <w:tcBorders>
                    <w:top w:val="nil"/>
                    <w:left w:val="nil"/>
                    <w:bottom w:val="nil"/>
                    <w:right w:val="nil"/>
                  </w:tcBorders>
                  <w:shd w:val="clear" w:color="auto" w:fill="auto"/>
                  <w:vAlign w:val="bottom"/>
                  <w:hideMark/>
                </w:tcPr>
                <w:p w:rsidR="0056747E" w:rsidRPr="001549B5" w:rsidRDefault="0056747E" w:rsidP="0056747E">
                  <w:pPr>
                    <w:widowControl w:val="0"/>
                    <w:tabs>
                      <w:tab w:val="num" w:pos="709"/>
                    </w:tabs>
                    <w:suppressAutoHyphens/>
                    <w:jc w:val="both"/>
                    <w:rPr>
                      <w:rFonts w:ascii="Calibri" w:hAnsi="Calibri" w:cs="Arial"/>
                      <w:b/>
                      <w:bCs/>
                      <w:lang w:val="ro-RO" w:eastAsia="zh-CN"/>
                    </w:rPr>
                  </w:pPr>
                </w:p>
              </w:tc>
              <w:tc>
                <w:tcPr>
                  <w:tcW w:w="1394" w:type="dxa"/>
                  <w:tcBorders>
                    <w:top w:val="nil"/>
                    <w:left w:val="nil"/>
                    <w:bottom w:val="nil"/>
                    <w:right w:val="nil"/>
                  </w:tcBorders>
                  <w:shd w:val="clear" w:color="auto" w:fill="auto"/>
                  <w:vAlign w:val="bottom"/>
                  <w:hideMark/>
                </w:tcPr>
                <w:p w:rsidR="0056747E" w:rsidRPr="001549B5" w:rsidRDefault="0056747E" w:rsidP="0056747E">
                  <w:pPr>
                    <w:widowControl w:val="0"/>
                    <w:tabs>
                      <w:tab w:val="num" w:pos="709"/>
                    </w:tabs>
                    <w:suppressAutoHyphens/>
                    <w:jc w:val="both"/>
                    <w:rPr>
                      <w:rFonts w:ascii="Calibri" w:hAnsi="Calibri" w:cs="Arial"/>
                      <w:lang w:val="ro-RO" w:eastAsia="zh-CN"/>
                    </w:rPr>
                  </w:pPr>
                </w:p>
              </w:tc>
              <w:tc>
                <w:tcPr>
                  <w:tcW w:w="1396" w:type="dxa"/>
                  <w:tcBorders>
                    <w:top w:val="nil"/>
                    <w:left w:val="nil"/>
                    <w:bottom w:val="nil"/>
                    <w:right w:val="nil"/>
                  </w:tcBorders>
                  <w:shd w:val="clear" w:color="auto" w:fill="auto"/>
                  <w:noWrap/>
                  <w:vAlign w:val="bottom"/>
                  <w:hideMark/>
                </w:tcPr>
                <w:p w:rsidR="00674083" w:rsidRDefault="00674083" w:rsidP="0056747E">
                  <w:pPr>
                    <w:widowControl w:val="0"/>
                    <w:tabs>
                      <w:tab w:val="num" w:pos="709"/>
                    </w:tabs>
                    <w:suppressAutoHyphens/>
                    <w:jc w:val="both"/>
                    <w:rPr>
                      <w:rFonts w:ascii="Calibri" w:hAnsi="Calibri" w:cs="Arial"/>
                      <w:b/>
                      <w:bCs/>
                      <w:sz w:val="20"/>
                      <w:szCs w:val="20"/>
                      <w:lang w:val="ro-RO" w:eastAsia="zh-CN"/>
                    </w:rPr>
                  </w:pPr>
                </w:p>
                <w:p w:rsidR="00674083" w:rsidRDefault="00674083" w:rsidP="0056747E">
                  <w:pPr>
                    <w:widowControl w:val="0"/>
                    <w:tabs>
                      <w:tab w:val="num" w:pos="709"/>
                    </w:tabs>
                    <w:suppressAutoHyphens/>
                    <w:jc w:val="both"/>
                    <w:rPr>
                      <w:rFonts w:ascii="Calibri" w:hAnsi="Calibri" w:cs="Arial"/>
                      <w:b/>
                      <w:bCs/>
                      <w:sz w:val="20"/>
                      <w:szCs w:val="20"/>
                      <w:lang w:val="ro-RO" w:eastAsia="zh-CN"/>
                    </w:rPr>
                  </w:pPr>
                </w:p>
                <w:p w:rsidR="00674083" w:rsidRDefault="00674083" w:rsidP="0056747E">
                  <w:pPr>
                    <w:widowControl w:val="0"/>
                    <w:tabs>
                      <w:tab w:val="num" w:pos="709"/>
                    </w:tabs>
                    <w:suppressAutoHyphens/>
                    <w:jc w:val="both"/>
                    <w:rPr>
                      <w:rFonts w:ascii="Calibri" w:hAnsi="Calibri" w:cs="Arial"/>
                      <w:b/>
                      <w:bCs/>
                      <w:sz w:val="20"/>
                      <w:szCs w:val="20"/>
                      <w:lang w:val="ro-RO" w:eastAsia="zh-CN"/>
                    </w:rPr>
                  </w:pPr>
                </w:p>
                <w:p w:rsidR="0056747E" w:rsidRPr="002E0E4B" w:rsidRDefault="0056747E" w:rsidP="0056747E">
                  <w:pPr>
                    <w:widowControl w:val="0"/>
                    <w:tabs>
                      <w:tab w:val="num" w:pos="709"/>
                    </w:tabs>
                    <w:suppressAutoHyphens/>
                    <w:jc w:val="both"/>
                    <w:rPr>
                      <w:rFonts w:ascii="Calibri" w:hAnsi="Calibri" w:cs="Arial"/>
                      <w:b/>
                      <w:bCs/>
                      <w:sz w:val="20"/>
                      <w:szCs w:val="20"/>
                    </w:rPr>
                  </w:pPr>
                  <w:r>
                    <w:rPr>
                      <w:rFonts w:ascii="Calibri" w:hAnsi="Calibri"/>
                      <w:b/>
                      <w:bCs/>
                      <w:sz w:val="20"/>
                      <w:szCs w:val="20"/>
                    </w:rPr>
                    <w:t>Million EUR</w:t>
                  </w:r>
                </w:p>
              </w:tc>
            </w:tr>
            <w:tr w:rsidR="0056747E" w:rsidRPr="001549B5" w:rsidTr="001E0D47">
              <w:trPr>
                <w:trHeight w:val="1118"/>
              </w:trPr>
              <w:tc>
                <w:tcPr>
                  <w:tcW w:w="5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Name</w:t>
                  </w:r>
                </w:p>
              </w:tc>
              <w:tc>
                <w:tcPr>
                  <w:tcW w:w="1311" w:type="dxa"/>
                  <w:tcBorders>
                    <w:top w:val="single" w:sz="4" w:space="0" w:color="auto"/>
                    <w:left w:val="nil"/>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Achieved</w:t>
                  </w:r>
                  <w:r>
                    <w:rPr>
                      <w:rFonts w:ascii="Calibri" w:hAnsi="Calibri"/>
                    </w:rPr>
                    <w:br/>
                    <w:t>2007- 2017</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 xml:space="preserve">Achieved in 2018 </w:t>
                  </w:r>
                  <w:r>
                    <w:rPr>
                      <w:rFonts w:ascii="Calibri" w:hAnsi="Calibri"/>
                    </w:rPr>
                    <w:br/>
                    <w:t xml:space="preserve">(execution at </w:t>
                  </w:r>
                  <w:r>
                    <w:rPr>
                      <w:rFonts w:ascii="Calibri" w:hAnsi="Calibri"/>
                    </w:rPr>
                    <w:br/>
                    <w:t>December 31, 2018)</w:t>
                  </w:r>
                </w:p>
              </w:tc>
              <w:tc>
                <w:tcPr>
                  <w:tcW w:w="1396" w:type="dxa"/>
                  <w:tcBorders>
                    <w:top w:val="single" w:sz="4" w:space="0" w:color="auto"/>
                    <w:left w:val="nil"/>
                    <w:bottom w:val="single" w:sz="4" w:space="0" w:color="auto"/>
                    <w:right w:val="single" w:sz="4" w:space="0" w:color="auto"/>
                  </w:tcBorders>
                  <w:shd w:val="clear" w:color="auto" w:fill="auto"/>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Achieved</w:t>
                  </w:r>
                  <w:r>
                    <w:rPr>
                      <w:rFonts w:ascii="Calibri" w:hAnsi="Calibri"/>
                    </w:rPr>
                    <w:br/>
                    <w:t xml:space="preserve"> 2007-2018</w:t>
                  </w:r>
                  <w:r>
                    <w:rPr>
                      <w:rFonts w:ascii="Calibri" w:hAnsi="Calibri"/>
                    </w:rPr>
                    <w:br/>
                    <w:t xml:space="preserve">(execution at </w:t>
                  </w:r>
                  <w:r>
                    <w:rPr>
                      <w:rFonts w:ascii="Calibri" w:hAnsi="Calibri"/>
                    </w:rPr>
                    <w:br/>
                    <w:t>December 31, 2018)</w:t>
                  </w:r>
                </w:p>
              </w:tc>
            </w:tr>
            <w:tr w:rsidR="0056747E" w:rsidRPr="001549B5" w:rsidTr="001E0D47">
              <w:trPr>
                <w:trHeight w:val="439"/>
              </w:trPr>
              <w:tc>
                <w:tcPr>
                  <w:tcW w:w="5728" w:type="dxa"/>
                  <w:tcBorders>
                    <w:top w:val="nil"/>
                    <w:left w:val="single" w:sz="4" w:space="0" w:color="auto"/>
                    <w:bottom w:val="single" w:sz="4" w:space="0" w:color="auto"/>
                    <w:right w:val="single" w:sz="4" w:space="0" w:color="auto"/>
                  </w:tcBorders>
                  <w:shd w:val="clear" w:color="000000" w:fill="BFBFBF"/>
                  <w:vAlign w:val="center"/>
                  <w:hideMark/>
                </w:tcPr>
                <w:p w:rsidR="0056747E" w:rsidRPr="003964D3" w:rsidRDefault="0056747E" w:rsidP="0056747E">
                  <w:pPr>
                    <w:widowControl w:val="0"/>
                    <w:tabs>
                      <w:tab w:val="num" w:pos="709"/>
                    </w:tabs>
                    <w:suppressAutoHyphens/>
                    <w:jc w:val="both"/>
                    <w:rPr>
                      <w:rFonts w:ascii="Calibri" w:hAnsi="Calibri" w:cs="Arial"/>
                      <w:b/>
                      <w:bCs/>
                    </w:rPr>
                  </w:pPr>
                  <w:r>
                    <w:rPr>
                      <w:rFonts w:ascii="Calibri" w:hAnsi="Calibri"/>
                      <w:b/>
                    </w:rPr>
                    <w:t>I. AMOUNTS RECEIVED FROM THE EU BUDGET</w:t>
                  </w:r>
                  <w:r>
                    <w:rPr>
                      <w:rFonts w:ascii="Calibri" w:hAnsi="Calibri"/>
                    </w:rPr>
                    <w:t xml:space="preserve"> (A+B)</w:t>
                  </w:r>
                </w:p>
              </w:tc>
              <w:tc>
                <w:tcPr>
                  <w:tcW w:w="1311" w:type="dxa"/>
                  <w:tcBorders>
                    <w:top w:val="nil"/>
                    <w:left w:val="nil"/>
                    <w:bottom w:val="single" w:sz="4" w:space="0" w:color="auto"/>
                    <w:right w:val="single" w:sz="4" w:space="0" w:color="auto"/>
                  </w:tcBorders>
                  <w:shd w:val="clear" w:color="000000" w:fill="BFBFBF"/>
                  <w:noWrap/>
                  <w:vAlign w:val="center"/>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45,685.92</w:t>
                  </w:r>
                </w:p>
              </w:tc>
              <w:tc>
                <w:tcPr>
                  <w:tcW w:w="1394" w:type="dxa"/>
                  <w:tcBorders>
                    <w:top w:val="nil"/>
                    <w:left w:val="nil"/>
                    <w:bottom w:val="single" w:sz="4" w:space="0" w:color="auto"/>
                    <w:right w:val="single" w:sz="4" w:space="0" w:color="auto"/>
                  </w:tcBorders>
                  <w:shd w:val="clear" w:color="000000" w:fill="BFBFBF"/>
                  <w:noWrap/>
                  <w:vAlign w:val="center"/>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4,444.42</w:t>
                  </w:r>
                </w:p>
              </w:tc>
              <w:tc>
                <w:tcPr>
                  <w:tcW w:w="1396" w:type="dxa"/>
                  <w:tcBorders>
                    <w:top w:val="nil"/>
                    <w:left w:val="nil"/>
                    <w:bottom w:val="single" w:sz="4" w:space="0" w:color="auto"/>
                    <w:right w:val="single" w:sz="4" w:space="0" w:color="auto"/>
                  </w:tcBorders>
                  <w:shd w:val="clear" w:color="000000" w:fill="BFBFBF"/>
                  <w:noWrap/>
                  <w:vAlign w:val="center"/>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50,130.34</w:t>
                  </w:r>
                </w:p>
              </w:tc>
            </w:tr>
            <w:tr w:rsidR="0056747E" w:rsidRPr="001549B5" w:rsidTr="001E0D47">
              <w:trPr>
                <w:trHeight w:val="365"/>
              </w:trPr>
              <w:tc>
                <w:tcPr>
                  <w:tcW w:w="5728" w:type="dxa"/>
                  <w:tcBorders>
                    <w:top w:val="nil"/>
                    <w:left w:val="single" w:sz="4" w:space="0" w:color="auto"/>
                    <w:bottom w:val="single" w:sz="4" w:space="0" w:color="auto"/>
                    <w:right w:val="single" w:sz="4" w:space="0" w:color="auto"/>
                  </w:tcBorders>
                  <w:shd w:val="clear" w:color="auto" w:fill="auto"/>
                  <w:vAlign w:val="center"/>
                  <w:hideMark/>
                </w:tcPr>
                <w:p w:rsidR="0056747E" w:rsidRPr="003964D3" w:rsidRDefault="0056747E" w:rsidP="0056747E">
                  <w:pPr>
                    <w:widowControl w:val="0"/>
                    <w:tabs>
                      <w:tab w:val="num" w:pos="709"/>
                    </w:tabs>
                    <w:suppressAutoHyphens/>
                    <w:jc w:val="both"/>
                    <w:rPr>
                      <w:rFonts w:ascii="Calibri" w:hAnsi="Calibri" w:cs="Arial"/>
                    </w:rPr>
                  </w:pPr>
                  <w:r>
                    <w:rPr>
                      <w:rFonts w:ascii="Calibri" w:hAnsi="Calibri"/>
                    </w:rPr>
                    <w:t>A. AMOUNTS RECEIVED FROM THE EU BUDGET from the MFF 2007-2013</w:t>
                  </w:r>
                </w:p>
              </w:tc>
              <w:tc>
                <w:tcPr>
                  <w:tcW w:w="1311"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37,066.11</w:t>
                  </w:r>
                </w:p>
              </w:tc>
              <w:tc>
                <w:tcPr>
                  <w:tcW w:w="1394"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6.55</w:t>
                  </w:r>
                </w:p>
              </w:tc>
              <w:tc>
                <w:tcPr>
                  <w:tcW w:w="1396"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37,072.66</w:t>
                  </w:r>
                </w:p>
              </w:tc>
            </w:tr>
            <w:tr w:rsidR="0056747E" w:rsidRPr="001549B5" w:rsidTr="001E0D47">
              <w:trPr>
                <w:trHeight w:val="365"/>
              </w:trPr>
              <w:tc>
                <w:tcPr>
                  <w:tcW w:w="5728" w:type="dxa"/>
                  <w:tcBorders>
                    <w:top w:val="nil"/>
                    <w:left w:val="single" w:sz="4" w:space="0" w:color="auto"/>
                    <w:bottom w:val="single" w:sz="4" w:space="0" w:color="auto"/>
                    <w:right w:val="single" w:sz="4" w:space="0" w:color="auto"/>
                  </w:tcBorders>
                  <w:shd w:val="clear" w:color="auto" w:fill="auto"/>
                  <w:vAlign w:val="center"/>
                  <w:hideMark/>
                </w:tcPr>
                <w:p w:rsidR="0056747E" w:rsidRPr="003964D3" w:rsidRDefault="0056747E" w:rsidP="0056747E">
                  <w:pPr>
                    <w:widowControl w:val="0"/>
                    <w:tabs>
                      <w:tab w:val="num" w:pos="709"/>
                    </w:tabs>
                    <w:suppressAutoHyphens/>
                    <w:jc w:val="both"/>
                    <w:rPr>
                      <w:rFonts w:ascii="Calibri" w:hAnsi="Calibri" w:cs="Arial"/>
                    </w:rPr>
                  </w:pPr>
                  <w:r>
                    <w:rPr>
                      <w:rFonts w:ascii="Calibri" w:hAnsi="Calibri"/>
                    </w:rPr>
                    <w:t>b. AMOUNTS RECEIVED FROM THE EU BUDGET from the MFF 2014-2020</w:t>
                  </w:r>
                </w:p>
              </w:tc>
              <w:tc>
                <w:tcPr>
                  <w:tcW w:w="1311"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8,619.81</w:t>
                  </w:r>
                </w:p>
              </w:tc>
              <w:tc>
                <w:tcPr>
                  <w:tcW w:w="1394"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4,437.87</w:t>
                  </w:r>
                </w:p>
              </w:tc>
              <w:tc>
                <w:tcPr>
                  <w:tcW w:w="1396" w:type="dxa"/>
                  <w:tcBorders>
                    <w:top w:val="nil"/>
                    <w:left w:val="nil"/>
                    <w:bottom w:val="single" w:sz="4" w:space="0" w:color="auto"/>
                    <w:right w:val="single" w:sz="4" w:space="0" w:color="auto"/>
                  </w:tcBorders>
                  <w:shd w:val="clear" w:color="auto" w:fill="auto"/>
                  <w:noWrap/>
                  <w:vAlign w:val="center"/>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13,057.68</w:t>
                  </w:r>
                </w:p>
              </w:tc>
            </w:tr>
            <w:tr w:rsidR="0056747E" w:rsidRPr="001549B5" w:rsidTr="001E0D47">
              <w:trPr>
                <w:trHeight w:val="439"/>
              </w:trPr>
              <w:tc>
                <w:tcPr>
                  <w:tcW w:w="5728" w:type="dxa"/>
                  <w:tcBorders>
                    <w:top w:val="nil"/>
                    <w:left w:val="single" w:sz="4" w:space="0" w:color="auto"/>
                    <w:bottom w:val="single" w:sz="4" w:space="0" w:color="auto"/>
                    <w:right w:val="single" w:sz="4" w:space="0" w:color="auto"/>
                  </w:tcBorders>
                  <w:shd w:val="clear" w:color="000000" w:fill="BFBFBF"/>
                  <w:vAlign w:val="center"/>
                  <w:hideMark/>
                </w:tcPr>
                <w:p w:rsidR="0056747E" w:rsidRPr="003964D3" w:rsidRDefault="0056747E" w:rsidP="0056747E">
                  <w:pPr>
                    <w:widowControl w:val="0"/>
                    <w:tabs>
                      <w:tab w:val="num" w:pos="709"/>
                    </w:tabs>
                    <w:suppressAutoHyphens/>
                    <w:jc w:val="both"/>
                    <w:rPr>
                      <w:rFonts w:ascii="Calibri" w:hAnsi="Calibri" w:cs="Arial"/>
                      <w:b/>
                      <w:bCs/>
                    </w:rPr>
                  </w:pPr>
                  <w:r>
                    <w:rPr>
                      <w:rFonts w:ascii="Calibri" w:hAnsi="Calibri"/>
                      <w:b/>
                      <w:bCs/>
                    </w:rPr>
                    <w:t>II. AMOUNTS PAID TO THE EU BUDGET</w:t>
                  </w:r>
                </w:p>
              </w:tc>
              <w:tc>
                <w:tcPr>
                  <w:tcW w:w="1311" w:type="dxa"/>
                  <w:tcBorders>
                    <w:top w:val="nil"/>
                    <w:left w:val="nil"/>
                    <w:bottom w:val="single" w:sz="4" w:space="0" w:color="auto"/>
                    <w:right w:val="single" w:sz="4" w:space="0" w:color="auto"/>
                  </w:tcBorders>
                  <w:shd w:val="clear" w:color="000000" w:fill="BFBFBF"/>
                  <w:noWrap/>
                  <w:vAlign w:val="center"/>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15,282.32</w:t>
                  </w:r>
                </w:p>
              </w:tc>
              <w:tc>
                <w:tcPr>
                  <w:tcW w:w="1394" w:type="dxa"/>
                  <w:tcBorders>
                    <w:top w:val="nil"/>
                    <w:left w:val="nil"/>
                    <w:bottom w:val="single" w:sz="4" w:space="0" w:color="auto"/>
                    <w:right w:val="single" w:sz="4" w:space="0" w:color="auto"/>
                  </w:tcBorders>
                  <w:shd w:val="clear" w:color="000000" w:fill="BFBFBF"/>
                  <w:noWrap/>
                  <w:vAlign w:val="center"/>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1,677.48</w:t>
                  </w:r>
                </w:p>
              </w:tc>
              <w:tc>
                <w:tcPr>
                  <w:tcW w:w="1396" w:type="dxa"/>
                  <w:tcBorders>
                    <w:top w:val="nil"/>
                    <w:left w:val="nil"/>
                    <w:bottom w:val="single" w:sz="4" w:space="0" w:color="auto"/>
                    <w:right w:val="single" w:sz="4" w:space="0" w:color="auto"/>
                  </w:tcBorders>
                  <w:shd w:val="clear" w:color="000000" w:fill="BFBFBF"/>
                  <w:noWrap/>
                  <w:vAlign w:val="center"/>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16,959.80</w:t>
                  </w:r>
                </w:p>
              </w:tc>
            </w:tr>
            <w:tr w:rsidR="0056747E" w:rsidRPr="001549B5" w:rsidTr="001E0D47">
              <w:trPr>
                <w:trHeight w:val="439"/>
              </w:trPr>
              <w:tc>
                <w:tcPr>
                  <w:tcW w:w="5728" w:type="dxa"/>
                  <w:tcBorders>
                    <w:top w:val="nil"/>
                    <w:left w:val="single" w:sz="4" w:space="0" w:color="auto"/>
                    <w:bottom w:val="single" w:sz="4" w:space="0" w:color="auto"/>
                    <w:right w:val="single" w:sz="4" w:space="0" w:color="auto"/>
                  </w:tcBorders>
                  <w:shd w:val="clear" w:color="000000" w:fill="FFFF00"/>
                  <w:vAlign w:val="center"/>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III. FLOWS BALANCE = I - II</w:t>
                  </w:r>
                </w:p>
              </w:tc>
              <w:tc>
                <w:tcPr>
                  <w:tcW w:w="1311" w:type="dxa"/>
                  <w:tcBorders>
                    <w:top w:val="nil"/>
                    <w:left w:val="nil"/>
                    <w:bottom w:val="single" w:sz="4" w:space="0" w:color="auto"/>
                    <w:right w:val="single" w:sz="4" w:space="0" w:color="auto"/>
                  </w:tcBorders>
                  <w:shd w:val="clear" w:color="000000" w:fill="FFFF00"/>
                  <w:noWrap/>
                  <w:vAlign w:val="center"/>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30,403.60</w:t>
                  </w:r>
                </w:p>
              </w:tc>
              <w:tc>
                <w:tcPr>
                  <w:tcW w:w="1394" w:type="dxa"/>
                  <w:tcBorders>
                    <w:top w:val="nil"/>
                    <w:left w:val="nil"/>
                    <w:bottom w:val="single" w:sz="4" w:space="0" w:color="auto"/>
                    <w:right w:val="single" w:sz="4" w:space="0" w:color="auto"/>
                  </w:tcBorders>
                  <w:shd w:val="clear" w:color="000000" w:fill="FFFF00"/>
                  <w:noWrap/>
                  <w:vAlign w:val="center"/>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2,766.94</w:t>
                  </w:r>
                </w:p>
              </w:tc>
              <w:tc>
                <w:tcPr>
                  <w:tcW w:w="1396" w:type="dxa"/>
                  <w:tcBorders>
                    <w:top w:val="nil"/>
                    <w:left w:val="nil"/>
                    <w:bottom w:val="single" w:sz="4" w:space="0" w:color="auto"/>
                    <w:right w:val="single" w:sz="4" w:space="0" w:color="auto"/>
                  </w:tcBorders>
                  <w:shd w:val="clear" w:color="000000" w:fill="FFFF00"/>
                  <w:noWrap/>
                  <w:vAlign w:val="center"/>
                  <w:hideMark/>
                </w:tcPr>
                <w:p w:rsidR="0056747E" w:rsidRPr="001549B5" w:rsidRDefault="0056747E" w:rsidP="0056747E">
                  <w:pPr>
                    <w:widowControl w:val="0"/>
                    <w:tabs>
                      <w:tab w:val="num" w:pos="709"/>
                    </w:tabs>
                    <w:suppressAutoHyphens/>
                    <w:jc w:val="both"/>
                    <w:rPr>
                      <w:rFonts w:ascii="Calibri" w:hAnsi="Calibri" w:cs="Arial"/>
                      <w:b/>
                      <w:bCs/>
                    </w:rPr>
                  </w:pPr>
                  <w:r>
                    <w:rPr>
                      <w:rFonts w:ascii="Calibri" w:hAnsi="Calibri"/>
                      <w:b/>
                      <w:bCs/>
                    </w:rPr>
                    <w:t>33,170.54</w:t>
                  </w:r>
                </w:p>
              </w:tc>
            </w:tr>
            <w:tr w:rsidR="0056747E" w:rsidRPr="001549B5" w:rsidTr="001E0D47">
              <w:trPr>
                <w:trHeight w:val="342"/>
              </w:trPr>
              <w:tc>
                <w:tcPr>
                  <w:tcW w:w="5728" w:type="dxa"/>
                  <w:tcBorders>
                    <w:top w:val="nil"/>
                    <w:left w:val="nil"/>
                    <w:bottom w:val="nil"/>
                    <w:right w:val="nil"/>
                  </w:tcBorders>
                  <w:shd w:val="clear" w:color="auto" w:fill="auto"/>
                  <w:noWrap/>
                  <w:vAlign w:val="bottom"/>
                  <w:hideMark/>
                </w:tcPr>
                <w:p w:rsidR="0056747E" w:rsidRPr="001549B5" w:rsidRDefault="0056747E" w:rsidP="0056747E">
                  <w:pPr>
                    <w:widowControl w:val="0"/>
                    <w:tabs>
                      <w:tab w:val="num" w:pos="709"/>
                    </w:tabs>
                    <w:suppressAutoHyphens/>
                    <w:jc w:val="both"/>
                    <w:rPr>
                      <w:rFonts w:ascii="Calibri" w:hAnsi="Calibri" w:cs="Arial"/>
                    </w:rPr>
                  </w:pPr>
                  <w:r>
                    <w:rPr>
                      <w:rFonts w:ascii="Calibri" w:hAnsi="Calibri"/>
                    </w:rPr>
                    <w:t>*) Multi-annual financial framework</w:t>
                  </w:r>
                </w:p>
              </w:tc>
              <w:tc>
                <w:tcPr>
                  <w:tcW w:w="1311" w:type="dxa"/>
                  <w:tcBorders>
                    <w:top w:val="nil"/>
                    <w:left w:val="nil"/>
                    <w:bottom w:val="nil"/>
                    <w:right w:val="nil"/>
                  </w:tcBorders>
                  <w:shd w:val="clear" w:color="auto" w:fill="auto"/>
                  <w:noWrap/>
                  <w:vAlign w:val="bottom"/>
                  <w:hideMark/>
                </w:tcPr>
                <w:p w:rsidR="0056747E" w:rsidRPr="001549B5" w:rsidRDefault="0056747E" w:rsidP="0056747E">
                  <w:pPr>
                    <w:widowControl w:val="0"/>
                    <w:tabs>
                      <w:tab w:val="num" w:pos="709"/>
                    </w:tabs>
                    <w:suppressAutoHyphens/>
                    <w:jc w:val="both"/>
                    <w:rPr>
                      <w:rFonts w:ascii="Calibri" w:hAnsi="Calibri" w:cs="Arial"/>
                      <w:lang w:val="ro-RO" w:eastAsia="zh-CN"/>
                    </w:rPr>
                  </w:pPr>
                </w:p>
              </w:tc>
              <w:tc>
                <w:tcPr>
                  <w:tcW w:w="1394" w:type="dxa"/>
                  <w:tcBorders>
                    <w:top w:val="nil"/>
                    <w:left w:val="nil"/>
                    <w:bottom w:val="nil"/>
                    <w:right w:val="nil"/>
                  </w:tcBorders>
                  <w:shd w:val="clear" w:color="auto" w:fill="auto"/>
                  <w:noWrap/>
                  <w:vAlign w:val="bottom"/>
                  <w:hideMark/>
                </w:tcPr>
                <w:p w:rsidR="0056747E" w:rsidRPr="001549B5" w:rsidRDefault="0056747E" w:rsidP="0056747E">
                  <w:pPr>
                    <w:widowControl w:val="0"/>
                    <w:tabs>
                      <w:tab w:val="num" w:pos="709"/>
                    </w:tabs>
                    <w:suppressAutoHyphens/>
                    <w:jc w:val="both"/>
                    <w:rPr>
                      <w:rFonts w:ascii="Calibri" w:hAnsi="Calibri" w:cs="Arial"/>
                      <w:lang w:val="ro-RO" w:eastAsia="zh-CN"/>
                    </w:rPr>
                  </w:pPr>
                </w:p>
              </w:tc>
              <w:tc>
                <w:tcPr>
                  <w:tcW w:w="1396" w:type="dxa"/>
                  <w:tcBorders>
                    <w:top w:val="nil"/>
                    <w:left w:val="nil"/>
                    <w:bottom w:val="nil"/>
                    <w:right w:val="nil"/>
                  </w:tcBorders>
                  <w:shd w:val="clear" w:color="auto" w:fill="auto"/>
                  <w:noWrap/>
                  <w:vAlign w:val="bottom"/>
                  <w:hideMark/>
                </w:tcPr>
                <w:p w:rsidR="0056747E" w:rsidRPr="001549B5" w:rsidRDefault="0056747E" w:rsidP="0056747E">
                  <w:pPr>
                    <w:widowControl w:val="0"/>
                    <w:tabs>
                      <w:tab w:val="num" w:pos="709"/>
                    </w:tabs>
                    <w:suppressAutoHyphens/>
                    <w:jc w:val="both"/>
                    <w:rPr>
                      <w:rFonts w:ascii="Calibri" w:hAnsi="Calibri" w:cs="Arial"/>
                      <w:lang w:val="ro-RO" w:eastAsia="zh-CN"/>
                    </w:rPr>
                  </w:pPr>
                </w:p>
              </w:tc>
            </w:tr>
          </w:tbl>
          <w:p w:rsidR="00730519" w:rsidRPr="0012479C" w:rsidRDefault="00730519" w:rsidP="0028639D">
            <w:pPr>
              <w:jc w:val="both"/>
              <w:rPr>
                <w:rFonts w:ascii="Calibri" w:hAnsi="Calibri" w:cs="Arial"/>
                <w:b/>
                <w:bCs/>
                <w:lang w:val="ro-RO"/>
              </w:rPr>
            </w:pPr>
          </w:p>
        </w:tc>
      </w:tr>
    </w:tbl>
    <w:p w:rsidR="00BC79B1" w:rsidRPr="00902951" w:rsidRDefault="00BC79B1" w:rsidP="00D7373B">
      <w:pPr>
        <w:widowControl w:val="0"/>
        <w:tabs>
          <w:tab w:val="num" w:pos="709"/>
        </w:tabs>
        <w:suppressAutoHyphens/>
        <w:jc w:val="both"/>
        <w:rPr>
          <w:rFonts w:ascii="Calibri" w:hAnsi="Calibri" w:cs="Arial"/>
          <w:lang w:val="ro-RO" w:eastAsia="zh-CN"/>
        </w:rPr>
      </w:pPr>
    </w:p>
    <w:p w:rsidR="00410235" w:rsidRDefault="008B4C96" w:rsidP="001E03C9">
      <w:pPr>
        <w:shd w:val="clear" w:color="auto" w:fill="5B9BD5" w:themeFill="accent1"/>
        <w:ind w:firstLine="114"/>
        <w:rPr>
          <w:rFonts w:ascii="Calibri" w:hAnsi="Calibri" w:cs="Arial Narrow"/>
          <w:b/>
          <w:color w:val="000080"/>
        </w:rPr>
      </w:pPr>
      <w:r>
        <w:rPr>
          <w:rFonts w:ascii="Calibri" w:hAnsi="Calibri"/>
          <w:b/>
          <w:color w:val="000080"/>
        </w:rPr>
        <w:t>4.9 Public debt and financing of budget deficit</w:t>
      </w:r>
      <w:r w:rsidR="00EE0A9F" w:rsidRPr="00EE0A9F">
        <w:rPr>
          <w:rFonts w:ascii="Calibri" w:hAnsi="Calibri" w:cs="Arial Narrow"/>
          <w:b/>
          <w:color w:val="000080"/>
          <w:vertAlign w:val="superscript"/>
        </w:rPr>
        <w:footnoteReference w:id="45"/>
      </w:r>
    </w:p>
    <w:p w:rsidR="00A27780" w:rsidRPr="00511C02" w:rsidRDefault="00A27780" w:rsidP="00A27780">
      <w:pPr>
        <w:widowControl w:val="0"/>
        <w:tabs>
          <w:tab w:val="left" w:pos="993"/>
        </w:tabs>
        <w:ind w:right="-108"/>
        <w:rPr>
          <w:rFonts w:ascii="Calibri" w:hAnsi="Calibri" w:cs="Arial"/>
          <w:b/>
          <w:i/>
          <w:color w:val="365F91"/>
        </w:rPr>
      </w:pPr>
      <w:r>
        <w:rPr>
          <w:rFonts w:ascii="Calibri" w:hAnsi="Calibri"/>
          <w:b/>
          <w:i/>
          <w:color w:val="365F91"/>
        </w:rPr>
        <w:t>The Government debt (according to the EU methodology)</w:t>
      </w:r>
    </w:p>
    <w:p w:rsidR="00A27780" w:rsidRPr="00EB1B33" w:rsidRDefault="00A27780" w:rsidP="00A27780">
      <w:pPr>
        <w:widowControl w:val="0"/>
        <w:tabs>
          <w:tab w:val="left" w:pos="993"/>
        </w:tabs>
        <w:ind w:left="171" w:right="-108"/>
        <w:rPr>
          <w:rFonts w:ascii="Arial" w:hAnsi="Arial" w:cs="Arial"/>
          <w:color w:val="000000"/>
          <w:sz w:val="16"/>
          <w:szCs w:val="16"/>
          <w:lang w:val="ro-RO"/>
        </w:rPr>
      </w:pPr>
    </w:p>
    <w:p w:rsidR="005343F1" w:rsidRPr="005343F1" w:rsidRDefault="00382E21" w:rsidP="00382E21">
      <w:pPr>
        <w:tabs>
          <w:tab w:val="left" w:pos="5160"/>
        </w:tabs>
        <w:jc w:val="both"/>
        <w:rPr>
          <w:rFonts w:ascii="Calibri" w:hAnsi="Calibri" w:cs="Arial"/>
          <w:color w:val="000000"/>
        </w:rPr>
      </w:pPr>
      <w:r>
        <w:rPr>
          <w:rFonts w:ascii="Calibri" w:hAnsi="Calibri"/>
          <w:color w:val="000000"/>
        </w:rPr>
        <w:t>The Government debt, according to the EU methodology, was at 35.1% of GDP</w:t>
      </w:r>
      <w:r w:rsidR="005343F1">
        <w:rPr>
          <w:rStyle w:val="FootnoteReference"/>
          <w:rFonts w:ascii="Calibri" w:hAnsi="Calibri" w:cs="Arial"/>
          <w:color w:val="000000"/>
          <w:lang w:val="ro-RO"/>
        </w:rPr>
        <w:footnoteReference w:id="46"/>
      </w:r>
      <w:r>
        <w:rPr>
          <w:rFonts w:ascii="Calibri" w:hAnsi="Calibri"/>
          <w:color w:val="000000"/>
        </w:rPr>
        <w:t xml:space="preserve"> at the end of 2018, which is clearly less than the 60% ceiling established through the Maastricht Treaty, while the level of the net Government debt (representing the gross Government debt minus the liquid financial assets)</w:t>
      </w:r>
      <w:r w:rsidR="005343F1">
        <w:rPr>
          <w:rStyle w:val="FootnoteReference"/>
          <w:rFonts w:ascii="Calibri" w:hAnsi="Calibri" w:cs="Arial"/>
          <w:color w:val="000000"/>
          <w:lang w:val="ro-RO"/>
        </w:rPr>
        <w:footnoteReference w:id="47"/>
      </w:r>
      <w:r>
        <w:rPr>
          <w:rFonts w:ascii="Calibri" w:hAnsi="Calibri"/>
          <w:color w:val="000000"/>
        </w:rPr>
        <w:t xml:space="preserve"> represented 26.8% of GDP.  Out of the Government debt, the domestic debt represented 18.7% of GDP at the end of 2018, and the foreign debt was of 16.4% of GDP. </w:t>
      </w:r>
    </w:p>
    <w:p w:rsidR="005343F1" w:rsidRDefault="005343F1" w:rsidP="005343F1">
      <w:pPr>
        <w:tabs>
          <w:tab w:val="left" w:pos="5160"/>
        </w:tabs>
        <w:jc w:val="both"/>
        <w:rPr>
          <w:rFonts w:ascii="Calibri" w:hAnsi="Calibri" w:cs="Arial"/>
          <w:color w:val="000000"/>
        </w:rPr>
      </w:pPr>
      <w:r>
        <w:rPr>
          <w:rFonts w:ascii="Calibri" w:hAnsi="Calibri"/>
          <w:color w:val="000000"/>
        </w:rPr>
        <w:t>On medium term (2019-2021), the gross Government debt will be below 40.0% of GDP, while the net Government debt will not exceed 28.0% of GDP.</w:t>
      </w:r>
    </w:p>
    <w:p w:rsidR="005343F1" w:rsidRPr="00F515AF" w:rsidRDefault="005343F1" w:rsidP="005343F1">
      <w:pPr>
        <w:tabs>
          <w:tab w:val="left" w:pos="5160"/>
        </w:tabs>
        <w:jc w:val="both"/>
        <w:rPr>
          <w:rFonts w:ascii="Calibri" w:hAnsi="Calibri" w:cs="Arial"/>
          <w:color w:val="000000"/>
          <w:sz w:val="14"/>
          <w:lang w:val="ro-RO"/>
        </w:rPr>
      </w:pPr>
    </w:p>
    <w:p w:rsidR="00382E21" w:rsidRPr="003634C9" w:rsidRDefault="00382E21" w:rsidP="00382E21">
      <w:pPr>
        <w:tabs>
          <w:tab w:val="left" w:pos="5160"/>
        </w:tabs>
        <w:jc w:val="both"/>
        <w:rPr>
          <w:rFonts w:ascii="Calibri" w:hAnsi="Calibri" w:cs="Arial"/>
          <w:color w:val="000000"/>
        </w:rPr>
      </w:pPr>
      <w:r>
        <w:rPr>
          <w:rFonts w:ascii="Calibri" w:hAnsi="Calibri"/>
          <w:color w:val="000000"/>
        </w:rPr>
        <w:t>At the forecast of the level of government public debt in GDP were taken into account the debt contracted in their own name by the companies reclassified in the public administration sector at the end of October 2018 of 0.1% of GDP, a level which was extrapolated on the entire period under analysis.</w:t>
      </w:r>
    </w:p>
    <w:p w:rsidR="00382E21" w:rsidRDefault="00382E21" w:rsidP="00382E21">
      <w:pPr>
        <w:widowControl w:val="0"/>
        <w:tabs>
          <w:tab w:val="left" w:pos="993"/>
        </w:tabs>
        <w:spacing w:line="276" w:lineRule="auto"/>
        <w:ind w:right="-108"/>
        <w:rPr>
          <w:rFonts w:ascii="Calibri" w:hAnsi="Calibri" w:cs="Arial Narrow"/>
          <w:b/>
          <w:color w:val="000080"/>
          <w:lang w:val="ro-RO"/>
        </w:rPr>
      </w:pPr>
    </w:p>
    <w:p w:rsidR="00C10AD3" w:rsidRDefault="00C10AD3" w:rsidP="00382E21">
      <w:pPr>
        <w:widowControl w:val="0"/>
        <w:tabs>
          <w:tab w:val="left" w:pos="993"/>
        </w:tabs>
        <w:spacing w:line="276" w:lineRule="auto"/>
        <w:ind w:right="-108"/>
        <w:rPr>
          <w:rFonts w:ascii="Calibri" w:hAnsi="Calibri" w:cs="Arial Narrow"/>
          <w:b/>
          <w:color w:val="000080"/>
          <w:lang w:val="ro-RO"/>
        </w:rPr>
      </w:pPr>
    </w:p>
    <w:p w:rsidR="005343F1" w:rsidRDefault="005343F1" w:rsidP="00382E21">
      <w:pPr>
        <w:widowControl w:val="0"/>
        <w:tabs>
          <w:tab w:val="left" w:pos="993"/>
        </w:tabs>
        <w:spacing w:line="276" w:lineRule="auto"/>
        <w:ind w:right="-108"/>
        <w:rPr>
          <w:rFonts w:ascii="Calibri" w:hAnsi="Calibri" w:cs="Arial Narrow"/>
          <w:b/>
          <w:color w:val="000080"/>
          <w:lang w:val="ro-RO"/>
        </w:rPr>
      </w:pPr>
    </w:p>
    <w:p w:rsidR="00382E21" w:rsidRDefault="00382E21" w:rsidP="00382E21">
      <w:pPr>
        <w:tabs>
          <w:tab w:val="left" w:pos="5160"/>
        </w:tabs>
        <w:spacing w:line="276" w:lineRule="auto"/>
        <w:jc w:val="center"/>
        <w:rPr>
          <w:rFonts w:ascii="Arial Narrow" w:hAnsi="Arial Narrow" w:cs="Arial"/>
          <w:b/>
          <w:i/>
          <w:color w:val="365F91"/>
          <w:sz w:val="22"/>
        </w:rPr>
      </w:pPr>
      <w:r>
        <w:rPr>
          <w:rFonts w:ascii="Arial Narrow" w:hAnsi="Arial Narrow"/>
          <w:b/>
          <w:i/>
          <w:color w:val="365F91"/>
          <w:sz w:val="22"/>
        </w:rPr>
        <w:t>The Government public debt according to the EU methodology (% of GDP)</w:t>
      </w:r>
    </w:p>
    <w:p w:rsidR="005343F1" w:rsidRPr="003D75FF" w:rsidRDefault="005343F1" w:rsidP="00382E21">
      <w:pPr>
        <w:tabs>
          <w:tab w:val="left" w:pos="5160"/>
        </w:tabs>
        <w:spacing w:line="276" w:lineRule="auto"/>
        <w:jc w:val="center"/>
        <w:rPr>
          <w:rFonts w:ascii="Arial Narrow" w:hAnsi="Arial Narrow" w:cs="Arial"/>
          <w:b/>
          <w:i/>
          <w:color w:val="365F91"/>
          <w:sz w:val="22"/>
          <w:lang w:val="ro-RO"/>
        </w:rPr>
      </w:pPr>
    </w:p>
    <w:p w:rsidR="00382E21" w:rsidRDefault="00DF768F" w:rsidP="00382E21">
      <w:pPr>
        <w:widowControl w:val="0"/>
        <w:tabs>
          <w:tab w:val="left" w:pos="993"/>
        </w:tabs>
        <w:spacing w:line="276" w:lineRule="auto"/>
        <w:ind w:right="-108"/>
        <w:jc w:val="center"/>
        <w:rPr>
          <w:rFonts w:ascii="Calibri" w:hAnsi="Calibri" w:cs="Arial Narrow"/>
          <w:b/>
          <w:color w:val="000080"/>
        </w:rPr>
      </w:pPr>
      <w:r>
        <w:rPr>
          <w:rFonts w:ascii="Calibri" w:hAnsi="Calibri" w:cs="Arial Narrow"/>
          <w:b/>
          <w:noProof/>
          <w:color w:val="000080"/>
          <w:lang w:val="ro-RO" w:eastAsia="ro-RO"/>
        </w:rPr>
        <mc:AlternateContent>
          <mc:Choice Requires="wps">
            <w:drawing>
              <wp:anchor distT="0" distB="0" distL="114300" distR="114300" simplePos="0" relativeHeight="251759104" behindDoc="0" locked="0" layoutInCell="1" allowOverlap="1">
                <wp:simplePos x="0" y="0"/>
                <wp:positionH relativeFrom="column">
                  <wp:posOffset>4922520</wp:posOffset>
                </wp:positionH>
                <wp:positionV relativeFrom="paragraph">
                  <wp:posOffset>1945005</wp:posOffset>
                </wp:positionV>
                <wp:extent cx="1746885" cy="247650"/>
                <wp:effectExtent l="7620" t="11430" r="7620" b="7620"/>
                <wp:wrapNone/>
                <wp:docPr id="35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885" cy="247650"/>
                        </a:xfrm>
                        <a:prstGeom prst="rect">
                          <a:avLst/>
                        </a:prstGeom>
                        <a:solidFill>
                          <a:srgbClr val="FFFFFF"/>
                        </a:solidFill>
                        <a:ln w="9525">
                          <a:solidFill>
                            <a:srgbClr val="000000"/>
                          </a:solidFill>
                          <a:miter lim="800000"/>
                          <a:headEnd/>
                          <a:tailEnd/>
                        </a:ln>
                      </wps:spPr>
                      <wps:txbx>
                        <w:txbxContent>
                          <w:p w:rsidR="005063CB" w:rsidRPr="005674E9" w:rsidRDefault="005063CB" w:rsidP="005674E9">
                            <w:pPr>
                              <w:rPr>
                                <w:sz w:val="16"/>
                              </w:rPr>
                            </w:pPr>
                            <w:r>
                              <w:rPr>
                                <w:sz w:val="16"/>
                              </w:rPr>
                              <w:t>Net</w:t>
                            </w:r>
                            <w:r w:rsidRPr="005674E9">
                              <w:rPr>
                                <w:sz w:val="16"/>
                              </w:rPr>
                              <w:t xml:space="preserve"> Government debt (% of GDP)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402" style="position:absolute;left:0;text-align:left;margin-left:387.6pt;margin-top:153.15pt;width:137.55pt;height:19.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">
                <v:textbox>
                  <w:txbxContent>
                    <w:p w:rsidR="005063CB" w:rsidRPr="005674E9" w:rsidRDefault="005063CB" w:rsidP="005674E9">
                      <w:pPr>
                        <w:rPr>
                          <w:sz w:val="16"/>
                        </w:rPr>
                      </w:pPr>
                      <w:r>
                        <w:rPr>
                          <w:sz w:val="16"/>
                        </w:rPr>
                        <w:t>Net</w:t>
                      </w:r>
                      <w:r w:rsidRPr="005674E9">
                        <w:rPr>
                          <w:sz w:val="16"/>
                        </w:rPr>
                        <w:t xml:space="preserve"> Government debt (% of GDP)</w:t>
                      </w:r>
                    </w:p>
                  </w:txbxContent>
                </v:textbox>
              </v:rect>
            </w:pict>
          </mc:Fallback>
        </mc:AlternateContent>
      </w:r>
      <w:r>
        <w:rPr>
          <w:noProof/>
          <w:lang w:val="ro-RO" w:eastAsia="ro-RO"/>
        </w:rPr>
        <mc:AlternateContent>
          <mc:Choice Requires="wps">
            <w:drawing>
              <wp:anchor distT="0" distB="0" distL="114300" distR="114300" simplePos="0" relativeHeight="251758080" behindDoc="0" locked="0" layoutInCell="1" allowOverlap="1">
                <wp:simplePos x="0" y="0"/>
                <wp:positionH relativeFrom="column">
                  <wp:posOffset>4922520</wp:posOffset>
                </wp:positionH>
                <wp:positionV relativeFrom="paragraph">
                  <wp:posOffset>1508760</wp:posOffset>
                </wp:positionV>
                <wp:extent cx="1746885" cy="247650"/>
                <wp:effectExtent l="7620" t="13335" r="7620" b="5715"/>
                <wp:wrapNone/>
                <wp:docPr id="349"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885" cy="247650"/>
                        </a:xfrm>
                        <a:prstGeom prst="rect">
                          <a:avLst/>
                        </a:prstGeom>
                        <a:solidFill>
                          <a:srgbClr val="FFFFFF"/>
                        </a:solidFill>
                        <a:ln w="9525">
                          <a:solidFill>
                            <a:srgbClr val="000000"/>
                          </a:solidFill>
                          <a:miter lim="800000"/>
                          <a:headEnd/>
                          <a:tailEnd/>
                        </a:ln>
                      </wps:spPr>
                      <wps:txbx>
                        <w:txbxContent>
                          <w:p w:rsidR="005063CB" w:rsidRPr="005674E9" w:rsidRDefault="005063CB">
                            <w:pPr>
                              <w:rPr>
                                <w:sz w:val="16"/>
                              </w:rPr>
                            </w:pPr>
                            <w:r w:rsidRPr="005674E9">
                              <w:rPr>
                                <w:sz w:val="16"/>
                              </w:rPr>
                              <w:t>Gross Government debt (% of GDP)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9" o:spid="_x0000_s1403" style="position:absolute;left:0;text-align:left;margin-left:387.6pt;margin-top:118.8pt;width:137.55pt;height:19.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">
                <v:textbox>
                  <w:txbxContent>
                    <w:p w:rsidR="005063CB" w:rsidRPr="005674E9" w:rsidRDefault="005063CB">
                      <w:pPr>
                        <w:rPr>
                          <w:sz w:val="16"/>
                        </w:rPr>
                      </w:pPr>
                      <w:r w:rsidRPr="005674E9">
                        <w:rPr>
                          <w:sz w:val="16"/>
                        </w:rPr>
                        <w:t>Gross Government debt (% of GDP)</w:t>
                      </w:r>
                    </w:p>
                  </w:txbxContent>
                </v:textbox>
              </v:rect>
            </w:pict>
          </mc:Fallback>
        </mc:AlternateContent>
      </w:r>
      <w:r w:rsidR="005343F1">
        <w:rPr>
          <w:noProof/>
          <w:lang w:val="ro-RO" w:eastAsia="ro-RO"/>
        </w:rPr>
        <w:drawing>
          <wp:inline distT="0" distB="0" distL="0" distR="0" wp14:anchorId="64F374D0" wp14:editId="6AD53C6E">
            <wp:extent cx="6246495" cy="2319020"/>
            <wp:effectExtent l="0" t="0" r="0" b="0"/>
            <wp:docPr id="355" name="Chart 3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82E21" w:rsidRPr="0092449F" w:rsidRDefault="00C10AD3" w:rsidP="00382E21">
      <w:pPr>
        <w:tabs>
          <w:tab w:val="left" w:pos="5160"/>
        </w:tabs>
        <w:spacing w:line="276" w:lineRule="auto"/>
        <w:rPr>
          <w:rFonts w:ascii="Arial Narrow" w:hAnsi="Arial Narrow" w:cs="Arial"/>
          <w:i/>
          <w:noProof/>
          <w:color w:val="365F91"/>
          <w:sz w:val="14"/>
          <w:szCs w:val="16"/>
        </w:rPr>
      </w:pPr>
      <w:r>
        <w:rPr>
          <w:rFonts w:ascii="Arial Narrow" w:hAnsi="Arial Narrow"/>
          <w:i/>
          <w:color w:val="365F91"/>
          <w:sz w:val="14"/>
          <w:szCs w:val="16"/>
        </w:rPr>
        <w:t xml:space="preserve">           Source: MPF</w:t>
      </w:r>
    </w:p>
    <w:p w:rsidR="0034570F" w:rsidRDefault="0034570F" w:rsidP="00382E21">
      <w:pPr>
        <w:jc w:val="both"/>
        <w:rPr>
          <w:rFonts w:ascii="Calibri" w:hAnsi="Calibri" w:cs="Arial"/>
          <w:iCs/>
          <w:color w:val="000000"/>
          <w:lang w:val="ro-RO"/>
        </w:rPr>
      </w:pPr>
    </w:p>
    <w:p w:rsidR="00382E21" w:rsidRDefault="00382E21" w:rsidP="00382E21">
      <w:pPr>
        <w:jc w:val="both"/>
        <w:rPr>
          <w:rFonts w:ascii="Calibri" w:hAnsi="Calibri" w:cs="Arial"/>
          <w:iCs/>
          <w:color w:val="000000"/>
        </w:rPr>
      </w:pPr>
      <w:r>
        <w:rPr>
          <w:rFonts w:ascii="Calibri" w:hAnsi="Calibri"/>
          <w:iCs/>
          <w:color w:val="000000"/>
        </w:rPr>
        <w:t>The perspective of moderate growth of the government debt on the medium term and of maintenance at a stable and sustainable level is due to the economic growth and to budget deficits calculated in accordance with the EU methodology of up to 3.0% of GDP between 2019 and 2021.</w:t>
      </w:r>
    </w:p>
    <w:p w:rsidR="00382E21" w:rsidRPr="007A7583" w:rsidRDefault="00382E21" w:rsidP="00382E21">
      <w:pPr>
        <w:jc w:val="both"/>
        <w:rPr>
          <w:rFonts w:ascii="Calibri" w:hAnsi="Calibri" w:cs="Arial"/>
          <w:iCs/>
          <w:color w:val="000000"/>
          <w:sz w:val="12"/>
          <w:lang w:val="ro-RO"/>
        </w:rPr>
      </w:pPr>
    </w:p>
    <w:p w:rsidR="00382E21" w:rsidRDefault="00382E21" w:rsidP="00382E21">
      <w:pPr>
        <w:jc w:val="both"/>
        <w:rPr>
          <w:rFonts w:ascii="Calibri" w:hAnsi="Calibri" w:cs="Arial"/>
          <w:iCs/>
          <w:color w:val="000000"/>
        </w:rPr>
      </w:pPr>
      <w:r>
        <w:rPr>
          <w:rFonts w:ascii="Calibri" w:hAnsi="Calibri"/>
          <w:iCs/>
          <w:color w:val="000000"/>
        </w:rPr>
        <w:t>The factors that will determine the level of public debt according to the EU methodology on medium term are presented in the table below:</w:t>
      </w:r>
    </w:p>
    <w:p w:rsidR="00BF68B8" w:rsidRDefault="00BF68B8" w:rsidP="00382E21">
      <w:pPr>
        <w:jc w:val="both"/>
        <w:rPr>
          <w:rFonts w:ascii="Calibri" w:hAnsi="Calibri" w:cs="Arial"/>
          <w:iCs/>
          <w:color w:val="000000"/>
          <w:lang w:val="ro-RO"/>
        </w:rPr>
      </w:pPr>
    </w:p>
    <w:p w:rsidR="00382E21" w:rsidRPr="003634C9" w:rsidRDefault="00382E21" w:rsidP="00382E21">
      <w:pPr>
        <w:jc w:val="both"/>
        <w:rPr>
          <w:rFonts w:ascii="Calibri" w:hAnsi="Calibri" w:cs="Arial"/>
          <w:iCs/>
          <w:color w:val="000000"/>
          <w:lang w:val="ro-RO"/>
        </w:rPr>
      </w:pPr>
    </w:p>
    <w:tbl>
      <w:tblPr>
        <w:tblW w:w="9230" w:type="dxa"/>
        <w:jc w:val="center"/>
        <w:tblBorders>
          <w:top w:val="single" w:sz="2" w:space="0" w:color="365F91"/>
          <w:bottom w:val="single" w:sz="2" w:space="0" w:color="365F91"/>
          <w:insideH w:val="single" w:sz="2" w:space="0" w:color="365F91"/>
        </w:tblBorders>
        <w:tblLayout w:type="fixed"/>
        <w:tblLook w:val="0000" w:firstRow="0" w:lastRow="0" w:firstColumn="0" w:lastColumn="0" w:noHBand="0" w:noVBand="0"/>
      </w:tblPr>
      <w:tblGrid>
        <w:gridCol w:w="3828"/>
        <w:gridCol w:w="856"/>
        <w:gridCol w:w="856"/>
        <w:gridCol w:w="855"/>
        <w:gridCol w:w="992"/>
        <w:gridCol w:w="851"/>
        <w:gridCol w:w="992"/>
      </w:tblGrid>
      <w:tr w:rsidR="00382E21" w:rsidRPr="003D75FF" w:rsidTr="00382E21">
        <w:trPr>
          <w:trHeight w:val="784"/>
          <w:jc w:val="center"/>
        </w:trPr>
        <w:tc>
          <w:tcPr>
            <w:tcW w:w="3828" w:type="dxa"/>
            <w:shd w:val="clear" w:color="auto" w:fill="365F91"/>
            <w:vAlign w:val="center"/>
          </w:tcPr>
          <w:p w:rsidR="00382E21" w:rsidRPr="003D75FF" w:rsidRDefault="00382E21" w:rsidP="00382E21">
            <w:pPr>
              <w:widowControl w:val="0"/>
              <w:spacing w:after="120" w:line="276" w:lineRule="auto"/>
              <w:jc w:val="center"/>
              <w:rPr>
                <w:rFonts w:ascii="Calibri" w:hAnsi="Calibri" w:cs="Calibri"/>
                <w:b/>
                <w:color w:val="FFFFFF" w:themeColor="background1"/>
                <w:sz w:val="20"/>
              </w:rPr>
            </w:pPr>
            <w:r>
              <w:rPr>
                <w:rFonts w:ascii="Calibri" w:hAnsi="Calibri"/>
                <w:b/>
                <w:color w:val="FFFFFF" w:themeColor="background1"/>
                <w:sz w:val="20"/>
              </w:rPr>
              <w:t>% OF GDP</w:t>
            </w:r>
          </w:p>
        </w:tc>
        <w:tc>
          <w:tcPr>
            <w:tcW w:w="856" w:type="dxa"/>
            <w:shd w:val="clear" w:color="auto" w:fill="365F91"/>
            <w:vAlign w:val="center"/>
          </w:tcPr>
          <w:p w:rsidR="00382E21" w:rsidRPr="003D75FF" w:rsidRDefault="00382E21" w:rsidP="00382E21">
            <w:pPr>
              <w:widowControl w:val="0"/>
              <w:spacing w:after="120" w:line="276" w:lineRule="auto"/>
              <w:jc w:val="center"/>
              <w:rPr>
                <w:rFonts w:ascii="Calibri" w:hAnsi="Calibri" w:cs="Calibri"/>
                <w:b/>
                <w:color w:val="FFFFFF" w:themeColor="background1"/>
                <w:sz w:val="20"/>
              </w:rPr>
            </w:pPr>
            <w:r>
              <w:rPr>
                <w:rFonts w:ascii="Calibri" w:hAnsi="Calibri"/>
                <w:b/>
                <w:color w:val="FFFFFF" w:themeColor="background1"/>
                <w:sz w:val="20"/>
              </w:rPr>
              <w:t>SEC CODE</w:t>
            </w:r>
          </w:p>
        </w:tc>
        <w:tc>
          <w:tcPr>
            <w:tcW w:w="856" w:type="dxa"/>
            <w:shd w:val="clear" w:color="auto" w:fill="365F91"/>
            <w:vAlign w:val="center"/>
          </w:tcPr>
          <w:p w:rsidR="00382E21" w:rsidRPr="003D75FF" w:rsidRDefault="00382E21" w:rsidP="00382E21">
            <w:pPr>
              <w:widowControl w:val="0"/>
              <w:spacing w:after="120" w:line="276" w:lineRule="auto"/>
              <w:jc w:val="center"/>
              <w:rPr>
                <w:rFonts w:ascii="Calibri" w:hAnsi="Calibri" w:cs="Calibri"/>
                <w:b/>
                <w:color w:val="FFFFFF" w:themeColor="background1"/>
                <w:sz w:val="20"/>
              </w:rPr>
            </w:pPr>
            <w:r>
              <w:rPr>
                <w:rFonts w:ascii="Calibri" w:hAnsi="Calibri"/>
                <w:b/>
                <w:color w:val="FFFFFF" w:themeColor="background1"/>
                <w:sz w:val="20"/>
              </w:rPr>
              <w:t>2017</w:t>
            </w:r>
          </w:p>
        </w:tc>
        <w:tc>
          <w:tcPr>
            <w:tcW w:w="855" w:type="dxa"/>
            <w:shd w:val="clear" w:color="auto" w:fill="365F91"/>
            <w:vAlign w:val="center"/>
          </w:tcPr>
          <w:p w:rsidR="00382E21" w:rsidRPr="003D75FF" w:rsidRDefault="00382E21" w:rsidP="00382E21">
            <w:pPr>
              <w:widowControl w:val="0"/>
              <w:spacing w:after="120" w:line="276" w:lineRule="auto"/>
              <w:ind w:right="-113"/>
              <w:jc w:val="center"/>
              <w:rPr>
                <w:rFonts w:ascii="Calibri" w:hAnsi="Calibri" w:cs="Calibri"/>
                <w:b/>
                <w:color w:val="FFFFFF" w:themeColor="background1"/>
                <w:sz w:val="20"/>
              </w:rPr>
            </w:pPr>
            <w:r>
              <w:rPr>
                <w:rFonts w:ascii="Calibri" w:hAnsi="Calibri"/>
                <w:b/>
                <w:color w:val="FFFFFF" w:themeColor="background1"/>
                <w:sz w:val="20"/>
              </w:rPr>
              <w:t>2018 est.</w:t>
            </w:r>
          </w:p>
        </w:tc>
        <w:tc>
          <w:tcPr>
            <w:tcW w:w="992" w:type="dxa"/>
            <w:shd w:val="clear" w:color="auto" w:fill="365F91"/>
            <w:vAlign w:val="center"/>
          </w:tcPr>
          <w:p w:rsidR="00382E21" w:rsidRPr="003D75FF" w:rsidRDefault="00382E21" w:rsidP="00382E21">
            <w:pPr>
              <w:widowControl w:val="0"/>
              <w:spacing w:after="120" w:line="276" w:lineRule="auto"/>
              <w:jc w:val="center"/>
              <w:rPr>
                <w:rFonts w:ascii="Calibri" w:hAnsi="Calibri" w:cs="Calibri"/>
                <w:b/>
                <w:color w:val="FFFFFF" w:themeColor="background1"/>
                <w:sz w:val="20"/>
              </w:rPr>
            </w:pPr>
            <w:r>
              <w:rPr>
                <w:rFonts w:ascii="Calibri" w:hAnsi="Calibri"/>
                <w:b/>
                <w:color w:val="FFFFFF" w:themeColor="background1"/>
                <w:sz w:val="20"/>
              </w:rPr>
              <w:t>2019 forec.</w:t>
            </w:r>
          </w:p>
        </w:tc>
        <w:tc>
          <w:tcPr>
            <w:tcW w:w="851" w:type="dxa"/>
            <w:shd w:val="clear" w:color="auto" w:fill="365F91"/>
            <w:vAlign w:val="center"/>
          </w:tcPr>
          <w:p w:rsidR="00382E21" w:rsidRPr="003D75FF" w:rsidRDefault="00382E21" w:rsidP="00382E21">
            <w:pPr>
              <w:widowControl w:val="0"/>
              <w:spacing w:after="120" w:line="276" w:lineRule="auto"/>
              <w:jc w:val="center"/>
              <w:rPr>
                <w:rFonts w:ascii="Calibri" w:hAnsi="Calibri"/>
                <w:color w:val="FFFFFF" w:themeColor="background1"/>
                <w:sz w:val="20"/>
              </w:rPr>
            </w:pPr>
            <w:r>
              <w:rPr>
                <w:rFonts w:ascii="Calibri" w:hAnsi="Calibri"/>
                <w:b/>
                <w:color w:val="FFFFFF" w:themeColor="background1"/>
                <w:sz w:val="20"/>
              </w:rPr>
              <w:t>2020 forec.</w:t>
            </w:r>
          </w:p>
        </w:tc>
        <w:tc>
          <w:tcPr>
            <w:tcW w:w="992" w:type="dxa"/>
            <w:shd w:val="clear" w:color="auto" w:fill="365F91"/>
            <w:vAlign w:val="center"/>
          </w:tcPr>
          <w:p w:rsidR="00382E21" w:rsidRPr="003D75FF" w:rsidRDefault="00382E21" w:rsidP="00382E21">
            <w:pPr>
              <w:widowControl w:val="0"/>
              <w:spacing w:after="120" w:line="276" w:lineRule="auto"/>
              <w:jc w:val="center"/>
              <w:rPr>
                <w:rFonts w:ascii="Calibri" w:hAnsi="Calibri"/>
                <w:color w:val="FFFFFF" w:themeColor="background1"/>
                <w:sz w:val="20"/>
              </w:rPr>
            </w:pPr>
            <w:r>
              <w:rPr>
                <w:rFonts w:ascii="Calibri" w:hAnsi="Calibri"/>
                <w:b/>
                <w:color w:val="FFFFFF" w:themeColor="background1"/>
                <w:sz w:val="20"/>
              </w:rPr>
              <w:t>2021 forec.</w:t>
            </w:r>
          </w:p>
        </w:tc>
      </w:tr>
      <w:tr w:rsidR="00382E21" w:rsidRPr="003D75FF" w:rsidTr="00382E21">
        <w:trPr>
          <w:trHeight w:val="361"/>
          <w:jc w:val="center"/>
        </w:trPr>
        <w:tc>
          <w:tcPr>
            <w:tcW w:w="3828" w:type="dxa"/>
            <w:shd w:val="clear" w:color="auto" w:fill="auto"/>
            <w:vAlign w:val="center"/>
          </w:tcPr>
          <w:p w:rsidR="00382E21" w:rsidRPr="003D75FF" w:rsidRDefault="00382E21" w:rsidP="00382E21">
            <w:pPr>
              <w:widowControl w:val="0"/>
              <w:shd w:val="clear" w:color="auto" w:fill="FFFFFF"/>
              <w:rPr>
                <w:rFonts w:ascii="Calibri" w:hAnsi="Calibri" w:cs="Calibri"/>
                <w:color w:val="365F91"/>
                <w:sz w:val="20"/>
                <w:szCs w:val="20"/>
              </w:rPr>
            </w:pPr>
            <w:r>
              <w:rPr>
                <w:rFonts w:ascii="Calibri" w:hAnsi="Calibri"/>
                <w:color w:val="365F91"/>
                <w:sz w:val="20"/>
                <w:szCs w:val="20"/>
              </w:rPr>
              <w:t>1. Gross government debt</w:t>
            </w:r>
          </w:p>
        </w:tc>
        <w:tc>
          <w:tcPr>
            <w:tcW w:w="856" w:type="dxa"/>
            <w:shd w:val="clear" w:color="auto" w:fill="auto"/>
            <w:vAlign w:val="center"/>
          </w:tcPr>
          <w:p w:rsidR="00382E21" w:rsidRPr="003D75FF" w:rsidRDefault="00382E21" w:rsidP="00382E21">
            <w:pPr>
              <w:snapToGrid w:val="0"/>
              <w:jc w:val="center"/>
              <w:rPr>
                <w:rFonts w:ascii="Calibri" w:hAnsi="Calibri" w:cs="Calibri"/>
                <w:color w:val="365F91"/>
                <w:sz w:val="20"/>
                <w:szCs w:val="20"/>
                <w:lang w:val="ro-RO" w:eastAsia="ro-RO"/>
              </w:rPr>
            </w:pPr>
          </w:p>
        </w:tc>
        <w:tc>
          <w:tcPr>
            <w:tcW w:w="856" w:type="dxa"/>
            <w:shd w:val="clear" w:color="auto" w:fill="auto"/>
            <w:vAlign w:val="center"/>
          </w:tcPr>
          <w:p w:rsidR="00382E21" w:rsidRPr="003D75FF" w:rsidRDefault="00382E21" w:rsidP="00382E21">
            <w:pPr>
              <w:jc w:val="center"/>
              <w:rPr>
                <w:rFonts w:ascii="Calibri" w:hAnsi="Calibri" w:cs="Arial"/>
                <w:color w:val="365F91"/>
                <w:sz w:val="20"/>
                <w:szCs w:val="20"/>
              </w:rPr>
            </w:pPr>
            <w:r>
              <w:rPr>
                <w:rFonts w:ascii="Calibri" w:hAnsi="Calibri"/>
                <w:color w:val="365F91"/>
                <w:sz w:val="20"/>
                <w:szCs w:val="20"/>
              </w:rPr>
              <w:t>35.2</w:t>
            </w:r>
          </w:p>
        </w:tc>
        <w:tc>
          <w:tcPr>
            <w:tcW w:w="855" w:type="dxa"/>
            <w:shd w:val="clear" w:color="auto" w:fill="auto"/>
            <w:vAlign w:val="center"/>
          </w:tcPr>
          <w:p w:rsidR="00382E21" w:rsidRPr="003D75FF" w:rsidRDefault="005343F1" w:rsidP="00382E21">
            <w:pPr>
              <w:jc w:val="center"/>
              <w:rPr>
                <w:rFonts w:ascii="Calibri" w:hAnsi="Calibri" w:cs="Arial"/>
                <w:color w:val="365F91"/>
                <w:sz w:val="20"/>
                <w:szCs w:val="20"/>
              </w:rPr>
            </w:pPr>
            <w:r>
              <w:rPr>
                <w:rFonts w:ascii="Calibri" w:hAnsi="Calibri"/>
                <w:color w:val="365F91"/>
                <w:sz w:val="20"/>
                <w:szCs w:val="20"/>
              </w:rPr>
              <w:t>35.1</w:t>
            </w:r>
          </w:p>
        </w:tc>
        <w:tc>
          <w:tcPr>
            <w:tcW w:w="992" w:type="dxa"/>
            <w:shd w:val="clear" w:color="auto" w:fill="auto"/>
            <w:vAlign w:val="center"/>
          </w:tcPr>
          <w:p w:rsidR="00382E21" w:rsidRPr="003D75FF" w:rsidRDefault="0034570F" w:rsidP="00382E21">
            <w:pPr>
              <w:jc w:val="center"/>
              <w:rPr>
                <w:rFonts w:ascii="Calibri" w:hAnsi="Calibri" w:cs="Arial"/>
                <w:color w:val="365F91"/>
                <w:sz w:val="20"/>
                <w:szCs w:val="20"/>
              </w:rPr>
            </w:pPr>
            <w:r>
              <w:rPr>
                <w:rFonts w:ascii="Calibri" w:hAnsi="Calibri"/>
                <w:color w:val="365F91"/>
                <w:sz w:val="20"/>
                <w:szCs w:val="20"/>
              </w:rPr>
              <w:t>35.5</w:t>
            </w:r>
          </w:p>
        </w:tc>
        <w:tc>
          <w:tcPr>
            <w:tcW w:w="851" w:type="dxa"/>
            <w:shd w:val="clear" w:color="auto" w:fill="auto"/>
            <w:vAlign w:val="center"/>
          </w:tcPr>
          <w:p w:rsidR="00382E21" w:rsidRPr="003D75FF" w:rsidRDefault="0034570F" w:rsidP="00382E21">
            <w:pPr>
              <w:jc w:val="center"/>
              <w:rPr>
                <w:rFonts w:ascii="Calibri" w:hAnsi="Calibri" w:cs="Arial"/>
                <w:color w:val="365F91"/>
                <w:sz w:val="20"/>
                <w:szCs w:val="20"/>
              </w:rPr>
            </w:pPr>
            <w:r>
              <w:rPr>
                <w:rFonts w:ascii="Calibri" w:hAnsi="Calibri"/>
                <w:color w:val="365F91"/>
                <w:sz w:val="20"/>
                <w:szCs w:val="20"/>
              </w:rPr>
              <w:t>35.4</w:t>
            </w:r>
          </w:p>
        </w:tc>
        <w:tc>
          <w:tcPr>
            <w:tcW w:w="992" w:type="dxa"/>
            <w:shd w:val="clear" w:color="auto" w:fill="auto"/>
            <w:vAlign w:val="center"/>
          </w:tcPr>
          <w:p w:rsidR="00382E21" w:rsidRPr="003D75FF" w:rsidRDefault="0034570F" w:rsidP="00382E21">
            <w:pPr>
              <w:jc w:val="center"/>
              <w:rPr>
                <w:rFonts w:ascii="Calibri" w:hAnsi="Calibri" w:cs="Arial"/>
                <w:color w:val="365F91"/>
                <w:sz w:val="20"/>
                <w:szCs w:val="20"/>
              </w:rPr>
            </w:pPr>
            <w:r>
              <w:rPr>
                <w:rFonts w:ascii="Calibri" w:hAnsi="Calibri"/>
                <w:color w:val="365F91"/>
                <w:sz w:val="20"/>
                <w:szCs w:val="20"/>
              </w:rPr>
              <w:t>35.2</w:t>
            </w:r>
          </w:p>
        </w:tc>
      </w:tr>
      <w:tr w:rsidR="00382E21" w:rsidRPr="003D75FF" w:rsidTr="00382E21">
        <w:trPr>
          <w:trHeight w:val="284"/>
          <w:jc w:val="center"/>
        </w:trPr>
        <w:tc>
          <w:tcPr>
            <w:tcW w:w="3828" w:type="dxa"/>
            <w:shd w:val="clear" w:color="auto" w:fill="auto"/>
            <w:vAlign w:val="center"/>
          </w:tcPr>
          <w:p w:rsidR="00382E21" w:rsidRPr="003D75FF" w:rsidRDefault="00382E21" w:rsidP="00382E21">
            <w:pPr>
              <w:widowControl w:val="0"/>
              <w:shd w:val="clear" w:color="auto" w:fill="FFFFFF"/>
              <w:rPr>
                <w:rFonts w:ascii="Calibri" w:hAnsi="Calibri" w:cs="Calibri"/>
                <w:color w:val="365F91"/>
                <w:sz w:val="20"/>
                <w:szCs w:val="20"/>
              </w:rPr>
            </w:pPr>
            <w:r>
              <w:rPr>
                <w:rFonts w:ascii="Calibri" w:hAnsi="Calibri"/>
                <w:color w:val="365F91"/>
                <w:sz w:val="20"/>
                <w:szCs w:val="20"/>
              </w:rPr>
              <w:t>2. Government debt change</w:t>
            </w:r>
          </w:p>
        </w:tc>
        <w:tc>
          <w:tcPr>
            <w:tcW w:w="856" w:type="dxa"/>
            <w:shd w:val="clear" w:color="auto" w:fill="auto"/>
            <w:vAlign w:val="center"/>
          </w:tcPr>
          <w:p w:rsidR="00382E21" w:rsidRPr="003D75FF" w:rsidRDefault="00382E21" w:rsidP="00382E21">
            <w:pPr>
              <w:widowControl w:val="0"/>
              <w:shd w:val="clear" w:color="auto" w:fill="FFFFFF"/>
              <w:snapToGrid w:val="0"/>
              <w:jc w:val="center"/>
              <w:rPr>
                <w:rFonts w:ascii="Calibri" w:hAnsi="Calibri" w:cs="Calibri"/>
                <w:color w:val="365F91"/>
                <w:sz w:val="20"/>
                <w:szCs w:val="20"/>
                <w:lang w:val="ro-RO" w:eastAsia="ro-RO"/>
              </w:rPr>
            </w:pPr>
          </w:p>
        </w:tc>
        <w:tc>
          <w:tcPr>
            <w:tcW w:w="856" w:type="dxa"/>
            <w:shd w:val="clear" w:color="auto" w:fill="auto"/>
            <w:vAlign w:val="center"/>
          </w:tcPr>
          <w:p w:rsidR="00382E21" w:rsidRPr="003D75FF" w:rsidRDefault="00382E21" w:rsidP="00382E21">
            <w:pPr>
              <w:jc w:val="center"/>
              <w:rPr>
                <w:rFonts w:ascii="Calibri" w:hAnsi="Calibri" w:cs="Arial"/>
                <w:color w:val="365F91"/>
                <w:sz w:val="20"/>
                <w:szCs w:val="20"/>
              </w:rPr>
            </w:pPr>
            <w:r>
              <w:rPr>
                <w:rFonts w:ascii="Calibri" w:hAnsi="Calibri"/>
                <w:color w:val="365F91"/>
                <w:sz w:val="20"/>
                <w:szCs w:val="20"/>
              </w:rPr>
              <w:t>-2.1</w:t>
            </w:r>
          </w:p>
        </w:tc>
        <w:tc>
          <w:tcPr>
            <w:tcW w:w="855" w:type="dxa"/>
            <w:shd w:val="clear" w:color="auto" w:fill="auto"/>
            <w:vAlign w:val="center"/>
          </w:tcPr>
          <w:p w:rsidR="00382E21" w:rsidRPr="003D75FF" w:rsidRDefault="00382E21" w:rsidP="00382E21">
            <w:pPr>
              <w:jc w:val="center"/>
              <w:rPr>
                <w:rFonts w:ascii="Calibri" w:hAnsi="Calibri" w:cs="Arial"/>
                <w:color w:val="365F91"/>
                <w:sz w:val="20"/>
                <w:szCs w:val="20"/>
              </w:rPr>
            </w:pPr>
            <w:r>
              <w:rPr>
                <w:rFonts w:ascii="Calibri" w:hAnsi="Calibri"/>
                <w:color w:val="365F91"/>
                <w:sz w:val="20"/>
                <w:szCs w:val="20"/>
              </w:rPr>
              <w:t>-0.1</w:t>
            </w:r>
          </w:p>
        </w:tc>
        <w:tc>
          <w:tcPr>
            <w:tcW w:w="992" w:type="dxa"/>
            <w:shd w:val="clear" w:color="auto" w:fill="auto"/>
            <w:vAlign w:val="center"/>
          </w:tcPr>
          <w:p w:rsidR="00382E21" w:rsidRPr="003D75FF" w:rsidRDefault="00B22B26" w:rsidP="00382E21">
            <w:pPr>
              <w:jc w:val="center"/>
              <w:rPr>
                <w:rFonts w:ascii="Calibri" w:hAnsi="Calibri" w:cs="Arial"/>
                <w:color w:val="365F91"/>
                <w:sz w:val="20"/>
                <w:szCs w:val="20"/>
              </w:rPr>
            </w:pPr>
            <w:r>
              <w:rPr>
                <w:rFonts w:ascii="Calibri" w:hAnsi="Calibri"/>
                <w:color w:val="365F91"/>
                <w:sz w:val="20"/>
                <w:szCs w:val="20"/>
              </w:rPr>
              <w:t>0.4</w:t>
            </w:r>
          </w:p>
        </w:tc>
        <w:tc>
          <w:tcPr>
            <w:tcW w:w="851" w:type="dxa"/>
            <w:shd w:val="clear" w:color="auto" w:fill="auto"/>
            <w:vAlign w:val="center"/>
          </w:tcPr>
          <w:p w:rsidR="00382E21" w:rsidRPr="003D75FF" w:rsidRDefault="0034570F" w:rsidP="00382E21">
            <w:pPr>
              <w:jc w:val="center"/>
              <w:rPr>
                <w:rFonts w:ascii="Calibri" w:hAnsi="Calibri" w:cs="Arial"/>
                <w:color w:val="365F91"/>
                <w:sz w:val="20"/>
                <w:szCs w:val="20"/>
              </w:rPr>
            </w:pPr>
            <w:r>
              <w:rPr>
                <w:rFonts w:ascii="Calibri" w:hAnsi="Calibri"/>
                <w:color w:val="365F91"/>
                <w:sz w:val="20"/>
                <w:szCs w:val="20"/>
              </w:rPr>
              <w:t>-0.1</w:t>
            </w:r>
          </w:p>
        </w:tc>
        <w:tc>
          <w:tcPr>
            <w:tcW w:w="992" w:type="dxa"/>
            <w:shd w:val="clear" w:color="auto" w:fill="auto"/>
            <w:vAlign w:val="center"/>
          </w:tcPr>
          <w:p w:rsidR="00382E21" w:rsidRPr="003D75FF" w:rsidRDefault="00382E21" w:rsidP="00382E21">
            <w:pPr>
              <w:jc w:val="center"/>
              <w:rPr>
                <w:rFonts w:ascii="Calibri" w:hAnsi="Calibri" w:cs="Arial"/>
                <w:color w:val="365F91"/>
                <w:sz w:val="20"/>
                <w:szCs w:val="20"/>
              </w:rPr>
            </w:pPr>
            <w:r>
              <w:rPr>
                <w:rFonts w:ascii="Calibri" w:hAnsi="Calibri"/>
                <w:color w:val="365F91"/>
                <w:sz w:val="20"/>
                <w:szCs w:val="20"/>
              </w:rPr>
              <w:t>-0.2</w:t>
            </w:r>
          </w:p>
        </w:tc>
      </w:tr>
      <w:tr w:rsidR="00382E21" w:rsidRPr="00AC4302" w:rsidTr="00382E21">
        <w:trPr>
          <w:trHeight w:val="360"/>
          <w:jc w:val="center"/>
        </w:trPr>
        <w:tc>
          <w:tcPr>
            <w:tcW w:w="9230" w:type="dxa"/>
            <w:gridSpan w:val="7"/>
            <w:shd w:val="clear" w:color="auto" w:fill="auto"/>
            <w:vAlign w:val="center"/>
          </w:tcPr>
          <w:p w:rsidR="00382E21" w:rsidRPr="003D75FF" w:rsidRDefault="00382E21" w:rsidP="00382E21">
            <w:pPr>
              <w:rPr>
                <w:rFonts w:ascii="Calibri" w:hAnsi="Calibri"/>
                <w:color w:val="365F91"/>
                <w:sz w:val="20"/>
                <w:szCs w:val="20"/>
              </w:rPr>
            </w:pPr>
            <w:r>
              <w:rPr>
                <w:rFonts w:ascii="Calibri" w:hAnsi="Calibri"/>
                <w:color w:val="365F91"/>
                <w:sz w:val="20"/>
                <w:szCs w:val="20"/>
              </w:rPr>
              <w:t>Contribution to the gross debt change</w:t>
            </w:r>
          </w:p>
        </w:tc>
      </w:tr>
      <w:tr w:rsidR="00382E21" w:rsidRPr="003D75FF" w:rsidTr="00382E21">
        <w:trPr>
          <w:trHeight w:val="296"/>
          <w:jc w:val="center"/>
        </w:trPr>
        <w:tc>
          <w:tcPr>
            <w:tcW w:w="3828" w:type="dxa"/>
            <w:shd w:val="clear" w:color="auto" w:fill="auto"/>
            <w:vAlign w:val="center"/>
          </w:tcPr>
          <w:p w:rsidR="00382E21" w:rsidRPr="003D75FF" w:rsidRDefault="00382E21" w:rsidP="00382E21">
            <w:pPr>
              <w:widowControl w:val="0"/>
              <w:shd w:val="clear" w:color="auto" w:fill="FFFFFF"/>
              <w:rPr>
                <w:rFonts w:ascii="Calibri" w:hAnsi="Calibri" w:cs="Calibri"/>
                <w:color w:val="365F91"/>
                <w:sz w:val="20"/>
                <w:szCs w:val="20"/>
              </w:rPr>
            </w:pPr>
            <w:r>
              <w:rPr>
                <w:rFonts w:ascii="Calibri" w:hAnsi="Calibri"/>
                <w:color w:val="365F91"/>
                <w:sz w:val="20"/>
                <w:szCs w:val="20"/>
              </w:rPr>
              <w:t>3. Primary balance</w:t>
            </w:r>
          </w:p>
        </w:tc>
        <w:tc>
          <w:tcPr>
            <w:tcW w:w="856" w:type="dxa"/>
            <w:shd w:val="clear" w:color="auto" w:fill="auto"/>
            <w:vAlign w:val="center"/>
          </w:tcPr>
          <w:p w:rsidR="00382E21" w:rsidRPr="003D75FF" w:rsidRDefault="00382E21" w:rsidP="00382E21">
            <w:pPr>
              <w:widowControl w:val="0"/>
              <w:shd w:val="clear" w:color="auto" w:fill="FFFFFF"/>
              <w:snapToGrid w:val="0"/>
              <w:jc w:val="center"/>
              <w:rPr>
                <w:rFonts w:ascii="Calibri" w:hAnsi="Calibri" w:cs="Calibri"/>
                <w:color w:val="365F91"/>
                <w:sz w:val="20"/>
                <w:szCs w:val="20"/>
                <w:lang w:val="ro-RO" w:eastAsia="ro-RO"/>
              </w:rPr>
            </w:pPr>
          </w:p>
        </w:tc>
        <w:tc>
          <w:tcPr>
            <w:tcW w:w="856" w:type="dxa"/>
            <w:shd w:val="clear" w:color="auto" w:fill="auto"/>
            <w:vAlign w:val="center"/>
          </w:tcPr>
          <w:p w:rsidR="00382E21" w:rsidRPr="003D75FF" w:rsidRDefault="00382E21" w:rsidP="00382E21">
            <w:pPr>
              <w:jc w:val="center"/>
              <w:rPr>
                <w:rFonts w:ascii="Calibri" w:hAnsi="Calibri" w:cs="Arial"/>
                <w:color w:val="365F91"/>
                <w:sz w:val="20"/>
                <w:szCs w:val="20"/>
              </w:rPr>
            </w:pPr>
            <w:r>
              <w:rPr>
                <w:rFonts w:ascii="Calibri" w:hAnsi="Calibri"/>
                <w:color w:val="365F91"/>
                <w:sz w:val="20"/>
                <w:szCs w:val="20"/>
              </w:rPr>
              <w:t>-1.6</w:t>
            </w:r>
          </w:p>
        </w:tc>
        <w:tc>
          <w:tcPr>
            <w:tcW w:w="855" w:type="dxa"/>
            <w:shd w:val="clear" w:color="auto" w:fill="auto"/>
            <w:vAlign w:val="center"/>
          </w:tcPr>
          <w:p w:rsidR="00382E21" w:rsidRPr="003D75FF" w:rsidRDefault="00382E21" w:rsidP="00382E21">
            <w:pPr>
              <w:jc w:val="center"/>
              <w:rPr>
                <w:rFonts w:ascii="Calibri" w:hAnsi="Calibri" w:cs="Arial"/>
                <w:color w:val="365F91"/>
                <w:sz w:val="20"/>
                <w:szCs w:val="20"/>
              </w:rPr>
            </w:pPr>
            <w:r>
              <w:rPr>
                <w:rFonts w:ascii="Calibri" w:hAnsi="Calibri"/>
                <w:color w:val="365F91"/>
                <w:sz w:val="20"/>
                <w:szCs w:val="20"/>
              </w:rPr>
              <w:t>-1.5</w:t>
            </w:r>
          </w:p>
        </w:tc>
        <w:tc>
          <w:tcPr>
            <w:tcW w:w="992" w:type="dxa"/>
            <w:shd w:val="clear" w:color="auto" w:fill="auto"/>
            <w:vAlign w:val="center"/>
          </w:tcPr>
          <w:p w:rsidR="00382E21" w:rsidRPr="003D75FF" w:rsidRDefault="00382E21" w:rsidP="00382E21">
            <w:pPr>
              <w:jc w:val="center"/>
              <w:rPr>
                <w:rFonts w:ascii="Calibri" w:hAnsi="Calibri" w:cs="Arial"/>
                <w:color w:val="365F91"/>
                <w:sz w:val="20"/>
                <w:szCs w:val="20"/>
              </w:rPr>
            </w:pPr>
            <w:r>
              <w:rPr>
                <w:rFonts w:ascii="Calibri" w:hAnsi="Calibri"/>
                <w:color w:val="365F91"/>
                <w:sz w:val="20"/>
                <w:szCs w:val="20"/>
              </w:rPr>
              <w:t>-1.4</w:t>
            </w:r>
          </w:p>
        </w:tc>
        <w:tc>
          <w:tcPr>
            <w:tcW w:w="851" w:type="dxa"/>
            <w:shd w:val="clear" w:color="auto" w:fill="auto"/>
            <w:vAlign w:val="center"/>
          </w:tcPr>
          <w:p w:rsidR="00382E21" w:rsidRPr="003D75FF" w:rsidRDefault="00382E21" w:rsidP="00382E21">
            <w:pPr>
              <w:jc w:val="center"/>
              <w:rPr>
                <w:rFonts w:ascii="Calibri" w:hAnsi="Calibri" w:cs="Arial"/>
                <w:color w:val="365F91"/>
                <w:sz w:val="20"/>
                <w:szCs w:val="20"/>
              </w:rPr>
            </w:pPr>
            <w:r>
              <w:rPr>
                <w:rFonts w:ascii="Calibri" w:hAnsi="Calibri"/>
                <w:color w:val="365F91"/>
                <w:sz w:val="20"/>
                <w:szCs w:val="20"/>
              </w:rPr>
              <w:t>-1.3</w:t>
            </w:r>
          </w:p>
        </w:tc>
        <w:tc>
          <w:tcPr>
            <w:tcW w:w="992" w:type="dxa"/>
            <w:shd w:val="clear" w:color="auto" w:fill="auto"/>
            <w:vAlign w:val="center"/>
          </w:tcPr>
          <w:p w:rsidR="00382E21" w:rsidRPr="003D75FF" w:rsidRDefault="0034570F" w:rsidP="00382E21">
            <w:pPr>
              <w:jc w:val="center"/>
              <w:rPr>
                <w:rFonts w:ascii="Calibri" w:hAnsi="Calibri" w:cs="Arial"/>
                <w:color w:val="365F91"/>
                <w:sz w:val="20"/>
                <w:szCs w:val="20"/>
              </w:rPr>
            </w:pPr>
            <w:r>
              <w:rPr>
                <w:rFonts w:ascii="Calibri" w:hAnsi="Calibri"/>
                <w:color w:val="365F91"/>
                <w:sz w:val="20"/>
                <w:szCs w:val="20"/>
              </w:rPr>
              <w:t>-1.1</w:t>
            </w:r>
          </w:p>
        </w:tc>
      </w:tr>
      <w:tr w:rsidR="00382E21" w:rsidRPr="003D75FF" w:rsidTr="00382E21">
        <w:trPr>
          <w:trHeight w:val="336"/>
          <w:jc w:val="center"/>
        </w:trPr>
        <w:tc>
          <w:tcPr>
            <w:tcW w:w="3828" w:type="dxa"/>
            <w:shd w:val="clear" w:color="auto" w:fill="auto"/>
            <w:vAlign w:val="center"/>
          </w:tcPr>
          <w:p w:rsidR="00382E21" w:rsidRPr="003D75FF" w:rsidRDefault="00382E21" w:rsidP="00382E21">
            <w:pPr>
              <w:widowControl w:val="0"/>
              <w:shd w:val="clear" w:color="auto" w:fill="FFFFFF"/>
              <w:rPr>
                <w:rFonts w:ascii="Calibri" w:hAnsi="Calibri" w:cs="Calibri"/>
                <w:color w:val="365F91"/>
                <w:sz w:val="20"/>
                <w:szCs w:val="20"/>
              </w:rPr>
            </w:pPr>
            <w:r>
              <w:rPr>
                <w:rFonts w:ascii="Calibri" w:hAnsi="Calibri"/>
                <w:color w:val="365F91"/>
                <w:sz w:val="20"/>
                <w:szCs w:val="20"/>
              </w:rPr>
              <w:t>4. Interest</w:t>
            </w:r>
          </w:p>
        </w:tc>
        <w:tc>
          <w:tcPr>
            <w:tcW w:w="856" w:type="dxa"/>
            <w:shd w:val="clear" w:color="auto" w:fill="auto"/>
            <w:vAlign w:val="center"/>
          </w:tcPr>
          <w:p w:rsidR="00382E21" w:rsidRPr="003D75FF" w:rsidRDefault="00382E21" w:rsidP="00382E21">
            <w:pPr>
              <w:widowControl w:val="0"/>
              <w:shd w:val="clear" w:color="auto" w:fill="FFFFFF"/>
              <w:jc w:val="center"/>
              <w:rPr>
                <w:rFonts w:ascii="Calibri" w:hAnsi="Calibri" w:cs="Calibri"/>
                <w:color w:val="365F91"/>
                <w:sz w:val="20"/>
                <w:szCs w:val="20"/>
              </w:rPr>
            </w:pPr>
            <w:r>
              <w:rPr>
                <w:rFonts w:ascii="Calibri" w:hAnsi="Calibri"/>
                <w:color w:val="365F91"/>
                <w:sz w:val="20"/>
                <w:szCs w:val="20"/>
              </w:rPr>
              <w:t>EDP D.41</w:t>
            </w:r>
          </w:p>
        </w:tc>
        <w:tc>
          <w:tcPr>
            <w:tcW w:w="856" w:type="dxa"/>
            <w:shd w:val="clear" w:color="auto" w:fill="auto"/>
            <w:vAlign w:val="center"/>
          </w:tcPr>
          <w:p w:rsidR="00382E21" w:rsidRPr="003D75FF" w:rsidRDefault="00382E21" w:rsidP="00382E21">
            <w:pPr>
              <w:jc w:val="center"/>
              <w:rPr>
                <w:rFonts w:ascii="Calibri" w:hAnsi="Calibri" w:cs="Arial"/>
                <w:color w:val="365F91"/>
                <w:sz w:val="20"/>
                <w:szCs w:val="20"/>
              </w:rPr>
            </w:pPr>
            <w:r>
              <w:rPr>
                <w:rFonts w:ascii="Calibri" w:hAnsi="Calibri"/>
                <w:color w:val="365F91"/>
                <w:sz w:val="20"/>
                <w:szCs w:val="20"/>
              </w:rPr>
              <w:t>1.4</w:t>
            </w:r>
          </w:p>
        </w:tc>
        <w:tc>
          <w:tcPr>
            <w:tcW w:w="855" w:type="dxa"/>
            <w:shd w:val="clear" w:color="auto" w:fill="auto"/>
            <w:vAlign w:val="center"/>
          </w:tcPr>
          <w:p w:rsidR="00382E21" w:rsidRPr="003D75FF" w:rsidRDefault="00382E21" w:rsidP="00382E21">
            <w:pPr>
              <w:jc w:val="center"/>
              <w:rPr>
                <w:rFonts w:ascii="Calibri" w:hAnsi="Calibri" w:cs="Arial"/>
                <w:color w:val="365F91"/>
                <w:sz w:val="20"/>
                <w:szCs w:val="20"/>
              </w:rPr>
            </w:pPr>
            <w:r>
              <w:rPr>
                <w:rFonts w:ascii="Calibri" w:hAnsi="Calibri"/>
                <w:color w:val="365F91"/>
                <w:sz w:val="20"/>
                <w:szCs w:val="20"/>
              </w:rPr>
              <w:t>1.5</w:t>
            </w:r>
          </w:p>
        </w:tc>
        <w:tc>
          <w:tcPr>
            <w:tcW w:w="992" w:type="dxa"/>
            <w:shd w:val="clear" w:color="auto" w:fill="auto"/>
            <w:vAlign w:val="center"/>
          </w:tcPr>
          <w:p w:rsidR="00382E21" w:rsidRPr="003D75FF" w:rsidRDefault="00382E21" w:rsidP="00382E21">
            <w:pPr>
              <w:jc w:val="center"/>
              <w:rPr>
                <w:rFonts w:ascii="Calibri" w:hAnsi="Calibri" w:cs="Arial"/>
                <w:color w:val="365F91"/>
                <w:sz w:val="20"/>
                <w:szCs w:val="20"/>
              </w:rPr>
            </w:pPr>
            <w:r>
              <w:rPr>
                <w:rFonts w:ascii="Calibri" w:hAnsi="Calibri"/>
                <w:color w:val="365F91"/>
                <w:sz w:val="20"/>
                <w:szCs w:val="20"/>
              </w:rPr>
              <w:t>1.4</w:t>
            </w:r>
          </w:p>
        </w:tc>
        <w:tc>
          <w:tcPr>
            <w:tcW w:w="851" w:type="dxa"/>
            <w:shd w:val="clear" w:color="auto" w:fill="auto"/>
            <w:vAlign w:val="center"/>
          </w:tcPr>
          <w:p w:rsidR="00382E21" w:rsidRPr="003D75FF" w:rsidRDefault="00382E21" w:rsidP="00382E21">
            <w:pPr>
              <w:jc w:val="center"/>
              <w:rPr>
                <w:rFonts w:ascii="Calibri" w:hAnsi="Calibri" w:cs="Arial"/>
                <w:color w:val="365F91"/>
                <w:sz w:val="20"/>
                <w:szCs w:val="20"/>
              </w:rPr>
            </w:pPr>
            <w:r>
              <w:rPr>
                <w:rFonts w:ascii="Calibri" w:hAnsi="Calibri"/>
                <w:color w:val="365F91"/>
                <w:sz w:val="20"/>
                <w:szCs w:val="20"/>
              </w:rPr>
              <w:t>1.4</w:t>
            </w:r>
          </w:p>
        </w:tc>
        <w:tc>
          <w:tcPr>
            <w:tcW w:w="992" w:type="dxa"/>
            <w:shd w:val="clear" w:color="auto" w:fill="auto"/>
            <w:vAlign w:val="center"/>
          </w:tcPr>
          <w:p w:rsidR="00382E21" w:rsidRPr="003D75FF" w:rsidRDefault="00382E21" w:rsidP="00382E21">
            <w:pPr>
              <w:jc w:val="center"/>
              <w:rPr>
                <w:rFonts w:ascii="Calibri" w:hAnsi="Calibri" w:cs="Arial"/>
                <w:color w:val="365F91"/>
                <w:sz w:val="20"/>
                <w:szCs w:val="20"/>
              </w:rPr>
            </w:pPr>
            <w:r>
              <w:rPr>
                <w:rFonts w:ascii="Calibri" w:hAnsi="Calibri"/>
                <w:color w:val="365F91"/>
                <w:sz w:val="20"/>
                <w:szCs w:val="20"/>
              </w:rPr>
              <w:t>1.3</w:t>
            </w:r>
          </w:p>
        </w:tc>
      </w:tr>
      <w:tr w:rsidR="00382E21" w:rsidRPr="003D75FF" w:rsidTr="00382E21">
        <w:trPr>
          <w:trHeight w:val="329"/>
          <w:jc w:val="center"/>
        </w:trPr>
        <w:tc>
          <w:tcPr>
            <w:tcW w:w="3828" w:type="dxa"/>
            <w:shd w:val="clear" w:color="auto" w:fill="auto"/>
            <w:vAlign w:val="center"/>
          </w:tcPr>
          <w:p w:rsidR="00382E21" w:rsidRPr="003D75FF" w:rsidRDefault="00382E21" w:rsidP="00382E21">
            <w:pPr>
              <w:widowControl w:val="0"/>
              <w:shd w:val="clear" w:color="auto" w:fill="FFFFFF"/>
              <w:rPr>
                <w:rFonts w:ascii="Calibri" w:hAnsi="Calibri" w:cs="Calibri"/>
                <w:color w:val="365F91"/>
                <w:sz w:val="20"/>
                <w:szCs w:val="20"/>
              </w:rPr>
            </w:pPr>
            <w:r>
              <w:rPr>
                <w:rFonts w:ascii="Calibri" w:hAnsi="Calibri"/>
                <w:color w:val="365F91"/>
                <w:sz w:val="20"/>
                <w:szCs w:val="20"/>
              </w:rPr>
              <w:t>5. Stock-flow adjustments</w:t>
            </w:r>
          </w:p>
        </w:tc>
        <w:tc>
          <w:tcPr>
            <w:tcW w:w="856" w:type="dxa"/>
            <w:shd w:val="clear" w:color="auto" w:fill="auto"/>
            <w:vAlign w:val="center"/>
          </w:tcPr>
          <w:p w:rsidR="00382E21" w:rsidRPr="003D75FF" w:rsidRDefault="00382E21" w:rsidP="00382E21">
            <w:pPr>
              <w:widowControl w:val="0"/>
              <w:shd w:val="clear" w:color="auto" w:fill="FFFFFF"/>
              <w:snapToGrid w:val="0"/>
              <w:jc w:val="center"/>
              <w:rPr>
                <w:rFonts w:ascii="Calibri" w:hAnsi="Calibri" w:cs="Calibri"/>
                <w:color w:val="365F91"/>
                <w:sz w:val="20"/>
                <w:szCs w:val="20"/>
                <w:lang w:val="ro-RO" w:eastAsia="ro-RO"/>
              </w:rPr>
            </w:pPr>
          </w:p>
        </w:tc>
        <w:tc>
          <w:tcPr>
            <w:tcW w:w="856" w:type="dxa"/>
            <w:shd w:val="clear" w:color="auto" w:fill="auto"/>
            <w:vAlign w:val="center"/>
          </w:tcPr>
          <w:p w:rsidR="00382E21" w:rsidRPr="003D75FF" w:rsidRDefault="00382E21" w:rsidP="00382E21">
            <w:pPr>
              <w:jc w:val="center"/>
              <w:rPr>
                <w:rFonts w:ascii="Calibri" w:hAnsi="Calibri" w:cs="Arial"/>
                <w:color w:val="365F91"/>
                <w:sz w:val="20"/>
                <w:szCs w:val="20"/>
              </w:rPr>
            </w:pPr>
            <w:r>
              <w:rPr>
                <w:rFonts w:ascii="Calibri" w:hAnsi="Calibri"/>
                <w:color w:val="365F91"/>
                <w:sz w:val="20"/>
                <w:szCs w:val="20"/>
              </w:rPr>
              <w:t>-5.1</w:t>
            </w:r>
          </w:p>
        </w:tc>
        <w:tc>
          <w:tcPr>
            <w:tcW w:w="855" w:type="dxa"/>
            <w:shd w:val="clear" w:color="auto" w:fill="auto"/>
            <w:vAlign w:val="center"/>
          </w:tcPr>
          <w:p w:rsidR="00382E21" w:rsidRPr="003D75FF" w:rsidRDefault="00382E21" w:rsidP="00382E21">
            <w:pPr>
              <w:jc w:val="center"/>
              <w:rPr>
                <w:rFonts w:ascii="Calibri" w:hAnsi="Calibri" w:cs="Arial"/>
                <w:color w:val="365F91"/>
                <w:sz w:val="20"/>
                <w:szCs w:val="20"/>
              </w:rPr>
            </w:pPr>
            <w:r>
              <w:rPr>
                <w:rFonts w:ascii="Calibri" w:hAnsi="Calibri"/>
                <w:color w:val="365F91"/>
                <w:sz w:val="20"/>
                <w:szCs w:val="20"/>
              </w:rPr>
              <w:t>-3.1</w:t>
            </w:r>
          </w:p>
        </w:tc>
        <w:tc>
          <w:tcPr>
            <w:tcW w:w="992" w:type="dxa"/>
            <w:shd w:val="clear" w:color="auto" w:fill="auto"/>
            <w:vAlign w:val="center"/>
          </w:tcPr>
          <w:p w:rsidR="00382E21" w:rsidRPr="003D75FF" w:rsidRDefault="00B22B26" w:rsidP="00382E21">
            <w:pPr>
              <w:jc w:val="center"/>
              <w:rPr>
                <w:rFonts w:ascii="Calibri" w:hAnsi="Calibri" w:cs="Arial"/>
                <w:color w:val="365F91"/>
                <w:sz w:val="20"/>
                <w:szCs w:val="20"/>
              </w:rPr>
            </w:pPr>
            <w:r>
              <w:rPr>
                <w:rFonts w:ascii="Calibri" w:hAnsi="Calibri"/>
                <w:color w:val="365F91"/>
                <w:sz w:val="20"/>
                <w:szCs w:val="20"/>
              </w:rPr>
              <w:t>-2.4</w:t>
            </w:r>
          </w:p>
        </w:tc>
        <w:tc>
          <w:tcPr>
            <w:tcW w:w="851" w:type="dxa"/>
            <w:shd w:val="clear" w:color="auto" w:fill="auto"/>
            <w:vAlign w:val="center"/>
          </w:tcPr>
          <w:p w:rsidR="00382E21" w:rsidRPr="003D75FF" w:rsidRDefault="00382E21" w:rsidP="00382E21">
            <w:pPr>
              <w:jc w:val="center"/>
              <w:rPr>
                <w:rFonts w:ascii="Calibri" w:hAnsi="Calibri" w:cs="Arial"/>
                <w:color w:val="365F91"/>
                <w:sz w:val="20"/>
                <w:szCs w:val="20"/>
              </w:rPr>
            </w:pPr>
            <w:r>
              <w:rPr>
                <w:rFonts w:ascii="Calibri" w:hAnsi="Calibri"/>
                <w:color w:val="365F91"/>
                <w:sz w:val="20"/>
                <w:szCs w:val="20"/>
              </w:rPr>
              <w:t>-2.8</w:t>
            </w:r>
          </w:p>
        </w:tc>
        <w:tc>
          <w:tcPr>
            <w:tcW w:w="992" w:type="dxa"/>
            <w:shd w:val="clear" w:color="auto" w:fill="auto"/>
            <w:vAlign w:val="center"/>
          </w:tcPr>
          <w:p w:rsidR="00382E21" w:rsidRPr="003D75FF" w:rsidRDefault="00382E21" w:rsidP="00382E21">
            <w:pPr>
              <w:jc w:val="center"/>
              <w:rPr>
                <w:rFonts w:ascii="Calibri" w:hAnsi="Calibri" w:cs="Arial"/>
                <w:color w:val="365F91"/>
                <w:sz w:val="20"/>
                <w:szCs w:val="20"/>
              </w:rPr>
            </w:pPr>
            <w:r>
              <w:rPr>
                <w:rFonts w:ascii="Calibri" w:hAnsi="Calibri"/>
                <w:color w:val="365F91"/>
                <w:sz w:val="20"/>
                <w:szCs w:val="20"/>
              </w:rPr>
              <w:t>-2.6</w:t>
            </w:r>
          </w:p>
        </w:tc>
      </w:tr>
      <w:tr w:rsidR="00382E21" w:rsidRPr="003D75FF" w:rsidTr="00382E21">
        <w:trPr>
          <w:trHeight w:val="500"/>
          <w:jc w:val="center"/>
        </w:trPr>
        <w:tc>
          <w:tcPr>
            <w:tcW w:w="3828" w:type="dxa"/>
            <w:shd w:val="clear" w:color="auto" w:fill="auto"/>
            <w:vAlign w:val="center"/>
          </w:tcPr>
          <w:p w:rsidR="00382E21" w:rsidRPr="003D75FF" w:rsidRDefault="00382E21" w:rsidP="00382E21">
            <w:pPr>
              <w:widowControl w:val="0"/>
              <w:shd w:val="clear" w:color="auto" w:fill="FFFFFF"/>
              <w:rPr>
                <w:rFonts w:ascii="Calibri" w:hAnsi="Calibri" w:cs="Calibri"/>
                <w:color w:val="365F91"/>
                <w:sz w:val="20"/>
                <w:szCs w:val="20"/>
              </w:rPr>
            </w:pPr>
            <w:r>
              <w:rPr>
                <w:rFonts w:ascii="Calibri" w:hAnsi="Calibri"/>
                <w:i/>
                <w:color w:val="365F91"/>
                <w:sz w:val="20"/>
                <w:szCs w:val="20"/>
              </w:rPr>
              <w:t>Of which:</w:t>
            </w:r>
          </w:p>
          <w:p w:rsidR="00382E21" w:rsidRPr="003D75FF" w:rsidRDefault="00382E21" w:rsidP="00382E21">
            <w:pPr>
              <w:widowControl w:val="0"/>
              <w:shd w:val="clear" w:color="auto" w:fill="FFFFFF"/>
              <w:rPr>
                <w:rFonts w:ascii="Calibri" w:hAnsi="Calibri" w:cs="Calibri"/>
                <w:color w:val="365F91"/>
                <w:sz w:val="20"/>
                <w:szCs w:val="20"/>
              </w:rPr>
            </w:pPr>
            <w:r>
              <w:rPr>
                <w:rFonts w:ascii="Calibri" w:hAnsi="Calibri"/>
                <w:color w:val="365F91"/>
                <w:sz w:val="20"/>
                <w:szCs w:val="20"/>
              </w:rPr>
              <w:t>- Differences between interests paid and accrual</w:t>
            </w:r>
          </w:p>
        </w:tc>
        <w:tc>
          <w:tcPr>
            <w:tcW w:w="856" w:type="dxa"/>
            <w:shd w:val="clear" w:color="auto" w:fill="auto"/>
            <w:vAlign w:val="center"/>
          </w:tcPr>
          <w:p w:rsidR="00382E21" w:rsidRPr="003D75FF" w:rsidRDefault="00382E21" w:rsidP="00382E21">
            <w:pPr>
              <w:widowControl w:val="0"/>
              <w:shd w:val="clear" w:color="auto" w:fill="FFFFFF"/>
              <w:snapToGrid w:val="0"/>
              <w:jc w:val="center"/>
              <w:rPr>
                <w:rFonts w:ascii="Calibri" w:hAnsi="Calibri" w:cs="Calibri"/>
                <w:color w:val="365F91"/>
                <w:sz w:val="20"/>
                <w:szCs w:val="20"/>
                <w:lang w:val="ro-RO" w:eastAsia="ro-RO"/>
              </w:rPr>
            </w:pPr>
          </w:p>
        </w:tc>
        <w:tc>
          <w:tcPr>
            <w:tcW w:w="856" w:type="dxa"/>
            <w:shd w:val="clear" w:color="auto" w:fill="auto"/>
            <w:vAlign w:val="center"/>
          </w:tcPr>
          <w:p w:rsidR="00382E21" w:rsidRPr="003D75FF" w:rsidRDefault="00382E21" w:rsidP="00382E21">
            <w:pPr>
              <w:jc w:val="center"/>
              <w:rPr>
                <w:rFonts w:ascii="Calibri" w:hAnsi="Calibri" w:cs="Calibri"/>
                <w:color w:val="365F91"/>
                <w:sz w:val="20"/>
                <w:szCs w:val="20"/>
              </w:rPr>
            </w:pPr>
            <w:r>
              <w:rPr>
                <w:rFonts w:ascii="Calibri" w:hAnsi="Calibri"/>
                <w:color w:val="365F91"/>
                <w:sz w:val="20"/>
                <w:szCs w:val="20"/>
              </w:rPr>
              <w:t>-0.1</w:t>
            </w:r>
          </w:p>
        </w:tc>
        <w:tc>
          <w:tcPr>
            <w:tcW w:w="855" w:type="dxa"/>
            <w:shd w:val="clear" w:color="auto" w:fill="auto"/>
            <w:vAlign w:val="center"/>
          </w:tcPr>
          <w:p w:rsidR="00382E21" w:rsidRPr="003D75FF" w:rsidRDefault="00382E21" w:rsidP="00382E21">
            <w:pPr>
              <w:jc w:val="center"/>
              <w:rPr>
                <w:rFonts w:ascii="Calibri" w:hAnsi="Calibri" w:cs="Calibri"/>
                <w:color w:val="365F91"/>
                <w:sz w:val="20"/>
                <w:szCs w:val="20"/>
              </w:rPr>
            </w:pPr>
            <w:r>
              <w:rPr>
                <w:rFonts w:ascii="Calibri" w:hAnsi="Calibri"/>
                <w:color w:val="365F91"/>
                <w:sz w:val="20"/>
                <w:szCs w:val="20"/>
              </w:rPr>
              <w:t>-0.1</w:t>
            </w:r>
          </w:p>
        </w:tc>
        <w:tc>
          <w:tcPr>
            <w:tcW w:w="992" w:type="dxa"/>
            <w:shd w:val="clear" w:color="auto" w:fill="auto"/>
            <w:vAlign w:val="center"/>
          </w:tcPr>
          <w:p w:rsidR="00382E21" w:rsidRPr="003D75FF" w:rsidRDefault="00382E21" w:rsidP="00382E21">
            <w:pPr>
              <w:jc w:val="center"/>
              <w:rPr>
                <w:rFonts w:ascii="Calibri" w:hAnsi="Calibri" w:cs="Calibri"/>
                <w:color w:val="365F91"/>
                <w:sz w:val="20"/>
                <w:szCs w:val="20"/>
              </w:rPr>
            </w:pPr>
            <w:r>
              <w:rPr>
                <w:rFonts w:ascii="Calibri" w:hAnsi="Calibri"/>
                <w:color w:val="365F91"/>
                <w:sz w:val="20"/>
                <w:szCs w:val="20"/>
              </w:rPr>
              <w:t>-0.1</w:t>
            </w:r>
          </w:p>
        </w:tc>
        <w:tc>
          <w:tcPr>
            <w:tcW w:w="851" w:type="dxa"/>
            <w:shd w:val="clear" w:color="auto" w:fill="auto"/>
            <w:vAlign w:val="center"/>
          </w:tcPr>
          <w:p w:rsidR="00382E21" w:rsidRPr="003D75FF" w:rsidRDefault="00382E21" w:rsidP="00382E21">
            <w:pPr>
              <w:jc w:val="center"/>
              <w:rPr>
                <w:rFonts w:ascii="Calibri" w:hAnsi="Calibri" w:cs="Calibri"/>
                <w:color w:val="365F91"/>
                <w:sz w:val="20"/>
                <w:szCs w:val="20"/>
              </w:rPr>
            </w:pPr>
            <w:r>
              <w:rPr>
                <w:rFonts w:ascii="Calibri" w:hAnsi="Calibri"/>
                <w:color w:val="365F91"/>
                <w:sz w:val="20"/>
                <w:szCs w:val="20"/>
              </w:rPr>
              <w:t>-0.1</w:t>
            </w:r>
          </w:p>
        </w:tc>
        <w:tc>
          <w:tcPr>
            <w:tcW w:w="992" w:type="dxa"/>
            <w:shd w:val="clear" w:color="auto" w:fill="auto"/>
            <w:vAlign w:val="center"/>
          </w:tcPr>
          <w:p w:rsidR="00382E21" w:rsidRPr="003D75FF" w:rsidRDefault="00382E21" w:rsidP="00382E21">
            <w:pPr>
              <w:jc w:val="center"/>
              <w:rPr>
                <w:rFonts w:ascii="Calibri" w:hAnsi="Calibri"/>
                <w:color w:val="365F91"/>
                <w:sz w:val="20"/>
                <w:szCs w:val="20"/>
              </w:rPr>
            </w:pPr>
            <w:r>
              <w:rPr>
                <w:rFonts w:ascii="Calibri" w:hAnsi="Calibri"/>
                <w:color w:val="365F91"/>
                <w:sz w:val="20"/>
                <w:szCs w:val="20"/>
              </w:rPr>
              <w:t>-0.1</w:t>
            </w:r>
          </w:p>
        </w:tc>
      </w:tr>
      <w:tr w:rsidR="00382E21" w:rsidRPr="003D75FF" w:rsidTr="00382E21">
        <w:trPr>
          <w:trHeight w:val="308"/>
          <w:jc w:val="center"/>
        </w:trPr>
        <w:tc>
          <w:tcPr>
            <w:tcW w:w="3828" w:type="dxa"/>
            <w:shd w:val="clear" w:color="auto" w:fill="auto"/>
            <w:vAlign w:val="center"/>
          </w:tcPr>
          <w:p w:rsidR="00382E21" w:rsidRPr="003D75FF" w:rsidRDefault="00382E21" w:rsidP="00382E21">
            <w:pPr>
              <w:widowControl w:val="0"/>
              <w:shd w:val="clear" w:color="auto" w:fill="FFFFFF"/>
              <w:rPr>
                <w:rFonts w:ascii="Calibri" w:hAnsi="Calibri" w:cs="Calibri"/>
                <w:color w:val="365F91"/>
                <w:sz w:val="20"/>
                <w:szCs w:val="20"/>
              </w:rPr>
            </w:pPr>
            <w:r>
              <w:rPr>
                <w:rFonts w:ascii="Calibri" w:hAnsi="Calibri"/>
                <w:color w:val="365F91"/>
                <w:sz w:val="20"/>
                <w:szCs w:val="20"/>
              </w:rPr>
              <w:t>- Net accumulation of financial assets</w:t>
            </w:r>
          </w:p>
        </w:tc>
        <w:tc>
          <w:tcPr>
            <w:tcW w:w="856" w:type="dxa"/>
            <w:shd w:val="clear" w:color="auto" w:fill="auto"/>
            <w:vAlign w:val="center"/>
          </w:tcPr>
          <w:p w:rsidR="00382E21" w:rsidRPr="003D75FF" w:rsidRDefault="00382E21" w:rsidP="00382E21">
            <w:pPr>
              <w:widowControl w:val="0"/>
              <w:shd w:val="clear" w:color="auto" w:fill="FFFFFF"/>
              <w:snapToGrid w:val="0"/>
              <w:jc w:val="center"/>
              <w:rPr>
                <w:rFonts w:ascii="Calibri" w:hAnsi="Calibri" w:cs="Calibri"/>
                <w:color w:val="365F91"/>
                <w:sz w:val="20"/>
                <w:szCs w:val="20"/>
                <w:lang w:val="ro-RO" w:eastAsia="ro-RO"/>
              </w:rPr>
            </w:pPr>
          </w:p>
        </w:tc>
        <w:tc>
          <w:tcPr>
            <w:tcW w:w="856" w:type="dxa"/>
            <w:tcBorders>
              <w:bottom w:val="single" w:sz="2" w:space="0" w:color="365F91"/>
            </w:tcBorders>
            <w:shd w:val="clear" w:color="auto" w:fill="auto"/>
            <w:vAlign w:val="center"/>
          </w:tcPr>
          <w:p w:rsidR="00382E21" w:rsidRPr="003D75FF" w:rsidRDefault="00382E21" w:rsidP="00382E21">
            <w:pPr>
              <w:jc w:val="center"/>
              <w:rPr>
                <w:rFonts w:ascii="Calibri" w:hAnsi="Calibri" w:cs="Arial"/>
                <w:color w:val="365F91"/>
                <w:sz w:val="20"/>
                <w:szCs w:val="20"/>
              </w:rPr>
            </w:pPr>
            <w:r>
              <w:rPr>
                <w:rFonts w:ascii="Calibri" w:hAnsi="Calibri"/>
                <w:color w:val="365F91"/>
                <w:sz w:val="20"/>
                <w:szCs w:val="20"/>
              </w:rPr>
              <w:t>-0.6</w:t>
            </w:r>
          </w:p>
        </w:tc>
        <w:tc>
          <w:tcPr>
            <w:tcW w:w="855" w:type="dxa"/>
            <w:tcBorders>
              <w:bottom w:val="single" w:sz="2" w:space="0" w:color="365F91"/>
            </w:tcBorders>
            <w:shd w:val="clear" w:color="auto" w:fill="auto"/>
            <w:vAlign w:val="center"/>
          </w:tcPr>
          <w:p w:rsidR="00382E21" w:rsidRPr="003D75FF" w:rsidRDefault="00382E21" w:rsidP="00382E21">
            <w:pPr>
              <w:jc w:val="center"/>
              <w:rPr>
                <w:rFonts w:ascii="Calibri" w:hAnsi="Calibri" w:cs="Arial"/>
                <w:color w:val="365F91"/>
                <w:sz w:val="20"/>
                <w:szCs w:val="20"/>
              </w:rPr>
            </w:pPr>
            <w:r>
              <w:rPr>
                <w:rFonts w:ascii="Calibri" w:hAnsi="Calibri"/>
                <w:color w:val="365F91"/>
                <w:sz w:val="20"/>
                <w:szCs w:val="20"/>
              </w:rPr>
              <w:t>0.0</w:t>
            </w:r>
          </w:p>
        </w:tc>
        <w:tc>
          <w:tcPr>
            <w:tcW w:w="992" w:type="dxa"/>
            <w:tcBorders>
              <w:bottom w:val="single" w:sz="2" w:space="0" w:color="365F91"/>
            </w:tcBorders>
            <w:shd w:val="clear" w:color="auto" w:fill="auto"/>
            <w:vAlign w:val="center"/>
          </w:tcPr>
          <w:p w:rsidR="00382E21" w:rsidRPr="003D75FF" w:rsidRDefault="00382E21" w:rsidP="00382E21">
            <w:pPr>
              <w:jc w:val="center"/>
              <w:rPr>
                <w:rFonts w:ascii="Calibri" w:hAnsi="Calibri" w:cs="Arial"/>
                <w:color w:val="365F91"/>
                <w:sz w:val="20"/>
                <w:szCs w:val="20"/>
              </w:rPr>
            </w:pPr>
            <w:r>
              <w:rPr>
                <w:rFonts w:ascii="Calibri" w:hAnsi="Calibri"/>
                <w:color w:val="365F91"/>
                <w:sz w:val="20"/>
                <w:szCs w:val="20"/>
              </w:rPr>
              <w:t>0.0</w:t>
            </w:r>
          </w:p>
        </w:tc>
        <w:tc>
          <w:tcPr>
            <w:tcW w:w="851" w:type="dxa"/>
            <w:tcBorders>
              <w:bottom w:val="single" w:sz="2" w:space="0" w:color="365F91"/>
            </w:tcBorders>
            <w:shd w:val="clear" w:color="auto" w:fill="auto"/>
            <w:vAlign w:val="center"/>
          </w:tcPr>
          <w:p w:rsidR="00382E21" w:rsidRPr="003D75FF" w:rsidRDefault="00382E21" w:rsidP="00382E21">
            <w:pPr>
              <w:jc w:val="center"/>
              <w:rPr>
                <w:rFonts w:ascii="Calibri" w:hAnsi="Calibri" w:cs="Arial"/>
                <w:color w:val="365F91"/>
                <w:sz w:val="20"/>
                <w:szCs w:val="20"/>
              </w:rPr>
            </w:pPr>
            <w:r>
              <w:rPr>
                <w:rFonts w:ascii="Calibri" w:hAnsi="Calibri"/>
                <w:color w:val="365F91"/>
                <w:sz w:val="20"/>
                <w:szCs w:val="20"/>
              </w:rPr>
              <w:t>0.0</w:t>
            </w:r>
          </w:p>
        </w:tc>
        <w:tc>
          <w:tcPr>
            <w:tcW w:w="992" w:type="dxa"/>
            <w:tcBorders>
              <w:bottom w:val="single" w:sz="2" w:space="0" w:color="365F91"/>
            </w:tcBorders>
            <w:shd w:val="clear" w:color="auto" w:fill="auto"/>
            <w:vAlign w:val="center"/>
          </w:tcPr>
          <w:p w:rsidR="00382E21" w:rsidRPr="003D75FF" w:rsidRDefault="00382E21" w:rsidP="00382E21">
            <w:pPr>
              <w:jc w:val="center"/>
              <w:rPr>
                <w:rFonts w:ascii="Calibri" w:hAnsi="Calibri" w:cs="Arial"/>
                <w:color w:val="365F91"/>
                <w:sz w:val="20"/>
                <w:szCs w:val="20"/>
              </w:rPr>
            </w:pPr>
            <w:r>
              <w:rPr>
                <w:rFonts w:ascii="Calibri" w:hAnsi="Calibri"/>
                <w:color w:val="365F91"/>
                <w:sz w:val="20"/>
                <w:szCs w:val="20"/>
              </w:rPr>
              <w:t>0.0</w:t>
            </w:r>
          </w:p>
        </w:tc>
      </w:tr>
      <w:tr w:rsidR="00382E21" w:rsidRPr="003D75FF" w:rsidTr="00382E21">
        <w:trPr>
          <w:trHeight w:val="284"/>
          <w:jc w:val="center"/>
        </w:trPr>
        <w:tc>
          <w:tcPr>
            <w:tcW w:w="3828" w:type="dxa"/>
            <w:vMerge w:val="restart"/>
            <w:shd w:val="clear" w:color="auto" w:fill="auto"/>
            <w:vAlign w:val="center"/>
          </w:tcPr>
          <w:p w:rsidR="00382E21" w:rsidRPr="003D75FF" w:rsidRDefault="00382E21" w:rsidP="00382E21">
            <w:pPr>
              <w:widowControl w:val="0"/>
              <w:shd w:val="clear" w:color="auto" w:fill="FFFFFF"/>
              <w:rPr>
                <w:rFonts w:ascii="Calibri" w:hAnsi="Calibri" w:cs="Calibri"/>
                <w:color w:val="365F91"/>
                <w:sz w:val="20"/>
                <w:szCs w:val="20"/>
              </w:rPr>
            </w:pPr>
            <w:r>
              <w:rPr>
                <w:rFonts w:ascii="Calibri" w:hAnsi="Calibri"/>
                <w:i/>
                <w:color w:val="365F91"/>
                <w:sz w:val="20"/>
                <w:szCs w:val="20"/>
              </w:rPr>
              <w:t>of which:</w:t>
            </w:r>
          </w:p>
          <w:p w:rsidR="00382E21" w:rsidRPr="003D75FF" w:rsidRDefault="00382E21" w:rsidP="00382E21">
            <w:pPr>
              <w:widowControl w:val="0"/>
              <w:shd w:val="clear" w:color="auto" w:fill="FFFFFF"/>
              <w:rPr>
                <w:rFonts w:ascii="Calibri" w:hAnsi="Calibri" w:cs="Calibri"/>
                <w:color w:val="365F91"/>
                <w:sz w:val="20"/>
                <w:szCs w:val="20"/>
              </w:rPr>
            </w:pPr>
            <w:r>
              <w:rPr>
                <w:rFonts w:ascii="Calibri" w:hAnsi="Calibri"/>
                <w:color w:val="365F91"/>
                <w:sz w:val="20"/>
                <w:szCs w:val="20"/>
              </w:rPr>
              <w:t>- from privatization</w:t>
            </w:r>
          </w:p>
        </w:tc>
        <w:tc>
          <w:tcPr>
            <w:tcW w:w="856" w:type="dxa"/>
            <w:vMerge w:val="restart"/>
            <w:shd w:val="clear" w:color="auto" w:fill="auto"/>
            <w:vAlign w:val="center"/>
          </w:tcPr>
          <w:p w:rsidR="00382E21" w:rsidRPr="003D75FF" w:rsidRDefault="00382E21" w:rsidP="00382E21">
            <w:pPr>
              <w:widowControl w:val="0"/>
              <w:shd w:val="clear" w:color="auto" w:fill="FFFFFF"/>
              <w:snapToGrid w:val="0"/>
              <w:jc w:val="center"/>
              <w:rPr>
                <w:rFonts w:ascii="Calibri" w:hAnsi="Calibri" w:cs="Calibri"/>
                <w:color w:val="365F91"/>
                <w:sz w:val="20"/>
                <w:szCs w:val="20"/>
                <w:lang w:val="ro-RO" w:eastAsia="ro-RO"/>
              </w:rPr>
            </w:pPr>
          </w:p>
        </w:tc>
        <w:tc>
          <w:tcPr>
            <w:tcW w:w="856" w:type="dxa"/>
            <w:tcBorders>
              <w:bottom w:val="nil"/>
            </w:tcBorders>
            <w:shd w:val="clear" w:color="auto" w:fill="auto"/>
            <w:vAlign w:val="center"/>
          </w:tcPr>
          <w:p w:rsidR="00382E21" w:rsidRPr="003D75FF" w:rsidRDefault="00382E21" w:rsidP="00382E21">
            <w:pPr>
              <w:snapToGrid w:val="0"/>
              <w:jc w:val="center"/>
              <w:rPr>
                <w:rFonts w:ascii="Calibri" w:hAnsi="Calibri" w:cs="Calibri"/>
                <w:color w:val="365F91"/>
                <w:sz w:val="20"/>
                <w:szCs w:val="20"/>
                <w:lang w:val="ro-RO" w:eastAsia="ro-RO"/>
              </w:rPr>
            </w:pPr>
          </w:p>
        </w:tc>
        <w:tc>
          <w:tcPr>
            <w:tcW w:w="855" w:type="dxa"/>
            <w:tcBorders>
              <w:bottom w:val="nil"/>
            </w:tcBorders>
            <w:shd w:val="clear" w:color="auto" w:fill="auto"/>
            <w:vAlign w:val="center"/>
          </w:tcPr>
          <w:p w:rsidR="00382E21" w:rsidRPr="003D75FF" w:rsidRDefault="00382E21" w:rsidP="00382E21">
            <w:pPr>
              <w:snapToGrid w:val="0"/>
              <w:jc w:val="center"/>
              <w:rPr>
                <w:rFonts w:ascii="Calibri" w:hAnsi="Calibri" w:cs="Calibri"/>
                <w:color w:val="365F91"/>
                <w:sz w:val="20"/>
                <w:szCs w:val="20"/>
                <w:lang w:val="ro-RO" w:eastAsia="ro-RO"/>
              </w:rPr>
            </w:pPr>
          </w:p>
        </w:tc>
        <w:tc>
          <w:tcPr>
            <w:tcW w:w="992" w:type="dxa"/>
            <w:tcBorders>
              <w:bottom w:val="nil"/>
            </w:tcBorders>
            <w:shd w:val="clear" w:color="auto" w:fill="auto"/>
            <w:vAlign w:val="center"/>
          </w:tcPr>
          <w:p w:rsidR="00382E21" w:rsidRPr="003D75FF" w:rsidRDefault="00382E21" w:rsidP="00382E21">
            <w:pPr>
              <w:snapToGrid w:val="0"/>
              <w:jc w:val="center"/>
              <w:rPr>
                <w:rFonts w:ascii="Calibri" w:hAnsi="Calibri" w:cs="Calibri"/>
                <w:color w:val="365F91"/>
                <w:sz w:val="20"/>
                <w:szCs w:val="20"/>
                <w:lang w:val="ro-RO" w:eastAsia="ro-RO"/>
              </w:rPr>
            </w:pPr>
          </w:p>
        </w:tc>
        <w:tc>
          <w:tcPr>
            <w:tcW w:w="851" w:type="dxa"/>
            <w:tcBorders>
              <w:bottom w:val="nil"/>
            </w:tcBorders>
            <w:shd w:val="clear" w:color="auto" w:fill="auto"/>
            <w:vAlign w:val="center"/>
          </w:tcPr>
          <w:p w:rsidR="00382E21" w:rsidRPr="003D75FF" w:rsidRDefault="00382E21" w:rsidP="00382E21">
            <w:pPr>
              <w:snapToGrid w:val="0"/>
              <w:jc w:val="center"/>
              <w:rPr>
                <w:rFonts w:ascii="Calibri" w:hAnsi="Calibri" w:cs="Calibri"/>
                <w:color w:val="365F91"/>
                <w:sz w:val="20"/>
                <w:szCs w:val="20"/>
                <w:lang w:val="ro-RO" w:eastAsia="ro-RO"/>
              </w:rPr>
            </w:pPr>
          </w:p>
        </w:tc>
        <w:tc>
          <w:tcPr>
            <w:tcW w:w="992" w:type="dxa"/>
            <w:tcBorders>
              <w:bottom w:val="nil"/>
            </w:tcBorders>
            <w:shd w:val="clear" w:color="auto" w:fill="auto"/>
            <w:vAlign w:val="center"/>
          </w:tcPr>
          <w:p w:rsidR="00382E21" w:rsidRPr="003D75FF" w:rsidRDefault="00382E21" w:rsidP="00382E21">
            <w:pPr>
              <w:snapToGrid w:val="0"/>
              <w:jc w:val="center"/>
              <w:rPr>
                <w:rFonts w:ascii="Calibri" w:hAnsi="Calibri" w:cs="Calibri"/>
                <w:color w:val="365F91"/>
                <w:sz w:val="20"/>
                <w:szCs w:val="20"/>
                <w:lang w:val="ro-RO" w:eastAsia="ro-RO"/>
              </w:rPr>
            </w:pPr>
          </w:p>
        </w:tc>
      </w:tr>
      <w:tr w:rsidR="00382E21" w:rsidRPr="003D75FF" w:rsidTr="00382E21">
        <w:trPr>
          <w:trHeight w:val="279"/>
          <w:jc w:val="center"/>
        </w:trPr>
        <w:tc>
          <w:tcPr>
            <w:tcW w:w="3828" w:type="dxa"/>
            <w:vMerge/>
            <w:shd w:val="clear" w:color="auto" w:fill="auto"/>
            <w:vAlign w:val="center"/>
          </w:tcPr>
          <w:p w:rsidR="00382E21" w:rsidRPr="003D75FF" w:rsidRDefault="00382E21" w:rsidP="00382E21">
            <w:pPr>
              <w:widowControl w:val="0"/>
              <w:shd w:val="clear" w:color="auto" w:fill="FFFFFF"/>
              <w:snapToGrid w:val="0"/>
              <w:rPr>
                <w:rFonts w:ascii="Calibri" w:hAnsi="Calibri" w:cs="Calibri"/>
                <w:i/>
                <w:color w:val="365F91"/>
                <w:sz w:val="20"/>
                <w:szCs w:val="20"/>
                <w:lang w:val="ro-RO" w:eastAsia="ro-RO"/>
              </w:rPr>
            </w:pPr>
          </w:p>
        </w:tc>
        <w:tc>
          <w:tcPr>
            <w:tcW w:w="856" w:type="dxa"/>
            <w:vMerge/>
            <w:shd w:val="clear" w:color="auto" w:fill="auto"/>
            <w:vAlign w:val="center"/>
          </w:tcPr>
          <w:p w:rsidR="00382E21" w:rsidRPr="003D75FF" w:rsidRDefault="00382E21" w:rsidP="00382E21">
            <w:pPr>
              <w:widowControl w:val="0"/>
              <w:shd w:val="clear" w:color="auto" w:fill="FFFFFF"/>
              <w:snapToGrid w:val="0"/>
              <w:jc w:val="center"/>
              <w:rPr>
                <w:rFonts w:ascii="Calibri" w:hAnsi="Calibri" w:cs="Calibri"/>
                <w:color w:val="365F91"/>
                <w:sz w:val="20"/>
                <w:szCs w:val="20"/>
                <w:lang w:val="ro-RO" w:eastAsia="ro-RO"/>
              </w:rPr>
            </w:pPr>
          </w:p>
        </w:tc>
        <w:tc>
          <w:tcPr>
            <w:tcW w:w="856" w:type="dxa"/>
            <w:tcBorders>
              <w:top w:val="nil"/>
            </w:tcBorders>
            <w:shd w:val="clear" w:color="auto" w:fill="auto"/>
            <w:vAlign w:val="center"/>
          </w:tcPr>
          <w:p w:rsidR="00382E21" w:rsidRPr="003D75FF" w:rsidRDefault="00382E21" w:rsidP="00382E21">
            <w:pPr>
              <w:jc w:val="center"/>
              <w:rPr>
                <w:rFonts w:ascii="Calibri" w:hAnsi="Calibri" w:cs="Arial"/>
                <w:color w:val="365F91"/>
                <w:sz w:val="20"/>
                <w:szCs w:val="20"/>
              </w:rPr>
            </w:pPr>
            <w:r>
              <w:rPr>
                <w:rFonts w:ascii="Calibri" w:hAnsi="Calibri"/>
                <w:color w:val="365F91"/>
                <w:sz w:val="20"/>
                <w:szCs w:val="20"/>
              </w:rPr>
              <w:t>0.0</w:t>
            </w:r>
          </w:p>
        </w:tc>
        <w:tc>
          <w:tcPr>
            <w:tcW w:w="855" w:type="dxa"/>
            <w:tcBorders>
              <w:top w:val="nil"/>
            </w:tcBorders>
            <w:shd w:val="clear" w:color="auto" w:fill="auto"/>
            <w:vAlign w:val="center"/>
          </w:tcPr>
          <w:p w:rsidR="00382E21" w:rsidRPr="003D75FF" w:rsidRDefault="00382E21" w:rsidP="00382E21">
            <w:pPr>
              <w:jc w:val="center"/>
              <w:rPr>
                <w:rFonts w:ascii="Calibri" w:hAnsi="Calibri" w:cs="Arial"/>
                <w:color w:val="365F91"/>
                <w:sz w:val="20"/>
                <w:szCs w:val="20"/>
              </w:rPr>
            </w:pPr>
            <w:r>
              <w:rPr>
                <w:rFonts w:ascii="Calibri" w:hAnsi="Calibri"/>
                <w:color w:val="365F91"/>
                <w:sz w:val="20"/>
                <w:szCs w:val="20"/>
              </w:rPr>
              <w:t>0.0</w:t>
            </w:r>
          </w:p>
        </w:tc>
        <w:tc>
          <w:tcPr>
            <w:tcW w:w="992" w:type="dxa"/>
            <w:tcBorders>
              <w:top w:val="nil"/>
            </w:tcBorders>
            <w:shd w:val="clear" w:color="auto" w:fill="auto"/>
            <w:vAlign w:val="center"/>
          </w:tcPr>
          <w:p w:rsidR="00382E21" w:rsidRPr="003D75FF" w:rsidRDefault="00382E21" w:rsidP="00382E21">
            <w:pPr>
              <w:jc w:val="center"/>
              <w:rPr>
                <w:rFonts w:ascii="Calibri" w:hAnsi="Calibri" w:cs="Arial"/>
                <w:color w:val="365F91"/>
                <w:sz w:val="20"/>
                <w:szCs w:val="20"/>
              </w:rPr>
            </w:pPr>
            <w:r>
              <w:rPr>
                <w:rFonts w:ascii="Calibri" w:hAnsi="Calibri"/>
                <w:color w:val="365F91"/>
                <w:sz w:val="20"/>
                <w:szCs w:val="20"/>
              </w:rPr>
              <w:t>0.0</w:t>
            </w:r>
          </w:p>
        </w:tc>
        <w:tc>
          <w:tcPr>
            <w:tcW w:w="851" w:type="dxa"/>
            <w:tcBorders>
              <w:top w:val="nil"/>
            </w:tcBorders>
            <w:shd w:val="clear" w:color="auto" w:fill="auto"/>
            <w:vAlign w:val="center"/>
          </w:tcPr>
          <w:p w:rsidR="00382E21" w:rsidRPr="003D75FF" w:rsidRDefault="00382E21" w:rsidP="00382E21">
            <w:pPr>
              <w:jc w:val="center"/>
              <w:rPr>
                <w:rFonts w:ascii="Calibri" w:hAnsi="Calibri" w:cs="Arial"/>
                <w:color w:val="365F91"/>
                <w:sz w:val="20"/>
                <w:szCs w:val="20"/>
              </w:rPr>
            </w:pPr>
            <w:r>
              <w:rPr>
                <w:rFonts w:ascii="Calibri" w:hAnsi="Calibri"/>
                <w:color w:val="365F91"/>
                <w:sz w:val="20"/>
                <w:szCs w:val="20"/>
              </w:rPr>
              <w:t>0.0</w:t>
            </w:r>
          </w:p>
        </w:tc>
        <w:tc>
          <w:tcPr>
            <w:tcW w:w="992" w:type="dxa"/>
            <w:tcBorders>
              <w:top w:val="nil"/>
            </w:tcBorders>
            <w:shd w:val="clear" w:color="auto" w:fill="auto"/>
            <w:vAlign w:val="center"/>
          </w:tcPr>
          <w:p w:rsidR="00382E21" w:rsidRPr="003D75FF" w:rsidRDefault="00382E21" w:rsidP="00382E21">
            <w:pPr>
              <w:jc w:val="center"/>
              <w:rPr>
                <w:rFonts w:ascii="Calibri" w:hAnsi="Calibri" w:cs="Arial"/>
                <w:color w:val="365F91"/>
                <w:sz w:val="20"/>
                <w:szCs w:val="20"/>
              </w:rPr>
            </w:pPr>
            <w:r>
              <w:rPr>
                <w:rFonts w:ascii="Calibri" w:hAnsi="Calibri"/>
                <w:color w:val="365F91"/>
                <w:sz w:val="20"/>
                <w:szCs w:val="20"/>
              </w:rPr>
              <w:t>0.0</w:t>
            </w:r>
          </w:p>
        </w:tc>
      </w:tr>
      <w:tr w:rsidR="00382E21" w:rsidRPr="003D75FF" w:rsidTr="004F0474">
        <w:trPr>
          <w:trHeight w:val="361"/>
          <w:jc w:val="center"/>
        </w:trPr>
        <w:tc>
          <w:tcPr>
            <w:tcW w:w="3828" w:type="dxa"/>
            <w:shd w:val="clear" w:color="auto" w:fill="auto"/>
            <w:vAlign w:val="center"/>
          </w:tcPr>
          <w:p w:rsidR="00382E21" w:rsidRPr="003D75FF" w:rsidRDefault="00382E21" w:rsidP="00382E21">
            <w:pPr>
              <w:widowControl w:val="0"/>
              <w:shd w:val="clear" w:color="auto" w:fill="FFFFFF"/>
              <w:rPr>
                <w:rFonts w:ascii="Calibri" w:hAnsi="Calibri" w:cs="Calibri"/>
                <w:color w:val="365F91"/>
                <w:sz w:val="20"/>
                <w:szCs w:val="20"/>
              </w:rPr>
            </w:pPr>
            <w:r>
              <w:rPr>
                <w:rFonts w:ascii="Calibri" w:hAnsi="Calibri"/>
                <w:color w:val="365F91"/>
                <w:sz w:val="20"/>
                <w:szCs w:val="20"/>
              </w:rPr>
              <w:t>- Effects of the assessment and others</w:t>
            </w:r>
          </w:p>
        </w:tc>
        <w:tc>
          <w:tcPr>
            <w:tcW w:w="856" w:type="dxa"/>
            <w:shd w:val="clear" w:color="auto" w:fill="auto"/>
            <w:vAlign w:val="center"/>
          </w:tcPr>
          <w:p w:rsidR="00382E21" w:rsidRPr="003D75FF" w:rsidRDefault="00382E21" w:rsidP="00382E21">
            <w:pPr>
              <w:widowControl w:val="0"/>
              <w:shd w:val="clear" w:color="auto" w:fill="FFFFFF"/>
              <w:snapToGrid w:val="0"/>
              <w:jc w:val="center"/>
              <w:rPr>
                <w:rFonts w:ascii="Calibri" w:hAnsi="Calibri" w:cs="Calibri"/>
                <w:color w:val="365F91"/>
                <w:sz w:val="20"/>
                <w:szCs w:val="20"/>
                <w:lang w:val="ro-RO" w:eastAsia="ro-RO"/>
              </w:rPr>
            </w:pPr>
          </w:p>
        </w:tc>
        <w:tc>
          <w:tcPr>
            <w:tcW w:w="856" w:type="dxa"/>
            <w:shd w:val="clear" w:color="auto" w:fill="auto"/>
            <w:vAlign w:val="center"/>
          </w:tcPr>
          <w:p w:rsidR="00382E21" w:rsidRPr="003D75FF" w:rsidRDefault="00382E21" w:rsidP="00382E21">
            <w:pPr>
              <w:jc w:val="center"/>
              <w:rPr>
                <w:rFonts w:ascii="Calibri" w:hAnsi="Calibri" w:cs="Arial"/>
                <w:color w:val="365F91"/>
                <w:sz w:val="20"/>
                <w:szCs w:val="20"/>
              </w:rPr>
            </w:pPr>
            <w:r>
              <w:rPr>
                <w:rFonts w:ascii="Calibri" w:hAnsi="Calibri"/>
                <w:color w:val="365F91"/>
                <w:sz w:val="20"/>
                <w:szCs w:val="20"/>
              </w:rPr>
              <w:t>-4.4</w:t>
            </w:r>
          </w:p>
        </w:tc>
        <w:tc>
          <w:tcPr>
            <w:tcW w:w="855" w:type="dxa"/>
            <w:shd w:val="clear" w:color="auto" w:fill="auto"/>
            <w:vAlign w:val="center"/>
          </w:tcPr>
          <w:p w:rsidR="00382E21" w:rsidRPr="003D75FF" w:rsidRDefault="00382E21" w:rsidP="00382E21">
            <w:pPr>
              <w:jc w:val="center"/>
              <w:rPr>
                <w:rFonts w:ascii="Calibri" w:hAnsi="Calibri" w:cs="Arial"/>
                <w:color w:val="365F91"/>
                <w:sz w:val="20"/>
                <w:szCs w:val="20"/>
              </w:rPr>
            </w:pPr>
            <w:r>
              <w:rPr>
                <w:rFonts w:ascii="Calibri" w:hAnsi="Calibri"/>
                <w:color w:val="365F91"/>
                <w:sz w:val="20"/>
                <w:szCs w:val="20"/>
              </w:rPr>
              <w:t>-3.0</w:t>
            </w:r>
          </w:p>
        </w:tc>
        <w:tc>
          <w:tcPr>
            <w:tcW w:w="992" w:type="dxa"/>
            <w:shd w:val="clear" w:color="auto" w:fill="auto"/>
            <w:vAlign w:val="center"/>
          </w:tcPr>
          <w:p w:rsidR="00382E21" w:rsidRPr="003D75FF" w:rsidRDefault="00A21DC3" w:rsidP="00382E21">
            <w:pPr>
              <w:jc w:val="center"/>
              <w:rPr>
                <w:rFonts w:ascii="Calibri" w:hAnsi="Calibri" w:cs="Arial"/>
                <w:color w:val="365F91"/>
                <w:sz w:val="20"/>
                <w:szCs w:val="20"/>
              </w:rPr>
            </w:pPr>
            <w:r>
              <w:rPr>
                <w:rFonts w:ascii="Calibri" w:hAnsi="Calibri"/>
                <w:color w:val="365F91"/>
                <w:sz w:val="20"/>
                <w:szCs w:val="20"/>
              </w:rPr>
              <w:t>-2.3</w:t>
            </w:r>
          </w:p>
        </w:tc>
        <w:tc>
          <w:tcPr>
            <w:tcW w:w="851" w:type="dxa"/>
            <w:shd w:val="clear" w:color="auto" w:fill="auto"/>
            <w:vAlign w:val="center"/>
          </w:tcPr>
          <w:p w:rsidR="00382E21" w:rsidRPr="003D75FF" w:rsidRDefault="00382E21" w:rsidP="00382E21">
            <w:pPr>
              <w:jc w:val="center"/>
              <w:rPr>
                <w:rFonts w:ascii="Calibri" w:hAnsi="Calibri" w:cs="Arial"/>
                <w:color w:val="365F91"/>
                <w:sz w:val="20"/>
                <w:szCs w:val="20"/>
              </w:rPr>
            </w:pPr>
            <w:r>
              <w:rPr>
                <w:rFonts w:ascii="Calibri" w:hAnsi="Calibri"/>
                <w:color w:val="365F91"/>
                <w:sz w:val="20"/>
                <w:szCs w:val="20"/>
              </w:rPr>
              <w:t>-2.7</w:t>
            </w:r>
          </w:p>
        </w:tc>
        <w:tc>
          <w:tcPr>
            <w:tcW w:w="992" w:type="dxa"/>
            <w:shd w:val="clear" w:color="auto" w:fill="auto"/>
            <w:vAlign w:val="center"/>
          </w:tcPr>
          <w:p w:rsidR="00382E21" w:rsidRPr="003D75FF" w:rsidRDefault="00382E21" w:rsidP="00382E21">
            <w:pPr>
              <w:jc w:val="center"/>
              <w:rPr>
                <w:rFonts w:ascii="Calibri" w:hAnsi="Calibri" w:cs="Arial"/>
                <w:color w:val="365F91"/>
                <w:sz w:val="20"/>
                <w:szCs w:val="20"/>
              </w:rPr>
            </w:pPr>
            <w:r>
              <w:rPr>
                <w:rFonts w:ascii="Calibri" w:hAnsi="Calibri"/>
                <w:color w:val="365F91"/>
                <w:sz w:val="20"/>
                <w:szCs w:val="20"/>
              </w:rPr>
              <w:t>-2.5</w:t>
            </w:r>
          </w:p>
        </w:tc>
      </w:tr>
      <w:tr w:rsidR="00382E21" w:rsidRPr="003D75FF" w:rsidTr="00382E21">
        <w:trPr>
          <w:trHeight w:val="373"/>
          <w:jc w:val="center"/>
        </w:trPr>
        <w:tc>
          <w:tcPr>
            <w:tcW w:w="3828" w:type="dxa"/>
            <w:shd w:val="clear" w:color="auto" w:fill="auto"/>
            <w:vAlign w:val="center"/>
          </w:tcPr>
          <w:p w:rsidR="00382E21" w:rsidRPr="003D75FF" w:rsidRDefault="00382E21" w:rsidP="00382E21">
            <w:pPr>
              <w:widowControl w:val="0"/>
              <w:shd w:val="clear" w:color="auto" w:fill="FFFFFF"/>
              <w:rPr>
                <w:rFonts w:ascii="Calibri" w:hAnsi="Calibri" w:cs="Calibri"/>
                <w:color w:val="365F91"/>
                <w:sz w:val="20"/>
                <w:szCs w:val="20"/>
              </w:rPr>
            </w:pPr>
            <w:r>
              <w:rPr>
                <w:rFonts w:ascii="Calibri" w:hAnsi="Calibri"/>
                <w:color w:val="365F91"/>
                <w:sz w:val="20"/>
                <w:szCs w:val="20"/>
              </w:rPr>
              <w:t>p.m. implicit interest rate over debt</w:t>
            </w:r>
          </w:p>
        </w:tc>
        <w:tc>
          <w:tcPr>
            <w:tcW w:w="856" w:type="dxa"/>
            <w:shd w:val="clear" w:color="auto" w:fill="auto"/>
            <w:vAlign w:val="center"/>
          </w:tcPr>
          <w:p w:rsidR="00382E21" w:rsidRPr="003D75FF" w:rsidRDefault="00382E21" w:rsidP="00382E21">
            <w:pPr>
              <w:widowControl w:val="0"/>
              <w:shd w:val="clear" w:color="auto" w:fill="FFFFFF"/>
              <w:snapToGrid w:val="0"/>
              <w:jc w:val="center"/>
              <w:rPr>
                <w:rFonts w:ascii="Calibri" w:hAnsi="Calibri" w:cs="Calibri"/>
                <w:color w:val="365F91"/>
                <w:sz w:val="20"/>
                <w:szCs w:val="20"/>
                <w:lang w:val="ro-RO" w:eastAsia="ro-RO"/>
              </w:rPr>
            </w:pPr>
          </w:p>
        </w:tc>
        <w:tc>
          <w:tcPr>
            <w:tcW w:w="856" w:type="dxa"/>
            <w:shd w:val="clear" w:color="auto" w:fill="auto"/>
            <w:vAlign w:val="center"/>
          </w:tcPr>
          <w:p w:rsidR="00382E21" w:rsidRPr="003D75FF" w:rsidRDefault="00382E21" w:rsidP="00382E21">
            <w:pPr>
              <w:jc w:val="center"/>
              <w:rPr>
                <w:rFonts w:ascii="Calibri" w:hAnsi="Calibri" w:cs="Arial"/>
                <w:color w:val="365F91"/>
                <w:sz w:val="20"/>
                <w:szCs w:val="20"/>
              </w:rPr>
            </w:pPr>
            <w:r>
              <w:rPr>
                <w:rFonts w:ascii="Calibri" w:hAnsi="Calibri"/>
                <w:color w:val="365F91"/>
                <w:sz w:val="20"/>
                <w:szCs w:val="20"/>
              </w:rPr>
              <w:t>4.1</w:t>
            </w:r>
          </w:p>
        </w:tc>
        <w:tc>
          <w:tcPr>
            <w:tcW w:w="855" w:type="dxa"/>
            <w:shd w:val="clear" w:color="auto" w:fill="auto"/>
            <w:vAlign w:val="center"/>
          </w:tcPr>
          <w:p w:rsidR="00382E21" w:rsidRPr="003D75FF" w:rsidRDefault="00382E21" w:rsidP="00382E21">
            <w:pPr>
              <w:jc w:val="center"/>
              <w:rPr>
                <w:rFonts w:ascii="Calibri" w:hAnsi="Calibri" w:cs="Arial"/>
                <w:color w:val="365F91"/>
                <w:sz w:val="20"/>
                <w:szCs w:val="20"/>
              </w:rPr>
            </w:pPr>
            <w:r>
              <w:rPr>
                <w:rFonts w:ascii="Calibri" w:hAnsi="Calibri"/>
                <w:color w:val="365F91"/>
                <w:sz w:val="20"/>
                <w:szCs w:val="20"/>
              </w:rPr>
              <w:t>4.7</w:t>
            </w:r>
          </w:p>
        </w:tc>
        <w:tc>
          <w:tcPr>
            <w:tcW w:w="992" w:type="dxa"/>
            <w:shd w:val="clear" w:color="auto" w:fill="auto"/>
            <w:vAlign w:val="center"/>
          </w:tcPr>
          <w:p w:rsidR="00382E21" w:rsidRPr="003D75FF" w:rsidRDefault="00382E21" w:rsidP="00382E21">
            <w:pPr>
              <w:jc w:val="center"/>
              <w:rPr>
                <w:rFonts w:ascii="Calibri" w:hAnsi="Calibri" w:cs="Arial"/>
                <w:color w:val="365F91"/>
                <w:sz w:val="20"/>
                <w:szCs w:val="20"/>
              </w:rPr>
            </w:pPr>
            <w:r>
              <w:rPr>
                <w:rFonts w:ascii="Calibri" w:hAnsi="Calibri"/>
                <w:color w:val="365F91"/>
                <w:sz w:val="20"/>
                <w:szCs w:val="20"/>
              </w:rPr>
              <w:t>4.4</w:t>
            </w:r>
          </w:p>
        </w:tc>
        <w:tc>
          <w:tcPr>
            <w:tcW w:w="851" w:type="dxa"/>
            <w:shd w:val="clear" w:color="auto" w:fill="auto"/>
            <w:vAlign w:val="center"/>
          </w:tcPr>
          <w:p w:rsidR="00382E21" w:rsidRPr="003D75FF" w:rsidRDefault="00382E21" w:rsidP="00382E21">
            <w:pPr>
              <w:jc w:val="center"/>
              <w:rPr>
                <w:rFonts w:ascii="Calibri" w:hAnsi="Calibri" w:cs="Arial"/>
                <w:color w:val="365F91"/>
                <w:sz w:val="20"/>
                <w:szCs w:val="20"/>
              </w:rPr>
            </w:pPr>
            <w:r>
              <w:rPr>
                <w:rFonts w:ascii="Calibri" w:hAnsi="Calibri"/>
                <w:color w:val="365F91"/>
                <w:sz w:val="20"/>
                <w:szCs w:val="20"/>
              </w:rPr>
              <w:t>4.2</w:t>
            </w:r>
          </w:p>
        </w:tc>
        <w:tc>
          <w:tcPr>
            <w:tcW w:w="992" w:type="dxa"/>
            <w:shd w:val="clear" w:color="auto" w:fill="auto"/>
            <w:vAlign w:val="center"/>
          </w:tcPr>
          <w:p w:rsidR="00382E21" w:rsidRPr="003D75FF" w:rsidRDefault="00382E21" w:rsidP="00382E21">
            <w:pPr>
              <w:jc w:val="center"/>
              <w:rPr>
                <w:rFonts w:ascii="Calibri" w:hAnsi="Calibri" w:cs="Arial"/>
                <w:color w:val="365F91"/>
                <w:sz w:val="20"/>
                <w:szCs w:val="20"/>
              </w:rPr>
            </w:pPr>
            <w:r>
              <w:rPr>
                <w:rFonts w:ascii="Calibri" w:hAnsi="Calibri"/>
                <w:color w:val="365F91"/>
                <w:sz w:val="20"/>
                <w:szCs w:val="20"/>
              </w:rPr>
              <w:t>4.0</w:t>
            </w:r>
          </w:p>
        </w:tc>
      </w:tr>
    </w:tbl>
    <w:p w:rsidR="00382E21" w:rsidRPr="00F84E49" w:rsidRDefault="00C10AD3" w:rsidP="00382E21">
      <w:pPr>
        <w:spacing w:line="276" w:lineRule="auto"/>
        <w:jc w:val="both"/>
        <w:rPr>
          <w:rFonts w:ascii="Calibri" w:hAnsi="Calibri" w:cs="Arial"/>
          <w:i/>
          <w:iCs/>
          <w:color w:val="365F91"/>
          <w:sz w:val="16"/>
          <w:szCs w:val="16"/>
        </w:rPr>
      </w:pPr>
      <w:r>
        <w:rPr>
          <w:rFonts w:ascii="Calibri" w:hAnsi="Calibri"/>
          <w:i/>
          <w:iCs/>
          <w:color w:val="365F91"/>
          <w:sz w:val="16"/>
          <w:szCs w:val="16"/>
        </w:rPr>
        <w:t xml:space="preserve">         Source: MPF</w:t>
      </w:r>
    </w:p>
    <w:p w:rsidR="00382E21" w:rsidRPr="003D75FF" w:rsidRDefault="00382E21" w:rsidP="00382E21">
      <w:pPr>
        <w:widowControl w:val="0"/>
        <w:tabs>
          <w:tab w:val="left" w:pos="993"/>
        </w:tabs>
        <w:spacing w:line="276" w:lineRule="auto"/>
        <w:ind w:right="-108"/>
        <w:rPr>
          <w:rFonts w:ascii="Calibri" w:hAnsi="Calibri" w:cs="Arial Narrow"/>
          <w:b/>
          <w:color w:val="000080"/>
          <w:sz w:val="6"/>
          <w:lang w:val="ro-RO"/>
        </w:rPr>
      </w:pPr>
    </w:p>
    <w:p w:rsidR="007E1C2F" w:rsidRDefault="007E1C2F" w:rsidP="00382E21">
      <w:pPr>
        <w:spacing w:line="276" w:lineRule="auto"/>
        <w:ind w:right="291"/>
        <w:rPr>
          <w:rFonts w:ascii="Calibri" w:hAnsi="Calibri" w:cs="Arial"/>
          <w:b/>
          <w:i/>
          <w:color w:val="365F91"/>
          <w:lang w:val="ro-RO"/>
        </w:rPr>
      </w:pPr>
    </w:p>
    <w:p w:rsidR="007E1C2F" w:rsidRDefault="007E1C2F" w:rsidP="00382E21">
      <w:pPr>
        <w:spacing w:line="276" w:lineRule="auto"/>
        <w:ind w:right="291"/>
        <w:rPr>
          <w:rFonts w:ascii="Calibri" w:hAnsi="Calibri" w:cs="Arial"/>
          <w:b/>
          <w:i/>
          <w:color w:val="365F91"/>
          <w:lang w:val="ro-RO"/>
        </w:rPr>
      </w:pPr>
    </w:p>
    <w:p w:rsidR="00382E21" w:rsidRPr="00C5757D" w:rsidRDefault="00382E21" w:rsidP="00382E21">
      <w:pPr>
        <w:spacing w:line="276" w:lineRule="auto"/>
        <w:ind w:right="291"/>
        <w:rPr>
          <w:rFonts w:ascii="Calibri" w:hAnsi="Calibri" w:cs="Arial"/>
          <w:color w:val="365F91"/>
        </w:rPr>
      </w:pPr>
      <w:r>
        <w:rPr>
          <w:rFonts w:ascii="Calibri" w:hAnsi="Calibri"/>
          <w:b/>
          <w:i/>
          <w:color w:val="365F91"/>
        </w:rPr>
        <w:t>Financing budget deficit</w:t>
      </w:r>
    </w:p>
    <w:p w:rsidR="00382E21" w:rsidRPr="00FA39BE" w:rsidRDefault="00382E21" w:rsidP="00382E21">
      <w:pPr>
        <w:autoSpaceDE w:val="0"/>
        <w:autoSpaceDN w:val="0"/>
        <w:adjustRightInd w:val="0"/>
        <w:jc w:val="both"/>
        <w:rPr>
          <w:rFonts w:ascii="Calibri" w:hAnsi="Calibri" w:cs="Arial"/>
          <w:iCs/>
          <w:color w:val="000000"/>
          <w:sz w:val="10"/>
          <w:lang w:val="ro-RO"/>
        </w:rPr>
      </w:pPr>
    </w:p>
    <w:p w:rsidR="00382E21" w:rsidRDefault="00382E21" w:rsidP="00382E21">
      <w:pPr>
        <w:autoSpaceDE w:val="0"/>
        <w:autoSpaceDN w:val="0"/>
        <w:adjustRightInd w:val="0"/>
        <w:jc w:val="both"/>
        <w:rPr>
          <w:rFonts w:ascii="Calibri" w:hAnsi="Calibri" w:cs="Arial"/>
          <w:iCs/>
          <w:color w:val="000000"/>
        </w:rPr>
      </w:pPr>
      <w:r>
        <w:rPr>
          <w:rFonts w:ascii="Calibri" w:hAnsi="Calibri"/>
          <w:iCs/>
          <w:color w:val="000000"/>
        </w:rPr>
        <w:t>In 2018, in order to fulfill the development objective of the securities market, the financing of the budget deficit was mainly made from domestic sources through the issuance of State securities and from foreign sources as supplementation.</w:t>
      </w:r>
    </w:p>
    <w:p w:rsidR="00382E21" w:rsidRPr="00FA39BE" w:rsidRDefault="00382E21" w:rsidP="00382E21">
      <w:pPr>
        <w:autoSpaceDE w:val="0"/>
        <w:autoSpaceDN w:val="0"/>
        <w:adjustRightInd w:val="0"/>
        <w:jc w:val="both"/>
        <w:rPr>
          <w:rFonts w:ascii="Calibri" w:hAnsi="Calibri" w:cs="Arial"/>
          <w:iCs/>
          <w:color w:val="000000"/>
          <w:sz w:val="12"/>
          <w:lang w:val="ro-RO"/>
        </w:rPr>
      </w:pPr>
    </w:p>
    <w:p w:rsidR="00382E21" w:rsidRDefault="00382E21" w:rsidP="00382E21">
      <w:pPr>
        <w:autoSpaceDE w:val="0"/>
        <w:autoSpaceDN w:val="0"/>
        <w:adjustRightInd w:val="0"/>
        <w:jc w:val="both"/>
        <w:rPr>
          <w:rFonts w:asciiTheme="minorHAnsi" w:hAnsiTheme="minorHAnsi"/>
          <w:color w:val="000000"/>
        </w:rPr>
      </w:pPr>
      <w:r>
        <w:rPr>
          <w:rFonts w:ascii="Calibri" w:hAnsi="Calibri"/>
          <w:iCs/>
          <w:color w:val="000000"/>
        </w:rPr>
        <w:t xml:space="preserve">In 2018 were issued State securities denominated in Lei and EUR on the domestic market, with a total value of 47.9 billion Lei </w:t>
      </w:r>
      <w:r w:rsidRPr="00C43E2D">
        <w:rPr>
          <w:rFonts w:ascii="Calibri" w:hAnsi="Calibri" w:cs="Arial"/>
          <w:iCs/>
          <w:color w:val="000000"/>
          <w:vertAlign w:val="superscript"/>
          <w:lang w:val="ro-RO"/>
        </w:rPr>
        <w:footnoteReference w:id="48"/>
      </w:r>
      <w:r>
        <w:rPr>
          <w:rFonts w:ascii="Calibri" w:hAnsi="Calibri"/>
          <w:iCs/>
          <w:color w:val="000000"/>
        </w:rPr>
        <w:t xml:space="preserve">. </w:t>
      </w:r>
      <w:r>
        <w:rPr>
          <w:iCs/>
          <w:color w:val="000000"/>
        </w:rPr>
        <w:t>On the domestic market were launched the first issuances for the population through the network of treasuries and post offices with maturities of 3 and 5 years, which accumulated subscriptions of 1.2 billion Lei.</w:t>
      </w:r>
      <w:r>
        <w:rPr>
          <w:rFonts w:asciiTheme="minorHAnsi" w:hAnsiTheme="minorHAnsi"/>
          <w:iCs/>
          <w:color w:val="000000"/>
        </w:rPr>
        <w:t xml:space="preserve"> </w:t>
      </w:r>
      <w:r>
        <w:rPr>
          <w:rFonts w:asciiTheme="minorHAnsi" w:hAnsiTheme="minorHAnsi"/>
          <w:color w:val="000000"/>
        </w:rPr>
        <w:t>At the end of November 2018 was launched the third issuance of the programme with a maturity of 2 years, cumulating subscriptions of 855 million Lei, under observance of the indicative annual ceiling set for 2018 at 4 billion Lei. On the domestic market, the evolutions on the State securities market, mainly those on short term, reflected the influence exercised by the decisions and actions of the NBR (the monetary policy rate increased three times in January, February, and May, from 1.75% to 2.5%) and by the anticipations of the credit institutions regarding the continued adjustment of the monetary policy conduct, to which were added those from the external environment, characterized by mixed evolutions of the yields of long-term State securities, both in developed economies and at regional level.</w:t>
      </w:r>
    </w:p>
    <w:p w:rsidR="00CC05F6" w:rsidRDefault="00CC05F6" w:rsidP="00382E21">
      <w:pPr>
        <w:autoSpaceDE w:val="0"/>
        <w:autoSpaceDN w:val="0"/>
        <w:adjustRightInd w:val="0"/>
        <w:jc w:val="both"/>
        <w:rPr>
          <w:rFonts w:asciiTheme="minorHAnsi" w:hAnsiTheme="minorHAnsi"/>
          <w:color w:val="000000"/>
        </w:rPr>
      </w:pPr>
    </w:p>
    <w:p w:rsidR="00CC05F6" w:rsidRDefault="00CC05F6" w:rsidP="00382E21">
      <w:pPr>
        <w:autoSpaceDE w:val="0"/>
        <w:autoSpaceDN w:val="0"/>
        <w:adjustRightInd w:val="0"/>
        <w:jc w:val="both"/>
        <w:rPr>
          <w:rFonts w:asciiTheme="minorHAnsi" w:hAnsiTheme="minorHAnsi"/>
          <w:color w:val="000000"/>
        </w:rPr>
      </w:pPr>
    </w:p>
    <w:p w:rsidR="00CC05F6" w:rsidRDefault="00CC05F6" w:rsidP="00382E21">
      <w:pPr>
        <w:autoSpaceDE w:val="0"/>
        <w:autoSpaceDN w:val="0"/>
        <w:adjustRightInd w:val="0"/>
        <w:jc w:val="both"/>
        <w:rPr>
          <w:rFonts w:asciiTheme="minorHAnsi" w:hAnsiTheme="minorHAnsi"/>
          <w:color w:val="000000"/>
        </w:rPr>
      </w:pPr>
    </w:p>
    <w:p w:rsidR="00CC05F6" w:rsidRDefault="00CC05F6" w:rsidP="00382E21">
      <w:pPr>
        <w:autoSpaceDE w:val="0"/>
        <w:autoSpaceDN w:val="0"/>
        <w:adjustRightInd w:val="0"/>
        <w:jc w:val="both"/>
        <w:rPr>
          <w:rFonts w:asciiTheme="minorHAnsi" w:hAnsiTheme="minorHAnsi"/>
          <w:color w:val="000000"/>
        </w:rPr>
      </w:pPr>
    </w:p>
    <w:p w:rsidR="00CC05F6" w:rsidRDefault="00CC05F6" w:rsidP="00382E21">
      <w:pPr>
        <w:autoSpaceDE w:val="0"/>
        <w:autoSpaceDN w:val="0"/>
        <w:adjustRightInd w:val="0"/>
        <w:jc w:val="both"/>
        <w:rPr>
          <w:rFonts w:asciiTheme="minorHAnsi" w:hAnsiTheme="minorHAnsi"/>
          <w:color w:val="000000"/>
        </w:rPr>
      </w:pPr>
    </w:p>
    <w:p w:rsidR="00CC05F6" w:rsidRDefault="00CC05F6" w:rsidP="00382E21">
      <w:pPr>
        <w:autoSpaceDE w:val="0"/>
        <w:autoSpaceDN w:val="0"/>
        <w:adjustRightInd w:val="0"/>
        <w:jc w:val="both"/>
        <w:rPr>
          <w:rFonts w:asciiTheme="minorHAnsi" w:hAnsiTheme="minorHAnsi"/>
          <w:color w:val="000000"/>
        </w:rPr>
      </w:pPr>
    </w:p>
    <w:p w:rsidR="00CC05F6" w:rsidRDefault="00CC05F6" w:rsidP="00382E21">
      <w:pPr>
        <w:autoSpaceDE w:val="0"/>
        <w:autoSpaceDN w:val="0"/>
        <w:adjustRightInd w:val="0"/>
        <w:jc w:val="both"/>
        <w:rPr>
          <w:rFonts w:ascii="Calibri" w:hAnsi="Calibri" w:cs="Arial"/>
          <w:iCs/>
          <w:color w:val="000000"/>
        </w:rPr>
      </w:pPr>
    </w:p>
    <w:p w:rsidR="00382E21" w:rsidRDefault="00382E21" w:rsidP="00382E21">
      <w:pPr>
        <w:autoSpaceDE w:val="0"/>
        <w:autoSpaceDN w:val="0"/>
        <w:adjustRightInd w:val="0"/>
        <w:jc w:val="both"/>
        <w:rPr>
          <w:rFonts w:ascii="Calibri" w:hAnsi="Calibri" w:cs="Arial"/>
          <w:iCs/>
          <w:color w:val="000000"/>
          <w:lang w:val="ro-RO"/>
        </w:rPr>
      </w:pPr>
    </w:p>
    <w:p w:rsidR="00382E21" w:rsidRDefault="00382E21" w:rsidP="00382E21">
      <w:pPr>
        <w:ind w:left="709"/>
        <w:jc w:val="center"/>
        <w:rPr>
          <w:rFonts w:ascii="Calibri" w:hAnsi="Calibri" w:cs="Arial"/>
          <w:b/>
          <w:color w:val="365F91"/>
        </w:rPr>
      </w:pPr>
      <w:r>
        <w:rPr>
          <w:rFonts w:ascii="Calibri" w:hAnsi="Calibri"/>
          <w:b/>
          <w:color w:val="365F91"/>
        </w:rPr>
        <w:t>Evolution of the yields of State securities on the secondary domestic market, in December 2016 - December 31, 2018</w:t>
      </w:r>
    </w:p>
    <w:p w:rsidR="007E1C2F" w:rsidRDefault="007E1C2F" w:rsidP="00382E21">
      <w:pPr>
        <w:ind w:left="709"/>
        <w:jc w:val="center"/>
        <w:rPr>
          <w:rFonts w:ascii="Calibri" w:hAnsi="Calibri" w:cs="Arial"/>
          <w:b/>
          <w:color w:val="365F91"/>
        </w:rPr>
      </w:pPr>
      <w:r>
        <w:rPr>
          <w:noProof/>
          <w:lang w:val="ro-RO" w:eastAsia="ro-RO"/>
        </w:rPr>
        <w:drawing>
          <wp:inline distT="0" distB="0" distL="0" distR="0">
            <wp:extent cx="5604734" cy="22936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4840" cy="2297756"/>
                    </a:xfrm>
                    <a:prstGeom prst="rect">
                      <a:avLst/>
                    </a:prstGeom>
                    <a:noFill/>
                    <a:ln>
                      <a:noFill/>
                    </a:ln>
                  </pic:spPr>
                </pic:pic>
              </a:graphicData>
            </a:graphic>
          </wp:inline>
        </w:drawing>
      </w:r>
    </w:p>
    <w:p w:rsidR="00382E21" w:rsidRPr="00C5757D" w:rsidRDefault="00C10AD3" w:rsidP="00382E21">
      <w:pPr>
        <w:rPr>
          <w:rFonts w:ascii="Arial Narrow" w:hAnsi="Arial Narrow" w:cs="Arial"/>
          <w:i/>
          <w:color w:val="365F91"/>
          <w:sz w:val="16"/>
          <w:szCs w:val="16"/>
        </w:rPr>
      </w:pPr>
      <w:r>
        <w:rPr>
          <w:rFonts w:ascii="Arial Narrow" w:hAnsi="Arial Narrow"/>
          <w:i/>
          <w:color w:val="365F91"/>
          <w:sz w:val="18"/>
          <w:szCs w:val="16"/>
        </w:rPr>
        <w:t xml:space="preserve">                     Source: MPF</w:t>
      </w:r>
    </w:p>
    <w:p w:rsidR="00620EA1" w:rsidRPr="00620EA1" w:rsidRDefault="00620EA1" w:rsidP="00620EA1">
      <w:pPr>
        <w:jc w:val="both"/>
        <w:rPr>
          <w:rFonts w:asciiTheme="minorHAnsi" w:hAnsiTheme="minorHAnsi" w:cs="Arial"/>
        </w:rPr>
      </w:pPr>
      <w:r>
        <w:rPr>
          <w:rFonts w:asciiTheme="minorHAnsi" w:hAnsiTheme="minorHAnsi"/>
        </w:rPr>
        <w:t>In 2018, financing on the foreign market was made through issuances of Eurobonds, as follows:</w:t>
      </w:r>
    </w:p>
    <w:p w:rsidR="00620EA1" w:rsidRPr="00620EA1" w:rsidRDefault="00620EA1" w:rsidP="00620EA1">
      <w:pPr>
        <w:widowControl w:val="0"/>
        <w:jc w:val="both"/>
        <w:rPr>
          <w:rFonts w:asciiTheme="minorHAnsi" w:eastAsia="Calibri" w:hAnsiTheme="minorHAnsi" w:cs="Arial"/>
          <w:color w:val="0070C0"/>
          <w:lang w:val="ro-RO"/>
        </w:rPr>
      </w:pPr>
    </w:p>
    <w:p w:rsidR="00620EA1" w:rsidRPr="00620EA1" w:rsidRDefault="00620EA1" w:rsidP="00620EA1">
      <w:pPr>
        <w:widowControl w:val="0"/>
        <w:numPr>
          <w:ilvl w:val="0"/>
          <w:numId w:val="72"/>
        </w:numPr>
        <w:suppressAutoHyphens/>
        <w:jc w:val="both"/>
        <w:rPr>
          <w:rFonts w:asciiTheme="minorHAnsi" w:eastAsia="Calibri" w:hAnsiTheme="minorHAnsi" w:cs="Arial"/>
        </w:rPr>
      </w:pPr>
      <w:r>
        <w:rPr>
          <w:rFonts w:asciiTheme="minorHAnsi" w:hAnsiTheme="minorHAnsi"/>
        </w:rPr>
        <w:t>In February 2018 was made the first issuance, in two installments, denominated in EUR, with maturities of 12 and 20 years, a coupon of 2.50% and 3.375%, respectively, with a total value of 2 billion EUR, of which 0.75 billion EUR for the installment of 12 years and 1.25 billion EUR for the installment of 20 years.</w:t>
      </w:r>
    </w:p>
    <w:p w:rsidR="00620EA1" w:rsidRPr="00620EA1" w:rsidRDefault="00620EA1" w:rsidP="00620EA1">
      <w:pPr>
        <w:widowControl w:val="0"/>
        <w:numPr>
          <w:ilvl w:val="0"/>
          <w:numId w:val="72"/>
        </w:numPr>
        <w:suppressAutoHyphens/>
        <w:jc w:val="both"/>
        <w:rPr>
          <w:rFonts w:asciiTheme="minorHAnsi" w:eastAsia="Calibri" w:hAnsiTheme="minorHAnsi" w:cs="Arial"/>
        </w:rPr>
      </w:pPr>
      <w:r>
        <w:rPr>
          <w:rFonts w:asciiTheme="minorHAnsi" w:hAnsiTheme="minorHAnsi"/>
        </w:rPr>
        <w:t xml:space="preserve">In June 2018 was launched a new issuance in USD, with a maturity of 30 years and a coupon of 5.125%, amounting to 1.2 billion USD, together with a transaction of anticipated partial redemption of existing bonds in USD with maturity in 2022, a coupon of 6.75% for the amount of 231.11 million USD.  </w:t>
      </w:r>
    </w:p>
    <w:p w:rsidR="00382E21" w:rsidRPr="00620EA1" w:rsidRDefault="00620EA1" w:rsidP="00620EA1">
      <w:pPr>
        <w:widowControl w:val="0"/>
        <w:numPr>
          <w:ilvl w:val="0"/>
          <w:numId w:val="72"/>
        </w:numPr>
        <w:suppressAutoHyphens/>
        <w:jc w:val="both"/>
        <w:rPr>
          <w:rFonts w:asciiTheme="minorHAnsi" w:hAnsiTheme="minorHAnsi" w:cs="Arial Narrow"/>
          <w:color w:val="000000" w:themeColor="text1"/>
        </w:rPr>
      </w:pPr>
      <w:r>
        <w:rPr>
          <w:rFonts w:asciiTheme="minorHAnsi" w:hAnsiTheme="minorHAnsi"/>
        </w:rPr>
        <w:t xml:space="preserve">At the beginning of October was drawn the amount of 1.75 billion EUR through an issuance of Eurobonds in EUR in two series, of which 1.15 billion EUR with a 10 year long maturity, a coupon of 2.875% (yield of 3.029%) and 600 million EUR with a 20 year long maturity, a coupon of 4.125% (yield of 4.234%). The yields achieved indicate a first issuance of approximately 10 base points for both installments, a remarkable result considering daily volatility and the political uncertainties from Italy, which affected the sentiments of the investors.  </w:t>
      </w:r>
    </w:p>
    <w:p w:rsidR="00382E21" w:rsidRDefault="00382E21" w:rsidP="00382E21">
      <w:pPr>
        <w:widowControl w:val="0"/>
        <w:tabs>
          <w:tab w:val="num" w:pos="709"/>
        </w:tabs>
        <w:suppressAutoHyphens/>
        <w:jc w:val="both"/>
        <w:rPr>
          <w:rFonts w:ascii="Calibri" w:hAnsi="Calibri" w:cs="Arial Narrow"/>
          <w:b/>
          <w:color w:val="000080"/>
          <w:sz w:val="10"/>
          <w:lang w:val="ro-RO"/>
        </w:rPr>
      </w:pPr>
    </w:p>
    <w:p w:rsidR="00382E21" w:rsidRDefault="00382E21" w:rsidP="00382E21">
      <w:pPr>
        <w:ind w:left="567" w:right="481"/>
        <w:jc w:val="center"/>
        <w:rPr>
          <w:rFonts w:ascii="Calibri" w:hAnsi="Calibri" w:cs="Arial"/>
          <w:b/>
          <w:color w:val="365F91"/>
        </w:rPr>
      </w:pPr>
      <w:r>
        <w:rPr>
          <w:rFonts w:ascii="Calibri" w:hAnsi="Calibri"/>
          <w:b/>
          <w:color w:val="365F91"/>
        </w:rPr>
        <w:t>Evolution of the yields of State securities on the secondary foreign market, in December 2016 - December 31, 2018</w:t>
      </w:r>
    </w:p>
    <w:p w:rsidR="00382E21" w:rsidRDefault="007E1C2F" w:rsidP="00382E21">
      <w:pPr>
        <w:ind w:left="567" w:right="481"/>
        <w:jc w:val="center"/>
        <w:rPr>
          <w:rFonts w:ascii="Calibri" w:hAnsi="Calibri" w:cs="Arial"/>
          <w:b/>
          <w:color w:val="365F91"/>
        </w:rPr>
      </w:pPr>
      <w:r>
        <w:rPr>
          <w:noProof/>
          <w:lang w:val="ro-RO" w:eastAsia="ro-RO"/>
        </w:rPr>
        <w:drawing>
          <wp:inline distT="0" distB="0" distL="0" distR="0">
            <wp:extent cx="5905949" cy="2355732"/>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55489" cy="2375492"/>
                    </a:xfrm>
                    <a:prstGeom prst="rect">
                      <a:avLst/>
                    </a:prstGeom>
                    <a:noFill/>
                    <a:ln>
                      <a:noFill/>
                    </a:ln>
                  </pic:spPr>
                </pic:pic>
              </a:graphicData>
            </a:graphic>
          </wp:inline>
        </w:drawing>
      </w:r>
    </w:p>
    <w:p w:rsidR="00382E21" w:rsidRPr="00C5757D" w:rsidRDefault="00C10AD3" w:rsidP="00382E21">
      <w:pPr>
        <w:autoSpaceDE w:val="0"/>
        <w:autoSpaceDN w:val="0"/>
        <w:adjustRightInd w:val="0"/>
        <w:rPr>
          <w:rFonts w:ascii="Helv" w:hAnsi="Helv" w:cs="Helv"/>
          <w:i/>
          <w:color w:val="365F91"/>
          <w:sz w:val="20"/>
          <w:szCs w:val="20"/>
        </w:rPr>
      </w:pPr>
      <w:r>
        <w:rPr>
          <w:rFonts w:ascii="Arial" w:hAnsi="Arial"/>
          <w:i/>
          <w:color w:val="365F91"/>
          <w:sz w:val="16"/>
          <w:szCs w:val="16"/>
        </w:rPr>
        <w:t xml:space="preserve">            Source: MPF</w:t>
      </w:r>
    </w:p>
    <w:p w:rsidR="00382E21" w:rsidRPr="00E1201B" w:rsidRDefault="00382E21" w:rsidP="00382E21">
      <w:pPr>
        <w:widowControl w:val="0"/>
        <w:jc w:val="both"/>
        <w:rPr>
          <w:rFonts w:ascii="Calibri" w:eastAsia="Calibri" w:hAnsi="Calibri" w:cs="Arial"/>
          <w:sz w:val="14"/>
          <w:lang w:val="ro-RO"/>
        </w:rPr>
      </w:pPr>
    </w:p>
    <w:p w:rsidR="007E1C2F" w:rsidRDefault="007E1C2F" w:rsidP="002A6AFF">
      <w:pPr>
        <w:widowControl w:val="0"/>
        <w:spacing w:after="120"/>
        <w:jc w:val="both"/>
        <w:rPr>
          <w:rFonts w:asciiTheme="minorHAnsi" w:eastAsia="Calibri" w:hAnsiTheme="minorHAnsi" w:cs="Arial"/>
          <w:lang w:val="ro-RO"/>
        </w:rPr>
      </w:pPr>
    </w:p>
    <w:p w:rsidR="002A6AFF" w:rsidRPr="002A6AFF" w:rsidRDefault="002A6AFF" w:rsidP="002A6AFF">
      <w:pPr>
        <w:widowControl w:val="0"/>
        <w:spacing w:after="120"/>
        <w:jc w:val="both"/>
        <w:rPr>
          <w:rFonts w:asciiTheme="minorHAnsi" w:eastAsia="Calibri" w:hAnsiTheme="minorHAnsi" w:cs="Arial"/>
        </w:rPr>
      </w:pPr>
      <w:r>
        <w:rPr>
          <w:rFonts w:asciiTheme="minorHAnsi" w:hAnsiTheme="minorHAnsi"/>
        </w:rPr>
        <w:t xml:space="preserve">In 2019, similarly to 2018, in order to fulfill the objective of development of the government securities market, the financing of the State budget deficit and the refinancing of government public debt will be mainly made from domestic sources and, as supplementation, from external sources. The MPF will continue to maintain a flexible approach in performing the financing process, seeking to ensure the predictable and transparent nature of the offer of State securities, especially in order to be able to react promptly and adequately to the possible changes in market tendencies and the investors’ behavior. </w:t>
      </w:r>
    </w:p>
    <w:p w:rsidR="002A6AFF" w:rsidRPr="002A6AFF" w:rsidRDefault="002A6AFF" w:rsidP="00F269EB">
      <w:pPr>
        <w:widowControl w:val="0"/>
        <w:spacing w:after="120"/>
        <w:jc w:val="both"/>
        <w:rPr>
          <w:rFonts w:asciiTheme="minorHAnsi" w:eastAsia="Calibri" w:hAnsiTheme="minorHAnsi" w:cs="Arial"/>
        </w:rPr>
      </w:pPr>
      <w:r>
        <w:rPr>
          <w:rFonts w:asciiTheme="minorHAnsi" w:hAnsiTheme="minorHAnsi"/>
        </w:rPr>
        <w:t>The financing strategy from domestic sources is mainly considering issuances of State securities denominated in Lei, calibrated to the demand that exists on the market. In order to reduce financing costs and to promote an improved operation of the secondary market, the MPF intends to continue the policy of building a series of liquid benchmark bonds on the entire yield curve, at the same time as a transparent policy of issuance of State securities, seeking to reach volumes per emission with an equivalent value of approximately 2.5 billion EUR, with prior information of the market with respect to the volumes, frequency of launching/reopening of certain categories of maturities. The MPF may open periodically the issuance of State securities denominated in EUR on the domestic market in the framework of an important demand for such instruments coming from the local investors, in the absence of alternative instruments, corroborated with the possible decisions of the NBR to amend the minimum mandatory reserves in foreign currency, thus being created the assumptions of an advantageous maturity/cost ratio for these public debt instruments.</w:t>
      </w:r>
    </w:p>
    <w:p w:rsidR="002A6AFF" w:rsidRPr="002A6AFF" w:rsidRDefault="002A6AFF" w:rsidP="00F269EB">
      <w:pPr>
        <w:widowControl w:val="0"/>
        <w:spacing w:after="120"/>
        <w:jc w:val="both"/>
        <w:rPr>
          <w:rFonts w:asciiTheme="minorHAnsi" w:eastAsia="Calibri" w:hAnsiTheme="minorHAnsi" w:cs="Arial"/>
        </w:rPr>
      </w:pPr>
      <w:r>
        <w:rPr>
          <w:rFonts w:asciiTheme="minorHAnsi" w:hAnsiTheme="minorHAnsi"/>
        </w:rPr>
        <w:t xml:space="preserve">Also, according to the completion of the procedural and operational framework related to the operations on the secondary market at the level of the NBR it is considered the use of operations of the type of anticipated redemptions or exchanges of State securities in order to facilitate the process of refinancing of the series with large accumulated volumes, which become due and accelerating the process of creation of series of State securities of liquid benchmark type. In a similar manner, it is intended to use reverse repo operations for an efficient management of liquidities, on the basis of prior consultation with the NBR, in order to coordinate the policies of financing and managing liquidities with monetary policies. </w:t>
      </w:r>
    </w:p>
    <w:p w:rsidR="002A6AFF" w:rsidRPr="002A6AFF" w:rsidRDefault="002A6AFF" w:rsidP="00F269EB">
      <w:pPr>
        <w:widowControl w:val="0"/>
        <w:spacing w:after="120"/>
        <w:jc w:val="both"/>
        <w:rPr>
          <w:rFonts w:asciiTheme="minorHAnsi" w:eastAsia="Calibri" w:hAnsiTheme="minorHAnsi" w:cs="Arial"/>
        </w:rPr>
      </w:pPr>
      <w:r>
        <w:rPr>
          <w:rFonts w:asciiTheme="minorHAnsi" w:hAnsiTheme="minorHAnsi"/>
        </w:rPr>
        <w:t xml:space="preserve">In order to increase the accessibility of private individuals to purchasing government securities, it is considered to continue the issuance of government securities for the population through the “Tezaur” Program, within the limit of an annual ceiling, both through the operative units of the State Treasury and through the post offices of the National Company “Posta Romana” and the credit institutions, as well as to make it more flexible through the introduction of the possibility of anticipated redemption and transfer of ownership between private individuals. </w:t>
      </w:r>
    </w:p>
    <w:p w:rsidR="002A6AFF" w:rsidRPr="002A6AFF" w:rsidRDefault="002A6AFF" w:rsidP="00F269EB">
      <w:pPr>
        <w:widowControl w:val="0"/>
        <w:spacing w:after="120"/>
        <w:jc w:val="both"/>
        <w:rPr>
          <w:rFonts w:asciiTheme="minorHAnsi" w:eastAsia="Calibri" w:hAnsiTheme="minorHAnsi" w:cs="Arial"/>
        </w:rPr>
      </w:pPr>
      <w:r>
        <w:rPr>
          <w:rFonts w:asciiTheme="minorHAnsi" w:hAnsiTheme="minorHAnsi"/>
        </w:rPr>
        <w:t xml:space="preserve">With regard to external financing sources, the MPF intends to maintain its position on the international capital markets, mainly through issuances of bonds denominated in EUR. The MPF will remain flexible with regard to the moment of accession of the international markets and the volume of external issuances, considering the associated costs, the risk considerations. The issuances denominated in USD/other currencies on the foreign markets will be considered only as a financing alternative and if they offer advantageous cost/maturity conditions, if access to certain maturity segments on the European market becomes limited due to the occurrence of unfavorable external evolutions/events. </w:t>
      </w:r>
    </w:p>
    <w:p w:rsidR="002A6AFF" w:rsidRPr="002A6AFF" w:rsidRDefault="002A6AFF" w:rsidP="00F269EB">
      <w:pPr>
        <w:widowControl w:val="0"/>
        <w:spacing w:after="120"/>
        <w:jc w:val="both"/>
        <w:rPr>
          <w:rFonts w:asciiTheme="minorHAnsi" w:eastAsia="Calibri" w:hAnsiTheme="minorHAnsi" w:cs="Arial"/>
        </w:rPr>
      </w:pPr>
      <w:r>
        <w:rPr>
          <w:rFonts w:asciiTheme="minorHAnsi" w:hAnsiTheme="minorHAnsi"/>
        </w:rPr>
        <w:t>At the same time, on medium term, the MPF intends to continue its partnership with the international financial institutions, in order to benefit of the financial advantages that correspond to the products thereof in limiting the costs and extending the maturity of the debt portfolio through the cost and maturity conditions offered, like the IBRD's development policy loans (DPL type and/or other similar instruments), as well as the loans contracted from IFIs for the purpose of financing budget deficit and refinancing government public debt, the amounts being made available on the basis of the implementation of certain measures and/or other actions necessary in the field of sector reforms.</w:t>
      </w:r>
    </w:p>
    <w:p w:rsidR="002A6AFF" w:rsidRPr="002A6AFF" w:rsidRDefault="002A6AFF" w:rsidP="00F269EB">
      <w:pPr>
        <w:widowControl w:val="0"/>
        <w:spacing w:after="120"/>
        <w:jc w:val="both"/>
        <w:rPr>
          <w:rFonts w:asciiTheme="minorHAnsi" w:eastAsia="Calibri" w:hAnsiTheme="minorHAnsi" w:cs="Arial"/>
          <w:color w:val="0070C0"/>
        </w:rPr>
      </w:pPr>
      <w:r>
        <w:rPr>
          <w:rFonts w:asciiTheme="minorHAnsi" w:hAnsiTheme="minorHAnsi"/>
        </w:rPr>
        <w:t>The sources necessary for refinancing the government public debt will be ensured from the markets where these debts were issued, as well as from the financial reserve in foreign currency available to the State Treasury. In order to improve public debt management and avoid seasonal pressure in ensuring the financing sources for the budget deficit and refinancing government public debt, it is considered to maintain the financial reserve (buffer) in foreign currency available to the State Treasury at a comfortable level, so as to reduce the risks that correspond to the periods characterized by high volatility of the financial markets. On medium term, the level of this buffer will continue to be consolidated so as to cover 4 months of necessary gross financing.</w:t>
      </w:r>
    </w:p>
    <w:p w:rsidR="00382E21" w:rsidRPr="002A6AFF" w:rsidRDefault="002A6AFF" w:rsidP="002A6AFF">
      <w:pPr>
        <w:widowControl w:val="0"/>
        <w:jc w:val="both"/>
        <w:rPr>
          <w:rFonts w:asciiTheme="minorHAnsi" w:eastAsia="Calibri" w:hAnsiTheme="minorHAnsi" w:cs="Arial"/>
          <w:color w:val="000000" w:themeColor="text1"/>
        </w:rPr>
      </w:pPr>
      <w:r>
        <w:rPr>
          <w:rFonts w:asciiTheme="minorHAnsi" w:hAnsiTheme="minorHAnsi"/>
          <w:color w:val="000000"/>
        </w:rPr>
        <w:t>In order to use the derivative financial instruments (currency swap and interest rate swap), for the creation of the legal, procedural and technical framework, the Ministry of Public Finance, acting through the General Directorate of Treasury and Public Debt, has benefited of technical assistance from the Treasury of the World Bank, until June 2018, within the project themed “Developing the capacity for government public debt management through the use of derivative financial instruments” code SIPOCA 10.  The project was financed from the European Social Fund, within the Operational Program of Administrative Capacity for 2014-2020. Following the completion of the project, based on the reports supplied by the World Bank, was supplemented the Government Emergency Ordinance no. 64/2007 on public debt with Government Ordinance no. 14/2018, amending and supplementing GEO 64/2007, through the introduction of new definitions and concepts in order to use derivatives and the authorization of the MPF for such transactions.</w:t>
      </w:r>
    </w:p>
    <w:p w:rsidR="003C772A" w:rsidRDefault="003C772A" w:rsidP="003C772A">
      <w:pPr>
        <w:widowControl w:val="0"/>
        <w:jc w:val="both"/>
        <w:rPr>
          <w:rFonts w:ascii="Calibri" w:eastAsia="Calibri" w:hAnsi="Calibri" w:cs="Arial"/>
          <w:color w:val="000000" w:themeColor="text1"/>
          <w:lang w:val="ro-RO"/>
        </w:rPr>
      </w:pPr>
    </w:p>
    <w:p w:rsidR="00ED3798" w:rsidRDefault="00ED3798" w:rsidP="00ED3798">
      <w:pPr>
        <w:tabs>
          <w:tab w:val="right" w:pos="9747"/>
        </w:tabs>
        <w:rPr>
          <w:rFonts w:ascii="Calibri" w:hAnsi="Calibri" w:cs="Arial Narrow"/>
          <w:b/>
          <w:color w:val="000080"/>
          <w:lang w:val="ro-RO"/>
        </w:rPr>
      </w:pPr>
    </w:p>
    <w:p w:rsidR="00A552C2" w:rsidRPr="00C86702" w:rsidRDefault="00936410" w:rsidP="00215ADF">
      <w:pPr>
        <w:shd w:val="clear" w:color="auto" w:fill="99CCFF"/>
        <w:tabs>
          <w:tab w:val="right" w:pos="9747"/>
        </w:tabs>
        <w:rPr>
          <w:rFonts w:ascii="Calibri" w:hAnsi="Calibri" w:cs="Arial Narrow"/>
          <w:b/>
          <w:color w:val="000080"/>
        </w:rPr>
      </w:pPr>
      <w:r>
        <w:rPr>
          <w:rFonts w:ascii="Calibri" w:hAnsi="Calibri"/>
          <w:b/>
          <w:color w:val="000080"/>
        </w:rPr>
        <w:t>4.10 Ceilings regarding the main budget indicators between 2019 and 2021</w:t>
      </w:r>
      <w:r>
        <w:rPr>
          <w:rFonts w:ascii="Calibri" w:hAnsi="Calibri"/>
          <w:b/>
          <w:color w:val="000080"/>
        </w:rPr>
        <w:tab/>
      </w:r>
    </w:p>
    <w:p w:rsidR="00EB30C6" w:rsidRPr="00C86702" w:rsidRDefault="00EB30C6" w:rsidP="00EB30C6">
      <w:pPr>
        <w:ind w:left="570"/>
        <w:rPr>
          <w:rFonts w:ascii="Calibri" w:hAnsi="Calibri"/>
          <w:sz w:val="8"/>
          <w:szCs w:val="8"/>
          <w:lang w:val="ro-RO"/>
        </w:rPr>
      </w:pPr>
    </w:p>
    <w:p w:rsidR="00491BC8" w:rsidRPr="00C86702" w:rsidRDefault="00C92B2A" w:rsidP="008E1BD2">
      <w:pPr>
        <w:spacing w:after="120"/>
        <w:jc w:val="both"/>
        <w:rPr>
          <w:rFonts w:ascii="Calibri" w:hAnsi="Calibri"/>
        </w:rPr>
      </w:pPr>
      <w:r>
        <w:rPr>
          <w:rFonts w:ascii="Calibri" w:hAnsi="Calibri"/>
        </w:rPr>
        <w:t>The tables below present limits for certain budget indicators which will form the object of adoption by the Parliament according to art. 26 in the Law on fiscal and budget responsibility, no. 69/2010, republished.</w:t>
      </w:r>
    </w:p>
    <w:p w:rsidR="005129D1" w:rsidRPr="00C86702" w:rsidRDefault="00DF768F" w:rsidP="008E1BD2">
      <w:pPr>
        <w:spacing w:after="120"/>
        <w:jc w:val="center"/>
      </w:pPr>
      <w:r>
        <w:rPr>
          <w:noProof/>
          <w:lang w:val="ro-RO" w:eastAsia="ro-RO"/>
        </w:rPr>
        <mc:AlternateContent>
          <mc:Choice Requires="wps">
            <w:drawing>
              <wp:anchor distT="0" distB="0" distL="114300" distR="114300" simplePos="0" relativeHeight="251762176" behindDoc="0" locked="0" layoutInCell="1" allowOverlap="1">
                <wp:simplePos x="0" y="0"/>
                <wp:positionH relativeFrom="column">
                  <wp:posOffset>560070</wp:posOffset>
                </wp:positionH>
                <wp:positionV relativeFrom="paragraph">
                  <wp:posOffset>4231005</wp:posOffset>
                </wp:positionV>
                <wp:extent cx="3945255" cy="704850"/>
                <wp:effectExtent l="0" t="0" r="17145" b="19050"/>
                <wp:wrapNone/>
                <wp:docPr id="348"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5255" cy="704850"/>
                        </a:xfrm>
                        <a:prstGeom prst="rect">
                          <a:avLst/>
                        </a:prstGeom>
                        <a:solidFill>
                          <a:srgbClr val="FFFFFF"/>
                        </a:solidFill>
                        <a:ln w="9525">
                          <a:solidFill>
                            <a:srgbClr val="000000"/>
                          </a:solidFill>
                          <a:miter lim="800000"/>
                          <a:headEnd/>
                          <a:tailEnd/>
                        </a:ln>
                      </wps:spPr>
                      <wps:txbx>
                        <w:txbxContent>
                          <w:p w:rsidR="005063CB" w:rsidRPr="004E7158" w:rsidRDefault="005063CB">
                            <w:pPr>
                              <w:rPr>
                                <w:sz w:val="20"/>
                              </w:rPr>
                            </w:pPr>
                            <w:r w:rsidRPr="004E7158">
                              <w:rPr>
                                <w:sz w:val="20"/>
                              </w:rPr>
                              <w:t>*) The ceilings refers only to the period 2019-2021</w:t>
                            </w:r>
                          </w:p>
                          <w:p w:rsidR="005063CB" w:rsidRDefault="005063CB">
                            <w:pPr>
                              <w:rPr>
                                <w:sz w:val="20"/>
                              </w:rPr>
                            </w:pPr>
                            <w:r w:rsidRPr="004E7158">
                              <w:rPr>
                                <w:sz w:val="20"/>
                              </w:rPr>
                              <w:t>**) Excludes interest payments</w:t>
                            </w:r>
                          </w:p>
                          <w:p w:rsidR="005063CB" w:rsidRPr="004E7158" w:rsidRDefault="005063CB">
                            <w:pPr>
                              <w:rPr>
                                <w:sz w:val="20"/>
                              </w:rPr>
                            </w:pPr>
                            <w:r>
                              <w:rPr>
                                <w:sz w:val="20"/>
                              </w:rPr>
                              <w:t>Note: the structural deficit for 2016-2017 is in accordance with the EC. For 2018-2022 it is an estimate of the NCP.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3" o:spid="_x0000_s1404" style="position:absolute;left:0;text-align:left;margin-left:44.1pt;margin-top:333.15pt;width:310.65pt;height:55.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">
                <v:textbox>
                  <w:txbxContent>
                    <w:p w:rsidR="005063CB" w:rsidRPr="004E7158" w:rsidRDefault="005063CB">
                      <w:pPr>
                        <w:rPr>
                          <w:sz w:val="20"/>
                        </w:rPr>
                      </w:pPr>
                      <w:r w:rsidRPr="004E7158">
                        <w:rPr>
                          <w:sz w:val="20"/>
                        </w:rPr>
                        <w:t>*) The ceilings refers only to the period 2019-2021</w:t>
                      </w:r>
                    </w:p>
                    <w:p w:rsidR="005063CB" w:rsidRDefault="005063CB">
                      <w:pPr>
                        <w:rPr>
                          <w:sz w:val="20"/>
                        </w:rPr>
                      </w:pPr>
                      <w:r w:rsidRPr="004E7158">
                        <w:rPr>
                          <w:sz w:val="20"/>
                        </w:rPr>
                        <w:t>**) Excludes interest payments</w:t>
                      </w:r>
                    </w:p>
                    <w:p w:rsidR="005063CB" w:rsidRPr="004E7158" w:rsidRDefault="005063CB">
                      <w:pPr>
                        <w:rPr>
                          <w:sz w:val="20"/>
                        </w:rPr>
                      </w:pPr>
                      <w:r>
                        <w:rPr>
                          <w:sz w:val="20"/>
                        </w:rPr>
                        <w:t>Note: the structural deficit for 2016-2017 is in accordance with the EC. For 2018-2022 it is an estimate of the NCP.</w:t>
                      </w:r>
                    </w:p>
                  </w:txbxContent>
                </v:textbox>
              </v:rect>
            </w:pict>
          </mc:Fallback>
        </mc:AlternateContent>
      </w:r>
      <w:r>
        <w:rPr>
          <w:noProof/>
          <w:lang w:val="ro-RO" w:eastAsia="ro-RO"/>
        </w:rPr>
        <mc:AlternateContent>
          <mc:Choice Requires="wps">
            <w:drawing>
              <wp:anchor distT="0" distB="0" distL="114300" distR="114300" simplePos="0" relativeHeight="251761152" behindDoc="0" locked="0" layoutInCell="1" allowOverlap="1">
                <wp:simplePos x="0" y="0"/>
                <wp:positionH relativeFrom="column">
                  <wp:posOffset>465455</wp:posOffset>
                </wp:positionH>
                <wp:positionV relativeFrom="paragraph">
                  <wp:posOffset>1012825</wp:posOffset>
                </wp:positionV>
                <wp:extent cx="1433830" cy="3212465"/>
                <wp:effectExtent l="8255" t="12700" r="5715" b="13335"/>
                <wp:wrapNone/>
                <wp:docPr id="347"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830" cy="3212465"/>
                        </a:xfrm>
                        <a:prstGeom prst="rect">
                          <a:avLst/>
                        </a:prstGeom>
                        <a:solidFill>
                          <a:srgbClr val="FFFFFF"/>
                        </a:solidFill>
                        <a:ln w="9525">
                          <a:solidFill>
                            <a:srgbClr val="000000"/>
                          </a:solidFill>
                          <a:miter lim="800000"/>
                          <a:headEnd/>
                          <a:tailEnd/>
                        </a:ln>
                      </wps:spPr>
                      <wps:txbx>
                        <w:txbxContent>
                          <w:p w:rsidR="005063CB" w:rsidRPr="004E7158" w:rsidRDefault="005063CB">
                            <w:pPr>
                              <w:rPr>
                                <w:sz w:val="16"/>
                              </w:rPr>
                            </w:pPr>
                            <w:r w:rsidRPr="004E7158">
                              <w:rPr>
                                <w:sz w:val="16"/>
                              </w:rPr>
                              <w:t>Balance of the general consolidated budget (% of GDP)</w:t>
                            </w:r>
                          </w:p>
                          <w:p w:rsidR="005063CB" w:rsidRPr="004E7158" w:rsidRDefault="005063CB">
                            <w:pPr>
                              <w:rPr>
                                <w:sz w:val="16"/>
                              </w:rPr>
                            </w:pPr>
                          </w:p>
                          <w:p w:rsidR="005063CB" w:rsidRPr="004E7158" w:rsidRDefault="005063CB">
                            <w:pPr>
                              <w:rPr>
                                <w:sz w:val="16"/>
                              </w:rPr>
                            </w:pPr>
                            <w:r w:rsidRPr="004E7158">
                              <w:rPr>
                                <w:sz w:val="16"/>
                              </w:rPr>
                              <w:t>Structural balance (% of GDP)</w:t>
                            </w:r>
                          </w:p>
                          <w:p w:rsidR="005063CB" w:rsidRPr="004E7158" w:rsidRDefault="005063CB">
                            <w:pPr>
                              <w:rPr>
                                <w:sz w:val="16"/>
                              </w:rPr>
                            </w:pPr>
                          </w:p>
                          <w:p w:rsidR="005063CB" w:rsidRPr="004E7158" w:rsidRDefault="005063CB">
                            <w:pPr>
                              <w:rPr>
                                <w:sz w:val="16"/>
                              </w:rPr>
                            </w:pPr>
                            <w:r w:rsidRPr="004E7158">
                              <w:rPr>
                                <w:sz w:val="16"/>
                              </w:rPr>
                              <w:t>Primary</w:t>
                            </w:r>
                            <w:r w:rsidRPr="004E7158">
                              <w:rPr>
                                <w:sz w:val="16"/>
                                <w:vertAlign w:val="superscript"/>
                              </w:rPr>
                              <w:t>**)</w:t>
                            </w:r>
                            <w:r w:rsidRPr="004E7158">
                              <w:rPr>
                                <w:sz w:val="16"/>
                              </w:rPr>
                              <w:t xml:space="preserve"> balance of the general consolidated budget (mill. Lei)</w:t>
                            </w:r>
                          </w:p>
                          <w:p w:rsidR="005063CB" w:rsidRPr="004E7158" w:rsidRDefault="005063CB">
                            <w:pPr>
                              <w:rPr>
                                <w:sz w:val="16"/>
                              </w:rPr>
                            </w:pPr>
                            <w:r w:rsidRPr="004E7158">
                              <w:rPr>
                                <w:sz w:val="16"/>
                              </w:rPr>
                              <w:t>Balance of the general consolidated budget (mill. Lei)</w:t>
                            </w:r>
                          </w:p>
                          <w:p w:rsidR="005063CB" w:rsidRPr="004E7158" w:rsidRDefault="005063CB">
                            <w:pPr>
                              <w:rPr>
                                <w:sz w:val="16"/>
                              </w:rPr>
                            </w:pPr>
                            <w:r w:rsidRPr="004E7158">
                              <w:rPr>
                                <w:sz w:val="16"/>
                              </w:rPr>
                              <w:t>State budget balance (mill. Lei)</w:t>
                            </w:r>
                          </w:p>
                          <w:p w:rsidR="005063CB" w:rsidRPr="004E7158" w:rsidRDefault="005063CB">
                            <w:pPr>
                              <w:rPr>
                                <w:sz w:val="16"/>
                              </w:rPr>
                            </w:pPr>
                            <w:r w:rsidRPr="004E7158">
                              <w:rPr>
                                <w:sz w:val="16"/>
                              </w:rPr>
                              <w:t>Social insurance budget balance (mill. Lei)</w:t>
                            </w:r>
                          </w:p>
                          <w:p w:rsidR="005063CB" w:rsidRPr="004E7158" w:rsidRDefault="005063CB">
                            <w:pPr>
                              <w:rPr>
                                <w:sz w:val="16"/>
                              </w:rPr>
                            </w:pPr>
                            <w:r w:rsidRPr="004E7158">
                              <w:rPr>
                                <w:sz w:val="16"/>
                              </w:rPr>
                              <w:t>Health insurance budget balance (mill. Lei)</w:t>
                            </w:r>
                          </w:p>
                          <w:p w:rsidR="005063CB" w:rsidRPr="004E7158" w:rsidRDefault="005063CB">
                            <w:pPr>
                              <w:rPr>
                                <w:sz w:val="16"/>
                              </w:rPr>
                            </w:pPr>
                            <w:r w:rsidRPr="004E7158">
                              <w:rPr>
                                <w:sz w:val="16"/>
                              </w:rPr>
                              <w:t>Unemployment fund budget balance (mill. Lei)</w:t>
                            </w:r>
                          </w:p>
                          <w:p w:rsidR="005063CB" w:rsidRPr="004E7158" w:rsidRDefault="005063CB">
                            <w:pPr>
                              <w:rPr>
                                <w:sz w:val="16"/>
                              </w:rPr>
                            </w:pPr>
                          </w:p>
                          <w:p w:rsidR="005063CB" w:rsidRPr="004E7158" w:rsidRDefault="005063CB">
                            <w:pPr>
                              <w:rPr>
                                <w:sz w:val="16"/>
                              </w:rPr>
                            </w:pPr>
                            <w:r w:rsidRPr="004E7158">
                              <w:rPr>
                                <w:sz w:val="16"/>
                              </w:rPr>
                              <w:t>Balance of the budget of institutions financed from own revenues (mill. Lei)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2" o:spid="_x0000_s1405" style="position:absolute;left:0;text-align:left;margin-left:36.65pt;margin-top:79.75pt;width:112.9pt;height:252.9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">
                <v:textbox>
                  <w:txbxContent>
                    <w:p w:rsidR="005063CB" w:rsidRPr="004E7158" w:rsidRDefault="005063CB">
                      <w:pPr>
                        <w:rPr>
                          <w:sz w:val="16"/>
                        </w:rPr>
                      </w:pPr>
                      <w:r w:rsidRPr="004E7158">
                        <w:rPr>
                          <w:sz w:val="16"/>
                        </w:rPr>
                        <w:t>Balance of the general consolidated budget (% of GDP)</w:t>
                      </w:r>
                    </w:p>
                    <w:p w:rsidR="005063CB" w:rsidRPr="004E7158" w:rsidRDefault="005063CB">
                      <w:pPr>
                        <w:rPr>
                          <w:sz w:val="16"/>
                        </w:rPr>
                      </w:pPr>
                    </w:p>
                    <w:p w:rsidR="005063CB" w:rsidRPr="004E7158" w:rsidRDefault="005063CB">
                      <w:pPr>
                        <w:rPr>
                          <w:sz w:val="16"/>
                        </w:rPr>
                      </w:pPr>
                      <w:r w:rsidRPr="004E7158">
                        <w:rPr>
                          <w:sz w:val="16"/>
                        </w:rPr>
                        <w:t>Structural balance (% of GDP)</w:t>
                      </w:r>
                    </w:p>
                    <w:p w:rsidR="005063CB" w:rsidRPr="004E7158" w:rsidRDefault="005063CB">
                      <w:pPr>
                        <w:rPr>
                          <w:sz w:val="16"/>
                        </w:rPr>
                      </w:pPr>
                    </w:p>
                    <w:p w:rsidR="005063CB" w:rsidRPr="004E7158" w:rsidRDefault="005063CB">
                      <w:pPr>
                        <w:rPr>
                          <w:sz w:val="16"/>
                        </w:rPr>
                      </w:pPr>
                      <w:r w:rsidRPr="004E7158">
                        <w:rPr>
                          <w:sz w:val="16"/>
                        </w:rPr>
                        <w:t>Primary</w:t>
                      </w:r>
                      <w:r w:rsidRPr="004E7158">
                        <w:rPr>
                          <w:sz w:val="16"/>
                          <w:vertAlign w:val="superscript"/>
                        </w:rPr>
                        <w:t>**)</w:t>
                      </w:r>
                      <w:r w:rsidRPr="004E7158">
                        <w:rPr>
                          <w:sz w:val="16"/>
                        </w:rPr>
                        <w:t xml:space="preserve"> balance of the general consolidated budget (mill. Lei)</w:t>
                      </w:r>
                    </w:p>
                    <w:p w:rsidR="005063CB" w:rsidRPr="004E7158" w:rsidRDefault="005063CB">
                      <w:pPr>
                        <w:rPr>
                          <w:sz w:val="16"/>
                        </w:rPr>
                      </w:pPr>
                      <w:r w:rsidRPr="004E7158">
                        <w:rPr>
                          <w:sz w:val="16"/>
                        </w:rPr>
                        <w:t>Balance of the general consolidated budget (mill. Lei)</w:t>
                      </w:r>
                    </w:p>
                    <w:p w:rsidR="005063CB" w:rsidRPr="004E7158" w:rsidRDefault="005063CB">
                      <w:pPr>
                        <w:rPr>
                          <w:sz w:val="16"/>
                        </w:rPr>
                      </w:pPr>
                      <w:r w:rsidRPr="004E7158">
                        <w:rPr>
                          <w:sz w:val="16"/>
                        </w:rPr>
                        <w:t>State budget balance (mill. Lei)</w:t>
                      </w:r>
                    </w:p>
                    <w:p w:rsidR="005063CB" w:rsidRPr="004E7158" w:rsidRDefault="005063CB">
                      <w:pPr>
                        <w:rPr>
                          <w:sz w:val="16"/>
                        </w:rPr>
                      </w:pPr>
                      <w:r w:rsidRPr="004E7158">
                        <w:rPr>
                          <w:sz w:val="16"/>
                        </w:rPr>
                        <w:t>Social insurance budget balance (mill. Lei)</w:t>
                      </w:r>
                    </w:p>
                    <w:p w:rsidR="005063CB" w:rsidRPr="004E7158" w:rsidRDefault="005063CB">
                      <w:pPr>
                        <w:rPr>
                          <w:sz w:val="16"/>
                        </w:rPr>
                      </w:pPr>
                      <w:r w:rsidRPr="004E7158">
                        <w:rPr>
                          <w:sz w:val="16"/>
                        </w:rPr>
                        <w:t>Health insurance budget balance (mill. Lei)</w:t>
                      </w:r>
                    </w:p>
                    <w:p w:rsidR="005063CB" w:rsidRPr="004E7158" w:rsidRDefault="005063CB">
                      <w:pPr>
                        <w:rPr>
                          <w:sz w:val="16"/>
                        </w:rPr>
                      </w:pPr>
                      <w:r w:rsidRPr="004E7158">
                        <w:rPr>
                          <w:sz w:val="16"/>
                        </w:rPr>
                        <w:t>Unemployment fund budget balance (mill. Lei)</w:t>
                      </w:r>
                    </w:p>
                    <w:p w:rsidR="005063CB" w:rsidRPr="004E7158" w:rsidRDefault="005063CB">
                      <w:pPr>
                        <w:rPr>
                          <w:sz w:val="16"/>
                        </w:rPr>
                      </w:pPr>
                    </w:p>
                    <w:p w:rsidR="005063CB" w:rsidRPr="004E7158" w:rsidRDefault="005063CB">
                      <w:pPr>
                        <w:rPr>
                          <w:sz w:val="16"/>
                        </w:rPr>
                      </w:pPr>
                      <w:r w:rsidRPr="004E7158">
                        <w:rPr>
                          <w:sz w:val="16"/>
                        </w:rPr>
                        <w:t>Balance of the budget of institutions financed from own revenues (mill. Lei)</w:t>
                      </w:r>
                    </w:p>
                  </w:txbxContent>
                </v:textbox>
              </v:rect>
            </w:pict>
          </mc:Fallback>
        </mc:AlternateContent>
      </w:r>
      <w:r>
        <w:rPr>
          <w:noProof/>
          <w:lang w:val="ro-RO" w:eastAsia="ro-RO"/>
        </w:rPr>
        <mc:AlternateContent>
          <mc:Choice Requires="wps">
            <w:drawing>
              <wp:anchor distT="0" distB="0" distL="114300" distR="114300" simplePos="0" relativeHeight="251760128" behindDoc="0" locked="0" layoutInCell="1" allowOverlap="1">
                <wp:simplePos x="0" y="0"/>
                <wp:positionH relativeFrom="column">
                  <wp:posOffset>1140460</wp:posOffset>
                </wp:positionH>
                <wp:positionV relativeFrom="paragraph">
                  <wp:posOffset>32385</wp:posOffset>
                </wp:positionV>
                <wp:extent cx="3987800" cy="354330"/>
                <wp:effectExtent l="26035" t="22860" r="34290" b="51435"/>
                <wp:wrapNone/>
                <wp:docPr id="346"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0" cy="35433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5063CB" w:rsidRPr="004E7158" w:rsidRDefault="005063CB">
                            <w:pPr>
                              <w:rPr>
                                <w:b/>
                                <w:sz w:val="20"/>
                              </w:rPr>
                            </w:pPr>
                            <w:r w:rsidRPr="004E7158">
                              <w:rPr>
                                <w:b/>
                                <w:sz w:val="20"/>
                              </w:rPr>
                              <w:t>Budget balance ceilings</w:t>
                            </w:r>
                            <w:r w:rsidRPr="004E7158">
                              <w:rPr>
                                <w:b/>
                                <w:sz w:val="20"/>
                                <w:vertAlign w:val="superscript"/>
                              </w:rPr>
                              <w:t>*)</w:t>
                            </w:r>
                            <w:r w:rsidRPr="004E7158">
                              <w:rPr>
                                <w:b/>
                                <w:sz w:val="20"/>
                              </w:rPr>
                              <w:t xml:space="preserve"> on the main component budgets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1" o:spid="_x0000_s1406" style="position:absolute;left:0;text-align:left;margin-left:89.8pt;margin-top:2.55pt;width:314pt;height:27.9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" fillcolor="#5b9bd5 [3204]" strokecolor="#f2f2f2 [3041]" strokeweight="3pt">
                <v:shadow on="t" color="#1f4d78 [1604]" opacity=".5" offset="1pt"/>
                <v:textbox>
                  <w:txbxContent>
                    <w:p w:rsidR="005063CB" w:rsidRPr="004E7158" w:rsidRDefault="005063CB">
                      <w:pPr>
                        <w:rPr>
                          <w:b/>
                          <w:sz w:val="20"/>
                        </w:rPr>
                      </w:pPr>
                      <w:r w:rsidRPr="004E7158">
                        <w:rPr>
                          <w:b/>
                          <w:sz w:val="20"/>
                        </w:rPr>
                        <w:t>Budget balance ceilings</w:t>
                      </w:r>
                      <w:r w:rsidRPr="004E7158">
                        <w:rPr>
                          <w:b/>
                          <w:sz w:val="20"/>
                          <w:vertAlign w:val="superscript"/>
                        </w:rPr>
                        <w:t>*)</w:t>
                      </w:r>
                      <w:r w:rsidRPr="004E7158">
                        <w:rPr>
                          <w:b/>
                          <w:sz w:val="20"/>
                        </w:rPr>
                        <w:t xml:space="preserve"> on the main component budgets</w:t>
                      </w:r>
                    </w:p>
                  </w:txbxContent>
                </v:textbox>
              </v:rect>
            </w:pict>
          </mc:Fallback>
        </mc:AlternateContent>
      </w:r>
      <w:r w:rsidR="006042BF">
        <w:rPr>
          <w:noProof/>
          <w:lang w:val="ro-RO" w:eastAsia="ro-RO"/>
        </w:rPr>
        <w:drawing>
          <wp:inline distT="0" distB="0" distL="0" distR="0" wp14:anchorId="76FA54FB" wp14:editId="7C9B1924">
            <wp:extent cx="4747260" cy="47091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47260" cy="4709160"/>
                    </a:xfrm>
                    <a:prstGeom prst="rect">
                      <a:avLst/>
                    </a:prstGeom>
                    <a:noFill/>
                    <a:ln>
                      <a:noFill/>
                    </a:ln>
                  </pic:spPr>
                </pic:pic>
              </a:graphicData>
            </a:graphic>
          </wp:inline>
        </w:drawing>
      </w:r>
    </w:p>
    <w:p w:rsidR="00491BC8" w:rsidRDefault="00491BC8" w:rsidP="0028639D">
      <w:pPr>
        <w:spacing w:after="120"/>
        <w:jc w:val="both"/>
        <w:rPr>
          <w:rFonts w:asciiTheme="minorHAnsi" w:hAnsiTheme="minorHAnsi" w:cs="Arial"/>
          <w:color w:val="000000"/>
          <w:lang w:val="ro-RO"/>
        </w:rPr>
      </w:pPr>
    </w:p>
    <w:p w:rsidR="00113C28" w:rsidRPr="00113C28" w:rsidRDefault="00113C28" w:rsidP="00113C28">
      <w:pPr>
        <w:spacing w:after="120"/>
        <w:jc w:val="both"/>
        <w:rPr>
          <w:rFonts w:asciiTheme="minorHAnsi" w:hAnsiTheme="minorHAnsi" w:cs="Arial"/>
          <w:color w:val="000000"/>
        </w:rPr>
      </w:pPr>
      <w:r>
        <w:rPr>
          <w:rFonts w:asciiTheme="minorHAnsi" w:hAnsiTheme="minorHAnsi"/>
          <w:color w:val="000000"/>
        </w:rPr>
        <w:t>In order to observe the target budget deficit for 2019-2021, certain annual limits were proposed for the administrative-territorial units (ATU), both for the contracted value of the reimbursable financing which shall be contracted by them, and limits of budget expenditures that correspond to drawings from reimbursable financings contracted or which shall be contracted by the ATU.</w:t>
      </w:r>
    </w:p>
    <w:p w:rsidR="00CA7407" w:rsidRDefault="00113C28" w:rsidP="00113C28">
      <w:pPr>
        <w:spacing w:after="120"/>
        <w:jc w:val="both"/>
        <w:rPr>
          <w:rFonts w:asciiTheme="minorHAnsi" w:hAnsiTheme="minorHAnsi"/>
          <w:color w:val="000000"/>
        </w:rPr>
      </w:pPr>
      <w:r>
        <w:rPr>
          <w:rFonts w:asciiTheme="minorHAnsi" w:hAnsiTheme="minorHAnsi"/>
          <w:color w:val="000000"/>
        </w:rPr>
        <w:t>Considering the growth perspective of the national economy, we estimate that the Government debt according to the EU methodology will be situated at a stable and sustainable level and, as such, we propose ceilings of at most 40.0% of GDP for the period 2019-2021, while for the reduction of the budget risk resulting from the payments which should be made by the MPF and the ATU on account of the guarantees issued in accordance with GEO no. 64/2007 on public debt were proposed the following ceilings:</w:t>
      </w:r>
    </w:p>
    <w:p w:rsidR="00CC05F6" w:rsidRDefault="00CC05F6" w:rsidP="00113C28">
      <w:pPr>
        <w:spacing w:after="120"/>
        <w:jc w:val="both"/>
        <w:rPr>
          <w:rFonts w:asciiTheme="minorHAnsi" w:hAnsiTheme="minorHAnsi"/>
          <w:color w:val="000000"/>
        </w:rPr>
      </w:pPr>
    </w:p>
    <w:p w:rsidR="00CC05F6" w:rsidRDefault="00CC05F6" w:rsidP="00113C28">
      <w:pPr>
        <w:spacing w:after="120"/>
        <w:jc w:val="both"/>
        <w:rPr>
          <w:rFonts w:asciiTheme="minorHAnsi" w:hAnsiTheme="minorHAnsi"/>
          <w:color w:val="000000"/>
        </w:rPr>
      </w:pPr>
    </w:p>
    <w:p w:rsidR="00CC05F6" w:rsidRDefault="00CC05F6" w:rsidP="00113C28">
      <w:pPr>
        <w:spacing w:after="120"/>
        <w:jc w:val="both"/>
        <w:rPr>
          <w:rFonts w:asciiTheme="minorHAnsi" w:hAnsiTheme="minorHAnsi" w:cs="Arial"/>
          <w:color w:val="000000"/>
        </w:rPr>
      </w:pPr>
    </w:p>
    <w:p w:rsidR="00CC05F6" w:rsidRDefault="00CC05F6" w:rsidP="00113C28">
      <w:pPr>
        <w:spacing w:after="120"/>
        <w:jc w:val="both"/>
        <w:rPr>
          <w:rFonts w:asciiTheme="minorHAnsi" w:hAnsiTheme="minorHAnsi" w:cs="Arial"/>
          <w:color w:val="000000"/>
        </w:rPr>
      </w:pPr>
    </w:p>
    <w:p w:rsidR="00CC05F6" w:rsidRDefault="00CC05F6" w:rsidP="00113C28">
      <w:pPr>
        <w:spacing w:after="120"/>
        <w:jc w:val="both"/>
        <w:rPr>
          <w:rFonts w:asciiTheme="minorHAnsi" w:hAnsiTheme="minorHAnsi" w:cs="Arial"/>
          <w:color w:val="000000"/>
        </w:rPr>
      </w:pPr>
    </w:p>
    <w:p w:rsidR="00CC05F6" w:rsidRDefault="00CC05F6" w:rsidP="00113C28">
      <w:pPr>
        <w:spacing w:after="120"/>
        <w:jc w:val="both"/>
        <w:rPr>
          <w:rFonts w:asciiTheme="minorHAnsi" w:hAnsiTheme="minorHAnsi" w:cs="Arial"/>
          <w:color w:val="000000"/>
        </w:rPr>
      </w:pPr>
    </w:p>
    <w:p w:rsidR="00CC05F6" w:rsidRDefault="00CC05F6" w:rsidP="00113C28">
      <w:pPr>
        <w:spacing w:after="120"/>
        <w:jc w:val="both"/>
        <w:rPr>
          <w:rFonts w:asciiTheme="minorHAnsi" w:hAnsiTheme="minorHAnsi" w:cs="Arial"/>
          <w:color w:val="000000"/>
        </w:rPr>
      </w:pPr>
    </w:p>
    <w:p w:rsidR="00CC05F6" w:rsidRDefault="00CC05F6" w:rsidP="00113C28">
      <w:pPr>
        <w:spacing w:after="120"/>
        <w:jc w:val="both"/>
        <w:rPr>
          <w:rFonts w:asciiTheme="minorHAnsi" w:hAnsiTheme="minorHAnsi" w:cs="Arial"/>
          <w:color w:val="000000"/>
        </w:rPr>
      </w:pPr>
    </w:p>
    <w:p w:rsidR="00CC05F6" w:rsidRDefault="00CC05F6" w:rsidP="00113C28">
      <w:pPr>
        <w:spacing w:after="120"/>
        <w:jc w:val="both"/>
        <w:rPr>
          <w:rFonts w:asciiTheme="minorHAnsi" w:hAnsiTheme="minorHAnsi" w:cs="Arial"/>
          <w:color w:val="000000"/>
        </w:rPr>
      </w:pPr>
      <w:r>
        <w:rPr>
          <w:noProof/>
          <w:lang w:val="ro-RO" w:eastAsia="ro-RO"/>
        </w:rPr>
        <mc:AlternateContent>
          <mc:Choice Requires="wps">
            <w:drawing>
              <wp:anchor distT="0" distB="0" distL="114300" distR="114300" simplePos="0" relativeHeight="251662336" behindDoc="0" locked="0" layoutInCell="1" allowOverlap="1" wp14:anchorId="01F0B649" wp14:editId="0A8DBBEE">
                <wp:simplePos x="0" y="0"/>
                <wp:positionH relativeFrom="column">
                  <wp:posOffset>668655</wp:posOffset>
                </wp:positionH>
                <wp:positionV relativeFrom="paragraph">
                  <wp:posOffset>-68580</wp:posOffset>
                </wp:positionV>
                <wp:extent cx="4777740" cy="328930"/>
                <wp:effectExtent l="11430" t="6985" r="11430" b="6985"/>
                <wp:wrapNone/>
                <wp:docPr id="343"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7740" cy="328930"/>
                        </a:xfrm>
                        <a:prstGeom prst="rect">
                          <a:avLst/>
                        </a:prstGeom>
                        <a:solidFill>
                          <a:srgbClr val="FFFFFF"/>
                        </a:solidFill>
                        <a:ln w="9525">
                          <a:solidFill>
                            <a:srgbClr val="000000"/>
                          </a:solidFill>
                          <a:miter lim="800000"/>
                          <a:headEnd/>
                          <a:tailEnd/>
                        </a:ln>
                      </wps:spPr>
                      <wps:txbx>
                        <w:txbxContent>
                          <w:p w:rsidR="005063CB" w:rsidRPr="00440630" w:rsidRDefault="005063CB">
                            <w:pPr>
                              <w:rPr>
                                <w:b/>
                                <w:sz w:val="22"/>
                              </w:rPr>
                            </w:pPr>
                            <w:r w:rsidRPr="00440630">
                              <w:rPr>
                                <w:b/>
                                <w:sz w:val="22"/>
                              </w:rPr>
                              <w:t>Ceilings for: Government debt, contracted loans and awarded guarantees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0B649" id="Rectangle 414" o:spid="_x0000_s1407" style="position:absolute;left:0;text-align:left;margin-left:52.65pt;margin-top:-5.4pt;width:376.2pt;height:2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">
                <v:textbox>
                  <w:txbxContent>
                    <w:p w:rsidR="005063CB" w:rsidRPr="00440630" w:rsidRDefault="005063CB">
                      <w:pPr>
                        <w:rPr>
                          <w:b/>
                          <w:sz w:val="22"/>
                        </w:rPr>
                      </w:pPr>
                      <w:r w:rsidRPr="00440630">
                        <w:rPr>
                          <w:b/>
                          <w:sz w:val="22"/>
                        </w:rPr>
                        <w:t>Ceilings for: Government debt, contracted loans and awarded guarantees</w:t>
                      </w:r>
                    </w:p>
                  </w:txbxContent>
                </v:textbox>
              </v:rect>
            </w:pict>
          </mc:Fallback>
        </mc:AlternateContent>
      </w:r>
    </w:p>
    <w:p w:rsidR="00CC05F6" w:rsidRPr="0028639D" w:rsidRDefault="00CC05F6" w:rsidP="00113C28">
      <w:pPr>
        <w:spacing w:after="120"/>
        <w:jc w:val="both"/>
        <w:rPr>
          <w:rFonts w:asciiTheme="minorHAnsi" w:hAnsiTheme="minorHAnsi" w:cs="Arial"/>
          <w:color w:val="000000"/>
        </w:rPr>
      </w:pPr>
    </w:p>
    <w:p w:rsidR="00B2618E" w:rsidRPr="00755F59" w:rsidRDefault="00DF768F" w:rsidP="006E0AB3">
      <w:pPr>
        <w:jc w:val="center"/>
        <w:rPr>
          <w:rFonts w:ascii="Calibri" w:hAnsi="Calibri" w:cs="Arial"/>
          <w:color w:val="000000"/>
        </w:rPr>
      </w:pPr>
      <w:r>
        <w:rPr>
          <w:noProof/>
          <w:lang w:val="ro-RO" w:eastAsia="ro-RO"/>
        </w:rPr>
        <mc:AlternateContent>
          <mc:Choice Requires="wps">
            <w:drawing>
              <wp:anchor distT="0" distB="0" distL="114300" distR="114300" simplePos="0" relativeHeight="251664384" behindDoc="0" locked="0" layoutInCell="1" allowOverlap="1" wp14:anchorId="6CC71018" wp14:editId="2BC1663A">
                <wp:simplePos x="0" y="0"/>
                <wp:positionH relativeFrom="column">
                  <wp:posOffset>391795</wp:posOffset>
                </wp:positionH>
                <wp:positionV relativeFrom="paragraph">
                  <wp:posOffset>1943735</wp:posOffset>
                </wp:positionV>
                <wp:extent cx="5584825" cy="1038225"/>
                <wp:effectExtent l="10795" t="10160" r="5080" b="8890"/>
                <wp:wrapNone/>
                <wp:docPr id="345"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4825" cy="1038225"/>
                        </a:xfrm>
                        <a:prstGeom prst="rect">
                          <a:avLst/>
                        </a:prstGeom>
                        <a:solidFill>
                          <a:srgbClr val="FFFFFF"/>
                        </a:solidFill>
                        <a:ln w="9525">
                          <a:solidFill>
                            <a:srgbClr val="000000"/>
                          </a:solidFill>
                          <a:miter lim="800000"/>
                          <a:headEnd/>
                          <a:tailEnd/>
                        </a:ln>
                      </wps:spPr>
                      <wps:txbx>
                        <w:txbxContent>
                          <w:p w:rsidR="005063CB" w:rsidRPr="004629B3" w:rsidRDefault="005063CB">
                            <w:pPr>
                              <w:rPr>
                                <w:sz w:val="16"/>
                              </w:rPr>
                            </w:pPr>
                            <w:r w:rsidRPr="004629B3">
                              <w:rPr>
                                <w:sz w:val="16"/>
                              </w:rPr>
                              <w:t>*) Does not include the reimbursable financing dedicated to refinancing local public debt and that dedicated to projects which benefit from external non-reimbursable funds from the European Union, including those included in the Greek Plan of Reconstruction and Economic Development of the Balkans – HIPERB, as well as those dedicated to projects that benefit of external non-reimbursable funds from European donors within inter-governmental programs.</w:t>
                            </w:r>
                          </w:p>
                          <w:p w:rsidR="005063CB" w:rsidRPr="004629B3" w:rsidRDefault="005063CB">
                            <w:pPr>
                              <w:rPr>
                                <w:sz w:val="16"/>
                              </w:rPr>
                            </w:pPr>
                            <w:r w:rsidRPr="004629B3">
                              <w:rPr>
                                <w:sz w:val="16"/>
                              </w:rPr>
                              <w:t xml:space="preserve">Note: The values for the financing contracted by the ATUs and those for the drawdowns that correspond to years 2019, 2020, and 2021 were approved through </w:t>
                            </w:r>
                            <w:r>
                              <w:rPr>
                                <w:sz w:val="16"/>
                              </w:rPr>
                              <w:t xml:space="preserve">GD no. 925/2018 approving the annual limits corresponding to years 2019, 2020, and 2021 for the reimbursable financing that can be contracted and for the drawdowns from the reimbursable financing contracted or which shall be contracted by the administrative-territorial units/subdivisions.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71018" id="Rectangle 416" o:spid="_x0000_s1408" style="position:absolute;left:0;text-align:left;margin-left:30.85pt;margin-top:153.05pt;width:439.75pt;height:8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">
                <v:textbox>
                  <w:txbxContent>
                    <w:p w:rsidR="005063CB" w:rsidRPr="004629B3" w:rsidRDefault="005063CB">
                      <w:pPr>
                        <w:rPr>
                          <w:sz w:val="16"/>
                        </w:rPr>
                      </w:pPr>
                      <w:r w:rsidRPr="004629B3">
                        <w:rPr>
                          <w:sz w:val="16"/>
                        </w:rPr>
                        <w:t>*) Does not include the reimbursable financing dedicated to refinancing local public debt and that dedicated to projects which benefit from external non-reimbursable funds from the European Union, including those included in the Greek Plan of Reconstruction and Economic Development of the Balkans – HIPERB, as well as those dedicated to projects that benefit of external non-reimbursable funds from European donors within inter-governmental programs.</w:t>
                      </w:r>
                    </w:p>
                    <w:p w:rsidR="005063CB" w:rsidRPr="004629B3" w:rsidRDefault="005063CB">
                      <w:pPr>
                        <w:rPr>
                          <w:sz w:val="16"/>
                        </w:rPr>
                      </w:pPr>
                      <w:r w:rsidRPr="004629B3">
                        <w:rPr>
                          <w:sz w:val="16"/>
                        </w:rPr>
                        <w:t xml:space="preserve">Note: The values for the financing contracted by the ATUs and those for the drawdowns that correspond to years 2019, 2020, and 2021 were approved through </w:t>
                      </w:r>
                      <w:r>
                        <w:rPr>
                          <w:sz w:val="16"/>
                        </w:rPr>
                        <w:t xml:space="preserve">GD no. 925/2018 approving the annual limits corresponding to years 2019, 2020, and 2021 for the reimbursable financing that can be contracted and for the drawdowns from the reimbursable financing contracted or which shall be contracted by the administrative-territorial units/subdivisions. </w:t>
                      </w:r>
                    </w:p>
                  </w:txbxContent>
                </v:textbox>
              </v:rect>
            </w:pict>
          </mc:Fallback>
        </mc:AlternateContent>
      </w:r>
      <w:r>
        <w:rPr>
          <w:noProof/>
          <w:lang w:val="ro-RO" w:eastAsia="ro-RO"/>
        </w:rPr>
        <mc:AlternateContent>
          <mc:Choice Requires="wps">
            <w:drawing>
              <wp:anchor distT="0" distB="0" distL="114300" distR="114300" simplePos="0" relativeHeight="251663360" behindDoc="0" locked="0" layoutInCell="1" allowOverlap="1" wp14:anchorId="357B7C23" wp14:editId="5D5625FA">
                <wp:simplePos x="0" y="0"/>
                <wp:positionH relativeFrom="column">
                  <wp:posOffset>433070</wp:posOffset>
                </wp:positionH>
                <wp:positionV relativeFrom="paragraph">
                  <wp:posOffset>403225</wp:posOffset>
                </wp:positionV>
                <wp:extent cx="2289810" cy="1540510"/>
                <wp:effectExtent l="13970" t="12700" r="10795" b="8890"/>
                <wp:wrapNone/>
                <wp:docPr id="344"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9810" cy="1540510"/>
                        </a:xfrm>
                        <a:prstGeom prst="rect">
                          <a:avLst/>
                        </a:prstGeom>
                        <a:solidFill>
                          <a:srgbClr val="FFFFFF"/>
                        </a:solidFill>
                        <a:ln w="9525">
                          <a:solidFill>
                            <a:srgbClr val="000000"/>
                          </a:solidFill>
                          <a:miter lim="800000"/>
                          <a:headEnd/>
                          <a:tailEnd/>
                        </a:ln>
                      </wps:spPr>
                      <wps:txbx>
                        <w:txbxContent>
                          <w:p w:rsidR="005063CB" w:rsidRPr="004629B3" w:rsidRDefault="005063CB">
                            <w:pPr>
                              <w:rPr>
                                <w:sz w:val="16"/>
                              </w:rPr>
                            </w:pPr>
                            <w:r w:rsidRPr="004629B3">
                              <w:rPr>
                                <w:sz w:val="16"/>
                              </w:rPr>
                              <w:t>Public debt (EU methodology) - % of GDP</w:t>
                            </w:r>
                          </w:p>
                          <w:p w:rsidR="005063CB" w:rsidRPr="004629B3" w:rsidRDefault="005063CB">
                            <w:pPr>
                              <w:rPr>
                                <w:sz w:val="16"/>
                              </w:rPr>
                            </w:pPr>
                            <w:r w:rsidRPr="004629B3">
                              <w:rPr>
                                <w:sz w:val="16"/>
                              </w:rPr>
                              <w:t>Reimbursable financing contracted by the administrative-territorial units/subdivisions *) – mill. Lei –</w:t>
                            </w:r>
                          </w:p>
                          <w:p w:rsidR="005063CB" w:rsidRPr="004629B3" w:rsidRDefault="005063CB">
                            <w:pPr>
                              <w:rPr>
                                <w:sz w:val="16"/>
                              </w:rPr>
                            </w:pPr>
                            <w:r w:rsidRPr="004629B3">
                              <w:rPr>
                                <w:sz w:val="16"/>
                              </w:rPr>
                              <w:t xml:space="preserve">Drawdowns from the reimbursable financing contracted or which shall be contracted by the administrative-territorial units/subdivisions *) – mill. Lei </w:t>
                            </w:r>
                          </w:p>
                          <w:p w:rsidR="005063CB" w:rsidRPr="004629B3" w:rsidRDefault="005063CB">
                            <w:pPr>
                              <w:rPr>
                                <w:sz w:val="16"/>
                              </w:rPr>
                            </w:pPr>
                            <w:r w:rsidRPr="004629B3">
                              <w:rPr>
                                <w:sz w:val="16"/>
                              </w:rPr>
                              <w:t xml:space="preserve">Guarantees issued by the Ministry of </w:t>
                            </w:r>
                            <w:r>
                              <w:rPr>
                                <w:sz w:val="16"/>
                              </w:rPr>
                              <w:t>Public Finance and the administrative-territorial units – mill. Lei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B7C23" id="Rectangle 415" o:spid="_x0000_s1409" style="position:absolute;left:0;text-align:left;margin-left:34.1pt;margin-top:31.75pt;width:180.3pt;height:12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">
                <v:textbox>
                  <w:txbxContent>
                    <w:p w:rsidR="005063CB" w:rsidRPr="004629B3" w:rsidRDefault="005063CB">
                      <w:pPr>
                        <w:rPr>
                          <w:sz w:val="16"/>
                        </w:rPr>
                      </w:pPr>
                      <w:r w:rsidRPr="004629B3">
                        <w:rPr>
                          <w:sz w:val="16"/>
                        </w:rPr>
                        <w:t>Public debt (EU methodology) - % of GDP</w:t>
                      </w:r>
                    </w:p>
                    <w:p w:rsidR="005063CB" w:rsidRPr="004629B3" w:rsidRDefault="005063CB">
                      <w:pPr>
                        <w:rPr>
                          <w:sz w:val="16"/>
                        </w:rPr>
                      </w:pPr>
                      <w:r w:rsidRPr="004629B3">
                        <w:rPr>
                          <w:sz w:val="16"/>
                        </w:rPr>
                        <w:t>Reimbursable financing contracted by the administrative-territorial units/subdivisions *) – mill. Lei –</w:t>
                      </w:r>
                    </w:p>
                    <w:p w:rsidR="005063CB" w:rsidRPr="004629B3" w:rsidRDefault="005063CB">
                      <w:pPr>
                        <w:rPr>
                          <w:sz w:val="16"/>
                        </w:rPr>
                      </w:pPr>
                      <w:r w:rsidRPr="004629B3">
                        <w:rPr>
                          <w:sz w:val="16"/>
                        </w:rPr>
                        <w:t xml:space="preserve">Drawdowns from the reimbursable financing contracted or which shall be contracted by the administrative-territorial units/subdivisions *) – mill. Lei </w:t>
                      </w:r>
                    </w:p>
                    <w:p w:rsidR="005063CB" w:rsidRPr="004629B3" w:rsidRDefault="005063CB">
                      <w:pPr>
                        <w:rPr>
                          <w:sz w:val="16"/>
                        </w:rPr>
                      </w:pPr>
                      <w:r w:rsidRPr="004629B3">
                        <w:rPr>
                          <w:sz w:val="16"/>
                        </w:rPr>
                        <w:t xml:space="preserve">Guarantees issued by the Ministry of </w:t>
                      </w:r>
                      <w:r>
                        <w:rPr>
                          <w:sz w:val="16"/>
                        </w:rPr>
                        <w:t>Public Finance and the administrative-territorial units – mill. Lei -</w:t>
                      </w:r>
                    </w:p>
                  </w:txbxContent>
                </v:textbox>
              </v:rect>
            </w:pict>
          </mc:Fallback>
        </mc:AlternateContent>
      </w:r>
      <w:r w:rsidR="00421DF8">
        <w:rPr>
          <w:noProof/>
          <w:lang w:val="ro-RO" w:eastAsia="ro-RO"/>
        </w:rPr>
        <w:drawing>
          <wp:inline distT="0" distB="0" distL="0" distR="0">
            <wp:extent cx="5417820" cy="296418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17820" cy="2964180"/>
                    </a:xfrm>
                    <a:prstGeom prst="rect">
                      <a:avLst/>
                    </a:prstGeom>
                    <a:noFill/>
                    <a:ln>
                      <a:noFill/>
                    </a:ln>
                  </pic:spPr>
                </pic:pic>
              </a:graphicData>
            </a:graphic>
          </wp:inline>
        </w:drawing>
      </w:r>
    </w:p>
    <w:p w:rsidR="00CC1D7F" w:rsidRDefault="00CC1D7F" w:rsidP="00755F59">
      <w:pPr>
        <w:spacing w:after="120"/>
        <w:jc w:val="both"/>
        <w:rPr>
          <w:rFonts w:ascii="Calibri" w:hAnsi="Calibri"/>
        </w:rPr>
      </w:pPr>
      <w:r>
        <w:rPr>
          <w:rFonts w:ascii="Calibri" w:hAnsi="Calibri"/>
          <w:bCs/>
        </w:rPr>
        <w:t>The ceilings regarding total and personnel expenditures of the general consolidated budget, excluding financial assistance from the European Union and other donors, are presented in the table below.</w:t>
      </w:r>
    </w:p>
    <w:p w:rsidR="000B261C" w:rsidRPr="00C86702" w:rsidRDefault="000B261C" w:rsidP="00755F59">
      <w:pPr>
        <w:spacing w:after="120"/>
        <w:jc w:val="both"/>
        <w:rPr>
          <w:rFonts w:ascii="Calibri" w:hAnsi="Calibri"/>
          <w:lang w:val="ro-RO"/>
        </w:rPr>
      </w:pPr>
    </w:p>
    <w:p w:rsidR="000679BB" w:rsidRDefault="00DF768F" w:rsidP="006E0AB3">
      <w:pPr>
        <w:jc w:val="center"/>
      </w:pPr>
      <w:r>
        <w:rPr>
          <w:rFonts w:ascii="Calibri" w:hAnsi="Calibri"/>
          <w:noProof/>
          <w:lang w:val="ro-RO" w:eastAsia="ro-RO"/>
        </w:rPr>
        <mc:AlternateContent>
          <mc:Choice Requires="wps">
            <w:drawing>
              <wp:anchor distT="0" distB="0" distL="114300" distR="114300" simplePos="0" relativeHeight="251768320" behindDoc="0" locked="0" layoutInCell="1" allowOverlap="1">
                <wp:simplePos x="0" y="0"/>
                <wp:positionH relativeFrom="column">
                  <wp:posOffset>613410</wp:posOffset>
                </wp:positionH>
                <wp:positionV relativeFrom="paragraph">
                  <wp:posOffset>5184140</wp:posOffset>
                </wp:positionV>
                <wp:extent cx="2611755" cy="247015"/>
                <wp:effectExtent l="13335" t="12065" r="13335" b="7620"/>
                <wp:wrapNone/>
                <wp:docPr id="342"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1755" cy="247015"/>
                        </a:xfrm>
                        <a:prstGeom prst="rect">
                          <a:avLst/>
                        </a:prstGeom>
                        <a:solidFill>
                          <a:srgbClr val="FFFFFF"/>
                        </a:solidFill>
                        <a:ln w="9525">
                          <a:solidFill>
                            <a:srgbClr val="000000"/>
                          </a:solidFill>
                          <a:miter lim="800000"/>
                          <a:headEnd/>
                          <a:tailEnd/>
                        </a:ln>
                      </wps:spPr>
                      <wps:txbx>
                        <w:txbxContent>
                          <w:p w:rsidR="005063CB" w:rsidRPr="00696F84" w:rsidRDefault="005063CB">
                            <w:pPr>
                              <w:rPr>
                                <w:sz w:val="18"/>
                              </w:rPr>
                            </w:pPr>
                            <w:r w:rsidRPr="00696F84">
                              <w:rPr>
                                <w:sz w:val="18"/>
                              </w:rPr>
                              <w:t>*) The ceilings refer only to the period 2019-2021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9" o:spid="_x0000_s1410" style="position:absolute;left:0;text-align:left;margin-left:48.3pt;margin-top:408.2pt;width:205.65pt;height:19.4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">
                <v:textbox>
                  <w:txbxContent>
                    <w:p w:rsidR="005063CB" w:rsidRPr="00696F84" w:rsidRDefault="005063CB">
                      <w:pPr>
                        <w:rPr>
                          <w:sz w:val="18"/>
                        </w:rPr>
                      </w:pPr>
                      <w:r w:rsidRPr="00696F84">
                        <w:rPr>
                          <w:sz w:val="18"/>
                        </w:rPr>
                        <w:t>*) The ceilings refer only to the period 2019-2021</w:t>
                      </w:r>
                    </w:p>
                  </w:txbxContent>
                </v:textbox>
              </v:rect>
            </w:pict>
          </mc:Fallback>
        </mc:AlternateContent>
      </w:r>
      <w:r>
        <w:rPr>
          <w:rFonts w:ascii="Calibri" w:hAnsi="Calibri"/>
          <w:noProof/>
          <w:lang w:val="ro-RO" w:eastAsia="ro-RO"/>
        </w:rPr>
        <mc:AlternateContent>
          <mc:Choice Requires="wps">
            <w:drawing>
              <wp:anchor distT="0" distB="0" distL="114300" distR="114300" simplePos="0" relativeHeight="251767296" behindDoc="0" locked="0" layoutInCell="1" allowOverlap="1">
                <wp:simplePos x="0" y="0"/>
                <wp:positionH relativeFrom="column">
                  <wp:posOffset>135890</wp:posOffset>
                </wp:positionH>
                <wp:positionV relativeFrom="paragraph">
                  <wp:posOffset>933450</wp:posOffset>
                </wp:positionV>
                <wp:extent cx="2117090" cy="4209415"/>
                <wp:effectExtent l="12065" t="9525" r="13970" b="10160"/>
                <wp:wrapNone/>
                <wp:docPr id="341"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7090" cy="4209415"/>
                        </a:xfrm>
                        <a:prstGeom prst="rect">
                          <a:avLst/>
                        </a:prstGeom>
                        <a:solidFill>
                          <a:srgbClr val="FFFFFF"/>
                        </a:solidFill>
                        <a:ln w="9525">
                          <a:solidFill>
                            <a:srgbClr val="000000"/>
                          </a:solidFill>
                          <a:miter lim="800000"/>
                          <a:headEnd/>
                          <a:tailEnd/>
                        </a:ln>
                      </wps:spPr>
                      <wps:txbx>
                        <w:txbxContent>
                          <w:p w:rsidR="005063CB" w:rsidRPr="00696F84" w:rsidRDefault="005063CB">
                            <w:pPr>
                              <w:rPr>
                                <w:sz w:val="20"/>
                              </w:rPr>
                            </w:pPr>
                            <w:r w:rsidRPr="00696F84">
                              <w:rPr>
                                <w:sz w:val="20"/>
                              </w:rPr>
                              <w:t>General consolidated budget</w:t>
                            </w:r>
                          </w:p>
                          <w:p w:rsidR="005063CB" w:rsidRPr="00696F84" w:rsidRDefault="005063CB" w:rsidP="00696F84">
                            <w:pPr>
                              <w:pStyle w:val="ListParagraph"/>
                              <w:numPr>
                                <w:ilvl w:val="0"/>
                                <w:numId w:val="240"/>
                              </w:numPr>
                              <w:rPr>
                                <w:sz w:val="20"/>
                              </w:rPr>
                            </w:pPr>
                            <w:r w:rsidRPr="00696F84">
                              <w:rPr>
                                <w:sz w:val="20"/>
                              </w:rPr>
                              <w:t>Personnel expenditures</w:t>
                            </w:r>
                          </w:p>
                          <w:p w:rsidR="005063CB" w:rsidRDefault="005063CB" w:rsidP="00696F84">
                            <w:pPr>
                              <w:pStyle w:val="ListParagraph"/>
                              <w:numPr>
                                <w:ilvl w:val="0"/>
                                <w:numId w:val="240"/>
                              </w:numPr>
                              <w:rPr>
                                <w:sz w:val="20"/>
                              </w:rPr>
                            </w:pPr>
                            <w:r w:rsidRPr="00696F84">
                              <w:rPr>
                                <w:sz w:val="20"/>
                              </w:rPr>
                              <w:t>Personnel expenditures in % of GDP</w:t>
                            </w:r>
                          </w:p>
                          <w:p w:rsidR="005063CB" w:rsidRDefault="005063CB" w:rsidP="00696F84">
                            <w:pPr>
                              <w:rPr>
                                <w:sz w:val="20"/>
                              </w:rPr>
                            </w:pPr>
                            <w:r>
                              <w:rPr>
                                <w:sz w:val="20"/>
                              </w:rPr>
                              <w:t>State budget</w:t>
                            </w:r>
                          </w:p>
                          <w:p w:rsidR="005063CB" w:rsidRDefault="005063CB" w:rsidP="00696F84">
                            <w:pPr>
                              <w:pStyle w:val="ListParagraph"/>
                              <w:numPr>
                                <w:ilvl w:val="0"/>
                                <w:numId w:val="240"/>
                              </w:numPr>
                              <w:rPr>
                                <w:sz w:val="20"/>
                              </w:rPr>
                            </w:pPr>
                            <w:r>
                              <w:rPr>
                                <w:sz w:val="20"/>
                              </w:rPr>
                              <w:t>Personnel expenditures</w:t>
                            </w:r>
                          </w:p>
                          <w:p w:rsidR="005063CB" w:rsidRDefault="005063CB" w:rsidP="00696F84">
                            <w:pPr>
                              <w:rPr>
                                <w:sz w:val="20"/>
                              </w:rPr>
                            </w:pPr>
                            <w:r>
                              <w:rPr>
                                <w:sz w:val="20"/>
                              </w:rPr>
                              <w:t>Centralized budget of the administrative-territorial units</w:t>
                            </w:r>
                          </w:p>
                          <w:p w:rsidR="005063CB" w:rsidRDefault="005063CB" w:rsidP="00696F84">
                            <w:pPr>
                              <w:rPr>
                                <w:sz w:val="20"/>
                              </w:rPr>
                            </w:pPr>
                          </w:p>
                          <w:p w:rsidR="005063CB" w:rsidRDefault="005063CB" w:rsidP="00696F84">
                            <w:pPr>
                              <w:pStyle w:val="ListParagraph"/>
                              <w:numPr>
                                <w:ilvl w:val="0"/>
                                <w:numId w:val="240"/>
                              </w:numPr>
                              <w:rPr>
                                <w:sz w:val="20"/>
                              </w:rPr>
                            </w:pPr>
                            <w:r>
                              <w:rPr>
                                <w:sz w:val="20"/>
                              </w:rPr>
                              <w:t>Personnel expenditures</w:t>
                            </w:r>
                          </w:p>
                          <w:p w:rsidR="005063CB" w:rsidRDefault="005063CB" w:rsidP="00696F84">
                            <w:pPr>
                              <w:rPr>
                                <w:sz w:val="20"/>
                              </w:rPr>
                            </w:pPr>
                          </w:p>
                          <w:p w:rsidR="005063CB" w:rsidRDefault="005063CB" w:rsidP="00696F84">
                            <w:pPr>
                              <w:rPr>
                                <w:sz w:val="20"/>
                              </w:rPr>
                            </w:pPr>
                            <w:r>
                              <w:rPr>
                                <w:sz w:val="20"/>
                              </w:rPr>
                              <w:t>Social insurance budget</w:t>
                            </w:r>
                          </w:p>
                          <w:p w:rsidR="005063CB" w:rsidRDefault="005063CB" w:rsidP="00696F84">
                            <w:pPr>
                              <w:pStyle w:val="ListParagraph"/>
                              <w:numPr>
                                <w:ilvl w:val="0"/>
                                <w:numId w:val="240"/>
                              </w:numPr>
                              <w:rPr>
                                <w:sz w:val="20"/>
                              </w:rPr>
                            </w:pPr>
                            <w:r>
                              <w:rPr>
                                <w:sz w:val="20"/>
                              </w:rPr>
                              <w:t>Personnel expenditures</w:t>
                            </w:r>
                          </w:p>
                          <w:p w:rsidR="005063CB" w:rsidRDefault="005063CB" w:rsidP="00696F84">
                            <w:pPr>
                              <w:rPr>
                                <w:sz w:val="20"/>
                              </w:rPr>
                            </w:pPr>
                          </w:p>
                          <w:p w:rsidR="005063CB" w:rsidRDefault="005063CB" w:rsidP="00696F84">
                            <w:pPr>
                              <w:rPr>
                                <w:sz w:val="20"/>
                              </w:rPr>
                            </w:pPr>
                            <w:r>
                              <w:rPr>
                                <w:sz w:val="20"/>
                              </w:rPr>
                              <w:t>Unemployment insurance budget</w:t>
                            </w:r>
                          </w:p>
                          <w:p w:rsidR="005063CB" w:rsidRDefault="005063CB" w:rsidP="00696F84">
                            <w:pPr>
                              <w:pStyle w:val="ListParagraph"/>
                              <w:numPr>
                                <w:ilvl w:val="0"/>
                                <w:numId w:val="240"/>
                              </w:numPr>
                              <w:rPr>
                                <w:sz w:val="20"/>
                              </w:rPr>
                            </w:pPr>
                            <w:r>
                              <w:rPr>
                                <w:sz w:val="20"/>
                              </w:rPr>
                              <w:t>Personnel expenditures</w:t>
                            </w:r>
                          </w:p>
                          <w:p w:rsidR="005063CB" w:rsidRDefault="005063CB" w:rsidP="00696F84">
                            <w:pPr>
                              <w:rPr>
                                <w:sz w:val="20"/>
                              </w:rPr>
                            </w:pPr>
                          </w:p>
                          <w:p w:rsidR="005063CB" w:rsidRDefault="005063CB" w:rsidP="00696F84">
                            <w:pPr>
                              <w:rPr>
                                <w:sz w:val="20"/>
                              </w:rPr>
                            </w:pPr>
                            <w:r>
                              <w:rPr>
                                <w:sz w:val="20"/>
                              </w:rPr>
                              <w:t>Budget of the National single fund of health insurance</w:t>
                            </w:r>
                          </w:p>
                          <w:p w:rsidR="005063CB" w:rsidRDefault="005063CB" w:rsidP="00696F84">
                            <w:pPr>
                              <w:rPr>
                                <w:sz w:val="20"/>
                              </w:rPr>
                            </w:pPr>
                            <w:r>
                              <w:rPr>
                                <w:sz w:val="20"/>
                              </w:rPr>
                              <w:t>-personnel expenditures</w:t>
                            </w:r>
                          </w:p>
                          <w:p w:rsidR="005063CB" w:rsidRDefault="005063CB" w:rsidP="00696F84">
                            <w:pPr>
                              <w:rPr>
                                <w:sz w:val="20"/>
                              </w:rPr>
                            </w:pPr>
                          </w:p>
                          <w:p w:rsidR="005063CB" w:rsidRDefault="005063CB" w:rsidP="00696F84">
                            <w:pPr>
                              <w:rPr>
                                <w:sz w:val="20"/>
                              </w:rPr>
                            </w:pPr>
                            <w:r>
                              <w:rPr>
                                <w:sz w:val="20"/>
                              </w:rPr>
                              <w:t>Budget of the institutions/activities financed from own revenues</w:t>
                            </w:r>
                          </w:p>
                          <w:p w:rsidR="005063CB" w:rsidRDefault="005063CB" w:rsidP="00696F84">
                            <w:pPr>
                              <w:pStyle w:val="ListParagraph"/>
                              <w:numPr>
                                <w:ilvl w:val="0"/>
                                <w:numId w:val="240"/>
                              </w:numPr>
                              <w:rPr>
                                <w:sz w:val="20"/>
                              </w:rPr>
                            </w:pPr>
                            <w:r>
                              <w:rPr>
                                <w:sz w:val="20"/>
                              </w:rPr>
                              <w:t>Personnel expenditures</w:t>
                            </w:r>
                          </w:p>
                          <w:p w:rsidR="005063CB" w:rsidRDefault="005063CB" w:rsidP="00696F84">
                            <w:pPr>
                              <w:rPr>
                                <w:sz w:val="20"/>
                              </w:rPr>
                            </w:pPr>
                            <w:r>
                              <w:rPr>
                                <w:sz w:val="20"/>
                              </w:rPr>
                              <w:t>Other budgets that make up the general consolidated budget</w:t>
                            </w:r>
                          </w:p>
                          <w:p w:rsidR="005063CB" w:rsidRPr="00696F84" w:rsidRDefault="005063CB" w:rsidP="00696F84">
                            <w:pPr>
                              <w:pStyle w:val="ListParagraph"/>
                              <w:numPr>
                                <w:ilvl w:val="0"/>
                                <w:numId w:val="240"/>
                              </w:numPr>
                              <w:rPr>
                                <w:sz w:val="20"/>
                              </w:rPr>
                            </w:pPr>
                            <w:r>
                              <w:rPr>
                                <w:sz w:val="20"/>
                              </w:rPr>
                              <w:t>Personnel expenditures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8" o:spid="_x0000_s1411" style="position:absolute;left:0;text-align:left;margin-left:10.7pt;margin-top:73.5pt;width:166.7pt;height:331.4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">
                <v:textbox>
                  <w:txbxContent>
                    <w:p w:rsidR="005063CB" w:rsidRPr="00696F84" w:rsidRDefault="005063CB">
                      <w:pPr>
                        <w:rPr>
                          <w:sz w:val="20"/>
                        </w:rPr>
                      </w:pPr>
                      <w:r w:rsidRPr="00696F84">
                        <w:rPr>
                          <w:sz w:val="20"/>
                        </w:rPr>
                        <w:t>General consolidated budget</w:t>
                      </w:r>
                    </w:p>
                    <w:p w:rsidR="005063CB" w:rsidRPr="00696F84" w:rsidRDefault="005063CB" w:rsidP="00696F84">
                      <w:pPr>
                        <w:pStyle w:val="ListParagraph"/>
                        <w:numPr>
                          <w:ilvl w:val="0"/>
                          <w:numId w:val="240"/>
                        </w:numPr>
                        <w:rPr>
                          <w:sz w:val="20"/>
                        </w:rPr>
                      </w:pPr>
                      <w:r w:rsidRPr="00696F84">
                        <w:rPr>
                          <w:sz w:val="20"/>
                        </w:rPr>
                        <w:t>Personnel expenditures</w:t>
                      </w:r>
                    </w:p>
                    <w:p w:rsidR="005063CB" w:rsidRDefault="005063CB" w:rsidP="00696F84">
                      <w:pPr>
                        <w:pStyle w:val="ListParagraph"/>
                        <w:numPr>
                          <w:ilvl w:val="0"/>
                          <w:numId w:val="240"/>
                        </w:numPr>
                        <w:rPr>
                          <w:sz w:val="20"/>
                        </w:rPr>
                      </w:pPr>
                      <w:r w:rsidRPr="00696F84">
                        <w:rPr>
                          <w:sz w:val="20"/>
                        </w:rPr>
                        <w:t>Personnel expenditures in % of GDP</w:t>
                      </w:r>
                    </w:p>
                    <w:p w:rsidR="005063CB" w:rsidRDefault="005063CB" w:rsidP="00696F84">
                      <w:pPr>
                        <w:rPr>
                          <w:sz w:val="20"/>
                        </w:rPr>
                      </w:pPr>
                      <w:r>
                        <w:rPr>
                          <w:sz w:val="20"/>
                        </w:rPr>
                        <w:t>State budget</w:t>
                      </w:r>
                    </w:p>
                    <w:p w:rsidR="005063CB" w:rsidRDefault="005063CB" w:rsidP="00696F84">
                      <w:pPr>
                        <w:pStyle w:val="ListParagraph"/>
                        <w:numPr>
                          <w:ilvl w:val="0"/>
                          <w:numId w:val="240"/>
                        </w:numPr>
                        <w:rPr>
                          <w:sz w:val="20"/>
                        </w:rPr>
                      </w:pPr>
                      <w:r>
                        <w:rPr>
                          <w:sz w:val="20"/>
                        </w:rPr>
                        <w:t>Personnel expenditures</w:t>
                      </w:r>
                    </w:p>
                    <w:p w:rsidR="005063CB" w:rsidRDefault="005063CB" w:rsidP="00696F84">
                      <w:pPr>
                        <w:rPr>
                          <w:sz w:val="20"/>
                        </w:rPr>
                      </w:pPr>
                      <w:r>
                        <w:rPr>
                          <w:sz w:val="20"/>
                        </w:rPr>
                        <w:t>Centralized budget of the administrative-territorial units</w:t>
                      </w:r>
                    </w:p>
                    <w:p w:rsidR="005063CB" w:rsidRDefault="005063CB" w:rsidP="00696F84">
                      <w:pPr>
                        <w:rPr>
                          <w:sz w:val="20"/>
                        </w:rPr>
                      </w:pPr>
                    </w:p>
                    <w:p w:rsidR="005063CB" w:rsidRDefault="005063CB" w:rsidP="00696F84">
                      <w:pPr>
                        <w:pStyle w:val="ListParagraph"/>
                        <w:numPr>
                          <w:ilvl w:val="0"/>
                          <w:numId w:val="240"/>
                        </w:numPr>
                        <w:rPr>
                          <w:sz w:val="20"/>
                        </w:rPr>
                      </w:pPr>
                      <w:r>
                        <w:rPr>
                          <w:sz w:val="20"/>
                        </w:rPr>
                        <w:t>Personnel expenditures</w:t>
                      </w:r>
                    </w:p>
                    <w:p w:rsidR="005063CB" w:rsidRDefault="005063CB" w:rsidP="00696F84">
                      <w:pPr>
                        <w:rPr>
                          <w:sz w:val="20"/>
                        </w:rPr>
                      </w:pPr>
                    </w:p>
                    <w:p w:rsidR="005063CB" w:rsidRDefault="005063CB" w:rsidP="00696F84">
                      <w:pPr>
                        <w:rPr>
                          <w:sz w:val="20"/>
                        </w:rPr>
                      </w:pPr>
                      <w:r>
                        <w:rPr>
                          <w:sz w:val="20"/>
                        </w:rPr>
                        <w:t>Social insurance budget</w:t>
                      </w:r>
                    </w:p>
                    <w:p w:rsidR="005063CB" w:rsidRDefault="005063CB" w:rsidP="00696F84">
                      <w:pPr>
                        <w:pStyle w:val="ListParagraph"/>
                        <w:numPr>
                          <w:ilvl w:val="0"/>
                          <w:numId w:val="240"/>
                        </w:numPr>
                        <w:rPr>
                          <w:sz w:val="20"/>
                        </w:rPr>
                      </w:pPr>
                      <w:r>
                        <w:rPr>
                          <w:sz w:val="20"/>
                        </w:rPr>
                        <w:t>Personnel expenditures</w:t>
                      </w:r>
                    </w:p>
                    <w:p w:rsidR="005063CB" w:rsidRDefault="005063CB" w:rsidP="00696F84">
                      <w:pPr>
                        <w:rPr>
                          <w:sz w:val="20"/>
                        </w:rPr>
                      </w:pPr>
                    </w:p>
                    <w:p w:rsidR="005063CB" w:rsidRDefault="005063CB" w:rsidP="00696F84">
                      <w:pPr>
                        <w:rPr>
                          <w:sz w:val="20"/>
                        </w:rPr>
                      </w:pPr>
                      <w:r>
                        <w:rPr>
                          <w:sz w:val="20"/>
                        </w:rPr>
                        <w:t>Unemployment insurance budget</w:t>
                      </w:r>
                    </w:p>
                    <w:p w:rsidR="005063CB" w:rsidRDefault="005063CB" w:rsidP="00696F84">
                      <w:pPr>
                        <w:pStyle w:val="ListParagraph"/>
                        <w:numPr>
                          <w:ilvl w:val="0"/>
                          <w:numId w:val="240"/>
                        </w:numPr>
                        <w:rPr>
                          <w:sz w:val="20"/>
                        </w:rPr>
                      </w:pPr>
                      <w:r>
                        <w:rPr>
                          <w:sz w:val="20"/>
                        </w:rPr>
                        <w:t>Personnel expenditures</w:t>
                      </w:r>
                    </w:p>
                    <w:p w:rsidR="005063CB" w:rsidRDefault="005063CB" w:rsidP="00696F84">
                      <w:pPr>
                        <w:rPr>
                          <w:sz w:val="20"/>
                        </w:rPr>
                      </w:pPr>
                    </w:p>
                    <w:p w:rsidR="005063CB" w:rsidRDefault="005063CB" w:rsidP="00696F84">
                      <w:pPr>
                        <w:rPr>
                          <w:sz w:val="20"/>
                        </w:rPr>
                      </w:pPr>
                      <w:r>
                        <w:rPr>
                          <w:sz w:val="20"/>
                        </w:rPr>
                        <w:t>Budget of the National single fund of health insurance</w:t>
                      </w:r>
                    </w:p>
                    <w:p w:rsidR="005063CB" w:rsidRDefault="005063CB" w:rsidP="00696F84">
                      <w:pPr>
                        <w:rPr>
                          <w:sz w:val="20"/>
                        </w:rPr>
                      </w:pPr>
                      <w:r>
                        <w:rPr>
                          <w:sz w:val="20"/>
                        </w:rPr>
                        <w:t>-personnel expenditures</w:t>
                      </w:r>
                    </w:p>
                    <w:p w:rsidR="005063CB" w:rsidRDefault="005063CB" w:rsidP="00696F84">
                      <w:pPr>
                        <w:rPr>
                          <w:sz w:val="20"/>
                        </w:rPr>
                      </w:pPr>
                    </w:p>
                    <w:p w:rsidR="005063CB" w:rsidRDefault="005063CB" w:rsidP="00696F84">
                      <w:pPr>
                        <w:rPr>
                          <w:sz w:val="20"/>
                        </w:rPr>
                      </w:pPr>
                      <w:r>
                        <w:rPr>
                          <w:sz w:val="20"/>
                        </w:rPr>
                        <w:t>Budget of the institutions/activities financed from own revenues</w:t>
                      </w:r>
                    </w:p>
                    <w:p w:rsidR="005063CB" w:rsidRDefault="005063CB" w:rsidP="00696F84">
                      <w:pPr>
                        <w:pStyle w:val="ListParagraph"/>
                        <w:numPr>
                          <w:ilvl w:val="0"/>
                          <w:numId w:val="240"/>
                        </w:numPr>
                        <w:rPr>
                          <w:sz w:val="20"/>
                        </w:rPr>
                      </w:pPr>
                      <w:r>
                        <w:rPr>
                          <w:sz w:val="20"/>
                        </w:rPr>
                        <w:t>Personnel expenditures</w:t>
                      </w:r>
                    </w:p>
                    <w:p w:rsidR="005063CB" w:rsidRDefault="005063CB" w:rsidP="00696F84">
                      <w:pPr>
                        <w:rPr>
                          <w:sz w:val="20"/>
                        </w:rPr>
                      </w:pPr>
                      <w:r>
                        <w:rPr>
                          <w:sz w:val="20"/>
                        </w:rPr>
                        <w:t>Other budgets that make up the general consolidated budget</w:t>
                      </w:r>
                    </w:p>
                    <w:p w:rsidR="005063CB" w:rsidRPr="00696F84" w:rsidRDefault="005063CB" w:rsidP="00696F84">
                      <w:pPr>
                        <w:pStyle w:val="ListParagraph"/>
                        <w:numPr>
                          <w:ilvl w:val="0"/>
                          <w:numId w:val="240"/>
                        </w:numPr>
                        <w:rPr>
                          <w:sz w:val="20"/>
                        </w:rPr>
                      </w:pPr>
                      <w:r>
                        <w:rPr>
                          <w:sz w:val="20"/>
                        </w:rPr>
                        <w:t>Personnel expenditures</w:t>
                      </w:r>
                    </w:p>
                  </w:txbxContent>
                </v:textbox>
              </v:rect>
            </w:pict>
          </mc:Fallback>
        </mc:AlternateContent>
      </w:r>
      <w:r>
        <w:rPr>
          <w:rFonts w:ascii="Calibri" w:hAnsi="Calibri"/>
          <w:noProof/>
          <w:lang w:val="ro-RO" w:eastAsia="ro-RO"/>
        </w:rPr>
        <mc:AlternateContent>
          <mc:Choice Requires="wps">
            <w:drawing>
              <wp:anchor distT="0" distB="0" distL="114300" distR="114300" simplePos="0" relativeHeight="251766272" behindDoc="0" locked="0" layoutInCell="1" allowOverlap="1">
                <wp:simplePos x="0" y="0"/>
                <wp:positionH relativeFrom="column">
                  <wp:posOffset>655320</wp:posOffset>
                </wp:positionH>
                <wp:positionV relativeFrom="paragraph">
                  <wp:posOffset>2540</wp:posOffset>
                </wp:positionV>
                <wp:extent cx="4933950" cy="453390"/>
                <wp:effectExtent l="7620" t="12065" r="11430" b="10795"/>
                <wp:wrapNone/>
                <wp:docPr id="340"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0" cy="453390"/>
                        </a:xfrm>
                        <a:prstGeom prst="rect">
                          <a:avLst/>
                        </a:prstGeom>
                        <a:solidFill>
                          <a:srgbClr val="FFFFFF"/>
                        </a:solidFill>
                        <a:ln w="9525">
                          <a:solidFill>
                            <a:srgbClr val="000000"/>
                          </a:solidFill>
                          <a:miter lim="800000"/>
                          <a:headEnd/>
                          <a:tailEnd/>
                        </a:ln>
                      </wps:spPr>
                      <wps:txbx>
                        <w:txbxContent>
                          <w:p w:rsidR="005063CB" w:rsidRPr="00696F84" w:rsidRDefault="005063CB" w:rsidP="00696F84">
                            <w:pPr>
                              <w:jc w:val="center"/>
                              <w:rPr>
                                <w:b/>
                                <w:sz w:val="22"/>
                              </w:rPr>
                            </w:pPr>
                            <w:r w:rsidRPr="00696F84">
                              <w:rPr>
                                <w:b/>
                                <w:sz w:val="22"/>
                              </w:rPr>
                              <w:t>Ceilings*) regarding the personnel expenditures and the total expenditures, exclusive of financial assistance from the EU or other donors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7" o:spid="_x0000_s1412" style="position:absolute;left:0;text-align:left;margin-left:51.6pt;margin-top:.2pt;width:388.5pt;height:35.7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">
                <v:textbox>
                  <w:txbxContent>
                    <w:p w:rsidR="005063CB" w:rsidRPr="00696F84" w:rsidRDefault="005063CB" w:rsidP="00696F84">
                      <w:pPr>
                        <w:jc w:val="center"/>
                        <w:rPr>
                          <w:b/>
                          <w:sz w:val="22"/>
                        </w:rPr>
                      </w:pPr>
                      <w:r w:rsidRPr="00696F84">
                        <w:rPr>
                          <w:b/>
                          <w:sz w:val="22"/>
                        </w:rPr>
                        <w:t>Ceilings*) regarding the personnel expenditures and the total expenditures, exclusive of financial assistance from the EU or other donors</w:t>
                      </w:r>
                    </w:p>
                  </w:txbxContent>
                </v:textbox>
              </v:rect>
            </w:pict>
          </mc:Fallback>
        </mc:AlternateContent>
      </w:r>
      <w:r w:rsidR="00421DF8">
        <w:rPr>
          <w:noProof/>
          <w:lang w:val="ro-RO" w:eastAsia="ro-RO"/>
        </w:rPr>
        <w:drawing>
          <wp:inline distT="0" distB="0" distL="0" distR="0">
            <wp:extent cx="4931305" cy="53111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43873" cy="5324676"/>
                    </a:xfrm>
                    <a:prstGeom prst="rect">
                      <a:avLst/>
                    </a:prstGeom>
                    <a:noFill/>
                    <a:ln>
                      <a:noFill/>
                    </a:ln>
                  </pic:spPr>
                </pic:pic>
              </a:graphicData>
            </a:graphic>
          </wp:inline>
        </w:drawing>
      </w:r>
    </w:p>
    <w:p w:rsidR="00B76232" w:rsidRDefault="00B76232" w:rsidP="006E0AB3">
      <w:pPr>
        <w:jc w:val="center"/>
        <w:rPr>
          <w:lang w:val="ro-RO"/>
        </w:rPr>
      </w:pPr>
    </w:p>
    <w:tbl>
      <w:tblPr>
        <w:tblStyle w:val="TableGrid"/>
        <w:tblW w:w="0" w:type="auto"/>
        <w:tblBorders>
          <w:top w:val="single" w:sz="2" w:space="0" w:color="365F91"/>
          <w:left w:val="single" w:sz="2" w:space="0" w:color="365F91"/>
          <w:bottom w:val="single" w:sz="2" w:space="0" w:color="365F91"/>
          <w:right w:val="single" w:sz="2" w:space="0" w:color="365F91"/>
          <w:insideH w:val="none" w:sz="0" w:space="0" w:color="auto"/>
          <w:insideV w:val="none" w:sz="0" w:space="0" w:color="auto"/>
        </w:tblBorders>
        <w:tblLook w:val="04A0" w:firstRow="1" w:lastRow="0" w:firstColumn="1" w:lastColumn="0" w:noHBand="0" w:noVBand="1"/>
      </w:tblPr>
      <w:tblGrid>
        <w:gridCol w:w="9827"/>
      </w:tblGrid>
      <w:tr w:rsidR="008D03BA" w:rsidRPr="008D03BA" w:rsidTr="008D03BA">
        <w:tc>
          <w:tcPr>
            <w:tcW w:w="9827" w:type="dxa"/>
            <w:shd w:val="clear" w:color="auto" w:fill="365F91"/>
          </w:tcPr>
          <w:p w:rsidR="008D03BA" w:rsidRPr="008D03BA" w:rsidRDefault="008D03BA" w:rsidP="00491BC8">
            <w:pPr>
              <w:rPr>
                <w:b/>
                <w:sz w:val="10"/>
                <w:lang w:val="ro-RO"/>
              </w:rPr>
            </w:pPr>
          </w:p>
          <w:p w:rsidR="008D03BA" w:rsidRPr="008D03BA" w:rsidRDefault="008D03BA" w:rsidP="00491BC8">
            <w:pPr>
              <w:rPr>
                <w:rFonts w:ascii="Calibri" w:hAnsi="Calibri"/>
                <w:b/>
                <w:color w:val="FFFFFF" w:themeColor="background1"/>
              </w:rPr>
            </w:pPr>
            <w:r>
              <w:rPr>
                <w:rFonts w:ascii="Calibri" w:hAnsi="Calibri"/>
                <w:b/>
                <w:color w:val="FFFFFF" w:themeColor="background1"/>
              </w:rPr>
              <w:t>4.11 Possible fiscal and budgetary risks associated with the Fiscal and budgetary strategy for 2019-2021</w:t>
            </w:r>
          </w:p>
          <w:p w:rsidR="008D03BA" w:rsidRPr="008D03BA" w:rsidRDefault="008D03BA" w:rsidP="00491BC8">
            <w:pPr>
              <w:rPr>
                <w:b/>
                <w:sz w:val="6"/>
                <w:lang w:val="ro-RO"/>
              </w:rPr>
            </w:pPr>
          </w:p>
        </w:tc>
      </w:tr>
    </w:tbl>
    <w:p w:rsidR="008D03BA" w:rsidRDefault="008D03BA" w:rsidP="00491BC8">
      <w:pPr>
        <w:rPr>
          <w:lang w:val="ro-RO"/>
        </w:rPr>
      </w:pPr>
    </w:p>
    <w:p w:rsidR="00F05408" w:rsidRPr="00F05408" w:rsidRDefault="00F05408" w:rsidP="00F05408">
      <w:pPr>
        <w:jc w:val="both"/>
        <w:rPr>
          <w:rFonts w:ascii="Calibri" w:hAnsi="Calibri"/>
        </w:rPr>
      </w:pPr>
      <w:r>
        <w:rPr>
          <w:rFonts w:ascii="Calibri" w:hAnsi="Calibri"/>
        </w:rPr>
        <w:t xml:space="preserve">The budget estimates and the economic forecasts which form the basis of elaboration of the </w:t>
      </w:r>
      <w:r>
        <w:rPr>
          <w:rFonts w:ascii="Calibri" w:hAnsi="Calibri"/>
          <w:i/>
          <w:color w:val="365F91"/>
        </w:rPr>
        <w:t>Fiscal and budgetary strategy for 2019-2021</w:t>
      </w:r>
      <w:r>
        <w:rPr>
          <w:rFonts w:ascii="Calibri" w:hAnsi="Calibri"/>
        </w:rPr>
        <w:t xml:space="preserve"> may deviate from the levels from the </w:t>
      </w:r>
      <w:r>
        <w:rPr>
          <w:rFonts w:ascii="Calibri" w:hAnsi="Calibri"/>
          <w:b/>
          <w:color w:val="365F91"/>
        </w:rPr>
        <w:t>basic scenario</w:t>
      </w:r>
      <w:r>
        <w:rPr>
          <w:rFonts w:ascii="Calibri" w:hAnsi="Calibri"/>
        </w:rPr>
        <w:t>, as a result of the possible materialization of numerous risks which might occur both from foreign and domestic sources, with different implications for the evolution of public finance.</w:t>
      </w:r>
    </w:p>
    <w:p w:rsidR="00F05408" w:rsidRPr="00F05408" w:rsidRDefault="00F05408" w:rsidP="00F05408">
      <w:pPr>
        <w:rPr>
          <w:rFonts w:ascii="Calibri" w:hAnsi="Calibri"/>
          <w:sz w:val="16"/>
          <w:lang w:val="ro-RO"/>
        </w:rPr>
      </w:pPr>
    </w:p>
    <w:tbl>
      <w:tblPr>
        <w:tblW w:w="0" w:type="auto"/>
        <w:jc w:val="center"/>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365F91"/>
        <w:tblLook w:val="04A0" w:firstRow="1" w:lastRow="0" w:firstColumn="1" w:lastColumn="0" w:noHBand="0" w:noVBand="1"/>
      </w:tblPr>
      <w:tblGrid>
        <w:gridCol w:w="9904"/>
      </w:tblGrid>
      <w:tr w:rsidR="00F05408" w:rsidRPr="00F05408" w:rsidTr="00DF7226">
        <w:trPr>
          <w:trHeight w:val="510"/>
          <w:jc w:val="center"/>
        </w:trPr>
        <w:tc>
          <w:tcPr>
            <w:tcW w:w="9904" w:type="dxa"/>
            <w:shd w:val="clear" w:color="auto" w:fill="365F91"/>
            <w:vAlign w:val="center"/>
          </w:tcPr>
          <w:p w:rsidR="00F05408" w:rsidRPr="00F05408" w:rsidRDefault="00F05408" w:rsidP="00F05408">
            <w:pPr>
              <w:rPr>
                <w:rFonts w:ascii="Arial Narrow" w:hAnsi="Arial Narrow"/>
                <w:b/>
                <w:i/>
                <w:color w:val="FFFFFF"/>
              </w:rPr>
            </w:pPr>
            <w:r>
              <w:rPr>
                <w:rFonts w:ascii="Arial Narrow" w:hAnsi="Arial Narrow"/>
                <w:b/>
                <w:i/>
                <w:color w:val="FFFFFF"/>
              </w:rPr>
              <w:t>Macroeconomic risks</w:t>
            </w:r>
          </w:p>
        </w:tc>
      </w:tr>
    </w:tbl>
    <w:p w:rsidR="00F05408" w:rsidRPr="00F05408" w:rsidRDefault="00F05408" w:rsidP="00F05408">
      <w:pPr>
        <w:rPr>
          <w:sz w:val="20"/>
          <w:lang w:val="ro-RO"/>
        </w:rPr>
      </w:pPr>
    </w:p>
    <w:tbl>
      <w:tblPr>
        <w:tblW w:w="0" w:type="auto"/>
        <w:jc w:val="center"/>
        <w:tblBorders>
          <w:top w:val="single" w:sz="2" w:space="0" w:color="365F91"/>
          <w:left w:val="single" w:sz="2" w:space="0" w:color="365F91"/>
          <w:bottom w:val="single" w:sz="2" w:space="0" w:color="365F91"/>
          <w:right w:val="single" w:sz="2" w:space="0" w:color="365F91"/>
        </w:tblBorders>
        <w:shd w:val="clear" w:color="auto" w:fill="4F81BD"/>
        <w:tblLook w:val="04A0" w:firstRow="1" w:lastRow="0" w:firstColumn="1" w:lastColumn="0" w:noHBand="0" w:noVBand="1"/>
      </w:tblPr>
      <w:tblGrid>
        <w:gridCol w:w="9904"/>
      </w:tblGrid>
      <w:tr w:rsidR="00F05408" w:rsidRPr="00AC4302" w:rsidTr="00DF7226">
        <w:trPr>
          <w:trHeight w:val="435"/>
          <w:jc w:val="center"/>
        </w:trPr>
        <w:tc>
          <w:tcPr>
            <w:tcW w:w="9904" w:type="dxa"/>
            <w:shd w:val="clear" w:color="auto" w:fill="4F81BD"/>
            <w:vAlign w:val="center"/>
          </w:tcPr>
          <w:p w:rsidR="00F05408" w:rsidRPr="00F05408" w:rsidRDefault="00F05408" w:rsidP="00F05408">
            <w:pPr>
              <w:rPr>
                <w:rFonts w:ascii="Arial Narrow" w:hAnsi="Arial Narrow"/>
                <w:b/>
                <w:i/>
                <w:color w:val="FFFFFF" w:themeColor="background1"/>
              </w:rPr>
            </w:pPr>
            <w:r>
              <w:rPr>
                <w:rFonts w:ascii="Arial Narrow" w:hAnsi="Arial Narrow"/>
                <w:b/>
                <w:i/>
                <w:color w:val="FFFFFF" w:themeColor="background1"/>
              </w:rPr>
              <w:t>Risks associated with the economic perspective for Romania</w:t>
            </w:r>
          </w:p>
        </w:tc>
      </w:tr>
    </w:tbl>
    <w:p w:rsidR="00F05408" w:rsidRPr="00F05408" w:rsidRDefault="00F05408" w:rsidP="00F05408">
      <w:pPr>
        <w:rPr>
          <w:sz w:val="10"/>
          <w:lang w:val="ro-RO"/>
        </w:rPr>
      </w:pPr>
    </w:p>
    <w:p w:rsidR="00F05408" w:rsidRPr="00F05408" w:rsidRDefault="00F05408" w:rsidP="00F05408">
      <w:pPr>
        <w:keepNext/>
        <w:spacing w:before="120"/>
        <w:jc w:val="both"/>
        <w:rPr>
          <w:rFonts w:ascii="Calibri" w:hAnsi="Calibri" w:cs="Calibri"/>
        </w:rPr>
      </w:pPr>
      <w:r>
        <w:rPr>
          <w:rFonts w:ascii="Calibri" w:hAnsi="Calibri"/>
        </w:rPr>
        <w:t xml:space="preserve">The risks which can affect the real economy and implicitly the economic growth objective are mainly of </w:t>
      </w:r>
      <w:r>
        <w:rPr>
          <w:rFonts w:ascii="Calibri" w:hAnsi="Calibri"/>
          <w:b/>
          <w:bCs/>
          <w:color w:val="365F91"/>
        </w:rPr>
        <w:t>external nature</w:t>
      </w:r>
      <w:r>
        <w:rPr>
          <w:rFonts w:ascii="Calibri" w:hAnsi="Calibri"/>
        </w:rPr>
        <w:t>. The Romanian economy, as part of the European economy, depends on the international economic context and especially on the economic growth in the main commercial partner countries.</w:t>
      </w:r>
    </w:p>
    <w:p w:rsidR="00C21188" w:rsidRPr="00C21188" w:rsidRDefault="00F05408" w:rsidP="00C21188">
      <w:r>
        <w:rPr>
          <w:rFonts w:ascii="Calibri" w:hAnsi="Calibri"/>
        </w:rPr>
        <w:t xml:space="preserve">One first risk on medium term is represented by the conditions under which shall be made </w:t>
      </w:r>
      <w:r>
        <w:rPr>
          <w:rFonts w:ascii="Calibri" w:hAnsi="Calibri"/>
          <w:b/>
          <w:bCs/>
          <w:color w:val="365F91"/>
        </w:rPr>
        <w:t>Great Britain's exit from the EU.</w:t>
      </w:r>
      <w:r>
        <w:rPr>
          <w:rFonts w:ascii="Calibri" w:hAnsi="Calibri"/>
        </w:rPr>
        <w:t xml:space="preserve"> </w:t>
      </w:r>
      <w:r w:rsidR="00C21188" w:rsidRPr="00C21188">
        <w:t>The provisions of the draft agreement show that in terms of commercial changes there are no adverse factors, at least until 2022. Thus, the estimates of the European Commission and of the National Commission for Strategy and Prognosis, which indicate a moderate impact of Brexit, assessed at maximum 0.2% of GDP on the whole EU (lower in the case of Romania), might prove in the end to be even lower. Moreover, protection of Romanian workers’ rights in Great Britain, according to the draft agreement, will have a positive effect on the current account of the payment balance.</w:t>
      </w:r>
    </w:p>
    <w:p w:rsidR="00C21188" w:rsidRDefault="00C21188" w:rsidP="00C21188">
      <w:r w:rsidRPr="00C21188">
        <w:t xml:space="preserve">For years 2019 and 2020, it is expected a robust growth of the global economy, slightly slowed compared to years 2017 and 2018, respectively of 3.7% every year, according to the WEO published by the IMF in October 2018 and of 3.5% yearly in the case of the Autumn Forecast of the European Commission. </w:t>
      </w:r>
    </w:p>
    <w:p w:rsidR="00CC05F6" w:rsidRPr="00C21188" w:rsidRDefault="00CC05F6" w:rsidP="00C21188"/>
    <w:p w:rsidR="00C21188" w:rsidRDefault="00C21188" w:rsidP="00C21188">
      <w:r w:rsidRPr="00C21188">
        <w:t xml:space="preserve">Nevertheless, the negative risks related to the world context are growing in the framework of high uncertainty with regard to the United States’ economic and commercial policies. A possible overheating of the American economy might trigger a faster worsening of the monetary policy, with negative impact on emerging markets, determined by the migration of capital flows from these areas towards the USA, attracted by bigger interests. Considering the open nature of the EU's economy, it would also be affected. </w:t>
      </w:r>
    </w:p>
    <w:p w:rsidR="00CC05F6" w:rsidRPr="00C21188" w:rsidRDefault="00CC05F6" w:rsidP="00C21188"/>
    <w:p w:rsidR="00C21188" w:rsidRDefault="00C21188" w:rsidP="00C21188">
      <w:r w:rsidRPr="00C21188">
        <w:t>The deterioration of the current account of the United States might escalate commercial disputes, and this would mainly affect China. Also, uncertainty could be amplified at world level, with an effect on investors’ trust, investments and economic growth.</w:t>
      </w:r>
    </w:p>
    <w:p w:rsidR="00CC05F6" w:rsidRPr="00C21188" w:rsidRDefault="00CC05F6" w:rsidP="00C21188"/>
    <w:p w:rsidR="00C21188" w:rsidRPr="00C21188" w:rsidRDefault="00C21188" w:rsidP="00C21188">
      <w:r w:rsidRPr="00C21188">
        <w:t>At the domestic level, risks are generally positive.</w:t>
      </w:r>
    </w:p>
    <w:p w:rsidR="00C21188" w:rsidRPr="00C21188" w:rsidRDefault="00C21188" w:rsidP="00C21188">
      <w:r w:rsidRPr="00C21188">
        <w:t xml:space="preserve">Also, the recovery of demand on the real estate market, on the housing segment, might trigger a relaunch of constructions activity. </w:t>
      </w:r>
    </w:p>
    <w:p w:rsidR="00C21188" w:rsidRPr="00C21188" w:rsidRDefault="00C21188" w:rsidP="00C21188"/>
    <w:p w:rsidR="00C21188" w:rsidRDefault="00C21188" w:rsidP="00C21188">
      <w:r w:rsidRPr="00C21188">
        <w:t xml:space="preserve">Domestic risks associated with the evolution of inflation are given by the occurrence of unfavorable meteorological conditions with an effect on the prices of agro-food products, in the framework in which the forecast considers the normal agricultural years and the consequences of the African swine fever. At the same time, international events which amplify geopolitical tensions might lead to a depreciation of the exchange rate. These risks may lead to inflation rates over the forecasted level.  </w:t>
      </w:r>
    </w:p>
    <w:p w:rsidR="00CC05F6" w:rsidRDefault="00CC05F6" w:rsidP="00C21188"/>
    <w:p w:rsidR="00CC05F6" w:rsidRPr="00C21188" w:rsidRDefault="00CC05F6" w:rsidP="00C21188"/>
    <w:p w:rsidR="00C21188" w:rsidRPr="00C21188" w:rsidRDefault="00DF768F" w:rsidP="00C21188">
      <w:r>
        <w:rPr>
          <w:noProof/>
          <w:lang w:val="ro-RO" w:eastAsia="ro-RO"/>
        </w:rPr>
        <mc:AlternateContent>
          <mc:Choice Requires="wps">
            <w:drawing>
              <wp:anchor distT="0" distB="0" distL="114300" distR="114300" simplePos="0" relativeHeight="251769344" behindDoc="0" locked="0" layoutInCell="1" allowOverlap="1">
                <wp:simplePos x="0" y="0"/>
                <wp:positionH relativeFrom="column">
                  <wp:posOffset>12700</wp:posOffset>
                </wp:positionH>
                <wp:positionV relativeFrom="paragraph">
                  <wp:posOffset>40640</wp:posOffset>
                </wp:positionV>
                <wp:extent cx="6581775" cy="2002155"/>
                <wp:effectExtent l="12700" t="12065" r="6350" b="5080"/>
                <wp:wrapNone/>
                <wp:docPr id="339"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2002155"/>
                        </a:xfrm>
                        <a:prstGeom prst="rect">
                          <a:avLst/>
                        </a:prstGeom>
                        <a:solidFill>
                          <a:srgbClr val="FFFFFF"/>
                        </a:solidFill>
                        <a:ln w="9525">
                          <a:solidFill>
                            <a:srgbClr val="000000"/>
                          </a:solidFill>
                          <a:miter lim="800000"/>
                          <a:headEnd/>
                          <a:tailEnd/>
                        </a:ln>
                      </wps:spPr>
                      <wps:txbx>
                        <w:txbxContent>
                          <w:p w:rsidR="005063CB" w:rsidRPr="00C55654" w:rsidRDefault="005063CB">
                            <w:pPr>
                              <w:rPr>
                                <w:i/>
                              </w:rPr>
                            </w:pPr>
                            <w:r w:rsidRPr="00C55654">
                              <w:rPr>
                                <w:i/>
                              </w:rPr>
                              <w:t>Sensitivity of budget forecasts to the variation of key macroeconomic variables</w:t>
                            </w:r>
                          </w:p>
                          <w:p w:rsidR="005063CB" w:rsidRPr="00C55654" w:rsidRDefault="005063CB">
                            <w:pPr>
                              <w:rPr>
                                <w:i/>
                              </w:rPr>
                            </w:pPr>
                          </w:p>
                          <w:p w:rsidR="005063CB" w:rsidRPr="00C55654" w:rsidRDefault="005063CB">
                            <w:pPr>
                              <w:rPr>
                                <w:i/>
                              </w:rPr>
                            </w:pPr>
                            <w:r w:rsidRPr="00C55654">
                              <w:rPr>
                                <w:i/>
                              </w:rPr>
                              <w:t>Sensitivity of Government revenues for different scenarios and hypotheses</w:t>
                            </w:r>
                          </w:p>
                          <w:p w:rsidR="005063CB" w:rsidRDefault="005063CB"/>
                          <w:p w:rsidR="005063CB" w:rsidRDefault="005063CB">
                            <w:r>
                              <w:t>Given that collections from taxes and charges are closely correlated with the evolution of the employment rate in the economy, of average earnings and of economic growth, the table below presents the impact on the budget revenues of the variation of economic variables considered independent, based on year 2017.</w:t>
                            </w:r>
                          </w:p>
                          <w:p w:rsidR="005063CB" w:rsidRDefault="005063CB">
                            <w:r>
                              <w:t>Compared to the basic scenario, the highest risk in case of reduction of the economic indicators is associated with the collections from value-added tax and the social insurance contributions.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0" o:spid="_x0000_s1413" style="position:absolute;margin-left:1pt;margin-top:3.2pt;width:518.25pt;height:157.6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">
                <v:textbox>
                  <w:txbxContent>
                    <w:p w:rsidR="005063CB" w:rsidRPr="00C55654" w:rsidRDefault="005063CB">
                      <w:pPr>
                        <w:rPr>
                          <w:i/>
                        </w:rPr>
                      </w:pPr>
                      <w:r w:rsidRPr="00C55654">
                        <w:rPr>
                          <w:i/>
                        </w:rPr>
                        <w:t>Sensitivity of budget forecasts to the variation of key macroeconomic variables</w:t>
                      </w:r>
                    </w:p>
                    <w:p w:rsidR="005063CB" w:rsidRPr="00C55654" w:rsidRDefault="005063CB">
                      <w:pPr>
                        <w:rPr>
                          <w:i/>
                        </w:rPr>
                      </w:pPr>
                    </w:p>
                    <w:p w:rsidR="005063CB" w:rsidRPr="00C55654" w:rsidRDefault="005063CB">
                      <w:pPr>
                        <w:rPr>
                          <w:i/>
                        </w:rPr>
                      </w:pPr>
                      <w:r w:rsidRPr="00C55654">
                        <w:rPr>
                          <w:i/>
                        </w:rPr>
                        <w:t>Sensitivity of Government revenues for different scenarios and hypotheses</w:t>
                      </w:r>
                    </w:p>
                    <w:p w:rsidR="005063CB" w:rsidRDefault="005063CB"/>
                    <w:p w:rsidR="005063CB" w:rsidRDefault="005063CB">
                      <w:r>
                        <w:t>Given that collections from taxes and charges are closely correlated with the evolution of the employment rate in the economy, of average earnings and of economic growth, the table below presents the impact on the budget revenues of the variation of economic variables considered independent, based on year 2017.</w:t>
                      </w:r>
                    </w:p>
                    <w:p w:rsidR="005063CB" w:rsidRDefault="005063CB">
                      <w:r>
                        <w:t>Compared to the basic scenario, the highest risk in case of reduction of the economic indicators is associated with the collections from value-added tax and the social insurance contributions.</w:t>
                      </w:r>
                    </w:p>
                  </w:txbxContent>
                </v:textbox>
              </v:rect>
            </w:pict>
          </mc:Fallback>
        </mc:AlternateContent>
      </w:r>
      <w:r w:rsidR="00C21188" w:rsidRPr="00C21188">
        <w:rPr>
          <w:noProof/>
          <w:lang w:val="ro-RO" w:eastAsia="ro-RO"/>
        </w:rPr>
        <w:drawing>
          <wp:inline distT="0" distB="0" distL="0" distR="0" wp14:anchorId="01D1897D" wp14:editId="5E942666">
            <wp:extent cx="6246495" cy="198310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itlu senzitivitate.jpg"/>
                    <pic:cNvPicPr/>
                  </pic:nvPicPr>
                  <pic:blipFill>
                    <a:blip r:embed="rId49">
                      <a:extLst>
                        <a:ext uri="{28A0092B-C50C-407E-A947-70E740481C1C}">
                          <a14:useLocalDpi xmlns:a14="http://schemas.microsoft.com/office/drawing/2010/main" val="0"/>
                        </a:ext>
                      </a:extLst>
                    </a:blip>
                    <a:stretch>
                      <a:fillRect/>
                    </a:stretch>
                  </pic:blipFill>
                  <pic:spPr>
                    <a:xfrm>
                      <a:off x="0" y="0"/>
                      <a:ext cx="6246495" cy="1983105"/>
                    </a:xfrm>
                    <a:prstGeom prst="rect">
                      <a:avLst/>
                    </a:prstGeom>
                  </pic:spPr>
                </pic:pic>
              </a:graphicData>
            </a:graphic>
          </wp:inline>
        </w:drawing>
      </w:r>
    </w:p>
    <w:p w:rsidR="00C21188" w:rsidRDefault="00C21188" w:rsidP="00C21188"/>
    <w:p w:rsidR="00CC05F6" w:rsidRDefault="00CC05F6" w:rsidP="00C21188"/>
    <w:p w:rsidR="00CC05F6" w:rsidRDefault="00CC05F6" w:rsidP="00C21188"/>
    <w:p w:rsidR="00CC05F6" w:rsidRDefault="00CC05F6" w:rsidP="00C21188"/>
    <w:p w:rsidR="00CC05F6" w:rsidRDefault="00CC05F6" w:rsidP="00C21188"/>
    <w:p w:rsidR="00CC05F6" w:rsidRDefault="00CC05F6" w:rsidP="00C21188"/>
    <w:p w:rsidR="00CC05F6" w:rsidRPr="00C21188" w:rsidRDefault="00CC05F6" w:rsidP="00C21188"/>
    <w:p w:rsidR="00CC05F6" w:rsidRDefault="00CC05F6" w:rsidP="00C21188">
      <w:bookmarkStart w:id="6" w:name="_Toc512340247"/>
      <w:bookmarkStart w:id="7" w:name="_Toc512586765"/>
    </w:p>
    <w:p w:rsidR="00C21188" w:rsidRPr="00C21188" w:rsidRDefault="00C21188" w:rsidP="00C21188">
      <w:r w:rsidRPr="00C21188">
        <w:t>Table - Sensitivity of the budget forecasts for different scenarios and assumptions</w:t>
      </w:r>
      <w:bookmarkEnd w:id="6"/>
      <w:bookmarkEnd w:id="7"/>
    </w:p>
    <w:p w:rsidR="00C21188" w:rsidRPr="00C21188" w:rsidRDefault="00C21188" w:rsidP="00C21188"/>
    <w:tbl>
      <w:tblPr>
        <w:tblStyle w:val="TableGrid"/>
        <w:tblW w:w="9639" w:type="dxa"/>
        <w:jc w:val="center"/>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7"/>
        <w:gridCol w:w="2110"/>
        <w:gridCol w:w="2126"/>
        <w:gridCol w:w="1984"/>
      </w:tblGrid>
      <w:tr w:rsidR="00C21188" w:rsidRPr="00C21188" w:rsidTr="00C21188">
        <w:trPr>
          <w:trHeight w:val="795"/>
          <w:jc w:val="center"/>
        </w:trPr>
        <w:tc>
          <w:tcPr>
            <w:tcW w:w="3419" w:type="dxa"/>
            <w:gridSpan w:val="2"/>
            <w:tcBorders>
              <w:top w:val="single" w:sz="2" w:space="0" w:color="365F91"/>
              <w:bottom w:val="nil"/>
            </w:tcBorders>
            <w:shd w:val="clear" w:color="auto" w:fill="365F91"/>
          </w:tcPr>
          <w:p w:rsidR="00C21188" w:rsidRPr="00C21188" w:rsidRDefault="00C21188" w:rsidP="00C21188">
            <w:r w:rsidRPr="00C21188">
              <w:t xml:space="preserve">Category of taxes and charges </w:t>
            </w:r>
          </w:p>
        </w:tc>
        <w:tc>
          <w:tcPr>
            <w:tcW w:w="2110" w:type="dxa"/>
            <w:tcBorders>
              <w:top w:val="single" w:sz="2" w:space="0" w:color="365F91"/>
              <w:bottom w:val="nil"/>
            </w:tcBorders>
            <w:shd w:val="clear" w:color="auto" w:fill="365F91"/>
          </w:tcPr>
          <w:p w:rsidR="00C21188" w:rsidRPr="00C21188" w:rsidRDefault="00C21188" w:rsidP="00C21188">
            <w:r w:rsidRPr="00C21188">
              <w:t>Macroeconomic base</w:t>
            </w:r>
          </w:p>
        </w:tc>
        <w:tc>
          <w:tcPr>
            <w:tcW w:w="2126" w:type="dxa"/>
            <w:tcBorders>
              <w:top w:val="single" w:sz="2" w:space="0" w:color="365F91"/>
              <w:bottom w:val="nil"/>
            </w:tcBorders>
            <w:shd w:val="clear" w:color="auto" w:fill="365F91"/>
          </w:tcPr>
          <w:p w:rsidR="00C21188" w:rsidRPr="00C21188" w:rsidRDefault="00C21188" w:rsidP="00C21188">
            <w:r w:rsidRPr="00C21188">
              <w:t>Changes of the macroeconomic base (percentage points)</w:t>
            </w:r>
          </w:p>
        </w:tc>
        <w:tc>
          <w:tcPr>
            <w:tcW w:w="1984" w:type="dxa"/>
            <w:tcBorders>
              <w:top w:val="single" w:sz="2" w:space="0" w:color="365F91"/>
              <w:bottom w:val="nil"/>
            </w:tcBorders>
            <w:shd w:val="clear" w:color="auto" w:fill="365F91"/>
          </w:tcPr>
          <w:p w:rsidR="00C21188" w:rsidRPr="00C21188" w:rsidRDefault="00C21188" w:rsidP="00C21188">
            <w:r w:rsidRPr="00C21188">
              <w:t>Changes of the revenues (% of GDP) 2018</w:t>
            </w:r>
          </w:p>
        </w:tc>
      </w:tr>
      <w:tr w:rsidR="00C21188" w:rsidRPr="00C21188" w:rsidTr="00C21188">
        <w:trPr>
          <w:jc w:val="center"/>
        </w:trPr>
        <w:tc>
          <w:tcPr>
            <w:tcW w:w="3402" w:type="dxa"/>
            <w:vMerge w:val="restart"/>
            <w:tcBorders>
              <w:top w:val="nil"/>
              <w:bottom w:val="single" w:sz="2" w:space="0" w:color="365F91"/>
            </w:tcBorders>
            <w:vAlign w:val="center"/>
          </w:tcPr>
          <w:p w:rsidR="00C21188" w:rsidRPr="00C21188" w:rsidRDefault="00C21188" w:rsidP="00C21188">
            <w:pPr>
              <w:rPr>
                <w:rFonts w:eastAsia="Calibri"/>
              </w:rPr>
            </w:pPr>
            <w:r w:rsidRPr="00C21188">
              <w:t xml:space="preserve">Personal income tax </w:t>
            </w:r>
          </w:p>
        </w:tc>
        <w:tc>
          <w:tcPr>
            <w:tcW w:w="2127" w:type="dxa"/>
            <w:gridSpan w:val="2"/>
            <w:tcBorders>
              <w:top w:val="nil"/>
              <w:bottom w:val="single" w:sz="2" w:space="0" w:color="365F91"/>
            </w:tcBorders>
            <w:vAlign w:val="center"/>
          </w:tcPr>
          <w:p w:rsidR="00C21188" w:rsidRPr="00C21188" w:rsidRDefault="00C21188" w:rsidP="00C21188">
            <w:r w:rsidRPr="00C21188">
              <w:t>Gross average salary</w:t>
            </w:r>
          </w:p>
        </w:tc>
        <w:tc>
          <w:tcPr>
            <w:tcW w:w="2126" w:type="dxa"/>
            <w:tcBorders>
              <w:top w:val="nil"/>
              <w:bottom w:val="single" w:sz="2" w:space="0" w:color="365F91"/>
            </w:tcBorders>
            <w:vAlign w:val="center"/>
          </w:tcPr>
          <w:p w:rsidR="00C21188" w:rsidRPr="00C21188" w:rsidRDefault="00C21188" w:rsidP="00C21188">
            <w:r w:rsidRPr="00C21188">
              <w:t>Reduced by 1 p.p.</w:t>
            </w:r>
          </w:p>
        </w:tc>
        <w:tc>
          <w:tcPr>
            <w:tcW w:w="1984" w:type="dxa"/>
            <w:tcBorders>
              <w:top w:val="nil"/>
              <w:bottom w:val="single" w:sz="2" w:space="0" w:color="365F91"/>
            </w:tcBorders>
            <w:vAlign w:val="center"/>
          </w:tcPr>
          <w:p w:rsidR="00C21188" w:rsidRPr="00C21188" w:rsidRDefault="00C21188" w:rsidP="00C21188">
            <w:r w:rsidRPr="00C21188">
              <w:t>-0.034</w:t>
            </w:r>
          </w:p>
        </w:tc>
      </w:tr>
      <w:tr w:rsidR="00C21188" w:rsidRPr="00C21188" w:rsidTr="00C21188">
        <w:trPr>
          <w:jc w:val="center"/>
        </w:trPr>
        <w:tc>
          <w:tcPr>
            <w:tcW w:w="3402" w:type="dxa"/>
            <w:vMerge/>
            <w:tcBorders>
              <w:top w:val="single" w:sz="2" w:space="0" w:color="365F91"/>
              <w:bottom w:val="single" w:sz="2" w:space="0" w:color="365F91"/>
            </w:tcBorders>
            <w:vAlign w:val="center"/>
          </w:tcPr>
          <w:p w:rsidR="00C21188" w:rsidRPr="00C21188" w:rsidRDefault="00C21188" w:rsidP="00C21188">
            <w:pPr>
              <w:rPr>
                <w:rFonts w:eastAsia="Calibri"/>
              </w:rPr>
            </w:pPr>
          </w:p>
        </w:tc>
        <w:tc>
          <w:tcPr>
            <w:tcW w:w="2127" w:type="dxa"/>
            <w:gridSpan w:val="2"/>
            <w:tcBorders>
              <w:top w:val="single" w:sz="2" w:space="0" w:color="365F91"/>
              <w:bottom w:val="single" w:sz="2" w:space="0" w:color="365F91"/>
            </w:tcBorders>
            <w:vAlign w:val="center"/>
          </w:tcPr>
          <w:p w:rsidR="00C21188" w:rsidRPr="00C21188" w:rsidRDefault="00C21188" w:rsidP="00C21188">
            <w:r w:rsidRPr="00C21188">
              <w:t>Employment level</w:t>
            </w:r>
          </w:p>
        </w:tc>
        <w:tc>
          <w:tcPr>
            <w:tcW w:w="2126" w:type="dxa"/>
            <w:tcBorders>
              <w:top w:val="single" w:sz="2" w:space="0" w:color="365F91"/>
              <w:bottom w:val="single" w:sz="2" w:space="0" w:color="365F91"/>
            </w:tcBorders>
            <w:vAlign w:val="center"/>
          </w:tcPr>
          <w:p w:rsidR="00C21188" w:rsidRPr="00C21188" w:rsidRDefault="00C21188" w:rsidP="00C21188">
            <w:r w:rsidRPr="00C21188">
              <w:t>Reduced by 1 p.p.</w:t>
            </w:r>
          </w:p>
        </w:tc>
        <w:tc>
          <w:tcPr>
            <w:tcW w:w="1984" w:type="dxa"/>
            <w:tcBorders>
              <w:top w:val="single" w:sz="2" w:space="0" w:color="365F91"/>
              <w:bottom w:val="single" w:sz="2" w:space="0" w:color="365F91"/>
            </w:tcBorders>
            <w:vAlign w:val="center"/>
          </w:tcPr>
          <w:p w:rsidR="00C21188" w:rsidRPr="00C21188" w:rsidRDefault="00C21188" w:rsidP="00C21188">
            <w:r w:rsidRPr="00C21188">
              <w:t>-0.029</w:t>
            </w:r>
          </w:p>
        </w:tc>
      </w:tr>
      <w:tr w:rsidR="00C21188" w:rsidRPr="00C21188" w:rsidTr="00C21188">
        <w:trPr>
          <w:trHeight w:val="399"/>
          <w:jc w:val="center"/>
        </w:trPr>
        <w:tc>
          <w:tcPr>
            <w:tcW w:w="3402" w:type="dxa"/>
            <w:vMerge w:val="restart"/>
            <w:tcBorders>
              <w:top w:val="single" w:sz="2" w:space="0" w:color="365F91"/>
              <w:bottom w:val="single" w:sz="2" w:space="0" w:color="365F91"/>
            </w:tcBorders>
            <w:vAlign w:val="center"/>
          </w:tcPr>
          <w:p w:rsidR="00C21188" w:rsidRPr="00C21188" w:rsidRDefault="00C21188" w:rsidP="00C21188">
            <w:r w:rsidRPr="00C21188">
              <w:t>2.   Social insurance contributions</w:t>
            </w:r>
          </w:p>
        </w:tc>
        <w:tc>
          <w:tcPr>
            <w:tcW w:w="2127" w:type="dxa"/>
            <w:gridSpan w:val="2"/>
            <w:tcBorders>
              <w:top w:val="single" w:sz="2" w:space="0" w:color="365F91"/>
              <w:bottom w:val="single" w:sz="2" w:space="0" w:color="365F91"/>
            </w:tcBorders>
            <w:vAlign w:val="center"/>
          </w:tcPr>
          <w:p w:rsidR="00C21188" w:rsidRPr="00C21188" w:rsidRDefault="00C21188" w:rsidP="00C21188">
            <w:r w:rsidRPr="00C21188">
              <w:t>Gross average salary</w:t>
            </w:r>
          </w:p>
        </w:tc>
        <w:tc>
          <w:tcPr>
            <w:tcW w:w="2126" w:type="dxa"/>
            <w:tcBorders>
              <w:top w:val="single" w:sz="2" w:space="0" w:color="365F91"/>
              <w:bottom w:val="single" w:sz="2" w:space="0" w:color="365F91"/>
            </w:tcBorders>
            <w:vAlign w:val="center"/>
          </w:tcPr>
          <w:p w:rsidR="00C21188" w:rsidRPr="00C21188" w:rsidRDefault="00C21188" w:rsidP="00C21188">
            <w:r w:rsidRPr="00C21188">
              <w:t>Reduced by 1 p.p.</w:t>
            </w:r>
          </w:p>
        </w:tc>
        <w:tc>
          <w:tcPr>
            <w:tcW w:w="1984" w:type="dxa"/>
            <w:tcBorders>
              <w:top w:val="single" w:sz="2" w:space="0" w:color="365F91"/>
              <w:bottom w:val="single" w:sz="2" w:space="0" w:color="365F91"/>
            </w:tcBorders>
            <w:vAlign w:val="center"/>
          </w:tcPr>
          <w:p w:rsidR="00C21188" w:rsidRPr="00C21188" w:rsidRDefault="00C21188" w:rsidP="00C21188">
            <w:r w:rsidRPr="00C21188">
              <w:t>-0.081</w:t>
            </w:r>
          </w:p>
        </w:tc>
      </w:tr>
      <w:tr w:rsidR="00C21188" w:rsidRPr="00C21188" w:rsidTr="00C21188">
        <w:trPr>
          <w:trHeight w:val="159"/>
          <w:jc w:val="center"/>
        </w:trPr>
        <w:tc>
          <w:tcPr>
            <w:tcW w:w="3402" w:type="dxa"/>
            <w:vMerge/>
            <w:tcBorders>
              <w:top w:val="single" w:sz="2" w:space="0" w:color="365F91"/>
              <w:bottom w:val="single" w:sz="2" w:space="0" w:color="365F91"/>
            </w:tcBorders>
            <w:vAlign w:val="center"/>
          </w:tcPr>
          <w:p w:rsidR="00C21188" w:rsidRPr="00C21188" w:rsidRDefault="00C21188" w:rsidP="00C21188">
            <w:pPr>
              <w:rPr>
                <w:rFonts w:eastAsia="Calibri"/>
              </w:rPr>
            </w:pPr>
          </w:p>
        </w:tc>
        <w:tc>
          <w:tcPr>
            <w:tcW w:w="2127" w:type="dxa"/>
            <w:gridSpan w:val="2"/>
            <w:tcBorders>
              <w:top w:val="single" w:sz="2" w:space="0" w:color="365F91"/>
              <w:bottom w:val="single" w:sz="2" w:space="0" w:color="365F91"/>
            </w:tcBorders>
            <w:vAlign w:val="center"/>
          </w:tcPr>
          <w:p w:rsidR="00C21188" w:rsidRPr="00C21188" w:rsidRDefault="00C21188" w:rsidP="00C21188">
            <w:r w:rsidRPr="00C21188">
              <w:t>Employment level</w:t>
            </w:r>
          </w:p>
        </w:tc>
        <w:tc>
          <w:tcPr>
            <w:tcW w:w="2126" w:type="dxa"/>
            <w:tcBorders>
              <w:top w:val="single" w:sz="2" w:space="0" w:color="365F91"/>
              <w:bottom w:val="single" w:sz="2" w:space="0" w:color="365F91"/>
            </w:tcBorders>
            <w:vAlign w:val="center"/>
          </w:tcPr>
          <w:p w:rsidR="00C21188" w:rsidRPr="00C21188" w:rsidRDefault="00C21188" w:rsidP="00C21188">
            <w:r w:rsidRPr="00C21188">
              <w:t>Reduced by 1 p.p.</w:t>
            </w:r>
          </w:p>
        </w:tc>
        <w:tc>
          <w:tcPr>
            <w:tcW w:w="1984" w:type="dxa"/>
            <w:tcBorders>
              <w:top w:val="single" w:sz="2" w:space="0" w:color="365F91"/>
              <w:bottom w:val="single" w:sz="2" w:space="0" w:color="365F91"/>
            </w:tcBorders>
            <w:vAlign w:val="center"/>
          </w:tcPr>
          <w:p w:rsidR="00C21188" w:rsidRPr="00C21188" w:rsidRDefault="00C21188" w:rsidP="00C21188">
            <w:r w:rsidRPr="00C21188">
              <w:t xml:space="preserve">    -0.083</w:t>
            </w:r>
          </w:p>
        </w:tc>
      </w:tr>
      <w:tr w:rsidR="00C21188" w:rsidRPr="00C21188" w:rsidTr="00C21188">
        <w:trPr>
          <w:jc w:val="center"/>
        </w:trPr>
        <w:tc>
          <w:tcPr>
            <w:tcW w:w="3402" w:type="dxa"/>
            <w:tcBorders>
              <w:top w:val="single" w:sz="2" w:space="0" w:color="365F91"/>
              <w:bottom w:val="single" w:sz="2" w:space="0" w:color="365F91"/>
            </w:tcBorders>
            <w:vAlign w:val="center"/>
          </w:tcPr>
          <w:p w:rsidR="00C21188" w:rsidRPr="00C21188" w:rsidRDefault="00C21188" w:rsidP="00C21188">
            <w:pPr>
              <w:rPr>
                <w:rFonts w:eastAsia="Calibri"/>
              </w:rPr>
            </w:pPr>
            <w:r w:rsidRPr="00C21188">
              <w:t>3.   Corporate income tax</w:t>
            </w:r>
          </w:p>
        </w:tc>
        <w:tc>
          <w:tcPr>
            <w:tcW w:w="2127" w:type="dxa"/>
            <w:gridSpan w:val="2"/>
            <w:tcBorders>
              <w:top w:val="single" w:sz="2" w:space="0" w:color="365F91"/>
              <w:bottom w:val="single" w:sz="2" w:space="0" w:color="365F91"/>
            </w:tcBorders>
            <w:vAlign w:val="center"/>
          </w:tcPr>
          <w:p w:rsidR="00C21188" w:rsidRPr="00C21188" w:rsidRDefault="00C21188" w:rsidP="00C21188">
            <w:r w:rsidRPr="00C21188">
              <w:t>GDP</w:t>
            </w:r>
          </w:p>
        </w:tc>
        <w:tc>
          <w:tcPr>
            <w:tcW w:w="2126" w:type="dxa"/>
            <w:tcBorders>
              <w:top w:val="single" w:sz="2" w:space="0" w:color="365F91"/>
              <w:bottom w:val="single" w:sz="2" w:space="0" w:color="365F91"/>
            </w:tcBorders>
            <w:vAlign w:val="center"/>
          </w:tcPr>
          <w:p w:rsidR="00C21188" w:rsidRPr="00C21188" w:rsidRDefault="00C21188" w:rsidP="00C21188">
            <w:r w:rsidRPr="00C21188">
              <w:t>Reduced by 1 p.p.</w:t>
            </w:r>
          </w:p>
        </w:tc>
        <w:tc>
          <w:tcPr>
            <w:tcW w:w="1984" w:type="dxa"/>
            <w:tcBorders>
              <w:top w:val="single" w:sz="2" w:space="0" w:color="365F91"/>
              <w:bottom w:val="single" w:sz="2" w:space="0" w:color="365F91"/>
            </w:tcBorders>
            <w:vAlign w:val="center"/>
          </w:tcPr>
          <w:p w:rsidR="00C21188" w:rsidRPr="00C21188" w:rsidRDefault="00C21188" w:rsidP="00C21188">
            <w:r w:rsidRPr="00C21188">
              <w:t>-0.022</w:t>
            </w:r>
          </w:p>
        </w:tc>
      </w:tr>
      <w:tr w:rsidR="00C21188" w:rsidRPr="00C21188" w:rsidTr="00C21188">
        <w:trPr>
          <w:jc w:val="center"/>
        </w:trPr>
        <w:tc>
          <w:tcPr>
            <w:tcW w:w="3402" w:type="dxa"/>
            <w:tcBorders>
              <w:top w:val="single" w:sz="2" w:space="0" w:color="365F91"/>
              <w:bottom w:val="single" w:sz="2" w:space="0" w:color="365F91"/>
            </w:tcBorders>
            <w:vAlign w:val="center"/>
          </w:tcPr>
          <w:p w:rsidR="00C21188" w:rsidRPr="00C21188" w:rsidRDefault="00C21188" w:rsidP="00C21188">
            <w:pPr>
              <w:rPr>
                <w:rFonts w:eastAsia="Calibri"/>
              </w:rPr>
            </w:pPr>
            <w:r w:rsidRPr="00C21188">
              <w:t>4.  Value-added tax</w:t>
            </w:r>
          </w:p>
        </w:tc>
        <w:tc>
          <w:tcPr>
            <w:tcW w:w="2127" w:type="dxa"/>
            <w:gridSpan w:val="2"/>
            <w:tcBorders>
              <w:top w:val="single" w:sz="2" w:space="0" w:color="365F91"/>
              <w:bottom w:val="single" w:sz="2" w:space="0" w:color="365F91"/>
            </w:tcBorders>
            <w:vAlign w:val="center"/>
          </w:tcPr>
          <w:p w:rsidR="00C21188" w:rsidRPr="00C21188" w:rsidRDefault="00C21188" w:rsidP="00C21188">
            <w:r w:rsidRPr="00C21188">
              <w:t>GDP</w:t>
            </w:r>
          </w:p>
        </w:tc>
        <w:tc>
          <w:tcPr>
            <w:tcW w:w="2126" w:type="dxa"/>
            <w:tcBorders>
              <w:top w:val="single" w:sz="2" w:space="0" w:color="365F91"/>
              <w:bottom w:val="single" w:sz="2" w:space="0" w:color="365F91"/>
            </w:tcBorders>
            <w:vAlign w:val="center"/>
          </w:tcPr>
          <w:p w:rsidR="00C21188" w:rsidRPr="00C21188" w:rsidRDefault="00C21188" w:rsidP="00C21188">
            <w:r w:rsidRPr="00C21188">
              <w:t>Reduced by 1 p.p.</w:t>
            </w:r>
          </w:p>
        </w:tc>
        <w:tc>
          <w:tcPr>
            <w:tcW w:w="1984" w:type="dxa"/>
            <w:tcBorders>
              <w:top w:val="single" w:sz="2" w:space="0" w:color="365F91"/>
              <w:bottom w:val="single" w:sz="2" w:space="0" w:color="365F91"/>
            </w:tcBorders>
            <w:vAlign w:val="center"/>
          </w:tcPr>
          <w:p w:rsidR="00C21188" w:rsidRPr="00C21188" w:rsidRDefault="00C21188" w:rsidP="00C21188">
            <w:r w:rsidRPr="00C21188">
              <w:t>-0.096</w:t>
            </w:r>
          </w:p>
        </w:tc>
      </w:tr>
    </w:tbl>
    <w:p w:rsidR="00C21188" w:rsidRPr="00C21188" w:rsidRDefault="00C21188" w:rsidP="00C21188">
      <w:r w:rsidRPr="00C21188">
        <w:t xml:space="preserve">     Source: MPF</w:t>
      </w:r>
    </w:p>
    <w:p w:rsidR="00C21188" w:rsidRPr="00C21188" w:rsidRDefault="00C21188" w:rsidP="00C21188"/>
    <w:tbl>
      <w:tblPr>
        <w:tblW w:w="0" w:type="auto"/>
        <w:tblBorders>
          <w:top w:val="single" w:sz="2" w:space="0" w:color="365F91"/>
          <w:left w:val="single" w:sz="2" w:space="0" w:color="365F91"/>
          <w:bottom w:val="single" w:sz="2" w:space="0" w:color="365F91"/>
          <w:right w:val="single" w:sz="2" w:space="0" w:color="365F91"/>
        </w:tblBorders>
        <w:tblLook w:val="04A0" w:firstRow="1" w:lastRow="0" w:firstColumn="1" w:lastColumn="0" w:noHBand="0" w:noVBand="1"/>
      </w:tblPr>
      <w:tblGrid>
        <w:gridCol w:w="9831"/>
      </w:tblGrid>
      <w:tr w:rsidR="00C21188" w:rsidRPr="00C21188" w:rsidTr="00C21188">
        <w:trPr>
          <w:trHeight w:val="567"/>
        </w:trPr>
        <w:tc>
          <w:tcPr>
            <w:tcW w:w="9831" w:type="dxa"/>
            <w:shd w:val="clear" w:color="auto" w:fill="DBE5F1"/>
          </w:tcPr>
          <w:p w:rsidR="00C21188" w:rsidRPr="00C21188" w:rsidRDefault="00C21188" w:rsidP="00C21188"/>
          <w:p w:rsidR="00C21188" w:rsidRPr="00C21188" w:rsidRDefault="00C21188" w:rsidP="00C21188">
            <w:r w:rsidRPr="00C21188">
              <w:t xml:space="preserve"> Sensitivity of gross Government debt and interest payments compared to the changes of macroeconomic variables</w:t>
            </w:r>
          </w:p>
          <w:p w:rsidR="00C21188" w:rsidRPr="00C21188" w:rsidRDefault="00C21188" w:rsidP="00C21188"/>
        </w:tc>
      </w:tr>
    </w:tbl>
    <w:p w:rsidR="00C21188" w:rsidRPr="00C21188" w:rsidRDefault="00C21188" w:rsidP="00C21188"/>
    <w:p w:rsidR="00C21188" w:rsidRPr="00C21188" w:rsidRDefault="00C21188" w:rsidP="00C21188">
      <w:r w:rsidRPr="00C21188">
        <w:t>The sensitivity analyses on the Government public debt portfolio</w:t>
      </w:r>
      <w:r w:rsidRPr="00C21188">
        <w:rPr>
          <w:rFonts w:eastAsia="Calibri"/>
        </w:rPr>
        <w:footnoteReference w:id="49"/>
      </w:r>
      <w:r w:rsidRPr="00C21188">
        <w:t xml:space="preserve"> consider the following factors:</w:t>
      </w:r>
    </w:p>
    <w:p w:rsidR="00C21188" w:rsidRPr="00C21188" w:rsidRDefault="00C21188" w:rsidP="00C21188">
      <w:r w:rsidRPr="00C21188">
        <w:t>1) the influence of economic growth, of the depreciation of the national currency, as well as of the fiscal slippage on the government debt balance, and</w:t>
      </w:r>
    </w:p>
    <w:p w:rsidR="00C21188" w:rsidRPr="00C21188" w:rsidRDefault="00C21188" w:rsidP="00C21188">
      <w:r w:rsidRPr="00C21188">
        <w:t>2) the influence of the depreciation of the national currency and of the amendment of the interest rates on interest payments, according to EU methodology (SEC2010).</w:t>
      </w:r>
    </w:p>
    <w:p w:rsidR="00C21188" w:rsidRPr="00C21188" w:rsidRDefault="00C21188" w:rsidP="00C21188"/>
    <w:p w:rsidR="00C21188" w:rsidRPr="00C21188" w:rsidRDefault="00C21188" w:rsidP="00C21188">
      <w:r w:rsidRPr="00C21188">
        <w:t>1) Influencing factors of government debt</w:t>
      </w:r>
    </w:p>
    <w:p w:rsidR="00C21188" w:rsidRPr="00C21188" w:rsidRDefault="00C21188" w:rsidP="00C21188">
      <w:r w:rsidRPr="00C21188">
        <w:rPr>
          <w:noProof/>
          <w:lang w:val="ro-RO" w:eastAsia="ro-RO"/>
        </w:rPr>
        <w:drawing>
          <wp:inline distT="0" distB="0" distL="0" distR="0" wp14:anchorId="327DC983" wp14:editId="1EA879D6">
            <wp:extent cx="5257165" cy="2581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67053" cy="2586130"/>
                    </a:xfrm>
                    <a:prstGeom prst="rect">
                      <a:avLst/>
                    </a:prstGeom>
                    <a:noFill/>
                  </pic:spPr>
                </pic:pic>
              </a:graphicData>
            </a:graphic>
          </wp:inline>
        </w:drawing>
      </w:r>
    </w:p>
    <w:p w:rsidR="00C21188" w:rsidRPr="00C21188" w:rsidRDefault="00C21188" w:rsidP="00C21188">
      <w:r w:rsidRPr="00C21188">
        <w:t xml:space="preserve">                       Source: MPF</w:t>
      </w:r>
    </w:p>
    <w:p w:rsidR="00C21188" w:rsidRPr="00C21188" w:rsidRDefault="00C21188" w:rsidP="00C21188"/>
    <w:p w:rsidR="00C21188" w:rsidRPr="00C21188" w:rsidRDefault="00C21188" w:rsidP="00C21188">
      <w:r w:rsidRPr="00C21188">
        <w:t>In the chart above it can be noted that the influence of an economic decrease of 1% of GDP would have a negative impact on the indebtedness level, of increase by 2.2% of GDP in 2020, and the depreciation of the national currency by 10% compared to EUR</w:t>
      </w:r>
      <w:r w:rsidRPr="00C21188">
        <w:footnoteReference w:id="50"/>
      </w:r>
      <w:r w:rsidRPr="00C21188">
        <w:t>, the main foreign currency in which the Government debt in foreign currency is denominated, would cause the increase of government debt by 1.6% of GDP in 2021. A fiscal slippage transposed into a cash deficit to finance of 3.8%</w:t>
      </w:r>
      <w:r w:rsidRPr="00C21188">
        <w:rPr>
          <w:rFonts w:eastAsia="Calibri"/>
        </w:rPr>
        <w:footnoteReference w:id="51"/>
      </w:r>
      <w:r w:rsidRPr="00C21188">
        <w:t xml:space="preserve"> of GDP in 2019-2020 would lead to an increase of the indebtedness degree by up to 4.1% of GDP in 2021, while the combined influence of these factors on the weight of government debt in GDP determines an increase of this indicator by 8.5% of GDP in 2021. </w:t>
      </w:r>
    </w:p>
    <w:p w:rsidR="00C21188" w:rsidRPr="00C21188" w:rsidRDefault="00C21188" w:rsidP="00C21188"/>
    <w:p w:rsidR="00C21188" w:rsidRPr="00C21188" w:rsidRDefault="00C21188" w:rsidP="00C21188">
      <w:r w:rsidRPr="00C21188">
        <w:t>2) Influencing factors over interest payments</w:t>
      </w:r>
    </w:p>
    <w:p w:rsidR="00C21188" w:rsidRPr="00C21188" w:rsidRDefault="00C21188" w:rsidP="00C21188">
      <w:r w:rsidRPr="00C21188">
        <w:rPr>
          <w:noProof/>
          <w:lang w:val="ro-RO" w:eastAsia="ro-RO"/>
        </w:rPr>
        <w:drawing>
          <wp:inline distT="0" distB="0" distL="0" distR="0" wp14:anchorId="4056D904" wp14:editId="5ED032DC">
            <wp:extent cx="5468620" cy="3127375"/>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68620" cy="3127375"/>
                    </a:xfrm>
                    <a:prstGeom prst="rect">
                      <a:avLst/>
                    </a:prstGeom>
                    <a:noFill/>
                  </pic:spPr>
                </pic:pic>
              </a:graphicData>
            </a:graphic>
          </wp:inline>
        </w:drawing>
      </w:r>
    </w:p>
    <w:p w:rsidR="00C21188" w:rsidRPr="00C21188" w:rsidRDefault="00C21188" w:rsidP="00C21188">
      <w:r w:rsidRPr="00C21188">
        <w:t xml:space="preserve">          Source: MPF</w:t>
      </w:r>
    </w:p>
    <w:p w:rsidR="00C21188" w:rsidRPr="00C21188" w:rsidRDefault="00C21188" w:rsidP="00C21188"/>
    <w:p w:rsidR="00C21188" w:rsidRPr="00C21188" w:rsidRDefault="00C21188" w:rsidP="00C21188">
      <w:r w:rsidRPr="00C21188">
        <w:t>In the chart above it can be noted that the depreciation of the national currency relative to EUR</w:t>
      </w:r>
      <w:r w:rsidRPr="00C21188">
        <w:footnoteReference w:id="52"/>
      </w:r>
      <w:r w:rsidRPr="00C21188">
        <w:t xml:space="preserve"> would have a low negative impact on interest payments, within the meaning of increasing the weight thereof in the GDP by up to 0.05 % of GDP in 2021, while the increase of interest rates by 1% would lead to an increase of the weight of interest payments in GDP by up to 0.04% in 2021. The combined influence of these factors on interest payments would cause an increase of these payments by 0.09% of GDP in 2021.</w:t>
      </w:r>
    </w:p>
    <w:p w:rsidR="00C21188" w:rsidRPr="00C21188" w:rsidRDefault="00C21188" w:rsidP="00C21188"/>
    <w:tbl>
      <w:tblPr>
        <w:tblW w:w="0" w:type="auto"/>
        <w:jc w:val="center"/>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DBE5F1"/>
        <w:tblLook w:val="04A0" w:firstRow="1" w:lastRow="0" w:firstColumn="1" w:lastColumn="0" w:noHBand="0" w:noVBand="1"/>
      </w:tblPr>
      <w:tblGrid>
        <w:gridCol w:w="9831"/>
      </w:tblGrid>
      <w:tr w:rsidR="00C21188" w:rsidRPr="00C21188" w:rsidTr="00C21188">
        <w:trPr>
          <w:trHeight w:val="456"/>
          <w:jc w:val="center"/>
        </w:trPr>
        <w:tc>
          <w:tcPr>
            <w:tcW w:w="9831" w:type="dxa"/>
            <w:shd w:val="clear" w:color="auto" w:fill="DBE5F1"/>
            <w:vAlign w:val="center"/>
          </w:tcPr>
          <w:p w:rsidR="00C21188" w:rsidRPr="00C21188" w:rsidRDefault="00C21188" w:rsidP="00C21188">
            <w:r w:rsidRPr="00C21188">
              <w:t>Long-term sustainability of public finance</w:t>
            </w:r>
          </w:p>
        </w:tc>
      </w:tr>
    </w:tbl>
    <w:p w:rsidR="00C21188" w:rsidRPr="00C21188" w:rsidRDefault="00C21188" w:rsidP="00C21188"/>
    <w:p w:rsidR="00C21188" w:rsidRPr="00C21188" w:rsidRDefault="00C21188" w:rsidP="00C21188">
      <w:r w:rsidRPr="00C21188">
        <w:t>Public finance viability for the Member States of the European Union is analyzed once every three years, both in the Fiscal Sustainability Report and in the Population Aging Report, which comprises economic and budgetary forecasts for the 28 Member States of the European Union. The report on fiscal sustainability of 2015 emphasized for Romania the absence on short term of risks against sustainability, a low level thereof on medium term and a moderate level on the forecast horizon, namely until 2060.  The level of public debt is forecasted to remain significantly below the reference value of 60% of GDP, but measures of consolidation could be considered in order to limit the increase o costs due to population aging (especially pension costs).</w:t>
      </w:r>
    </w:p>
    <w:p w:rsidR="00C21188" w:rsidRPr="00C21188" w:rsidRDefault="00C21188" w:rsidP="00C21188"/>
    <w:p w:rsidR="00C21188" w:rsidRPr="00C21188" w:rsidRDefault="00C21188" w:rsidP="00C21188">
      <w:r w:rsidRPr="00C21188">
        <w:t xml:space="preserve">With regard to the Report on population aging, the projections for the new exercise of 2018 estimate that the share of pension expenditures in GDP will be maintained until the end of the projection period (year 2070, starting with the current round of projections), below the EU average. Risks would increase if the primary structural balance came back to the values registered in 1998-2012. </w:t>
      </w:r>
    </w:p>
    <w:p w:rsidR="00C21188" w:rsidRPr="00C21188" w:rsidRDefault="00C21188" w:rsidP="00C21188"/>
    <w:p w:rsidR="00C21188" w:rsidRPr="00C21188" w:rsidRDefault="00C21188" w:rsidP="00C21188">
      <w:r w:rsidRPr="00C21188">
        <w:t>Compared to the 2015 exercise, for which 26 of the 28 Member States foreseen a total variation of budget costs related to population aging decreasing compared to the previous exercise (2012), the current round of projection presents a balanced share, of course in the framework of extension of the forecast horizon by 10 years.  The general effort among the Member States continues to remain in the direction of adjustments and reforms from the pensions, health and social assistance sectors.</w:t>
      </w:r>
    </w:p>
    <w:p w:rsidR="00C21188" w:rsidRPr="00C21188" w:rsidRDefault="00C21188" w:rsidP="00C21188"/>
    <w:p w:rsidR="00C21188" w:rsidRPr="00C21188" w:rsidRDefault="00C21188" w:rsidP="00C21188">
      <w:r w:rsidRPr="00C21188">
        <w:t>The updated projection of increase of expenditures strictly related to population aging indicates for Romania an increase of 2.2 p.p. of GDP for the period 2016-2070 (compared to 2.1 p.p. variation forecasted in the previous exercise for the period 2013-2060). The European average being of 1.8 p.p. on both rounds). On the main expenses components:</w:t>
      </w:r>
    </w:p>
    <w:p w:rsidR="00C21188" w:rsidRPr="00C21188" w:rsidRDefault="00C21188" w:rsidP="00C21188">
      <w:pPr>
        <w:rPr>
          <w:rFonts w:eastAsia="Calibri"/>
        </w:rPr>
      </w:pPr>
      <w:r w:rsidRPr="00C21188">
        <w:t>0.7 p.p. of GDP represented by the increase of pension expenditures (the European average being of -0.2 p.p.)</w:t>
      </w:r>
    </w:p>
    <w:p w:rsidR="00C21188" w:rsidRPr="00C21188" w:rsidRDefault="00C21188" w:rsidP="00C21188">
      <w:pPr>
        <w:rPr>
          <w:rFonts w:eastAsia="Calibri"/>
        </w:rPr>
      </w:pPr>
      <w:r w:rsidRPr="00C21188">
        <w:t>1.2 p.p. of GDP are represented by the increase of health and long-term care expenditures (the European average is of 2.1 p.p.);</w:t>
      </w:r>
    </w:p>
    <w:p w:rsidR="00C21188" w:rsidRPr="00C21188" w:rsidRDefault="00C21188" w:rsidP="00C21188">
      <w:pPr>
        <w:rPr>
          <w:rFonts w:eastAsia="Calibri"/>
        </w:rPr>
      </w:pPr>
      <w:r w:rsidRPr="00C21188">
        <w:t>0.3 p.p. of GDP are represented by the increase of educational expenses (the European average is of 0.0 p.p.).</w:t>
      </w:r>
    </w:p>
    <w:p w:rsidR="00C21188" w:rsidRPr="00C21188" w:rsidRDefault="00C21188" w:rsidP="00C21188">
      <w:r w:rsidRPr="00C21188">
        <w:t xml:space="preserve">Compared to the evolutions at European level, the rhythm of increase of expenses related to population aging is marked in Romania by a more accentuated overturn of the age pyramid. </w:t>
      </w:r>
    </w:p>
    <w:p w:rsidR="00C21188" w:rsidRPr="00C21188" w:rsidRDefault="00C21188" w:rsidP="00C21188"/>
    <w:p w:rsidR="00C21188" w:rsidRPr="00C21188" w:rsidRDefault="00C21188" w:rsidP="00C21188"/>
    <w:p w:rsidR="00C21188" w:rsidRPr="00C21188" w:rsidRDefault="00DF768F" w:rsidP="00C21188">
      <w:r>
        <w:rPr>
          <w:noProof/>
          <w:lang w:val="ro-RO" w:eastAsia="ro-RO"/>
        </w:rPr>
        <mc:AlternateContent>
          <mc:Choice Requires="wps">
            <w:drawing>
              <wp:anchor distT="0" distB="0" distL="114300" distR="114300" simplePos="0" relativeHeight="251777536" behindDoc="0" locked="0" layoutInCell="1" allowOverlap="1">
                <wp:simplePos x="0" y="0"/>
                <wp:positionH relativeFrom="column">
                  <wp:posOffset>2784475</wp:posOffset>
                </wp:positionH>
                <wp:positionV relativeFrom="paragraph">
                  <wp:posOffset>2833370</wp:posOffset>
                </wp:positionV>
                <wp:extent cx="2627630" cy="238760"/>
                <wp:effectExtent l="12700" t="13970" r="7620" b="13970"/>
                <wp:wrapNone/>
                <wp:docPr id="338"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7630" cy="238760"/>
                        </a:xfrm>
                        <a:prstGeom prst="rect">
                          <a:avLst/>
                        </a:prstGeom>
                        <a:solidFill>
                          <a:srgbClr val="FFFFFF"/>
                        </a:solidFill>
                        <a:ln w="9525">
                          <a:solidFill>
                            <a:srgbClr val="000000"/>
                          </a:solidFill>
                          <a:miter lim="800000"/>
                          <a:headEnd/>
                          <a:tailEnd/>
                        </a:ln>
                      </wps:spPr>
                      <wps:txbx>
                        <w:txbxContent>
                          <w:p w:rsidR="005063CB" w:rsidRPr="00EF7141" w:rsidRDefault="005063CB" w:rsidP="00EF7141">
                            <w:pPr>
                              <w:rPr>
                                <w:i/>
                                <w:sz w:val="16"/>
                              </w:rPr>
                            </w:pPr>
                            <w:r w:rsidRPr="00EF7141">
                              <w:rPr>
                                <w:i/>
                                <w:sz w:val="16"/>
                              </w:rPr>
                              <w:t>Source: Eurostat Projections – EUROPOP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8" o:spid="_x0000_s1414" style="position:absolute;margin-left:219.25pt;margin-top:223.1pt;width:206.9pt;height:18.8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">
                <v:textbox>
                  <w:txbxContent>
                    <w:p w:rsidR="005063CB" w:rsidRPr="00EF7141" w:rsidRDefault="005063CB" w:rsidP="00EF7141">
                      <w:pPr>
                        <w:rPr>
                          <w:i/>
                          <w:sz w:val="16"/>
                        </w:rPr>
                      </w:pPr>
                      <w:r w:rsidRPr="00EF7141">
                        <w:rPr>
                          <w:i/>
                          <w:sz w:val="16"/>
                        </w:rPr>
                        <w:t>Source: Eurostat Projections – EUROPOP 2016</w:t>
                      </w:r>
                    </w:p>
                  </w:txbxContent>
                </v:textbox>
              </v:rect>
            </w:pict>
          </mc:Fallback>
        </mc:AlternateContent>
      </w:r>
      <w:r>
        <w:rPr>
          <w:noProof/>
          <w:lang w:val="ro-RO" w:eastAsia="ro-RO"/>
        </w:rPr>
        <mc:AlternateContent>
          <mc:Choice Requires="wps">
            <w:drawing>
              <wp:anchor distT="0" distB="0" distL="114300" distR="114300" simplePos="0" relativeHeight="251776512" behindDoc="0" locked="0" layoutInCell="1" allowOverlap="1">
                <wp:simplePos x="0" y="0"/>
                <wp:positionH relativeFrom="column">
                  <wp:posOffset>4445</wp:posOffset>
                </wp:positionH>
                <wp:positionV relativeFrom="paragraph">
                  <wp:posOffset>2833370</wp:posOffset>
                </wp:positionV>
                <wp:extent cx="2627630" cy="238760"/>
                <wp:effectExtent l="13970" t="13970" r="6350" b="13970"/>
                <wp:wrapNone/>
                <wp:docPr id="337"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7630" cy="238760"/>
                        </a:xfrm>
                        <a:prstGeom prst="rect">
                          <a:avLst/>
                        </a:prstGeom>
                        <a:solidFill>
                          <a:srgbClr val="FFFFFF"/>
                        </a:solidFill>
                        <a:ln w="9525">
                          <a:solidFill>
                            <a:srgbClr val="000000"/>
                          </a:solidFill>
                          <a:miter lim="800000"/>
                          <a:headEnd/>
                          <a:tailEnd/>
                        </a:ln>
                      </wps:spPr>
                      <wps:txbx>
                        <w:txbxContent>
                          <w:p w:rsidR="005063CB" w:rsidRPr="00EF7141" w:rsidRDefault="005063CB">
                            <w:pPr>
                              <w:rPr>
                                <w:i/>
                                <w:sz w:val="16"/>
                              </w:rPr>
                            </w:pPr>
                            <w:r w:rsidRPr="00EF7141">
                              <w:rPr>
                                <w:i/>
                                <w:sz w:val="16"/>
                              </w:rPr>
                              <w:t>Source: Eurostat Projections – EUROPOP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7" o:spid="_x0000_s1415" style="position:absolute;margin-left:.35pt;margin-top:223.1pt;width:206.9pt;height:18.8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">
                <v:textbox>
                  <w:txbxContent>
                    <w:p w:rsidR="005063CB" w:rsidRPr="00EF7141" w:rsidRDefault="005063CB">
                      <w:pPr>
                        <w:rPr>
                          <w:i/>
                          <w:sz w:val="16"/>
                        </w:rPr>
                      </w:pPr>
                      <w:r w:rsidRPr="00EF7141">
                        <w:rPr>
                          <w:i/>
                          <w:sz w:val="16"/>
                        </w:rPr>
                        <w:t>Source: Eurostat Projections – EUROPOP 2016</w:t>
                      </w:r>
                    </w:p>
                  </w:txbxContent>
                </v:textbox>
              </v:rect>
            </w:pict>
          </mc:Fallback>
        </mc:AlternateContent>
      </w:r>
      <w:r>
        <w:rPr>
          <w:noProof/>
          <w:lang w:val="ro-RO" w:eastAsia="ro-RO"/>
        </w:rPr>
        <mc:AlternateContent>
          <mc:Choice Requires="wps">
            <w:drawing>
              <wp:anchor distT="0" distB="0" distL="114300" distR="114300" simplePos="0" relativeHeight="251775488" behindDoc="0" locked="0" layoutInCell="1" allowOverlap="1">
                <wp:simplePos x="0" y="0"/>
                <wp:positionH relativeFrom="column">
                  <wp:posOffset>4271645</wp:posOffset>
                </wp:positionH>
                <wp:positionV relativeFrom="paragraph">
                  <wp:posOffset>181610</wp:posOffset>
                </wp:positionV>
                <wp:extent cx="527050" cy="222250"/>
                <wp:effectExtent l="13970" t="10160" r="11430" b="5715"/>
                <wp:wrapNone/>
                <wp:docPr id="336"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222250"/>
                        </a:xfrm>
                        <a:prstGeom prst="rect">
                          <a:avLst/>
                        </a:prstGeom>
                        <a:solidFill>
                          <a:srgbClr val="FFFFFF"/>
                        </a:solidFill>
                        <a:ln w="9525">
                          <a:solidFill>
                            <a:srgbClr val="000000"/>
                          </a:solidFill>
                          <a:miter lim="800000"/>
                          <a:headEnd/>
                          <a:tailEnd/>
                        </a:ln>
                      </wps:spPr>
                      <wps:txbx>
                        <w:txbxContent>
                          <w:p w:rsidR="005063CB" w:rsidRPr="00EF7141" w:rsidRDefault="005063CB" w:rsidP="00EF7141">
                            <w:pPr>
                              <w:rPr>
                                <w:sz w:val="18"/>
                              </w:rPr>
                            </w:pPr>
                            <w:r>
                              <w:rPr>
                                <w:sz w:val="16"/>
                              </w:rPr>
                              <w:t>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6" o:spid="_x0000_s1416" style="position:absolute;margin-left:336.35pt;margin-top:14.3pt;width:41.5pt;height:17.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">
                <v:textbox>
                  <w:txbxContent>
                    <w:p w:rsidR="005063CB" w:rsidRPr="00EF7141" w:rsidRDefault="005063CB" w:rsidP="00EF7141">
                      <w:pPr>
                        <w:rPr>
                          <w:sz w:val="18"/>
                        </w:rPr>
                      </w:pPr>
                      <w:r>
                        <w:rPr>
                          <w:sz w:val="16"/>
                        </w:rPr>
                        <w:t>Men</w:t>
                      </w:r>
                    </w:p>
                  </w:txbxContent>
                </v:textbox>
              </v:rect>
            </w:pict>
          </mc:Fallback>
        </mc:AlternateContent>
      </w:r>
      <w:r>
        <w:rPr>
          <w:noProof/>
          <w:lang w:val="ro-RO" w:eastAsia="ro-RO"/>
        </w:rPr>
        <mc:AlternateContent>
          <mc:Choice Requires="wps">
            <w:drawing>
              <wp:anchor distT="0" distB="0" distL="114300" distR="114300" simplePos="0" relativeHeight="251774464" behindDoc="0" locked="0" layoutInCell="1" allowOverlap="1">
                <wp:simplePos x="0" y="0"/>
                <wp:positionH relativeFrom="column">
                  <wp:posOffset>1561465</wp:posOffset>
                </wp:positionH>
                <wp:positionV relativeFrom="paragraph">
                  <wp:posOffset>238760</wp:posOffset>
                </wp:positionV>
                <wp:extent cx="527050" cy="222250"/>
                <wp:effectExtent l="8890" t="10160" r="6985" b="5715"/>
                <wp:wrapNone/>
                <wp:docPr id="335"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222250"/>
                        </a:xfrm>
                        <a:prstGeom prst="rect">
                          <a:avLst/>
                        </a:prstGeom>
                        <a:solidFill>
                          <a:srgbClr val="FFFFFF"/>
                        </a:solidFill>
                        <a:ln w="9525">
                          <a:solidFill>
                            <a:srgbClr val="000000"/>
                          </a:solidFill>
                          <a:miter lim="800000"/>
                          <a:headEnd/>
                          <a:tailEnd/>
                        </a:ln>
                      </wps:spPr>
                      <wps:txbx>
                        <w:txbxContent>
                          <w:p w:rsidR="005063CB" w:rsidRPr="00EF7141" w:rsidRDefault="005063CB" w:rsidP="00EF7141">
                            <w:pPr>
                              <w:rPr>
                                <w:sz w:val="18"/>
                              </w:rPr>
                            </w:pPr>
                            <w:r>
                              <w:rPr>
                                <w:sz w:val="16"/>
                              </w:rPr>
                              <w:t>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5" o:spid="_x0000_s1417" style="position:absolute;margin-left:122.95pt;margin-top:18.8pt;width:41.5pt;height:17.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">
                <v:textbox>
                  <w:txbxContent>
                    <w:p w:rsidR="005063CB" w:rsidRPr="00EF7141" w:rsidRDefault="005063CB" w:rsidP="00EF7141">
                      <w:pPr>
                        <w:rPr>
                          <w:sz w:val="18"/>
                        </w:rPr>
                      </w:pPr>
                      <w:r>
                        <w:rPr>
                          <w:sz w:val="16"/>
                        </w:rPr>
                        <w:t>Men</w:t>
                      </w:r>
                    </w:p>
                  </w:txbxContent>
                </v:textbox>
              </v:rect>
            </w:pict>
          </mc:Fallback>
        </mc:AlternateContent>
      </w:r>
      <w:r>
        <w:rPr>
          <w:noProof/>
          <w:lang w:val="ro-RO" w:eastAsia="ro-RO"/>
        </w:rPr>
        <mc:AlternateContent>
          <mc:Choice Requires="wps">
            <w:drawing>
              <wp:anchor distT="0" distB="0" distL="114300" distR="114300" simplePos="0" relativeHeight="251773440" behindDoc="0" locked="0" layoutInCell="1" allowOverlap="1">
                <wp:simplePos x="0" y="0"/>
                <wp:positionH relativeFrom="column">
                  <wp:posOffset>3600450</wp:posOffset>
                </wp:positionH>
                <wp:positionV relativeFrom="paragraph">
                  <wp:posOffset>353695</wp:posOffset>
                </wp:positionV>
                <wp:extent cx="527050" cy="222250"/>
                <wp:effectExtent l="9525" t="10795" r="6350" b="5080"/>
                <wp:wrapNone/>
                <wp:docPr id="334"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222250"/>
                        </a:xfrm>
                        <a:prstGeom prst="rect">
                          <a:avLst/>
                        </a:prstGeom>
                        <a:solidFill>
                          <a:srgbClr val="FFFFFF"/>
                        </a:solidFill>
                        <a:ln w="9525">
                          <a:solidFill>
                            <a:srgbClr val="000000"/>
                          </a:solidFill>
                          <a:miter lim="800000"/>
                          <a:headEnd/>
                          <a:tailEnd/>
                        </a:ln>
                      </wps:spPr>
                      <wps:txbx>
                        <w:txbxContent>
                          <w:p w:rsidR="005063CB" w:rsidRPr="00EF7141" w:rsidRDefault="005063CB" w:rsidP="00EF7141">
                            <w:pPr>
                              <w:rPr>
                                <w:sz w:val="18"/>
                              </w:rPr>
                            </w:pPr>
                            <w:r w:rsidRPr="00EF7141">
                              <w:rPr>
                                <w:sz w:val="16"/>
                              </w:rPr>
                              <w:t>Women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4" o:spid="_x0000_s1418" style="position:absolute;margin-left:283.5pt;margin-top:27.85pt;width:41.5pt;height:17.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">
                <v:textbox>
                  <w:txbxContent>
                    <w:p w:rsidR="005063CB" w:rsidRPr="00EF7141" w:rsidRDefault="005063CB" w:rsidP="00EF7141">
                      <w:pPr>
                        <w:rPr>
                          <w:sz w:val="18"/>
                        </w:rPr>
                      </w:pPr>
                      <w:r w:rsidRPr="00EF7141">
                        <w:rPr>
                          <w:sz w:val="16"/>
                        </w:rPr>
                        <w:t>Women</w:t>
                      </w:r>
                    </w:p>
                  </w:txbxContent>
                </v:textbox>
              </v:rect>
            </w:pict>
          </mc:Fallback>
        </mc:AlternateContent>
      </w:r>
      <w:r>
        <w:rPr>
          <w:noProof/>
          <w:lang w:val="ro-RO" w:eastAsia="ro-RO"/>
        </w:rPr>
        <mc:AlternateContent>
          <mc:Choice Requires="wps">
            <w:drawing>
              <wp:anchor distT="0" distB="0" distL="114300" distR="114300" simplePos="0" relativeHeight="251772416" behindDoc="0" locked="0" layoutInCell="1" allowOverlap="1">
                <wp:simplePos x="0" y="0"/>
                <wp:positionH relativeFrom="column">
                  <wp:posOffset>902335</wp:posOffset>
                </wp:positionH>
                <wp:positionV relativeFrom="paragraph">
                  <wp:posOffset>353695</wp:posOffset>
                </wp:positionV>
                <wp:extent cx="527050" cy="222250"/>
                <wp:effectExtent l="6985" t="10795" r="8890" b="5080"/>
                <wp:wrapNone/>
                <wp:docPr id="333"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222250"/>
                        </a:xfrm>
                        <a:prstGeom prst="rect">
                          <a:avLst/>
                        </a:prstGeom>
                        <a:solidFill>
                          <a:srgbClr val="FFFFFF"/>
                        </a:solidFill>
                        <a:ln w="9525">
                          <a:solidFill>
                            <a:srgbClr val="000000"/>
                          </a:solidFill>
                          <a:miter lim="800000"/>
                          <a:headEnd/>
                          <a:tailEnd/>
                        </a:ln>
                      </wps:spPr>
                      <wps:txbx>
                        <w:txbxContent>
                          <w:p w:rsidR="005063CB" w:rsidRPr="00EF7141" w:rsidRDefault="005063CB">
                            <w:pPr>
                              <w:rPr>
                                <w:sz w:val="18"/>
                              </w:rPr>
                            </w:pPr>
                            <w:r w:rsidRPr="00EF7141">
                              <w:rPr>
                                <w:sz w:val="16"/>
                              </w:rPr>
                              <w:t>Women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3" o:spid="_x0000_s1419" style="position:absolute;margin-left:71.05pt;margin-top:27.85pt;width:41.5pt;height:17.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">
                <v:textbox>
                  <w:txbxContent>
                    <w:p w:rsidR="005063CB" w:rsidRPr="00EF7141" w:rsidRDefault="005063CB">
                      <w:pPr>
                        <w:rPr>
                          <w:sz w:val="18"/>
                        </w:rPr>
                      </w:pPr>
                      <w:r w:rsidRPr="00EF7141">
                        <w:rPr>
                          <w:sz w:val="16"/>
                        </w:rPr>
                        <w:t>Women</w:t>
                      </w:r>
                    </w:p>
                  </w:txbxContent>
                </v:textbox>
              </v:rect>
            </w:pict>
          </mc:Fallback>
        </mc:AlternateContent>
      </w:r>
      <w:r>
        <w:rPr>
          <w:noProof/>
          <w:lang w:val="ro-RO" w:eastAsia="ro-RO"/>
        </w:rPr>
        <mc:AlternateContent>
          <mc:Choice Requires="wps">
            <w:drawing>
              <wp:anchor distT="0" distB="0" distL="114300" distR="114300" simplePos="0" relativeHeight="251771392" behindDoc="0" locked="0" layoutInCell="1" allowOverlap="1">
                <wp:simplePos x="0" y="0"/>
                <wp:positionH relativeFrom="column">
                  <wp:posOffset>2825750</wp:posOffset>
                </wp:positionH>
                <wp:positionV relativeFrom="paragraph">
                  <wp:posOffset>-82550</wp:posOffset>
                </wp:positionV>
                <wp:extent cx="2512060" cy="264160"/>
                <wp:effectExtent l="6350" t="12700" r="5715" b="8890"/>
                <wp:wrapNone/>
                <wp:docPr id="332"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2060" cy="264160"/>
                        </a:xfrm>
                        <a:prstGeom prst="rect">
                          <a:avLst/>
                        </a:prstGeom>
                        <a:solidFill>
                          <a:srgbClr val="FFFFFF"/>
                        </a:solidFill>
                        <a:ln w="9525">
                          <a:solidFill>
                            <a:srgbClr val="000000"/>
                          </a:solidFill>
                          <a:miter lim="800000"/>
                          <a:headEnd/>
                          <a:tailEnd/>
                        </a:ln>
                      </wps:spPr>
                      <wps:txbx>
                        <w:txbxContent>
                          <w:p w:rsidR="005063CB" w:rsidRPr="00EF7141" w:rsidRDefault="005063CB" w:rsidP="00EF7141">
                            <w:pPr>
                              <w:rPr>
                                <w:sz w:val="20"/>
                              </w:rPr>
                            </w:pPr>
                            <w:r w:rsidRPr="00EF7141">
                              <w:rPr>
                                <w:sz w:val="20"/>
                              </w:rPr>
                              <w:t xml:space="preserve">Structure of Romania’s population in </w:t>
                            </w:r>
                            <w:r>
                              <w:rPr>
                                <w:sz w:val="20"/>
                              </w:rPr>
                              <w:t>2080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2" o:spid="_x0000_s1420" style="position:absolute;margin-left:222.5pt;margin-top:-6.5pt;width:197.8pt;height:20.8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">
                <v:textbox>
                  <w:txbxContent>
                    <w:p w:rsidR="005063CB" w:rsidRPr="00EF7141" w:rsidRDefault="005063CB" w:rsidP="00EF7141">
                      <w:pPr>
                        <w:rPr>
                          <w:sz w:val="20"/>
                        </w:rPr>
                      </w:pPr>
                      <w:r w:rsidRPr="00EF7141">
                        <w:rPr>
                          <w:sz w:val="20"/>
                        </w:rPr>
                        <w:t xml:space="preserve">Structure of Romania’s population in </w:t>
                      </w:r>
                      <w:r>
                        <w:rPr>
                          <w:sz w:val="20"/>
                        </w:rPr>
                        <w:t>2080</w:t>
                      </w:r>
                    </w:p>
                  </w:txbxContent>
                </v:textbox>
              </v:rect>
            </w:pict>
          </mc:Fallback>
        </mc:AlternateContent>
      </w:r>
      <w:r>
        <w:rPr>
          <w:noProof/>
          <w:lang w:val="ro-RO" w:eastAsia="ro-RO"/>
        </w:rPr>
        <mc:AlternateContent>
          <mc:Choice Requires="wps">
            <w:drawing>
              <wp:anchor distT="0" distB="0" distL="114300" distR="114300" simplePos="0" relativeHeight="251770368" behindDoc="0" locked="0" layoutInCell="1" allowOverlap="1">
                <wp:simplePos x="0" y="0"/>
                <wp:positionH relativeFrom="column">
                  <wp:posOffset>185420</wp:posOffset>
                </wp:positionH>
                <wp:positionV relativeFrom="paragraph">
                  <wp:posOffset>-82550</wp:posOffset>
                </wp:positionV>
                <wp:extent cx="2512060" cy="264160"/>
                <wp:effectExtent l="13970" t="12700" r="7620" b="8890"/>
                <wp:wrapNone/>
                <wp:docPr id="331"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2060" cy="264160"/>
                        </a:xfrm>
                        <a:prstGeom prst="rect">
                          <a:avLst/>
                        </a:prstGeom>
                        <a:solidFill>
                          <a:srgbClr val="FFFFFF"/>
                        </a:solidFill>
                        <a:ln w="9525">
                          <a:solidFill>
                            <a:srgbClr val="000000"/>
                          </a:solidFill>
                          <a:miter lim="800000"/>
                          <a:headEnd/>
                          <a:tailEnd/>
                        </a:ln>
                      </wps:spPr>
                      <wps:txbx>
                        <w:txbxContent>
                          <w:p w:rsidR="005063CB" w:rsidRPr="00EF7141" w:rsidRDefault="005063CB">
                            <w:pPr>
                              <w:rPr>
                                <w:sz w:val="20"/>
                              </w:rPr>
                            </w:pPr>
                            <w:r w:rsidRPr="00EF7141">
                              <w:rPr>
                                <w:sz w:val="20"/>
                              </w:rPr>
                              <w:t>Structure of Romania’s population in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1" o:spid="_x0000_s1421" style="position:absolute;margin-left:14.6pt;margin-top:-6.5pt;width:197.8pt;height:20.8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">
                <v:textbox>
                  <w:txbxContent>
                    <w:p w:rsidR="005063CB" w:rsidRPr="00EF7141" w:rsidRDefault="005063CB">
                      <w:pPr>
                        <w:rPr>
                          <w:sz w:val="20"/>
                        </w:rPr>
                      </w:pPr>
                      <w:r w:rsidRPr="00EF7141">
                        <w:rPr>
                          <w:sz w:val="20"/>
                        </w:rPr>
                        <w:t>Structure of Romania’s population in 2018</w:t>
                      </w:r>
                    </w:p>
                  </w:txbxContent>
                </v:textbox>
              </v:rect>
            </w:pict>
          </mc:Fallback>
        </mc:AlternateContent>
      </w:r>
      <w:r w:rsidR="00C21188" w:rsidRPr="00C21188">
        <w:rPr>
          <w:noProof/>
          <w:lang w:val="ro-RO" w:eastAsia="ro-RO"/>
        </w:rPr>
        <w:drawing>
          <wp:inline distT="0" distB="0" distL="0" distR="0" wp14:anchorId="21970FAA" wp14:editId="3B40B7C3">
            <wp:extent cx="5481089" cy="3022762"/>
            <wp:effectExtent l="0" t="0" r="571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RAMIDELE.jpg"/>
                    <pic:cNvPicPr/>
                  </pic:nvPicPr>
                  <pic:blipFill>
                    <a:blip r:embed="rId52">
                      <a:extLst>
                        <a:ext uri="{28A0092B-C50C-407E-A947-70E740481C1C}">
                          <a14:useLocalDpi xmlns:a14="http://schemas.microsoft.com/office/drawing/2010/main" val="0"/>
                        </a:ext>
                      </a:extLst>
                    </a:blip>
                    <a:stretch>
                      <a:fillRect/>
                    </a:stretch>
                  </pic:blipFill>
                  <pic:spPr>
                    <a:xfrm>
                      <a:off x="0" y="0"/>
                      <a:ext cx="5493212" cy="3029448"/>
                    </a:xfrm>
                    <a:prstGeom prst="rect">
                      <a:avLst/>
                    </a:prstGeom>
                  </pic:spPr>
                </pic:pic>
              </a:graphicData>
            </a:graphic>
          </wp:inline>
        </w:drawing>
      </w:r>
    </w:p>
    <w:p w:rsidR="00C21188" w:rsidRPr="00C21188" w:rsidRDefault="00C21188" w:rsidP="00C21188">
      <w:r w:rsidRPr="00C21188">
        <w:t>Demographic changes will change the structure of Romania’s population. The amplitude and speed of population aging depend on the future tendencies with regard to life expectancy, fertility and migration.</w:t>
      </w:r>
    </w:p>
    <w:p w:rsidR="00C21188" w:rsidRPr="00C21188" w:rsidRDefault="00C21188" w:rsidP="00C21188"/>
    <w:p w:rsidR="00C21188" w:rsidRPr="00C21188" w:rsidRDefault="00C21188" w:rsidP="00C21188">
      <w:r w:rsidRPr="00C21188">
        <w:t>The fast aging process will change the ration between the population at retirement age and the active population, which will lead to major changes in the age structure and to negative implications on the labor market. The ratio between people aged over 65 years and those at working ages (15 to 64 years) increases significantly, which means that in the perspective of the following years the public pension system will have much reduced resources relative to expenditures.</w:t>
      </w:r>
    </w:p>
    <w:p w:rsidR="00C21188" w:rsidRPr="00C21188" w:rsidRDefault="00C21188" w:rsidP="00C21188"/>
    <w:p w:rsidR="00C21188" w:rsidRPr="00C21188" w:rsidRDefault="00C21188" w:rsidP="00C21188">
      <w:bookmarkStart w:id="8" w:name="_Toc418068963"/>
      <w:bookmarkStart w:id="9" w:name="_Toc512586758"/>
      <w:r w:rsidRPr="00C21188">
        <w:t>Graphic Population evolution</w:t>
      </w:r>
      <w:bookmarkEnd w:id="8"/>
      <w:bookmarkEnd w:id="9"/>
    </w:p>
    <w:p w:rsidR="00C21188" w:rsidRPr="00C21188" w:rsidRDefault="00C21188" w:rsidP="00C21188">
      <w:r w:rsidRPr="00C21188">
        <w:rPr>
          <w:noProof/>
          <w:lang w:val="ro-RO" w:eastAsia="ro-RO"/>
        </w:rPr>
        <w:drawing>
          <wp:inline distT="0" distB="0" distL="0" distR="0" wp14:anchorId="5348A326" wp14:editId="24A7C545">
            <wp:extent cx="5133975" cy="2546430"/>
            <wp:effectExtent l="0" t="0" r="0" b="6350"/>
            <wp:docPr id="2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C21188" w:rsidRPr="00C21188" w:rsidRDefault="00C21188" w:rsidP="00C21188">
      <w:r w:rsidRPr="00C21188">
        <w:t>Source: Eurostat- EUROPOP 2016</w:t>
      </w:r>
    </w:p>
    <w:p w:rsidR="00C21188" w:rsidRPr="00C21188" w:rsidRDefault="00C21188" w:rsidP="00C21188"/>
    <w:p w:rsidR="00C21188" w:rsidRPr="00C21188" w:rsidRDefault="00C21188" w:rsidP="00C21188">
      <w:r w:rsidRPr="00C21188">
        <w:t>The composition on ages of the population will be profoundly affected in 2016-2070: the share of working aged population (15-64 years) will record a significant decrease of 11.8 percentage points in the period of the forecast interval, while the share of population older than 65 will increase during this interval by 11.6 percentage points.</w:t>
      </w:r>
    </w:p>
    <w:p w:rsidR="00C21188" w:rsidRPr="00C21188" w:rsidRDefault="00C21188" w:rsidP="00C21188"/>
    <w:p w:rsidR="00C21188" w:rsidRPr="00C21188" w:rsidRDefault="00C21188" w:rsidP="00C21188">
      <w:r w:rsidRPr="00C21188">
        <w:t>The population's aging process is also a consequence of the low fertility level: in 2015, the fertility rate was of 1.58 children per woman, being below the optimal reproduction level. It is projected to increase to 1.89 in 2070, according to Eurostat estimates.</w:t>
      </w:r>
    </w:p>
    <w:p w:rsidR="00C21188" w:rsidRPr="00C21188" w:rsidRDefault="00C21188" w:rsidP="00C21188"/>
    <w:p w:rsidR="00C21188" w:rsidRPr="00C21188" w:rsidRDefault="00C21188" w:rsidP="00C21188">
      <w:r w:rsidRPr="00C21188">
        <w:t xml:space="preserve">The results of the demographic forecast offered by Eurostat for Romania </w:t>
      </w:r>
      <w:r w:rsidRPr="00C21188">
        <w:rPr>
          <w:rFonts w:eastAsia="Calibri"/>
        </w:rPr>
        <w:footnoteReference w:id="53"/>
      </w:r>
      <w:r w:rsidRPr="00C21188">
        <w:t>, indicates a significant decrease of the population, by 4.7 million people less in 2070 compared to year 2016. Although the young population is decreasing, due to the ever lower number of women at fertility ages, there are a series of positive signals of increase of the fertility rate.</w:t>
      </w:r>
    </w:p>
    <w:p w:rsidR="00C21188" w:rsidRPr="00C21188" w:rsidRDefault="00C21188" w:rsidP="00C21188"/>
    <w:p w:rsidR="00C21188" w:rsidRPr="00C21188" w:rsidRDefault="00C21188" w:rsidP="00C21188">
      <w:bookmarkStart w:id="10" w:name="_Toc418068107"/>
      <w:bookmarkStart w:id="11" w:name="_Toc512340248"/>
      <w:bookmarkStart w:id="12" w:name="_Toc512586766"/>
      <w:r w:rsidRPr="00C21188">
        <w:t>Table - Demographic indicators</w:t>
      </w:r>
      <w:bookmarkEnd w:id="10"/>
      <w:bookmarkEnd w:id="11"/>
      <w:bookmarkEnd w:id="12"/>
    </w:p>
    <w:tbl>
      <w:tblPr>
        <w:tblW w:w="0" w:type="auto"/>
        <w:jc w:val="center"/>
        <w:tblBorders>
          <w:top w:val="single" w:sz="2" w:space="0" w:color="365F91"/>
          <w:bottom w:val="single" w:sz="2" w:space="0" w:color="365F91"/>
          <w:insideH w:val="single" w:sz="2" w:space="0" w:color="365F91"/>
        </w:tblBorders>
        <w:tblLook w:val="00A0" w:firstRow="1" w:lastRow="0" w:firstColumn="1" w:lastColumn="0" w:noHBand="0" w:noVBand="0"/>
      </w:tblPr>
      <w:tblGrid>
        <w:gridCol w:w="3220"/>
        <w:gridCol w:w="1142"/>
        <w:gridCol w:w="1032"/>
        <w:gridCol w:w="1064"/>
        <w:gridCol w:w="1039"/>
        <w:gridCol w:w="8"/>
        <w:gridCol w:w="1048"/>
        <w:gridCol w:w="1052"/>
      </w:tblGrid>
      <w:tr w:rsidR="00C21188" w:rsidRPr="00C21188" w:rsidTr="00C21188">
        <w:trPr>
          <w:trHeight w:val="449"/>
          <w:jc w:val="center"/>
        </w:trPr>
        <w:tc>
          <w:tcPr>
            <w:tcW w:w="3220" w:type="dxa"/>
            <w:shd w:val="clear" w:color="auto" w:fill="365F91"/>
            <w:vAlign w:val="center"/>
          </w:tcPr>
          <w:p w:rsidR="00C21188" w:rsidRPr="00C21188" w:rsidRDefault="00C21188" w:rsidP="00C21188"/>
        </w:tc>
        <w:tc>
          <w:tcPr>
            <w:tcW w:w="1142" w:type="dxa"/>
            <w:shd w:val="clear" w:color="auto" w:fill="365F91"/>
            <w:vAlign w:val="center"/>
          </w:tcPr>
          <w:p w:rsidR="00C21188" w:rsidRPr="00C21188" w:rsidRDefault="00C21188" w:rsidP="00C21188">
            <w:bookmarkStart w:id="13" w:name="_Toc418006741"/>
            <w:r w:rsidRPr="00C21188">
              <w:t>2013</w:t>
            </w:r>
            <w:bookmarkEnd w:id="13"/>
          </w:p>
        </w:tc>
        <w:tc>
          <w:tcPr>
            <w:tcW w:w="1032" w:type="dxa"/>
            <w:shd w:val="clear" w:color="auto" w:fill="365F91"/>
            <w:vAlign w:val="center"/>
          </w:tcPr>
          <w:p w:rsidR="00C21188" w:rsidRPr="00C21188" w:rsidRDefault="00C21188" w:rsidP="00C21188">
            <w:bookmarkStart w:id="14" w:name="_Toc418006742"/>
            <w:r w:rsidRPr="00C21188">
              <w:t>2020</w:t>
            </w:r>
            <w:bookmarkEnd w:id="14"/>
          </w:p>
        </w:tc>
        <w:tc>
          <w:tcPr>
            <w:tcW w:w="1064" w:type="dxa"/>
            <w:shd w:val="clear" w:color="auto" w:fill="365F91"/>
            <w:vAlign w:val="center"/>
          </w:tcPr>
          <w:p w:rsidR="00C21188" w:rsidRPr="00C21188" w:rsidRDefault="00C21188" w:rsidP="00C21188">
            <w:bookmarkStart w:id="15" w:name="_Toc418006743"/>
            <w:r w:rsidRPr="00C21188">
              <w:t>2030</w:t>
            </w:r>
            <w:bookmarkEnd w:id="15"/>
          </w:p>
        </w:tc>
        <w:tc>
          <w:tcPr>
            <w:tcW w:w="1039" w:type="dxa"/>
            <w:shd w:val="clear" w:color="auto" w:fill="365F91"/>
            <w:vAlign w:val="center"/>
          </w:tcPr>
          <w:p w:rsidR="00C21188" w:rsidRPr="00C21188" w:rsidRDefault="00C21188" w:rsidP="00C21188">
            <w:bookmarkStart w:id="16" w:name="_Toc418006744"/>
            <w:r w:rsidRPr="00C21188">
              <w:t>2040</w:t>
            </w:r>
            <w:bookmarkEnd w:id="16"/>
          </w:p>
        </w:tc>
        <w:tc>
          <w:tcPr>
            <w:tcW w:w="1056" w:type="dxa"/>
            <w:gridSpan w:val="2"/>
            <w:shd w:val="clear" w:color="auto" w:fill="365F91"/>
            <w:vAlign w:val="center"/>
          </w:tcPr>
          <w:p w:rsidR="00C21188" w:rsidRPr="00C21188" w:rsidRDefault="00C21188" w:rsidP="00C21188">
            <w:bookmarkStart w:id="17" w:name="_Toc418006745"/>
            <w:r w:rsidRPr="00C21188">
              <w:t>2050</w:t>
            </w:r>
            <w:bookmarkEnd w:id="17"/>
          </w:p>
        </w:tc>
        <w:tc>
          <w:tcPr>
            <w:tcW w:w="1052" w:type="dxa"/>
            <w:shd w:val="clear" w:color="auto" w:fill="365F91"/>
            <w:vAlign w:val="center"/>
          </w:tcPr>
          <w:p w:rsidR="00C21188" w:rsidRPr="00C21188" w:rsidRDefault="00C21188" w:rsidP="00C21188">
            <w:bookmarkStart w:id="18" w:name="_Toc418006746"/>
            <w:r w:rsidRPr="00C21188">
              <w:t>2060</w:t>
            </w:r>
            <w:bookmarkEnd w:id="18"/>
          </w:p>
        </w:tc>
      </w:tr>
      <w:tr w:rsidR="00C21188" w:rsidRPr="00C21188" w:rsidTr="00C21188">
        <w:trPr>
          <w:jc w:val="center"/>
        </w:trPr>
        <w:tc>
          <w:tcPr>
            <w:tcW w:w="3220" w:type="dxa"/>
          </w:tcPr>
          <w:p w:rsidR="00C21188" w:rsidRPr="00C21188" w:rsidRDefault="00C21188" w:rsidP="00C21188">
            <w:r w:rsidRPr="00C21188">
              <w:t>Fertility rate</w:t>
            </w:r>
          </w:p>
        </w:tc>
        <w:tc>
          <w:tcPr>
            <w:tcW w:w="1142" w:type="dxa"/>
            <w:vAlign w:val="bottom"/>
          </w:tcPr>
          <w:p w:rsidR="00C21188" w:rsidRPr="00C21188" w:rsidRDefault="00C21188" w:rsidP="00C21188">
            <w:r w:rsidRPr="00C21188">
              <w:t>1.65</w:t>
            </w:r>
          </w:p>
        </w:tc>
        <w:tc>
          <w:tcPr>
            <w:tcW w:w="1032" w:type="dxa"/>
            <w:vAlign w:val="bottom"/>
          </w:tcPr>
          <w:p w:rsidR="00C21188" w:rsidRPr="00C21188" w:rsidRDefault="00C21188" w:rsidP="00C21188">
            <w:r w:rsidRPr="00C21188">
              <w:t>1.73</w:t>
            </w:r>
          </w:p>
        </w:tc>
        <w:tc>
          <w:tcPr>
            <w:tcW w:w="1064" w:type="dxa"/>
            <w:vAlign w:val="bottom"/>
          </w:tcPr>
          <w:p w:rsidR="00C21188" w:rsidRPr="00C21188" w:rsidRDefault="00C21188" w:rsidP="00C21188">
            <w:r w:rsidRPr="00C21188">
              <w:t>1.79</w:t>
            </w:r>
          </w:p>
        </w:tc>
        <w:tc>
          <w:tcPr>
            <w:tcW w:w="1039" w:type="dxa"/>
            <w:vAlign w:val="bottom"/>
          </w:tcPr>
          <w:p w:rsidR="00C21188" w:rsidRPr="00C21188" w:rsidRDefault="00C21188" w:rsidP="00C21188">
            <w:r w:rsidRPr="00C21188">
              <w:t>1.81</w:t>
            </w:r>
          </w:p>
        </w:tc>
        <w:tc>
          <w:tcPr>
            <w:tcW w:w="1056" w:type="dxa"/>
            <w:gridSpan w:val="2"/>
            <w:vAlign w:val="bottom"/>
          </w:tcPr>
          <w:p w:rsidR="00C21188" w:rsidRPr="00C21188" w:rsidRDefault="00C21188" w:rsidP="00C21188">
            <w:r w:rsidRPr="00C21188">
              <w:t>1.82</w:t>
            </w:r>
          </w:p>
        </w:tc>
        <w:tc>
          <w:tcPr>
            <w:tcW w:w="1052" w:type="dxa"/>
            <w:vAlign w:val="bottom"/>
          </w:tcPr>
          <w:p w:rsidR="00C21188" w:rsidRPr="00C21188" w:rsidRDefault="00C21188" w:rsidP="00C21188">
            <w:r w:rsidRPr="00C21188">
              <w:t>1.83</w:t>
            </w:r>
          </w:p>
        </w:tc>
      </w:tr>
      <w:tr w:rsidR="00C21188" w:rsidRPr="00C21188" w:rsidTr="00C21188">
        <w:trPr>
          <w:jc w:val="center"/>
        </w:trPr>
        <w:tc>
          <w:tcPr>
            <w:tcW w:w="3220" w:type="dxa"/>
          </w:tcPr>
          <w:p w:rsidR="00C21188" w:rsidRPr="00C21188" w:rsidRDefault="00C21188" w:rsidP="00C21188">
            <w:r w:rsidRPr="00C21188">
              <w:t>Population - total mill.</w:t>
            </w:r>
          </w:p>
        </w:tc>
        <w:tc>
          <w:tcPr>
            <w:tcW w:w="1142" w:type="dxa"/>
            <w:vAlign w:val="bottom"/>
          </w:tcPr>
          <w:p w:rsidR="00C21188" w:rsidRPr="00C21188" w:rsidRDefault="00C21188" w:rsidP="00C21188">
            <w:r w:rsidRPr="00C21188">
              <w:t>20.02</w:t>
            </w:r>
          </w:p>
        </w:tc>
        <w:tc>
          <w:tcPr>
            <w:tcW w:w="1032" w:type="dxa"/>
            <w:vAlign w:val="bottom"/>
          </w:tcPr>
          <w:p w:rsidR="00C21188" w:rsidRPr="00C21188" w:rsidRDefault="00C21188" w:rsidP="00C21188">
            <w:r w:rsidRPr="00C21188">
              <w:t>19.69</w:t>
            </w:r>
          </w:p>
        </w:tc>
        <w:tc>
          <w:tcPr>
            <w:tcW w:w="1064" w:type="dxa"/>
            <w:vAlign w:val="bottom"/>
          </w:tcPr>
          <w:p w:rsidR="00C21188" w:rsidRPr="00C21188" w:rsidRDefault="00C21188" w:rsidP="00C21188">
            <w:r w:rsidRPr="00C21188">
              <w:t>19.00</w:t>
            </w:r>
          </w:p>
        </w:tc>
        <w:tc>
          <w:tcPr>
            <w:tcW w:w="1039" w:type="dxa"/>
            <w:vAlign w:val="bottom"/>
          </w:tcPr>
          <w:p w:rsidR="00C21188" w:rsidRPr="00C21188" w:rsidRDefault="00C21188" w:rsidP="00C21188">
            <w:r w:rsidRPr="00C21188">
              <w:t>18.46</w:t>
            </w:r>
          </w:p>
        </w:tc>
        <w:tc>
          <w:tcPr>
            <w:tcW w:w="1056" w:type="dxa"/>
            <w:gridSpan w:val="2"/>
            <w:vAlign w:val="bottom"/>
          </w:tcPr>
          <w:p w:rsidR="00C21188" w:rsidRPr="00C21188" w:rsidRDefault="00C21188" w:rsidP="00C21188">
            <w:r w:rsidRPr="00C21188">
              <w:t>17.97</w:t>
            </w:r>
          </w:p>
        </w:tc>
        <w:tc>
          <w:tcPr>
            <w:tcW w:w="1052" w:type="dxa"/>
            <w:vAlign w:val="bottom"/>
          </w:tcPr>
          <w:p w:rsidR="00C21188" w:rsidRPr="00C21188" w:rsidRDefault="00C21188" w:rsidP="00C21188">
            <w:r w:rsidRPr="00C21188">
              <w:t>17.44</w:t>
            </w:r>
          </w:p>
        </w:tc>
      </w:tr>
      <w:tr w:rsidR="00C21188" w:rsidRPr="00C21188" w:rsidTr="00C21188">
        <w:trPr>
          <w:jc w:val="center"/>
        </w:trPr>
        <w:tc>
          <w:tcPr>
            <w:tcW w:w="3220" w:type="dxa"/>
          </w:tcPr>
          <w:p w:rsidR="00C21188" w:rsidRPr="00C21188" w:rsidRDefault="00C21188" w:rsidP="00C21188">
            <w:r w:rsidRPr="00C21188">
              <w:t>of which:</w:t>
            </w:r>
          </w:p>
        </w:tc>
        <w:tc>
          <w:tcPr>
            <w:tcW w:w="1142" w:type="dxa"/>
          </w:tcPr>
          <w:p w:rsidR="00C21188" w:rsidRPr="00C21188" w:rsidRDefault="00C21188" w:rsidP="00C21188"/>
        </w:tc>
        <w:tc>
          <w:tcPr>
            <w:tcW w:w="1032" w:type="dxa"/>
          </w:tcPr>
          <w:p w:rsidR="00C21188" w:rsidRPr="00C21188" w:rsidRDefault="00C21188" w:rsidP="00C21188"/>
        </w:tc>
        <w:tc>
          <w:tcPr>
            <w:tcW w:w="1064" w:type="dxa"/>
          </w:tcPr>
          <w:p w:rsidR="00C21188" w:rsidRPr="00C21188" w:rsidRDefault="00C21188" w:rsidP="00C21188"/>
        </w:tc>
        <w:tc>
          <w:tcPr>
            <w:tcW w:w="1039" w:type="dxa"/>
          </w:tcPr>
          <w:p w:rsidR="00C21188" w:rsidRPr="00C21188" w:rsidRDefault="00C21188" w:rsidP="00C21188"/>
        </w:tc>
        <w:tc>
          <w:tcPr>
            <w:tcW w:w="1056" w:type="dxa"/>
            <w:gridSpan w:val="2"/>
          </w:tcPr>
          <w:p w:rsidR="00C21188" w:rsidRPr="00C21188" w:rsidRDefault="00C21188" w:rsidP="00C21188"/>
        </w:tc>
        <w:tc>
          <w:tcPr>
            <w:tcW w:w="1052" w:type="dxa"/>
          </w:tcPr>
          <w:p w:rsidR="00C21188" w:rsidRPr="00C21188" w:rsidRDefault="00C21188" w:rsidP="00C21188"/>
        </w:tc>
      </w:tr>
      <w:tr w:rsidR="00C21188" w:rsidRPr="00C21188" w:rsidTr="00C21188">
        <w:trPr>
          <w:jc w:val="center"/>
        </w:trPr>
        <w:tc>
          <w:tcPr>
            <w:tcW w:w="3220" w:type="dxa"/>
          </w:tcPr>
          <w:p w:rsidR="00C21188" w:rsidRPr="00C21188" w:rsidRDefault="00C21188" w:rsidP="00C21188">
            <w:r w:rsidRPr="00C21188">
              <w:t xml:space="preserve">           Men</w:t>
            </w:r>
          </w:p>
        </w:tc>
        <w:tc>
          <w:tcPr>
            <w:tcW w:w="1142" w:type="dxa"/>
            <w:vAlign w:val="bottom"/>
          </w:tcPr>
          <w:p w:rsidR="00C21188" w:rsidRPr="00C21188" w:rsidRDefault="00C21188" w:rsidP="00C21188">
            <w:r w:rsidRPr="00C21188">
              <w:t>9.76</w:t>
            </w:r>
          </w:p>
        </w:tc>
        <w:tc>
          <w:tcPr>
            <w:tcW w:w="1032" w:type="dxa"/>
            <w:vAlign w:val="bottom"/>
          </w:tcPr>
          <w:p w:rsidR="00C21188" w:rsidRPr="00C21188" w:rsidRDefault="00C21188" w:rsidP="00C21188">
            <w:r w:rsidRPr="00C21188">
              <w:t>9.59</w:t>
            </w:r>
          </w:p>
        </w:tc>
        <w:tc>
          <w:tcPr>
            <w:tcW w:w="1064" w:type="dxa"/>
            <w:vAlign w:val="bottom"/>
          </w:tcPr>
          <w:p w:rsidR="00C21188" w:rsidRPr="00C21188" w:rsidRDefault="00C21188" w:rsidP="00C21188">
            <w:r w:rsidRPr="00C21188">
              <w:t>9.26</w:t>
            </w:r>
          </w:p>
        </w:tc>
        <w:tc>
          <w:tcPr>
            <w:tcW w:w="1039" w:type="dxa"/>
            <w:vAlign w:val="bottom"/>
          </w:tcPr>
          <w:p w:rsidR="00C21188" w:rsidRPr="00C21188" w:rsidRDefault="00C21188" w:rsidP="00C21188">
            <w:r w:rsidRPr="00C21188">
              <w:t>9.02</w:t>
            </w:r>
          </w:p>
        </w:tc>
        <w:tc>
          <w:tcPr>
            <w:tcW w:w="1056" w:type="dxa"/>
            <w:gridSpan w:val="2"/>
            <w:vAlign w:val="bottom"/>
          </w:tcPr>
          <w:p w:rsidR="00C21188" w:rsidRPr="00C21188" w:rsidRDefault="00C21188" w:rsidP="00C21188">
            <w:r w:rsidRPr="00C21188">
              <w:t>8.81</w:t>
            </w:r>
          </w:p>
        </w:tc>
        <w:tc>
          <w:tcPr>
            <w:tcW w:w="1052" w:type="dxa"/>
            <w:vAlign w:val="bottom"/>
          </w:tcPr>
          <w:p w:rsidR="00C21188" w:rsidRPr="00C21188" w:rsidRDefault="00C21188" w:rsidP="00C21188">
            <w:r w:rsidRPr="00C21188">
              <w:t>8.57</w:t>
            </w:r>
          </w:p>
        </w:tc>
      </w:tr>
      <w:tr w:rsidR="00C21188" w:rsidRPr="00C21188" w:rsidTr="00C21188">
        <w:trPr>
          <w:jc w:val="center"/>
        </w:trPr>
        <w:tc>
          <w:tcPr>
            <w:tcW w:w="3220" w:type="dxa"/>
          </w:tcPr>
          <w:p w:rsidR="00C21188" w:rsidRPr="00C21188" w:rsidRDefault="00C21188" w:rsidP="00C21188">
            <w:r w:rsidRPr="00C21188">
              <w:t xml:space="preserve">           Women</w:t>
            </w:r>
          </w:p>
        </w:tc>
        <w:tc>
          <w:tcPr>
            <w:tcW w:w="1142" w:type="dxa"/>
            <w:vAlign w:val="bottom"/>
          </w:tcPr>
          <w:p w:rsidR="00C21188" w:rsidRPr="00C21188" w:rsidRDefault="00C21188" w:rsidP="00C21188">
            <w:r w:rsidRPr="00C21188">
              <w:t>10.26</w:t>
            </w:r>
          </w:p>
        </w:tc>
        <w:tc>
          <w:tcPr>
            <w:tcW w:w="1032" w:type="dxa"/>
            <w:vAlign w:val="bottom"/>
          </w:tcPr>
          <w:p w:rsidR="00C21188" w:rsidRPr="00C21188" w:rsidRDefault="00C21188" w:rsidP="00C21188">
            <w:r w:rsidRPr="00C21188">
              <w:t>10.10</w:t>
            </w:r>
          </w:p>
        </w:tc>
        <w:tc>
          <w:tcPr>
            <w:tcW w:w="1064" w:type="dxa"/>
            <w:vAlign w:val="bottom"/>
          </w:tcPr>
          <w:p w:rsidR="00C21188" w:rsidRPr="00C21188" w:rsidRDefault="00C21188" w:rsidP="00C21188">
            <w:r w:rsidRPr="00C21188">
              <w:t>9.74</w:t>
            </w:r>
          </w:p>
        </w:tc>
        <w:tc>
          <w:tcPr>
            <w:tcW w:w="1039" w:type="dxa"/>
            <w:vAlign w:val="bottom"/>
          </w:tcPr>
          <w:p w:rsidR="00C21188" w:rsidRPr="00C21188" w:rsidRDefault="00C21188" w:rsidP="00C21188">
            <w:r w:rsidRPr="00C21188">
              <w:t>9.44</w:t>
            </w:r>
          </w:p>
        </w:tc>
        <w:tc>
          <w:tcPr>
            <w:tcW w:w="1056" w:type="dxa"/>
            <w:gridSpan w:val="2"/>
            <w:vAlign w:val="bottom"/>
          </w:tcPr>
          <w:p w:rsidR="00C21188" w:rsidRPr="00C21188" w:rsidRDefault="00C21188" w:rsidP="00C21188">
            <w:r w:rsidRPr="00C21188">
              <w:t>9.16</w:t>
            </w:r>
          </w:p>
        </w:tc>
        <w:tc>
          <w:tcPr>
            <w:tcW w:w="1052" w:type="dxa"/>
            <w:vAlign w:val="bottom"/>
          </w:tcPr>
          <w:p w:rsidR="00C21188" w:rsidRPr="00C21188" w:rsidRDefault="00C21188" w:rsidP="00C21188">
            <w:r w:rsidRPr="00C21188">
              <w:t>8.87</w:t>
            </w:r>
          </w:p>
        </w:tc>
      </w:tr>
      <w:tr w:rsidR="00C21188" w:rsidRPr="00C21188" w:rsidTr="00C21188">
        <w:trPr>
          <w:jc w:val="center"/>
        </w:trPr>
        <w:tc>
          <w:tcPr>
            <w:tcW w:w="3220" w:type="dxa"/>
          </w:tcPr>
          <w:p w:rsidR="00C21188" w:rsidRPr="00C21188" w:rsidRDefault="00C21188" w:rsidP="00C21188">
            <w:r w:rsidRPr="00C21188">
              <w:t>Life expectancy at birth</w:t>
            </w:r>
          </w:p>
        </w:tc>
        <w:tc>
          <w:tcPr>
            <w:tcW w:w="1142" w:type="dxa"/>
          </w:tcPr>
          <w:p w:rsidR="00C21188" w:rsidRPr="00C21188" w:rsidRDefault="00C21188" w:rsidP="00C21188"/>
        </w:tc>
        <w:tc>
          <w:tcPr>
            <w:tcW w:w="1032" w:type="dxa"/>
          </w:tcPr>
          <w:p w:rsidR="00C21188" w:rsidRPr="00C21188" w:rsidRDefault="00C21188" w:rsidP="00C21188"/>
        </w:tc>
        <w:tc>
          <w:tcPr>
            <w:tcW w:w="1064" w:type="dxa"/>
          </w:tcPr>
          <w:p w:rsidR="00C21188" w:rsidRPr="00C21188" w:rsidRDefault="00C21188" w:rsidP="00C21188"/>
        </w:tc>
        <w:tc>
          <w:tcPr>
            <w:tcW w:w="1047" w:type="dxa"/>
            <w:gridSpan w:val="2"/>
          </w:tcPr>
          <w:p w:rsidR="00C21188" w:rsidRPr="00C21188" w:rsidRDefault="00C21188" w:rsidP="00C21188"/>
        </w:tc>
        <w:tc>
          <w:tcPr>
            <w:tcW w:w="1048" w:type="dxa"/>
          </w:tcPr>
          <w:p w:rsidR="00C21188" w:rsidRPr="00C21188" w:rsidRDefault="00C21188" w:rsidP="00C21188"/>
        </w:tc>
        <w:tc>
          <w:tcPr>
            <w:tcW w:w="1052" w:type="dxa"/>
          </w:tcPr>
          <w:p w:rsidR="00C21188" w:rsidRPr="00C21188" w:rsidRDefault="00C21188" w:rsidP="00C21188"/>
        </w:tc>
      </w:tr>
      <w:tr w:rsidR="00C21188" w:rsidRPr="00C21188" w:rsidTr="00C21188">
        <w:trPr>
          <w:jc w:val="center"/>
        </w:trPr>
        <w:tc>
          <w:tcPr>
            <w:tcW w:w="3220" w:type="dxa"/>
          </w:tcPr>
          <w:p w:rsidR="00C21188" w:rsidRPr="00C21188" w:rsidRDefault="00C21188" w:rsidP="00C21188">
            <w:r w:rsidRPr="00C21188">
              <w:t xml:space="preserve">           Men</w:t>
            </w:r>
          </w:p>
        </w:tc>
        <w:tc>
          <w:tcPr>
            <w:tcW w:w="1142" w:type="dxa"/>
          </w:tcPr>
          <w:p w:rsidR="00C21188" w:rsidRPr="00C21188" w:rsidRDefault="00C21188" w:rsidP="00C21188">
            <w:r w:rsidRPr="00C21188">
              <w:t>70.8</w:t>
            </w:r>
          </w:p>
        </w:tc>
        <w:tc>
          <w:tcPr>
            <w:tcW w:w="1032" w:type="dxa"/>
          </w:tcPr>
          <w:p w:rsidR="00C21188" w:rsidRPr="00C21188" w:rsidRDefault="00C21188" w:rsidP="00C21188">
            <w:r w:rsidRPr="00C21188">
              <w:t>72.8</w:t>
            </w:r>
          </w:p>
        </w:tc>
        <w:tc>
          <w:tcPr>
            <w:tcW w:w="1064" w:type="dxa"/>
          </w:tcPr>
          <w:p w:rsidR="00C21188" w:rsidRPr="00C21188" w:rsidRDefault="00C21188" w:rsidP="00C21188">
            <w:r w:rsidRPr="00C21188">
              <w:t>75.4</w:t>
            </w:r>
          </w:p>
        </w:tc>
        <w:tc>
          <w:tcPr>
            <w:tcW w:w="1047" w:type="dxa"/>
            <w:gridSpan w:val="2"/>
          </w:tcPr>
          <w:p w:rsidR="00C21188" w:rsidRPr="00C21188" w:rsidRDefault="00C21188" w:rsidP="00C21188">
            <w:r w:rsidRPr="00C21188">
              <w:t>77.8</w:t>
            </w:r>
          </w:p>
        </w:tc>
        <w:tc>
          <w:tcPr>
            <w:tcW w:w="1048" w:type="dxa"/>
          </w:tcPr>
          <w:p w:rsidR="00C21188" w:rsidRPr="00C21188" w:rsidRDefault="00C21188" w:rsidP="00C21188">
            <w:r w:rsidRPr="00C21188">
              <w:t>80.0</w:t>
            </w:r>
          </w:p>
        </w:tc>
        <w:tc>
          <w:tcPr>
            <w:tcW w:w="1052" w:type="dxa"/>
          </w:tcPr>
          <w:p w:rsidR="00C21188" w:rsidRPr="00C21188" w:rsidRDefault="00C21188" w:rsidP="00C21188">
            <w:r w:rsidRPr="00C21188">
              <w:t>82.0</w:t>
            </w:r>
          </w:p>
        </w:tc>
      </w:tr>
      <w:tr w:rsidR="00C21188" w:rsidRPr="00C21188" w:rsidTr="00C21188">
        <w:trPr>
          <w:jc w:val="center"/>
        </w:trPr>
        <w:tc>
          <w:tcPr>
            <w:tcW w:w="3220" w:type="dxa"/>
          </w:tcPr>
          <w:p w:rsidR="00C21188" w:rsidRPr="00C21188" w:rsidRDefault="00C21188" w:rsidP="00C21188">
            <w:r w:rsidRPr="00C21188">
              <w:t xml:space="preserve">           Women</w:t>
            </w:r>
          </w:p>
        </w:tc>
        <w:tc>
          <w:tcPr>
            <w:tcW w:w="1142" w:type="dxa"/>
          </w:tcPr>
          <w:p w:rsidR="00C21188" w:rsidRPr="00C21188" w:rsidRDefault="00C21188" w:rsidP="00C21188">
            <w:r w:rsidRPr="00C21188">
              <w:t>77.9</w:t>
            </w:r>
          </w:p>
        </w:tc>
        <w:tc>
          <w:tcPr>
            <w:tcW w:w="1032" w:type="dxa"/>
          </w:tcPr>
          <w:p w:rsidR="00C21188" w:rsidRPr="00C21188" w:rsidRDefault="00C21188" w:rsidP="00C21188">
            <w:r w:rsidRPr="00C21188">
              <w:t>79.5</w:t>
            </w:r>
          </w:p>
        </w:tc>
        <w:tc>
          <w:tcPr>
            <w:tcW w:w="1064" w:type="dxa"/>
          </w:tcPr>
          <w:p w:rsidR="00C21188" w:rsidRPr="00C21188" w:rsidRDefault="00C21188" w:rsidP="00C21188">
            <w:r w:rsidRPr="00C21188">
              <w:t>81.6</w:t>
            </w:r>
          </w:p>
        </w:tc>
        <w:tc>
          <w:tcPr>
            <w:tcW w:w="1047" w:type="dxa"/>
            <w:gridSpan w:val="2"/>
          </w:tcPr>
          <w:p w:rsidR="00C21188" w:rsidRPr="00C21188" w:rsidRDefault="00C21188" w:rsidP="00C21188">
            <w:r w:rsidRPr="00C21188">
              <w:t>83.5</w:t>
            </w:r>
          </w:p>
        </w:tc>
        <w:tc>
          <w:tcPr>
            <w:tcW w:w="1048" w:type="dxa"/>
          </w:tcPr>
          <w:p w:rsidR="00C21188" w:rsidRPr="00C21188" w:rsidRDefault="00C21188" w:rsidP="00C21188">
            <w:r w:rsidRPr="00C21188">
              <w:t>85.1</w:t>
            </w:r>
          </w:p>
        </w:tc>
        <w:tc>
          <w:tcPr>
            <w:tcW w:w="1052" w:type="dxa"/>
          </w:tcPr>
          <w:p w:rsidR="00C21188" w:rsidRPr="00C21188" w:rsidRDefault="00C21188" w:rsidP="00C21188">
            <w:r w:rsidRPr="00C21188">
              <w:t>86.7</w:t>
            </w:r>
          </w:p>
        </w:tc>
      </w:tr>
      <w:tr w:rsidR="00C21188" w:rsidRPr="00C21188" w:rsidTr="00C21188">
        <w:trPr>
          <w:jc w:val="center"/>
        </w:trPr>
        <w:tc>
          <w:tcPr>
            <w:tcW w:w="3220" w:type="dxa"/>
          </w:tcPr>
          <w:p w:rsidR="00C21188" w:rsidRPr="00C21188" w:rsidRDefault="00C21188" w:rsidP="00C21188">
            <w:r w:rsidRPr="00C21188">
              <w:t>Life expectancy at 65 years of age</w:t>
            </w:r>
          </w:p>
        </w:tc>
        <w:tc>
          <w:tcPr>
            <w:tcW w:w="1142" w:type="dxa"/>
          </w:tcPr>
          <w:p w:rsidR="00C21188" w:rsidRPr="00C21188" w:rsidRDefault="00C21188" w:rsidP="00C21188"/>
        </w:tc>
        <w:tc>
          <w:tcPr>
            <w:tcW w:w="1032" w:type="dxa"/>
          </w:tcPr>
          <w:p w:rsidR="00C21188" w:rsidRPr="00C21188" w:rsidRDefault="00C21188" w:rsidP="00C21188"/>
        </w:tc>
        <w:tc>
          <w:tcPr>
            <w:tcW w:w="1064" w:type="dxa"/>
          </w:tcPr>
          <w:p w:rsidR="00C21188" w:rsidRPr="00C21188" w:rsidRDefault="00C21188" w:rsidP="00C21188"/>
        </w:tc>
        <w:tc>
          <w:tcPr>
            <w:tcW w:w="1047" w:type="dxa"/>
            <w:gridSpan w:val="2"/>
          </w:tcPr>
          <w:p w:rsidR="00C21188" w:rsidRPr="00C21188" w:rsidRDefault="00C21188" w:rsidP="00C21188"/>
        </w:tc>
        <w:tc>
          <w:tcPr>
            <w:tcW w:w="1048" w:type="dxa"/>
          </w:tcPr>
          <w:p w:rsidR="00C21188" w:rsidRPr="00C21188" w:rsidRDefault="00C21188" w:rsidP="00C21188"/>
        </w:tc>
        <w:tc>
          <w:tcPr>
            <w:tcW w:w="1052" w:type="dxa"/>
          </w:tcPr>
          <w:p w:rsidR="00C21188" w:rsidRPr="00C21188" w:rsidRDefault="00C21188" w:rsidP="00C21188"/>
        </w:tc>
      </w:tr>
      <w:tr w:rsidR="00C21188" w:rsidRPr="00C21188" w:rsidTr="00C21188">
        <w:trPr>
          <w:jc w:val="center"/>
        </w:trPr>
        <w:tc>
          <w:tcPr>
            <w:tcW w:w="3220" w:type="dxa"/>
          </w:tcPr>
          <w:p w:rsidR="00C21188" w:rsidRPr="00C21188" w:rsidRDefault="00C21188" w:rsidP="00C21188">
            <w:r w:rsidRPr="00C21188">
              <w:t xml:space="preserve">           Men</w:t>
            </w:r>
          </w:p>
        </w:tc>
        <w:tc>
          <w:tcPr>
            <w:tcW w:w="1142" w:type="dxa"/>
          </w:tcPr>
          <w:p w:rsidR="00C21188" w:rsidRPr="00C21188" w:rsidRDefault="00C21188" w:rsidP="00C21188">
            <w:r w:rsidRPr="00C21188">
              <w:t>14.5</w:t>
            </w:r>
          </w:p>
        </w:tc>
        <w:tc>
          <w:tcPr>
            <w:tcW w:w="1032" w:type="dxa"/>
          </w:tcPr>
          <w:p w:rsidR="00C21188" w:rsidRPr="00C21188" w:rsidRDefault="00C21188" w:rsidP="00C21188">
            <w:r w:rsidRPr="00C21188">
              <w:t>15.5</w:t>
            </w:r>
          </w:p>
        </w:tc>
        <w:tc>
          <w:tcPr>
            <w:tcW w:w="1064" w:type="dxa"/>
          </w:tcPr>
          <w:p w:rsidR="00C21188" w:rsidRPr="00C21188" w:rsidRDefault="00C21188" w:rsidP="00C21188">
            <w:r w:rsidRPr="00C21188">
              <w:t>16.9</w:t>
            </w:r>
          </w:p>
        </w:tc>
        <w:tc>
          <w:tcPr>
            <w:tcW w:w="1047" w:type="dxa"/>
            <w:gridSpan w:val="2"/>
          </w:tcPr>
          <w:p w:rsidR="00C21188" w:rsidRPr="00C21188" w:rsidRDefault="00C21188" w:rsidP="00C21188">
            <w:r w:rsidRPr="00C21188">
              <w:t>18.3</w:t>
            </w:r>
          </w:p>
        </w:tc>
        <w:tc>
          <w:tcPr>
            <w:tcW w:w="1048" w:type="dxa"/>
          </w:tcPr>
          <w:p w:rsidR="00C21188" w:rsidRPr="00C21188" w:rsidRDefault="00C21188" w:rsidP="00C21188">
            <w:r w:rsidRPr="00C21188">
              <w:t>19.6</w:t>
            </w:r>
          </w:p>
        </w:tc>
        <w:tc>
          <w:tcPr>
            <w:tcW w:w="1052" w:type="dxa"/>
          </w:tcPr>
          <w:p w:rsidR="00C21188" w:rsidRPr="00C21188" w:rsidRDefault="00C21188" w:rsidP="00C21188">
            <w:r w:rsidRPr="00C21188">
              <w:t>20.8</w:t>
            </w:r>
          </w:p>
        </w:tc>
      </w:tr>
      <w:tr w:rsidR="00C21188" w:rsidRPr="00C21188" w:rsidTr="00C21188">
        <w:trPr>
          <w:jc w:val="center"/>
        </w:trPr>
        <w:tc>
          <w:tcPr>
            <w:tcW w:w="3220" w:type="dxa"/>
          </w:tcPr>
          <w:p w:rsidR="00C21188" w:rsidRPr="00C21188" w:rsidRDefault="00C21188" w:rsidP="00C21188">
            <w:r w:rsidRPr="00C21188">
              <w:t xml:space="preserve">           Women</w:t>
            </w:r>
          </w:p>
        </w:tc>
        <w:tc>
          <w:tcPr>
            <w:tcW w:w="1142" w:type="dxa"/>
          </w:tcPr>
          <w:p w:rsidR="00C21188" w:rsidRPr="00C21188" w:rsidRDefault="00C21188" w:rsidP="00C21188">
            <w:r w:rsidRPr="00C21188">
              <w:t>17.8</w:t>
            </w:r>
          </w:p>
        </w:tc>
        <w:tc>
          <w:tcPr>
            <w:tcW w:w="1032" w:type="dxa"/>
          </w:tcPr>
          <w:p w:rsidR="00C21188" w:rsidRPr="00C21188" w:rsidRDefault="00C21188" w:rsidP="00C21188">
            <w:r w:rsidRPr="00C21188">
              <w:t>18.8</w:t>
            </w:r>
          </w:p>
        </w:tc>
        <w:tc>
          <w:tcPr>
            <w:tcW w:w="1064" w:type="dxa"/>
          </w:tcPr>
          <w:p w:rsidR="00C21188" w:rsidRPr="00C21188" w:rsidRDefault="00C21188" w:rsidP="00C21188">
            <w:r w:rsidRPr="00C21188">
              <w:t>20.1</w:t>
            </w:r>
          </w:p>
        </w:tc>
        <w:tc>
          <w:tcPr>
            <w:tcW w:w="1047" w:type="dxa"/>
            <w:gridSpan w:val="2"/>
          </w:tcPr>
          <w:p w:rsidR="00C21188" w:rsidRPr="00C21188" w:rsidRDefault="00C21188" w:rsidP="00C21188">
            <w:r w:rsidRPr="00C21188">
              <w:t>21.4</w:t>
            </w:r>
          </w:p>
        </w:tc>
        <w:tc>
          <w:tcPr>
            <w:tcW w:w="1048" w:type="dxa"/>
          </w:tcPr>
          <w:p w:rsidR="00C21188" w:rsidRPr="00C21188" w:rsidRDefault="00C21188" w:rsidP="00C21188">
            <w:r w:rsidRPr="00C21188">
              <w:t>22.7</w:t>
            </w:r>
          </w:p>
        </w:tc>
        <w:tc>
          <w:tcPr>
            <w:tcW w:w="1052" w:type="dxa"/>
          </w:tcPr>
          <w:p w:rsidR="00C21188" w:rsidRPr="00C21188" w:rsidRDefault="00C21188" w:rsidP="00C21188">
            <w:r w:rsidRPr="00C21188">
              <w:t>23.9</w:t>
            </w:r>
          </w:p>
        </w:tc>
      </w:tr>
    </w:tbl>
    <w:p w:rsidR="00C21188" w:rsidRPr="00C21188" w:rsidRDefault="00C21188" w:rsidP="00C21188">
      <w:r w:rsidRPr="00C21188">
        <w:t xml:space="preserve">  Source: Eurostat- EUROPOP 2013</w:t>
      </w:r>
    </w:p>
    <w:p w:rsidR="00C21188" w:rsidRPr="00C21188" w:rsidRDefault="00C21188" w:rsidP="00C21188"/>
    <w:p w:rsidR="00C21188" w:rsidRPr="00C21188" w:rsidRDefault="00C21188" w:rsidP="00C21188">
      <w:r w:rsidRPr="00C21188">
        <w:t>According to Eurostat estimates (EUROPOP2016), in Romania, life expectancy at birth for men is estimated to increase by approximately 12 years throughout the projection period, from 71/2 in 2013 to 86/6 years in 2070. Life expectancy at birth is estimated to increase by 10 years for women, from 78/5 years in 2015 to 88/3 years in 2070, which indicates a slight convergence of life expectancy between men and women. Life expectancy at 65 years is foreseen to evolve as follows:</w:t>
      </w:r>
    </w:p>
    <w:p w:rsidR="00C21188" w:rsidRPr="00C21188" w:rsidRDefault="00C21188" w:rsidP="00C21188">
      <w:pPr>
        <w:rPr>
          <w:rFonts w:eastAsia="Calibri"/>
        </w:rPr>
      </w:pPr>
      <w:r w:rsidRPr="00C21188">
        <w:t>Men  14/5 years (2015) - 22/0 years (2070)</w:t>
      </w:r>
    </w:p>
    <w:p w:rsidR="00C21188" w:rsidRPr="00C21188" w:rsidRDefault="00C21188" w:rsidP="00C21188">
      <w:pPr>
        <w:rPr>
          <w:rFonts w:eastAsia="Calibri"/>
        </w:rPr>
      </w:pPr>
      <w:r w:rsidRPr="00C21188">
        <w:t>Women  17/9 years (2015) - 25/1 years (2070)</w:t>
      </w:r>
    </w:p>
    <w:p w:rsidR="00C21188" w:rsidRPr="00C21188" w:rsidRDefault="00C21188" w:rsidP="00C21188"/>
    <w:p w:rsidR="00C21188" w:rsidRPr="00C21188" w:rsidRDefault="00C21188" w:rsidP="00C21188">
      <w:r w:rsidRPr="00C21188">
        <w:t>On medium and long term, the evolution of the pensions sector is strongly influenced by the demographic perspectives given by the evolution of the natality rate and of life expectancy and by the unavoidable process of population aging.</w:t>
      </w:r>
    </w:p>
    <w:p w:rsidR="00C21188" w:rsidRPr="00C21188" w:rsidRDefault="00C21188" w:rsidP="00C21188">
      <w:bookmarkStart w:id="19" w:name="_Toc418068108"/>
      <w:bookmarkStart w:id="20" w:name="_Toc512340249"/>
      <w:bookmarkStart w:id="21" w:name="_Toc512586767"/>
      <w:r w:rsidRPr="00C21188">
        <w:t>Table 11 - Long-term forecast of pension expenses</w:t>
      </w:r>
      <w:bookmarkEnd w:id="19"/>
      <w:bookmarkEnd w:id="20"/>
      <w:bookmarkEnd w:id="21"/>
    </w:p>
    <w:p w:rsidR="00C21188" w:rsidRPr="00C21188" w:rsidRDefault="00C21188" w:rsidP="00C21188"/>
    <w:tbl>
      <w:tblPr>
        <w:tblW w:w="9393" w:type="dxa"/>
        <w:jc w:val="center"/>
        <w:tblBorders>
          <w:top w:val="single" w:sz="2" w:space="0" w:color="365F91"/>
          <w:bottom w:val="single" w:sz="2" w:space="0" w:color="365F91"/>
          <w:insideH w:val="single" w:sz="2" w:space="0" w:color="365F91"/>
        </w:tblBorders>
        <w:tblLook w:val="00A0" w:firstRow="1" w:lastRow="0" w:firstColumn="1" w:lastColumn="0" w:noHBand="0" w:noVBand="0"/>
      </w:tblPr>
      <w:tblGrid>
        <w:gridCol w:w="2065"/>
        <w:gridCol w:w="916"/>
        <w:gridCol w:w="916"/>
        <w:gridCol w:w="916"/>
        <w:gridCol w:w="916"/>
        <w:gridCol w:w="916"/>
        <w:gridCol w:w="916"/>
        <w:gridCol w:w="916"/>
        <w:gridCol w:w="916"/>
      </w:tblGrid>
      <w:tr w:rsidR="00C21188" w:rsidRPr="00C21188" w:rsidTr="00C21188">
        <w:trPr>
          <w:trHeight w:val="475"/>
          <w:jc w:val="center"/>
        </w:trPr>
        <w:tc>
          <w:tcPr>
            <w:tcW w:w="2065" w:type="dxa"/>
            <w:shd w:val="clear" w:color="auto" w:fill="365F91"/>
            <w:vAlign w:val="center"/>
          </w:tcPr>
          <w:p w:rsidR="00C21188" w:rsidRPr="00C21188" w:rsidRDefault="00C21188" w:rsidP="00C21188"/>
        </w:tc>
        <w:tc>
          <w:tcPr>
            <w:tcW w:w="916" w:type="dxa"/>
            <w:shd w:val="clear" w:color="auto" w:fill="365F91"/>
            <w:vAlign w:val="center"/>
          </w:tcPr>
          <w:p w:rsidR="00C21188" w:rsidRPr="00C21188" w:rsidRDefault="00C21188" w:rsidP="00C21188">
            <w:bookmarkStart w:id="22" w:name="_Toc418006747"/>
            <w:r w:rsidRPr="00C21188">
              <w:t>201</w:t>
            </w:r>
            <w:bookmarkEnd w:id="22"/>
            <w:r w:rsidRPr="00C21188">
              <w:t>6</w:t>
            </w:r>
          </w:p>
        </w:tc>
        <w:tc>
          <w:tcPr>
            <w:tcW w:w="916" w:type="dxa"/>
            <w:shd w:val="clear" w:color="auto" w:fill="365F91"/>
            <w:vAlign w:val="center"/>
          </w:tcPr>
          <w:p w:rsidR="00C21188" w:rsidRPr="00C21188" w:rsidRDefault="00C21188" w:rsidP="00C21188">
            <w:bookmarkStart w:id="23" w:name="_Toc418006748"/>
            <w:r w:rsidRPr="00C21188">
              <w:t>2017</w:t>
            </w:r>
            <w:bookmarkEnd w:id="23"/>
          </w:p>
        </w:tc>
        <w:tc>
          <w:tcPr>
            <w:tcW w:w="916" w:type="dxa"/>
            <w:shd w:val="clear" w:color="auto" w:fill="365F91"/>
            <w:vAlign w:val="center"/>
          </w:tcPr>
          <w:p w:rsidR="00C21188" w:rsidRPr="00C21188" w:rsidRDefault="00C21188" w:rsidP="00C21188">
            <w:bookmarkStart w:id="24" w:name="_Toc418006749"/>
            <w:r w:rsidRPr="00C21188">
              <w:t>2020</w:t>
            </w:r>
            <w:bookmarkEnd w:id="24"/>
          </w:p>
        </w:tc>
        <w:tc>
          <w:tcPr>
            <w:tcW w:w="916" w:type="dxa"/>
            <w:shd w:val="clear" w:color="auto" w:fill="365F91"/>
            <w:vAlign w:val="center"/>
          </w:tcPr>
          <w:p w:rsidR="00C21188" w:rsidRPr="00C21188" w:rsidRDefault="00C21188" w:rsidP="00C21188">
            <w:bookmarkStart w:id="25" w:name="_Toc418006750"/>
            <w:r w:rsidRPr="00C21188">
              <w:t>2030</w:t>
            </w:r>
            <w:bookmarkEnd w:id="25"/>
          </w:p>
        </w:tc>
        <w:tc>
          <w:tcPr>
            <w:tcW w:w="916" w:type="dxa"/>
            <w:shd w:val="clear" w:color="auto" w:fill="365F91"/>
            <w:vAlign w:val="center"/>
          </w:tcPr>
          <w:p w:rsidR="00C21188" w:rsidRPr="00C21188" w:rsidRDefault="00C21188" w:rsidP="00C21188">
            <w:bookmarkStart w:id="26" w:name="_Toc418006751"/>
            <w:r w:rsidRPr="00C21188">
              <w:t>2040</w:t>
            </w:r>
            <w:bookmarkEnd w:id="26"/>
          </w:p>
        </w:tc>
        <w:tc>
          <w:tcPr>
            <w:tcW w:w="916" w:type="dxa"/>
            <w:shd w:val="clear" w:color="auto" w:fill="365F91"/>
            <w:vAlign w:val="center"/>
          </w:tcPr>
          <w:p w:rsidR="00C21188" w:rsidRPr="00C21188" w:rsidRDefault="00C21188" w:rsidP="00C21188">
            <w:bookmarkStart w:id="27" w:name="_Toc418006752"/>
            <w:r w:rsidRPr="00C21188">
              <w:t>2050</w:t>
            </w:r>
            <w:bookmarkEnd w:id="27"/>
          </w:p>
        </w:tc>
        <w:tc>
          <w:tcPr>
            <w:tcW w:w="916" w:type="dxa"/>
            <w:shd w:val="clear" w:color="auto" w:fill="365F91"/>
            <w:vAlign w:val="center"/>
          </w:tcPr>
          <w:p w:rsidR="00C21188" w:rsidRPr="00C21188" w:rsidRDefault="00C21188" w:rsidP="00C21188">
            <w:bookmarkStart w:id="28" w:name="_Toc418006753"/>
            <w:r w:rsidRPr="00C21188">
              <w:t>2060</w:t>
            </w:r>
            <w:bookmarkEnd w:id="28"/>
          </w:p>
        </w:tc>
        <w:tc>
          <w:tcPr>
            <w:tcW w:w="916" w:type="dxa"/>
            <w:shd w:val="clear" w:color="auto" w:fill="365F91"/>
            <w:vAlign w:val="center"/>
          </w:tcPr>
          <w:p w:rsidR="00C21188" w:rsidRPr="00C21188" w:rsidRDefault="00C21188" w:rsidP="00C21188">
            <w:r w:rsidRPr="00C21188">
              <w:t>2070</w:t>
            </w:r>
          </w:p>
        </w:tc>
      </w:tr>
      <w:tr w:rsidR="00C21188" w:rsidRPr="00C21188" w:rsidTr="00C21188">
        <w:trPr>
          <w:trHeight w:val="302"/>
          <w:jc w:val="center"/>
        </w:trPr>
        <w:tc>
          <w:tcPr>
            <w:tcW w:w="2065" w:type="dxa"/>
            <w:vAlign w:val="center"/>
          </w:tcPr>
          <w:p w:rsidR="00C21188" w:rsidRPr="00C21188" w:rsidRDefault="00C21188" w:rsidP="00C21188">
            <w:r w:rsidRPr="00C21188">
              <w:t>Pension pillar 1</w:t>
            </w:r>
          </w:p>
        </w:tc>
        <w:tc>
          <w:tcPr>
            <w:tcW w:w="916" w:type="dxa"/>
            <w:vAlign w:val="center"/>
          </w:tcPr>
          <w:p w:rsidR="00C21188" w:rsidRPr="00C21188" w:rsidRDefault="00C21188" w:rsidP="00C21188">
            <w:r w:rsidRPr="00C21188">
              <w:t>8.0</w:t>
            </w:r>
          </w:p>
        </w:tc>
        <w:tc>
          <w:tcPr>
            <w:tcW w:w="916" w:type="dxa"/>
            <w:vAlign w:val="center"/>
          </w:tcPr>
          <w:p w:rsidR="00C21188" w:rsidRPr="00C21188" w:rsidRDefault="00C21188" w:rsidP="00C21188">
            <w:r w:rsidRPr="00C21188">
              <w:t>7.3</w:t>
            </w:r>
          </w:p>
        </w:tc>
        <w:tc>
          <w:tcPr>
            <w:tcW w:w="916" w:type="dxa"/>
            <w:vAlign w:val="center"/>
          </w:tcPr>
          <w:p w:rsidR="00C21188" w:rsidRPr="00C21188" w:rsidRDefault="00C21188" w:rsidP="00C21188">
            <w:r w:rsidRPr="00C21188">
              <w:t>7.3</w:t>
            </w:r>
          </w:p>
        </w:tc>
        <w:tc>
          <w:tcPr>
            <w:tcW w:w="916" w:type="dxa"/>
            <w:vAlign w:val="center"/>
          </w:tcPr>
          <w:p w:rsidR="00C21188" w:rsidRPr="00C21188" w:rsidRDefault="00C21188" w:rsidP="00C21188">
            <w:r w:rsidRPr="00C21188">
              <w:t>6.6</w:t>
            </w:r>
          </w:p>
        </w:tc>
        <w:tc>
          <w:tcPr>
            <w:tcW w:w="916" w:type="dxa"/>
            <w:vAlign w:val="center"/>
          </w:tcPr>
          <w:p w:rsidR="00C21188" w:rsidRPr="00C21188" w:rsidRDefault="00C21188" w:rsidP="00C21188">
            <w:r w:rsidRPr="00C21188">
              <w:t>7.7</w:t>
            </w:r>
          </w:p>
        </w:tc>
        <w:tc>
          <w:tcPr>
            <w:tcW w:w="916" w:type="dxa"/>
            <w:vAlign w:val="center"/>
          </w:tcPr>
          <w:p w:rsidR="00C21188" w:rsidRPr="00C21188" w:rsidRDefault="00C21188" w:rsidP="00C21188">
            <w:r w:rsidRPr="00C21188">
              <w:t>8.7</w:t>
            </w:r>
          </w:p>
        </w:tc>
        <w:tc>
          <w:tcPr>
            <w:tcW w:w="916" w:type="dxa"/>
            <w:vAlign w:val="center"/>
          </w:tcPr>
          <w:p w:rsidR="00C21188" w:rsidRPr="00C21188" w:rsidRDefault="00C21188" w:rsidP="00C21188">
            <w:r w:rsidRPr="00C21188">
              <w:t>8.9</w:t>
            </w:r>
          </w:p>
        </w:tc>
        <w:tc>
          <w:tcPr>
            <w:tcW w:w="916" w:type="dxa"/>
            <w:vAlign w:val="center"/>
          </w:tcPr>
          <w:p w:rsidR="00C21188" w:rsidRPr="00C21188" w:rsidRDefault="00C21188" w:rsidP="00C21188">
            <w:r w:rsidRPr="00C21188">
              <w:t>8.7</w:t>
            </w:r>
          </w:p>
        </w:tc>
      </w:tr>
      <w:tr w:rsidR="00C21188" w:rsidRPr="00C21188" w:rsidTr="00C21188">
        <w:trPr>
          <w:trHeight w:val="317"/>
          <w:jc w:val="center"/>
        </w:trPr>
        <w:tc>
          <w:tcPr>
            <w:tcW w:w="2065" w:type="dxa"/>
            <w:vAlign w:val="center"/>
          </w:tcPr>
          <w:p w:rsidR="00C21188" w:rsidRPr="00C21188" w:rsidRDefault="00C21188" w:rsidP="00C21188">
            <w:r w:rsidRPr="00C21188">
              <w:t>Pension pillar 2</w:t>
            </w:r>
          </w:p>
        </w:tc>
        <w:tc>
          <w:tcPr>
            <w:tcW w:w="916" w:type="dxa"/>
            <w:vAlign w:val="center"/>
          </w:tcPr>
          <w:p w:rsidR="00C21188" w:rsidRPr="00C21188" w:rsidRDefault="00C21188" w:rsidP="00C21188">
            <w:r w:rsidRPr="00C21188">
              <w:t>-</w:t>
            </w:r>
          </w:p>
        </w:tc>
        <w:tc>
          <w:tcPr>
            <w:tcW w:w="916" w:type="dxa"/>
            <w:vAlign w:val="center"/>
          </w:tcPr>
          <w:p w:rsidR="00C21188" w:rsidRPr="00C21188" w:rsidRDefault="00C21188" w:rsidP="00C21188">
            <w:r w:rsidRPr="00C21188">
              <w:t>-</w:t>
            </w:r>
          </w:p>
        </w:tc>
        <w:tc>
          <w:tcPr>
            <w:tcW w:w="916" w:type="dxa"/>
            <w:vAlign w:val="center"/>
          </w:tcPr>
          <w:p w:rsidR="00C21188" w:rsidRPr="00C21188" w:rsidRDefault="00C21188" w:rsidP="00C21188">
            <w:r w:rsidRPr="00C21188">
              <w:t>-</w:t>
            </w:r>
          </w:p>
        </w:tc>
        <w:tc>
          <w:tcPr>
            <w:tcW w:w="916" w:type="dxa"/>
            <w:vAlign w:val="center"/>
          </w:tcPr>
          <w:p w:rsidR="00C21188" w:rsidRPr="00C21188" w:rsidRDefault="00C21188" w:rsidP="00C21188">
            <w:r w:rsidRPr="00C21188">
              <w:t>0.2</w:t>
            </w:r>
          </w:p>
        </w:tc>
        <w:tc>
          <w:tcPr>
            <w:tcW w:w="916" w:type="dxa"/>
            <w:vAlign w:val="center"/>
          </w:tcPr>
          <w:p w:rsidR="00C21188" w:rsidRPr="00C21188" w:rsidRDefault="00C21188" w:rsidP="00C21188">
            <w:r w:rsidRPr="00C21188">
              <w:t>0.5</w:t>
            </w:r>
          </w:p>
        </w:tc>
        <w:tc>
          <w:tcPr>
            <w:tcW w:w="916" w:type="dxa"/>
            <w:vAlign w:val="center"/>
          </w:tcPr>
          <w:p w:rsidR="00C21188" w:rsidRPr="00C21188" w:rsidRDefault="00C21188" w:rsidP="00C21188">
            <w:r w:rsidRPr="00C21188">
              <w:t>0.8</w:t>
            </w:r>
          </w:p>
        </w:tc>
        <w:tc>
          <w:tcPr>
            <w:tcW w:w="916" w:type="dxa"/>
            <w:vAlign w:val="center"/>
          </w:tcPr>
          <w:p w:rsidR="00C21188" w:rsidRPr="00C21188" w:rsidRDefault="00C21188" w:rsidP="00C21188">
            <w:r w:rsidRPr="00C21188">
              <w:t>1.0</w:t>
            </w:r>
          </w:p>
        </w:tc>
        <w:tc>
          <w:tcPr>
            <w:tcW w:w="916" w:type="dxa"/>
            <w:vAlign w:val="center"/>
          </w:tcPr>
          <w:p w:rsidR="00C21188" w:rsidRPr="00C21188" w:rsidRDefault="00C21188" w:rsidP="00C21188">
            <w:r w:rsidRPr="00C21188">
              <w:t>1.1</w:t>
            </w:r>
          </w:p>
        </w:tc>
      </w:tr>
    </w:tbl>
    <w:p w:rsidR="00C21188" w:rsidRPr="00C21188" w:rsidRDefault="00C21188" w:rsidP="00C21188">
      <w:r w:rsidRPr="00C21188">
        <w:t xml:space="preserve">    Source: National Commission of Strategy and Prognosis </w:t>
      </w:r>
    </w:p>
    <w:p w:rsidR="00C21188" w:rsidRPr="00C21188" w:rsidRDefault="00C21188" w:rsidP="00C21188"/>
    <w:p w:rsidR="00C21188" w:rsidRPr="00C21188" w:rsidRDefault="00C21188" w:rsidP="00C21188">
      <w:r w:rsidRPr="00C21188">
        <w:t>The results estimated through the pension model indicate an increase of the weight of pension expenses from pillar 1, from 8.0% of GDP in 2016 to approximately 9.0% of GDP in the middle of the 2050-60 decade, followed by a gradual decrease towards the end of the forecast period until the weights at the end of years 2040 (8.7%).</w:t>
      </w:r>
    </w:p>
    <w:p w:rsidR="00C21188" w:rsidRPr="00C21188" w:rsidRDefault="00C21188" w:rsidP="00C21188"/>
    <w:p w:rsidR="00C21188" w:rsidRPr="00C21188" w:rsidRDefault="00C21188" w:rsidP="00C21188">
      <w:r w:rsidRPr="00C21188">
        <w:t>Pension pillar 2 will have a more and more significant weight in the total pension expenses, reaching a weight of 1.1% of GDP at the end of the forecast horizon.</w:t>
      </w:r>
    </w:p>
    <w:p w:rsidR="00C21188" w:rsidRPr="00C21188" w:rsidRDefault="00C21188" w:rsidP="00C21188">
      <w:r w:rsidRPr="00C21188">
        <w:t>The projections included in the Report on population aging, edition 2018, whose results are presented in this chapter, were made before the promotion of the fiscal measures entered into force at the beginning of year 2018 and without considering the proposals of increase of the pension point in accordance with the new draft Pensions law.</w:t>
      </w:r>
    </w:p>
    <w:p w:rsidR="00C21188" w:rsidRPr="00C21188" w:rsidRDefault="00C21188" w:rsidP="00C21188"/>
    <w:p w:rsidR="00C21188" w:rsidRPr="00C21188" w:rsidRDefault="00C21188" w:rsidP="00C21188">
      <w:r w:rsidRPr="00C21188">
        <w:t>The analysis from the perspective of the Report of the European Commission on Fiscal Sustainability, 2015 edition, confirms the absence of significant short-term risks, in spite of certain sensitivities related to the net international investment position, public debt and nonperforming loans. Nevertheless, considerable risks are foreseen on medium term. The debt sustainability analysis reveals an increase of debt up to over 60% of GDP on the horizon of year 2026, combined with the risks emphasized by sensitivity tests, especially by the negative shocks that might threaten the primary balance. The simulation of simultaneous shocks against growth, the interest rate and the primary balance leads to a share bigger than 70% of public debt in GDP in year 2020. Nevertheless, it is assessed that through a convergence towards the Medium Term Objective, in accordance with the preventive instrument of the Stability and Growth Pact and following the fiscal adjustment line indicated by the Commission’s Communication on flexibility of the Stability and Growth Pact, Romania’s public debt would decrease to 35% of GDP in 2026.  On the other hand, the analysis of the gap indicator of medium term sustainability draws attention on the risks caused by the unfavorable initial budget position and, partially, by the projected public expenditures related to population aging. In conclusion, the European Commission considers that Romania’s risks related to sustainability are high on medium term. On long term, these risks are assessed at medium level and derive especially from the unfavorable initial position, being increased by the public expenditures for population aging, especially those related to health care and long term care.</w:t>
      </w:r>
    </w:p>
    <w:p w:rsidR="00C21188" w:rsidRPr="00C21188" w:rsidRDefault="00C21188" w:rsidP="00C21188"/>
    <w:p w:rsidR="00C21188" w:rsidRPr="00C21188" w:rsidRDefault="00C21188" w:rsidP="00C21188"/>
    <w:p w:rsidR="00C21188" w:rsidRPr="00C21188" w:rsidRDefault="00C21188" w:rsidP="00C21188"/>
    <w:tbl>
      <w:tblPr>
        <w:tblStyle w:val="TableGrid"/>
        <w:tblW w:w="9923" w:type="dxa"/>
        <w:tblBorders>
          <w:top w:val="single" w:sz="2" w:space="0" w:color="365F91"/>
          <w:left w:val="single" w:sz="2" w:space="0" w:color="365F91"/>
          <w:bottom w:val="single" w:sz="2" w:space="0" w:color="365F91"/>
          <w:right w:val="single" w:sz="2" w:space="0" w:color="365F91"/>
          <w:insideH w:val="none" w:sz="0" w:space="0" w:color="auto"/>
          <w:insideV w:val="none" w:sz="0" w:space="0" w:color="auto"/>
        </w:tblBorders>
        <w:shd w:val="clear" w:color="auto" w:fill="365F91"/>
        <w:tblLook w:val="04A0" w:firstRow="1" w:lastRow="0" w:firstColumn="1" w:lastColumn="0" w:noHBand="0" w:noVBand="1"/>
      </w:tblPr>
      <w:tblGrid>
        <w:gridCol w:w="9923"/>
      </w:tblGrid>
      <w:tr w:rsidR="00C21188" w:rsidRPr="00C21188" w:rsidTr="00C21188">
        <w:trPr>
          <w:trHeight w:val="415"/>
        </w:trPr>
        <w:tc>
          <w:tcPr>
            <w:tcW w:w="9923" w:type="dxa"/>
            <w:shd w:val="clear" w:color="auto" w:fill="365F91"/>
            <w:vAlign w:val="center"/>
          </w:tcPr>
          <w:p w:rsidR="00C21188" w:rsidRPr="00C21188" w:rsidRDefault="00C21188" w:rsidP="00C21188">
            <w:r w:rsidRPr="00C21188">
              <w:t>Specific fiscal and budgetary risks</w:t>
            </w:r>
          </w:p>
        </w:tc>
      </w:tr>
    </w:tbl>
    <w:p w:rsidR="00C21188" w:rsidRPr="00C21188" w:rsidRDefault="00C21188" w:rsidP="00C21188"/>
    <w:tbl>
      <w:tblPr>
        <w:tblStyle w:val="TableGrid"/>
        <w:tblW w:w="9920" w:type="dxa"/>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4F81BD"/>
        <w:tblLook w:val="04A0" w:firstRow="1" w:lastRow="0" w:firstColumn="1" w:lastColumn="0" w:noHBand="0" w:noVBand="1"/>
      </w:tblPr>
      <w:tblGrid>
        <w:gridCol w:w="9920"/>
      </w:tblGrid>
      <w:tr w:rsidR="00C21188" w:rsidRPr="00C21188" w:rsidTr="00C21188">
        <w:trPr>
          <w:trHeight w:val="707"/>
        </w:trPr>
        <w:tc>
          <w:tcPr>
            <w:tcW w:w="9920" w:type="dxa"/>
            <w:shd w:val="clear" w:color="auto" w:fill="4F81BD"/>
            <w:vAlign w:val="center"/>
          </w:tcPr>
          <w:p w:rsidR="00C21188" w:rsidRPr="00C21188" w:rsidRDefault="00C21188" w:rsidP="00C21188">
            <w:r w:rsidRPr="00C21188">
              <w:t>The budgetary risk resulting from payments that could be made by the MPF in its capacity as guarantor, for guarantees issued by the State</w:t>
            </w:r>
          </w:p>
        </w:tc>
      </w:tr>
    </w:tbl>
    <w:p w:rsidR="00C21188" w:rsidRPr="00C21188" w:rsidRDefault="00C21188" w:rsidP="00C21188">
      <w:r w:rsidRPr="00C21188">
        <w:t>The balance of public debt guaranteed by the Government, through the MPF and by the administrative-territorial units, according to GEO 64/2007, on public debt, is the following:</w:t>
      </w:r>
    </w:p>
    <w:p w:rsidR="00C21188" w:rsidRPr="00C21188" w:rsidRDefault="00C21188" w:rsidP="00C21188"/>
    <w:p w:rsidR="00C21188" w:rsidRPr="00C21188" w:rsidRDefault="00C21188" w:rsidP="00C21188">
      <w:r w:rsidRPr="00C21188">
        <w:t>The size of the Government guarantees awarded according to the national legislation</w:t>
      </w:r>
    </w:p>
    <w:tbl>
      <w:tblPr>
        <w:tblW w:w="8545" w:type="dxa"/>
        <w:jc w:val="center"/>
        <w:tblLayout w:type="fixed"/>
        <w:tblLook w:val="04A0" w:firstRow="1" w:lastRow="0" w:firstColumn="1" w:lastColumn="0" w:noHBand="0" w:noVBand="1"/>
      </w:tblPr>
      <w:tblGrid>
        <w:gridCol w:w="2038"/>
        <w:gridCol w:w="939"/>
        <w:gridCol w:w="1286"/>
        <w:gridCol w:w="1427"/>
        <w:gridCol w:w="1428"/>
        <w:gridCol w:w="1427"/>
      </w:tblGrid>
      <w:tr w:rsidR="00C21188" w:rsidRPr="00C21188" w:rsidTr="00C21188">
        <w:trPr>
          <w:trHeight w:val="780"/>
          <w:jc w:val="center"/>
        </w:trPr>
        <w:tc>
          <w:tcPr>
            <w:tcW w:w="2038" w:type="dxa"/>
            <w:tcBorders>
              <w:top w:val="single" w:sz="8" w:space="0" w:color="auto"/>
              <w:left w:val="single" w:sz="8" w:space="0" w:color="auto"/>
              <w:bottom w:val="single" w:sz="2" w:space="0" w:color="365F91"/>
              <w:right w:val="dotted" w:sz="4" w:space="0" w:color="auto"/>
            </w:tcBorders>
            <w:shd w:val="clear" w:color="auto" w:fill="365F91"/>
            <w:noWrap/>
            <w:vAlign w:val="center"/>
            <w:hideMark/>
          </w:tcPr>
          <w:p w:rsidR="00C21188" w:rsidRPr="00C21188" w:rsidRDefault="00C21188" w:rsidP="00C21188">
            <w:r w:rsidRPr="00C21188">
              <w:t> </w:t>
            </w:r>
          </w:p>
        </w:tc>
        <w:tc>
          <w:tcPr>
            <w:tcW w:w="939" w:type="dxa"/>
            <w:tcBorders>
              <w:top w:val="single" w:sz="8" w:space="0" w:color="auto"/>
              <w:left w:val="dotted" w:sz="4" w:space="0" w:color="auto"/>
              <w:bottom w:val="single" w:sz="2" w:space="0" w:color="365F91"/>
              <w:right w:val="dotted" w:sz="4" w:space="0" w:color="auto"/>
            </w:tcBorders>
            <w:shd w:val="clear" w:color="auto" w:fill="365F91"/>
            <w:noWrap/>
            <w:vAlign w:val="center"/>
            <w:hideMark/>
          </w:tcPr>
          <w:p w:rsidR="00C21188" w:rsidRPr="00C21188" w:rsidRDefault="00C21188" w:rsidP="00C21188">
            <w:r w:rsidRPr="00C21188">
              <w:t xml:space="preserve">2017 </w:t>
            </w:r>
          </w:p>
        </w:tc>
        <w:tc>
          <w:tcPr>
            <w:tcW w:w="1286" w:type="dxa"/>
            <w:tcBorders>
              <w:top w:val="single" w:sz="8" w:space="0" w:color="auto"/>
              <w:left w:val="dotted" w:sz="4" w:space="0" w:color="auto"/>
              <w:bottom w:val="single" w:sz="2" w:space="0" w:color="365F91"/>
              <w:right w:val="dotted" w:sz="4" w:space="0" w:color="auto"/>
            </w:tcBorders>
            <w:shd w:val="clear" w:color="auto" w:fill="365F91"/>
            <w:noWrap/>
            <w:vAlign w:val="center"/>
            <w:hideMark/>
          </w:tcPr>
          <w:p w:rsidR="00C21188" w:rsidRPr="00C21188" w:rsidRDefault="00C21188" w:rsidP="00C21188">
            <w:r w:rsidRPr="00C21188">
              <w:t>2018 est.</w:t>
            </w:r>
          </w:p>
        </w:tc>
        <w:tc>
          <w:tcPr>
            <w:tcW w:w="1427" w:type="dxa"/>
            <w:tcBorders>
              <w:top w:val="single" w:sz="8" w:space="0" w:color="auto"/>
              <w:left w:val="dotted" w:sz="4" w:space="0" w:color="auto"/>
              <w:bottom w:val="single" w:sz="2" w:space="0" w:color="365F91"/>
              <w:right w:val="dotted" w:sz="4" w:space="0" w:color="auto"/>
            </w:tcBorders>
            <w:shd w:val="clear" w:color="auto" w:fill="365F91"/>
            <w:noWrap/>
            <w:vAlign w:val="center"/>
            <w:hideMark/>
          </w:tcPr>
          <w:p w:rsidR="00C21188" w:rsidRPr="00C21188" w:rsidRDefault="00C21188" w:rsidP="00C21188">
            <w:r w:rsidRPr="00C21188">
              <w:t>2019 forec.</w:t>
            </w:r>
          </w:p>
        </w:tc>
        <w:tc>
          <w:tcPr>
            <w:tcW w:w="1428" w:type="dxa"/>
            <w:tcBorders>
              <w:top w:val="single" w:sz="8" w:space="0" w:color="auto"/>
              <w:left w:val="dotted" w:sz="4" w:space="0" w:color="auto"/>
              <w:bottom w:val="single" w:sz="2" w:space="0" w:color="365F91"/>
              <w:right w:val="dotted" w:sz="4" w:space="0" w:color="auto"/>
            </w:tcBorders>
            <w:shd w:val="clear" w:color="auto" w:fill="365F91"/>
            <w:noWrap/>
            <w:vAlign w:val="center"/>
            <w:hideMark/>
          </w:tcPr>
          <w:p w:rsidR="00C21188" w:rsidRPr="00C21188" w:rsidRDefault="00C21188" w:rsidP="00C21188">
            <w:r w:rsidRPr="00C21188">
              <w:t>2020 forec.</w:t>
            </w:r>
          </w:p>
        </w:tc>
        <w:tc>
          <w:tcPr>
            <w:tcW w:w="1427" w:type="dxa"/>
            <w:tcBorders>
              <w:top w:val="single" w:sz="8" w:space="0" w:color="auto"/>
              <w:left w:val="dotted" w:sz="4" w:space="0" w:color="auto"/>
              <w:bottom w:val="single" w:sz="2" w:space="0" w:color="365F91"/>
              <w:right w:val="single" w:sz="8" w:space="0" w:color="auto"/>
            </w:tcBorders>
            <w:shd w:val="clear" w:color="auto" w:fill="365F91"/>
            <w:noWrap/>
            <w:vAlign w:val="center"/>
            <w:hideMark/>
          </w:tcPr>
          <w:p w:rsidR="00C21188" w:rsidRPr="00C21188" w:rsidRDefault="00C21188" w:rsidP="00C21188">
            <w:r w:rsidRPr="00C21188">
              <w:t>2021 forec.</w:t>
            </w:r>
          </w:p>
        </w:tc>
      </w:tr>
      <w:tr w:rsidR="00C21188" w:rsidRPr="00C21188" w:rsidTr="00C21188">
        <w:trPr>
          <w:trHeight w:val="579"/>
          <w:jc w:val="center"/>
        </w:trPr>
        <w:tc>
          <w:tcPr>
            <w:tcW w:w="8545" w:type="dxa"/>
            <w:gridSpan w:val="6"/>
            <w:tcBorders>
              <w:top w:val="single" w:sz="2" w:space="0" w:color="365F91"/>
              <w:bottom w:val="single" w:sz="2" w:space="0" w:color="365F91"/>
            </w:tcBorders>
            <w:shd w:val="clear" w:color="auto" w:fill="FFFFFF" w:themeFill="background1"/>
            <w:noWrap/>
            <w:vAlign w:val="center"/>
          </w:tcPr>
          <w:p w:rsidR="00C21188" w:rsidRPr="00C21188" w:rsidRDefault="00C21188" w:rsidP="00C21188">
            <w:r w:rsidRPr="00C21188">
              <w:t>I. Balance of guaranteed public debt at the end of the period*)</w:t>
            </w:r>
          </w:p>
        </w:tc>
      </w:tr>
      <w:tr w:rsidR="00C21188" w:rsidRPr="00C21188" w:rsidTr="00C21188">
        <w:trPr>
          <w:trHeight w:val="368"/>
          <w:jc w:val="center"/>
        </w:trPr>
        <w:tc>
          <w:tcPr>
            <w:tcW w:w="2038" w:type="dxa"/>
            <w:tcBorders>
              <w:top w:val="single" w:sz="2" w:space="0" w:color="365F91"/>
              <w:bottom w:val="single" w:sz="2" w:space="0" w:color="365F91"/>
            </w:tcBorders>
            <w:shd w:val="clear" w:color="auto" w:fill="auto"/>
            <w:noWrap/>
            <w:vAlign w:val="center"/>
            <w:hideMark/>
          </w:tcPr>
          <w:p w:rsidR="00C21188" w:rsidRPr="00C21188" w:rsidRDefault="00C21188" w:rsidP="00C21188">
            <w:r w:rsidRPr="00C21188">
              <w:t xml:space="preserve">  - billion Lei -</w:t>
            </w:r>
          </w:p>
        </w:tc>
        <w:tc>
          <w:tcPr>
            <w:tcW w:w="939" w:type="dxa"/>
            <w:tcBorders>
              <w:top w:val="single" w:sz="2" w:space="0" w:color="365F91"/>
              <w:bottom w:val="single" w:sz="2" w:space="0" w:color="365F91"/>
            </w:tcBorders>
            <w:shd w:val="clear" w:color="000000" w:fill="FFFFFF"/>
            <w:noWrap/>
            <w:vAlign w:val="center"/>
            <w:hideMark/>
          </w:tcPr>
          <w:p w:rsidR="00C21188" w:rsidRPr="00C21188" w:rsidRDefault="00C21188" w:rsidP="00C21188">
            <w:r w:rsidRPr="00C21188">
              <w:t>18.1</w:t>
            </w:r>
          </w:p>
        </w:tc>
        <w:tc>
          <w:tcPr>
            <w:tcW w:w="1286" w:type="dxa"/>
            <w:tcBorders>
              <w:top w:val="single" w:sz="2" w:space="0" w:color="365F91"/>
              <w:bottom w:val="single" w:sz="2" w:space="0" w:color="365F91"/>
            </w:tcBorders>
            <w:shd w:val="clear" w:color="auto" w:fill="auto"/>
            <w:noWrap/>
            <w:vAlign w:val="center"/>
            <w:hideMark/>
          </w:tcPr>
          <w:p w:rsidR="00C21188" w:rsidRPr="00C21188" w:rsidRDefault="00C21188" w:rsidP="00C21188">
            <w:r w:rsidRPr="00C21188">
              <w:t>19.0</w:t>
            </w:r>
          </w:p>
        </w:tc>
        <w:tc>
          <w:tcPr>
            <w:tcW w:w="1427" w:type="dxa"/>
            <w:tcBorders>
              <w:top w:val="single" w:sz="2" w:space="0" w:color="365F91"/>
              <w:bottom w:val="single" w:sz="2" w:space="0" w:color="365F91"/>
            </w:tcBorders>
            <w:shd w:val="clear" w:color="auto" w:fill="auto"/>
            <w:noWrap/>
            <w:vAlign w:val="center"/>
            <w:hideMark/>
          </w:tcPr>
          <w:p w:rsidR="00C21188" w:rsidRPr="00C21188" w:rsidRDefault="00C21188" w:rsidP="00C21188">
            <w:r w:rsidRPr="00C21188">
              <w:t>26.1</w:t>
            </w:r>
          </w:p>
        </w:tc>
        <w:tc>
          <w:tcPr>
            <w:tcW w:w="1428" w:type="dxa"/>
            <w:tcBorders>
              <w:top w:val="single" w:sz="2" w:space="0" w:color="365F91"/>
              <w:bottom w:val="single" w:sz="2" w:space="0" w:color="365F91"/>
            </w:tcBorders>
            <w:shd w:val="clear" w:color="auto" w:fill="auto"/>
            <w:noWrap/>
            <w:vAlign w:val="center"/>
            <w:hideMark/>
          </w:tcPr>
          <w:p w:rsidR="00C21188" w:rsidRPr="00C21188" w:rsidRDefault="00C21188" w:rsidP="00C21188">
            <w:r w:rsidRPr="00C21188">
              <w:t>33.2</w:t>
            </w:r>
          </w:p>
        </w:tc>
        <w:tc>
          <w:tcPr>
            <w:tcW w:w="1427" w:type="dxa"/>
            <w:tcBorders>
              <w:top w:val="single" w:sz="2" w:space="0" w:color="365F91"/>
              <w:bottom w:val="single" w:sz="2" w:space="0" w:color="365F91"/>
            </w:tcBorders>
            <w:shd w:val="clear" w:color="auto" w:fill="auto"/>
            <w:noWrap/>
            <w:vAlign w:val="center"/>
            <w:hideMark/>
          </w:tcPr>
          <w:p w:rsidR="00C21188" w:rsidRPr="00C21188" w:rsidRDefault="00C21188" w:rsidP="00C21188">
            <w:r w:rsidRPr="00C21188">
              <w:t>40.3</w:t>
            </w:r>
          </w:p>
        </w:tc>
      </w:tr>
      <w:tr w:rsidR="00C21188" w:rsidRPr="00C21188" w:rsidTr="00C21188">
        <w:trPr>
          <w:trHeight w:val="368"/>
          <w:jc w:val="center"/>
        </w:trPr>
        <w:tc>
          <w:tcPr>
            <w:tcW w:w="2038" w:type="dxa"/>
            <w:tcBorders>
              <w:top w:val="single" w:sz="2" w:space="0" w:color="365F91"/>
              <w:bottom w:val="single" w:sz="2" w:space="0" w:color="365F91"/>
            </w:tcBorders>
            <w:shd w:val="clear" w:color="auto" w:fill="auto"/>
            <w:noWrap/>
            <w:vAlign w:val="center"/>
            <w:hideMark/>
          </w:tcPr>
          <w:p w:rsidR="00C21188" w:rsidRPr="00C21188" w:rsidRDefault="00C21188" w:rsidP="00C21188">
            <w:r w:rsidRPr="00C21188">
              <w:t xml:space="preserve">  - % of GDP</w:t>
            </w:r>
          </w:p>
        </w:tc>
        <w:tc>
          <w:tcPr>
            <w:tcW w:w="939" w:type="dxa"/>
            <w:tcBorders>
              <w:top w:val="single" w:sz="2" w:space="0" w:color="365F91"/>
              <w:bottom w:val="single" w:sz="2" w:space="0" w:color="365F91"/>
            </w:tcBorders>
            <w:shd w:val="clear" w:color="000000" w:fill="FFFFFF"/>
            <w:noWrap/>
            <w:vAlign w:val="center"/>
            <w:hideMark/>
          </w:tcPr>
          <w:p w:rsidR="00C21188" w:rsidRPr="00C21188" w:rsidRDefault="00C21188" w:rsidP="00C21188">
            <w:r w:rsidRPr="00C21188">
              <w:t>2.1%</w:t>
            </w:r>
          </w:p>
        </w:tc>
        <w:tc>
          <w:tcPr>
            <w:tcW w:w="1286" w:type="dxa"/>
            <w:tcBorders>
              <w:top w:val="single" w:sz="2" w:space="0" w:color="365F91"/>
              <w:bottom w:val="single" w:sz="2" w:space="0" w:color="365F91"/>
            </w:tcBorders>
            <w:shd w:val="clear" w:color="auto" w:fill="auto"/>
            <w:noWrap/>
            <w:vAlign w:val="center"/>
            <w:hideMark/>
          </w:tcPr>
          <w:p w:rsidR="00C21188" w:rsidRPr="00C21188" w:rsidRDefault="00C21188" w:rsidP="00C21188">
            <w:r w:rsidRPr="00C21188">
              <w:t>2.0%</w:t>
            </w:r>
          </w:p>
        </w:tc>
        <w:tc>
          <w:tcPr>
            <w:tcW w:w="1427" w:type="dxa"/>
            <w:tcBorders>
              <w:top w:val="single" w:sz="2" w:space="0" w:color="365F91"/>
              <w:bottom w:val="single" w:sz="2" w:space="0" w:color="365F91"/>
            </w:tcBorders>
            <w:shd w:val="clear" w:color="auto" w:fill="auto"/>
            <w:noWrap/>
            <w:vAlign w:val="center"/>
            <w:hideMark/>
          </w:tcPr>
          <w:p w:rsidR="00C21188" w:rsidRPr="00C21188" w:rsidRDefault="00C21188" w:rsidP="00C21188">
            <w:r w:rsidRPr="00C21188">
              <w:t>2.5%</w:t>
            </w:r>
          </w:p>
        </w:tc>
        <w:tc>
          <w:tcPr>
            <w:tcW w:w="1428" w:type="dxa"/>
            <w:tcBorders>
              <w:top w:val="single" w:sz="2" w:space="0" w:color="365F91"/>
              <w:bottom w:val="single" w:sz="2" w:space="0" w:color="365F91"/>
            </w:tcBorders>
            <w:shd w:val="clear" w:color="auto" w:fill="auto"/>
            <w:noWrap/>
            <w:vAlign w:val="center"/>
            <w:hideMark/>
          </w:tcPr>
          <w:p w:rsidR="00C21188" w:rsidRPr="00C21188" w:rsidRDefault="00C21188" w:rsidP="00C21188">
            <w:r w:rsidRPr="00C21188">
              <w:t>3.0%</w:t>
            </w:r>
          </w:p>
        </w:tc>
        <w:tc>
          <w:tcPr>
            <w:tcW w:w="1427" w:type="dxa"/>
            <w:tcBorders>
              <w:top w:val="single" w:sz="2" w:space="0" w:color="365F91"/>
              <w:bottom w:val="single" w:sz="2" w:space="0" w:color="365F91"/>
            </w:tcBorders>
            <w:shd w:val="clear" w:color="auto" w:fill="auto"/>
            <w:noWrap/>
            <w:vAlign w:val="center"/>
            <w:hideMark/>
          </w:tcPr>
          <w:p w:rsidR="00C21188" w:rsidRPr="00C21188" w:rsidRDefault="00C21188" w:rsidP="00C21188">
            <w:r w:rsidRPr="00C21188">
              <w:t>3.4%</w:t>
            </w:r>
          </w:p>
        </w:tc>
      </w:tr>
      <w:tr w:rsidR="00C21188" w:rsidRPr="00C21188" w:rsidTr="00C21188">
        <w:trPr>
          <w:trHeight w:val="390"/>
          <w:jc w:val="center"/>
        </w:trPr>
        <w:tc>
          <w:tcPr>
            <w:tcW w:w="2038" w:type="dxa"/>
            <w:tcBorders>
              <w:top w:val="single" w:sz="2" w:space="0" w:color="365F91"/>
              <w:bottom w:val="single" w:sz="2" w:space="0" w:color="365F91"/>
            </w:tcBorders>
            <w:shd w:val="clear" w:color="auto" w:fill="auto"/>
            <w:noWrap/>
            <w:vAlign w:val="center"/>
            <w:hideMark/>
          </w:tcPr>
          <w:p w:rsidR="00C21188" w:rsidRPr="00C21188" w:rsidRDefault="00C21188" w:rsidP="00C21188">
            <w:r w:rsidRPr="00C21188">
              <w:t>II. GDP (billion Lei)</w:t>
            </w:r>
          </w:p>
        </w:tc>
        <w:tc>
          <w:tcPr>
            <w:tcW w:w="939" w:type="dxa"/>
            <w:tcBorders>
              <w:top w:val="single" w:sz="2" w:space="0" w:color="365F91"/>
              <w:bottom w:val="single" w:sz="2" w:space="0" w:color="365F91"/>
            </w:tcBorders>
            <w:shd w:val="clear" w:color="000000" w:fill="FFFFFF"/>
            <w:noWrap/>
            <w:vAlign w:val="center"/>
            <w:hideMark/>
          </w:tcPr>
          <w:p w:rsidR="00C21188" w:rsidRPr="00C21188" w:rsidRDefault="00C21188" w:rsidP="00C21188">
            <w:r w:rsidRPr="00C21188">
              <w:t>856.7</w:t>
            </w:r>
          </w:p>
        </w:tc>
        <w:tc>
          <w:tcPr>
            <w:tcW w:w="1286" w:type="dxa"/>
            <w:tcBorders>
              <w:top w:val="single" w:sz="2" w:space="0" w:color="365F91"/>
              <w:bottom w:val="single" w:sz="2" w:space="0" w:color="365F91"/>
            </w:tcBorders>
            <w:shd w:val="clear" w:color="auto" w:fill="auto"/>
            <w:noWrap/>
            <w:vAlign w:val="center"/>
            <w:hideMark/>
          </w:tcPr>
          <w:p w:rsidR="00C21188" w:rsidRPr="00C21188" w:rsidRDefault="00C21188" w:rsidP="00C21188">
            <w:r w:rsidRPr="00C21188">
              <w:t>940.5</w:t>
            </w:r>
          </w:p>
        </w:tc>
        <w:tc>
          <w:tcPr>
            <w:tcW w:w="1427" w:type="dxa"/>
            <w:tcBorders>
              <w:top w:val="single" w:sz="2" w:space="0" w:color="365F91"/>
              <w:bottom w:val="single" w:sz="2" w:space="0" w:color="365F91"/>
            </w:tcBorders>
            <w:shd w:val="clear" w:color="auto" w:fill="auto"/>
            <w:noWrap/>
            <w:vAlign w:val="center"/>
            <w:hideMark/>
          </w:tcPr>
          <w:p w:rsidR="00C21188" w:rsidRPr="00C21188" w:rsidRDefault="00C21188" w:rsidP="00C21188">
            <w:r w:rsidRPr="00C21188">
              <w:t>1,022.5</w:t>
            </w:r>
          </w:p>
        </w:tc>
        <w:tc>
          <w:tcPr>
            <w:tcW w:w="1428" w:type="dxa"/>
            <w:tcBorders>
              <w:top w:val="single" w:sz="2" w:space="0" w:color="365F91"/>
              <w:bottom w:val="single" w:sz="2" w:space="0" w:color="365F91"/>
            </w:tcBorders>
            <w:shd w:val="clear" w:color="auto" w:fill="auto"/>
            <w:noWrap/>
            <w:vAlign w:val="center"/>
            <w:hideMark/>
          </w:tcPr>
          <w:p w:rsidR="00C21188" w:rsidRPr="00C21188" w:rsidRDefault="00C21188" w:rsidP="00C21188">
            <w:r w:rsidRPr="00C21188">
              <w:t>1,101.0</w:t>
            </w:r>
          </w:p>
        </w:tc>
        <w:tc>
          <w:tcPr>
            <w:tcW w:w="1427" w:type="dxa"/>
            <w:tcBorders>
              <w:top w:val="single" w:sz="2" w:space="0" w:color="365F91"/>
              <w:bottom w:val="single" w:sz="2" w:space="0" w:color="365F91"/>
            </w:tcBorders>
            <w:shd w:val="clear" w:color="auto" w:fill="auto"/>
            <w:noWrap/>
            <w:vAlign w:val="center"/>
            <w:hideMark/>
          </w:tcPr>
          <w:p w:rsidR="00C21188" w:rsidRPr="00C21188" w:rsidRDefault="00C21188" w:rsidP="00C21188">
            <w:r w:rsidRPr="00C21188">
              <w:t>1,178.6</w:t>
            </w:r>
          </w:p>
        </w:tc>
      </w:tr>
    </w:tbl>
    <w:p w:rsidR="00C21188" w:rsidRPr="00C21188" w:rsidRDefault="00C21188" w:rsidP="00C21188">
      <w:r w:rsidRPr="00C21188">
        <w:t xml:space="preserve">              *) the guarantee projection was based on the value estimated by the MPF for issuance of new guarantees</w:t>
      </w:r>
    </w:p>
    <w:p w:rsidR="00C21188" w:rsidRPr="00C21188" w:rsidRDefault="00C21188" w:rsidP="00C21188">
      <w:r w:rsidRPr="00C21188">
        <w:t xml:space="preserve">              Source: MPF</w:t>
      </w:r>
    </w:p>
    <w:p w:rsidR="00C21188" w:rsidRPr="00C21188" w:rsidRDefault="00C21188" w:rsidP="00C21188"/>
    <w:p w:rsidR="00C21188" w:rsidRPr="00C21188" w:rsidRDefault="00C21188" w:rsidP="00C21188">
      <w:r w:rsidRPr="00C21188">
        <w:t>Considering the decreasing stock of State guarantees issued in the past for the loans contracted by the companies and the very low degree of payments made by the MPF in its capacity of Guarantor on account of the guarantees issued within Government programs, the estimates regarding payments that shall be made from the State budget on account of these guarantees are at a level of 0.01% of GDP between 2019 and 2021. The assumptions of this scenario also considered the State guarantees issued within the Governmental guarantee programs, of which the “Prima Casa” (First Home) program is the most important.</w:t>
      </w:r>
    </w:p>
    <w:p w:rsidR="00C21188" w:rsidRPr="00C21188" w:rsidRDefault="00C21188" w:rsidP="00C21188"/>
    <w:p w:rsidR="00C21188" w:rsidRPr="00C21188" w:rsidRDefault="00C21188" w:rsidP="00C21188"/>
    <w:p w:rsidR="00C21188" w:rsidRPr="00C21188" w:rsidRDefault="00C21188" w:rsidP="00C21188">
      <w:r w:rsidRPr="00C21188">
        <w:t xml:space="preserve">       Payments of the MPF in its capacity as guarantor for the guarantees issued by the State</w:t>
      </w:r>
    </w:p>
    <w:tbl>
      <w:tblPr>
        <w:tblW w:w="9072" w:type="dxa"/>
        <w:jc w:val="center"/>
        <w:tblLayout w:type="fixed"/>
        <w:tblLook w:val="04A0" w:firstRow="1" w:lastRow="0" w:firstColumn="1" w:lastColumn="0" w:noHBand="0" w:noVBand="1"/>
      </w:tblPr>
      <w:tblGrid>
        <w:gridCol w:w="2127"/>
        <w:gridCol w:w="1134"/>
        <w:gridCol w:w="1134"/>
        <w:gridCol w:w="1559"/>
        <w:gridCol w:w="1559"/>
        <w:gridCol w:w="1559"/>
      </w:tblGrid>
      <w:tr w:rsidR="00C21188" w:rsidRPr="00C21188" w:rsidTr="00C21188">
        <w:trPr>
          <w:trHeight w:val="540"/>
          <w:jc w:val="center"/>
        </w:trPr>
        <w:tc>
          <w:tcPr>
            <w:tcW w:w="2127" w:type="dxa"/>
            <w:tcBorders>
              <w:top w:val="single" w:sz="2" w:space="0" w:color="365F91"/>
              <w:bottom w:val="single" w:sz="2" w:space="0" w:color="365F91"/>
              <w:right w:val="nil"/>
            </w:tcBorders>
            <w:shd w:val="clear" w:color="auto" w:fill="365F91"/>
            <w:noWrap/>
            <w:vAlign w:val="center"/>
            <w:hideMark/>
          </w:tcPr>
          <w:p w:rsidR="00C21188" w:rsidRPr="00C21188" w:rsidRDefault="00C21188" w:rsidP="00C21188"/>
        </w:tc>
        <w:tc>
          <w:tcPr>
            <w:tcW w:w="1134" w:type="dxa"/>
            <w:tcBorders>
              <w:top w:val="single" w:sz="2" w:space="0" w:color="365F91"/>
              <w:left w:val="nil"/>
              <w:bottom w:val="single" w:sz="2" w:space="0" w:color="365F91"/>
              <w:right w:val="nil"/>
            </w:tcBorders>
            <w:shd w:val="clear" w:color="auto" w:fill="365F91"/>
            <w:noWrap/>
            <w:vAlign w:val="center"/>
            <w:hideMark/>
          </w:tcPr>
          <w:p w:rsidR="00C21188" w:rsidRPr="00C21188" w:rsidRDefault="00C21188" w:rsidP="00C21188">
            <w:r w:rsidRPr="00C21188">
              <w:t>2017</w:t>
            </w:r>
          </w:p>
        </w:tc>
        <w:tc>
          <w:tcPr>
            <w:tcW w:w="1134" w:type="dxa"/>
            <w:tcBorders>
              <w:top w:val="single" w:sz="2" w:space="0" w:color="365F91"/>
              <w:left w:val="nil"/>
              <w:bottom w:val="single" w:sz="2" w:space="0" w:color="365F91"/>
              <w:right w:val="nil"/>
            </w:tcBorders>
            <w:shd w:val="clear" w:color="auto" w:fill="365F91"/>
            <w:noWrap/>
            <w:vAlign w:val="center"/>
            <w:hideMark/>
          </w:tcPr>
          <w:p w:rsidR="00C21188" w:rsidRPr="00C21188" w:rsidRDefault="00C21188" w:rsidP="00C21188">
            <w:r w:rsidRPr="00C21188">
              <w:t>2018 est.</w:t>
            </w:r>
          </w:p>
        </w:tc>
        <w:tc>
          <w:tcPr>
            <w:tcW w:w="1559" w:type="dxa"/>
            <w:tcBorders>
              <w:top w:val="single" w:sz="2" w:space="0" w:color="365F91"/>
              <w:left w:val="nil"/>
              <w:bottom w:val="single" w:sz="2" w:space="0" w:color="365F91"/>
              <w:right w:val="nil"/>
            </w:tcBorders>
            <w:shd w:val="clear" w:color="auto" w:fill="365F91"/>
            <w:noWrap/>
            <w:vAlign w:val="center"/>
            <w:hideMark/>
          </w:tcPr>
          <w:p w:rsidR="00C21188" w:rsidRPr="00C21188" w:rsidRDefault="00C21188" w:rsidP="00C21188">
            <w:r w:rsidRPr="00C21188">
              <w:t>2019 forec.</w:t>
            </w:r>
          </w:p>
        </w:tc>
        <w:tc>
          <w:tcPr>
            <w:tcW w:w="1559" w:type="dxa"/>
            <w:tcBorders>
              <w:top w:val="single" w:sz="2" w:space="0" w:color="365F91"/>
              <w:left w:val="nil"/>
              <w:bottom w:val="single" w:sz="2" w:space="0" w:color="365F91"/>
              <w:right w:val="nil"/>
            </w:tcBorders>
            <w:shd w:val="clear" w:color="auto" w:fill="365F91"/>
            <w:noWrap/>
            <w:vAlign w:val="center"/>
            <w:hideMark/>
          </w:tcPr>
          <w:p w:rsidR="00C21188" w:rsidRPr="00C21188" w:rsidRDefault="00C21188" w:rsidP="00C21188">
            <w:r w:rsidRPr="00C21188">
              <w:t>2020 forec.</w:t>
            </w:r>
          </w:p>
        </w:tc>
        <w:tc>
          <w:tcPr>
            <w:tcW w:w="1559" w:type="dxa"/>
            <w:tcBorders>
              <w:top w:val="single" w:sz="2" w:space="0" w:color="365F91"/>
              <w:left w:val="nil"/>
              <w:bottom w:val="single" w:sz="2" w:space="0" w:color="365F91"/>
            </w:tcBorders>
            <w:shd w:val="clear" w:color="auto" w:fill="365F91"/>
            <w:noWrap/>
            <w:vAlign w:val="center"/>
            <w:hideMark/>
          </w:tcPr>
          <w:p w:rsidR="00C21188" w:rsidRPr="00C21188" w:rsidRDefault="00C21188" w:rsidP="00C21188">
            <w:r w:rsidRPr="00C21188">
              <w:t>2021 forec.</w:t>
            </w:r>
          </w:p>
        </w:tc>
      </w:tr>
      <w:tr w:rsidR="00C21188" w:rsidRPr="00C21188" w:rsidTr="00C21188">
        <w:trPr>
          <w:trHeight w:val="540"/>
          <w:jc w:val="center"/>
        </w:trPr>
        <w:tc>
          <w:tcPr>
            <w:tcW w:w="9072" w:type="dxa"/>
            <w:gridSpan w:val="6"/>
            <w:tcBorders>
              <w:top w:val="single" w:sz="2" w:space="0" w:color="365F91"/>
              <w:bottom w:val="single" w:sz="2" w:space="0" w:color="365F91"/>
            </w:tcBorders>
            <w:shd w:val="clear" w:color="auto" w:fill="auto"/>
            <w:noWrap/>
            <w:vAlign w:val="center"/>
          </w:tcPr>
          <w:p w:rsidR="00C21188" w:rsidRPr="00C21188" w:rsidRDefault="00C21188" w:rsidP="00C21188">
            <w:r w:rsidRPr="00C21188">
              <w:t>I. Payments of the MPF in its capacity as guarantor for the guarantees issued by the State*)</w:t>
            </w:r>
          </w:p>
        </w:tc>
      </w:tr>
      <w:tr w:rsidR="00C21188" w:rsidRPr="00C21188" w:rsidTr="00C21188">
        <w:trPr>
          <w:trHeight w:val="300"/>
          <w:jc w:val="center"/>
        </w:trPr>
        <w:tc>
          <w:tcPr>
            <w:tcW w:w="2127" w:type="dxa"/>
            <w:tcBorders>
              <w:top w:val="single" w:sz="2" w:space="0" w:color="365F91"/>
              <w:bottom w:val="single" w:sz="2" w:space="0" w:color="365F91"/>
              <w:right w:val="nil"/>
            </w:tcBorders>
            <w:shd w:val="clear" w:color="auto" w:fill="auto"/>
            <w:noWrap/>
            <w:vAlign w:val="center"/>
            <w:hideMark/>
          </w:tcPr>
          <w:p w:rsidR="00C21188" w:rsidRPr="00C21188" w:rsidRDefault="00C21188" w:rsidP="00C21188">
            <w:r w:rsidRPr="00C21188">
              <w:t>- million Lei -</w:t>
            </w:r>
          </w:p>
        </w:tc>
        <w:tc>
          <w:tcPr>
            <w:tcW w:w="1134" w:type="dxa"/>
            <w:tcBorders>
              <w:top w:val="single" w:sz="2" w:space="0" w:color="365F91"/>
              <w:left w:val="nil"/>
              <w:bottom w:val="single" w:sz="2" w:space="0" w:color="365F91"/>
              <w:right w:val="nil"/>
            </w:tcBorders>
            <w:shd w:val="clear" w:color="auto" w:fill="auto"/>
            <w:noWrap/>
            <w:vAlign w:val="center"/>
            <w:hideMark/>
          </w:tcPr>
          <w:p w:rsidR="00C21188" w:rsidRPr="00C21188" w:rsidRDefault="00C21188" w:rsidP="00C21188">
            <w:r w:rsidRPr="00C21188">
              <w:t>109.2</w:t>
            </w:r>
          </w:p>
        </w:tc>
        <w:tc>
          <w:tcPr>
            <w:tcW w:w="1134" w:type="dxa"/>
            <w:tcBorders>
              <w:top w:val="single" w:sz="2" w:space="0" w:color="365F91"/>
              <w:left w:val="nil"/>
              <w:bottom w:val="single" w:sz="2" w:space="0" w:color="365F91"/>
              <w:right w:val="nil"/>
            </w:tcBorders>
            <w:shd w:val="clear" w:color="auto" w:fill="auto"/>
            <w:noWrap/>
            <w:vAlign w:val="center"/>
            <w:hideMark/>
          </w:tcPr>
          <w:p w:rsidR="00C21188" w:rsidRPr="00C21188" w:rsidRDefault="00C21188" w:rsidP="00C21188">
            <w:r w:rsidRPr="00C21188">
              <w:t>83.5</w:t>
            </w:r>
          </w:p>
        </w:tc>
        <w:tc>
          <w:tcPr>
            <w:tcW w:w="1559" w:type="dxa"/>
            <w:tcBorders>
              <w:top w:val="single" w:sz="2" w:space="0" w:color="365F91"/>
              <w:left w:val="nil"/>
              <w:bottom w:val="single" w:sz="2" w:space="0" w:color="365F91"/>
              <w:right w:val="nil"/>
            </w:tcBorders>
            <w:shd w:val="clear" w:color="auto" w:fill="auto"/>
            <w:noWrap/>
            <w:vAlign w:val="center"/>
            <w:hideMark/>
          </w:tcPr>
          <w:p w:rsidR="00C21188" w:rsidRPr="00C21188" w:rsidRDefault="00C21188" w:rsidP="00C21188">
            <w:r w:rsidRPr="00C21188">
              <w:t>98.6</w:t>
            </w:r>
          </w:p>
        </w:tc>
        <w:tc>
          <w:tcPr>
            <w:tcW w:w="1559" w:type="dxa"/>
            <w:tcBorders>
              <w:top w:val="single" w:sz="2" w:space="0" w:color="365F91"/>
              <w:left w:val="nil"/>
              <w:bottom w:val="single" w:sz="2" w:space="0" w:color="365F91"/>
              <w:right w:val="nil"/>
            </w:tcBorders>
            <w:shd w:val="clear" w:color="auto" w:fill="auto"/>
            <w:noWrap/>
            <w:vAlign w:val="center"/>
            <w:hideMark/>
          </w:tcPr>
          <w:p w:rsidR="00C21188" w:rsidRPr="00C21188" w:rsidRDefault="00C21188" w:rsidP="00C21188">
            <w:r w:rsidRPr="00C21188">
              <w:t>77.2</w:t>
            </w:r>
          </w:p>
        </w:tc>
        <w:tc>
          <w:tcPr>
            <w:tcW w:w="1559" w:type="dxa"/>
            <w:tcBorders>
              <w:top w:val="single" w:sz="2" w:space="0" w:color="365F91"/>
              <w:left w:val="nil"/>
              <w:bottom w:val="single" w:sz="2" w:space="0" w:color="365F91"/>
            </w:tcBorders>
            <w:shd w:val="clear" w:color="auto" w:fill="auto"/>
            <w:noWrap/>
            <w:vAlign w:val="center"/>
            <w:hideMark/>
          </w:tcPr>
          <w:p w:rsidR="00C21188" w:rsidRPr="00C21188" w:rsidRDefault="00C21188" w:rsidP="00C21188">
            <w:r w:rsidRPr="00C21188">
              <w:t>79.6</w:t>
            </w:r>
          </w:p>
        </w:tc>
      </w:tr>
      <w:tr w:rsidR="00C21188" w:rsidRPr="00C21188" w:rsidTr="00C21188">
        <w:trPr>
          <w:trHeight w:val="409"/>
          <w:jc w:val="center"/>
        </w:trPr>
        <w:tc>
          <w:tcPr>
            <w:tcW w:w="2127" w:type="dxa"/>
            <w:tcBorders>
              <w:top w:val="single" w:sz="2" w:space="0" w:color="365F91"/>
              <w:bottom w:val="single" w:sz="2" w:space="0" w:color="365F91"/>
              <w:right w:val="nil"/>
            </w:tcBorders>
            <w:shd w:val="clear" w:color="auto" w:fill="auto"/>
            <w:noWrap/>
            <w:vAlign w:val="center"/>
            <w:hideMark/>
          </w:tcPr>
          <w:p w:rsidR="00C21188" w:rsidRPr="00C21188" w:rsidRDefault="00C21188" w:rsidP="00C21188">
            <w:r w:rsidRPr="00C21188">
              <w:t>- % of GDP</w:t>
            </w:r>
          </w:p>
        </w:tc>
        <w:tc>
          <w:tcPr>
            <w:tcW w:w="1134" w:type="dxa"/>
            <w:tcBorders>
              <w:top w:val="single" w:sz="2" w:space="0" w:color="365F91"/>
              <w:left w:val="nil"/>
              <w:bottom w:val="single" w:sz="2" w:space="0" w:color="365F91"/>
              <w:right w:val="nil"/>
            </w:tcBorders>
            <w:shd w:val="clear" w:color="auto" w:fill="auto"/>
            <w:noWrap/>
            <w:vAlign w:val="center"/>
            <w:hideMark/>
          </w:tcPr>
          <w:p w:rsidR="00C21188" w:rsidRPr="00C21188" w:rsidRDefault="00C21188" w:rsidP="00C21188">
            <w:r w:rsidRPr="00C21188">
              <w:t>0.01%</w:t>
            </w:r>
          </w:p>
        </w:tc>
        <w:tc>
          <w:tcPr>
            <w:tcW w:w="1134" w:type="dxa"/>
            <w:tcBorders>
              <w:top w:val="single" w:sz="2" w:space="0" w:color="365F91"/>
              <w:left w:val="nil"/>
              <w:bottom w:val="single" w:sz="2" w:space="0" w:color="365F91"/>
              <w:right w:val="nil"/>
            </w:tcBorders>
            <w:shd w:val="clear" w:color="auto" w:fill="auto"/>
            <w:noWrap/>
            <w:vAlign w:val="center"/>
            <w:hideMark/>
          </w:tcPr>
          <w:p w:rsidR="00C21188" w:rsidRPr="00C21188" w:rsidRDefault="00C21188" w:rsidP="00C21188">
            <w:r w:rsidRPr="00C21188">
              <w:t>0.01%</w:t>
            </w:r>
          </w:p>
        </w:tc>
        <w:tc>
          <w:tcPr>
            <w:tcW w:w="1559" w:type="dxa"/>
            <w:tcBorders>
              <w:top w:val="single" w:sz="2" w:space="0" w:color="365F91"/>
              <w:left w:val="nil"/>
              <w:bottom w:val="single" w:sz="2" w:space="0" w:color="365F91"/>
              <w:right w:val="nil"/>
            </w:tcBorders>
            <w:shd w:val="clear" w:color="auto" w:fill="auto"/>
            <w:noWrap/>
            <w:vAlign w:val="center"/>
            <w:hideMark/>
          </w:tcPr>
          <w:p w:rsidR="00C21188" w:rsidRPr="00C21188" w:rsidRDefault="00C21188" w:rsidP="00C21188">
            <w:r w:rsidRPr="00C21188">
              <w:t>0.01%</w:t>
            </w:r>
          </w:p>
        </w:tc>
        <w:tc>
          <w:tcPr>
            <w:tcW w:w="1559" w:type="dxa"/>
            <w:tcBorders>
              <w:top w:val="single" w:sz="2" w:space="0" w:color="365F91"/>
              <w:left w:val="nil"/>
              <w:bottom w:val="single" w:sz="2" w:space="0" w:color="365F91"/>
              <w:right w:val="nil"/>
            </w:tcBorders>
            <w:shd w:val="clear" w:color="auto" w:fill="auto"/>
            <w:noWrap/>
            <w:vAlign w:val="center"/>
            <w:hideMark/>
          </w:tcPr>
          <w:p w:rsidR="00C21188" w:rsidRPr="00C21188" w:rsidRDefault="00C21188" w:rsidP="00C21188">
            <w:r w:rsidRPr="00C21188">
              <w:t>0.01%</w:t>
            </w:r>
          </w:p>
        </w:tc>
        <w:tc>
          <w:tcPr>
            <w:tcW w:w="1559" w:type="dxa"/>
            <w:tcBorders>
              <w:top w:val="single" w:sz="2" w:space="0" w:color="365F91"/>
              <w:left w:val="nil"/>
              <w:bottom w:val="single" w:sz="2" w:space="0" w:color="365F91"/>
            </w:tcBorders>
            <w:shd w:val="clear" w:color="auto" w:fill="auto"/>
            <w:noWrap/>
            <w:vAlign w:val="center"/>
            <w:hideMark/>
          </w:tcPr>
          <w:p w:rsidR="00C21188" w:rsidRPr="00C21188" w:rsidRDefault="00C21188" w:rsidP="00C21188">
            <w:r w:rsidRPr="00C21188">
              <w:t>0.01%</w:t>
            </w:r>
          </w:p>
        </w:tc>
      </w:tr>
      <w:tr w:rsidR="00C21188" w:rsidRPr="00C21188" w:rsidTr="00C21188">
        <w:trPr>
          <w:trHeight w:val="375"/>
          <w:jc w:val="center"/>
        </w:trPr>
        <w:tc>
          <w:tcPr>
            <w:tcW w:w="2127" w:type="dxa"/>
            <w:tcBorders>
              <w:top w:val="single" w:sz="2" w:space="0" w:color="365F91"/>
              <w:bottom w:val="single" w:sz="2" w:space="0" w:color="365F91"/>
              <w:right w:val="nil"/>
            </w:tcBorders>
            <w:shd w:val="clear" w:color="auto" w:fill="auto"/>
            <w:noWrap/>
            <w:vAlign w:val="center"/>
            <w:hideMark/>
          </w:tcPr>
          <w:p w:rsidR="00C21188" w:rsidRPr="00C21188" w:rsidRDefault="00C21188" w:rsidP="00C21188">
            <w:r w:rsidRPr="00C21188">
              <w:t>II. GDP (million lei)</w:t>
            </w:r>
          </w:p>
        </w:tc>
        <w:tc>
          <w:tcPr>
            <w:tcW w:w="1134" w:type="dxa"/>
            <w:tcBorders>
              <w:top w:val="single" w:sz="2" w:space="0" w:color="365F91"/>
              <w:left w:val="nil"/>
              <w:bottom w:val="single" w:sz="2" w:space="0" w:color="365F91"/>
              <w:right w:val="nil"/>
            </w:tcBorders>
            <w:shd w:val="clear" w:color="auto" w:fill="auto"/>
            <w:noWrap/>
            <w:vAlign w:val="center"/>
          </w:tcPr>
          <w:p w:rsidR="00C21188" w:rsidRPr="00C21188" w:rsidRDefault="00C21188" w:rsidP="00C21188">
            <w:r w:rsidRPr="00C21188">
              <w:t>856,700</w:t>
            </w:r>
          </w:p>
        </w:tc>
        <w:tc>
          <w:tcPr>
            <w:tcW w:w="1134" w:type="dxa"/>
            <w:tcBorders>
              <w:top w:val="single" w:sz="2" w:space="0" w:color="365F91"/>
              <w:left w:val="nil"/>
              <w:bottom w:val="single" w:sz="2" w:space="0" w:color="365F91"/>
              <w:right w:val="nil"/>
            </w:tcBorders>
            <w:shd w:val="clear" w:color="auto" w:fill="auto"/>
            <w:noWrap/>
            <w:vAlign w:val="center"/>
          </w:tcPr>
          <w:p w:rsidR="00C21188" w:rsidRPr="00C21188" w:rsidRDefault="00C21188" w:rsidP="00C21188">
            <w:r w:rsidRPr="00C21188">
              <w:t>940,500</w:t>
            </w:r>
          </w:p>
        </w:tc>
        <w:tc>
          <w:tcPr>
            <w:tcW w:w="1559" w:type="dxa"/>
            <w:tcBorders>
              <w:top w:val="single" w:sz="2" w:space="0" w:color="365F91"/>
              <w:left w:val="nil"/>
              <w:bottom w:val="single" w:sz="2" w:space="0" w:color="365F91"/>
              <w:right w:val="nil"/>
            </w:tcBorders>
            <w:shd w:val="clear" w:color="auto" w:fill="auto"/>
            <w:noWrap/>
            <w:vAlign w:val="center"/>
          </w:tcPr>
          <w:p w:rsidR="00C21188" w:rsidRPr="00C21188" w:rsidRDefault="00C21188" w:rsidP="00C21188">
            <w:r w:rsidRPr="00C21188">
              <w:t>1,022,500</w:t>
            </w:r>
          </w:p>
        </w:tc>
        <w:tc>
          <w:tcPr>
            <w:tcW w:w="1559" w:type="dxa"/>
            <w:tcBorders>
              <w:top w:val="single" w:sz="2" w:space="0" w:color="365F91"/>
              <w:left w:val="nil"/>
              <w:bottom w:val="single" w:sz="2" w:space="0" w:color="365F91"/>
              <w:right w:val="nil"/>
            </w:tcBorders>
            <w:shd w:val="clear" w:color="auto" w:fill="auto"/>
            <w:noWrap/>
            <w:vAlign w:val="center"/>
          </w:tcPr>
          <w:p w:rsidR="00C21188" w:rsidRPr="00C21188" w:rsidRDefault="00C21188" w:rsidP="00C21188">
            <w:r w:rsidRPr="00C21188">
              <w:t>1,101,000</w:t>
            </w:r>
          </w:p>
        </w:tc>
        <w:tc>
          <w:tcPr>
            <w:tcW w:w="1559" w:type="dxa"/>
            <w:tcBorders>
              <w:top w:val="single" w:sz="2" w:space="0" w:color="365F91"/>
              <w:left w:val="nil"/>
              <w:bottom w:val="single" w:sz="2" w:space="0" w:color="365F91"/>
            </w:tcBorders>
            <w:shd w:val="clear" w:color="auto" w:fill="auto"/>
            <w:noWrap/>
            <w:vAlign w:val="center"/>
          </w:tcPr>
          <w:p w:rsidR="00C21188" w:rsidRPr="00C21188" w:rsidRDefault="00C21188" w:rsidP="00C21188">
            <w:r w:rsidRPr="00C21188">
              <w:t>1,178,600</w:t>
            </w:r>
          </w:p>
        </w:tc>
      </w:tr>
      <w:tr w:rsidR="00C21188" w:rsidRPr="00C21188" w:rsidTr="00C21188">
        <w:trPr>
          <w:trHeight w:val="375"/>
          <w:jc w:val="center"/>
        </w:trPr>
        <w:tc>
          <w:tcPr>
            <w:tcW w:w="9072" w:type="dxa"/>
            <w:gridSpan w:val="6"/>
            <w:tcBorders>
              <w:top w:val="single" w:sz="2" w:space="0" w:color="365F91"/>
            </w:tcBorders>
            <w:shd w:val="clear" w:color="auto" w:fill="auto"/>
            <w:noWrap/>
            <w:vAlign w:val="center"/>
          </w:tcPr>
          <w:p w:rsidR="00C21188" w:rsidRPr="00C21188" w:rsidRDefault="00C21188" w:rsidP="00C21188">
            <w:r w:rsidRPr="00C21188">
              <w:t>Source: MPF</w:t>
            </w:r>
          </w:p>
        </w:tc>
      </w:tr>
    </w:tbl>
    <w:p w:rsidR="00C21188" w:rsidRDefault="00C21188" w:rsidP="00C21188">
      <w:r w:rsidRPr="00C21188">
        <w:t xml:space="preserve">         *) Includes all payments of the MPF in its capacity as guarantor, including those from the risk fund</w:t>
      </w:r>
    </w:p>
    <w:p w:rsidR="00CC05F6" w:rsidRDefault="00CC05F6" w:rsidP="00C21188"/>
    <w:p w:rsidR="00CC05F6" w:rsidRDefault="00CC05F6" w:rsidP="00C21188"/>
    <w:p w:rsidR="00CC05F6" w:rsidRDefault="00CC05F6" w:rsidP="00C21188"/>
    <w:p w:rsidR="00CC05F6" w:rsidRDefault="00CC05F6" w:rsidP="00C21188"/>
    <w:p w:rsidR="00CC05F6" w:rsidRPr="00C21188" w:rsidRDefault="00CC05F6" w:rsidP="00C21188"/>
    <w:p w:rsidR="00C21188" w:rsidRPr="00C21188" w:rsidRDefault="00C21188" w:rsidP="00C21188"/>
    <w:p w:rsidR="00C21188" w:rsidRPr="00C21188" w:rsidRDefault="00C21188" w:rsidP="00C21188"/>
    <w:tbl>
      <w:tblPr>
        <w:tblW w:w="0" w:type="auto"/>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4F81BD"/>
        <w:tblLook w:val="04A0" w:firstRow="1" w:lastRow="0" w:firstColumn="1" w:lastColumn="0" w:noHBand="0" w:noVBand="1"/>
      </w:tblPr>
      <w:tblGrid>
        <w:gridCol w:w="9831"/>
      </w:tblGrid>
      <w:tr w:rsidR="00C21188" w:rsidRPr="00C21188" w:rsidTr="00C21188">
        <w:tc>
          <w:tcPr>
            <w:tcW w:w="9831" w:type="dxa"/>
            <w:shd w:val="clear" w:color="auto" w:fill="4F81BD"/>
          </w:tcPr>
          <w:p w:rsidR="00C21188" w:rsidRPr="00C21188" w:rsidRDefault="00C21188" w:rsidP="00C21188"/>
          <w:p w:rsidR="00C21188" w:rsidRPr="00C21188" w:rsidRDefault="00C21188" w:rsidP="00C21188">
            <w:r w:rsidRPr="00C21188">
              <w:t>Risks that correspond to the absorption of European non-reimbursable funds</w:t>
            </w:r>
          </w:p>
          <w:p w:rsidR="00C21188" w:rsidRPr="00C21188" w:rsidRDefault="00C21188" w:rsidP="00C21188"/>
        </w:tc>
      </w:tr>
    </w:tbl>
    <w:p w:rsidR="00C21188" w:rsidRPr="00C21188" w:rsidRDefault="00C21188" w:rsidP="00C21188"/>
    <w:p w:rsidR="00C21188" w:rsidRPr="00C21188" w:rsidRDefault="00C21188" w:rsidP="00C21188">
      <w:r w:rsidRPr="00C21188">
        <w:t xml:space="preserve">The main risks related to the absorption of European non-reimbursable funds refer to the low absorption capacity and the risk of disengagement of funds allocated to Romania. </w:t>
      </w:r>
    </w:p>
    <w:p w:rsidR="00C21188" w:rsidRPr="00C21188" w:rsidRDefault="00C21188" w:rsidP="00C21188"/>
    <w:p w:rsidR="00C21188" w:rsidRPr="00C21188" w:rsidRDefault="00C21188" w:rsidP="00C21188">
      <w:r w:rsidRPr="00C21188">
        <w:t>At the same time, risks of operational nature can intervene. Examples of such risks, that might intervene between 2018 and 2020, are presented below and refer to the implementation of the Operational Program of Fishing and Marine Affairs (POPAM):</w:t>
      </w:r>
    </w:p>
    <w:p w:rsidR="00C21188" w:rsidRPr="00C21188" w:rsidRDefault="00C21188" w:rsidP="00C21188">
      <w:r w:rsidRPr="00C21188">
        <w:t>lack of available funds of the applicants/beneficiaries of POPAM;</w:t>
      </w:r>
    </w:p>
    <w:p w:rsidR="00C21188" w:rsidRPr="00C21188" w:rsidRDefault="00C21188" w:rsidP="00C21188">
      <w:r w:rsidRPr="00C21188">
        <w:t>private beneficiaries, more precisely commercial fishermen, do not have sufficient revenues to support such investments (their revenues are limited to the fishing share allocated on the fishing permit), the co-financing rate being of 50%. In order to intensify their information about the measures that have been provided in the national legislation with regard to payments, the MA will proceed to elaborating a sheet of presentation of the facilities related to payment at invoice and advance up to 50% of the amount of the non-reimbursable financial support and the distribution thereof to fishermen through the ANPA inspectors;</w:t>
      </w:r>
    </w:p>
    <w:p w:rsidR="00C21188" w:rsidRPr="00C21188" w:rsidRDefault="00C21188" w:rsidP="00C21188">
      <w:r w:rsidRPr="00C21188">
        <w:t>inoperability on significant periods of the electronic data transmission system used by DGP-MAPOPAM;</w:t>
      </w:r>
    </w:p>
    <w:p w:rsidR="00C21188" w:rsidRPr="00C21188" w:rsidRDefault="00C21188" w:rsidP="00C21188">
      <w:r w:rsidRPr="00C21188">
        <w:t>low interest of the local public authorities for the port fishing infrastructure, due to the fact that it can be financed only the modernization of the existing infrastructure, not the creation of new fishing ports, landing docks or auction centers, although the financial support for public authorities is of 100%. In this respect, the MA started discussions with the port authority in Constanta and with the fishermen organizations to identify a possible location;</w:t>
      </w:r>
    </w:p>
    <w:p w:rsidR="00C21188" w:rsidRPr="00C21188" w:rsidRDefault="00C21188" w:rsidP="00C21188">
      <w:pPr>
        <w:rPr>
          <w:rFonts w:eastAsia="Calibri"/>
        </w:rPr>
      </w:pPr>
      <w:r w:rsidRPr="00C21188">
        <w:t>significant delays in the MDRAPFE in the operationalization of all modules of the integrated management system SMIS2014+/MySMIS 2014;</w:t>
      </w:r>
    </w:p>
    <w:p w:rsidR="00C21188" w:rsidRPr="00C21188" w:rsidRDefault="00C21188" w:rsidP="00C21188">
      <w:r w:rsidRPr="00C21188">
        <w:t>difficulties of the beneficiaries in operating the data in MySMIS 2014;</w:t>
      </w:r>
    </w:p>
    <w:p w:rsidR="00C21188" w:rsidRPr="00C21188" w:rsidRDefault="00C21188" w:rsidP="00C21188">
      <w:r w:rsidRPr="00C21188">
        <w:t>temporary malfunctions of the information systems MySMIS 2014, SMIS2014, and so on.</w:t>
      </w:r>
    </w:p>
    <w:p w:rsidR="00C21188" w:rsidRPr="00C21188" w:rsidRDefault="00C21188" w:rsidP="00C21188">
      <w:r w:rsidRPr="00C21188">
        <w:t>delay/lack of approval by the EC of the amendments of the targets/operations or budget reallocations for POPAM;</w:t>
      </w:r>
    </w:p>
    <w:p w:rsidR="00C21188" w:rsidRPr="00C21188" w:rsidRDefault="00C21188" w:rsidP="00C21188">
      <w:r w:rsidRPr="00C21188">
        <w:t>frequent changes of the legislative and institutional framework;</w:t>
      </w:r>
    </w:p>
    <w:p w:rsidR="00C21188" w:rsidRPr="00C21188" w:rsidRDefault="00C21188" w:rsidP="00C21188">
      <w:pPr>
        <w:rPr>
          <w:rFonts w:eastAsia="Calibri"/>
        </w:rPr>
      </w:pPr>
      <w:r w:rsidRPr="00C21188">
        <w:t>excessive bureaucracy.</w:t>
      </w:r>
    </w:p>
    <w:p w:rsidR="00C21188" w:rsidRPr="00C21188" w:rsidRDefault="00C21188" w:rsidP="00C21188"/>
    <w:p w:rsidR="00C21188" w:rsidRPr="00C21188" w:rsidRDefault="00C21188" w:rsidP="00C21188"/>
    <w:p w:rsidR="00C21188" w:rsidRPr="00C21188" w:rsidRDefault="00C21188" w:rsidP="00C21188">
      <w:r w:rsidRPr="00C21188">
        <w:t>Implemented measures or in process of implementation</w:t>
      </w:r>
    </w:p>
    <w:p w:rsidR="00C21188" w:rsidRPr="00C21188" w:rsidRDefault="00C21188" w:rsidP="00C21188">
      <w:r w:rsidRPr="00C21188">
        <w:t xml:space="preserve">In order to avoid the risk of disengagement of funds allocated to Romania - the main risk which refers to the absorption of European funds - was taken the measure of reallocation of funds towards the sectors with maximum absorption potential, both within and among the operational programs. </w:t>
      </w:r>
    </w:p>
    <w:p w:rsidR="00C21188" w:rsidRPr="00C21188" w:rsidRDefault="00C21188" w:rsidP="00C21188">
      <w:r w:rsidRPr="00C21188">
        <w:t xml:space="preserve">Therefore, were supplemented the allocations for the Operational Regional Program (POR), being supported in addition the expenditures for technological transfer entities, entrepreneurial activities and transition towards a low carbon dioxide emissions economy, as well as those for increasing the efficiency of human resources involved in the system of coordination, management and control of ESI funds. </w:t>
      </w:r>
    </w:p>
    <w:p w:rsidR="00C21188" w:rsidRPr="00C21188" w:rsidRDefault="00C21188" w:rsidP="00C21188">
      <w:r w:rsidRPr="00C21188">
        <w:t>Another measure was the implementation of financial instruments within the Operational Program of Competitiveness (the, based on crediting with risk distribution and risk capital instruments – accelerators, and within the Regional Operational Program of uncapped guarantee instrument and equity type financial instruments.</w:t>
      </w:r>
    </w:p>
    <w:p w:rsidR="00C21188" w:rsidRPr="00C21188" w:rsidRDefault="00C21188" w:rsidP="00C21188">
      <w:r w:rsidRPr="00C21188">
        <w:t xml:space="preserve">Also, in order to increase the absorption capacity in the Operational Program of Fishing and Marine Affairs (POPAM), among the other measures were provided risk management and assessment and implementation of internal control mechanisms. </w:t>
      </w:r>
    </w:p>
    <w:p w:rsidR="00C21188" w:rsidRPr="00C21188" w:rsidRDefault="00C21188" w:rsidP="00C21188">
      <w:pPr>
        <w:rPr>
          <w:highlight w:val="yellow"/>
        </w:rPr>
      </w:pPr>
    </w:p>
    <w:p w:rsidR="00C21188" w:rsidRPr="00C21188" w:rsidRDefault="00C21188" w:rsidP="00C21188">
      <w:r w:rsidRPr="00C21188">
        <w:t xml:space="preserve">Planned measures </w:t>
      </w:r>
    </w:p>
    <w:p w:rsidR="00C21188" w:rsidRPr="00C21188" w:rsidRDefault="00C21188" w:rsidP="00C21188">
      <w:r w:rsidRPr="00C21188">
        <w:t xml:space="preserve">Among the measures planned for implementation of ESI funds,  in order to reduce the amounts at risk of disengagement (Emergency Ordinance no. 43/2018 – measures of reduction of the risk of disengagement of European funds) are provided: </w:t>
      </w:r>
    </w:p>
    <w:p w:rsidR="00C21188" w:rsidRPr="00C21188" w:rsidRDefault="00C21188" w:rsidP="00C21188">
      <w:r w:rsidRPr="00C21188">
        <w:t>-  including the Operational program “Initiative for SMEs” (POIIMM) as priority axis in the POR, so that the expenditures already reimbursed by the European Commission for the POIIMM can be reported as expenditures realized in the POR,  which contributes to the reduction of the amounts at risk of disengagement;</w:t>
      </w:r>
    </w:p>
    <w:p w:rsidR="00C21188" w:rsidRPr="00C21188" w:rsidRDefault="00C21188" w:rsidP="00C21188">
      <w:r w:rsidRPr="00C21188">
        <w:t xml:space="preserve">- Analysis of each operational program and reallocation of funds to the sectors with maximum absorption potential, both within and between the operational programs, in order to avoid the risk of disengagement of funds allocated to Romania; </w:t>
      </w:r>
    </w:p>
    <w:p w:rsidR="00C21188" w:rsidRPr="00C21188" w:rsidRDefault="00C21188" w:rsidP="00C21188">
      <w:r w:rsidRPr="00C21188">
        <w:t>Starting a training process for the beneficiaries, based on a guide on the main risks identified in the field of public procurement, in order to prevent the errors found in the implementation of the procedures related to public procurement within the projects financed from structural instruments, as well as the assurance of unitary practice in the future;</w:t>
      </w:r>
    </w:p>
    <w:p w:rsidR="00C21188" w:rsidRPr="00C21188" w:rsidRDefault="00C21188" w:rsidP="00C21188">
      <w:pPr>
        <w:rPr>
          <w:rFonts w:eastAsia="Calibri"/>
        </w:rPr>
      </w:pPr>
      <w:r w:rsidRPr="00C21188">
        <w:t>- Initiating Cooperation Programs that correspond to the EU’s cohesion policy, financed from the ERDF in order to improve risk prevention and disaster management (Cooperation in the field of risk prevention and disaster management);</w:t>
      </w:r>
    </w:p>
    <w:p w:rsidR="00C21188" w:rsidRPr="00C21188" w:rsidRDefault="00C21188" w:rsidP="00C21188">
      <w:pPr>
        <w:rPr>
          <w:rFonts w:eastAsia="Calibri"/>
        </w:rPr>
      </w:pPr>
    </w:p>
    <w:p w:rsidR="00C21188" w:rsidRPr="00C21188" w:rsidRDefault="00C21188" w:rsidP="00C21188">
      <w:pPr>
        <w:rPr>
          <w:rFonts w:eastAsia="Calibri"/>
        </w:rPr>
      </w:pPr>
      <w:r w:rsidRPr="00C21188">
        <w:t xml:space="preserve">- Implementation of IPA Program of cross-border cooperation between Romania and Serbia for 2014-2020, one of the four priority axes being environmental protection and risk management. </w:t>
      </w:r>
    </w:p>
    <w:p w:rsidR="00C21188" w:rsidRPr="00C21188" w:rsidRDefault="00C21188" w:rsidP="00C21188"/>
    <w:tbl>
      <w:tblPr>
        <w:tblW w:w="0" w:type="auto"/>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4F81BD"/>
        <w:tblLook w:val="04A0" w:firstRow="1" w:lastRow="0" w:firstColumn="1" w:lastColumn="0" w:noHBand="0" w:noVBand="1"/>
      </w:tblPr>
      <w:tblGrid>
        <w:gridCol w:w="9831"/>
      </w:tblGrid>
      <w:tr w:rsidR="00C21188" w:rsidRPr="00C21188" w:rsidTr="00C21188">
        <w:trPr>
          <w:trHeight w:val="397"/>
        </w:trPr>
        <w:tc>
          <w:tcPr>
            <w:tcW w:w="9831" w:type="dxa"/>
            <w:shd w:val="clear" w:color="auto" w:fill="4F81BD"/>
            <w:vAlign w:val="center"/>
          </w:tcPr>
          <w:p w:rsidR="00C21188" w:rsidRPr="00C21188" w:rsidRDefault="00C21188" w:rsidP="00C21188">
            <w:r w:rsidRPr="00C21188">
              <w:t>Risks associated with the sector of State-owned companies</w:t>
            </w:r>
          </w:p>
        </w:tc>
      </w:tr>
    </w:tbl>
    <w:p w:rsidR="00C21188" w:rsidRPr="00C21188" w:rsidRDefault="00C21188" w:rsidP="00C21188"/>
    <w:p w:rsidR="00C21188" w:rsidRPr="00C21188" w:rsidRDefault="00C21188" w:rsidP="00C21188">
      <w:r w:rsidRPr="00C21188">
        <w:t xml:space="preserve">The data regarding the sector of State-owned companies were obtained on the basis of the financial statements for year 2017 submitted until January 11, 2019 to the Ministry of Public Finance by the public enterprises of central and local subordination, supplied by the National Center for Financial Information. </w:t>
      </w:r>
    </w:p>
    <w:p w:rsidR="00C21188" w:rsidRPr="00C21188" w:rsidRDefault="00C21188" w:rsidP="00C21188"/>
    <w:p w:rsidR="00C21188" w:rsidRPr="00C21188" w:rsidRDefault="00C21188" w:rsidP="00C21188">
      <w:r w:rsidRPr="00C21188">
        <w:t>The number of non-financial public enterprises (economic operators) that submitted financial statements is of 1565.</w:t>
      </w:r>
    </w:p>
    <w:p w:rsidR="00C21188" w:rsidRPr="00C21188" w:rsidRDefault="00C21188" w:rsidP="00C21188">
      <w:r w:rsidRPr="00C21188">
        <w:t>Public enterprises were grouped as follows:</w:t>
      </w:r>
    </w:p>
    <w:p w:rsidR="00C21188" w:rsidRPr="00C21188" w:rsidRDefault="00C21188" w:rsidP="00C21188">
      <w:r w:rsidRPr="00C21188">
        <w:t>334 public enterprises of central subordination. Among them:</w:t>
      </w:r>
    </w:p>
    <w:p w:rsidR="00C21188" w:rsidRPr="00C21188" w:rsidRDefault="00C21188" w:rsidP="00C21188">
      <w:r w:rsidRPr="00C21188">
        <w:t>*  220 public enterprises were active</w:t>
      </w:r>
    </w:p>
    <w:p w:rsidR="00C21188" w:rsidRPr="00C21188" w:rsidRDefault="00C21188" w:rsidP="00C21188">
      <w:r w:rsidRPr="00C21188">
        <w:t xml:space="preserve">*114 public enterprises were in different stages of insolvency, bankruptcy, judicial reorganization, dissolution, according to Law 85/2014, as subsequently amended and supplemented; </w:t>
      </w:r>
    </w:p>
    <w:p w:rsidR="00C21188" w:rsidRPr="00C21188" w:rsidRDefault="00C21188" w:rsidP="00C21188">
      <w:r w:rsidRPr="00C21188">
        <w:t xml:space="preserve">1231 public enterprises of local subordination. Among them: </w:t>
      </w:r>
    </w:p>
    <w:p w:rsidR="00C21188" w:rsidRPr="00C21188" w:rsidRDefault="00C21188" w:rsidP="00C21188">
      <w:r w:rsidRPr="00C21188">
        <w:t>*  1096 public enterprises were active</w:t>
      </w:r>
    </w:p>
    <w:p w:rsidR="00C21188" w:rsidRPr="00C21188" w:rsidRDefault="00C21188" w:rsidP="00C21188">
      <w:r w:rsidRPr="00C21188">
        <w:t xml:space="preserve">*135 public enterprises were in different stages of insolvency, bankruptcy, judicial reorganization, dissolution, according to Law 85/2014, as subsequently amended and supplemented; </w:t>
      </w:r>
    </w:p>
    <w:p w:rsidR="00C21188" w:rsidRPr="00C21188" w:rsidRDefault="00C21188" w:rsidP="00C21188">
      <w:r w:rsidRPr="00C21188">
        <w:t xml:space="preserve">The main economic and financial indicators reported by the non-financial public enterprises (economic operators) </w:t>
      </w:r>
    </w:p>
    <w:p w:rsidR="00C21188" w:rsidRPr="00C21188" w:rsidRDefault="00C21188" w:rsidP="00C21188">
      <w:r w:rsidRPr="00C21188">
        <w:t>1. Own capital of the non-financial public enterprises amounted to a total of 60.96 billion Lei and represents 7.10 % of the Gross Domestic Product (GDP), of which the own capital of the enterprises of central subordination was of 60.93 billion Lei and represents 7.10 % of GDP, and the own capital of public enterprises of local subordination amounted to 0.03 billion Lei;</w:t>
      </w:r>
    </w:p>
    <w:p w:rsidR="00C21188" w:rsidRPr="00C21188" w:rsidRDefault="00C21188" w:rsidP="00C21188"/>
    <w:p w:rsidR="00C21188" w:rsidRPr="00C21188" w:rsidRDefault="00C21188" w:rsidP="00C21188">
      <w:r w:rsidRPr="00C21188">
        <w:t>2. Total assets of non-financial public enterprises amounted to a total of 180.80 billion Lei, of which the total assets of public enterprises of central subordination amounted to 148.83 billion Lei, and the total assets of public enterprises of local subordination were of 31.97 billion Lei.</w:t>
      </w:r>
    </w:p>
    <w:p w:rsidR="00C21188" w:rsidRPr="00C21188" w:rsidRDefault="00C21188" w:rsidP="00C21188"/>
    <w:p w:rsidR="00C21188" w:rsidRPr="00C21188" w:rsidRDefault="00C21188" w:rsidP="00C21188">
      <w:r w:rsidRPr="00C21188">
        <w:t>3. Total debts (amounts which must be paid within a period of up to 1 year and over 1 year) of non-financial public enterprises amounted to a total of 55.13 billion Lei, of which the total debts of public enterprises of central subordination amounted to 39.43 billion Lei, and the total debts of public enterprises of local subordination were of 15.70 billion Lei.</w:t>
      </w:r>
    </w:p>
    <w:p w:rsidR="00C21188" w:rsidRPr="00C21188" w:rsidRDefault="00C21188" w:rsidP="00C21188"/>
    <w:p w:rsidR="00C21188" w:rsidRPr="00C21188" w:rsidRDefault="00C21188" w:rsidP="00C21188">
      <w:r w:rsidRPr="00C21188">
        <w:t>Of the total debts, outstanding payments of non-financial public enterprises amounted to a total of 23.87 billion Lei and represent 2.78% of GDP. Among them, the outstanding payments of public enterprises of central subordination amounted to 15.85 billion Lei and represent 1.84% of GDP, and the outstanding payments of enterprises of local subordination were of 8.02 billion Lei and represent 0.93% of GDP.</w:t>
      </w:r>
    </w:p>
    <w:p w:rsidR="00C21188" w:rsidRPr="00C21188" w:rsidRDefault="00C21188" w:rsidP="00C21188"/>
    <w:p w:rsidR="00C21188" w:rsidRPr="00C21188" w:rsidRDefault="00C21188" w:rsidP="00C21188">
      <w:r w:rsidRPr="00C21188">
        <w:t>Of the total outstanding payments of enterprises of central subordination, the amount of 3.89 billion Lei was registered by 220 active public enterprises and the amount of 11.96 billion Lei was registered by 114 public enterprises undergoing different stages of insolvency, bankruptcy, judicial reorganization, dissolution, according to Law no. 85/2014;</w:t>
      </w:r>
    </w:p>
    <w:p w:rsidR="00C21188" w:rsidRPr="00C21188" w:rsidRDefault="00C21188" w:rsidP="00C21188"/>
    <w:p w:rsidR="00C21188" w:rsidRPr="00C21188" w:rsidRDefault="00C21188" w:rsidP="00C21188">
      <w:r w:rsidRPr="00C21188">
        <w:t>Of the total outstanding payments of enterprises of local subordination, the amount of 1.13 billion Lei was registered by 1096 active public enterprises and the amount of 6.89 billion Lei was registered by 135 public enterprises undergoing different stages of insolvency, bankruptcy, judicial reorganization, dissolution, according to Law no. 85/2014;</w:t>
      </w:r>
    </w:p>
    <w:p w:rsidR="00C21188" w:rsidRPr="00C21188" w:rsidRDefault="00C21188" w:rsidP="00C21188"/>
    <w:p w:rsidR="00C21188" w:rsidRPr="00C21188" w:rsidRDefault="00C21188" w:rsidP="00C21188">
      <w:r w:rsidRPr="00C21188">
        <w:t>4. The indebtedness degree calculated according to the formula (Total Debt/Total Assets) of non-financial public enterprises was of 30.49% of which public enterprises of central subordination register an indebtedness degree of 26.50%, and public enterprises of local subordination register an indebtedness degree of 49.10%.</w:t>
      </w:r>
    </w:p>
    <w:p w:rsidR="00C21188" w:rsidRPr="00C21188" w:rsidRDefault="00C21188" w:rsidP="00C21188"/>
    <w:p w:rsidR="00C21188" w:rsidRPr="00C21188" w:rsidRDefault="00C21188" w:rsidP="00C21188">
      <w:r w:rsidRPr="00C21188">
        <w:t xml:space="preserve">5. With regard to gross loss/gross profit registered by non-financial public enterprises in 2017, the data analysis reveals the following: </w:t>
      </w:r>
    </w:p>
    <w:p w:rsidR="00C21188" w:rsidRPr="00C21188" w:rsidRDefault="00C21188" w:rsidP="00C21188">
      <w:r w:rsidRPr="00C21188">
        <w:t>a) Of the 334 public enterprises of central subordination, a number of 209 public enterprises registered gross profit amounting to a total of 9.47 billion Lei, representing 1.10% of GDP, and a number of 125 public enterprises registered gross loss amounting to a total of 1.50 billion Lei, representing 0.17% of GDP.</w:t>
      </w:r>
    </w:p>
    <w:p w:rsidR="00C21188" w:rsidRPr="00C21188" w:rsidRDefault="00C21188" w:rsidP="00C21188"/>
    <w:p w:rsidR="00C21188" w:rsidRPr="00C21188" w:rsidRDefault="00C21188" w:rsidP="00C21188">
      <w:r w:rsidRPr="00C21188">
        <w:t>b) Of the 1231 public enterprises of local subordination, a number of 700 public enterprises registered gross profit amounting to a total of 0.58 billion Lei, representing 0.07% of GDP, and a number of 531 public enterprises registered gross loss amounting to a total of 0.45 billion Lei, representing 0.05% of GDP.</w:t>
      </w:r>
    </w:p>
    <w:p w:rsidR="00C21188" w:rsidRPr="00C21188" w:rsidRDefault="00C21188" w:rsidP="00C21188"/>
    <w:p w:rsidR="00C21188" w:rsidRPr="00C21188" w:rsidRDefault="00C21188" w:rsidP="00C21188">
      <w:r w:rsidRPr="00C21188">
        <w:t>6. The value of State participations in non-financial public enterprises of central subordination which submitted their financial statements for 2017 was of a total of 27.94 billion Lei, of which direct participations were of 26.41 billion Lei and indirect participations were of 1.53 billion Lei;</w:t>
      </w:r>
    </w:p>
    <w:p w:rsidR="00C21188" w:rsidRPr="00C21188" w:rsidRDefault="00C21188" w:rsidP="00C21188"/>
    <w:p w:rsidR="00C21188" w:rsidRPr="00C21188" w:rsidRDefault="00C21188" w:rsidP="00C21188">
      <w:r w:rsidRPr="00C21188">
        <w:t xml:space="preserve">In the Ministry of Public Finance were monitored 405 non-financial public enterprises of central subordination, which registered at the end of 2017 outstanding payments amounting to a total of 15.24 billion Lei and a gross result of a total of 7.80 billion Lei. </w:t>
      </w:r>
    </w:p>
    <w:p w:rsidR="00C21188" w:rsidRPr="00C21188" w:rsidRDefault="00C21188" w:rsidP="00C21188"/>
    <w:p w:rsidR="00C21188" w:rsidRPr="00C21188" w:rsidRDefault="00C21188" w:rsidP="00C21188">
      <w:r w:rsidRPr="00C21188">
        <w:t>Of the 450 public enterprises of central subordination, the outstanding payments  of 3.97 billion Lei were registered by 220 active public enterprises, and the amount of 11.27 billion Lei was registered by 185 public enterprises undergoing different stages of insolvency, bankruptcy, judicial reorganization, dissolution, according to Law no. 85/2014;</w:t>
      </w:r>
    </w:p>
    <w:p w:rsidR="00C21188" w:rsidRPr="00C21188" w:rsidRDefault="00C21188" w:rsidP="00C21188"/>
    <w:p w:rsidR="00C21188" w:rsidRPr="00C21188" w:rsidRDefault="00C21188" w:rsidP="00C21188">
      <w:r w:rsidRPr="00C21188">
        <w:t>Were also monitored 1441 non-financial public enterprises of local subordination which registered at the end of 2017 outstanding payments amounting to a total of 8.47 billion Lei and a gross result of a total of 0.32 billion Lei.</w:t>
      </w:r>
    </w:p>
    <w:p w:rsidR="00C21188" w:rsidRPr="00C21188" w:rsidRDefault="00C21188" w:rsidP="00C21188"/>
    <w:p w:rsidR="00C21188" w:rsidRPr="00C21188" w:rsidRDefault="00C21188" w:rsidP="00C21188">
      <w:r w:rsidRPr="00C21188">
        <w:t>Of the 1441 public enterprises of local subordination, the outstanding payments of 1.15 billion Lei were registered by 1228 active public enterprises, and the amount of 7.32 billion Lei was registered by 213 public enterprises undergoing different stages of insolvency, bankruptcy, judicial reorganization, dissolution, according to Law no. 85/2014;</w:t>
      </w:r>
    </w:p>
    <w:p w:rsidR="00C21188" w:rsidRPr="00C21188" w:rsidRDefault="00C21188" w:rsidP="00C21188"/>
    <w:p w:rsidR="00C21188" w:rsidRPr="00C21188" w:rsidRDefault="00C21188" w:rsidP="00C21188">
      <w:r w:rsidRPr="00C21188">
        <w:t>Main economic and financial indicators reported by financial public enterprises</w:t>
      </w:r>
    </w:p>
    <w:p w:rsidR="00C21188" w:rsidRPr="00C21188" w:rsidRDefault="00C21188" w:rsidP="00C21188">
      <w:r w:rsidRPr="00C21188">
        <w:t>The State owns share capital in a majority or entire proportion in 7 financial public enterprises.</w:t>
      </w:r>
    </w:p>
    <w:p w:rsidR="00C21188" w:rsidRPr="00C21188" w:rsidRDefault="00C21188" w:rsidP="00C21188">
      <w:r w:rsidRPr="00C21188">
        <w:t>1. Their own capital amounted to a total of 3.27 billion Lei and represents 0.38 % of GDP;</w:t>
      </w:r>
    </w:p>
    <w:p w:rsidR="00C21188" w:rsidRPr="00C21188" w:rsidRDefault="00C21188" w:rsidP="00C21188">
      <w:r w:rsidRPr="00C21188">
        <w:t>2. Total assets amounted to a total of 39.06 billion Lei.</w:t>
      </w:r>
    </w:p>
    <w:p w:rsidR="00C21188" w:rsidRPr="00C21188" w:rsidRDefault="00C21188" w:rsidP="00C21188">
      <w:r w:rsidRPr="00C21188">
        <w:t>3. Total debt (amounts which must be paid within a period of up to 1 year and over 1 year) were of a total of 33.97 billion Lei.</w:t>
      </w:r>
    </w:p>
    <w:p w:rsidR="00C21188" w:rsidRPr="00C21188" w:rsidRDefault="00C21188" w:rsidP="00C21188">
      <w:r w:rsidRPr="00C21188">
        <w:t>4. The indebtedness degree calculated according to the formula (Total Debt/Total Assets) was of 86.96 %.</w:t>
      </w:r>
    </w:p>
    <w:p w:rsidR="00C21188" w:rsidRPr="00C21188" w:rsidRDefault="00C21188" w:rsidP="00C21188">
      <w:r w:rsidRPr="00C21188">
        <w:t>5. The gross profit amounted to a total of 0.26 billion Lei and represents 0.03% of GDP;</w:t>
      </w:r>
    </w:p>
    <w:p w:rsidR="00C21188" w:rsidRPr="00C21188" w:rsidRDefault="00C21188" w:rsidP="00C21188">
      <w:r w:rsidRPr="00C21188">
        <w:t>6. The value of State participations was of a total of 2.96 billion Lei of which direct participations were of 2.88 billion Lei and indirect participations were of 0.08 billion Lei;</w:t>
      </w:r>
    </w:p>
    <w:p w:rsidR="00C21188" w:rsidRPr="00C21188" w:rsidRDefault="00C21188" w:rsidP="00C21188">
      <w:r w:rsidRPr="00C21188">
        <w:t xml:space="preserve">The GDP used is of 858.7 billion Lei (according to the projection of the main macro-economic indicators for 2018-2022 interim summer forecast for 2018 – source: National Commission for Strategy and Prognosis. </w:t>
      </w:r>
    </w:p>
    <w:tbl>
      <w:tblPr>
        <w:tblW w:w="0" w:type="auto"/>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4F81BD"/>
        <w:tblLook w:val="04A0" w:firstRow="1" w:lastRow="0" w:firstColumn="1" w:lastColumn="0" w:noHBand="0" w:noVBand="1"/>
      </w:tblPr>
      <w:tblGrid>
        <w:gridCol w:w="9831"/>
      </w:tblGrid>
      <w:tr w:rsidR="00C21188" w:rsidRPr="00C21188" w:rsidTr="00C21188">
        <w:trPr>
          <w:trHeight w:val="397"/>
        </w:trPr>
        <w:tc>
          <w:tcPr>
            <w:tcW w:w="9831" w:type="dxa"/>
            <w:shd w:val="clear" w:color="auto" w:fill="4F81BD"/>
            <w:vAlign w:val="center"/>
          </w:tcPr>
          <w:p w:rsidR="00C21188" w:rsidRPr="00C21188" w:rsidRDefault="00C21188" w:rsidP="00C21188">
            <w:r w:rsidRPr="00C21188">
              <w:t xml:space="preserve"> Risks generated by emergency situations (natural disasters, accidents)</w:t>
            </w:r>
          </w:p>
          <w:p w:rsidR="00C21188" w:rsidRPr="00C21188" w:rsidRDefault="00C21188" w:rsidP="00C21188"/>
        </w:tc>
      </w:tr>
    </w:tbl>
    <w:p w:rsidR="00C21188" w:rsidRPr="00C21188" w:rsidRDefault="00C21188" w:rsidP="00C21188"/>
    <w:tbl>
      <w:tblPr>
        <w:tblW w:w="0" w:type="auto"/>
        <w:tblBorders>
          <w:top w:val="single" w:sz="2" w:space="0" w:color="365F91"/>
          <w:left w:val="single" w:sz="2" w:space="0" w:color="365F91"/>
          <w:bottom w:val="single" w:sz="2" w:space="0" w:color="365F91"/>
          <w:right w:val="single" w:sz="2" w:space="0" w:color="365F91"/>
        </w:tblBorders>
        <w:tblLook w:val="04A0" w:firstRow="1" w:lastRow="0" w:firstColumn="1" w:lastColumn="0" w:noHBand="0" w:noVBand="1"/>
      </w:tblPr>
      <w:tblGrid>
        <w:gridCol w:w="9831"/>
      </w:tblGrid>
      <w:tr w:rsidR="00C21188" w:rsidRPr="00C21188" w:rsidTr="00C21188">
        <w:trPr>
          <w:trHeight w:val="397"/>
        </w:trPr>
        <w:tc>
          <w:tcPr>
            <w:tcW w:w="9831" w:type="dxa"/>
            <w:shd w:val="clear" w:color="auto" w:fill="DBE5F1"/>
          </w:tcPr>
          <w:p w:rsidR="00C21188" w:rsidRPr="00C21188" w:rsidRDefault="00C21188" w:rsidP="00C21188"/>
          <w:p w:rsidR="00C21188" w:rsidRPr="00C21188" w:rsidRDefault="00C21188" w:rsidP="00C21188">
            <w:r w:rsidRPr="00C21188">
              <w:t>System of management of risks generated by emergency situations in Romania</w:t>
            </w:r>
          </w:p>
          <w:p w:rsidR="00C21188" w:rsidRPr="00C21188" w:rsidRDefault="00C21188" w:rsidP="00C21188"/>
        </w:tc>
      </w:tr>
    </w:tbl>
    <w:p w:rsidR="00C21188" w:rsidRPr="00C21188" w:rsidRDefault="00C21188" w:rsidP="00C21188"/>
    <w:p w:rsidR="00C21188" w:rsidRPr="00C21188" w:rsidRDefault="00C21188" w:rsidP="00C21188">
      <w:r w:rsidRPr="00C21188">
        <w:t>In Romania, the system of risk management</w:t>
      </w:r>
      <w:r w:rsidRPr="00C21188">
        <w:footnoteReference w:id="54"/>
      </w:r>
      <w:r w:rsidRPr="00C21188">
        <w:t xml:space="preserve"> comprises a series of institutions belonging to the central public administration, as well as to the local one. The institutional capacity and the resources thereof are important due to the imminence of certain types of emergency situations, which have a repetitive model in Romania and an important impact on people, the environment and social and political stability. The system was created to ensure efficient management of any type of emergency situation and, also, to cover the obligations Romania has as part of international treaties and agreements, especially as Member State of the European Union. It also includes an European risk prevention system, considering the cross-border nature of contemporary risks. </w:t>
      </w:r>
    </w:p>
    <w:p w:rsidR="00C21188" w:rsidRPr="00C21188" w:rsidRDefault="00C21188" w:rsidP="00C21188"/>
    <w:p w:rsidR="00C21188" w:rsidRPr="00C21188" w:rsidRDefault="00C21188" w:rsidP="00C21188">
      <w:r w:rsidRPr="00C21188">
        <w:t xml:space="preserve">The Ministry of Internal Affairs elaborates the main public policies related to emergency situations, as well as the centralization of the assessment and management of risks whose management is under the responsibility of line ministries.  Some of the line ministries which must fulfill positions of support in the management of emergency situations are: The Ministry of Regional Development and Public Administration, the Ministry of Environment, the Ministry of Agriculture and Rural Development, the Ministry of Health, the Ministry of Economy. </w:t>
      </w:r>
    </w:p>
    <w:p w:rsidR="00C21188" w:rsidRPr="00C21188" w:rsidRDefault="00C21188" w:rsidP="00C21188"/>
    <w:p w:rsidR="00C21188" w:rsidRPr="00C21188" w:rsidRDefault="00C21188" w:rsidP="00C21188">
      <w:r w:rsidRPr="00C21188">
        <w:t>The main piece of legislation regulating the field of emergency situations is Government Emergency Ordinance no. 21/2004 on the National System of Management of Emergency Situations, amended and supplemented through Government Emergency Ordinance no. 1/2014 on certain measures in the field of management of emergency situations. To supplement the legislative framework was adopted Government Decision (G.D.) no. 557/2016 on the management of types of risk. According to these legislative acts, the institutions have defined the obligation of elaborating sector plans to offer them the basis for managing specific emergency situations. The entire process is coordinated by the National Committee for Special Emergency Situations (CNSUS).</w:t>
      </w:r>
    </w:p>
    <w:p w:rsidR="00C21188" w:rsidRPr="00C21188" w:rsidRDefault="00C21188" w:rsidP="00C21188"/>
    <w:p w:rsidR="00C21188" w:rsidRPr="00C21188" w:rsidRDefault="00C21188" w:rsidP="00C21188">
      <w:r w:rsidRPr="00C21188">
        <w:t xml:space="preserve">In accordance with the regulations in force, there are a series of risks recognized by the Romanian legislation which are taken into account as being probable to occur on Romanian territory. </w:t>
      </w:r>
    </w:p>
    <w:p w:rsidR="00C21188" w:rsidRPr="00C21188" w:rsidRDefault="00C21188" w:rsidP="00C21188"/>
    <w:p w:rsidR="00C21188" w:rsidRPr="00C21188" w:rsidRDefault="00C21188" w:rsidP="00C21188">
      <w:r w:rsidRPr="00C21188">
        <w:t>A number of 10 types of hazards were selected on scientific bases from this list to be subject to assessment. The assessments were based on historical data with regard to the impact of every risk, as well as on different assessments at the level of the relevant institutions.</w:t>
      </w:r>
    </w:p>
    <w:p w:rsidR="00C21188" w:rsidRPr="00C21188" w:rsidRDefault="00C21188" w:rsidP="00C21188"/>
    <w:p w:rsidR="00C21188" w:rsidRPr="00C21188" w:rsidRDefault="00C21188" w:rsidP="00C21188">
      <w:r w:rsidRPr="00C21188">
        <w:t>The table below presents the 10 types of hazards selected following the assessments.</w:t>
      </w:r>
    </w:p>
    <w:p w:rsidR="00C21188" w:rsidRPr="00C21188" w:rsidRDefault="00C21188" w:rsidP="00C21188"/>
    <w:p w:rsidR="00C21188" w:rsidRPr="00C21188" w:rsidRDefault="00C21188" w:rsidP="00C21188">
      <w:r w:rsidRPr="00C21188">
        <w:t>Table - Characteristics related to the risks generated by emergency situations, selected for Romania</w:t>
      </w:r>
    </w:p>
    <w:tbl>
      <w:tblPr>
        <w:tblStyle w:val="TableGrid"/>
        <w:tblW w:w="9211" w:type="dxa"/>
        <w:jc w:val="center"/>
        <w:tblBorders>
          <w:top w:val="single" w:sz="2" w:space="0" w:color="365F91"/>
          <w:left w:val="single" w:sz="2" w:space="0" w:color="365F91"/>
          <w:bottom w:val="single" w:sz="2" w:space="0" w:color="365F91"/>
          <w:right w:val="single" w:sz="2" w:space="0" w:color="365F91"/>
          <w:insideH w:val="none" w:sz="0" w:space="0" w:color="auto"/>
          <w:insideV w:val="none" w:sz="0" w:space="0" w:color="auto"/>
        </w:tblBorders>
        <w:tblLayout w:type="fixed"/>
        <w:tblLook w:val="04A0" w:firstRow="1" w:lastRow="0" w:firstColumn="1" w:lastColumn="0" w:noHBand="0" w:noVBand="1"/>
      </w:tblPr>
      <w:tblGrid>
        <w:gridCol w:w="2978"/>
        <w:gridCol w:w="1134"/>
        <w:gridCol w:w="847"/>
        <w:gridCol w:w="1392"/>
        <w:gridCol w:w="734"/>
        <w:gridCol w:w="1559"/>
        <w:gridCol w:w="567"/>
      </w:tblGrid>
      <w:tr w:rsidR="00C21188" w:rsidRPr="00C21188" w:rsidTr="00C21188">
        <w:trPr>
          <w:trHeight w:val="490"/>
          <w:jc w:val="center"/>
        </w:trPr>
        <w:tc>
          <w:tcPr>
            <w:tcW w:w="2978" w:type="dxa"/>
            <w:vMerge w:val="restart"/>
            <w:tcBorders>
              <w:top w:val="single" w:sz="2" w:space="0" w:color="365F91"/>
              <w:right w:val="single" w:sz="2" w:space="0" w:color="FFFFFF" w:themeColor="background1"/>
            </w:tcBorders>
            <w:shd w:val="clear" w:color="auto" w:fill="365F91"/>
          </w:tcPr>
          <w:p w:rsidR="00C21188" w:rsidRPr="00C21188" w:rsidRDefault="00C21188" w:rsidP="00C21188"/>
          <w:p w:rsidR="00C21188" w:rsidRPr="00C21188" w:rsidRDefault="00C21188" w:rsidP="00C21188">
            <w:r w:rsidRPr="00C21188">
              <w:t>10 types of hazards</w:t>
            </w:r>
          </w:p>
          <w:p w:rsidR="00C21188" w:rsidRPr="00C21188" w:rsidRDefault="00C21188" w:rsidP="00C21188">
            <w:r w:rsidRPr="00C21188">
              <w:t>selected among the hazards probable to occur on Romanian territory</w:t>
            </w:r>
          </w:p>
          <w:p w:rsidR="00C21188" w:rsidRPr="00C21188" w:rsidRDefault="00C21188" w:rsidP="00C21188"/>
        </w:tc>
        <w:tc>
          <w:tcPr>
            <w:tcW w:w="1981" w:type="dxa"/>
            <w:gridSpan w:val="2"/>
            <w:tcBorders>
              <w:top w:val="single" w:sz="2" w:space="0" w:color="365F91"/>
              <w:left w:val="single" w:sz="2" w:space="0" w:color="FFFFFF" w:themeColor="background1"/>
              <w:bottom w:val="single" w:sz="2" w:space="0" w:color="FFFFFF" w:themeColor="background1"/>
              <w:right w:val="single" w:sz="2" w:space="0" w:color="FFFFFF" w:themeColor="background1"/>
            </w:tcBorders>
            <w:shd w:val="clear" w:color="auto" w:fill="365F91"/>
            <w:vAlign w:val="center"/>
          </w:tcPr>
          <w:p w:rsidR="00C21188" w:rsidRPr="00C21188" w:rsidRDefault="00C21188" w:rsidP="00C21188">
            <w:r w:rsidRPr="00C21188">
              <w:t>Impact axis</w:t>
            </w:r>
          </w:p>
        </w:tc>
        <w:tc>
          <w:tcPr>
            <w:tcW w:w="2126" w:type="dxa"/>
            <w:gridSpan w:val="2"/>
            <w:tcBorders>
              <w:top w:val="single" w:sz="2" w:space="0" w:color="365F91"/>
              <w:left w:val="single" w:sz="2" w:space="0" w:color="FFFFFF" w:themeColor="background1"/>
              <w:bottom w:val="single" w:sz="2" w:space="0" w:color="FFFFFF" w:themeColor="background1"/>
              <w:right w:val="single" w:sz="2" w:space="0" w:color="FFFFFF" w:themeColor="background1"/>
            </w:tcBorders>
            <w:shd w:val="clear" w:color="auto" w:fill="365F91"/>
            <w:vAlign w:val="center"/>
          </w:tcPr>
          <w:p w:rsidR="00C21188" w:rsidRPr="00C21188" w:rsidRDefault="00C21188" w:rsidP="00C21188">
            <w:r w:rsidRPr="00C21188">
              <w:t>Probability axis</w:t>
            </w:r>
          </w:p>
        </w:tc>
        <w:tc>
          <w:tcPr>
            <w:tcW w:w="1559" w:type="dxa"/>
            <w:vMerge w:val="restart"/>
            <w:tcBorders>
              <w:top w:val="single" w:sz="2" w:space="0" w:color="365F91"/>
              <w:left w:val="single" w:sz="2" w:space="0" w:color="FFFFFF" w:themeColor="background1"/>
              <w:bottom w:val="single" w:sz="2" w:space="0" w:color="365F91"/>
              <w:right w:val="single" w:sz="2" w:space="0" w:color="FFFFFF" w:themeColor="background1"/>
            </w:tcBorders>
            <w:shd w:val="clear" w:color="auto" w:fill="365F91"/>
          </w:tcPr>
          <w:p w:rsidR="00C21188" w:rsidRPr="00C21188" w:rsidRDefault="00C21188" w:rsidP="00C21188">
            <w:r w:rsidRPr="00C21188">
              <w:t>Position coordinates in the risk matrix: (impact score, probability score)</w:t>
            </w:r>
          </w:p>
        </w:tc>
        <w:tc>
          <w:tcPr>
            <w:tcW w:w="567" w:type="dxa"/>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365F91"/>
          </w:tcPr>
          <w:p w:rsidR="00C21188" w:rsidRPr="00C21188" w:rsidRDefault="00C21188" w:rsidP="00C21188">
            <w:r w:rsidRPr="00C21188">
              <w:t>S</w:t>
            </w:r>
          </w:p>
          <w:p w:rsidR="00C21188" w:rsidRPr="00C21188" w:rsidRDefault="00C21188" w:rsidP="00C21188">
            <w:r w:rsidRPr="00C21188">
              <w:t>y</w:t>
            </w:r>
          </w:p>
          <w:p w:rsidR="00C21188" w:rsidRPr="00C21188" w:rsidRDefault="00C21188" w:rsidP="00C21188">
            <w:r w:rsidRPr="00C21188">
              <w:t>m</w:t>
            </w:r>
          </w:p>
          <w:p w:rsidR="00C21188" w:rsidRPr="00C21188" w:rsidRDefault="00C21188" w:rsidP="00C21188">
            <w:r w:rsidRPr="00C21188">
              <w:t>b</w:t>
            </w:r>
          </w:p>
          <w:p w:rsidR="00C21188" w:rsidRPr="00C21188" w:rsidRDefault="00C21188" w:rsidP="00C21188">
            <w:r w:rsidRPr="00C21188">
              <w:t>o</w:t>
            </w:r>
          </w:p>
          <w:p w:rsidR="00C21188" w:rsidRPr="00C21188" w:rsidRDefault="00C21188" w:rsidP="00C21188">
            <w:r w:rsidRPr="00C21188">
              <w:t>l</w:t>
            </w:r>
          </w:p>
        </w:tc>
      </w:tr>
      <w:tr w:rsidR="00C21188" w:rsidRPr="00C21188" w:rsidTr="00C21188">
        <w:trPr>
          <w:trHeight w:val="963"/>
          <w:jc w:val="center"/>
        </w:trPr>
        <w:tc>
          <w:tcPr>
            <w:tcW w:w="2978" w:type="dxa"/>
            <w:vMerge/>
            <w:tcBorders>
              <w:bottom w:val="single" w:sz="2" w:space="0" w:color="365F91"/>
              <w:right w:val="single" w:sz="2" w:space="0" w:color="FFFFFF" w:themeColor="background1"/>
            </w:tcBorders>
          </w:tcPr>
          <w:p w:rsidR="00C21188" w:rsidRPr="00C21188" w:rsidRDefault="00C21188" w:rsidP="00C21188"/>
        </w:tc>
        <w:tc>
          <w:tcPr>
            <w:tcW w:w="113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365F91"/>
            <w:vAlign w:val="center"/>
          </w:tcPr>
          <w:p w:rsidR="00C21188" w:rsidRPr="00C21188" w:rsidRDefault="00C21188" w:rsidP="00C21188">
            <w:r w:rsidRPr="00C21188">
              <w:t>Impact level</w:t>
            </w:r>
          </w:p>
        </w:tc>
        <w:tc>
          <w:tcPr>
            <w:tcW w:w="84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365F91"/>
            <w:vAlign w:val="center"/>
          </w:tcPr>
          <w:p w:rsidR="00C21188" w:rsidRPr="00C21188" w:rsidRDefault="00C21188" w:rsidP="00C21188">
            <w:r w:rsidRPr="00C21188">
              <w:t>Score</w:t>
            </w:r>
          </w:p>
          <w:p w:rsidR="00C21188" w:rsidRPr="00C21188" w:rsidRDefault="00C21188" w:rsidP="00C21188">
            <w:r w:rsidRPr="00C21188">
              <w:t>Impact</w:t>
            </w:r>
          </w:p>
        </w:tc>
        <w:tc>
          <w:tcPr>
            <w:tcW w:w="13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365F91"/>
            <w:vAlign w:val="center"/>
          </w:tcPr>
          <w:p w:rsidR="00C21188" w:rsidRPr="00C21188" w:rsidRDefault="00C21188" w:rsidP="00C21188">
            <w:r w:rsidRPr="00C21188">
              <w:t>Probability associated with the type of risk</w:t>
            </w:r>
          </w:p>
        </w:tc>
        <w:tc>
          <w:tcPr>
            <w:tcW w:w="73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365F91"/>
          </w:tcPr>
          <w:p w:rsidR="00C21188" w:rsidRPr="00C21188" w:rsidRDefault="00C21188" w:rsidP="00C21188">
            <w:r w:rsidRPr="00C21188">
              <w:t>Score</w:t>
            </w:r>
          </w:p>
          <w:p w:rsidR="00C21188" w:rsidRPr="00C21188" w:rsidRDefault="00C21188" w:rsidP="00C21188">
            <w:r w:rsidRPr="00C21188">
              <w:t>prob</w:t>
            </w:r>
          </w:p>
          <w:p w:rsidR="00C21188" w:rsidRPr="00C21188" w:rsidRDefault="00C21188" w:rsidP="00C21188">
            <w:r w:rsidRPr="00C21188">
              <w:t>abil-</w:t>
            </w:r>
          </w:p>
          <w:p w:rsidR="00C21188" w:rsidRPr="00C21188" w:rsidRDefault="00C21188" w:rsidP="00C21188">
            <w:r w:rsidRPr="00C21188">
              <w:t>ity</w:t>
            </w:r>
          </w:p>
        </w:tc>
        <w:tc>
          <w:tcPr>
            <w:tcW w:w="1559" w:type="dxa"/>
            <w:vMerge/>
            <w:tcBorders>
              <w:top w:val="nil"/>
              <w:left w:val="single" w:sz="2" w:space="0" w:color="FFFFFF" w:themeColor="background1"/>
              <w:bottom w:val="single" w:sz="2" w:space="0" w:color="365F91"/>
              <w:right w:val="single" w:sz="2" w:space="0" w:color="FFFFFF" w:themeColor="background1"/>
            </w:tcBorders>
          </w:tcPr>
          <w:p w:rsidR="00C21188" w:rsidRPr="00C21188" w:rsidRDefault="00C21188" w:rsidP="00C21188"/>
        </w:tc>
        <w:tc>
          <w:tcPr>
            <w:tcW w:w="567" w:type="dxa"/>
            <w:vMerge/>
            <w:tcBorders>
              <w:top w:val="nil"/>
              <w:left w:val="single" w:sz="2" w:space="0" w:color="FFFFFF" w:themeColor="background1"/>
              <w:bottom w:val="single" w:sz="2" w:space="0" w:color="FFFFFF" w:themeColor="background1"/>
              <w:right w:val="single" w:sz="2" w:space="0" w:color="FFFFFF" w:themeColor="background1"/>
            </w:tcBorders>
          </w:tcPr>
          <w:p w:rsidR="00C21188" w:rsidRPr="00C21188" w:rsidRDefault="00C21188" w:rsidP="00C21188"/>
        </w:tc>
      </w:tr>
      <w:tr w:rsidR="00C21188" w:rsidRPr="00C21188" w:rsidTr="00C21188">
        <w:trPr>
          <w:trHeight w:val="397"/>
          <w:jc w:val="center"/>
        </w:trPr>
        <w:tc>
          <w:tcPr>
            <w:tcW w:w="9211" w:type="dxa"/>
            <w:gridSpan w:val="7"/>
            <w:tcBorders>
              <w:top w:val="single" w:sz="2" w:space="0" w:color="365F91"/>
              <w:bottom w:val="single" w:sz="2" w:space="0" w:color="365F91"/>
            </w:tcBorders>
            <w:shd w:val="clear" w:color="auto" w:fill="BDD6EE" w:themeFill="accent1" w:themeFillTint="66"/>
            <w:vAlign w:val="center"/>
          </w:tcPr>
          <w:p w:rsidR="00C21188" w:rsidRPr="00C21188" w:rsidRDefault="00C21188" w:rsidP="00C21188">
            <w:r w:rsidRPr="00C21188">
              <w:t>Natural hazards</w:t>
            </w:r>
          </w:p>
        </w:tc>
      </w:tr>
      <w:tr w:rsidR="00C21188" w:rsidRPr="00C21188" w:rsidTr="00C21188">
        <w:trPr>
          <w:trHeight w:val="397"/>
          <w:jc w:val="center"/>
        </w:trPr>
        <w:tc>
          <w:tcPr>
            <w:tcW w:w="2978" w:type="dxa"/>
            <w:tcBorders>
              <w:top w:val="single" w:sz="2" w:space="0" w:color="365F91"/>
              <w:bottom w:val="single" w:sz="2" w:space="0" w:color="365F91"/>
              <w:right w:val="single" w:sz="2" w:space="0" w:color="365F91"/>
            </w:tcBorders>
            <w:vAlign w:val="center"/>
          </w:tcPr>
          <w:p w:rsidR="00C21188" w:rsidRPr="00C21188" w:rsidRDefault="00C21188" w:rsidP="00C21188">
            <w:r w:rsidRPr="00C21188">
              <w:t>Floods</w:t>
            </w:r>
          </w:p>
        </w:tc>
        <w:tc>
          <w:tcPr>
            <w:tcW w:w="1134" w:type="dxa"/>
            <w:tcBorders>
              <w:top w:val="single" w:sz="2" w:space="0" w:color="365F91"/>
              <w:left w:val="single" w:sz="2" w:space="0" w:color="365F91"/>
              <w:bottom w:val="single" w:sz="2" w:space="0" w:color="365F91"/>
              <w:right w:val="single" w:sz="2" w:space="0" w:color="365F91"/>
            </w:tcBorders>
            <w:vAlign w:val="center"/>
          </w:tcPr>
          <w:p w:rsidR="00C21188" w:rsidRPr="00C21188" w:rsidRDefault="00C21188" w:rsidP="00C21188">
            <w:r w:rsidRPr="00C21188">
              <w:t>high</w:t>
            </w:r>
          </w:p>
        </w:tc>
        <w:tc>
          <w:tcPr>
            <w:tcW w:w="847" w:type="dxa"/>
            <w:tcBorders>
              <w:top w:val="single" w:sz="2" w:space="0" w:color="365F91"/>
              <w:left w:val="single" w:sz="2" w:space="0" w:color="365F91"/>
              <w:bottom w:val="single" w:sz="2" w:space="0" w:color="365F91"/>
              <w:right w:val="single" w:sz="2" w:space="0" w:color="365F91"/>
            </w:tcBorders>
            <w:vAlign w:val="center"/>
          </w:tcPr>
          <w:p w:rsidR="00C21188" w:rsidRPr="00C21188" w:rsidRDefault="00C21188" w:rsidP="00C21188">
            <w:r w:rsidRPr="00C21188">
              <w:t>3</w:t>
            </w:r>
          </w:p>
        </w:tc>
        <w:tc>
          <w:tcPr>
            <w:tcW w:w="1392" w:type="dxa"/>
            <w:tcBorders>
              <w:top w:val="single" w:sz="2" w:space="0" w:color="365F91"/>
              <w:left w:val="single" w:sz="2" w:space="0" w:color="365F91"/>
              <w:bottom w:val="single" w:sz="2" w:space="0" w:color="365F91"/>
              <w:right w:val="single" w:sz="2" w:space="0" w:color="365F91"/>
            </w:tcBorders>
            <w:vAlign w:val="center"/>
          </w:tcPr>
          <w:p w:rsidR="00C21188" w:rsidRPr="00C21188" w:rsidRDefault="00C21188" w:rsidP="00C21188">
            <w:r w:rsidRPr="00C21188">
              <w:t>average</w:t>
            </w:r>
          </w:p>
        </w:tc>
        <w:tc>
          <w:tcPr>
            <w:tcW w:w="734" w:type="dxa"/>
            <w:tcBorders>
              <w:top w:val="single" w:sz="2" w:space="0" w:color="365F91"/>
              <w:left w:val="single" w:sz="2" w:space="0" w:color="365F91"/>
              <w:bottom w:val="single" w:sz="2" w:space="0" w:color="365F91"/>
              <w:right w:val="single" w:sz="2" w:space="0" w:color="365F91"/>
            </w:tcBorders>
            <w:vAlign w:val="center"/>
          </w:tcPr>
          <w:p w:rsidR="00C21188" w:rsidRPr="00C21188" w:rsidRDefault="00C21188" w:rsidP="00C21188">
            <w:r w:rsidRPr="00C21188">
              <w:t>3</w:t>
            </w:r>
          </w:p>
        </w:tc>
        <w:tc>
          <w:tcPr>
            <w:tcW w:w="1559" w:type="dxa"/>
            <w:tcBorders>
              <w:top w:val="single" w:sz="2" w:space="0" w:color="365F91"/>
              <w:left w:val="single" w:sz="2" w:space="0" w:color="365F91"/>
              <w:bottom w:val="single" w:sz="2" w:space="0" w:color="365F91"/>
              <w:right w:val="single" w:sz="2" w:space="0" w:color="365F91"/>
            </w:tcBorders>
            <w:vAlign w:val="center"/>
          </w:tcPr>
          <w:p w:rsidR="00C21188" w:rsidRPr="00C21188" w:rsidRDefault="00C21188" w:rsidP="00C21188">
            <w:r w:rsidRPr="00C21188">
              <w:t>(3.3)</w:t>
            </w:r>
          </w:p>
        </w:tc>
        <w:tc>
          <w:tcPr>
            <w:tcW w:w="567" w:type="dxa"/>
            <w:tcBorders>
              <w:top w:val="single" w:sz="2" w:space="0" w:color="365F91"/>
              <w:left w:val="single" w:sz="2" w:space="0" w:color="365F91"/>
              <w:bottom w:val="single" w:sz="2" w:space="0" w:color="365F91"/>
            </w:tcBorders>
            <w:vAlign w:val="center"/>
          </w:tcPr>
          <w:p w:rsidR="00C21188" w:rsidRPr="00C21188" w:rsidRDefault="00DF768F" w:rsidP="00C21188">
            <w:r>
              <w:rPr>
                <w:noProof/>
                <w:lang w:val="ro-RO" w:eastAsia="ro-RO"/>
              </w:rPr>
              <mc:AlternateContent>
                <mc:Choice Requires="wps">
                  <w:drawing>
                    <wp:anchor distT="0" distB="0" distL="114300" distR="114300" simplePos="0" relativeHeight="251743744" behindDoc="0" locked="0" layoutInCell="1" allowOverlap="1">
                      <wp:simplePos x="0" y="0"/>
                      <wp:positionH relativeFrom="column">
                        <wp:posOffset>-4445</wp:posOffset>
                      </wp:positionH>
                      <wp:positionV relativeFrom="paragraph">
                        <wp:posOffset>7620</wp:posOffset>
                      </wp:positionV>
                      <wp:extent cx="142875" cy="133350"/>
                      <wp:effectExtent l="0" t="0" r="28575" b="19050"/>
                      <wp:wrapNone/>
                      <wp:docPr id="330"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33350"/>
                              </a:xfrm>
                              <a:prstGeom prst="ellipse">
                                <a:avLst/>
                              </a:prstGeom>
                              <a:solidFill>
                                <a:srgbClr val="CC66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5B73320" id="Oval 1" o:spid="_x0000_s1026" style="position:absolute;margin-left:-.35pt;margin-top:.6pt;width:11.25pt;height:10.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" fillcolor="#c6f" strokecolor="#41719c" strokeweight="1pt">
                      <v:stroke joinstyle="miter"/>
                      <v:path arrowok="t"/>
                    </v:oval>
                  </w:pict>
                </mc:Fallback>
              </mc:AlternateContent>
            </w:r>
          </w:p>
        </w:tc>
      </w:tr>
      <w:tr w:rsidR="00C21188" w:rsidRPr="00C21188" w:rsidTr="00C21188">
        <w:trPr>
          <w:trHeight w:val="397"/>
          <w:jc w:val="center"/>
        </w:trPr>
        <w:tc>
          <w:tcPr>
            <w:tcW w:w="2978" w:type="dxa"/>
            <w:tcBorders>
              <w:top w:val="single" w:sz="2" w:space="0" w:color="365F91"/>
              <w:bottom w:val="single" w:sz="2" w:space="0" w:color="365F91"/>
              <w:right w:val="single" w:sz="2" w:space="0" w:color="365F91"/>
            </w:tcBorders>
            <w:vAlign w:val="center"/>
          </w:tcPr>
          <w:p w:rsidR="00C21188" w:rsidRPr="00C21188" w:rsidRDefault="00C21188" w:rsidP="00C21188">
            <w:r w:rsidRPr="00C21188">
              <w:t>Drought</w:t>
            </w:r>
          </w:p>
        </w:tc>
        <w:tc>
          <w:tcPr>
            <w:tcW w:w="1134" w:type="dxa"/>
            <w:tcBorders>
              <w:top w:val="single" w:sz="2" w:space="0" w:color="365F91"/>
              <w:left w:val="single" w:sz="2" w:space="0" w:color="365F91"/>
              <w:bottom w:val="single" w:sz="2" w:space="0" w:color="365F91"/>
              <w:right w:val="single" w:sz="2" w:space="0" w:color="365F91"/>
            </w:tcBorders>
            <w:vAlign w:val="center"/>
          </w:tcPr>
          <w:p w:rsidR="00C21188" w:rsidRPr="00C21188" w:rsidRDefault="00C21188" w:rsidP="00C21188">
            <w:r w:rsidRPr="00C21188">
              <w:t>average</w:t>
            </w:r>
          </w:p>
        </w:tc>
        <w:tc>
          <w:tcPr>
            <w:tcW w:w="847" w:type="dxa"/>
            <w:tcBorders>
              <w:top w:val="single" w:sz="2" w:space="0" w:color="365F91"/>
              <w:left w:val="single" w:sz="2" w:space="0" w:color="365F91"/>
              <w:bottom w:val="single" w:sz="2" w:space="0" w:color="365F91"/>
              <w:right w:val="single" w:sz="2" w:space="0" w:color="365F91"/>
            </w:tcBorders>
            <w:vAlign w:val="center"/>
          </w:tcPr>
          <w:p w:rsidR="00C21188" w:rsidRPr="00C21188" w:rsidRDefault="00C21188" w:rsidP="00C21188">
            <w:r w:rsidRPr="00C21188">
              <w:t>3</w:t>
            </w:r>
          </w:p>
        </w:tc>
        <w:tc>
          <w:tcPr>
            <w:tcW w:w="1392" w:type="dxa"/>
            <w:tcBorders>
              <w:top w:val="single" w:sz="2" w:space="0" w:color="365F91"/>
              <w:left w:val="single" w:sz="2" w:space="0" w:color="365F91"/>
              <w:bottom w:val="single" w:sz="2" w:space="0" w:color="365F91"/>
              <w:right w:val="single" w:sz="2" w:space="0" w:color="365F91"/>
            </w:tcBorders>
            <w:vAlign w:val="center"/>
          </w:tcPr>
          <w:p w:rsidR="00C21188" w:rsidRPr="00C21188" w:rsidRDefault="00C21188" w:rsidP="00C21188">
            <w:r w:rsidRPr="00C21188">
              <w:t>low</w:t>
            </w:r>
          </w:p>
        </w:tc>
        <w:tc>
          <w:tcPr>
            <w:tcW w:w="734" w:type="dxa"/>
            <w:tcBorders>
              <w:top w:val="single" w:sz="2" w:space="0" w:color="365F91"/>
              <w:left w:val="single" w:sz="2" w:space="0" w:color="365F91"/>
              <w:bottom w:val="single" w:sz="2" w:space="0" w:color="365F91"/>
              <w:right w:val="single" w:sz="2" w:space="0" w:color="365F91"/>
            </w:tcBorders>
            <w:vAlign w:val="center"/>
          </w:tcPr>
          <w:p w:rsidR="00C21188" w:rsidRPr="00C21188" w:rsidRDefault="00C21188" w:rsidP="00C21188">
            <w:r w:rsidRPr="00C21188">
              <w:t>2</w:t>
            </w:r>
          </w:p>
        </w:tc>
        <w:tc>
          <w:tcPr>
            <w:tcW w:w="1559" w:type="dxa"/>
            <w:tcBorders>
              <w:top w:val="single" w:sz="2" w:space="0" w:color="365F91"/>
              <w:left w:val="single" w:sz="2" w:space="0" w:color="365F91"/>
              <w:bottom w:val="single" w:sz="2" w:space="0" w:color="365F91"/>
              <w:right w:val="single" w:sz="2" w:space="0" w:color="365F91"/>
            </w:tcBorders>
            <w:vAlign w:val="center"/>
          </w:tcPr>
          <w:p w:rsidR="00C21188" w:rsidRPr="00C21188" w:rsidRDefault="00C21188" w:rsidP="00C21188">
            <w:r w:rsidRPr="00C21188">
              <w:t>(3.2)</w:t>
            </w:r>
          </w:p>
        </w:tc>
        <w:tc>
          <w:tcPr>
            <w:tcW w:w="567" w:type="dxa"/>
            <w:tcBorders>
              <w:top w:val="single" w:sz="2" w:space="0" w:color="365F91"/>
              <w:left w:val="single" w:sz="2" w:space="0" w:color="365F91"/>
              <w:bottom w:val="single" w:sz="2" w:space="0" w:color="365F91"/>
            </w:tcBorders>
            <w:vAlign w:val="center"/>
          </w:tcPr>
          <w:p w:rsidR="00C21188" w:rsidRPr="00C21188" w:rsidRDefault="00DF768F" w:rsidP="00C21188">
            <w:r>
              <w:rPr>
                <w:noProof/>
                <w:lang w:val="ro-RO" w:eastAsia="ro-RO"/>
              </w:rPr>
              <mc:AlternateContent>
                <mc:Choice Requires="wps">
                  <w:drawing>
                    <wp:anchor distT="0" distB="0" distL="114300" distR="114300" simplePos="0" relativeHeight="251744768" behindDoc="0" locked="0" layoutInCell="1" allowOverlap="1">
                      <wp:simplePos x="0" y="0"/>
                      <wp:positionH relativeFrom="column">
                        <wp:posOffset>-4445</wp:posOffset>
                      </wp:positionH>
                      <wp:positionV relativeFrom="paragraph">
                        <wp:posOffset>-1270</wp:posOffset>
                      </wp:positionV>
                      <wp:extent cx="142875" cy="141605"/>
                      <wp:effectExtent l="0" t="0" r="28575" b="10795"/>
                      <wp:wrapNone/>
                      <wp:docPr id="32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4160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182684" id="Rectangle 6" o:spid="_x0000_s1026" style="position:absolute;margin-left:-.35pt;margin-top:-.1pt;width:11.25pt;height:11.1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" fillcolor="#5b9bd5" strokecolor="#41719c" strokeweight="1pt">
                      <v:path arrowok="t"/>
                    </v:rect>
                  </w:pict>
                </mc:Fallback>
              </mc:AlternateContent>
            </w:r>
          </w:p>
        </w:tc>
      </w:tr>
      <w:tr w:rsidR="00C21188" w:rsidRPr="00C21188" w:rsidTr="00C21188">
        <w:trPr>
          <w:trHeight w:val="397"/>
          <w:jc w:val="center"/>
        </w:trPr>
        <w:tc>
          <w:tcPr>
            <w:tcW w:w="2978" w:type="dxa"/>
            <w:tcBorders>
              <w:top w:val="single" w:sz="2" w:space="0" w:color="365F91"/>
              <w:bottom w:val="single" w:sz="2" w:space="0" w:color="365F91"/>
              <w:right w:val="single" w:sz="2" w:space="0" w:color="365F91"/>
            </w:tcBorders>
            <w:vAlign w:val="center"/>
          </w:tcPr>
          <w:p w:rsidR="00C21188" w:rsidRPr="00C21188" w:rsidRDefault="00C21188" w:rsidP="00C21188">
            <w:r w:rsidRPr="00C21188">
              <w:t>Forest fire</w:t>
            </w:r>
          </w:p>
        </w:tc>
        <w:tc>
          <w:tcPr>
            <w:tcW w:w="1134" w:type="dxa"/>
            <w:tcBorders>
              <w:top w:val="single" w:sz="2" w:space="0" w:color="365F91"/>
              <w:left w:val="single" w:sz="2" w:space="0" w:color="365F91"/>
              <w:bottom w:val="single" w:sz="2" w:space="0" w:color="365F91"/>
              <w:right w:val="single" w:sz="2" w:space="0" w:color="365F91"/>
            </w:tcBorders>
            <w:vAlign w:val="center"/>
          </w:tcPr>
          <w:p w:rsidR="00C21188" w:rsidRPr="00C21188" w:rsidRDefault="00C21188" w:rsidP="00C21188">
            <w:r w:rsidRPr="00C21188">
              <w:t>low</w:t>
            </w:r>
          </w:p>
        </w:tc>
        <w:tc>
          <w:tcPr>
            <w:tcW w:w="847" w:type="dxa"/>
            <w:tcBorders>
              <w:top w:val="single" w:sz="2" w:space="0" w:color="365F91"/>
              <w:left w:val="single" w:sz="2" w:space="0" w:color="365F91"/>
              <w:bottom w:val="single" w:sz="2" w:space="0" w:color="365F91"/>
              <w:right w:val="single" w:sz="2" w:space="0" w:color="365F91"/>
            </w:tcBorders>
            <w:vAlign w:val="center"/>
          </w:tcPr>
          <w:p w:rsidR="00C21188" w:rsidRPr="00C21188" w:rsidRDefault="00C21188" w:rsidP="00C21188">
            <w:r w:rsidRPr="00C21188">
              <w:t>2</w:t>
            </w:r>
          </w:p>
        </w:tc>
        <w:tc>
          <w:tcPr>
            <w:tcW w:w="1392" w:type="dxa"/>
            <w:tcBorders>
              <w:top w:val="single" w:sz="2" w:space="0" w:color="365F91"/>
              <w:left w:val="single" w:sz="2" w:space="0" w:color="365F91"/>
              <w:bottom w:val="single" w:sz="2" w:space="0" w:color="365F91"/>
              <w:right w:val="single" w:sz="2" w:space="0" w:color="365F91"/>
            </w:tcBorders>
            <w:vAlign w:val="center"/>
          </w:tcPr>
          <w:p w:rsidR="00C21188" w:rsidRPr="00C21188" w:rsidRDefault="00C21188" w:rsidP="00C21188">
            <w:r w:rsidRPr="00C21188">
              <w:t>high</w:t>
            </w:r>
          </w:p>
        </w:tc>
        <w:tc>
          <w:tcPr>
            <w:tcW w:w="734" w:type="dxa"/>
            <w:tcBorders>
              <w:top w:val="single" w:sz="2" w:space="0" w:color="365F91"/>
              <w:left w:val="single" w:sz="2" w:space="0" w:color="365F91"/>
              <w:bottom w:val="single" w:sz="2" w:space="0" w:color="365F91"/>
              <w:right w:val="single" w:sz="2" w:space="0" w:color="365F91"/>
            </w:tcBorders>
            <w:vAlign w:val="center"/>
          </w:tcPr>
          <w:p w:rsidR="00C21188" w:rsidRPr="00C21188" w:rsidRDefault="00C21188" w:rsidP="00C21188">
            <w:r w:rsidRPr="00C21188">
              <w:t>4</w:t>
            </w:r>
          </w:p>
        </w:tc>
        <w:tc>
          <w:tcPr>
            <w:tcW w:w="1559" w:type="dxa"/>
            <w:tcBorders>
              <w:top w:val="single" w:sz="2" w:space="0" w:color="365F91"/>
              <w:left w:val="single" w:sz="2" w:space="0" w:color="365F91"/>
              <w:bottom w:val="single" w:sz="2" w:space="0" w:color="365F91"/>
              <w:right w:val="single" w:sz="2" w:space="0" w:color="365F91"/>
            </w:tcBorders>
            <w:vAlign w:val="center"/>
          </w:tcPr>
          <w:p w:rsidR="00C21188" w:rsidRPr="00C21188" w:rsidRDefault="00C21188" w:rsidP="00C21188">
            <w:r w:rsidRPr="00C21188">
              <w:t>(2.4)</w:t>
            </w:r>
          </w:p>
        </w:tc>
        <w:tc>
          <w:tcPr>
            <w:tcW w:w="567" w:type="dxa"/>
            <w:tcBorders>
              <w:top w:val="single" w:sz="2" w:space="0" w:color="365F91"/>
              <w:left w:val="single" w:sz="2" w:space="0" w:color="365F91"/>
              <w:bottom w:val="single" w:sz="2" w:space="0" w:color="365F91"/>
            </w:tcBorders>
            <w:vAlign w:val="center"/>
          </w:tcPr>
          <w:p w:rsidR="00C21188" w:rsidRPr="00C21188" w:rsidRDefault="00DF768F" w:rsidP="00C21188">
            <w:r>
              <w:rPr>
                <w:noProof/>
                <w:lang w:val="ro-RO" w:eastAsia="ro-RO"/>
              </w:rPr>
              <mc:AlternateContent>
                <mc:Choice Requires="wps">
                  <w:drawing>
                    <wp:anchor distT="0" distB="0" distL="114300" distR="114300" simplePos="0" relativeHeight="251745792" behindDoc="0" locked="0" layoutInCell="1" allowOverlap="1">
                      <wp:simplePos x="0" y="0"/>
                      <wp:positionH relativeFrom="column">
                        <wp:posOffset>-4445</wp:posOffset>
                      </wp:positionH>
                      <wp:positionV relativeFrom="paragraph">
                        <wp:posOffset>2540</wp:posOffset>
                      </wp:positionV>
                      <wp:extent cx="163195" cy="140970"/>
                      <wp:effectExtent l="19050" t="0" r="46355" b="11430"/>
                      <wp:wrapNone/>
                      <wp:docPr id="328" name="Trapezoid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195" cy="140970"/>
                              </a:xfrm>
                              <a:prstGeom prst="trapezoid">
                                <a:avLst/>
                              </a:prstGeom>
                              <a:solidFill>
                                <a:srgbClr val="9999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CB9E8" id="Trapezoid 8" o:spid="_x0000_s1026" style="position:absolute;margin-left:-.35pt;margin-top:.2pt;width:12.85pt;height:11.1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195,14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" path="m,140970l35243,r92710,l163195,140970,,140970xe" fillcolor="#99f" strokecolor="#41719c" strokeweight="1pt">
                      <v:stroke joinstyle="miter"/>
                      <v:path arrowok="t" o:connecttype="custom" o:connectlocs="0,140970;35243,0;127953,0;163195,140970;0,140970" o:connectangles="0,0,0,0,0"/>
                    </v:shape>
                  </w:pict>
                </mc:Fallback>
              </mc:AlternateContent>
            </w:r>
          </w:p>
        </w:tc>
      </w:tr>
      <w:tr w:rsidR="00C21188" w:rsidRPr="00C21188" w:rsidTr="00C21188">
        <w:trPr>
          <w:trHeight w:val="376"/>
          <w:jc w:val="center"/>
        </w:trPr>
        <w:tc>
          <w:tcPr>
            <w:tcW w:w="2978" w:type="dxa"/>
            <w:tcBorders>
              <w:top w:val="single" w:sz="2" w:space="0" w:color="365F91"/>
              <w:bottom w:val="single" w:sz="2" w:space="0" w:color="365F91"/>
              <w:right w:val="single" w:sz="2" w:space="0" w:color="365F91"/>
            </w:tcBorders>
            <w:vAlign w:val="center"/>
          </w:tcPr>
          <w:p w:rsidR="00C21188" w:rsidRPr="00C21188" w:rsidRDefault="00C21188" w:rsidP="00C21188">
            <w:r w:rsidRPr="00C21188">
              <w:t>Land slides</w:t>
            </w:r>
          </w:p>
        </w:tc>
        <w:tc>
          <w:tcPr>
            <w:tcW w:w="1134" w:type="dxa"/>
            <w:tcBorders>
              <w:top w:val="single" w:sz="2" w:space="0" w:color="365F91"/>
              <w:left w:val="single" w:sz="2" w:space="0" w:color="365F91"/>
              <w:bottom w:val="single" w:sz="2" w:space="0" w:color="365F91"/>
              <w:right w:val="single" w:sz="2" w:space="0" w:color="365F91"/>
            </w:tcBorders>
            <w:vAlign w:val="center"/>
          </w:tcPr>
          <w:p w:rsidR="00C21188" w:rsidRPr="00C21188" w:rsidRDefault="00C21188" w:rsidP="00C21188">
            <w:r w:rsidRPr="00C21188">
              <w:t>low</w:t>
            </w:r>
          </w:p>
        </w:tc>
        <w:tc>
          <w:tcPr>
            <w:tcW w:w="847" w:type="dxa"/>
            <w:tcBorders>
              <w:top w:val="single" w:sz="2" w:space="0" w:color="365F91"/>
              <w:left w:val="single" w:sz="2" w:space="0" w:color="365F91"/>
              <w:bottom w:val="single" w:sz="2" w:space="0" w:color="365F91"/>
              <w:right w:val="single" w:sz="2" w:space="0" w:color="365F91"/>
            </w:tcBorders>
            <w:vAlign w:val="center"/>
          </w:tcPr>
          <w:p w:rsidR="00C21188" w:rsidRPr="00C21188" w:rsidRDefault="00C21188" w:rsidP="00C21188">
            <w:r w:rsidRPr="00C21188">
              <w:t>2</w:t>
            </w:r>
          </w:p>
        </w:tc>
        <w:tc>
          <w:tcPr>
            <w:tcW w:w="1392" w:type="dxa"/>
            <w:tcBorders>
              <w:top w:val="single" w:sz="2" w:space="0" w:color="365F91"/>
              <w:left w:val="single" w:sz="2" w:space="0" w:color="365F91"/>
              <w:bottom w:val="single" w:sz="2" w:space="0" w:color="365F91"/>
              <w:right w:val="single" w:sz="2" w:space="0" w:color="365F91"/>
            </w:tcBorders>
            <w:vAlign w:val="center"/>
          </w:tcPr>
          <w:p w:rsidR="00C21188" w:rsidRPr="00C21188" w:rsidRDefault="00C21188" w:rsidP="00C21188">
            <w:r w:rsidRPr="00C21188">
              <w:t>average</w:t>
            </w:r>
          </w:p>
        </w:tc>
        <w:tc>
          <w:tcPr>
            <w:tcW w:w="734" w:type="dxa"/>
            <w:tcBorders>
              <w:top w:val="single" w:sz="2" w:space="0" w:color="365F91"/>
              <w:left w:val="single" w:sz="2" w:space="0" w:color="365F91"/>
              <w:bottom w:val="single" w:sz="2" w:space="0" w:color="365F91"/>
              <w:right w:val="single" w:sz="2" w:space="0" w:color="365F91"/>
            </w:tcBorders>
            <w:vAlign w:val="center"/>
          </w:tcPr>
          <w:p w:rsidR="00C21188" w:rsidRPr="00C21188" w:rsidRDefault="00C21188" w:rsidP="00C21188">
            <w:r w:rsidRPr="00C21188">
              <w:t>3</w:t>
            </w:r>
          </w:p>
        </w:tc>
        <w:tc>
          <w:tcPr>
            <w:tcW w:w="1559" w:type="dxa"/>
            <w:tcBorders>
              <w:top w:val="single" w:sz="2" w:space="0" w:color="365F91"/>
              <w:left w:val="single" w:sz="2" w:space="0" w:color="365F91"/>
              <w:bottom w:val="single" w:sz="2" w:space="0" w:color="365F91"/>
              <w:right w:val="single" w:sz="2" w:space="0" w:color="365F91"/>
            </w:tcBorders>
            <w:vAlign w:val="center"/>
          </w:tcPr>
          <w:p w:rsidR="00C21188" w:rsidRPr="00C21188" w:rsidRDefault="00C21188" w:rsidP="00C21188">
            <w:r w:rsidRPr="00C21188">
              <w:t>(2.3)</w:t>
            </w:r>
          </w:p>
        </w:tc>
        <w:tc>
          <w:tcPr>
            <w:tcW w:w="567" w:type="dxa"/>
            <w:tcBorders>
              <w:top w:val="single" w:sz="2" w:space="0" w:color="365F91"/>
              <w:left w:val="single" w:sz="2" w:space="0" w:color="365F91"/>
              <w:bottom w:val="single" w:sz="2" w:space="0" w:color="365F91"/>
            </w:tcBorders>
            <w:vAlign w:val="center"/>
          </w:tcPr>
          <w:p w:rsidR="00C21188" w:rsidRPr="00C21188" w:rsidRDefault="00DF768F" w:rsidP="00C21188">
            <w:r>
              <w:rPr>
                <w:noProof/>
                <w:lang w:val="ro-RO" w:eastAsia="ro-RO"/>
              </w:rPr>
              <mc:AlternateContent>
                <mc:Choice Requires="wps">
                  <w:drawing>
                    <wp:anchor distT="0" distB="0" distL="114300" distR="114300" simplePos="0" relativeHeight="251746816" behindDoc="0" locked="0" layoutInCell="1" allowOverlap="1">
                      <wp:simplePos x="0" y="0"/>
                      <wp:positionH relativeFrom="column">
                        <wp:posOffset>-4445</wp:posOffset>
                      </wp:positionH>
                      <wp:positionV relativeFrom="paragraph">
                        <wp:posOffset>9525</wp:posOffset>
                      </wp:positionV>
                      <wp:extent cx="163195" cy="173990"/>
                      <wp:effectExtent l="19050" t="0" r="46355" b="16510"/>
                      <wp:wrapNone/>
                      <wp:docPr id="327" name="Parallelogra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195" cy="173990"/>
                              </a:xfrm>
                              <a:prstGeom prst="parallelogram">
                                <a:avLst/>
                              </a:prstGeom>
                              <a:solidFill>
                                <a:srgbClr val="70AD47"/>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088CF02"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0" o:spid="_x0000_s1026" type="#_x0000_t7" style="position:absolute;margin-left:-.35pt;margin-top:.75pt;width:12.85pt;height:13.7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" fillcolor="#70ad47" strokecolor="#507e32" strokeweight="1pt">
                      <v:path arrowok="t"/>
                    </v:shape>
                  </w:pict>
                </mc:Fallback>
              </mc:AlternateContent>
            </w:r>
          </w:p>
        </w:tc>
      </w:tr>
      <w:tr w:rsidR="00C21188" w:rsidRPr="00C21188" w:rsidTr="00C21188">
        <w:trPr>
          <w:trHeight w:val="395"/>
          <w:jc w:val="center"/>
        </w:trPr>
        <w:tc>
          <w:tcPr>
            <w:tcW w:w="2978" w:type="dxa"/>
            <w:tcBorders>
              <w:top w:val="single" w:sz="2" w:space="0" w:color="365F91"/>
              <w:bottom w:val="single" w:sz="2" w:space="0" w:color="365F91"/>
              <w:right w:val="single" w:sz="2" w:space="0" w:color="365F91"/>
            </w:tcBorders>
            <w:vAlign w:val="center"/>
          </w:tcPr>
          <w:p w:rsidR="00C21188" w:rsidRPr="00C21188" w:rsidRDefault="00C21188" w:rsidP="00C21188">
            <w:r w:rsidRPr="00C21188">
              <w:t>Earthquakes</w:t>
            </w:r>
          </w:p>
        </w:tc>
        <w:tc>
          <w:tcPr>
            <w:tcW w:w="1134" w:type="dxa"/>
            <w:tcBorders>
              <w:top w:val="single" w:sz="2" w:space="0" w:color="365F91"/>
              <w:left w:val="single" w:sz="2" w:space="0" w:color="365F91"/>
              <w:bottom w:val="single" w:sz="2" w:space="0" w:color="365F91"/>
              <w:right w:val="single" w:sz="2" w:space="0" w:color="365F91"/>
            </w:tcBorders>
            <w:vAlign w:val="center"/>
          </w:tcPr>
          <w:p w:rsidR="00C21188" w:rsidRPr="00C21188" w:rsidRDefault="00C21188" w:rsidP="00C21188">
            <w:r w:rsidRPr="00C21188">
              <w:t>high</w:t>
            </w:r>
          </w:p>
        </w:tc>
        <w:tc>
          <w:tcPr>
            <w:tcW w:w="847" w:type="dxa"/>
            <w:tcBorders>
              <w:top w:val="single" w:sz="2" w:space="0" w:color="365F91"/>
              <w:left w:val="single" w:sz="2" w:space="0" w:color="365F91"/>
              <w:bottom w:val="single" w:sz="2" w:space="0" w:color="365F91"/>
              <w:right w:val="single" w:sz="2" w:space="0" w:color="365F91"/>
            </w:tcBorders>
            <w:vAlign w:val="center"/>
          </w:tcPr>
          <w:p w:rsidR="00C21188" w:rsidRPr="00C21188" w:rsidRDefault="00C21188" w:rsidP="00C21188">
            <w:r w:rsidRPr="00C21188">
              <w:t>4</w:t>
            </w:r>
          </w:p>
        </w:tc>
        <w:tc>
          <w:tcPr>
            <w:tcW w:w="1392" w:type="dxa"/>
            <w:tcBorders>
              <w:top w:val="single" w:sz="2" w:space="0" w:color="365F91"/>
              <w:left w:val="single" w:sz="2" w:space="0" w:color="365F91"/>
              <w:bottom w:val="single" w:sz="2" w:space="0" w:color="365F91"/>
              <w:right w:val="single" w:sz="2" w:space="0" w:color="365F91"/>
            </w:tcBorders>
            <w:vAlign w:val="center"/>
          </w:tcPr>
          <w:p w:rsidR="00C21188" w:rsidRPr="00C21188" w:rsidRDefault="00C21188" w:rsidP="00C21188">
            <w:r w:rsidRPr="00C21188">
              <w:t>moderate to low</w:t>
            </w:r>
          </w:p>
        </w:tc>
        <w:tc>
          <w:tcPr>
            <w:tcW w:w="734" w:type="dxa"/>
            <w:tcBorders>
              <w:top w:val="single" w:sz="2" w:space="0" w:color="365F91"/>
              <w:left w:val="single" w:sz="2" w:space="0" w:color="365F91"/>
              <w:bottom w:val="single" w:sz="2" w:space="0" w:color="365F91"/>
              <w:right w:val="single" w:sz="2" w:space="0" w:color="365F91"/>
            </w:tcBorders>
            <w:vAlign w:val="center"/>
          </w:tcPr>
          <w:p w:rsidR="00C21188" w:rsidRPr="00C21188" w:rsidRDefault="00C21188" w:rsidP="00C21188">
            <w:r w:rsidRPr="00C21188">
              <w:t>2</w:t>
            </w:r>
          </w:p>
        </w:tc>
        <w:tc>
          <w:tcPr>
            <w:tcW w:w="1559" w:type="dxa"/>
            <w:tcBorders>
              <w:top w:val="single" w:sz="2" w:space="0" w:color="365F91"/>
              <w:left w:val="single" w:sz="2" w:space="0" w:color="365F91"/>
              <w:bottom w:val="single" w:sz="2" w:space="0" w:color="365F91"/>
              <w:right w:val="single" w:sz="2" w:space="0" w:color="365F91"/>
            </w:tcBorders>
            <w:vAlign w:val="center"/>
          </w:tcPr>
          <w:p w:rsidR="00C21188" w:rsidRPr="00C21188" w:rsidRDefault="00C21188" w:rsidP="00C21188">
            <w:r w:rsidRPr="00C21188">
              <w:t>(4.2)</w:t>
            </w:r>
          </w:p>
        </w:tc>
        <w:tc>
          <w:tcPr>
            <w:tcW w:w="567" w:type="dxa"/>
            <w:tcBorders>
              <w:top w:val="single" w:sz="2" w:space="0" w:color="365F91"/>
              <w:left w:val="single" w:sz="2" w:space="0" w:color="365F91"/>
              <w:bottom w:val="single" w:sz="2" w:space="0" w:color="365F91"/>
            </w:tcBorders>
            <w:vAlign w:val="center"/>
          </w:tcPr>
          <w:p w:rsidR="00C21188" w:rsidRPr="00C21188" w:rsidRDefault="00DF768F" w:rsidP="00C21188">
            <w:r>
              <w:rPr>
                <w:noProof/>
                <w:lang w:val="ro-RO" w:eastAsia="ro-RO"/>
              </w:rPr>
              <mc:AlternateContent>
                <mc:Choice Requires="wps">
                  <w:drawing>
                    <wp:anchor distT="0" distB="0" distL="114300" distR="114300" simplePos="0" relativeHeight="251747840" behindDoc="0" locked="0" layoutInCell="1" allowOverlap="1">
                      <wp:simplePos x="0" y="0"/>
                      <wp:positionH relativeFrom="column">
                        <wp:posOffset>-4445</wp:posOffset>
                      </wp:positionH>
                      <wp:positionV relativeFrom="paragraph">
                        <wp:posOffset>13970</wp:posOffset>
                      </wp:positionV>
                      <wp:extent cx="142875" cy="173990"/>
                      <wp:effectExtent l="19050" t="19050" r="47625" b="16510"/>
                      <wp:wrapNone/>
                      <wp:docPr id="326" name="Isosceles Tri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73990"/>
                              </a:xfrm>
                              <a:prstGeom prst="triangl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6ED77B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 o:spid="_x0000_s1026" type="#_x0000_t5" style="position:absolute;margin-left:-.35pt;margin-top:1.1pt;width:11.25pt;height:13.7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" fillcolor="#ffc000" strokecolor="#bc8c00" strokeweight="1pt">
                      <v:path arrowok="t"/>
                    </v:shape>
                  </w:pict>
                </mc:Fallback>
              </mc:AlternateContent>
            </w:r>
          </w:p>
        </w:tc>
      </w:tr>
      <w:tr w:rsidR="00C21188" w:rsidRPr="00C21188" w:rsidTr="00C21188">
        <w:trPr>
          <w:trHeight w:val="397"/>
          <w:jc w:val="center"/>
        </w:trPr>
        <w:tc>
          <w:tcPr>
            <w:tcW w:w="9211" w:type="dxa"/>
            <w:gridSpan w:val="7"/>
            <w:tcBorders>
              <w:top w:val="single" w:sz="2" w:space="0" w:color="365F91"/>
              <w:bottom w:val="single" w:sz="2" w:space="0" w:color="365F91"/>
            </w:tcBorders>
            <w:shd w:val="clear" w:color="auto" w:fill="BDD6EE" w:themeFill="accent1" w:themeFillTint="66"/>
            <w:vAlign w:val="center"/>
          </w:tcPr>
          <w:p w:rsidR="00C21188" w:rsidRPr="00C21188" w:rsidRDefault="00C21188" w:rsidP="00C21188">
            <w:r w:rsidRPr="00C21188">
              <w:t>Technological hazards</w:t>
            </w:r>
          </w:p>
        </w:tc>
      </w:tr>
      <w:tr w:rsidR="00C21188" w:rsidRPr="00C21188" w:rsidTr="00C21188">
        <w:trPr>
          <w:trHeight w:val="397"/>
          <w:jc w:val="center"/>
        </w:trPr>
        <w:tc>
          <w:tcPr>
            <w:tcW w:w="2978" w:type="dxa"/>
            <w:tcBorders>
              <w:top w:val="single" w:sz="2" w:space="0" w:color="365F91"/>
              <w:bottom w:val="single" w:sz="2" w:space="0" w:color="365F91"/>
              <w:right w:val="single" w:sz="2" w:space="0" w:color="365F91"/>
            </w:tcBorders>
            <w:vAlign w:val="center"/>
          </w:tcPr>
          <w:p w:rsidR="00C21188" w:rsidRPr="00C21188" w:rsidRDefault="00C21188" w:rsidP="00C21188">
            <w:r w:rsidRPr="00C21188">
              <w:t>Nuclear and radiological accidents</w:t>
            </w:r>
          </w:p>
        </w:tc>
        <w:tc>
          <w:tcPr>
            <w:tcW w:w="1134" w:type="dxa"/>
            <w:tcBorders>
              <w:top w:val="single" w:sz="2" w:space="0" w:color="365F91"/>
              <w:left w:val="single" w:sz="2" w:space="0" w:color="365F91"/>
              <w:bottom w:val="single" w:sz="2" w:space="0" w:color="365F91"/>
              <w:right w:val="single" w:sz="2" w:space="0" w:color="365F91"/>
            </w:tcBorders>
            <w:vAlign w:val="center"/>
          </w:tcPr>
          <w:p w:rsidR="00C21188" w:rsidRPr="00C21188" w:rsidRDefault="00C21188" w:rsidP="00C21188">
            <w:r w:rsidRPr="00C21188">
              <w:t>high</w:t>
            </w:r>
          </w:p>
        </w:tc>
        <w:tc>
          <w:tcPr>
            <w:tcW w:w="847" w:type="dxa"/>
            <w:tcBorders>
              <w:top w:val="single" w:sz="2" w:space="0" w:color="365F91"/>
              <w:left w:val="single" w:sz="2" w:space="0" w:color="365F91"/>
              <w:bottom w:val="single" w:sz="2" w:space="0" w:color="365F91"/>
              <w:right w:val="single" w:sz="2" w:space="0" w:color="365F91"/>
            </w:tcBorders>
            <w:vAlign w:val="center"/>
          </w:tcPr>
          <w:p w:rsidR="00C21188" w:rsidRPr="00C21188" w:rsidRDefault="00C21188" w:rsidP="00C21188">
            <w:r w:rsidRPr="00C21188">
              <w:t>4</w:t>
            </w:r>
          </w:p>
        </w:tc>
        <w:tc>
          <w:tcPr>
            <w:tcW w:w="1392" w:type="dxa"/>
            <w:tcBorders>
              <w:top w:val="single" w:sz="2" w:space="0" w:color="365F91"/>
              <w:left w:val="single" w:sz="2" w:space="0" w:color="365F91"/>
              <w:bottom w:val="single" w:sz="2" w:space="0" w:color="365F91"/>
              <w:right w:val="single" w:sz="2" w:space="0" w:color="365F91"/>
            </w:tcBorders>
            <w:vAlign w:val="center"/>
          </w:tcPr>
          <w:p w:rsidR="00C21188" w:rsidRPr="00C21188" w:rsidRDefault="00C21188" w:rsidP="00C21188">
            <w:r w:rsidRPr="00C21188">
              <w:t>low</w:t>
            </w:r>
          </w:p>
        </w:tc>
        <w:tc>
          <w:tcPr>
            <w:tcW w:w="734" w:type="dxa"/>
            <w:tcBorders>
              <w:top w:val="single" w:sz="2" w:space="0" w:color="365F91"/>
              <w:left w:val="single" w:sz="2" w:space="0" w:color="365F91"/>
              <w:bottom w:val="single" w:sz="2" w:space="0" w:color="365F91"/>
              <w:right w:val="single" w:sz="2" w:space="0" w:color="365F91"/>
            </w:tcBorders>
            <w:vAlign w:val="center"/>
          </w:tcPr>
          <w:p w:rsidR="00C21188" w:rsidRPr="00C21188" w:rsidRDefault="00C21188" w:rsidP="00C21188">
            <w:r w:rsidRPr="00C21188">
              <w:t>1</w:t>
            </w:r>
          </w:p>
        </w:tc>
        <w:tc>
          <w:tcPr>
            <w:tcW w:w="1559" w:type="dxa"/>
            <w:tcBorders>
              <w:top w:val="single" w:sz="2" w:space="0" w:color="365F91"/>
              <w:left w:val="single" w:sz="2" w:space="0" w:color="365F91"/>
              <w:bottom w:val="single" w:sz="2" w:space="0" w:color="365F91"/>
              <w:right w:val="single" w:sz="2" w:space="0" w:color="365F91"/>
            </w:tcBorders>
            <w:vAlign w:val="center"/>
          </w:tcPr>
          <w:p w:rsidR="00C21188" w:rsidRPr="00C21188" w:rsidRDefault="00C21188" w:rsidP="00C21188">
            <w:r w:rsidRPr="00C21188">
              <w:t>(4.1)</w:t>
            </w:r>
          </w:p>
        </w:tc>
        <w:tc>
          <w:tcPr>
            <w:tcW w:w="567" w:type="dxa"/>
            <w:tcBorders>
              <w:top w:val="single" w:sz="2" w:space="0" w:color="365F91"/>
              <w:left w:val="single" w:sz="2" w:space="0" w:color="365F91"/>
              <w:bottom w:val="single" w:sz="2" w:space="0" w:color="365F91"/>
            </w:tcBorders>
            <w:vAlign w:val="center"/>
          </w:tcPr>
          <w:p w:rsidR="00C21188" w:rsidRPr="00C21188" w:rsidRDefault="00DF768F" w:rsidP="00C21188">
            <w:r>
              <w:rPr>
                <w:noProof/>
                <w:lang w:val="ro-RO" w:eastAsia="ro-RO"/>
              </w:rPr>
              <mc:AlternateContent>
                <mc:Choice Requires="wps">
                  <w:drawing>
                    <wp:anchor distT="0" distB="0" distL="114300" distR="114300" simplePos="0" relativeHeight="251748864" behindDoc="0" locked="0" layoutInCell="1" allowOverlap="1">
                      <wp:simplePos x="0" y="0"/>
                      <wp:positionH relativeFrom="column">
                        <wp:posOffset>-4445</wp:posOffset>
                      </wp:positionH>
                      <wp:positionV relativeFrom="paragraph">
                        <wp:posOffset>0</wp:posOffset>
                      </wp:positionV>
                      <wp:extent cx="195580" cy="173990"/>
                      <wp:effectExtent l="0" t="0" r="13970" b="16510"/>
                      <wp:wrapNone/>
                      <wp:docPr id="325" name="Chord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95580" cy="173990"/>
                              </a:xfrm>
                              <a:prstGeom prst="chord">
                                <a:avLst/>
                              </a:prstGeom>
                              <a:solidFill>
                                <a:srgbClr val="44546A">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740B1" id="Chord 11" o:spid="_x0000_s1026" style="position:absolute;margin-left:-.35pt;margin-top:0;width:15.4pt;height:13.7pt;flip:x;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5580,17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" path="m162788,151993c132613,175874,89039,180795,53112,164380,11140,145202,-9453,102098,4155,61906,16598,25155,54645,,97790,r64998,151993xe" fillcolor="#8497b0" strokecolor="#41719c" strokeweight="1pt">
                      <v:stroke joinstyle="miter"/>
                      <v:path arrowok="t" o:connecttype="custom" o:connectlocs="162788,151993;53112,164380;4155,61906;97790,0;162788,151993" o:connectangles="0,0,0,0,0"/>
                    </v:shape>
                  </w:pict>
                </mc:Fallback>
              </mc:AlternateContent>
            </w:r>
          </w:p>
        </w:tc>
      </w:tr>
      <w:tr w:rsidR="00C21188" w:rsidRPr="00C21188" w:rsidTr="00C21188">
        <w:trPr>
          <w:trHeight w:val="397"/>
          <w:jc w:val="center"/>
        </w:trPr>
        <w:tc>
          <w:tcPr>
            <w:tcW w:w="2978" w:type="dxa"/>
            <w:tcBorders>
              <w:top w:val="single" w:sz="2" w:space="0" w:color="365F91"/>
              <w:bottom w:val="single" w:sz="2" w:space="0" w:color="365F91"/>
              <w:right w:val="single" w:sz="2" w:space="0" w:color="365F91"/>
            </w:tcBorders>
            <w:vAlign w:val="center"/>
          </w:tcPr>
          <w:p w:rsidR="00C21188" w:rsidRPr="00C21188" w:rsidRDefault="00C21188" w:rsidP="00C21188">
            <w:r w:rsidRPr="00C21188">
              <w:t>Seveso type accidents</w:t>
            </w:r>
          </w:p>
        </w:tc>
        <w:tc>
          <w:tcPr>
            <w:tcW w:w="1134" w:type="dxa"/>
            <w:tcBorders>
              <w:top w:val="single" w:sz="2" w:space="0" w:color="365F91"/>
              <w:left w:val="single" w:sz="2" w:space="0" w:color="365F91"/>
              <w:bottom w:val="single" w:sz="2" w:space="0" w:color="365F91"/>
              <w:right w:val="single" w:sz="2" w:space="0" w:color="365F91"/>
            </w:tcBorders>
            <w:vAlign w:val="center"/>
          </w:tcPr>
          <w:p w:rsidR="00C21188" w:rsidRPr="00C21188" w:rsidRDefault="00C21188" w:rsidP="00C21188">
            <w:r w:rsidRPr="00C21188">
              <w:t>average</w:t>
            </w:r>
          </w:p>
        </w:tc>
        <w:tc>
          <w:tcPr>
            <w:tcW w:w="847" w:type="dxa"/>
            <w:tcBorders>
              <w:top w:val="single" w:sz="2" w:space="0" w:color="365F91"/>
              <w:left w:val="single" w:sz="2" w:space="0" w:color="365F91"/>
              <w:bottom w:val="single" w:sz="2" w:space="0" w:color="365F91"/>
              <w:right w:val="single" w:sz="2" w:space="0" w:color="365F91"/>
            </w:tcBorders>
            <w:vAlign w:val="center"/>
          </w:tcPr>
          <w:p w:rsidR="00C21188" w:rsidRPr="00C21188" w:rsidRDefault="00C21188" w:rsidP="00C21188">
            <w:r w:rsidRPr="00C21188">
              <w:t>3</w:t>
            </w:r>
          </w:p>
        </w:tc>
        <w:tc>
          <w:tcPr>
            <w:tcW w:w="1392" w:type="dxa"/>
            <w:tcBorders>
              <w:top w:val="single" w:sz="2" w:space="0" w:color="365F91"/>
              <w:left w:val="single" w:sz="2" w:space="0" w:color="365F91"/>
              <w:bottom w:val="single" w:sz="2" w:space="0" w:color="365F91"/>
              <w:right w:val="single" w:sz="2" w:space="0" w:color="365F91"/>
            </w:tcBorders>
            <w:vAlign w:val="center"/>
          </w:tcPr>
          <w:p w:rsidR="00C21188" w:rsidRPr="00C21188" w:rsidRDefault="00C21188" w:rsidP="00C21188">
            <w:r w:rsidRPr="00C21188">
              <w:t>low</w:t>
            </w:r>
          </w:p>
        </w:tc>
        <w:tc>
          <w:tcPr>
            <w:tcW w:w="734" w:type="dxa"/>
            <w:tcBorders>
              <w:top w:val="single" w:sz="2" w:space="0" w:color="365F91"/>
              <w:left w:val="single" w:sz="2" w:space="0" w:color="365F91"/>
              <w:bottom w:val="single" w:sz="2" w:space="0" w:color="365F91"/>
              <w:right w:val="single" w:sz="2" w:space="0" w:color="365F91"/>
            </w:tcBorders>
            <w:vAlign w:val="center"/>
          </w:tcPr>
          <w:p w:rsidR="00C21188" w:rsidRPr="00C21188" w:rsidRDefault="00C21188" w:rsidP="00C21188">
            <w:r w:rsidRPr="00C21188">
              <w:t>1</w:t>
            </w:r>
          </w:p>
        </w:tc>
        <w:tc>
          <w:tcPr>
            <w:tcW w:w="1559" w:type="dxa"/>
            <w:tcBorders>
              <w:top w:val="single" w:sz="2" w:space="0" w:color="365F91"/>
              <w:left w:val="single" w:sz="2" w:space="0" w:color="365F91"/>
              <w:bottom w:val="single" w:sz="2" w:space="0" w:color="365F91"/>
              <w:right w:val="single" w:sz="2" w:space="0" w:color="365F91"/>
            </w:tcBorders>
            <w:vAlign w:val="center"/>
          </w:tcPr>
          <w:p w:rsidR="00C21188" w:rsidRPr="00C21188" w:rsidRDefault="00C21188" w:rsidP="00C21188">
            <w:r w:rsidRPr="00C21188">
              <w:t>(3.1)</w:t>
            </w:r>
          </w:p>
        </w:tc>
        <w:tc>
          <w:tcPr>
            <w:tcW w:w="567" w:type="dxa"/>
            <w:tcBorders>
              <w:top w:val="single" w:sz="2" w:space="0" w:color="365F91"/>
              <w:left w:val="single" w:sz="2" w:space="0" w:color="365F91"/>
              <w:bottom w:val="single" w:sz="2" w:space="0" w:color="365F91"/>
            </w:tcBorders>
            <w:vAlign w:val="center"/>
          </w:tcPr>
          <w:p w:rsidR="00C21188" w:rsidRPr="00C21188" w:rsidRDefault="00DF768F" w:rsidP="00C21188">
            <w:r>
              <w:rPr>
                <w:noProof/>
                <w:lang w:val="ro-RO" w:eastAsia="ro-RO"/>
              </w:rPr>
              <mc:AlternateContent>
                <mc:Choice Requires="wps">
                  <w:drawing>
                    <wp:anchor distT="0" distB="0" distL="114300" distR="114300" simplePos="0" relativeHeight="251749888" behindDoc="0" locked="0" layoutInCell="1" allowOverlap="1">
                      <wp:simplePos x="0" y="0"/>
                      <wp:positionH relativeFrom="column">
                        <wp:posOffset>34290</wp:posOffset>
                      </wp:positionH>
                      <wp:positionV relativeFrom="paragraph">
                        <wp:posOffset>8255</wp:posOffset>
                      </wp:positionV>
                      <wp:extent cx="163195" cy="133350"/>
                      <wp:effectExtent l="19050" t="0" r="46355" b="19050"/>
                      <wp:wrapNone/>
                      <wp:docPr id="324" name="Flowchart: Manual Operatio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195" cy="133350"/>
                              </a:xfrm>
                              <a:prstGeom prst="flowChartManualOperation">
                                <a:avLst/>
                              </a:prstGeom>
                              <a:solidFill>
                                <a:srgbClr val="70AD47">
                                  <a:lumMod val="40000"/>
                                  <a:lumOff val="60000"/>
                                </a:srgbClr>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10361B" id="_x0000_t119" coordsize="21600,21600" o:spt="119" path="m,l21600,,17240,21600r-12880,xe">
                      <v:stroke joinstyle="miter"/>
                      <v:path gradientshapeok="t" o:connecttype="custom" o:connectlocs="10800,0;2180,10800;10800,21600;19420,10800" textboxrect="4321,0,17204,21600"/>
                    </v:shapetype>
                    <v:shape id="Flowchart: Manual Operation 9" o:spid="_x0000_s1026" type="#_x0000_t119" style="position:absolute;margin-left:2.7pt;margin-top:.65pt;width:12.85pt;height:10.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" fillcolor="#c5e0b4" strokecolor="#507e32" strokeweight="1pt">
                      <v:path arrowok="t"/>
                    </v:shape>
                  </w:pict>
                </mc:Fallback>
              </mc:AlternateContent>
            </w:r>
          </w:p>
        </w:tc>
      </w:tr>
      <w:tr w:rsidR="00C21188" w:rsidRPr="00C21188" w:rsidTr="00C21188">
        <w:trPr>
          <w:trHeight w:val="505"/>
          <w:jc w:val="center"/>
        </w:trPr>
        <w:tc>
          <w:tcPr>
            <w:tcW w:w="2978" w:type="dxa"/>
            <w:tcBorders>
              <w:top w:val="single" w:sz="2" w:space="0" w:color="365F91"/>
              <w:bottom w:val="single" w:sz="2" w:space="0" w:color="365F91"/>
              <w:right w:val="single" w:sz="2" w:space="0" w:color="365F91"/>
            </w:tcBorders>
            <w:vAlign w:val="center"/>
          </w:tcPr>
          <w:p w:rsidR="00C21188" w:rsidRPr="00C21188" w:rsidRDefault="00C21188" w:rsidP="00C21188">
            <w:r w:rsidRPr="00C21188">
              <w:t>Major risks and accidents involving dangerous substances</w:t>
            </w:r>
          </w:p>
        </w:tc>
        <w:tc>
          <w:tcPr>
            <w:tcW w:w="1134" w:type="dxa"/>
            <w:tcBorders>
              <w:top w:val="single" w:sz="2" w:space="0" w:color="365F91"/>
              <w:left w:val="single" w:sz="2" w:space="0" w:color="365F91"/>
              <w:bottom w:val="single" w:sz="2" w:space="0" w:color="365F91"/>
              <w:right w:val="single" w:sz="2" w:space="0" w:color="365F91"/>
            </w:tcBorders>
            <w:vAlign w:val="center"/>
          </w:tcPr>
          <w:p w:rsidR="00C21188" w:rsidRPr="00C21188" w:rsidRDefault="00C21188" w:rsidP="00C21188">
            <w:r w:rsidRPr="00C21188">
              <w:t>average</w:t>
            </w:r>
          </w:p>
        </w:tc>
        <w:tc>
          <w:tcPr>
            <w:tcW w:w="847" w:type="dxa"/>
            <w:tcBorders>
              <w:top w:val="single" w:sz="2" w:space="0" w:color="365F91"/>
              <w:left w:val="single" w:sz="2" w:space="0" w:color="365F91"/>
              <w:bottom w:val="single" w:sz="2" w:space="0" w:color="365F91"/>
              <w:right w:val="single" w:sz="2" w:space="0" w:color="365F91"/>
            </w:tcBorders>
            <w:vAlign w:val="center"/>
          </w:tcPr>
          <w:p w:rsidR="00C21188" w:rsidRPr="00C21188" w:rsidRDefault="00C21188" w:rsidP="00C21188">
            <w:r w:rsidRPr="00C21188">
              <w:t>3</w:t>
            </w:r>
          </w:p>
        </w:tc>
        <w:tc>
          <w:tcPr>
            <w:tcW w:w="1392" w:type="dxa"/>
            <w:tcBorders>
              <w:top w:val="single" w:sz="2" w:space="0" w:color="365F91"/>
              <w:left w:val="single" w:sz="2" w:space="0" w:color="365F91"/>
              <w:bottom w:val="single" w:sz="2" w:space="0" w:color="365F91"/>
              <w:right w:val="single" w:sz="2" w:space="0" w:color="365F91"/>
            </w:tcBorders>
            <w:vAlign w:val="center"/>
          </w:tcPr>
          <w:p w:rsidR="00C21188" w:rsidRPr="00C21188" w:rsidRDefault="00C21188" w:rsidP="00C21188">
            <w:r w:rsidRPr="00C21188">
              <w:t>low</w:t>
            </w:r>
          </w:p>
        </w:tc>
        <w:tc>
          <w:tcPr>
            <w:tcW w:w="734" w:type="dxa"/>
            <w:tcBorders>
              <w:top w:val="single" w:sz="2" w:space="0" w:color="365F91"/>
              <w:left w:val="single" w:sz="2" w:space="0" w:color="365F91"/>
              <w:bottom w:val="single" w:sz="2" w:space="0" w:color="365F91"/>
              <w:right w:val="single" w:sz="2" w:space="0" w:color="365F91"/>
            </w:tcBorders>
            <w:vAlign w:val="center"/>
          </w:tcPr>
          <w:p w:rsidR="00C21188" w:rsidRPr="00C21188" w:rsidRDefault="00C21188" w:rsidP="00C21188">
            <w:r w:rsidRPr="00C21188">
              <w:t>1</w:t>
            </w:r>
          </w:p>
        </w:tc>
        <w:tc>
          <w:tcPr>
            <w:tcW w:w="1559" w:type="dxa"/>
            <w:tcBorders>
              <w:top w:val="single" w:sz="2" w:space="0" w:color="365F91"/>
              <w:left w:val="single" w:sz="2" w:space="0" w:color="365F91"/>
              <w:bottom w:val="single" w:sz="2" w:space="0" w:color="365F91"/>
              <w:right w:val="single" w:sz="2" w:space="0" w:color="365F91"/>
            </w:tcBorders>
            <w:vAlign w:val="center"/>
          </w:tcPr>
          <w:p w:rsidR="00C21188" w:rsidRPr="00C21188" w:rsidRDefault="00C21188" w:rsidP="00C21188">
            <w:r w:rsidRPr="00C21188">
              <w:t>(3.1)</w:t>
            </w:r>
          </w:p>
        </w:tc>
        <w:tc>
          <w:tcPr>
            <w:tcW w:w="567" w:type="dxa"/>
            <w:tcBorders>
              <w:top w:val="single" w:sz="2" w:space="0" w:color="365F91"/>
              <w:left w:val="single" w:sz="2" w:space="0" w:color="365F91"/>
              <w:bottom w:val="single" w:sz="2" w:space="0" w:color="365F91"/>
            </w:tcBorders>
          </w:tcPr>
          <w:p w:rsidR="00C21188" w:rsidRPr="00C21188" w:rsidRDefault="00DF768F" w:rsidP="00C21188">
            <w:r>
              <w:rPr>
                <w:noProof/>
                <w:lang w:val="ro-RO" w:eastAsia="ro-RO"/>
              </w:rPr>
              <mc:AlternateContent>
                <mc:Choice Requires="wps">
                  <w:drawing>
                    <wp:anchor distT="0" distB="0" distL="114300" distR="114300" simplePos="0" relativeHeight="251750912" behindDoc="0" locked="0" layoutInCell="1" allowOverlap="1">
                      <wp:simplePos x="0" y="0"/>
                      <wp:positionH relativeFrom="column">
                        <wp:posOffset>27940</wp:posOffset>
                      </wp:positionH>
                      <wp:positionV relativeFrom="paragraph">
                        <wp:posOffset>83820</wp:posOffset>
                      </wp:positionV>
                      <wp:extent cx="163195" cy="173990"/>
                      <wp:effectExtent l="19050" t="19050" r="46355" b="16510"/>
                      <wp:wrapNone/>
                      <wp:docPr id="323" name="Regular Pentagon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195" cy="173990"/>
                              </a:xfrm>
                              <a:prstGeom prst="pentagon">
                                <a:avLst/>
                              </a:prstGeom>
                              <a:solidFill>
                                <a:srgbClr val="FF9966"/>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2814EB"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12" o:spid="_x0000_s1026" type="#_x0000_t56" style="position:absolute;margin-left:2.2pt;margin-top:6.6pt;width:12.85pt;height:13.7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" fillcolor="#f96" strokecolor="#41719c" strokeweight="1pt">
                      <v:path arrowok="t"/>
                    </v:shape>
                  </w:pict>
                </mc:Fallback>
              </mc:AlternateContent>
            </w:r>
          </w:p>
          <w:p w:rsidR="00C21188" w:rsidRPr="00C21188" w:rsidRDefault="00C21188" w:rsidP="00C21188"/>
        </w:tc>
      </w:tr>
      <w:tr w:rsidR="00C21188" w:rsidRPr="00C21188" w:rsidTr="00C21188">
        <w:trPr>
          <w:trHeight w:val="397"/>
          <w:jc w:val="center"/>
        </w:trPr>
        <w:tc>
          <w:tcPr>
            <w:tcW w:w="9211" w:type="dxa"/>
            <w:gridSpan w:val="7"/>
            <w:tcBorders>
              <w:top w:val="single" w:sz="2" w:space="0" w:color="365F91"/>
              <w:bottom w:val="single" w:sz="2" w:space="0" w:color="365F91"/>
            </w:tcBorders>
            <w:shd w:val="clear" w:color="auto" w:fill="BDD6EE" w:themeFill="accent1" w:themeFillTint="66"/>
            <w:vAlign w:val="center"/>
          </w:tcPr>
          <w:p w:rsidR="00C21188" w:rsidRPr="00C21188" w:rsidRDefault="00C21188" w:rsidP="00C21188">
            <w:r w:rsidRPr="00C21188">
              <w:t>Biological risks</w:t>
            </w:r>
          </w:p>
        </w:tc>
      </w:tr>
      <w:tr w:rsidR="00C21188" w:rsidRPr="00C21188" w:rsidTr="00C21188">
        <w:trPr>
          <w:trHeight w:val="397"/>
          <w:jc w:val="center"/>
        </w:trPr>
        <w:tc>
          <w:tcPr>
            <w:tcW w:w="2978" w:type="dxa"/>
            <w:tcBorders>
              <w:top w:val="single" w:sz="2" w:space="0" w:color="365F91"/>
              <w:bottom w:val="single" w:sz="2" w:space="0" w:color="365F91"/>
              <w:right w:val="single" w:sz="2" w:space="0" w:color="365F91"/>
            </w:tcBorders>
            <w:vAlign w:val="center"/>
          </w:tcPr>
          <w:p w:rsidR="00C21188" w:rsidRPr="00C21188" w:rsidRDefault="00C21188" w:rsidP="00C21188">
            <w:r w:rsidRPr="00C21188">
              <w:t>Epidemics</w:t>
            </w:r>
          </w:p>
        </w:tc>
        <w:tc>
          <w:tcPr>
            <w:tcW w:w="1134" w:type="dxa"/>
            <w:tcBorders>
              <w:top w:val="single" w:sz="2" w:space="0" w:color="365F91"/>
              <w:left w:val="single" w:sz="2" w:space="0" w:color="365F91"/>
              <w:bottom w:val="single" w:sz="2" w:space="0" w:color="365F91"/>
              <w:right w:val="single" w:sz="2" w:space="0" w:color="365F91"/>
            </w:tcBorders>
            <w:vAlign w:val="center"/>
          </w:tcPr>
          <w:p w:rsidR="00C21188" w:rsidRPr="00C21188" w:rsidRDefault="00C21188" w:rsidP="00C21188">
            <w:r w:rsidRPr="00C21188">
              <w:t>low</w:t>
            </w:r>
          </w:p>
        </w:tc>
        <w:tc>
          <w:tcPr>
            <w:tcW w:w="847" w:type="dxa"/>
            <w:tcBorders>
              <w:top w:val="single" w:sz="2" w:space="0" w:color="365F91"/>
              <w:left w:val="single" w:sz="2" w:space="0" w:color="365F91"/>
              <w:bottom w:val="single" w:sz="2" w:space="0" w:color="365F91"/>
              <w:right w:val="single" w:sz="2" w:space="0" w:color="365F91"/>
            </w:tcBorders>
            <w:vAlign w:val="center"/>
          </w:tcPr>
          <w:p w:rsidR="00C21188" w:rsidRPr="00C21188" w:rsidRDefault="00C21188" w:rsidP="00C21188">
            <w:r w:rsidRPr="00C21188">
              <w:t>2</w:t>
            </w:r>
          </w:p>
        </w:tc>
        <w:tc>
          <w:tcPr>
            <w:tcW w:w="1392" w:type="dxa"/>
            <w:tcBorders>
              <w:top w:val="single" w:sz="2" w:space="0" w:color="365F91"/>
              <w:left w:val="single" w:sz="2" w:space="0" w:color="365F91"/>
              <w:bottom w:val="single" w:sz="2" w:space="0" w:color="365F91"/>
              <w:right w:val="single" w:sz="2" w:space="0" w:color="365F91"/>
            </w:tcBorders>
            <w:vAlign w:val="center"/>
          </w:tcPr>
          <w:p w:rsidR="00C21188" w:rsidRPr="00C21188" w:rsidRDefault="00C21188" w:rsidP="00C21188">
            <w:r w:rsidRPr="00C21188">
              <w:t>high</w:t>
            </w:r>
          </w:p>
        </w:tc>
        <w:tc>
          <w:tcPr>
            <w:tcW w:w="734" w:type="dxa"/>
            <w:tcBorders>
              <w:top w:val="single" w:sz="2" w:space="0" w:color="365F91"/>
              <w:left w:val="single" w:sz="2" w:space="0" w:color="365F91"/>
              <w:bottom w:val="single" w:sz="2" w:space="0" w:color="365F91"/>
              <w:right w:val="single" w:sz="2" w:space="0" w:color="365F91"/>
            </w:tcBorders>
            <w:vAlign w:val="center"/>
          </w:tcPr>
          <w:p w:rsidR="00C21188" w:rsidRPr="00C21188" w:rsidRDefault="00C21188" w:rsidP="00C21188">
            <w:r w:rsidRPr="00C21188">
              <w:t>5</w:t>
            </w:r>
          </w:p>
        </w:tc>
        <w:tc>
          <w:tcPr>
            <w:tcW w:w="1559" w:type="dxa"/>
            <w:tcBorders>
              <w:top w:val="single" w:sz="2" w:space="0" w:color="365F91"/>
              <w:left w:val="single" w:sz="2" w:space="0" w:color="365F91"/>
              <w:bottom w:val="single" w:sz="2" w:space="0" w:color="365F91"/>
              <w:right w:val="single" w:sz="2" w:space="0" w:color="365F91"/>
            </w:tcBorders>
            <w:vAlign w:val="center"/>
          </w:tcPr>
          <w:p w:rsidR="00C21188" w:rsidRPr="00C21188" w:rsidRDefault="00C21188" w:rsidP="00C21188">
            <w:r w:rsidRPr="00C21188">
              <w:t>(2.5)</w:t>
            </w:r>
          </w:p>
        </w:tc>
        <w:tc>
          <w:tcPr>
            <w:tcW w:w="567" w:type="dxa"/>
            <w:tcBorders>
              <w:top w:val="single" w:sz="2" w:space="0" w:color="365F91"/>
              <w:left w:val="single" w:sz="2" w:space="0" w:color="365F91"/>
              <w:bottom w:val="single" w:sz="2" w:space="0" w:color="365F91"/>
            </w:tcBorders>
            <w:vAlign w:val="center"/>
          </w:tcPr>
          <w:p w:rsidR="00C21188" w:rsidRPr="00C21188" w:rsidRDefault="00DF768F" w:rsidP="00C21188">
            <w:r>
              <w:rPr>
                <w:noProof/>
                <w:lang w:val="ro-RO" w:eastAsia="ro-RO"/>
              </w:rPr>
              <mc:AlternateContent>
                <mc:Choice Requires="wps">
                  <w:drawing>
                    <wp:anchor distT="0" distB="0" distL="114300" distR="114300" simplePos="0" relativeHeight="251751936" behindDoc="0" locked="0" layoutInCell="1" allowOverlap="1">
                      <wp:simplePos x="0" y="0"/>
                      <wp:positionH relativeFrom="column">
                        <wp:posOffset>40005</wp:posOffset>
                      </wp:positionH>
                      <wp:positionV relativeFrom="paragraph">
                        <wp:posOffset>48895</wp:posOffset>
                      </wp:positionV>
                      <wp:extent cx="142875" cy="173990"/>
                      <wp:effectExtent l="19050" t="0" r="47625" b="35560"/>
                      <wp:wrapNone/>
                      <wp:docPr id="322" name="Flowchart: Merg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73990"/>
                              </a:xfrm>
                              <a:prstGeom prst="flowChartMerge">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6C5A55" id="_x0000_t128" coordsize="21600,21600" o:spt="128" path="m,l21600,,10800,21600xe">
                      <v:stroke joinstyle="miter"/>
                      <v:path gradientshapeok="t" o:connecttype="custom" o:connectlocs="10800,0;5400,10800;10800,21600;16200,10800" textboxrect="5400,0,16200,10800"/>
                    </v:shapetype>
                    <v:shape id="Flowchart: Merge 21" o:spid="_x0000_s1026" type="#_x0000_t128" style="position:absolute;margin-left:3.15pt;margin-top:3.85pt;width:11.25pt;height:13.7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" fillcolor="yellow" strokecolor="#41719c" strokeweight="1pt">
                      <v:path arrowok="t"/>
                    </v:shape>
                  </w:pict>
                </mc:Fallback>
              </mc:AlternateContent>
            </w:r>
          </w:p>
        </w:tc>
      </w:tr>
      <w:tr w:rsidR="00C21188" w:rsidRPr="00C21188" w:rsidTr="00C21188">
        <w:trPr>
          <w:trHeight w:val="462"/>
          <w:jc w:val="center"/>
        </w:trPr>
        <w:tc>
          <w:tcPr>
            <w:tcW w:w="2978" w:type="dxa"/>
            <w:tcBorders>
              <w:top w:val="single" w:sz="2" w:space="0" w:color="365F91"/>
              <w:bottom w:val="single" w:sz="2" w:space="0" w:color="365F91"/>
              <w:right w:val="single" w:sz="2" w:space="0" w:color="365F91"/>
            </w:tcBorders>
            <w:vAlign w:val="center"/>
          </w:tcPr>
          <w:p w:rsidR="00C21188" w:rsidRPr="00C21188" w:rsidRDefault="00C21188" w:rsidP="00C21188">
            <w:r w:rsidRPr="00C21188">
              <w:t>Epidemics at animals and Zoonoses</w:t>
            </w:r>
          </w:p>
        </w:tc>
        <w:tc>
          <w:tcPr>
            <w:tcW w:w="1134" w:type="dxa"/>
            <w:tcBorders>
              <w:top w:val="single" w:sz="2" w:space="0" w:color="365F91"/>
              <w:left w:val="single" w:sz="2" w:space="0" w:color="365F91"/>
              <w:bottom w:val="single" w:sz="2" w:space="0" w:color="365F91"/>
              <w:right w:val="single" w:sz="2" w:space="0" w:color="365F91"/>
            </w:tcBorders>
            <w:vAlign w:val="center"/>
          </w:tcPr>
          <w:p w:rsidR="00C21188" w:rsidRPr="00C21188" w:rsidRDefault="00C21188" w:rsidP="00C21188">
            <w:r w:rsidRPr="00C21188">
              <w:t>low</w:t>
            </w:r>
          </w:p>
        </w:tc>
        <w:tc>
          <w:tcPr>
            <w:tcW w:w="847" w:type="dxa"/>
            <w:tcBorders>
              <w:top w:val="single" w:sz="2" w:space="0" w:color="365F91"/>
              <w:left w:val="single" w:sz="2" w:space="0" w:color="365F91"/>
              <w:bottom w:val="single" w:sz="2" w:space="0" w:color="365F91"/>
              <w:right w:val="single" w:sz="2" w:space="0" w:color="365F91"/>
            </w:tcBorders>
            <w:vAlign w:val="center"/>
          </w:tcPr>
          <w:p w:rsidR="00C21188" w:rsidRPr="00C21188" w:rsidRDefault="00C21188" w:rsidP="00C21188">
            <w:r w:rsidRPr="00C21188">
              <w:t>1</w:t>
            </w:r>
          </w:p>
        </w:tc>
        <w:tc>
          <w:tcPr>
            <w:tcW w:w="1392" w:type="dxa"/>
            <w:tcBorders>
              <w:top w:val="single" w:sz="2" w:space="0" w:color="365F91"/>
              <w:left w:val="single" w:sz="2" w:space="0" w:color="365F91"/>
              <w:bottom w:val="single" w:sz="2" w:space="0" w:color="365F91"/>
              <w:right w:val="single" w:sz="2" w:space="0" w:color="365F91"/>
            </w:tcBorders>
            <w:vAlign w:val="center"/>
          </w:tcPr>
          <w:p w:rsidR="00C21188" w:rsidRPr="00C21188" w:rsidRDefault="00C21188" w:rsidP="00C21188">
            <w:r w:rsidRPr="00C21188">
              <w:t>high</w:t>
            </w:r>
          </w:p>
        </w:tc>
        <w:tc>
          <w:tcPr>
            <w:tcW w:w="734" w:type="dxa"/>
            <w:tcBorders>
              <w:top w:val="single" w:sz="2" w:space="0" w:color="365F91"/>
              <w:left w:val="single" w:sz="2" w:space="0" w:color="365F91"/>
              <w:bottom w:val="single" w:sz="2" w:space="0" w:color="365F91"/>
              <w:right w:val="single" w:sz="2" w:space="0" w:color="365F91"/>
            </w:tcBorders>
            <w:vAlign w:val="center"/>
          </w:tcPr>
          <w:p w:rsidR="00C21188" w:rsidRPr="00C21188" w:rsidRDefault="00C21188" w:rsidP="00C21188">
            <w:r w:rsidRPr="00C21188">
              <w:t>4</w:t>
            </w:r>
          </w:p>
        </w:tc>
        <w:tc>
          <w:tcPr>
            <w:tcW w:w="1559" w:type="dxa"/>
            <w:tcBorders>
              <w:top w:val="single" w:sz="2" w:space="0" w:color="365F91"/>
              <w:left w:val="single" w:sz="2" w:space="0" w:color="365F91"/>
              <w:bottom w:val="single" w:sz="2" w:space="0" w:color="365F91"/>
              <w:right w:val="single" w:sz="2" w:space="0" w:color="365F91"/>
            </w:tcBorders>
            <w:vAlign w:val="center"/>
          </w:tcPr>
          <w:p w:rsidR="00C21188" w:rsidRPr="00C21188" w:rsidRDefault="00C21188" w:rsidP="00C21188">
            <w:r w:rsidRPr="00C21188">
              <w:t>(1.4)</w:t>
            </w:r>
          </w:p>
        </w:tc>
        <w:tc>
          <w:tcPr>
            <w:tcW w:w="567" w:type="dxa"/>
            <w:tcBorders>
              <w:top w:val="single" w:sz="2" w:space="0" w:color="365F91"/>
              <w:left w:val="single" w:sz="2" w:space="0" w:color="365F91"/>
              <w:bottom w:val="single" w:sz="2" w:space="0" w:color="365F91"/>
            </w:tcBorders>
            <w:vAlign w:val="center"/>
          </w:tcPr>
          <w:p w:rsidR="00C21188" w:rsidRPr="00C21188" w:rsidRDefault="00DF768F" w:rsidP="00C21188">
            <w:r>
              <w:rPr>
                <w:noProof/>
                <w:lang w:val="ro-RO" w:eastAsia="ro-RO"/>
              </w:rPr>
              <mc:AlternateContent>
                <mc:Choice Requires="wps">
                  <w:drawing>
                    <wp:anchor distT="0" distB="0" distL="114300" distR="114300" simplePos="0" relativeHeight="251752960" behindDoc="0" locked="0" layoutInCell="1" allowOverlap="1">
                      <wp:simplePos x="0" y="0"/>
                      <wp:positionH relativeFrom="column">
                        <wp:posOffset>40005</wp:posOffset>
                      </wp:positionH>
                      <wp:positionV relativeFrom="paragraph">
                        <wp:posOffset>17780</wp:posOffset>
                      </wp:positionV>
                      <wp:extent cx="142875" cy="173990"/>
                      <wp:effectExtent l="19050" t="19050" r="28575" b="35560"/>
                      <wp:wrapNone/>
                      <wp:docPr id="321" name="Diamond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73990"/>
                              </a:xfrm>
                              <a:prstGeom prst="diamond">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B6FE53" id="_x0000_t4" coordsize="21600,21600" o:spt="4" path="m10800,l,10800,10800,21600,21600,10800xe">
                      <v:stroke joinstyle="miter"/>
                      <v:path gradientshapeok="t" o:connecttype="rect" textboxrect="5400,5400,16200,16200"/>
                    </v:shapetype>
                    <v:shape id="Diamond 22" o:spid="_x0000_s1026" type="#_x0000_t4" style="position:absolute;margin-left:3.15pt;margin-top:1.4pt;width:11.25pt;height:13.7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" fillcolor="#a5a5a5" strokecolor="#787878" strokeweight="1pt">
                      <v:path arrowok="t"/>
                    </v:shape>
                  </w:pict>
                </mc:Fallback>
              </mc:AlternateContent>
            </w:r>
          </w:p>
        </w:tc>
      </w:tr>
    </w:tbl>
    <w:p w:rsidR="00C21188" w:rsidRPr="00C21188" w:rsidRDefault="00C21188" w:rsidP="00C21188">
      <w:r w:rsidRPr="00C21188">
        <w:t>Source: MIA - “Assessment of disaster risks at national level (RO-RISK)”</w:t>
      </w:r>
    </w:p>
    <w:p w:rsidR="00C21188" w:rsidRPr="00C21188" w:rsidRDefault="00C21188" w:rsidP="00C21188"/>
    <w:p w:rsidR="00C21188" w:rsidRPr="00C21188" w:rsidRDefault="00C21188" w:rsidP="00C21188"/>
    <w:p w:rsidR="00C21188" w:rsidRPr="00C21188" w:rsidRDefault="00C21188" w:rsidP="00C21188">
      <w:r w:rsidRPr="00C21188">
        <w:rPr>
          <w:noProof/>
          <w:lang w:val="ro-RO" w:eastAsia="ro-RO"/>
        </w:rPr>
        <w:drawing>
          <wp:inline distT="0" distB="0" distL="0" distR="0" wp14:anchorId="5347A116" wp14:editId="7DFBAB98">
            <wp:extent cx="6246495" cy="2804160"/>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valuarea impactului.jpg"/>
                    <pic:cNvPicPr/>
                  </pic:nvPicPr>
                  <pic:blipFill>
                    <a:blip r:embed="rId54">
                      <a:extLst>
                        <a:ext uri="{28A0092B-C50C-407E-A947-70E740481C1C}">
                          <a14:useLocalDpi xmlns:a14="http://schemas.microsoft.com/office/drawing/2010/main" val="0"/>
                        </a:ext>
                      </a:extLst>
                    </a:blip>
                    <a:stretch>
                      <a:fillRect/>
                    </a:stretch>
                  </pic:blipFill>
                  <pic:spPr>
                    <a:xfrm>
                      <a:off x="0" y="0"/>
                      <a:ext cx="6246495" cy="2804160"/>
                    </a:xfrm>
                    <a:prstGeom prst="rect">
                      <a:avLst/>
                    </a:prstGeom>
                  </pic:spPr>
                </pic:pic>
              </a:graphicData>
            </a:graphic>
          </wp:inline>
        </w:drawing>
      </w:r>
    </w:p>
    <w:p w:rsidR="00C21188" w:rsidRPr="00C21188" w:rsidRDefault="00C21188" w:rsidP="00C21188"/>
    <w:p w:rsidR="00C21188" w:rsidRPr="00C21188" w:rsidRDefault="00C21188" w:rsidP="00C21188">
      <w:r w:rsidRPr="00C21188">
        <w:t>In the aforementioned project, the direct impact was assessed through the contribution of the consortium consisting of the Technical Constructions University in Bucharest, the National Research and Development Institute in Constructions, Urbanism and Development for Earth Physics, and the economic impact was assessed by the Institute of Prognosis of the Romanian Academy.</w:t>
      </w:r>
    </w:p>
    <w:p w:rsidR="00C21188" w:rsidRPr="00C21188" w:rsidRDefault="00C21188" w:rsidP="00C21188"/>
    <w:p w:rsidR="00C21188" w:rsidRPr="00C21188" w:rsidRDefault="00C21188" w:rsidP="00C21188">
      <w:r w:rsidRPr="00C21188">
        <w:t>Of all the risk types mentioned, we consider earthquake to be relevant, which, according to the scenario with the biggest level of seriousness on communities (major disaster), would cause direct losses with a total value of approximately 14 billion EUR (over 2/3 of the country’s area would be seriously affected, 14% of the total buildings distributed in the ATUs of the area would be significantly affected, significant losses of human lives).</w:t>
      </w:r>
    </w:p>
    <w:p w:rsidR="00C21188" w:rsidRPr="00C21188" w:rsidRDefault="00C21188" w:rsidP="00C21188"/>
    <w:p w:rsidR="00C21188" w:rsidRPr="00C21188" w:rsidRDefault="00C21188" w:rsidP="00C21188"/>
    <w:p w:rsidR="00C21188" w:rsidRPr="00C21188" w:rsidRDefault="00C21188" w:rsidP="00C21188">
      <w:r w:rsidRPr="00C21188">
        <w:t>In the case of materialization of the selected hazards, the impact can be: physical, economic, social, or psychological.</w:t>
      </w:r>
    </w:p>
    <w:p w:rsidR="00C21188" w:rsidRPr="00C21188" w:rsidRDefault="00C21188" w:rsidP="00C21188">
      <w:r w:rsidRPr="00C21188">
        <w:t xml:space="preserve">Physical impact refers to the negative physical effects of a risk event on the exposed elements. </w:t>
      </w:r>
    </w:p>
    <w:p w:rsidR="00C21188" w:rsidRPr="00C21188" w:rsidRDefault="00C21188" w:rsidP="00C21188">
      <w:r w:rsidRPr="00C21188">
        <w:t xml:space="preserve">The economic impact refers to the costs associated with human losses, the costs associated with direct material losses, the costs associated with environmental losses, the costs for intervention of load forces and indirect costs.  </w:t>
      </w:r>
    </w:p>
    <w:p w:rsidR="00C21188" w:rsidRPr="00C21188" w:rsidRDefault="00C21188" w:rsidP="00C21188"/>
    <w:p w:rsidR="00C21188" w:rsidRPr="00C21188" w:rsidRDefault="00C21188" w:rsidP="00C21188">
      <w:r w:rsidRPr="00C21188">
        <w:t>The social and psychological impact consists of disturbances of the daily life and psychological impact.</w:t>
      </w:r>
    </w:p>
    <w:p w:rsidR="00C21188" w:rsidRPr="00C21188" w:rsidRDefault="00C21188" w:rsidP="00C21188"/>
    <w:p w:rsidR="00C21188" w:rsidRPr="00C21188" w:rsidRDefault="00C21188" w:rsidP="00C21188">
      <w:r w:rsidRPr="00C21188">
        <w:t xml:space="preserve">Probability </w:t>
      </w:r>
    </w:p>
    <w:p w:rsidR="00C21188" w:rsidRPr="00C21188" w:rsidRDefault="00C21188" w:rsidP="00C21188">
      <w:r w:rsidRPr="00C21188">
        <w:t>The calculation of probability has the result of identifying the possibility for a risk event to occur within a pre-established time interval, considering the available information.</w:t>
      </w:r>
    </w:p>
    <w:p w:rsidR="00C21188" w:rsidRPr="00C21188" w:rsidRDefault="00C21188" w:rsidP="00C21188">
      <w:r w:rsidRPr="00C21188">
        <w:t>Event probability is measured in stages, on a scale from 1 to 5 (1 - low, 5 - high).</w:t>
      </w:r>
    </w:p>
    <w:p w:rsidR="00C21188" w:rsidRPr="00C21188" w:rsidRDefault="00C21188" w:rsidP="00C21188"/>
    <w:p w:rsidR="00C21188" w:rsidRPr="00C21188" w:rsidRDefault="00C21188" w:rsidP="00C21188"/>
    <w:p w:rsidR="00C21188" w:rsidRPr="00C21188" w:rsidRDefault="00C21188" w:rsidP="00C21188">
      <w:r w:rsidRPr="00C21188">
        <w:t>Risk matrix</w:t>
      </w:r>
    </w:p>
    <w:p w:rsidR="00C21188" w:rsidRPr="00C21188" w:rsidRDefault="00C21188" w:rsidP="00C21188"/>
    <w:p w:rsidR="00C21188" w:rsidRPr="00C21188" w:rsidRDefault="00C21188" w:rsidP="00C21188">
      <w:r w:rsidRPr="00C21188">
        <w:t xml:space="preserve">The risk matrix is the instrument recommended to represent, compare and then prioritize the singular or multiple risk scenarios. The matrix is a graphic representation of the impact scores and aggregated probabilities. The European Commission recommended this instrument in order to ensure the possibility to compare the risk assessments in the Member States. </w:t>
      </w:r>
    </w:p>
    <w:p w:rsidR="00C21188" w:rsidRPr="00C21188" w:rsidRDefault="00C21188" w:rsidP="00C21188"/>
    <w:p w:rsidR="00C21188" w:rsidRPr="00C21188" w:rsidRDefault="00C21188" w:rsidP="00C21188">
      <w:r w:rsidRPr="00C21188">
        <w:t xml:space="preserve">According to the matrix, impact was placed on the vertical axis and probability on the horizontal one. </w:t>
      </w:r>
    </w:p>
    <w:p w:rsidR="00C21188" w:rsidRPr="00C21188" w:rsidRDefault="00C21188" w:rsidP="00C21188"/>
    <w:p w:rsidR="00C21188" w:rsidRPr="00C21188" w:rsidRDefault="00C21188" w:rsidP="00C21188">
      <w:r w:rsidRPr="00C21188">
        <w:t>The positioning of risks on the risk matrix quotes a risk according to the value of the risks by placing them on the three areas of the matrix: acceptable - “green”, necessary measures that must be implemented - “yellow”, not acceptable - “red”.</w:t>
      </w:r>
    </w:p>
    <w:p w:rsidR="00C21188" w:rsidRDefault="00C21188" w:rsidP="00C21188">
      <w:r w:rsidRPr="00C21188">
        <w:t>The representation of scenarios on the risk matrix supplied a final list with the main risks at national level, according to the probability of occurrence thereof and their impact area.</w:t>
      </w:r>
    </w:p>
    <w:p w:rsidR="00CC05F6" w:rsidRDefault="00CC05F6" w:rsidP="00C21188">
      <w:r>
        <w:rPr>
          <w:noProof/>
          <w:lang w:val="ro-RO" w:eastAsia="ro-RO"/>
        </w:rPr>
        <mc:AlternateContent>
          <mc:Choice Requires="wps">
            <w:drawing>
              <wp:anchor distT="0" distB="0" distL="114300" distR="114300" simplePos="0" relativeHeight="251672576" behindDoc="0" locked="0" layoutInCell="1" allowOverlap="1" wp14:anchorId="4BE0D42A" wp14:editId="0B381AF0">
                <wp:simplePos x="0" y="0"/>
                <wp:positionH relativeFrom="column">
                  <wp:posOffset>2033905</wp:posOffset>
                </wp:positionH>
                <wp:positionV relativeFrom="paragraph">
                  <wp:posOffset>171450</wp:posOffset>
                </wp:positionV>
                <wp:extent cx="1828800" cy="353695"/>
                <wp:effectExtent l="5080" t="12700" r="13970" b="5080"/>
                <wp:wrapNone/>
                <wp:docPr id="59"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53695"/>
                        </a:xfrm>
                        <a:prstGeom prst="rect">
                          <a:avLst/>
                        </a:prstGeom>
                        <a:solidFill>
                          <a:srgbClr val="FFFFFF"/>
                        </a:solidFill>
                        <a:ln w="9525">
                          <a:solidFill>
                            <a:srgbClr val="000000"/>
                          </a:solidFill>
                          <a:miter lim="800000"/>
                          <a:headEnd/>
                          <a:tailEnd/>
                        </a:ln>
                      </wps:spPr>
                      <wps:txbx>
                        <w:txbxContent>
                          <w:p w:rsidR="005063CB" w:rsidRDefault="005063CB" w:rsidP="008A3F91">
                            <w:pPr>
                              <w:jc w:val="center"/>
                            </w:pPr>
                            <w:r>
                              <w:t>Risk matrix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0D42A" id="Rectangle 429" o:spid="_x0000_s1422" style="position:absolute;margin-left:160.15pt;margin-top:13.5pt;width:2in;height:27.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">
                <v:textbox>
                  <w:txbxContent>
                    <w:p w:rsidR="005063CB" w:rsidRDefault="005063CB" w:rsidP="008A3F91">
                      <w:pPr>
                        <w:jc w:val="center"/>
                      </w:pPr>
                      <w:r>
                        <w:t>Risk matrix</w:t>
                      </w:r>
                    </w:p>
                  </w:txbxContent>
                </v:textbox>
              </v:rect>
            </w:pict>
          </mc:Fallback>
        </mc:AlternateContent>
      </w:r>
    </w:p>
    <w:p w:rsidR="00CC05F6" w:rsidRPr="00C21188" w:rsidRDefault="00CC05F6" w:rsidP="00C21188"/>
    <w:p w:rsidR="00C21188" w:rsidRPr="00C21188" w:rsidRDefault="00CC05F6" w:rsidP="00C21188">
      <w:r>
        <w:rPr>
          <w:noProof/>
          <w:lang w:val="ro-RO" w:eastAsia="ro-RO"/>
        </w:rPr>
        <mc:AlternateContent>
          <mc:Choice Requires="wps">
            <w:drawing>
              <wp:anchor distT="0" distB="0" distL="114300" distR="114300" simplePos="0" relativeHeight="251680768" behindDoc="0" locked="0" layoutInCell="1" allowOverlap="1" wp14:anchorId="26D53C1A" wp14:editId="5D6F6D3D">
                <wp:simplePos x="0" y="0"/>
                <wp:positionH relativeFrom="column">
                  <wp:posOffset>790575</wp:posOffset>
                </wp:positionH>
                <wp:positionV relativeFrom="paragraph">
                  <wp:posOffset>299720</wp:posOffset>
                </wp:positionV>
                <wp:extent cx="3447415" cy="353695"/>
                <wp:effectExtent l="5715" t="13970" r="13970" b="13335"/>
                <wp:wrapNone/>
                <wp:docPr id="60"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7415" cy="353695"/>
                        </a:xfrm>
                        <a:prstGeom prst="rect">
                          <a:avLst/>
                        </a:prstGeom>
                        <a:solidFill>
                          <a:srgbClr val="FFFFFF"/>
                        </a:solidFill>
                        <a:ln w="9525">
                          <a:solidFill>
                            <a:srgbClr val="000000"/>
                          </a:solidFill>
                          <a:miter lim="800000"/>
                          <a:headEnd/>
                          <a:tailEnd/>
                        </a:ln>
                      </wps:spPr>
                      <wps:txbx>
                        <w:txbxContent>
                          <w:p w:rsidR="005063CB" w:rsidRDefault="005063CB" w:rsidP="008A3F91">
                            <w:pPr>
                              <w:jc w:val="center"/>
                            </w:pPr>
                            <w:r>
                              <w:t>Position of selected risks in the risk matrix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53C1A" id="Rectangle 430" o:spid="_x0000_s1423" style="position:absolute;margin-left:62.25pt;margin-top:23.6pt;width:271.45pt;height:27.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">
                <v:textbox>
                  <w:txbxContent>
                    <w:p w:rsidR="005063CB" w:rsidRDefault="005063CB" w:rsidP="008A3F91">
                      <w:pPr>
                        <w:jc w:val="center"/>
                      </w:pPr>
                      <w:r>
                        <w:t>Position of selected risks in the risk matrix</w:t>
                      </w:r>
                    </w:p>
                  </w:txbxContent>
                </v:textbox>
              </v:rect>
            </w:pict>
          </mc:Fallback>
        </mc:AlternateContent>
      </w:r>
      <w:r w:rsidR="00DF768F">
        <w:rPr>
          <w:noProof/>
          <w:lang w:val="ro-RO" w:eastAsia="ro-RO"/>
        </w:rPr>
        <mc:AlternateContent>
          <mc:Choice Requires="wps">
            <w:drawing>
              <wp:anchor distT="0" distB="0" distL="114300" distR="114300" simplePos="0" relativeHeight="251688960" behindDoc="0" locked="0" layoutInCell="1" allowOverlap="1" wp14:anchorId="27DBCF43" wp14:editId="36AB0E0A">
                <wp:simplePos x="0" y="0"/>
                <wp:positionH relativeFrom="column">
                  <wp:posOffset>53340</wp:posOffset>
                </wp:positionH>
                <wp:positionV relativeFrom="paragraph">
                  <wp:posOffset>4027805</wp:posOffset>
                </wp:positionV>
                <wp:extent cx="4184650" cy="255270"/>
                <wp:effectExtent l="5715" t="8255" r="10160" b="12700"/>
                <wp:wrapNone/>
                <wp:docPr id="320"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4650" cy="255270"/>
                        </a:xfrm>
                        <a:prstGeom prst="rect">
                          <a:avLst/>
                        </a:prstGeom>
                        <a:solidFill>
                          <a:srgbClr val="FFFFFF"/>
                        </a:solidFill>
                        <a:ln w="9525">
                          <a:solidFill>
                            <a:srgbClr val="000000"/>
                          </a:solidFill>
                          <a:miter lim="800000"/>
                          <a:headEnd/>
                          <a:tailEnd/>
                        </a:ln>
                      </wps:spPr>
                      <wps:txbx>
                        <w:txbxContent>
                          <w:p w:rsidR="005063CB" w:rsidRPr="00F13F7C" w:rsidRDefault="005063CB">
                            <w:pPr>
                              <w:rPr>
                                <w:sz w:val="20"/>
                              </w:rPr>
                            </w:pPr>
                            <w:r w:rsidRPr="00F13F7C">
                              <w:rPr>
                                <w:sz w:val="20"/>
                              </w:rPr>
                              <w:t>Source: MIA – “</w:t>
                            </w:r>
                            <w:r w:rsidRPr="00F13F7C">
                              <w:rPr>
                                <w:i/>
                                <w:sz w:val="20"/>
                              </w:rPr>
                              <w:t>Assessment of disaster risks at national level (RO-RISK)</w:t>
                            </w:r>
                            <w:r w:rsidRPr="00F13F7C">
                              <w:rPr>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BCF43" id="Rectangle 434" o:spid="_x0000_s1424" style="position:absolute;margin-left:4.2pt;margin-top:317.15pt;width:329.5pt;height:20.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">
                <v:textbox>
                  <w:txbxContent>
                    <w:p w:rsidR="005063CB" w:rsidRPr="00F13F7C" w:rsidRDefault="005063CB">
                      <w:pPr>
                        <w:rPr>
                          <w:sz w:val="20"/>
                        </w:rPr>
                      </w:pPr>
                      <w:r w:rsidRPr="00F13F7C">
                        <w:rPr>
                          <w:sz w:val="20"/>
                        </w:rPr>
                        <w:t>Source: MIA – “</w:t>
                      </w:r>
                      <w:r w:rsidRPr="00F13F7C">
                        <w:rPr>
                          <w:i/>
                          <w:sz w:val="20"/>
                        </w:rPr>
                        <w:t>Assessment of disaster risks at national level (RO-RISK)</w:t>
                      </w:r>
                      <w:r w:rsidRPr="00F13F7C">
                        <w:rPr>
                          <w:sz w:val="20"/>
                        </w:rPr>
                        <w:t>”</w:t>
                      </w:r>
                    </w:p>
                  </w:txbxContent>
                </v:textbox>
              </v:rect>
            </w:pict>
          </mc:Fallback>
        </mc:AlternateContent>
      </w:r>
      <w:r w:rsidR="00DF768F">
        <w:rPr>
          <w:noProof/>
          <w:lang w:val="ro-RO" w:eastAsia="ro-RO"/>
        </w:rPr>
        <mc:AlternateContent>
          <mc:Choice Requires="wps">
            <w:drawing>
              <wp:anchor distT="0" distB="0" distL="114300" distR="114300" simplePos="0" relativeHeight="251686912" behindDoc="0" locked="0" layoutInCell="1" allowOverlap="1" wp14:anchorId="5B466129" wp14:editId="360A3F55">
                <wp:simplePos x="0" y="0"/>
                <wp:positionH relativeFrom="column">
                  <wp:posOffset>1157605</wp:posOffset>
                </wp:positionH>
                <wp:positionV relativeFrom="paragraph">
                  <wp:posOffset>3756025</wp:posOffset>
                </wp:positionV>
                <wp:extent cx="1861820" cy="271780"/>
                <wp:effectExtent l="5080" t="12700" r="9525" b="10795"/>
                <wp:wrapNone/>
                <wp:docPr id="63"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1820" cy="271780"/>
                        </a:xfrm>
                        <a:prstGeom prst="rect">
                          <a:avLst/>
                        </a:prstGeom>
                        <a:solidFill>
                          <a:srgbClr val="FFFFFF"/>
                        </a:solidFill>
                        <a:ln w="9525">
                          <a:solidFill>
                            <a:srgbClr val="000000"/>
                          </a:solidFill>
                          <a:miter lim="800000"/>
                          <a:headEnd/>
                          <a:tailEnd/>
                        </a:ln>
                      </wps:spPr>
                      <wps:txbx>
                        <w:txbxContent>
                          <w:p w:rsidR="005063CB" w:rsidRPr="00F13F7C" w:rsidRDefault="005063CB" w:rsidP="00F13F7C">
                            <w:pPr>
                              <w:jc w:val="center"/>
                              <w:rPr>
                                <w:sz w:val="20"/>
                              </w:rPr>
                            </w:pPr>
                            <w:r w:rsidRPr="00F13F7C">
                              <w:rPr>
                                <w:sz w:val="20"/>
                              </w:rPr>
                              <w:t>PROBABILITIES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66129" id="Rectangle 433" o:spid="_x0000_s1425" style="position:absolute;margin-left:91.15pt;margin-top:295.75pt;width:146.6pt;height:21.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">
                <v:textbox>
                  <w:txbxContent>
                    <w:p w:rsidR="005063CB" w:rsidRPr="00F13F7C" w:rsidRDefault="005063CB" w:rsidP="00F13F7C">
                      <w:pPr>
                        <w:jc w:val="center"/>
                        <w:rPr>
                          <w:sz w:val="20"/>
                        </w:rPr>
                      </w:pPr>
                      <w:r w:rsidRPr="00F13F7C">
                        <w:rPr>
                          <w:sz w:val="20"/>
                        </w:rPr>
                        <w:t>PROBABILITIES</w:t>
                      </w:r>
                    </w:p>
                  </w:txbxContent>
                </v:textbox>
              </v:rect>
            </w:pict>
          </mc:Fallback>
        </mc:AlternateContent>
      </w:r>
      <w:r w:rsidR="00DF768F">
        <w:rPr>
          <w:noProof/>
          <w:lang w:val="ro-RO" w:eastAsia="ro-RO"/>
        </w:rPr>
        <mc:AlternateContent>
          <mc:Choice Requires="wps">
            <w:drawing>
              <wp:anchor distT="0" distB="0" distL="114300" distR="114300" simplePos="0" relativeHeight="251684864" behindDoc="0" locked="0" layoutInCell="1" allowOverlap="1" wp14:anchorId="422C66C3" wp14:editId="3C6F1A3C">
                <wp:simplePos x="0" y="0"/>
                <wp:positionH relativeFrom="column">
                  <wp:posOffset>4024630</wp:posOffset>
                </wp:positionH>
                <wp:positionV relativeFrom="paragraph">
                  <wp:posOffset>782320</wp:posOffset>
                </wp:positionV>
                <wp:extent cx="1507490" cy="2973705"/>
                <wp:effectExtent l="5080" t="10795" r="11430" b="6350"/>
                <wp:wrapNone/>
                <wp:docPr id="62"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7490" cy="2973705"/>
                        </a:xfrm>
                        <a:prstGeom prst="rect">
                          <a:avLst/>
                        </a:prstGeom>
                        <a:solidFill>
                          <a:srgbClr val="FFFFFF"/>
                        </a:solidFill>
                        <a:ln w="9525">
                          <a:solidFill>
                            <a:srgbClr val="000000"/>
                          </a:solidFill>
                          <a:miter lim="800000"/>
                          <a:headEnd/>
                          <a:tailEnd/>
                        </a:ln>
                      </wps:spPr>
                      <wps:txbx>
                        <w:txbxContent>
                          <w:p w:rsidR="005063CB" w:rsidRPr="00F13F7C" w:rsidRDefault="005063CB">
                            <w:pPr>
                              <w:rPr>
                                <w:sz w:val="22"/>
                              </w:rPr>
                            </w:pPr>
                            <w:r w:rsidRPr="00F13F7C">
                              <w:rPr>
                                <w:sz w:val="22"/>
                              </w:rPr>
                              <w:t>Floods</w:t>
                            </w:r>
                          </w:p>
                          <w:p w:rsidR="005063CB" w:rsidRPr="00F13F7C" w:rsidRDefault="005063CB">
                            <w:pPr>
                              <w:rPr>
                                <w:sz w:val="22"/>
                              </w:rPr>
                            </w:pPr>
                            <w:r w:rsidRPr="00F13F7C">
                              <w:rPr>
                                <w:sz w:val="22"/>
                              </w:rPr>
                              <w:t xml:space="preserve">Drought </w:t>
                            </w:r>
                          </w:p>
                          <w:p w:rsidR="005063CB" w:rsidRPr="00F13F7C" w:rsidRDefault="005063CB">
                            <w:pPr>
                              <w:rPr>
                                <w:sz w:val="22"/>
                              </w:rPr>
                            </w:pPr>
                          </w:p>
                          <w:p w:rsidR="005063CB" w:rsidRPr="00F13F7C" w:rsidRDefault="005063CB">
                            <w:pPr>
                              <w:rPr>
                                <w:sz w:val="22"/>
                              </w:rPr>
                            </w:pPr>
                            <w:r w:rsidRPr="00F13F7C">
                              <w:rPr>
                                <w:sz w:val="22"/>
                              </w:rPr>
                              <w:t>Earthquakes</w:t>
                            </w:r>
                          </w:p>
                          <w:p w:rsidR="005063CB" w:rsidRPr="00F13F7C" w:rsidRDefault="005063CB">
                            <w:pPr>
                              <w:rPr>
                                <w:sz w:val="22"/>
                              </w:rPr>
                            </w:pPr>
                          </w:p>
                          <w:p w:rsidR="005063CB" w:rsidRPr="00F13F7C" w:rsidRDefault="005063CB">
                            <w:pPr>
                              <w:rPr>
                                <w:sz w:val="22"/>
                              </w:rPr>
                            </w:pPr>
                            <w:r w:rsidRPr="00F13F7C">
                              <w:rPr>
                                <w:sz w:val="22"/>
                              </w:rPr>
                              <w:t>Epidemics</w:t>
                            </w:r>
                          </w:p>
                          <w:p w:rsidR="005063CB" w:rsidRPr="00F13F7C" w:rsidRDefault="005063CB">
                            <w:pPr>
                              <w:rPr>
                                <w:sz w:val="22"/>
                              </w:rPr>
                            </w:pPr>
                            <w:r w:rsidRPr="00F13F7C">
                              <w:rPr>
                                <w:sz w:val="22"/>
                              </w:rPr>
                              <w:t>Epidemics and zoonoses</w:t>
                            </w:r>
                          </w:p>
                          <w:p w:rsidR="005063CB" w:rsidRPr="00F13F7C" w:rsidRDefault="005063CB">
                            <w:pPr>
                              <w:rPr>
                                <w:sz w:val="22"/>
                              </w:rPr>
                            </w:pPr>
                            <w:r w:rsidRPr="00F13F7C">
                              <w:rPr>
                                <w:sz w:val="22"/>
                              </w:rPr>
                              <w:t>Seveso accidents</w:t>
                            </w:r>
                          </w:p>
                          <w:p w:rsidR="005063CB" w:rsidRPr="00F13F7C" w:rsidRDefault="005063CB">
                            <w:pPr>
                              <w:rPr>
                                <w:sz w:val="22"/>
                              </w:rPr>
                            </w:pPr>
                          </w:p>
                          <w:p w:rsidR="005063CB" w:rsidRPr="00F13F7C" w:rsidRDefault="005063CB">
                            <w:pPr>
                              <w:rPr>
                                <w:sz w:val="22"/>
                              </w:rPr>
                            </w:pPr>
                            <w:r w:rsidRPr="00F13F7C">
                              <w:rPr>
                                <w:sz w:val="22"/>
                              </w:rPr>
                              <w:t>Forest fires</w:t>
                            </w:r>
                          </w:p>
                          <w:p w:rsidR="005063CB" w:rsidRPr="00F13F7C" w:rsidRDefault="005063CB">
                            <w:pPr>
                              <w:rPr>
                                <w:sz w:val="22"/>
                              </w:rPr>
                            </w:pPr>
                          </w:p>
                          <w:p w:rsidR="005063CB" w:rsidRPr="00F13F7C" w:rsidRDefault="005063CB">
                            <w:pPr>
                              <w:rPr>
                                <w:sz w:val="22"/>
                              </w:rPr>
                            </w:pPr>
                            <w:r w:rsidRPr="00F13F7C">
                              <w:rPr>
                                <w:sz w:val="22"/>
                              </w:rPr>
                              <w:t xml:space="preserve">Landslides </w:t>
                            </w:r>
                          </w:p>
                          <w:p w:rsidR="005063CB" w:rsidRPr="00F13F7C" w:rsidRDefault="005063CB">
                            <w:pPr>
                              <w:rPr>
                                <w:sz w:val="22"/>
                              </w:rPr>
                            </w:pPr>
                            <w:r w:rsidRPr="00F13F7C">
                              <w:rPr>
                                <w:sz w:val="22"/>
                              </w:rPr>
                              <w:t>Major accidents involving hazardous substances</w:t>
                            </w:r>
                          </w:p>
                          <w:p w:rsidR="005063CB" w:rsidRPr="00F13F7C" w:rsidRDefault="005063CB">
                            <w:pPr>
                              <w:rPr>
                                <w:sz w:val="22"/>
                              </w:rPr>
                            </w:pPr>
                            <w:r w:rsidRPr="00F13F7C">
                              <w:rPr>
                                <w:sz w:val="22"/>
                              </w:rPr>
                              <w:t>Nuclear and radiologic accidents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C66C3" id="Rectangle 432" o:spid="_x0000_s1426" style="position:absolute;margin-left:316.9pt;margin-top:61.6pt;width:118.7pt;height:234.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">
                <v:textbox>
                  <w:txbxContent>
                    <w:p w:rsidR="005063CB" w:rsidRPr="00F13F7C" w:rsidRDefault="005063CB">
                      <w:pPr>
                        <w:rPr>
                          <w:sz w:val="22"/>
                        </w:rPr>
                      </w:pPr>
                      <w:r w:rsidRPr="00F13F7C">
                        <w:rPr>
                          <w:sz w:val="22"/>
                        </w:rPr>
                        <w:t>Floods</w:t>
                      </w:r>
                    </w:p>
                    <w:p w:rsidR="005063CB" w:rsidRPr="00F13F7C" w:rsidRDefault="005063CB">
                      <w:pPr>
                        <w:rPr>
                          <w:sz w:val="22"/>
                        </w:rPr>
                      </w:pPr>
                      <w:r w:rsidRPr="00F13F7C">
                        <w:rPr>
                          <w:sz w:val="22"/>
                        </w:rPr>
                        <w:t xml:space="preserve">Drought </w:t>
                      </w:r>
                    </w:p>
                    <w:p w:rsidR="005063CB" w:rsidRPr="00F13F7C" w:rsidRDefault="005063CB">
                      <w:pPr>
                        <w:rPr>
                          <w:sz w:val="22"/>
                        </w:rPr>
                      </w:pPr>
                    </w:p>
                    <w:p w:rsidR="005063CB" w:rsidRPr="00F13F7C" w:rsidRDefault="005063CB">
                      <w:pPr>
                        <w:rPr>
                          <w:sz w:val="22"/>
                        </w:rPr>
                      </w:pPr>
                      <w:r w:rsidRPr="00F13F7C">
                        <w:rPr>
                          <w:sz w:val="22"/>
                        </w:rPr>
                        <w:t>Earthquakes</w:t>
                      </w:r>
                    </w:p>
                    <w:p w:rsidR="005063CB" w:rsidRPr="00F13F7C" w:rsidRDefault="005063CB">
                      <w:pPr>
                        <w:rPr>
                          <w:sz w:val="22"/>
                        </w:rPr>
                      </w:pPr>
                    </w:p>
                    <w:p w:rsidR="005063CB" w:rsidRPr="00F13F7C" w:rsidRDefault="005063CB">
                      <w:pPr>
                        <w:rPr>
                          <w:sz w:val="22"/>
                        </w:rPr>
                      </w:pPr>
                      <w:r w:rsidRPr="00F13F7C">
                        <w:rPr>
                          <w:sz w:val="22"/>
                        </w:rPr>
                        <w:t>Epidemics</w:t>
                      </w:r>
                    </w:p>
                    <w:p w:rsidR="005063CB" w:rsidRPr="00F13F7C" w:rsidRDefault="005063CB">
                      <w:pPr>
                        <w:rPr>
                          <w:sz w:val="22"/>
                        </w:rPr>
                      </w:pPr>
                      <w:r w:rsidRPr="00F13F7C">
                        <w:rPr>
                          <w:sz w:val="22"/>
                        </w:rPr>
                        <w:t>Epidemics and zoonoses</w:t>
                      </w:r>
                    </w:p>
                    <w:p w:rsidR="005063CB" w:rsidRPr="00F13F7C" w:rsidRDefault="005063CB">
                      <w:pPr>
                        <w:rPr>
                          <w:sz w:val="22"/>
                        </w:rPr>
                      </w:pPr>
                      <w:r w:rsidRPr="00F13F7C">
                        <w:rPr>
                          <w:sz w:val="22"/>
                        </w:rPr>
                        <w:t>Seveso accidents</w:t>
                      </w:r>
                    </w:p>
                    <w:p w:rsidR="005063CB" w:rsidRPr="00F13F7C" w:rsidRDefault="005063CB">
                      <w:pPr>
                        <w:rPr>
                          <w:sz w:val="22"/>
                        </w:rPr>
                      </w:pPr>
                    </w:p>
                    <w:p w:rsidR="005063CB" w:rsidRPr="00F13F7C" w:rsidRDefault="005063CB">
                      <w:pPr>
                        <w:rPr>
                          <w:sz w:val="22"/>
                        </w:rPr>
                      </w:pPr>
                      <w:r w:rsidRPr="00F13F7C">
                        <w:rPr>
                          <w:sz w:val="22"/>
                        </w:rPr>
                        <w:t>Forest fires</w:t>
                      </w:r>
                    </w:p>
                    <w:p w:rsidR="005063CB" w:rsidRPr="00F13F7C" w:rsidRDefault="005063CB">
                      <w:pPr>
                        <w:rPr>
                          <w:sz w:val="22"/>
                        </w:rPr>
                      </w:pPr>
                    </w:p>
                    <w:p w:rsidR="005063CB" w:rsidRPr="00F13F7C" w:rsidRDefault="005063CB">
                      <w:pPr>
                        <w:rPr>
                          <w:sz w:val="22"/>
                        </w:rPr>
                      </w:pPr>
                      <w:r w:rsidRPr="00F13F7C">
                        <w:rPr>
                          <w:sz w:val="22"/>
                        </w:rPr>
                        <w:t xml:space="preserve">Landslides </w:t>
                      </w:r>
                    </w:p>
                    <w:p w:rsidR="005063CB" w:rsidRPr="00F13F7C" w:rsidRDefault="005063CB">
                      <w:pPr>
                        <w:rPr>
                          <w:sz w:val="22"/>
                        </w:rPr>
                      </w:pPr>
                      <w:r w:rsidRPr="00F13F7C">
                        <w:rPr>
                          <w:sz w:val="22"/>
                        </w:rPr>
                        <w:t>Major accidents involving hazardous substances</w:t>
                      </w:r>
                    </w:p>
                    <w:p w:rsidR="005063CB" w:rsidRPr="00F13F7C" w:rsidRDefault="005063CB">
                      <w:pPr>
                        <w:rPr>
                          <w:sz w:val="22"/>
                        </w:rPr>
                      </w:pPr>
                      <w:r w:rsidRPr="00F13F7C">
                        <w:rPr>
                          <w:sz w:val="22"/>
                        </w:rPr>
                        <w:t>Nuclear and radiologic accidents</w:t>
                      </w:r>
                    </w:p>
                  </w:txbxContent>
                </v:textbox>
              </v:rect>
            </w:pict>
          </mc:Fallback>
        </mc:AlternateContent>
      </w:r>
      <w:r w:rsidR="00DF768F">
        <w:rPr>
          <w:noProof/>
          <w:lang w:val="ro-RO" w:eastAsia="ro-RO"/>
        </w:rPr>
        <mc:AlternateContent>
          <mc:Choice Requires="wps">
            <w:drawing>
              <wp:anchor distT="0" distB="0" distL="114300" distR="114300" simplePos="0" relativeHeight="251682816" behindDoc="0" locked="0" layoutInCell="1" allowOverlap="1" wp14:anchorId="0D4E5002" wp14:editId="106018E6">
                <wp:simplePos x="0" y="0"/>
                <wp:positionH relativeFrom="column">
                  <wp:posOffset>4493895</wp:posOffset>
                </wp:positionH>
                <wp:positionV relativeFrom="paragraph">
                  <wp:posOffset>271145</wp:posOffset>
                </wp:positionV>
                <wp:extent cx="1268730" cy="353695"/>
                <wp:effectExtent l="7620" t="13970" r="9525" b="13335"/>
                <wp:wrapNone/>
                <wp:docPr id="61"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730" cy="353695"/>
                        </a:xfrm>
                        <a:prstGeom prst="rect">
                          <a:avLst/>
                        </a:prstGeom>
                        <a:solidFill>
                          <a:srgbClr val="FFFFFF"/>
                        </a:solidFill>
                        <a:ln w="9525">
                          <a:solidFill>
                            <a:srgbClr val="000000"/>
                          </a:solidFill>
                          <a:miter lim="800000"/>
                          <a:headEnd/>
                          <a:tailEnd/>
                        </a:ln>
                      </wps:spPr>
                      <wps:txbx>
                        <w:txbxContent>
                          <w:p w:rsidR="005063CB" w:rsidRDefault="005063CB">
                            <w:r>
                              <w:t>Legend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E5002" id="Rectangle 431" o:spid="_x0000_s1427" style="position:absolute;margin-left:353.85pt;margin-top:21.35pt;width:99.9pt;height:27.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">
                <v:textbox>
                  <w:txbxContent>
                    <w:p w:rsidR="005063CB" w:rsidRDefault="005063CB">
                      <w:r>
                        <w:t>Legend</w:t>
                      </w:r>
                    </w:p>
                  </w:txbxContent>
                </v:textbox>
              </v:rect>
            </w:pict>
          </mc:Fallback>
        </mc:AlternateContent>
      </w:r>
      <w:r w:rsidR="00C21188" w:rsidRPr="00C21188">
        <w:rPr>
          <w:noProof/>
          <w:lang w:val="ro-RO" w:eastAsia="ro-RO"/>
        </w:rPr>
        <w:drawing>
          <wp:inline distT="0" distB="0" distL="0" distR="0" wp14:anchorId="713FD1C3" wp14:editId="385F16FB">
            <wp:extent cx="6010656" cy="42424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atricea de risc.jpg"/>
                    <pic:cNvPicPr/>
                  </pic:nvPicPr>
                  <pic:blipFill>
                    <a:blip r:embed="rId55">
                      <a:extLst>
                        <a:ext uri="{28A0092B-C50C-407E-A947-70E740481C1C}">
                          <a14:useLocalDpi xmlns:a14="http://schemas.microsoft.com/office/drawing/2010/main" val="0"/>
                        </a:ext>
                      </a:extLst>
                    </a:blip>
                    <a:stretch>
                      <a:fillRect/>
                    </a:stretch>
                  </pic:blipFill>
                  <pic:spPr>
                    <a:xfrm>
                      <a:off x="0" y="0"/>
                      <a:ext cx="6126135" cy="4323942"/>
                    </a:xfrm>
                    <a:prstGeom prst="rect">
                      <a:avLst/>
                    </a:prstGeom>
                  </pic:spPr>
                </pic:pic>
              </a:graphicData>
            </a:graphic>
          </wp:inline>
        </w:drawing>
      </w:r>
    </w:p>
    <w:p w:rsidR="00C21188" w:rsidRPr="00C21188" w:rsidRDefault="00C21188" w:rsidP="00C21188"/>
    <w:p w:rsidR="00C21188" w:rsidRPr="00C21188" w:rsidRDefault="00C21188" w:rsidP="00C21188">
      <w:r w:rsidRPr="00C21188">
        <w:t>The risk matrix</w:t>
      </w:r>
      <w:r w:rsidRPr="00C21188">
        <w:footnoteReference w:id="55"/>
      </w:r>
      <w:r w:rsidRPr="00C21188">
        <w:t xml:space="preserve"> above reveals that the following risks: earthquakes, drought, floods, </w:t>
      </w:r>
      <w:r w:rsidR="00916FF8" w:rsidRPr="00C21188">
        <w:t>landslides</w:t>
      </w:r>
      <w:r w:rsidRPr="00C21188">
        <w:t xml:space="preserve">, forest fire, epidemics require measures that must be implemented within the management thereof. </w:t>
      </w:r>
    </w:p>
    <w:p w:rsidR="00C21188" w:rsidRPr="00C21188" w:rsidRDefault="00C21188" w:rsidP="00C21188"/>
    <w:tbl>
      <w:tblPr>
        <w:tblW w:w="0" w:type="auto"/>
        <w:tblBorders>
          <w:top w:val="single" w:sz="2" w:space="0" w:color="365F91"/>
          <w:left w:val="single" w:sz="2" w:space="0" w:color="365F91"/>
          <w:bottom w:val="single" w:sz="2" w:space="0" w:color="365F91"/>
          <w:right w:val="single" w:sz="2" w:space="0" w:color="365F91"/>
        </w:tblBorders>
        <w:tblLook w:val="04A0" w:firstRow="1" w:lastRow="0" w:firstColumn="1" w:lastColumn="0" w:noHBand="0" w:noVBand="1"/>
      </w:tblPr>
      <w:tblGrid>
        <w:gridCol w:w="9904"/>
      </w:tblGrid>
      <w:tr w:rsidR="00C21188" w:rsidRPr="00C21188" w:rsidTr="00C21188">
        <w:trPr>
          <w:trHeight w:val="397"/>
        </w:trPr>
        <w:tc>
          <w:tcPr>
            <w:tcW w:w="9904" w:type="dxa"/>
            <w:shd w:val="clear" w:color="auto" w:fill="DBE5F1"/>
          </w:tcPr>
          <w:p w:rsidR="00C21188" w:rsidRPr="00C21188" w:rsidRDefault="00C21188" w:rsidP="00C21188"/>
          <w:p w:rsidR="00C21188" w:rsidRPr="00C21188" w:rsidRDefault="00C21188" w:rsidP="00C21188">
            <w:r w:rsidRPr="00C21188">
              <w:t xml:space="preserve"> Measures implemented or in process of implementation for prevention of risks generated by emergency situations</w:t>
            </w:r>
          </w:p>
          <w:p w:rsidR="00C21188" w:rsidRPr="00C21188" w:rsidRDefault="00C21188" w:rsidP="00C21188"/>
        </w:tc>
      </w:tr>
    </w:tbl>
    <w:p w:rsidR="00C21188" w:rsidRPr="00C21188" w:rsidRDefault="00C21188" w:rsidP="00C21188"/>
    <w:p w:rsidR="00C21188" w:rsidRPr="00C21188" w:rsidRDefault="00C21188" w:rsidP="00C21188">
      <w:r w:rsidRPr="00C21188">
        <w:t xml:space="preserve">In order to support Romania’s efforts in efficiently reacting in the case of occurrence of natural disasters and climate changes, on the one hand, through performing disaster risk management, through the development of specific risks and, on the other hand, through assurance of the financial resources in the case of occurrence of natural disasters, in June 2018 was concluded the Loan agreement for development policies regarding the management of disaster risks, with option of postponement of the drawing until a catastrophe occurs (CAT-DDO), amounting to 400 million EUR, concluded between the Ministry of Public Finance and the IBRD (International Bank for Reconstruction and Development).  </w:t>
      </w:r>
    </w:p>
    <w:p w:rsidR="00C21188" w:rsidRPr="00C21188" w:rsidRDefault="00C21188" w:rsidP="00C21188"/>
    <w:p w:rsidR="00C21188" w:rsidRPr="00C21188" w:rsidRDefault="00C21188" w:rsidP="00C21188">
      <w:r w:rsidRPr="00C21188">
        <w:t>The loan is awarded for a term of up to 20 years, with 19.5 years grace period, the reimbursement being made in a single installment on May 1, 2038 and it is available until December 31, 2021, with possibility of extension of this period 4 times, but without exceeding 15 years in total.</w:t>
      </w:r>
    </w:p>
    <w:p w:rsidR="00C21188" w:rsidRPr="00C21188" w:rsidRDefault="00C21188" w:rsidP="00C21188"/>
    <w:p w:rsidR="00C21188" w:rsidRPr="00C21188" w:rsidRDefault="00C21188" w:rsidP="00C21188">
      <w:r w:rsidRPr="00C21188">
        <w:t xml:space="preserve">The implementation of the actions provided in the Loan Agreement is ensured by: The Ministry of Public Finance, in its capacity as borrower, the Ministry of Internal Affairs, in its capacity as coordinator of the National Committee for Special Emergency Situations, through the Department of Emergency Situations, as well as by the Ministry of Regional Development and Public Administration. </w:t>
      </w:r>
    </w:p>
    <w:p w:rsidR="00C21188" w:rsidRPr="00C21188" w:rsidRDefault="00C21188" w:rsidP="00C21188"/>
    <w:p w:rsidR="00C21188" w:rsidRPr="00C21188" w:rsidRDefault="00C21188" w:rsidP="00C21188">
      <w:r w:rsidRPr="00C21188">
        <w:t xml:space="preserve">The Ministry of Internal Affairs, acting through the IGSU, together with other central public authorities and with support from the academia, after implementing the project RO-RISK, ensured the fulfillment of one ex-ante condition imposed on Romania and has the national assessment of risks materialized through the quantification of the physical, economic, social, and psychological impact generated by the following 10 types of major risks/disasters: earthquake, floods, drought, forest fire, </w:t>
      </w:r>
      <w:r w:rsidR="00916FF8" w:rsidRPr="00C21188">
        <w:t>landslides</w:t>
      </w:r>
      <w:r w:rsidRPr="00C21188">
        <w:t>, nuclear and radiologic accident, major industrial accidents which involve hazardous substances (SEVESO), transport of hazardous substances, epidemics and zoonoses.</w:t>
      </w:r>
    </w:p>
    <w:p w:rsidR="00C21188" w:rsidRPr="00C21188" w:rsidRDefault="00C21188" w:rsidP="00C21188"/>
    <w:p w:rsidR="00C21188" w:rsidRPr="00C21188" w:rsidRDefault="00C21188" w:rsidP="00C21188">
      <w:r w:rsidRPr="00C21188">
        <w:t>The Ministry of Waters and Forests ensures risk management for floods, which consists of ensuring the implementation of the strategies, policies and projects in the field of flood risks.</w:t>
      </w:r>
    </w:p>
    <w:p w:rsidR="00C21188" w:rsidRPr="00C21188" w:rsidRDefault="00C21188" w:rsidP="00C21188"/>
    <w:p w:rsidR="00C21188" w:rsidRPr="00C21188" w:rsidRDefault="00C21188" w:rsidP="00C21188">
      <w:r w:rsidRPr="00C21188">
        <w:t>In promoting hydro-technical constructions and arrangements, the Ministry of Waters and Forests seeks to observe the principles provided through Government Decision no. 846/2010 approving the National Strategy for Flood Risk Management on medium and long term, which comprises a series of actions at national and basin level, including planning, programs, framework policies, coordination, facilitation, increasing awareness and social consolidation, resilience, as well as the principles approved through Government Decision no. 972/2016 approving the flood risk management plans corresponding to the 11 water basin administrations and of for the Danube River on the territory of Romania.</w:t>
      </w:r>
    </w:p>
    <w:p w:rsidR="00C21188" w:rsidRPr="00C21188" w:rsidRDefault="00C21188" w:rsidP="00C21188"/>
    <w:p w:rsidR="00C21188" w:rsidRPr="00C21188" w:rsidRDefault="00C21188" w:rsidP="00C21188">
      <w:r w:rsidRPr="00C21188">
        <w:t>The flood risk management plans represent a planning document of measures for flood risk management and with priority, through reduction of the effects thereof, which must be implemented in 2016-2021 by each institution with attributions in the field, in order to reduce flood risk in the areas with significant potential flood risk for every hydro-graphic basin.</w:t>
      </w:r>
    </w:p>
    <w:p w:rsidR="00C21188" w:rsidRPr="00C21188" w:rsidRDefault="00C21188" w:rsidP="00C21188"/>
    <w:p w:rsidR="00C21188" w:rsidRPr="00C21188" w:rsidRDefault="00C21188" w:rsidP="00C21188">
      <w:r w:rsidRPr="00C21188">
        <w:t>The plan comprises specific and concrete measures, including investment works, which follow the 5 fields of action of the flood risk management cycle: Prevention, Protection, Preparation, Flood risk awareness and Restoration/Reconstruction, which will be implemented by all institutions with attributions in the management of this type of risk.</w:t>
      </w:r>
    </w:p>
    <w:p w:rsidR="00C21188" w:rsidRPr="00C21188" w:rsidRDefault="00C21188" w:rsidP="00C21188"/>
    <w:p w:rsidR="00C21188" w:rsidRPr="00C21188" w:rsidRDefault="00C21188" w:rsidP="00C21188">
      <w:r w:rsidRPr="00C21188">
        <w:t>The average costs estimated in the National Flood Risk Management Strategy on medium and long term for counteracting the disasters caused by floods are of approximately 700 million EUR/year, respectively 2100 million EUR for the period 2019-2021 for all institutions responsible in implementing these strategies (the Ministry of Waters and Forests, the Ministry of Transport, the Ministry of Environment, the Ministry of Agriculture and Rural Development, the Ministry of Economy, as well as the regional/county and local administrations).</w:t>
      </w:r>
    </w:p>
    <w:p w:rsidR="00C21188" w:rsidRPr="00C21188" w:rsidRDefault="00C21188" w:rsidP="00C21188"/>
    <w:p w:rsidR="00C21188" w:rsidRPr="00C21188" w:rsidRDefault="00C21188" w:rsidP="00C21188">
      <w:r w:rsidRPr="00C21188">
        <w:t>Also, for each hydro-graphic basin were identified a series of major integrated projects - as a series of measures for arrangement of the areas with maximum potential flood risk of flash-flood type registered in the recent years, projects which are proposed to be implemented with external financing in the case of the Operational Program of Large Infrastructure for 2014-2020.</w:t>
      </w:r>
    </w:p>
    <w:p w:rsidR="00C21188" w:rsidRPr="00C21188" w:rsidRDefault="00C21188" w:rsidP="00C21188"/>
    <w:p w:rsidR="00C21188" w:rsidRPr="00C21188" w:rsidRDefault="00C21188" w:rsidP="00C21188">
      <w:r w:rsidRPr="00C21188">
        <w:t xml:space="preserve">Ministry of Environment </w:t>
      </w:r>
    </w:p>
    <w:p w:rsidR="00C21188" w:rsidRPr="00C21188" w:rsidRDefault="00C21188" w:rsidP="00C21188">
      <w:r w:rsidRPr="00C21188">
        <w:t>In Romania, the climate data of the last decades emphasize a progressive increase of air temperature, as well as an increase of the frequency of extreme events, being more and more obvious the fast alternation between severe heat, accentuated drought and abundant rainfall that generate fast floods.</w:t>
      </w:r>
    </w:p>
    <w:p w:rsidR="00C21188" w:rsidRPr="00C21188" w:rsidRDefault="00C21188" w:rsidP="00C21188"/>
    <w:p w:rsidR="00C21188" w:rsidRPr="00C21188" w:rsidRDefault="00C21188" w:rsidP="00C21188">
      <w:r w:rsidRPr="00C21188">
        <w:t>Climate projections also indicate for the future a significant increase of extreme temperatures, especially in the summer months, as well as of periods of drought or of intervals with abundant rainfall that generate fast floods at regional/local level, being more and more obvious the regional differentiations in the evolution of these phenomena. As a consequence, the effects on the social and economic activity of dangerous meteorological phenomena (heat waves, droughts, storms, torrential rain, etc.) will be increasingly dominant.</w:t>
      </w:r>
    </w:p>
    <w:p w:rsidR="00C21188" w:rsidRPr="00C21188" w:rsidRDefault="00C21188" w:rsidP="00C21188">
      <w:pPr>
        <w:rPr>
          <w:highlight w:val="yellow"/>
        </w:rPr>
      </w:pPr>
    </w:p>
    <w:p w:rsidR="00C21188" w:rsidRPr="00C21188" w:rsidRDefault="00C21188" w:rsidP="00C21188">
      <w:r w:rsidRPr="00C21188">
        <w:t xml:space="preserve">In the following 3 years, the analysis of the climate hazards noted and of future projections under the conditions of climate changes, it is estimated that episodes of intense rainfall will occur on the entire territory of the country, the increase of the intensity of rainfall being more accentuated especially in the mountain areas. The increase of the frequency and </w:t>
      </w:r>
      <w:r w:rsidR="00916FF8" w:rsidRPr="00C21188">
        <w:t>intensity</w:t>
      </w:r>
      <w:r w:rsidRPr="00C21188">
        <w:t xml:space="preserve"> of heat waves related to climate changes will be more accentuated in the extra-Carpathian areas from the West, South and South-east of the country.</w:t>
      </w:r>
    </w:p>
    <w:p w:rsidR="00C21188" w:rsidRPr="00C21188" w:rsidRDefault="00C21188" w:rsidP="00C21188"/>
    <w:p w:rsidR="00C21188" w:rsidRPr="00C21188" w:rsidRDefault="00C21188" w:rsidP="00C21188">
      <w:r w:rsidRPr="00C21188">
        <w:t>Heat waves and episodes of intense rainfall are hazards amplified in the urban area by the characteristics of the constructed environment.</w:t>
      </w:r>
    </w:p>
    <w:p w:rsidR="00C21188" w:rsidRPr="00C21188" w:rsidRDefault="00C21188" w:rsidP="00C21188"/>
    <w:p w:rsidR="00C21188" w:rsidRPr="00C21188" w:rsidRDefault="00C21188" w:rsidP="00C21188">
      <w:r w:rsidRPr="00C21188">
        <w:t>The meteorological scale is more frequent in statistical terms in the South-east of the territory and isolated in regions from Campia Romana and Moldova. Future projections of climate changes suggest an increased probability of occurrence of episodes of drought in the summer months, due to the intensification of evapotranspiration and the reduction of the quantity of rainfall.</w:t>
      </w:r>
    </w:p>
    <w:p w:rsidR="00C21188" w:rsidRPr="00C21188" w:rsidRDefault="00C21188" w:rsidP="00C21188"/>
    <w:p w:rsidR="00C21188" w:rsidRPr="00C21188" w:rsidRDefault="00C21188" w:rsidP="00C21188">
      <w:r w:rsidRPr="00C21188">
        <w:t>The economic impact associated with meteorological drought was quantified in the Project „Assessment of disaster risks at national level” – RO-RISK, financed within the Operational Program of Administrative Capacity for 2014-2020.</w:t>
      </w:r>
    </w:p>
    <w:p w:rsidR="00C21188" w:rsidRPr="00C21188" w:rsidRDefault="00C21188" w:rsidP="00C21188"/>
    <w:p w:rsidR="00C21188" w:rsidRPr="00C21188" w:rsidRDefault="00C21188" w:rsidP="00C21188">
      <w:r w:rsidRPr="00C21188">
        <w:t>The project analyzed 4 scenarios for meteorological drought, of which 2 scenarios at national level and 2 scenarios at regional level, as follows:</w:t>
      </w:r>
    </w:p>
    <w:p w:rsidR="00C21188" w:rsidRPr="00C21188" w:rsidRDefault="00C21188" w:rsidP="00C21188">
      <w:pPr>
        <w:rPr>
          <w:rFonts w:eastAsia="Calibri"/>
        </w:rPr>
      </w:pPr>
      <w:r w:rsidRPr="00C21188">
        <w:t>Scenario 1 - Year 2011-2012, an excessively dry year at national level, with a comeback period of 3 events at 10 years;</w:t>
      </w:r>
    </w:p>
    <w:p w:rsidR="00C21188" w:rsidRPr="00C21188" w:rsidRDefault="00C21188" w:rsidP="00C21188">
      <w:pPr>
        <w:rPr>
          <w:rFonts w:eastAsia="Calibri"/>
        </w:rPr>
      </w:pPr>
      <w:r w:rsidRPr="00C21188">
        <w:t>Scenario 2 - Year 2006-2007, an excessively dry year at national level, with a comeback period of 1 event at 25 years, respectively 4 events at 100 years;</w:t>
      </w:r>
    </w:p>
    <w:p w:rsidR="00C21188" w:rsidRPr="00C21188" w:rsidRDefault="00C21188" w:rsidP="00C21188">
      <w:pPr>
        <w:rPr>
          <w:rFonts w:eastAsia="Calibri"/>
        </w:rPr>
      </w:pPr>
      <w:r w:rsidRPr="00C21188">
        <w:t>Scenario 3 - South of Romania (Oltenia and Muntenia), with a comeback period between 10 and 100 years;</w:t>
      </w:r>
    </w:p>
    <w:p w:rsidR="00C21188" w:rsidRPr="00C21188" w:rsidRDefault="00C21188" w:rsidP="00C21188">
      <w:pPr>
        <w:rPr>
          <w:rFonts w:eastAsia="Calibri"/>
        </w:rPr>
      </w:pPr>
      <w:r w:rsidRPr="00C21188">
        <w:t>Scenario 4 - South of Moldova, with a comeback period between 10 and 100 years.</w:t>
      </w:r>
    </w:p>
    <w:p w:rsidR="00C21188" w:rsidRPr="00C21188" w:rsidRDefault="00C21188" w:rsidP="00C21188">
      <w:r w:rsidRPr="00C21188">
        <w:t>The calculation of the economic impact that corresponds to the meteorological drought scenarios under analysis reveals the following values that correspond to vegetable production losses and GDP losses:</w:t>
      </w:r>
    </w:p>
    <w:p w:rsidR="00C21188" w:rsidRPr="00C21188" w:rsidRDefault="00C21188" w:rsidP="00C21188">
      <w:r w:rsidRPr="00C21188">
        <w:t>million EUR</w:t>
      </w:r>
    </w:p>
    <w:tbl>
      <w:tblPr>
        <w:tblStyle w:val="TableGrid"/>
        <w:tblW w:w="9920" w:type="dxa"/>
        <w:jc w:val="center"/>
        <w:tblBorders>
          <w:top w:val="single" w:sz="2" w:space="0" w:color="365F91"/>
          <w:left w:val="none" w:sz="0" w:space="0" w:color="auto"/>
          <w:bottom w:val="single" w:sz="2" w:space="0" w:color="365F91"/>
          <w:right w:val="none" w:sz="0" w:space="0" w:color="auto"/>
          <w:insideH w:val="single" w:sz="2" w:space="0" w:color="365F91"/>
          <w:insideV w:val="none" w:sz="0" w:space="0" w:color="auto"/>
        </w:tblBorders>
        <w:tblLook w:val="04A0" w:firstRow="1" w:lastRow="0" w:firstColumn="1" w:lastColumn="0" w:noHBand="0" w:noVBand="1"/>
      </w:tblPr>
      <w:tblGrid>
        <w:gridCol w:w="846"/>
        <w:gridCol w:w="3690"/>
        <w:gridCol w:w="2832"/>
        <w:gridCol w:w="2552"/>
      </w:tblGrid>
      <w:tr w:rsidR="00C21188" w:rsidRPr="00C21188" w:rsidTr="00C21188">
        <w:trPr>
          <w:jc w:val="center"/>
        </w:trPr>
        <w:tc>
          <w:tcPr>
            <w:tcW w:w="846" w:type="dxa"/>
            <w:shd w:val="clear" w:color="auto" w:fill="365F91"/>
          </w:tcPr>
          <w:p w:rsidR="00C21188" w:rsidRPr="00C21188" w:rsidRDefault="00C21188" w:rsidP="00C21188">
            <w:r w:rsidRPr="00C21188">
              <w:t>No.</w:t>
            </w:r>
          </w:p>
        </w:tc>
        <w:tc>
          <w:tcPr>
            <w:tcW w:w="3690" w:type="dxa"/>
            <w:shd w:val="clear" w:color="auto" w:fill="365F91"/>
          </w:tcPr>
          <w:p w:rsidR="00C21188" w:rsidRPr="00C21188" w:rsidRDefault="00C21188" w:rsidP="00C21188">
            <w:r w:rsidRPr="00C21188">
              <w:t>Scenario</w:t>
            </w:r>
          </w:p>
        </w:tc>
        <w:tc>
          <w:tcPr>
            <w:tcW w:w="2832" w:type="dxa"/>
            <w:shd w:val="clear" w:color="auto" w:fill="365F91"/>
          </w:tcPr>
          <w:p w:rsidR="00C21188" w:rsidRPr="00C21188" w:rsidRDefault="00C21188" w:rsidP="00C21188">
            <w:r w:rsidRPr="00C21188">
              <w:t>Production losses</w:t>
            </w:r>
          </w:p>
        </w:tc>
        <w:tc>
          <w:tcPr>
            <w:tcW w:w="2552" w:type="dxa"/>
            <w:shd w:val="clear" w:color="auto" w:fill="365F91"/>
          </w:tcPr>
          <w:p w:rsidR="00C21188" w:rsidRPr="00C21188" w:rsidRDefault="00C21188" w:rsidP="00C21188">
            <w:r w:rsidRPr="00C21188">
              <w:t>GDP losses</w:t>
            </w:r>
          </w:p>
        </w:tc>
      </w:tr>
      <w:tr w:rsidR="00C21188" w:rsidRPr="00C21188" w:rsidTr="00C21188">
        <w:trPr>
          <w:jc w:val="center"/>
        </w:trPr>
        <w:tc>
          <w:tcPr>
            <w:tcW w:w="846" w:type="dxa"/>
          </w:tcPr>
          <w:p w:rsidR="00C21188" w:rsidRPr="00C21188" w:rsidRDefault="00C21188" w:rsidP="00C21188">
            <w:r w:rsidRPr="00C21188">
              <w:t>1</w:t>
            </w:r>
          </w:p>
        </w:tc>
        <w:tc>
          <w:tcPr>
            <w:tcW w:w="3690" w:type="dxa"/>
          </w:tcPr>
          <w:p w:rsidR="00C21188" w:rsidRPr="00C21188" w:rsidRDefault="00C21188" w:rsidP="00C21188">
            <w:r w:rsidRPr="00C21188">
              <w:t>National scenario for 2006-2007</w:t>
            </w:r>
          </w:p>
        </w:tc>
        <w:tc>
          <w:tcPr>
            <w:tcW w:w="2832" w:type="dxa"/>
          </w:tcPr>
          <w:p w:rsidR="00C21188" w:rsidRPr="00C21188" w:rsidRDefault="00C21188" w:rsidP="00C21188">
            <w:r w:rsidRPr="00C21188">
              <w:t>4606.1</w:t>
            </w:r>
          </w:p>
        </w:tc>
        <w:tc>
          <w:tcPr>
            <w:tcW w:w="2552" w:type="dxa"/>
          </w:tcPr>
          <w:p w:rsidR="00C21188" w:rsidRPr="00C21188" w:rsidRDefault="00C21188" w:rsidP="00C21188">
            <w:r w:rsidRPr="00C21188">
              <w:t>4978.2</w:t>
            </w:r>
          </w:p>
        </w:tc>
      </w:tr>
      <w:tr w:rsidR="00C21188" w:rsidRPr="00C21188" w:rsidTr="00C21188">
        <w:trPr>
          <w:jc w:val="center"/>
        </w:trPr>
        <w:tc>
          <w:tcPr>
            <w:tcW w:w="846" w:type="dxa"/>
          </w:tcPr>
          <w:p w:rsidR="00C21188" w:rsidRPr="00C21188" w:rsidRDefault="00C21188" w:rsidP="00C21188">
            <w:r w:rsidRPr="00C21188">
              <w:t>2</w:t>
            </w:r>
          </w:p>
        </w:tc>
        <w:tc>
          <w:tcPr>
            <w:tcW w:w="3690" w:type="dxa"/>
          </w:tcPr>
          <w:p w:rsidR="00C21188" w:rsidRPr="00C21188" w:rsidRDefault="00C21188" w:rsidP="00C21188">
            <w:r w:rsidRPr="00C21188">
              <w:t>National scenario for 2011-2012</w:t>
            </w:r>
          </w:p>
        </w:tc>
        <w:tc>
          <w:tcPr>
            <w:tcW w:w="2832" w:type="dxa"/>
          </w:tcPr>
          <w:p w:rsidR="00C21188" w:rsidRPr="00C21188" w:rsidRDefault="00C21188" w:rsidP="00C21188">
            <w:r w:rsidRPr="00C21188">
              <w:t>4376.4</w:t>
            </w:r>
          </w:p>
        </w:tc>
        <w:tc>
          <w:tcPr>
            <w:tcW w:w="2552" w:type="dxa"/>
          </w:tcPr>
          <w:p w:rsidR="00C21188" w:rsidRPr="00C21188" w:rsidRDefault="00C21188" w:rsidP="00C21188">
            <w:r w:rsidRPr="00C21188">
              <w:t>4686.5</w:t>
            </w:r>
          </w:p>
        </w:tc>
      </w:tr>
      <w:tr w:rsidR="00C21188" w:rsidRPr="00C21188" w:rsidTr="00C21188">
        <w:trPr>
          <w:jc w:val="center"/>
        </w:trPr>
        <w:tc>
          <w:tcPr>
            <w:tcW w:w="846" w:type="dxa"/>
          </w:tcPr>
          <w:p w:rsidR="00C21188" w:rsidRPr="00C21188" w:rsidRDefault="00C21188" w:rsidP="00C21188">
            <w:r w:rsidRPr="00C21188">
              <w:t>3</w:t>
            </w:r>
          </w:p>
        </w:tc>
        <w:tc>
          <w:tcPr>
            <w:tcW w:w="3690" w:type="dxa"/>
          </w:tcPr>
          <w:p w:rsidR="00C21188" w:rsidRPr="00C21188" w:rsidRDefault="00C21188" w:rsidP="00C21188">
            <w:r w:rsidRPr="00C21188">
              <w:t>Regional Scenario South of Romania (Oltenia and Muntenia)</w:t>
            </w:r>
          </w:p>
        </w:tc>
        <w:tc>
          <w:tcPr>
            <w:tcW w:w="2832" w:type="dxa"/>
          </w:tcPr>
          <w:p w:rsidR="00C21188" w:rsidRPr="00C21188" w:rsidRDefault="00C21188" w:rsidP="00C21188">
            <w:r w:rsidRPr="00C21188">
              <w:t>2177.8</w:t>
            </w:r>
          </w:p>
        </w:tc>
        <w:tc>
          <w:tcPr>
            <w:tcW w:w="2552" w:type="dxa"/>
          </w:tcPr>
          <w:p w:rsidR="00C21188" w:rsidRPr="00C21188" w:rsidRDefault="00C21188" w:rsidP="00C21188">
            <w:r w:rsidRPr="00C21188">
              <w:t>2098.4</w:t>
            </w:r>
          </w:p>
        </w:tc>
      </w:tr>
      <w:tr w:rsidR="00C21188" w:rsidRPr="00C21188" w:rsidTr="00C21188">
        <w:trPr>
          <w:jc w:val="center"/>
        </w:trPr>
        <w:tc>
          <w:tcPr>
            <w:tcW w:w="846" w:type="dxa"/>
          </w:tcPr>
          <w:p w:rsidR="00C21188" w:rsidRPr="00C21188" w:rsidRDefault="00C21188" w:rsidP="00C21188">
            <w:r w:rsidRPr="00C21188">
              <w:t>4</w:t>
            </w:r>
          </w:p>
        </w:tc>
        <w:tc>
          <w:tcPr>
            <w:tcW w:w="3690" w:type="dxa"/>
          </w:tcPr>
          <w:p w:rsidR="00C21188" w:rsidRPr="00C21188" w:rsidRDefault="00C21188" w:rsidP="00C21188">
            <w:r w:rsidRPr="00C21188">
              <w:t>Regional Scenario South of Moldova</w:t>
            </w:r>
          </w:p>
        </w:tc>
        <w:tc>
          <w:tcPr>
            <w:tcW w:w="2832" w:type="dxa"/>
          </w:tcPr>
          <w:p w:rsidR="00C21188" w:rsidRPr="00C21188" w:rsidRDefault="00C21188" w:rsidP="00C21188">
            <w:r w:rsidRPr="00C21188">
              <w:t>537.0</w:t>
            </w:r>
          </w:p>
        </w:tc>
        <w:tc>
          <w:tcPr>
            <w:tcW w:w="2552" w:type="dxa"/>
          </w:tcPr>
          <w:p w:rsidR="00C21188" w:rsidRPr="00C21188" w:rsidRDefault="00C21188" w:rsidP="00C21188">
            <w:r w:rsidRPr="00C21188">
              <w:t>500.0</w:t>
            </w:r>
          </w:p>
        </w:tc>
      </w:tr>
    </w:tbl>
    <w:p w:rsidR="00C21188" w:rsidRPr="00C21188" w:rsidRDefault="00C21188" w:rsidP="00C21188">
      <w:r w:rsidRPr="00C21188">
        <w:tab/>
      </w:r>
    </w:p>
    <w:p w:rsidR="00C21188" w:rsidRPr="00C21188" w:rsidRDefault="00C21188" w:rsidP="00C21188">
      <w:pPr>
        <w:rPr>
          <w:rFonts w:eastAsia="Calibri"/>
        </w:rPr>
      </w:pPr>
      <w:r w:rsidRPr="00C21188">
        <w:t>Ministry of Agriculture and Rural Development</w:t>
      </w:r>
    </w:p>
    <w:p w:rsidR="00C21188" w:rsidRPr="00C21188" w:rsidRDefault="00C21188" w:rsidP="00C21188">
      <w:pPr>
        <w:rPr>
          <w:rFonts w:eastAsia="Calibri"/>
        </w:rPr>
      </w:pPr>
      <w:r w:rsidRPr="00C21188">
        <w:t>With regard to the reduction of the budgetary impact that might be caused by the occurrence of a disaster type event, the Ministry of Agriculture and Rural Development, through the Operative Center for Emergency Situations, monitors the areas of agricultural cultures affected by unfavorable meteorological events. In the last 3 years, the authorities were faced by a series of problems due to these phenomena, as follows:</w:t>
      </w:r>
    </w:p>
    <w:p w:rsidR="00C21188" w:rsidRPr="00C21188" w:rsidRDefault="00DF768F" w:rsidP="00C21188">
      <w:pPr>
        <w:rPr>
          <w:rFonts w:eastAsia="Calibri"/>
        </w:rPr>
      </w:pPr>
      <w:r>
        <w:rPr>
          <w:noProof/>
          <w:lang w:val="ro-RO" w:eastAsia="ro-RO"/>
        </w:rPr>
        <mc:AlternateContent>
          <mc:Choice Requires="wps">
            <w:drawing>
              <wp:anchor distT="0" distB="0" distL="114300" distR="114300" simplePos="0" relativeHeight="251793920" behindDoc="0" locked="0" layoutInCell="1" allowOverlap="1">
                <wp:simplePos x="0" y="0"/>
                <wp:positionH relativeFrom="column">
                  <wp:posOffset>3645535</wp:posOffset>
                </wp:positionH>
                <wp:positionV relativeFrom="paragraph">
                  <wp:posOffset>2372360</wp:posOffset>
                </wp:positionV>
                <wp:extent cx="691515" cy="205740"/>
                <wp:effectExtent l="6985" t="10160" r="6350" b="12700"/>
                <wp:wrapNone/>
                <wp:docPr id="58"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205740"/>
                        </a:xfrm>
                        <a:prstGeom prst="rect">
                          <a:avLst/>
                        </a:prstGeom>
                        <a:solidFill>
                          <a:srgbClr val="FFFFFF"/>
                        </a:solidFill>
                        <a:ln w="9525">
                          <a:solidFill>
                            <a:srgbClr val="000000"/>
                          </a:solidFill>
                          <a:miter lim="800000"/>
                          <a:headEnd/>
                          <a:tailEnd/>
                        </a:ln>
                      </wps:spPr>
                      <wps:txbx>
                        <w:txbxContent>
                          <w:p w:rsidR="005063CB" w:rsidRPr="00292217" w:rsidRDefault="005063CB" w:rsidP="00292217">
                            <w:pPr>
                              <w:rPr>
                                <w:sz w:val="18"/>
                              </w:rPr>
                            </w:pPr>
                            <w:r>
                              <w:rPr>
                                <w:sz w:val="18"/>
                              </w:rPr>
                              <w:t>Estimated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4" o:spid="_x0000_s1428" style="position:absolute;margin-left:287.05pt;margin-top:186.8pt;width:54.45pt;height:16.2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">
                <v:textbox>
                  <w:txbxContent>
                    <w:p w:rsidR="005063CB" w:rsidRPr="00292217" w:rsidRDefault="005063CB" w:rsidP="00292217">
                      <w:pPr>
                        <w:rPr>
                          <w:sz w:val="18"/>
                        </w:rPr>
                      </w:pPr>
                      <w:r>
                        <w:rPr>
                          <w:sz w:val="18"/>
                        </w:rPr>
                        <w:t>Estimated</w:t>
                      </w:r>
                    </w:p>
                  </w:txbxContent>
                </v:textbox>
              </v:rect>
            </w:pict>
          </mc:Fallback>
        </mc:AlternateContent>
      </w:r>
      <w:r>
        <w:rPr>
          <w:noProof/>
          <w:lang w:val="ro-RO" w:eastAsia="ro-RO"/>
        </w:rPr>
        <mc:AlternateContent>
          <mc:Choice Requires="wps">
            <w:drawing>
              <wp:anchor distT="0" distB="0" distL="114300" distR="114300" simplePos="0" relativeHeight="251792896" behindDoc="0" locked="0" layoutInCell="1" allowOverlap="1">
                <wp:simplePos x="0" y="0"/>
                <wp:positionH relativeFrom="column">
                  <wp:posOffset>3686810</wp:posOffset>
                </wp:positionH>
                <wp:positionV relativeFrom="paragraph">
                  <wp:posOffset>2067560</wp:posOffset>
                </wp:positionV>
                <wp:extent cx="691515" cy="205740"/>
                <wp:effectExtent l="10160" t="10160" r="12700" b="12700"/>
                <wp:wrapNone/>
                <wp:docPr id="56"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205740"/>
                        </a:xfrm>
                        <a:prstGeom prst="rect">
                          <a:avLst/>
                        </a:prstGeom>
                        <a:solidFill>
                          <a:srgbClr val="FFFFFF"/>
                        </a:solidFill>
                        <a:ln w="9525">
                          <a:solidFill>
                            <a:srgbClr val="000000"/>
                          </a:solidFill>
                          <a:miter lim="800000"/>
                          <a:headEnd/>
                          <a:tailEnd/>
                        </a:ln>
                      </wps:spPr>
                      <wps:txbx>
                        <w:txbxContent>
                          <w:p w:rsidR="005063CB" w:rsidRPr="00292217" w:rsidRDefault="005063CB" w:rsidP="00292217">
                            <w:pPr>
                              <w:rPr>
                                <w:sz w:val="18"/>
                              </w:rPr>
                            </w:pPr>
                            <w:r>
                              <w:rPr>
                                <w:sz w:val="18"/>
                              </w:rPr>
                              <w:t>Estimated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3" o:spid="_x0000_s1429" style="position:absolute;margin-left:290.3pt;margin-top:162.8pt;width:54.45pt;height:16.2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">
                <v:textbox>
                  <w:txbxContent>
                    <w:p w:rsidR="005063CB" w:rsidRPr="00292217" w:rsidRDefault="005063CB" w:rsidP="00292217">
                      <w:pPr>
                        <w:rPr>
                          <w:sz w:val="18"/>
                        </w:rPr>
                      </w:pPr>
                      <w:r>
                        <w:rPr>
                          <w:sz w:val="18"/>
                        </w:rPr>
                        <w:t>Estimated</w:t>
                      </w:r>
                    </w:p>
                  </w:txbxContent>
                </v:textbox>
              </v:rect>
            </w:pict>
          </mc:Fallback>
        </mc:AlternateContent>
      </w:r>
      <w:r>
        <w:rPr>
          <w:noProof/>
          <w:lang w:val="ro-RO" w:eastAsia="ro-RO"/>
        </w:rPr>
        <mc:AlternateContent>
          <mc:Choice Requires="wps">
            <w:drawing>
              <wp:anchor distT="0" distB="0" distL="114300" distR="114300" simplePos="0" relativeHeight="251791872" behindDoc="0" locked="0" layoutInCell="1" allowOverlap="1">
                <wp:simplePos x="0" y="0"/>
                <wp:positionH relativeFrom="column">
                  <wp:posOffset>3686810</wp:posOffset>
                </wp:positionH>
                <wp:positionV relativeFrom="paragraph">
                  <wp:posOffset>1750060</wp:posOffset>
                </wp:positionV>
                <wp:extent cx="691515" cy="205740"/>
                <wp:effectExtent l="10160" t="6985" r="12700" b="6350"/>
                <wp:wrapNone/>
                <wp:docPr id="55"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205740"/>
                        </a:xfrm>
                        <a:prstGeom prst="rect">
                          <a:avLst/>
                        </a:prstGeom>
                        <a:solidFill>
                          <a:srgbClr val="FFFFFF"/>
                        </a:solidFill>
                        <a:ln w="9525">
                          <a:solidFill>
                            <a:srgbClr val="000000"/>
                          </a:solidFill>
                          <a:miter lim="800000"/>
                          <a:headEnd/>
                          <a:tailEnd/>
                        </a:ln>
                      </wps:spPr>
                      <wps:txbx>
                        <w:txbxContent>
                          <w:p w:rsidR="005063CB" w:rsidRPr="00292217" w:rsidRDefault="005063CB" w:rsidP="00292217">
                            <w:pPr>
                              <w:rPr>
                                <w:sz w:val="18"/>
                              </w:rPr>
                            </w:pPr>
                            <w:r>
                              <w:rPr>
                                <w:sz w:val="18"/>
                              </w:rPr>
                              <w:t>Estimated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2" o:spid="_x0000_s1430" style="position:absolute;margin-left:290.3pt;margin-top:137.8pt;width:54.45pt;height:16.2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">
                <v:textbox>
                  <w:txbxContent>
                    <w:p w:rsidR="005063CB" w:rsidRPr="00292217" w:rsidRDefault="005063CB" w:rsidP="00292217">
                      <w:pPr>
                        <w:rPr>
                          <w:sz w:val="18"/>
                        </w:rPr>
                      </w:pPr>
                      <w:r>
                        <w:rPr>
                          <w:sz w:val="18"/>
                        </w:rPr>
                        <w:t>Estimated</w:t>
                      </w:r>
                    </w:p>
                  </w:txbxContent>
                </v:textbox>
              </v:rect>
            </w:pict>
          </mc:Fallback>
        </mc:AlternateContent>
      </w:r>
      <w:r>
        <w:rPr>
          <w:noProof/>
          <w:lang w:val="ro-RO" w:eastAsia="ro-RO"/>
        </w:rPr>
        <mc:AlternateContent>
          <mc:Choice Requires="wps">
            <w:drawing>
              <wp:anchor distT="0" distB="0" distL="114300" distR="114300" simplePos="0" relativeHeight="251790848" behindDoc="0" locked="0" layoutInCell="1" allowOverlap="1">
                <wp:simplePos x="0" y="0"/>
                <wp:positionH relativeFrom="column">
                  <wp:posOffset>3645535</wp:posOffset>
                </wp:positionH>
                <wp:positionV relativeFrom="paragraph">
                  <wp:posOffset>1470025</wp:posOffset>
                </wp:positionV>
                <wp:extent cx="691515" cy="205740"/>
                <wp:effectExtent l="6985" t="12700" r="6350" b="10160"/>
                <wp:wrapNone/>
                <wp:docPr id="54"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205740"/>
                        </a:xfrm>
                        <a:prstGeom prst="rect">
                          <a:avLst/>
                        </a:prstGeom>
                        <a:solidFill>
                          <a:srgbClr val="FFFFFF"/>
                        </a:solidFill>
                        <a:ln w="9525">
                          <a:solidFill>
                            <a:srgbClr val="000000"/>
                          </a:solidFill>
                          <a:miter lim="800000"/>
                          <a:headEnd/>
                          <a:tailEnd/>
                        </a:ln>
                      </wps:spPr>
                      <wps:txbx>
                        <w:txbxContent>
                          <w:p w:rsidR="005063CB" w:rsidRPr="00292217" w:rsidRDefault="005063CB" w:rsidP="00292217">
                            <w:pPr>
                              <w:rPr>
                                <w:sz w:val="18"/>
                              </w:rPr>
                            </w:pPr>
                            <w:r>
                              <w:rPr>
                                <w:sz w:val="18"/>
                              </w:rPr>
                              <w:t>Estimated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1" o:spid="_x0000_s1431" style="position:absolute;margin-left:287.05pt;margin-top:115.75pt;width:54.45pt;height:16.2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">
                <v:textbox>
                  <w:txbxContent>
                    <w:p w:rsidR="005063CB" w:rsidRPr="00292217" w:rsidRDefault="005063CB" w:rsidP="00292217">
                      <w:pPr>
                        <w:rPr>
                          <w:sz w:val="18"/>
                        </w:rPr>
                      </w:pPr>
                      <w:r>
                        <w:rPr>
                          <w:sz w:val="18"/>
                        </w:rPr>
                        <w:t>Estimated</w:t>
                      </w:r>
                    </w:p>
                  </w:txbxContent>
                </v:textbox>
              </v:rect>
            </w:pict>
          </mc:Fallback>
        </mc:AlternateContent>
      </w:r>
      <w:r>
        <w:rPr>
          <w:noProof/>
          <w:lang w:val="ro-RO" w:eastAsia="ro-RO"/>
        </w:rPr>
        <mc:AlternateContent>
          <mc:Choice Requires="wps">
            <w:drawing>
              <wp:anchor distT="0" distB="0" distL="114300" distR="114300" simplePos="0" relativeHeight="251789824" behindDoc="0" locked="0" layoutInCell="1" allowOverlap="1">
                <wp:simplePos x="0" y="0"/>
                <wp:positionH relativeFrom="column">
                  <wp:posOffset>3645535</wp:posOffset>
                </wp:positionH>
                <wp:positionV relativeFrom="paragraph">
                  <wp:posOffset>1111885</wp:posOffset>
                </wp:positionV>
                <wp:extent cx="691515" cy="205740"/>
                <wp:effectExtent l="6985" t="6985" r="6350" b="6350"/>
                <wp:wrapNone/>
                <wp:docPr id="53"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205740"/>
                        </a:xfrm>
                        <a:prstGeom prst="rect">
                          <a:avLst/>
                        </a:prstGeom>
                        <a:solidFill>
                          <a:srgbClr val="FFFFFF"/>
                        </a:solidFill>
                        <a:ln w="9525">
                          <a:solidFill>
                            <a:srgbClr val="000000"/>
                          </a:solidFill>
                          <a:miter lim="800000"/>
                          <a:headEnd/>
                          <a:tailEnd/>
                        </a:ln>
                      </wps:spPr>
                      <wps:txbx>
                        <w:txbxContent>
                          <w:p w:rsidR="005063CB" w:rsidRPr="00292217" w:rsidRDefault="005063CB" w:rsidP="00292217">
                            <w:pPr>
                              <w:rPr>
                                <w:sz w:val="18"/>
                              </w:rPr>
                            </w:pPr>
                            <w:r>
                              <w:rPr>
                                <w:sz w:val="18"/>
                              </w:rPr>
                              <w:t>Estimated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0" o:spid="_x0000_s1432" style="position:absolute;margin-left:287.05pt;margin-top:87.55pt;width:54.45pt;height:16.2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">
                <v:textbox>
                  <w:txbxContent>
                    <w:p w:rsidR="005063CB" w:rsidRPr="00292217" w:rsidRDefault="005063CB" w:rsidP="00292217">
                      <w:pPr>
                        <w:rPr>
                          <w:sz w:val="18"/>
                        </w:rPr>
                      </w:pPr>
                      <w:r>
                        <w:rPr>
                          <w:sz w:val="18"/>
                        </w:rPr>
                        <w:t>Estimated</w:t>
                      </w:r>
                    </w:p>
                  </w:txbxContent>
                </v:textbox>
              </v:rect>
            </w:pict>
          </mc:Fallback>
        </mc:AlternateContent>
      </w:r>
      <w:r>
        <w:rPr>
          <w:noProof/>
          <w:lang w:val="ro-RO" w:eastAsia="ro-RO"/>
        </w:rPr>
        <mc:AlternateContent>
          <mc:Choice Requires="wps">
            <w:drawing>
              <wp:anchor distT="0" distB="0" distL="114300" distR="114300" simplePos="0" relativeHeight="251788800" behindDoc="0" locked="0" layoutInCell="1" allowOverlap="1">
                <wp:simplePos x="0" y="0"/>
                <wp:positionH relativeFrom="column">
                  <wp:posOffset>3686810</wp:posOffset>
                </wp:positionH>
                <wp:positionV relativeFrom="paragraph">
                  <wp:posOffset>840105</wp:posOffset>
                </wp:positionV>
                <wp:extent cx="691515" cy="205740"/>
                <wp:effectExtent l="10160" t="11430" r="12700" b="11430"/>
                <wp:wrapNone/>
                <wp:docPr id="52"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205740"/>
                        </a:xfrm>
                        <a:prstGeom prst="rect">
                          <a:avLst/>
                        </a:prstGeom>
                        <a:solidFill>
                          <a:srgbClr val="FFFFFF"/>
                        </a:solidFill>
                        <a:ln w="9525">
                          <a:solidFill>
                            <a:srgbClr val="000000"/>
                          </a:solidFill>
                          <a:miter lim="800000"/>
                          <a:headEnd/>
                          <a:tailEnd/>
                        </a:ln>
                      </wps:spPr>
                      <wps:txbx>
                        <w:txbxContent>
                          <w:p w:rsidR="005063CB" w:rsidRPr="00292217" w:rsidRDefault="005063CB">
                            <w:pPr>
                              <w:rPr>
                                <w:sz w:val="18"/>
                              </w:rPr>
                            </w:pPr>
                            <w:r>
                              <w:rPr>
                                <w:sz w:val="18"/>
                              </w:rPr>
                              <w:t>Paid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9" o:spid="_x0000_s1433" style="position:absolute;margin-left:290.3pt;margin-top:66.15pt;width:54.45pt;height:16.2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">
                <v:textbox>
                  <w:txbxContent>
                    <w:p w:rsidR="005063CB" w:rsidRPr="00292217" w:rsidRDefault="005063CB">
                      <w:pPr>
                        <w:rPr>
                          <w:sz w:val="18"/>
                        </w:rPr>
                      </w:pPr>
                      <w:r>
                        <w:rPr>
                          <w:sz w:val="18"/>
                        </w:rPr>
                        <w:t>Paid</w:t>
                      </w:r>
                    </w:p>
                  </w:txbxContent>
                </v:textbox>
              </v:rect>
            </w:pict>
          </mc:Fallback>
        </mc:AlternateContent>
      </w:r>
      <w:r>
        <w:rPr>
          <w:noProof/>
          <w:lang w:val="ro-RO" w:eastAsia="ro-RO"/>
        </w:rPr>
        <mc:AlternateContent>
          <mc:Choice Requires="wps">
            <w:drawing>
              <wp:anchor distT="0" distB="0" distL="114300" distR="114300" simplePos="0" relativeHeight="251787776" behindDoc="0" locked="0" layoutInCell="1" allowOverlap="1">
                <wp:simplePos x="0" y="0"/>
                <wp:positionH relativeFrom="column">
                  <wp:posOffset>3686810</wp:posOffset>
                </wp:positionH>
                <wp:positionV relativeFrom="paragraph">
                  <wp:posOffset>469265</wp:posOffset>
                </wp:positionV>
                <wp:extent cx="749300" cy="230505"/>
                <wp:effectExtent l="10160" t="12065" r="12065" b="5080"/>
                <wp:wrapNone/>
                <wp:docPr id="50"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230505"/>
                        </a:xfrm>
                        <a:prstGeom prst="rect">
                          <a:avLst/>
                        </a:prstGeom>
                        <a:solidFill>
                          <a:srgbClr val="FFFFFF"/>
                        </a:solidFill>
                        <a:ln w="9525">
                          <a:solidFill>
                            <a:srgbClr val="000000"/>
                          </a:solidFill>
                          <a:miter lim="800000"/>
                          <a:headEnd/>
                          <a:tailEnd/>
                        </a:ln>
                      </wps:spPr>
                      <wps:txbx>
                        <w:txbxContent>
                          <w:p w:rsidR="005063CB" w:rsidRPr="00292217" w:rsidRDefault="005063CB">
                            <w:pPr>
                              <w:rPr>
                                <w:sz w:val="20"/>
                              </w:rPr>
                            </w:pPr>
                            <w:r>
                              <w:rPr>
                                <w:sz w:val="20"/>
                              </w:rPr>
                              <w:t xml:space="preserve">Estimated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8" o:spid="_x0000_s1434" style="position:absolute;margin-left:290.3pt;margin-top:36.95pt;width:59pt;height:18.1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">
                <v:textbox>
                  <w:txbxContent>
                    <w:p w:rsidR="005063CB" w:rsidRPr="00292217" w:rsidRDefault="005063CB">
                      <w:pPr>
                        <w:rPr>
                          <w:sz w:val="20"/>
                        </w:rPr>
                      </w:pPr>
                      <w:r>
                        <w:rPr>
                          <w:sz w:val="20"/>
                        </w:rPr>
                        <w:t xml:space="preserve">Estimated </w:t>
                      </w:r>
                    </w:p>
                  </w:txbxContent>
                </v:textbox>
              </v:rect>
            </w:pict>
          </mc:Fallback>
        </mc:AlternateContent>
      </w:r>
      <w:r>
        <w:rPr>
          <w:noProof/>
          <w:lang w:val="ro-RO" w:eastAsia="ro-RO"/>
        </w:rPr>
        <mc:AlternateContent>
          <mc:Choice Requires="wps">
            <w:drawing>
              <wp:anchor distT="0" distB="0" distL="114300" distR="114300" simplePos="0" relativeHeight="251786752" behindDoc="0" locked="0" layoutInCell="1" allowOverlap="1">
                <wp:simplePos x="0" y="0"/>
                <wp:positionH relativeFrom="column">
                  <wp:posOffset>5095240</wp:posOffset>
                </wp:positionH>
                <wp:positionV relativeFrom="paragraph">
                  <wp:posOffset>394970</wp:posOffset>
                </wp:positionV>
                <wp:extent cx="1515745" cy="2569845"/>
                <wp:effectExtent l="8890" t="13970" r="8890" b="6985"/>
                <wp:wrapNone/>
                <wp:docPr id="49"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5745" cy="2569845"/>
                        </a:xfrm>
                        <a:prstGeom prst="rect">
                          <a:avLst/>
                        </a:prstGeom>
                        <a:solidFill>
                          <a:srgbClr val="FFFFFF"/>
                        </a:solidFill>
                        <a:ln w="9525">
                          <a:solidFill>
                            <a:srgbClr val="000000"/>
                          </a:solidFill>
                          <a:miter lim="800000"/>
                          <a:headEnd/>
                          <a:tailEnd/>
                        </a:ln>
                      </wps:spPr>
                      <wps:txbx>
                        <w:txbxContent>
                          <w:p w:rsidR="005063CB" w:rsidRDefault="005063CB">
                            <w:r>
                              <w:t>No damages were awarded</w:t>
                            </w:r>
                          </w:p>
                          <w:p w:rsidR="005063CB" w:rsidRDefault="005063CB"/>
                          <w:p w:rsidR="005063CB" w:rsidRDefault="005063CB">
                            <w:r>
                              <w:t>GEO no. 45/2015</w:t>
                            </w:r>
                          </w:p>
                          <w:p w:rsidR="005063CB" w:rsidRDefault="005063CB">
                            <w:r>
                              <w:t>No damages were awarded</w:t>
                            </w:r>
                          </w:p>
                          <w:p w:rsidR="005063CB" w:rsidRDefault="005063CB" w:rsidP="00292217">
                            <w:r>
                              <w:t>No damages were awarded</w:t>
                            </w:r>
                          </w:p>
                          <w:p w:rsidR="005063CB" w:rsidRDefault="005063CB" w:rsidP="00292217">
                            <w:r>
                              <w:t>No damages were awarded</w:t>
                            </w:r>
                          </w:p>
                          <w:p w:rsidR="005063CB" w:rsidRDefault="005063CB" w:rsidP="00292217">
                            <w:r>
                              <w:t>No damages were awarded</w:t>
                            </w:r>
                          </w:p>
                          <w:p w:rsidR="005063CB" w:rsidRDefault="005063CB" w:rsidP="00292217">
                            <w:r>
                              <w:t>No damages were awarded</w:t>
                            </w:r>
                          </w:p>
                          <w:p w:rsidR="005063CB" w:rsidRDefault="005063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7" o:spid="_x0000_s1435" style="position:absolute;margin-left:401.2pt;margin-top:31.1pt;width:119.35pt;height:202.3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">
                <v:textbox>
                  <w:txbxContent>
                    <w:p w:rsidR="005063CB" w:rsidRDefault="005063CB">
                      <w:r>
                        <w:t>No damages were awarded</w:t>
                      </w:r>
                    </w:p>
                    <w:p w:rsidR="005063CB" w:rsidRDefault="005063CB"/>
                    <w:p w:rsidR="005063CB" w:rsidRDefault="005063CB">
                      <w:r>
                        <w:t>GEO no. 45/2015</w:t>
                      </w:r>
                    </w:p>
                    <w:p w:rsidR="005063CB" w:rsidRDefault="005063CB">
                      <w:r>
                        <w:t>No damages were awarded</w:t>
                      </w:r>
                    </w:p>
                    <w:p w:rsidR="005063CB" w:rsidRDefault="005063CB" w:rsidP="00292217">
                      <w:r>
                        <w:t>No damages were awarded</w:t>
                      </w:r>
                    </w:p>
                    <w:p w:rsidR="005063CB" w:rsidRDefault="005063CB" w:rsidP="00292217">
                      <w:r>
                        <w:t>No damages were awarded</w:t>
                      </w:r>
                    </w:p>
                    <w:p w:rsidR="005063CB" w:rsidRDefault="005063CB" w:rsidP="00292217">
                      <w:r>
                        <w:t>No damages were awarded</w:t>
                      </w:r>
                    </w:p>
                    <w:p w:rsidR="005063CB" w:rsidRDefault="005063CB" w:rsidP="00292217">
                      <w:r>
                        <w:t>No damages were awarded</w:t>
                      </w:r>
                    </w:p>
                    <w:p w:rsidR="005063CB" w:rsidRDefault="005063CB"/>
                  </w:txbxContent>
                </v:textbox>
              </v:rect>
            </w:pict>
          </mc:Fallback>
        </mc:AlternateContent>
      </w:r>
      <w:r>
        <w:rPr>
          <w:noProof/>
          <w:lang w:val="ro-RO" w:eastAsia="ro-RO"/>
        </w:rPr>
        <mc:AlternateContent>
          <mc:Choice Requires="wps">
            <w:drawing>
              <wp:anchor distT="0" distB="0" distL="114300" distR="114300" simplePos="0" relativeHeight="251785728" behindDoc="0" locked="0" layoutInCell="1" allowOverlap="1">
                <wp:simplePos x="0" y="0"/>
                <wp:positionH relativeFrom="column">
                  <wp:posOffset>638810</wp:posOffset>
                </wp:positionH>
                <wp:positionV relativeFrom="paragraph">
                  <wp:posOffset>394970</wp:posOffset>
                </wp:positionV>
                <wp:extent cx="2067560" cy="2569845"/>
                <wp:effectExtent l="10160" t="13970" r="8255" b="6985"/>
                <wp:wrapNone/>
                <wp:docPr id="48"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7560" cy="2569845"/>
                        </a:xfrm>
                        <a:prstGeom prst="rect">
                          <a:avLst/>
                        </a:prstGeom>
                        <a:solidFill>
                          <a:srgbClr val="FFFFFF"/>
                        </a:solidFill>
                        <a:ln w="9525">
                          <a:solidFill>
                            <a:srgbClr val="000000"/>
                          </a:solidFill>
                          <a:miter lim="800000"/>
                          <a:headEnd/>
                          <a:tailEnd/>
                        </a:ln>
                      </wps:spPr>
                      <wps:txbx>
                        <w:txbxContent>
                          <w:p w:rsidR="005063CB" w:rsidRPr="007D53D9" w:rsidRDefault="005063CB">
                            <w:pPr>
                              <w:rPr>
                                <w:sz w:val="18"/>
                              </w:rPr>
                            </w:pPr>
                            <w:r w:rsidRPr="007D53D9">
                              <w:rPr>
                                <w:sz w:val="18"/>
                              </w:rPr>
                              <w:t>unfavorable meteorological phenomena (</w:t>
                            </w:r>
                            <w:r w:rsidRPr="007D53D9">
                              <w:rPr>
                                <w:b/>
                                <w:sz w:val="18"/>
                                <w:u w:val="single"/>
                              </w:rPr>
                              <w:t>floods</w:t>
                            </w:r>
                            <w:r w:rsidRPr="007D53D9">
                              <w:rPr>
                                <w:sz w:val="18"/>
                              </w:rPr>
                              <w:t>, hail, storms, late Spring frost, drought)</w:t>
                            </w:r>
                          </w:p>
                          <w:p w:rsidR="005063CB" w:rsidRPr="007D53D9" w:rsidRDefault="005063CB">
                            <w:pPr>
                              <w:rPr>
                                <w:sz w:val="18"/>
                              </w:rPr>
                            </w:pPr>
                            <w:r w:rsidRPr="007D53D9">
                              <w:rPr>
                                <w:sz w:val="18"/>
                              </w:rPr>
                              <w:t xml:space="preserve">severe </w:t>
                            </w:r>
                            <w:r w:rsidRPr="007D53D9">
                              <w:rPr>
                                <w:b/>
                                <w:sz w:val="18"/>
                                <w:u w:val="single"/>
                              </w:rPr>
                              <w:t>drought</w:t>
                            </w:r>
                            <w:r w:rsidRPr="007D53D9">
                              <w:rPr>
                                <w:sz w:val="18"/>
                              </w:rPr>
                              <w:t xml:space="preserve"> in April - September</w:t>
                            </w:r>
                          </w:p>
                          <w:p w:rsidR="005063CB" w:rsidRDefault="005063CB">
                            <w:pPr>
                              <w:rPr>
                                <w:sz w:val="18"/>
                              </w:rPr>
                            </w:pPr>
                          </w:p>
                          <w:p w:rsidR="005063CB" w:rsidRDefault="005063CB">
                            <w:pPr>
                              <w:rPr>
                                <w:sz w:val="18"/>
                              </w:rPr>
                            </w:pPr>
                          </w:p>
                          <w:p w:rsidR="005063CB" w:rsidRPr="007D53D9" w:rsidRDefault="005063CB">
                            <w:pPr>
                              <w:rPr>
                                <w:sz w:val="18"/>
                              </w:rPr>
                            </w:pPr>
                            <w:r w:rsidRPr="007D53D9">
                              <w:rPr>
                                <w:sz w:val="18"/>
                              </w:rPr>
                              <w:t>unfavorable meteorological phenomena</w:t>
                            </w:r>
                          </w:p>
                          <w:p w:rsidR="005063CB" w:rsidRDefault="005063CB">
                            <w:pPr>
                              <w:rPr>
                                <w:b/>
                                <w:sz w:val="18"/>
                                <w:u w:val="single"/>
                              </w:rPr>
                            </w:pPr>
                          </w:p>
                          <w:p w:rsidR="005063CB" w:rsidRPr="007D53D9" w:rsidRDefault="005063CB">
                            <w:pPr>
                              <w:rPr>
                                <w:b/>
                                <w:sz w:val="18"/>
                                <w:u w:val="single"/>
                              </w:rPr>
                            </w:pPr>
                            <w:r w:rsidRPr="007D53D9">
                              <w:rPr>
                                <w:b/>
                                <w:sz w:val="18"/>
                                <w:u w:val="single"/>
                              </w:rPr>
                              <w:t>drought</w:t>
                            </w:r>
                          </w:p>
                          <w:p w:rsidR="005063CB" w:rsidRDefault="005063CB">
                            <w:pPr>
                              <w:rPr>
                                <w:sz w:val="18"/>
                              </w:rPr>
                            </w:pPr>
                          </w:p>
                          <w:p w:rsidR="005063CB" w:rsidRDefault="005063CB">
                            <w:pPr>
                              <w:rPr>
                                <w:sz w:val="18"/>
                              </w:rPr>
                            </w:pPr>
                          </w:p>
                          <w:p w:rsidR="005063CB" w:rsidRPr="007D53D9" w:rsidRDefault="005063CB">
                            <w:pPr>
                              <w:rPr>
                                <w:sz w:val="18"/>
                              </w:rPr>
                            </w:pPr>
                            <w:r w:rsidRPr="007D53D9">
                              <w:rPr>
                                <w:sz w:val="18"/>
                              </w:rPr>
                              <w:t>damages caused to the land improvement infrastructure</w:t>
                            </w:r>
                          </w:p>
                          <w:p w:rsidR="005063CB" w:rsidRPr="007D53D9" w:rsidRDefault="005063CB" w:rsidP="007D53D9">
                            <w:pPr>
                              <w:rPr>
                                <w:sz w:val="18"/>
                              </w:rPr>
                            </w:pPr>
                            <w:r w:rsidRPr="007D53D9">
                              <w:rPr>
                                <w:sz w:val="18"/>
                              </w:rPr>
                              <w:t>unfavorable meteorological phenomena</w:t>
                            </w:r>
                          </w:p>
                          <w:p w:rsidR="005063CB" w:rsidRDefault="005063CB" w:rsidP="007D53D9">
                            <w:pPr>
                              <w:rPr>
                                <w:b/>
                                <w:sz w:val="18"/>
                                <w:u w:val="single"/>
                              </w:rPr>
                            </w:pPr>
                          </w:p>
                          <w:p w:rsidR="005063CB" w:rsidRDefault="005063CB" w:rsidP="007D53D9">
                            <w:pPr>
                              <w:rPr>
                                <w:b/>
                                <w:sz w:val="18"/>
                                <w:u w:val="single"/>
                              </w:rPr>
                            </w:pPr>
                          </w:p>
                          <w:p w:rsidR="005063CB" w:rsidRPr="007D53D9" w:rsidRDefault="005063CB" w:rsidP="007D53D9">
                            <w:pPr>
                              <w:rPr>
                                <w:b/>
                                <w:sz w:val="18"/>
                                <w:u w:val="single"/>
                              </w:rPr>
                            </w:pPr>
                            <w:r w:rsidRPr="007D53D9">
                              <w:rPr>
                                <w:b/>
                                <w:sz w:val="18"/>
                                <w:u w:val="single"/>
                              </w:rPr>
                              <w:t>drought</w:t>
                            </w:r>
                          </w:p>
                          <w:p w:rsidR="005063CB" w:rsidRPr="007D53D9" w:rsidRDefault="005063CB">
                            <w:pPr>
                              <w:rPr>
                                <w:sz w:val="18"/>
                              </w:rPr>
                            </w:pPr>
                          </w:p>
                          <w:p w:rsidR="005063CB" w:rsidRPr="007D53D9" w:rsidRDefault="005063C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6" o:spid="_x0000_s1436" style="position:absolute;margin-left:50.3pt;margin-top:31.1pt;width:162.8pt;height:202.3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">
                <v:textbox>
                  <w:txbxContent>
                    <w:p w:rsidR="005063CB" w:rsidRPr="007D53D9" w:rsidRDefault="005063CB">
                      <w:pPr>
                        <w:rPr>
                          <w:sz w:val="18"/>
                        </w:rPr>
                      </w:pPr>
                      <w:r w:rsidRPr="007D53D9">
                        <w:rPr>
                          <w:sz w:val="18"/>
                        </w:rPr>
                        <w:t>unfavorable meteorological phenomena (</w:t>
                      </w:r>
                      <w:r w:rsidRPr="007D53D9">
                        <w:rPr>
                          <w:b/>
                          <w:sz w:val="18"/>
                          <w:u w:val="single"/>
                        </w:rPr>
                        <w:t>floods</w:t>
                      </w:r>
                      <w:r w:rsidRPr="007D53D9">
                        <w:rPr>
                          <w:sz w:val="18"/>
                        </w:rPr>
                        <w:t>, hail, storms, late Spring frost, drought)</w:t>
                      </w:r>
                    </w:p>
                    <w:p w:rsidR="005063CB" w:rsidRPr="007D53D9" w:rsidRDefault="005063CB">
                      <w:pPr>
                        <w:rPr>
                          <w:sz w:val="18"/>
                        </w:rPr>
                      </w:pPr>
                      <w:r w:rsidRPr="007D53D9">
                        <w:rPr>
                          <w:sz w:val="18"/>
                        </w:rPr>
                        <w:t xml:space="preserve">severe </w:t>
                      </w:r>
                      <w:r w:rsidRPr="007D53D9">
                        <w:rPr>
                          <w:b/>
                          <w:sz w:val="18"/>
                          <w:u w:val="single"/>
                        </w:rPr>
                        <w:t>drought</w:t>
                      </w:r>
                      <w:r w:rsidRPr="007D53D9">
                        <w:rPr>
                          <w:sz w:val="18"/>
                        </w:rPr>
                        <w:t xml:space="preserve"> in April - September</w:t>
                      </w:r>
                    </w:p>
                    <w:p w:rsidR="005063CB" w:rsidRDefault="005063CB">
                      <w:pPr>
                        <w:rPr>
                          <w:sz w:val="18"/>
                        </w:rPr>
                      </w:pPr>
                    </w:p>
                    <w:p w:rsidR="005063CB" w:rsidRDefault="005063CB">
                      <w:pPr>
                        <w:rPr>
                          <w:sz w:val="18"/>
                        </w:rPr>
                      </w:pPr>
                    </w:p>
                    <w:p w:rsidR="005063CB" w:rsidRPr="007D53D9" w:rsidRDefault="005063CB">
                      <w:pPr>
                        <w:rPr>
                          <w:sz w:val="18"/>
                        </w:rPr>
                      </w:pPr>
                      <w:r w:rsidRPr="007D53D9">
                        <w:rPr>
                          <w:sz w:val="18"/>
                        </w:rPr>
                        <w:t>unfavorable meteorological phenomena</w:t>
                      </w:r>
                    </w:p>
                    <w:p w:rsidR="005063CB" w:rsidRDefault="005063CB">
                      <w:pPr>
                        <w:rPr>
                          <w:b/>
                          <w:sz w:val="18"/>
                          <w:u w:val="single"/>
                        </w:rPr>
                      </w:pPr>
                    </w:p>
                    <w:p w:rsidR="005063CB" w:rsidRPr="007D53D9" w:rsidRDefault="005063CB">
                      <w:pPr>
                        <w:rPr>
                          <w:b/>
                          <w:sz w:val="18"/>
                          <w:u w:val="single"/>
                        </w:rPr>
                      </w:pPr>
                      <w:r w:rsidRPr="007D53D9">
                        <w:rPr>
                          <w:b/>
                          <w:sz w:val="18"/>
                          <w:u w:val="single"/>
                        </w:rPr>
                        <w:t>drought</w:t>
                      </w:r>
                    </w:p>
                    <w:p w:rsidR="005063CB" w:rsidRDefault="005063CB">
                      <w:pPr>
                        <w:rPr>
                          <w:sz w:val="18"/>
                        </w:rPr>
                      </w:pPr>
                    </w:p>
                    <w:p w:rsidR="005063CB" w:rsidRDefault="005063CB">
                      <w:pPr>
                        <w:rPr>
                          <w:sz w:val="18"/>
                        </w:rPr>
                      </w:pPr>
                    </w:p>
                    <w:p w:rsidR="005063CB" w:rsidRPr="007D53D9" w:rsidRDefault="005063CB">
                      <w:pPr>
                        <w:rPr>
                          <w:sz w:val="18"/>
                        </w:rPr>
                      </w:pPr>
                      <w:r w:rsidRPr="007D53D9">
                        <w:rPr>
                          <w:sz w:val="18"/>
                        </w:rPr>
                        <w:t>damages caused to the land improvement infrastructure</w:t>
                      </w:r>
                    </w:p>
                    <w:p w:rsidR="005063CB" w:rsidRPr="007D53D9" w:rsidRDefault="005063CB" w:rsidP="007D53D9">
                      <w:pPr>
                        <w:rPr>
                          <w:sz w:val="18"/>
                        </w:rPr>
                      </w:pPr>
                      <w:r w:rsidRPr="007D53D9">
                        <w:rPr>
                          <w:sz w:val="18"/>
                        </w:rPr>
                        <w:t>unfavorable meteorological phenomena</w:t>
                      </w:r>
                    </w:p>
                    <w:p w:rsidR="005063CB" w:rsidRDefault="005063CB" w:rsidP="007D53D9">
                      <w:pPr>
                        <w:rPr>
                          <w:b/>
                          <w:sz w:val="18"/>
                          <w:u w:val="single"/>
                        </w:rPr>
                      </w:pPr>
                    </w:p>
                    <w:p w:rsidR="005063CB" w:rsidRDefault="005063CB" w:rsidP="007D53D9">
                      <w:pPr>
                        <w:rPr>
                          <w:b/>
                          <w:sz w:val="18"/>
                          <w:u w:val="single"/>
                        </w:rPr>
                      </w:pPr>
                    </w:p>
                    <w:p w:rsidR="005063CB" w:rsidRPr="007D53D9" w:rsidRDefault="005063CB" w:rsidP="007D53D9">
                      <w:pPr>
                        <w:rPr>
                          <w:b/>
                          <w:sz w:val="18"/>
                          <w:u w:val="single"/>
                        </w:rPr>
                      </w:pPr>
                      <w:r w:rsidRPr="007D53D9">
                        <w:rPr>
                          <w:b/>
                          <w:sz w:val="18"/>
                          <w:u w:val="single"/>
                        </w:rPr>
                        <w:t>drought</w:t>
                      </w:r>
                    </w:p>
                    <w:p w:rsidR="005063CB" w:rsidRPr="007D53D9" w:rsidRDefault="005063CB">
                      <w:pPr>
                        <w:rPr>
                          <w:sz w:val="18"/>
                        </w:rPr>
                      </w:pPr>
                    </w:p>
                    <w:p w:rsidR="005063CB" w:rsidRPr="007D53D9" w:rsidRDefault="005063CB">
                      <w:pPr>
                        <w:rPr>
                          <w:sz w:val="18"/>
                        </w:rPr>
                      </w:pPr>
                    </w:p>
                  </w:txbxContent>
                </v:textbox>
              </v:rect>
            </w:pict>
          </mc:Fallback>
        </mc:AlternateContent>
      </w:r>
      <w:r>
        <w:rPr>
          <w:noProof/>
          <w:lang w:val="ro-RO" w:eastAsia="ro-RO"/>
        </w:rPr>
        <mc:AlternateContent>
          <mc:Choice Requires="wps">
            <w:drawing>
              <wp:anchor distT="0" distB="0" distL="114300" distR="114300" simplePos="0" relativeHeight="251784704" behindDoc="0" locked="0" layoutInCell="1" allowOverlap="1">
                <wp:simplePos x="0" y="0"/>
                <wp:positionH relativeFrom="column">
                  <wp:posOffset>12065</wp:posOffset>
                </wp:positionH>
                <wp:positionV relativeFrom="paragraph">
                  <wp:posOffset>7620</wp:posOffset>
                </wp:positionV>
                <wp:extent cx="6153785" cy="387350"/>
                <wp:effectExtent l="12065" t="7620" r="6350" b="5080"/>
                <wp:wrapNone/>
                <wp:docPr id="41"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387350"/>
                        </a:xfrm>
                        <a:prstGeom prst="rect">
                          <a:avLst/>
                        </a:prstGeom>
                        <a:solidFill>
                          <a:srgbClr val="FFFFFF"/>
                        </a:solidFill>
                        <a:ln w="9525">
                          <a:solidFill>
                            <a:srgbClr val="000000"/>
                          </a:solidFill>
                          <a:miter lim="800000"/>
                          <a:headEnd/>
                          <a:tailEnd/>
                        </a:ln>
                      </wps:spPr>
                      <wps:txbx>
                        <w:txbxContent>
                          <w:p w:rsidR="005063CB" w:rsidRPr="007D53D9" w:rsidRDefault="005063CB">
                            <w:pPr>
                              <w:rPr>
                                <w:i/>
                              </w:rPr>
                            </w:pPr>
                            <w:r w:rsidRPr="007D53D9">
                              <w:rPr>
                                <w:i/>
                              </w:rPr>
                              <w:t>Year                       Phenomenon                    Area (ha)            Damage value          Legislative 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5" o:spid="_x0000_s1437" style="position:absolute;margin-left:.95pt;margin-top:.6pt;width:484.55pt;height:30.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">
                <v:textbox>
                  <w:txbxContent>
                    <w:p w:rsidR="005063CB" w:rsidRPr="007D53D9" w:rsidRDefault="005063CB">
                      <w:pPr>
                        <w:rPr>
                          <w:i/>
                        </w:rPr>
                      </w:pPr>
                      <w:r w:rsidRPr="007D53D9">
                        <w:rPr>
                          <w:i/>
                        </w:rPr>
                        <w:t>Year                       Phenomenon                    Area (ha)            Damage value          Legislative act</w:t>
                      </w:r>
                    </w:p>
                  </w:txbxContent>
                </v:textbox>
              </v:rect>
            </w:pict>
          </mc:Fallback>
        </mc:AlternateContent>
      </w:r>
      <w:r w:rsidR="00C21188" w:rsidRPr="00C21188">
        <w:rPr>
          <w:noProof/>
          <w:lang w:val="ro-RO" w:eastAsia="ro-RO"/>
        </w:rPr>
        <w:drawing>
          <wp:inline distT="0" distB="0" distL="0" distR="0" wp14:anchorId="4B320837" wp14:editId="59720331">
            <wp:extent cx="6218536" cy="30327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abel impact bugetar__Ministerul Agriculturii.jpg"/>
                    <pic:cNvPicPr/>
                  </pic:nvPicPr>
                  <pic:blipFill>
                    <a:blip r:embed="rId56">
                      <a:extLst>
                        <a:ext uri="{28A0092B-C50C-407E-A947-70E740481C1C}">
                          <a14:useLocalDpi xmlns:a14="http://schemas.microsoft.com/office/drawing/2010/main" val="0"/>
                        </a:ext>
                      </a:extLst>
                    </a:blip>
                    <a:stretch>
                      <a:fillRect/>
                    </a:stretch>
                  </pic:blipFill>
                  <pic:spPr>
                    <a:xfrm>
                      <a:off x="0" y="0"/>
                      <a:ext cx="6260151" cy="3053056"/>
                    </a:xfrm>
                    <a:prstGeom prst="rect">
                      <a:avLst/>
                    </a:prstGeom>
                  </pic:spPr>
                </pic:pic>
              </a:graphicData>
            </a:graphic>
          </wp:inline>
        </w:drawing>
      </w:r>
    </w:p>
    <w:p w:rsidR="00C21188" w:rsidRPr="00C21188" w:rsidRDefault="00C21188" w:rsidP="00C21188">
      <w:pPr>
        <w:rPr>
          <w:rFonts w:eastAsia="Calibri"/>
        </w:rPr>
      </w:pPr>
      <w:r w:rsidRPr="00C21188">
        <w:t>Compared to the estimated value of damages, the level of losses on the last 3 years is of approximately 133,150 thousand EUR.</w:t>
      </w:r>
    </w:p>
    <w:p w:rsidR="00C21188" w:rsidRPr="00C21188" w:rsidRDefault="00C21188" w:rsidP="00C21188">
      <w:r w:rsidRPr="00C21188">
        <w:t>The Ministry of Regional Development and Public Administration, through The annual program of actions regarding the design and execution of intervention works for reducing the seismic risk at constructions to be used as multi-storey home, classified through technical expertise report in class I of seismic risk and which pose public danger, according to GO no. 20/1994, republished, proposed as main objectives for year 2018:</w:t>
      </w:r>
    </w:p>
    <w:p w:rsidR="00C21188" w:rsidRPr="00C21188" w:rsidRDefault="00C21188" w:rsidP="00C21188">
      <w:pPr>
        <w:rPr>
          <w:rFonts w:eastAsia="Calibri"/>
        </w:rPr>
      </w:pPr>
      <w:r w:rsidRPr="00C21188">
        <w:t>Completing the execution of consolidation works for 10 residential buildings;</w:t>
      </w:r>
    </w:p>
    <w:p w:rsidR="00C21188" w:rsidRPr="00C21188" w:rsidRDefault="00C21188" w:rsidP="00C21188">
      <w:pPr>
        <w:rPr>
          <w:rFonts w:eastAsia="Calibri"/>
        </w:rPr>
      </w:pPr>
      <w:r w:rsidRPr="00C21188">
        <w:t>Continued execution of the consolidation works for 10 residential buildings;</w:t>
      </w:r>
    </w:p>
    <w:p w:rsidR="00C21188" w:rsidRPr="00C21188" w:rsidRDefault="00C21188" w:rsidP="00C21188">
      <w:pPr>
        <w:rPr>
          <w:rFonts w:eastAsia="Calibri"/>
        </w:rPr>
      </w:pPr>
      <w:r w:rsidRPr="00C21188">
        <w:t>Starting the execution of the consolidation works for 30 residential buildings;</w:t>
      </w:r>
    </w:p>
    <w:p w:rsidR="00C21188" w:rsidRPr="00C21188" w:rsidRDefault="00C21188" w:rsidP="00C21188">
      <w:pPr>
        <w:rPr>
          <w:rFonts w:eastAsia="Calibri"/>
        </w:rPr>
      </w:pPr>
      <w:r w:rsidRPr="00C21188">
        <w:t>Completing the design of consolidation works for 7 residential buildings;</w:t>
      </w:r>
    </w:p>
    <w:p w:rsidR="00C21188" w:rsidRPr="00C21188" w:rsidRDefault="00C21188" w:rsidP="00C21188">
      <w:pPr>
        <w:rPr>
          <w:rFonts w:eastAsia="Calibri"/>
        </w:rPr>
      </w:pPr>
      <w:r w:rsidRPr="00C21188">
        <w:t>Starting the elaboration of the design of consolidation works for 46 residential buildings.</w:t>
      </w:r>
    </w:p>
    <w:p w:rsidR="00C21188" w:rsidRPr="00C21188" w:rsidRDefault="00C21188" w:rsidP="00C21188"/>
    <w:p w:rsidR="00C21188" w:rsidRPr="00C21188" w:rsidRDefault="00C21188" w:rsidP="00C21188">
      <w:r w:rsidRPr="00C21188">
        <w:t>Ministry of Labor and Social Justice</w:t>
      </w:r>
    </w:p>
    <w:p w:rsidR="00C21188" w:rsidRPr="00C21188" w:rsidRDefault="00C21188" w:rsidP="00C21188">
      <w:r w:rsidRPr="00C21188">
        <w:t>In the case of assessment of a budgetary impact that might be caused by the occurrence of a disaster type event, the Ministry of Labor and Social Justice awards emergency aid according to art. 28 para. (1) in Law no. 416/2001 on minimum guaranteed income. According to it, the Government, at the proposal of the Ministry of Labor and Social Justice, may award emergency aid to the families and people in special situations due to their health status or other causes that can lead to social exclusion risk, as well as in other situations established through Government decision, which will also include the procedure and/or conditions of award.</w:t>
      </w:r>
    </w:p>
    <w:p w:rsidR="00C21188" w:rsidRPr="00C21188" w:rsidRDefault="00C21188" w:rsidP="00C21188"/>
    <w:p w:rsidR="00C21188" w:rsidRPr="00C21188" w:rsidRDefault="00C21188" w:rsidP="00C21188">
      <w:r w:rsidRPr="00C21188">
        <w:t xml:space="preserve">In accordance with the policy in the field of social assistance, the amounts representing emergency aid provided by art. 28 para. (1) in Law no. 416/2001 on the minimum guaranteed income estimated for every year of the period 2018-2021, amounts to 10,000 thousand Lei. </w:t>
      </w:r>
    </w:p>
    <w:p w:rsidR="00C21188" w:rsidRPr="00C21188" w:rsidRDefault="00C21188" w:rsidP="00C21188"/>
    <w:p w:rsidR="00C21188" w:rsidRPr="00C21188" w:rsidRDefault="00C21188" w:rsidP="00C21188">
      <w:r w:rsidRPr="00C21188">
        <w:t>Ministry of Health</w:t>
      </w:r>
    </w:p>
    <w:p w:rsidR="00C21188" w:rsidRPr="00C21188" w:rsidRDefault="00C21188" w:rsidP="00C21188">
      <w:r w:rsidRPr="00C21188">
        <w:t>With regard to the assessment of the budgetary impact determined by the occurrence of a disaster type event, the Ministry of Health is currently elaborating The National Generic Response Plan to Epidemiological Events of Transmissible Diseases of National Importance, which implicitly has a budgetary component.</w:t>
      </w:r>
    </w:p>
    <w:p w:rsidR="00C21188" w:rsidRPr="00C21188" w:rsidRDefault="00C21188" w:rsidP="00C21188"/>
    <w:p w:rsidR="00C21188" w:rsidRPr="00C21188" w:rsidRDefault="00C21188" w:rsidP="00C21188">
      <w:r w:rsidRPr="00C21188">
        <w:t>Epidemiological events that occur in time on the territory of Romania and with high probability of facing other epidemics in the future, including as a component of a pandemic, require the elaboration of the National Generic Response Plan to Epidemiological Events of Transmissible Diseases of National Importance, hereinafter referred to as the “Plan”.</w:t>
      </w:r>
    </w:p>
    <w:p w:rsidR="00C21188" w:rsidRPr="00C21188" w:rsidRDefault="00C21188" w:rsidP="00C21188">
      <w:r w:rsidRPr="00C21188">
        <w:t xml:space="preserve">The Plan involves a continuous management strategy, which includes stages of prevention, preparation, response, and comeback. </w:t>
      </w:r>
    </w:p>
    <w:p w:rsidR="00C21188" w:rsidRPr="00C21188" w:rsidRDefault="00C21188" w:rsidP="00C21188">
      <w:r w:rsidRPr="00C21188">
        <w:t xml:space="preserve">The Plan is based on the assumption that public health authorities and institutions, as well as health services suppliers, are undergoing a constant state of preparation to respond to Epidemiological Events of Transmittable Diseases of National Importance, hereinafter referred to as “events”. </w:t>
      </w:r>
    </w:p>
    <w:p w:rsidR="00C21188" w:rsidRPr="00C21188" w:rsidRDefault="00C21188" w:rsidP="00C21188">
      <w:r w:rsidRPr="00C21188">
        <w:t>The transition from the routine response to cases of transmittable diseases towards the response to an event is very probable to represent only an escalation, within the meaning of the complexity of the already existing response.</w:t>
      </w:r>
    </w:p>
    <w:p w:rsidR="00C21188" w:rsidRPr="00C21188" w:rsidRDefault="00C21188" w:rsidP="00C21188">
      <w:pPr>
        <w:rPr>
          <w:rFonts w:eastAsia="Calibri"/>
        </w:rPr>
      </w:pPr>
      <w:r w:rsidRPr="00C21188">
        <w:t xml:space="preserve">Events are a constant threat for the population and health services. </w:t>
      </w:r>
    </w:p>
    <w:p w:rsidR="00C21188" w:rsidRPr="00C21188" w:rsidRDefault="00C21188" w:rsidP="00C21188">
      <w:r w:rsidRPr="00C21188">
        <w:t xml:space="preserve">They are different from traditional emergency events, because, the size of an event is usually lower in the beginning and increases in time, opposite from an incident with multiple traumas.  Response actions will depend on the particularities of the infectious biological agent and it can be difficult to pre-define a set of actions before the occurrence of an outbreak, therefore planning must remain flexible. </w:t>
      </w:r>
    </w:p>
    <w:p w:rsidR="00C21188" w:rsidRPr="00C21188" w:rsidRDefault="00C21188" w:rsidP="00C21188">
      <w:r w:rsidRPr="00C21188">
        <w:t>Many actions require support over a certain level, in order to have effect on such an event. These actions can be maintained/extended without clearly deciding on a certain closing moment.</w:t>
      </w:r>
    </w:p>
    <w:p w:rsidR="00C21188" w:rsidRPr="00C21188" w:rsidRDefault="00C21188" w:rsidP="00C21188"/>
    <w:p w:rsidR="00C21188" w:rsidRPr="00C21188" w:rsidRDefault="00C21188" w:rsidP="00C21188">
      <w:r w:rsidRPr="00C21188">
        <w:t xml:space="preserve">The challenges implied throughout the response to the event can include:  </w:t>
      </w:r>
    </w:p>
    <w:p w:rsidR="00C21188" w:rsidRPr="00C21188" w:rsidRDefault="00C21188" w:rsidP="00C21188">
      <w:r w:rsidRPr="00C21188">
        <w:t xml:space="preserve">The lack of initial information, when the size of the event is still reduced, but the response variants may include disturbing actions for the society; </w:t>
      </w:r>
    </w:p>
    <w:p w:rsidR="00C21188" w:rsidRPr="00C21188" w:rsidRDefault="00C21188" w:rsidP="00C21188">
      <w:r w:rsidRPr="00C21188">
        <w:t xml:space="preserve">The potential of transmission at large scale can make it difficult to control the disease in a certain area, which means that it is possible not to have a defined place of the incident, a circumscribed risk area for the response; </w:t>
      </w:r>
    </w:p>
    <w:p w:rsidR="00C21188" w:rsidRPr="00C21188" w:rsidRDefault="00C21188" w:rsidP="00C21188">
      <w:r w:rsidRPr="00C21188">
        <w:t xml:space="preserve">The capacity for sustained response (weeks - months) must be taken into account when resources are engaged which can be reoriented from the routine activities to the prevention and control of transmittable diseases; </w:t>
      </w:r>
    </w:p>
    <w:p w:rsidR="00C21188" w:rsidRPr="00C21188" w:rsidRDefault="00C21188" w:rsidP="00C21188">
      <w:r w:rsidRPr="00C21188">
        <w:t xml:space="preserve">Some activities necessary to control transmittable diseases are not part of the usual activity of the health sector - for example, the distribution of medicines from the reserve stock, screening at border points - activities which are not exercised in the management of usual incidents and are not known as being part of emergency medical services; </w:t>
      </w:r>
    </w:p>
    <w:p w:rsidR="00C21188" w:rsidRPr="00C21188" w:rsidRDefault="00C21188" w:rsidP="00C21188">
      <w:r w:rsidRPr="00C21188">
        <w:t xml:space="preserve">The implementation of public health measures implies the coordination of all interested parties who do not usually operate under a common command structure - family physicians, hospital physicians, civil servants, businessmen, institutions from the educational field (including kindergartens, primary schools, high schools, universities), non-governmental organizations and the public; </w:t>
      </w:r>
    </w:p>
    <w:p w:rsidR="00C21188" w:rsidRPr="00C21188" w:rsidRDefault="00C21188" w:rsidP="00C21188">
      <w:r w:rsidRPr="00C21188">
        <w:t xml:space="preserve">Response actions to transmittable diseases may include asking the population to react (for example, to reduce social contact), which presupposes winning the population’s trust, in order to have the desired effect. </w:t>
      </w:r>
    </w:p>
    <w:p w:rsidR="00C21188" w:rsidRPr="00C21188" w:rsidRDefault="00C21188" w:rsidP="00C21188"/>
    <w:p w:rsidR="00C21188" w:rsidRPr="00C21188" w:rsidRDefault="00C21188" w:rsidP="00C21188">
      <w:r w:rsidRPr="00C21188">
        <w:t>The Plan also includes the specific plans (like the National Plan for Preparation and Response for the Flu Pandemic, the National Plan for Ebola, GD no. 557/2016). Where there are no specific plans, this Plan is considered the main response plan.</w:t>
      </w:r>
    </w:p>
    <w:p w:rsidR="00C21188" w:rsidRPr="00C21188" w:rsidRDefault="00C21188" w:rsidP="00C21188">
      <w:r w:rsidRPr="00C21188">
        <w:t xml:space="preserve">The budgetary impact depends on the type of event that generates pandemics, the costs being different for different specific actions, according to the risk level of transmission of infectious diseases among the population and the actions necessary to be taken in order to limit the extension thereof. </w:t>
      </w:r>
    </w:p>
    <w:p w:rsidR="00C21188" w:rsidRPr="00C21188" w:rsidRDefault="00C21188" w:rsidP="00C21188">
      <w:r w:rsidRPr="00C21188">
        <w:t>5. Medium-term expenditure framework for 2019-2021</w:t>
      </w:r>
      <w:r w:rsidRPr="00C21188">
        <w:tab/>
      </w:r>
    </w:p>
    <w:p w:rsidR="00C21188" w:rsidRDefault="00C21188" w:rsidP="00C21188">
      <w:r w:rsidRPr="00C21188">
        <w:t>The total expenditures of the State budget for 2016-2021, as well as the aggregated expenditures of the biggest 10 main credit authorities according to the criteria of funds allocated from the State budget, are presented in the table below:</w:t>
      </w:r>
    </w:p>
    <w:p w:rsidR="001B2458" w:rsidRPr="00C21188" w:rsidRDefault="001B2458" w:rsidP="00C21188"/>
    <w:p w:rsidR="00C21188" w:rsidRPr="00C21188" w:rsidRDefault="00C21188" w:rsidP="00C21188"/>
    <w:tbl>
      <w:tblPr>
        <w:tblStyle w:val="LightList"/>
        <w:tblW w:w="0" w:type="auto"/>
        <w:tblLook w:val="04A0" w:firstRow="1" w:lastRow="0" w:firstColumn="1" w:lastColumn="0" w:noHBand="0" w:noVBand="1"/>
      </w:tblPr>
      <w:tblGrid>
        <w:gridCol w:w="2628"/>
        <w:gridCol w:w="1260"/>
        <w:gridCol w:w="1080"/>
        <w:gridCol w:w="1080"/>
        <w:gridCol w:w="1080"/>
        <w:gridCol w:w="1260"/>
        <w:gridCol w:w="1188"/>
      </w:tblGrid>
      <w:tr w:rsidR="00087A6C" w:rsidRPr="00022485" w:rsidTr="00087A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uto"/>
          </w:tcPr>
          <w:p w:rsidR="00087A6C" w:rsidRPr="00022485" w:rsidRDefault="00087A6C" w:rsidP="00087A6C">
            <w:pPr>
              <w:rPr>
                <w:color w:val="auto"/>
                <w:sz w:val="18"/>
              </w:rPr>
            </w:pPr>
          </w:p>
        </w:tc>
        <w:tc>
          <w:tcPr>
            <w:tcW w:w="1260" w:type="dxa"/>
            <w:shd w:val="clear" w:color="auto" w:fill="auto"/>
          </w:tcPr>
          <w:p w:rsidR="00087A6C" w:rsidRPr="00022485" w:rsidRDefault="00087A6C" w:rsidP="00087A6C">
            <w:pPr>
              <w:cnfStyle w:val="100000000000" w:firstRow="1" w:lastRow="0" w:firstColumn="0" w:lastColumn="0" w:oddVBand="0" w:evenVBand="0" w:oddHBand="0" w:evenHBand="0" w:firstRowFirstColumn="0" w:firstRowLastColumn="0" w:lastRowFirstColumn="0" w:lastRowLastColumn="0"/>
              <w:rPr>
                <w:color w:val="auto"/>
                <w:sz w:val="18"/>
              </w:rPr>
            </w:pPr>
          </w:p>
        </w:tc>
        <w:tc>
          <w:tcPr>
            <w:tcW w:w="1080" w:type="dxa"/>
            <w:shd w:val="clear" w:color="auto" w:fill="auto"/>
          </w:tcPr>
          <w:p w:rsidR="00087A6C" w:rsidRPr="00022485" w:rsidRDefault="00087A6C" w:rsidP="00087A6C">
            <w:pPr>
              <w:cnfStyle w:val="100000000000" w:firstRow="1" w:lastRow="0" w:firstColumn="0" w:lastColumn="0" w:oddVBand="0" w:evenVBand="0" w:oddHBand="0" w:evenHBand="0" w:firstRowFirstColumn="0" w:firstRowLastColumn="0" w:lastRowFirstColumn="0" w:lastRowLastColumn="0"/>
              <w:rPr>
                <w:color w:val="auto"/>
                <w:sz w:val="18"/>
              </w:rPr>
            </w:pPr>
          </w:p>
        </w:tc>
        <w:tc>
          <w:tcPr>
            <w:tcW w:w="1080" w:type="dxa"/>
            <w:shd w:val="clear" w:color="auto" w:fill="auto"/>
          </w:tcPr>
          <w:p w:rsidR="00087A6C" w:rsidRPr="00022485" w:rsidRDefault="00087A6C" w:rsidP="00087A6C">
            <w:pPr>
              <w:cnfStyle w:val="100000000000" w:firstRow="1" w:lastRow="0" w:firstColumn="0" w:lastColumn="0" w:oddVBand="0" w:evenVBand="0" w:oddHBand="0" w:evenHBand="0" w:firstRowFirstColumn="0" w:firstRowLastColumn="0" w:lastRowFirstColumn="0" w:lastRowLastColumn="0"/>
              <w:rPr>
                <w:color w:val="auto"/>
                <w:sz w:val="18"/>
              </w:rPr>
            </w:pPr>
          </w:p>
        </w:tc>
        <w:tc>
          <w:tcPr>
            <w:tcW w:w="1080" w:type="dxa"/>
            <w:shd w:val="clear" w:color="auto" w:fill="auto"/>
          </w:tcPr>
          <w:p w:rsidR="00087A6C" w:rsidRPr="00022485" w:rsidRDefault="00087A6C" w:rsidP="00087A6C">
            <w:pPr>
              <w:cnfStyle w:val="100000000000" w:firstRow="1" w:lastRow="0" w:firstColumn="0" w:lastColumn="0" w:oddVBand="0" w:evenVBand="0" w:oddHBand="0" w:evenHBand="0" w:firstRowFirstColumn="0" w:firstRowLastColumn="0" w:lastRowFirstColumn="0" w:lastRowLastColumn="0"/>
              <w:rPr>
                <w:color w:val="auto"/>
                <w:sz w:val="18"/>
              </w:rPr>
            </w:pPr>
          </w:p>
        </w:tc>
        <w:tc>
          <w:tcPr>
            <w:tcW w:w="1260" w:type="dxa"/>
            <w:shd w:val="clear" w:color="auto" w:fill="auto"/>
          </w:tcPr>
          <w:p w:rsidR="00087A6C" w:rsidRPr="00022485" w:rsidRDefault="00087A6C" w:rsidP="00087A6C">
            <w:pPr>
              <w:cnfStyle w:val="100000000000" w:firstRow="1" w:lastRow="0" w:firstColumn="0" w:lastColumn="0" w:oddVBand="0" w:evenVBand="0" w:oddHBand="0" w:evenHBand="0" w:firstRowFirstColumn="0" w:firstRowLastColumn="0" w:lastRowFirstColumn="0" w:lastRowLastColumn="0"/>
              <w:rPr>
                <w:color w:val="auto"/>
                <w:sz w:val="18"/>
              </w:rPr>
            </w:pPr>
          </w:p>
        </w:tc>
        <w:tc>
          <w:tcPr>
            <w:tcW w:w="1188" w:type="dxa"/>
            <w:shd w:val="clear" w:color="auto" w:fill="auto"/>
          </w:tcPr>
          <w:p w:rsidR="00087A6C" w:rsidRPr="00022485" w:rsidRDefault="00087A6C" w:rsidP="00087A6C">
            <w:pPr>
              <w:cnfStyle w:val="100000000000" w:firstRow="1" w:lastRow="0" w:firstColumn="0" w:lastColumn="0" w:oddVBand="0" w:evenVBand="0" w:oddHBand="0" w:evenHBand="0" w:firstRowFirstColumn="0" w:firstRowLastColumn="0" w:lastRowFirstColumn="0" w:lastRowLastColumn="0"/>
              <w:rPr>
                <w:color w:val="auto"/>
                <w:sz w:val="18"/>
              </w:rPr>
            </w:pPr>
            <w:r w:rsidRPr="00022485">
              <w:rPr>
                <w:color w:val="auto"/>
                <w:sz w:val="18"/>
              </w:rPr>
              <w:t xml:space="preserve">- million Lei - </w:t>
            </w:r>
          </w:p>
        </w:tc>
      </w:tr>
      <w:tr w:rsidR="00087A6C" w:rsidRPr="00022485" w:rsidTr="00087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087A6C" w:rsidRPr="00022485" w:rsidRDefault="00087A6C" w:rsidP="00087A6C">
            <w:pPr>
              <w:rPr>
                <w:sz w:val="18"/>
              </w:rPr>
            </w:pPr>
          </w:p>
        </w:tc>
        <w:tc>
          <w:tcPr>
            <w:tcW w:w="126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2016</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2017</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2018</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2019</w:t>
            </w:r>
          </w:p>
        </w:tc>
        <w:tc>
          <w:tcPr>
            <w:tcW w:w="126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2020</w:t>
            </w:r>
          </w:p>
        </w:tc>
        <w:tc>
          <w:tcPr>
            <w:tcW w:w="1188"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2021</w:t>
            </w:r>
          </w:p>
        </w:tc>
      </w:tr>
      <w:tr w:rsidR="00087A6C" w:rsidRPr="00022485" w:rsidTr="00087A6C">
        <w:tc>
          <w:tcPr>
            <w:cnfStyle w:val="001000000000" w:firstRow="0" w:lastRow="0" w:firstColumn="1" w:lastColumn="0" w:oddVBand="0" w:evenVBand="0" w:oddHBand="0" w:evenHBand="0" w:firstRowFirstColumn="0" w:firstRowLastColumn="0" w:lastRowFirstColumn="0" w:lastRowLastColumn="0"/>
            <w:tcW w:w="9576" w:type="dxa"/>
            <w:gridSpan w:val="7"/>
            <w:shd w:val="clear" w:color="auto" w:fill="ACB9CA" w:themeFill="text2" w:themeFillTint="66"/>
          </w:tcPr>
          <w:p w:rsidR="00087A6C" w:rsidRPr="00022485" w:rsidRDefault="00087A6C" w:rsidP="00087A6C">
            <w:pPr>
              <w:rPr>
                <w:sz w:val="18"/>
              </w:rPr>
            </w:pPr>
            <w:r w:rsidRPr="00022485">
              <w:rPr>
                <w:sz w:val="18"/>
              </w:rPr>
              <w:t>STATE BUDGET –</w:t>
            </w:r>
          </w:p>
          <w:p w:rsidR="00087A6C" w:rsidRPr="00022485" w:rsidRDefault="00087A6C" w:rsidP="00087A6C">
            <w:pPr>
              <w:rPr>
                <w:sz w:val="18"/>
              </w:rPr>
            </w:pPr>
            <w:r w:rsidRPr="00022485">
              <w:rPr>
                <w:sz w:val="18"/>
              </w:rPr>
              <w:t>TOTAL EXPENDITURES, of which:</w:t>
            </w:r>
          </w:p>
        </w:tc>
      </w:tr>
      <w:tr w:rsidR="00087A6C" w:rsidRPr="00022485" w:rsidTr="00087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087A6C" w:rsidRPr="00022485" w:rsidRDefault="00087A6C" w:rsidP="00087A6C">
            <w:pPr>
              <w:rPr>
                <w:b w:val="0"/>
                <w:sz w:val="18"/>
              </w:rPr>
            </w:pPr>
            <w:r w:rsidRPr="00022485">
              <w:rPr>
                <w:b w:val="0"/>
                <w:sz w:val="18"/>
              </w:rPr>
              <w:t>Million Lei</w:t>
            </w:r>
          </w:p>
        </w:tc>
        <w:tc>
          <w:tcPr>
            <w:tcW w:w="126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130,083</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144,427</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174,895</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201,781</w:t>
            </w:r>
          </w:p>
        </w:tc>
        <w:tc>
          <w:tcPr>
            <w:tcW w:w="126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196,770</w:t>
            </w:r>
          </w:p>
        </w:tc>
        <w:tc>
          <w:tcPr>
            <w:tcW w:w="1188"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199,170</w:t>
            </w:r>
          </w:p>
        </w:tc>
      </w:tr>
      <w:tr w:rsidR="00087A6C" w:rsidRPr="00022485" w:rsidTr="00087A6C">
        <w:tc>
          <w:tcPr>
            <w:cnfStyle w:val="001000000000" w:firstRow="0" w:lastRow="0" w:firstColumn="1" w:lastColumn="0" w:oddVBand="0" w:evenVBand="0" w:oddHBand="0" w:evenHBand="0" w:firstRowFirstColumn="0" w:firstRowLastColumn="0" w:lastRowFirstColumn="0" w:lastRowLastColumn="0"/>
            <w:tcW w:w="2628" w:type="dxa"/>
          </w:tcPr>
          <w:p w:rsidR="00087A6C" w:rsidRPr="00022485" w:rsidRDefault="00087A6C" w:rsidP="00087A6C">
            <w:pPr>
              <w:rPr>
                <w:b w:val="0"/>
                <w:sz w:val="18"/>
              </w:rPr>
            </w:pPr>
            <w:r w:rsidRPr="00022485">
              <w:rPr>
                <w:b w:val="0"/>
                <w:sz w:val="18"/>
              </w:rPr>
              <w:t>% of G.D.P.</w:t>
            </w:r>
          </w:p>
        </w:tc>
        <w:tc>
          <w:tcPr>
            <w:tcW w:w="126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17.08</w:t>
            </w:r>
          </w:p>
        </w:tc>
        <w:tc>
          <w:tcPr>
            <w:tcW w:w="108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17.14</w:t>
            </w:r>
          </w:p>
        </w:tc>
        <w:tc>
          <w:tcPr>
            <w:tcW w:w="108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18.60</w:t>
            </w:r>
          </w:p>
        </w:tc>
        <w:tc>
          <w:tcPr>
            <w:tcW w:w="108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20.75</w:t>
            </w:r>
          </w:p>
        </w:tc>
        <w:tc>
          <w:tcPr>
            <w:tcW w:w="126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18.71</w:t>
            </w:r>
          </w:p>
        </w:tc>
        <w:tc>
          <w:tcPr>
            <w:tcW w:w="1188"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17.68</w:t>
            </w:r>
          </w:p>
        </w:tc>
      </w:tr>
      <w:tr w:rsidR="00087A6C" w:rsidRPr="00022485" w:rsidTr="00087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7"/>
            <w:shd w:val="clear" w:color="auto" w:fill="ACB9CA" w:themeFill="text2" w:themeFillTint="66"/>
          </w:tcPr>
          <w:p w:rsidR="00087A6C" w:rsidRPr="00022485" w:rsidRDefault="00087A6C" w:rsidP="00087A6C">
            <w:pPr>
              <w:rPr>
                <w:sz w:val="18"/>
              </w:rPr>
            </w:pPr>
            <w:r w:rsidRPr="00022485">
              <w:rPr>
                <w:sz w:val="18"/>
              </w:rPr>
              <w:t>TOTAL EXPENDITURES – 10 ministries</w:t>
            </w:r>
          </w:p>
        </w:tc>
      </w:tr>
      <w:tr w:rsidR="00087A6C" w:rsidRPr="00022485" w:rsidTr="00087A6C">
        <w:tc>
          <w:tcPr>
            <w:cnfStyle w:val="001000000000" w:firstRow="0" w:lastRow="0" w:firstColumn="1" w:lastColumn="0" w:oddVBand="0" w:evenVBand="0" w:oddHBand="0" w:evenHBand="0" w:firstRowFirstColumn="0" w:firstRowLastColumn="0" w:lastRowFirstColumn="0" w:lastRowLastColumn="0"/>
            <w:tcW w:w="2628" w:type="dxa"/>
          </w:tcPr>
          <w:p w:rsidR="00087A6C" w:rsidRPr="00022485" w:rsidRDefault="00087A6C" w:rsidP="00087A6C">
            <w:pPr>
              <w:rPr>
                <w:b w:val="0"/>
                <w:sz w:val="18"/>
              </w:rPr>
            </w:pPr>
            <w:r w:rsidRPr="00022485">
              <w:rPr>
                <w:b w:val="0"/>
                <w:sz w:val="18"/>
              </w:rPr>
              <w:t>Million Lei</w:t>
            </w:r>
          </w:p>
        </w:tc>
        <w:tc>
          <w:tcPr>
            <w:tcW w:w="126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97,392</w:t>
            </w:r>
          </w:p>
        </w:tc>
        <w:tc>
          <w:tcPr>
            <w:tcW w:w="108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111,120</w:t>
            </w:r>
          </w:p>
        </w:tc>
        <w:tc>
          <w:tcPr>
            <w:tcW w:w="108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132,201</w:t>
            </w:r>
          </w:p>
        </w:tc>
        <w:tc>
          <w:tcPr>
            <w:tcW w:w="108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156,651</w:t>
            </w:r>
          </w:p>
        </w:tc>
        <w:tc>
          <w:tcPr>
            <w:tcW w:w="126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151,150</w:t>
            </w:r>
          </w:p>
        </w:tc>
        <w:tc>
          <w:tcPr>
            <w:tcW w:w="1188"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153,310</w:t>
            </w:r>
          </w:p>
        </w:tc>
      </w:tr>
      <w:tr w:rsidR="00087A6C" w:rsidRPr="00022485" w:rsidTr="00087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087A6C" w:rsidRPr="00022485" w:rsidRDefault="00087A6C" w:rsidP="00087A6C">
            <w:pPr>
              <w:rPr>
                <w:b w:val="0"/>
                <w:sz w:val="18"/>
              </w:rPr>
            </w:pPr>
            <w:r w:rsidRPr="00022485">
              <w:rPr>
                <w:b w:val="0"/>
                <w:sz w:val="18"/>
              </w:rPr>
              <w:t>% of G.D.P.</w:t>
            </w:r>
          </w:p>
        </w:tc>
        <w:tc>
          <w:tcPr>
            <w:tcW w:w="126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12.79</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13.19</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14.06</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16.03</w:t>
            </w:r>
          </w:p>
        </w:tc>
        <w:tc>
          <w:tcPr>
            <w:tcW w:w="126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14.37</w:t>
            </w:r>
          </w:p>
        </w:tc>
        <w:tc>
          <w:tcPr>
            <w:tcW w:w="1188"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13.61</w:t>
            </w:r>
          </w:p>
        </w:tc>
      </w:tr>
      <w:tr w:rsidR="00087A6C" w:rsidRPr="00022485" w:rsidTr="00087A6C">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087A6C" w:rsidRPr="00022485" w:rsidRDefault="00087A6C" w:rsidP="00087A6C">
            <w:pPr>
              <w:rPr>
                <w:sz w:val="18"/>
              </w:rPr>
            </w:pPr>
            <w:r w:rsidRPr="00022485">
              <w:rPr>
                <w:sz w:val="18"/>
              </w:rPr>
              <w:t>Personnel expenditures</w:t>
            </w:r>
          </w:p>
        </w:tc>
        <w:tc>
          <w:tcPr>
            <w:tcW w:w="1260" w:type="dxa"/>
            <w:shd w:val="clear" w:color="auto" w:fill="ACB9CA" w:themeFill="text2" w:themeFillTint="66"/>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p>
        </w:tc>
        <w:tc>
          <w:tcPr>
            <w:tcW w:w="1260" w:type="dxa"/>
            <w:shd w:val="clear" w:color="auto" w:fill="ACB9CA" w:themeFill="text2" w:themeFillTint="66"/>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p>
        </w:tc>
        <w:tc>
          <w:tcPr>
            <w:tcW w:w="1188" w:type="dxa"/>
            <w:shd w:val="clear" w:color="auto" w:fill="ACB9CA" w:themeFill="text2" w:themeFillTint="66"/>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p>
        </w:tc>
      </w:tr>
      <w:tr w:rsidR="00087A6C" w:rsidRPr="00022485" w:rsidTr="00087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087A6C" w:rsidRPr="00022485" w:rsidRDefault="00087A6C" w:rsidP="00087A6C">
            <w:pPr>
              <w:rPr>
                <w:b w:val="0"/>
                <w:sz w:val="18"/>
              </w:rPr>
            </w:pPr>
            <w:r w:rsidRPr="00022485">
              <w:rPr>
                <w:b w:val="0"/>
                <w:sz w:val="18"/>
              </w:rPr>
              <w:t>Million Lei</w:t>
            </w:r>
          </w:p>
        </w:tc>
        <w:tc>
          <w:tcPr>
            <w:tcW w:w="126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17,303</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19,133</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38,151</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46,815</w:t>
            </w:r>
          </w:p>
        </w:tc>
        <w:tc>
          <w:tcPr>
            <w:tcW w:w="126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48,955</w:t>
            </w:r>
          </w:p>
        </w:tc>
        <w:tc>
          <w:tcPr>
            <w:tcW w:w="1188"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50,664</w:t>
            </w:r>
          </w:p>
        </w:tc>
      </w:tr>
      <w:tr w:rsidR="00087A6C" w:rsidRPr="00022485" w:rsidTr="00087A6C">
        <w:tc>
          <w:tcPr>
            <w:cnfStyle w:val="001000000000" w:firstRow="0" w:lastRow="0" w:firstColumn="1" w:lastColumn="0" w:oddVBand="0" w:evenVBand="0" w:oddHBand="0" w:evenHBand="0" w:firstRowFirstColumn="0" w:firstRowLastColumn="0" w:lastRowFirstColumn="0" w:lastRowLastColumn="0"/>
            <w:tcW w:w="2628" w:type="dxa"/>
          </w:tcPr>
          <w:p w:rsidR="00087A6C" w:rsidRPr="00022485" w:rsidRDefault="00087A6C" w:rsidP="00087A6C">
            <w:pPr>
              <w:rPr>
                <w:b w:val="0"/>
                <w:sz w:val="18"/>
              </w:rPr>
            </w:pPr>
            <w:r w:rsidRPr="00022485">
              <w:rPr>
                <w:b w:val="0"/>
                <w:sz w:val="18"/>
              </w:rPr>
              <w:t>% of G.D.P.</w:t>
            </w:r>
          </w:p>
        </w:tc>
        <w:tc>
          <w:tcPr>
            <w:tcW w:w="126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2.27</w:t>
            </w:r>
          </w:p>
        </w:tc>
        <w:tc>
          <w:tcPr>
            <w:tcW w:w="108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2.27</w:t>
            </w:r>
          </w:p>
        </w:tc>
        <w:tc>
          <w:tcPr>
            <w:tcW w:w="108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4.06</w:t>
            </w:r>
          </w:p>
        </w:tc>
        <w:tc>
          <w:tcPr>
            <w:tcW w:w="108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4.79</w:t>
            </w:r>
          </w:p>
        </w:tc>
        <w:tc>
          <w:tcPr>
            <w:tcW w:w="126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4.65</w:t>
            </w:r>
          </w:p>
        </w:tc>
        <w:tc>
          <w:tcPr>
            <w:tcW w:w="1188"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4.50</w:t>
            </w:r>
          </w:p>
        </w:tc>
      </w:tr>
      <w:tr w:rsidR="00087A6C" w:rsidRPr="00022485" w:rsidTr="00087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087A6C" w:rsidRPr="00022485" w:rsidRDefault="00087A6C" w:rsidP="00087A6C">
            <w:pPr>
              <w:rPr>
                <w:sz w:val="18"/>
              </w:rPr>
            </w:pPr>
            <w:r w:rsidRPr="00022485">
              <w:rPr>
                <w:sz w:val="18"/>
              </w:rPr>
              <w:t>Goods and services</w:t>
            </w:r>
          </w:p>
        </w:tc>
        <w:tc>
          <w:tcPr>
            <w:tcW w:w="1260" w:type="dxa"/>
            <w:shd w:val="clear" w:color="auto" w:fill="ACB9CA" w:themeFill="text2" w:themeFillTint="66"/>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p>
        </w:tc>
        <w:tc>
          <w:tcPr>
            <w:tcW w:w="1260" w:type="dxa"/>
            <w:shd w:val="clear" w:color="auto" w:fill="ACB9CA" w:themeFill="text2" w:themeFillTint="66"/>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p>
        </w:tc>
        <w:tc>
          <w:tcPr>
            <w:tcW w:w="1188" w:type="dxa"/>
            <w:shd w:val="clear" w:color="auto" w:fill="ACB9CA" w:themeFill="text2" w:themeFillTint="66"/>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p>
        </w:tc>
      </w:tr>
      <w:tr w:rsidR="00087A6C" w:rsidRPr="00022485" w:rsidTr="00087A6C">
        <w:tc>
          <w:tcPr>
            <w:cnfStyle w:val="001000000000" w:firstRow="0" w:lastRow="0" w:firstColumn="1" w:lastColumn="0" w:oddVBand="0" w:evenVBand="0" w:oddHBand="0" w:evenHBand="0" w:firstRowFirstColumn="0" w:firstRowLastColumn="0" w:lastRowFirstColumn="0" w:lastRowLastColumn="0"/>
            <w:tcW w:w="2628" w:type="dxa"/>
          </w:tcPr>
          <w:p w:rsidR="00087A6C" w:rsidRPr="00022485" w:rsidRDefault="00087A6C" w:rsidP="00087A6C">
            <w:pPr>
              <w:rPr>
                <w:b w:val="0"/>
                <w:sz w:val="18"/>
              </w:rPr>
            </w:pPr>
            <w:r w:rsidRPr="00022485">
              <w:rPr>
                <w:b w:val="0"/>
                <w:sz w:val="18"/>
              </w:rPr>
              <w:t>Million Lei</w:t>
            </w:r>
          </w:p>
        </w:tc>
        <w:tc>
          <w:tcPr>
            <w:tcW w:w="126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4,299</w:t>
            </w:r>
          </w:p>
        </w:tc>
        <w:tc>
          <w:tcPr>
            <w:tcW w:w="108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4,488</w:t>
            </w:r>
          </w:p>
        </w:tc>
        <w:tc>
          <w:tcPr>
            <w:tcW w:w="108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4,942</w:t>
            </w:r>
          </w:p>
        </w:tc>
        <w:tc>
          <w:tcPr>
            <w:tcW w:w="108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6,984</w:t>
            </w:r>
          </w:p>
        </w:tc>
        <w:tc>
          <w:tcPr>
            <w:tcW w:w="126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6,830</w:t>
            </w:r>
          </w:p>
        </w:tc>
        <w:tc>
          <w:tcPr>
            <w:tcW w:w="1188"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6,749</w:t>
            </w:r>
          </w:p>
        </w:tc>
      </w:tr>
      <w:tr w:rsidR="00087A6C" w:rsidRPr="00022485" w:rsidTr="00087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087A6C" w:rsidRPr="00022485" w:rsidRDefault="00087A6C" w:rsidP="00087A6C">
            <w:pPr>
              <w:rPr>
                <w:b w:val="0"/>
                <w:sz w:val="18"/>
              </w:rPr>
            </w:pPr>
            <w:r w:rsidRPr="00022485">
              <w:rPr>
                <w:b w:val="0"/>
                <w:sz w:val="18"/>
              </w:rPr>
              <w:t>% of G.D.P.</w:t>
            </w:r>
          </w:p>
        </w:tc>
        <w:tc>
          <w:tcPr>
            <w:tcW w:w="126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0.56</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0.53</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0.53</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0.71</w:t>
            </w:r>
          </w:p>
        </w:tc>
        <w:tc>
          <w:tcPr>
            <w:tcW w:w="126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0.65</w:t>
            </w:r>
          </w:p>
        </w:tc>
        <w:tc>
          <w:tcPr>
            <w:tcW w:w="1188"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0.60</w:t>
            </w:r>
          </w:p>
        </w:tc>
      </w:tr>
      <w:tr w:rsidR="00087A6C" w:rsidRPr="00022485" w:rsidTr="00087A6C">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087A6C" w:rsidRPr="00022485" w:rsidRDefault="00087A6C" w:rsidP="00087A6C">
            <w:pPr>
              <w:rPr>
                <w:sz w:val="18"/>
              </w:rPr>
            </w:pPr>
            <w:r w:rsidRPr="00022485">
              <w:rPr>
                <w:sz w:val="18"/>
              </w:rPr>
              <w:t xml:space="preserve">Interests </w:t>
            </w:r>
          </w:p>
        </w:tc>
        <w:tc>
          <w:tcPr>
            <w:tcW w:w="1260" w:type="dxa"/>
            <w:shd w:val="clear" w:color="auto" w:fill="ACB9CA" w:themeFill="text2" w:themeFillTint="66"/>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p>
        </w:tc>
        <w:tc>
          <w:tcPr>
            <w:tcW w:w="1260" w:type="dxa"/>
            <w:shd w:val="clear" w:color="auto" w:fill="ACB9CA" w:themeFill="text2" w:themeFillTint="66"/>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p>
        </w:tc>
        <w:tc>
          <w:tcPr>
            <w:tcW w:w="1188" w:type="dxa"/>
            <w:shd w:val="clear" w:color="auto" w:fill="ACB9CA" w:themeFill="text2" w:themeFillTint="66"/>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p>
        </w:tc>
      </w:tr>
      <w:tr w:rsidR="00087A6C" w:rsidRPr="00022485" w:rsidTr="00087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087A6C" w:rsidRPr="00022485" w:rsidRDefault="00087A6C" w:rsidP="00087A6C">
            <w:pPr>
              <w:rPr>
                <w:b w:val="0"/>
                <w:sz w:val="18"/>
              </w:rPr>
            </w:pPr>
            <w:r w:rsidRPr="00022485">
              <w:rPr>
                <w:b w:val="0"/>
                <w:sz w:val="18"/>
              </w:rPr>
              <w:t>Million Lei</w:t>
            </w:r>
          </w:p>
        </w:tc>
        <w:tc>
          <w:tcPr>
            <w:tcW w:w="126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48</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44</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40</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37</w:t>
            </w:r>
          </w:p>
        </w:tc>
        <w:tc>
          <w:tcPr>
            <w:tcW w:w="126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47</w:t>
            </w:r>
          </w:p>
        </w:tc>
        <w:tc>
          <w:tcPr>
            <w:tcW w:w="1188"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47</w:t>
            </w:r>
          </w:p>
        </w:tc>
      </w:tr>
      <w:tr w:rsidR="00087A6C" w:rsidRPr="00022485" w:rsidTr="00087A6C">
        <w:tc>
          <w:tcPr>
            <w:cnfStyle w:val="001000000000" w:firstRow="0" w:lastRow="0" w:firstColumn="1" w:lastColumn="0" w:oddVBand="0" w:evenVBand="0" w:oddHBand="0" w:evenHBand="0" w:firstRowFirstColumn="0" w:firstRowLastColumn="0" w:lastRowFirstColumn="0" w:lastRowLastColumn="0"/>
            <w:tcW w:w="2628" w:type="dxa"/>
          </w:tcPr>
          <w:p w:rsidR="00087A6C" w:rsidRPr="00022485" w:rsidRDefault="00087A6C" w:rsidP="00087A6C">
            <w:pPr>
              <w:rPr>
                <w:b w:val="0"/>
                <w:sz w:val="18"/>
              </w:rPr>
            </w:pPr>
            <w:r w:rsidRPr="00022485">
              <w:rPr>
                <w:b w:val="0"/>
                <w:sz w:val="18"/>
              </w:rPr>
              <w:t>% of G.D.P.</w:t>
            </w:r>
          </w:p>
        </w:tc>
        <w:tc>
          <w:tcPr>
            <w:tcW w:w="126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0.01</w:t>
            </w:r>
          </w:p>
        </w:tc>
        <w:tc>
          <w:tcPr>
            <w:tcW w:w="108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0.01</w:t>
            </w:r>
          </w:p>
        </w:tc>
        <w:tc>
          <w:tcPr>
            <w:tcW w:w="108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0.00</w:t>
            </w:r>
          </w:p>
        </w:tc>
        <w:tc>
          <w:tcPr>
            <w:tcW w:w="108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0.00</w:t>
            </w:r>
          </w:p>
        </w:tc>
        <w:tc>
          <w:tcPr>
            <w:tcW w:w="126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0.00</w:t>
            </w:r>
          </w:p>
        </w:tc>
        <w:tc>
          <w:tcPr>
            <w:tcW w:w="1188"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0.00</w:t>
            </w:r>
          </w:p>
        </w:tc>
      </w:tr>
      <w:tr w:rsidR="00087A6C" w:rsidRPr="00022485" w:rsidTr="00087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087A6C" w:rsidRPr="00022485" w:rsidRDefault="00087A6C" w:rsidP="00087A6C">
            <w:pPr>
              <w:rPr>
                <w:sz w:val="18"/>
              </w:rPr>
            </w:pPr>
            <w:r w:rsidRPr="00022485">
              <w:rPr>
                <w:sz w:val="18"/>
              </w:rPr>
              <w:t>Subsidies</w:t>
            </w:r>
          </w:p>
        </w:tc>
        <w:tc>
          <w:tcPr>
            <w:tcW w:w="1260" w:type="dxa"/>
            <w:shd w:val="clear" w:color="auto" w:fill="ACB9CA" w:themeFill="text2" w:themeFillTint="66"/>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p>
        </w:tc>
        <w:tc>
          <w:tcPr>
            <w:tcW w:w="1260" w:type="dxa"/>
            <w:shd w:val="clear" w:color="auto" w:fill="ACB9CA" w:themeFill="text2" w:themeFillTint="66"/>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p>
        </w:tc>
        <w:tc>
          <w:tcPr>
            <w:tcW w:w="1188" w:type="dxa"/>
            <w:shd w:val="clear" w:color="auto" w:fill="ACB9CA" w:themeFill="text2" w:themeFillTint="66"/>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p>
        </w:tc>
      </w:tr>
      <w:tr w:rsidR="00087A6C" w:rsidRPr="00022485" w:rsidTr="00087A6C">
        <w:tc>
          <w:tcPr>
            <w:cnfStyle w:val="001000000000" w:firstRow="0" w:lastRow="0" w:firstColumn="1" w:lastColumn="0" w:oddVBand="0" w:evenVBand="0" w:oddHBand="0" w:evenHBand="0" w:firstRowFirstColumn="0" w:firstRowLastColumn="0" w:lastRowFirstColumn="0" w:lastRowLastColumn="0"/>
            <w:tcW w:w="2628" w:type="dxa"/>
          </w:tcPr>
          <w:p w:rsidR="00087A6C" w:rsidRPr="00022485" w:rsidRDefault="00087A6C" w:rsidP="00087A6C">
            <w:pPr>
              <w:rPr>
                <w:b w:val="0"/>
                <w:sz w:val="18"/>
              </w:rPr>
            </w:pPr>
            <w:r w:rsidRPr="00022485">
              <w:rPr>
                <w:b w:val="0"/>
                <w:sz w:val="18"/>
              </w:rPr>
              <w:t>Million Lei</w:t>
            </w:r>
          </w:p>
        </w:tc>
        <w:tc>
          <w:tcPr>
            <w:tcW w:w="126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3,835</w:t>
            </w:r>
          </w:p>
        </w:tc>
        <w:tc>
          <w:tcPr>
            <w:tcW w:w="108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3,613</w:t>
            </w:r>
          </w:p>
        </w:tc>
        <w:tc>
          <w:tcPr>
            <w:tcW w:w="108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3,690</w:t>
            </w:r>
          </w:p>
        </w:tc>
        <w:tc>
          <w:tcPr>
            <w:tcW w:w="108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3,882</w:t>
            </w:r>
          </w:p>
        </w:tc>
        <w:tc>
          <w:tcPr>
            <w:tcW w:w="126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4,340</w:t>
            </w:r>
          </w:p>
        </w:tc>
        <w:tc>
          <w:tcPr>
            <w:tcW w:w="1188"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4,340</w:t>
            </w:r>
          </w:p>
        </w:tc>
      </w:tr>
      <w:tr w:rsidR="00087A6C" w:rsidRPr="00022485" w:rsidTr="00087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087A6C" w:rsidRPr="00022485" w:rsidRDefault="00087A6C" w:rsidP="00087A6C">
            <w:pPr>
              <w:rPr>
                <w:b w:val="0"/>
                <w:sz w:val="18"/>
              </w:rPr>
            </w:pPr>
            <w:r w:rsidRPr="00022485">
              <w:rPr>
                <w:b w:val="0"/>
                <w:sz w:val="18"/>
              </w:rPr>
              <w:t>% of G.D.P.</w:t>
            </w:r>
          </w:p>
        </w:tc>
        <w:tc>
          <w:tcPr>
            <w:tcW w:w="126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0.50</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0.43</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0.39</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0.40</w:t>
            </w:r>
          </w:p>
        </w:tc>
        <w:tc>
          <w:tcPr>
            <w:tcW w:w="126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0.41</w:t>
            </w:r>
          </w:p>
        </w:tc>
        <w:tc>
          <w:tcPr>
            <w:tcW w:w="1188"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0.39</w:t>
            </w:r>
          </w:p>
        </w:tc>
      </w:tr>
      <w:tr w:rsidR="00087A6C" w:rsidRPr="00022485" w:rsidTr="00087A6C">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087A6C" w:rsidRPr="00022485" w:rsidRDefault="00087A6C" w:rsidP="00087A6C">
            <w:pPr>
              <w:rPr>
                <w:sz w:val="18"/>
              </w:rPr>
            </w:pPr>
            <w:r w:rsidRPr="00022485">
              <w:rPr>
                <w:sz w:val="18"/>
              </w:rPr>
              <w:t>Transfers between public administration units</w:t>
            </w:r>
          </w:p>
        </w:tc>
        <w:tc>
          <w:tcPr>
            <w:tcW w:w="1260" w:type="dxa"/>
            <w:shd w:val="clear" w:color="auto" w:fill="ACB9CA" w:themeFill="text2" w:themeFillTint="66"/>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p>
        </w:tc>
        <w:tc>
          <w:tcPr>
            <w:tcW w:w="1260" w:type="dxa"/>
            <w:shd w:val="clear" w:color="auto" w:fill="ACB9CA" w:themeFill="text2" w:themeFillTint="66"/>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p>
        </w:tc>
        <w:tc>
          <w:tcPr>
            <w:tcW w:w="1188" w:type="dxa"/>
            <w:shd w:val="clear" w:color="auto" w:fill="ACB9CA" w:themeFill="text2" w:themeFillTint="66"/>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p>
        </w:tc>
      </w:tr>
      <w:tr w:rsidR="00087A6C" w:rsidRPr="00022485" w:rsidTr="00087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087A6C" w:rsidRPr="00022485" w:rsidRDefault="00087A6C" w:rsidP="00087A6C">
            <w:pPr>
              <w:rPr>
                <w:b w:val="0"/>
                <w:sz w:val="18"/>
              </w:rPr>
            </w:pPr>
            <w:r w:rsidRPr="00022485">
              <w:rPr>
                <w:b w:val="0"/>
                <w:sz w:val="18"/>
              </w:rPr>
              <w:t>Million Lei</w:t>
            </w:r>
          </w:p>
        </w:tc>
        <w:tc>
          <w:tcPr>
            <w:tcW w:w="126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39,925</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29,938</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25,567</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20,254</w:t>
            </w:r>
          </w:p>
        </w:tc>
        <w:tc>
          <w:tcPr>
            <w:tcW w:w="126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21,347</w:t>
            </w:r>
          </w:p>
        </w:tc>
        <w:tc>
          <w:tcPr>
            <w:tcW w:w="1188"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21,894</w:t>
            </w:r>
          </w:p>
        </w:tc>
      </w:tr>
      <w:tr w:rsidR="00087A6C" w:rsidRPr="00022485" w:rsidTr="00087A6C">
        <w:tc>
          <w:tcPr>
            <w:cnfStyle w:val="001000000000" w:firstRow="0" w:lastRow="0" w:firstColumn="1" w:lastColumn="0" w:oddVBand="0" w:evenVBand="0" w:oddHBand="0" w:evenHBand="0" w:firstRowFirstColumn="0" w:firstRowLastColumn="0" w:lastRowFirstColumn="0" w:lastRowLastColumn="0"/>
            <w:tcW w:w="2628" w:type="dxa"/>
          </w:tcPr>
          <w:p w:rsidR="00087A6C" w:rsidRPr="00022485" w:rsidRDefault="00087A6C" w:rsidP="00087A6C">
            <w:pPr>
              <w:rPr>
                <w:b w:val="0"/>
                <w:sz w:val="18"/>
              </w:rPr>
            </w:pPr>
            <w:r w:rsidRPr="00022485">
              <w:rPr>
                <w:b w:val="0"/>
                <w:sz w:val="18"/>
              </w:rPr>
              <w:t>% of G.D.P.</w:t>
            </w:r>
          </w:p>
        </w:tc>
        <w:tc>
          <w:tcPr>
            <w:tcW w:w="126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4.32</w:t>
            </w:r>
          </w:p>
        </w:tc>
        <w:tc>
          <w:tcPr>
            <w:tcW w:w="108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3.55</w:t>
            </w:r>
          </w:p>
        </w:tc>
        <w:tc>
          <w:tcPr>
            <w:tcW w:w="108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2.72</w:t>
            </w:r>
          </w:p>
        </w:tc>
        <w:tc>
          <w:tcPr>
            <w:tcW w:w="108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2.07</w:t>
            </w:r>
          </w:p>
        </w:tc>
        <w:tc>
          <w:tcPr>
            <w:tcW w:w="126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2.03</w:t>
            </w:r>
          </w:p>
        </w:tc>
        <w:tc>
          <w:tcPr>
            <w:tcW w:w="1188"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1.94</w:t>
            </w:r>
          </w:p>
        </w:tc>
      </w:tr>
      <w:tr w:rsidR="00087A6C" w:rsidRPr="00022485" w:rsidTr="00087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087A6C" w:rsidRPr="00022485" w:rsidRDefault="00087A6C" w:rsidP="00087A6C">
            <w:pPr>
              <w:rPr>
                <w:sz w:val="18"/>
              </w:rPr>
            </w:pPr>
            <w:r w:rsidRPr="00022485">
              <w:rPr>
                <w:sz w:val="18"/>
              </w:rPr>
              <w:t>Other transfers</w:t>
            </w:r>
          </w:p>
        </w:tc>
        <w:tc>
          <w:tcPr>
            <w:tcW w:w="1260" w:type="dxa"/>
            <w:shd w:val="clear" w:color="auto" w:fill="ACB9CA" w:themeFill="text2" w:themeFillTint="66"/>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p>
        </w:tc>
        <w:tc>
          <w:tcPr>
            <w:tcW w:w="1260" w:type="dxa"/>
            <w:shd w:val="clear" w:color="auto" w:fill="ACB9CA" w:themeFill="text2" w:themeFillTint="66"/>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p>
        </w:tc>
        <w:tc>
          <w:tcPr>
            <w:tcW w:w="1188" w:type="dxa"/>
            <w:shd w:val="clear" w:color="auto" w:fill="ACB9CA" w:themeFill="text2" w:themeFillTint="66"/>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p>
        </w:tc>
      </w:tr>
      <w:tr w:rsidR="00087A6C" w:rsidRPr="00022485" w:rsidTr="00087A6C">
        <w:tc>
          <w:tcPr>
            <w:cnfStyle w:val="001000000000" w:firstRow="0" w:lastRow="0" w:firstColumn="1" w:lastColumn="0" w:oddVBand="0" w:evenVBand="0" w:oddHBand="0" w:evenHBand="0" w:firstRowFirstColumn="0" w:firstRowLastColumn="0" w:lastRowFirstColumn="0" w:lastRowLastColumn="0"/>
            <w:tcW w:w="2628" w:type="dxa"/>
          </w:tcPr>
          <w:p w:rsidR="00087A6C" w:rsidRPr="00022485" w:rsidRDefault="00087A6C" w:rsidP="00087A6C">
            <w:pPr>
              <w:rPr>
                <w:b w:val="0"/>
                <w:sz w:val="18"/>
              </w:rPr>
            </w:pPr>
            <w:r w:rsidRPr="00022485">
              <w:rPr>
                <w:b w:val="0"/>
                <w:sz w:val="18"/>
              </w:rPr>
              <w:t>Million Lei</w:t>
            </w:r>
          </w:p>
        </w:tc>
        <w:tc>
          <w:tcPr>
            <w:tcW w:w="126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2,840</w:t>
            </w:r>
          </w:p>
        </w:tc>
        <w:tc>
          <w:tcPr>
            <w:tcW w:w="108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1,059</w:t>
            </w:r>
          </w:p>
        </w:tc>
        <w:tc>
          <w:tcPr>
            <w:tcW w:w="108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1,269</w:t>
            </w:r>
          </w:p>
        </w:tc>
        <w:tc>
          <w:tcPr>
            <w:tcW w:w="108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2,920</w:t>
            </w:r>
          </w:p>
        </w:tc>
        <w:tc>
          <w:tcPr>
            <w:tcW w:w="126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1,638</w:t>
            </w:r>
          </w:p>
        </w:tc>
        <w:tc>
          <w:tcPr>
            <w:tcW w:w="1188"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1,642</w:t>
            </w:r>
          </w:p>
        </w:tc>
      </w:tr>
      <w:tr w:rsidR="00087A6C" w:rsidRPr="00022485" w:rsidTr="00087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087A6C" w:rsidRPr="00022485" w:rsidRDefault="00087A6C" w:rsidP="00087A6C">
            <w:pPr>
              <w:rPr>
                <w:b w:val="0"/>
                <w:sz w:val="18"/>
              </w:rPr>
            </w:pPr>
            <w:r w:rsidRPr="00022485">
              <w:rPr>
                <w:b w:val="0"/>
                <w:sz w:val="18"/>
              </w:rPr>
              <w:t>% of G.D.P.</w:t>
            </w:r>
          </w:p>
        </w:tc>
        <w:tc>
          <w:tcPr>
            <w:tcW w:w="126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0.37</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0.13</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0.13</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0.30</w:t>
            </w:r>
          </w:p>
        </w:tc>
        <w:tc>
          <w:tcPr>
            <w:tcW w:w="126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0.16</w:t>
            </w:r>
          </w:p>
        </w:tc>
        <w:tc>
          <w:tcPr>
            <w:tcW w:w="1188"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0.15</w:t>
            </w:r>
          </w:p>
        </w:tc>
      </w:tr>
      <w:tr w:rsidR="00087A6C" w:rsidRPr="00022485" w:rsidTr="00087A6C">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087A6C" w:rsidRPr="00022485" w:rsidRDefault="00087A6C" w:rsidP="00087A6C">
            <w:pPr>
              <w:rPr>
                <w:sz w:val="18"/>
              </w:rPr>
            </w:pPr>
            <w:r w:rsidRPr="00022485">
              <w:rPr>
                <w:sz w:val="18"/>
              </w:rPr>
              <w:t>Projects with financing from external non-reimbursable funds (ENF)</w:t>
            </w:r>
          </w:p>
        </w:tc>
        <w:tc>
          <w:tcPr>
            <w:tcW w:w="1260" w:type="dxa"/>
            <w:shd w:val="clear" w:color="auto" w:fill="ACB9CA" w:themeFill="text2" w:themeFillTint="66"/>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b/>
                <w:sz w:val="18"/>
              </w:rPr>
            </w:pPr>
          </w:p>
        </w:tc>
        <w:tc>
          <w:tcPr>
            <w:tcW w:w="1080" w:type="dxa"/>
            <w:shd w:val="clear" w:color="auto" w:fill="ACB9CA" w:themeFill="text2" w:themeFillTint="66"/>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b/>
                <w:sz w:val="18"/>
              </w:rPr>
            </w:pPr>
          </w:p>
        </w:tc>
        <w:tc>
          <w:tcPr>
            <w:tcW w:w="1080" w:type="dxa"/>
            <w:shd w:val="clear" w:color="auto" w:fill="ACB9CA" w:themeFill="text2" w:themeFillTint="66"/>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b/>
                <w:sz w:val="18"/>
              </w:rPr>
            </w:pPr>
          </w:p>
        </w:tc>
        <w:tc>
          <w:tcPr>
            <w:tcW w:w="1080" w:type="dxa"/>
            <w:shd w:val="clear" w:color="auto" w:fill="ACB9CA" w:themeFill="text2" w:themeFillTint="66"/>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b/>
                <w:sz w:val="18"/>
              </w:rPr>
            </w:pPr>
          </w:p>
        </w:tc>
        <w:tc>
          <w:tcPr>
            <w:tcW w:w="1260" w:type="dxa"/>
            <w:shd w:val="clear" w:color="auto" w:fill="ACB9CA" w:themeFill="text2" w:themeFillTint="66"/>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b/>
                <w:sz w:val="18"/>
              </w:rPr>
            </w:pPr>
          </w:p>
        </w:tc>
        <w:tc>
          <w:tcPr>
            <w:tcW w:w="1188" w:type="dxa"/>
            <w:shd w:val="clear" w:color="auto" w:fill="ACB9CA" w:themeFill="text2" w:themeFillTint="66"/>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b/>
                <w:sz w:val="18"/>
              </w:rPr>
            </w:pPr>
          </w:p>
        </w:tc>
      </w:tr>
      <w:tr w:rsidR="00087A6C" w:rsidRPr="00022485" w:rsidTr="00087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087A6C" w:rsidRPr="00022485" w:rsidRDefault="00087A6C" w:rsidP="00087A6C">
            <w:pPr>
              <w:rPr>
                <w:b w:val="0"/>
                <w:sz w:val="18"/>
              </w:rPr>
            </w:pPr>
            <w:r w:rsidRPr="00022485">
              <w:rPr>
                <w:b w:val="0"/>
                <w:sz w:val="18"/>
              </w:rPr>
              <w:t>Million Lei</w:t>
            </w:r>
          </w:p>
        </w:tc>
        <w:tc>
          <w:tcPr>
            <w:tcW w:w="126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1,050</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203</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118</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115</w:t>
            </w:r>
          </w:p>
        </w:tc>
        <w:tc>
          <w:tcPr>
            <w:tcW w:w="126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43</w:t>
            </w:r>
          </w:p>
        </w:tc>
        <w:tc>
          <w:tcPr>
            <w:tcW w:w="1188"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14</w:t>
            </w:r>
          </w:p>
        </w:tc>
      </w:tr>
      <w:tr w:rsidR="00087A6C" w:rsidRPr="00022485" w:rsidTr="00087A6C">
        <w:tc>
          <w:tcPr>
            <w:cnfStyle w:val="001000000000" w:firstRow="0" w:lastRow="0" w:firstColumn="1" w:lastColumn="0" w:oddVBand="0" w:evenVBand="0" w:oddHBand="0" w:evenHBand="0" w:firstRowFirstColumn="0" w:firstRowLastColumn="0" w:lastRowFirstColumn="0" w:lastRowLastColumn="0"/>
            <w:tcW w:w="2628" w:type="dxa"/>
          </w:tcPr>
          <w:p w:rsidR="00087A6C" w:rsidRPr="00022485" w:rsidRDefault="00087A6C" w:rsidP="00087A6C">
            <w:pPr>
              <w:rPr>
                <w:b w:val="0"/>
                <w:sz w:val="18"/>
              </w:rPr>
            </w:pPr>
            <w:r w:rsidRPr="00022485">
              <w:rPr>
                <w:b w:val="0"/>
                <w:sz w:val="18"/>
              </w:rPr>
              <w:t>% of G.D.P.</w:t>
            </w:r>
          </w:p>
        </w:tc>
        <w:tc>
          <w:tcPr>
            <w:tcW w:w="126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0.14</w:t>
            </w:r>
          </w:p>
        </w:tc>
        <w:tc>
          <w:tcPr>
            <w:tcW w:w="108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0.02</w:t>
            </w:r>
          </w:p>
        </w:tc>
        <w:tc>
          <w:tcPr>
            <w:tcW w:w="108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0.01</w:t>
            </w:r>
          </w:p>
        </w:tc>
        <w:tc>
          <w:tcPr>
            <w:tcW w:w="108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0.01</w:t>
            </w:r>
          </w:p>
        </w:tc>
        <w:tc>
          <w:tcPr>
            <w:tcW w:w="126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0.00</w:t>
            </w:r>
          </w:p>
        </w:tc>
        <w:tc>
          <w:tcPr>
            <w:tcW w:w="1188"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0.00</w:t>
            </w:r>
          </w:p>
        </w:tc>
      </w:tr>
      <w:tr w:rsidR="00087A6C" w:rsidRPr="00022485" w:rsidTr="00087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087A6C" w:rsidRPr="00022485" w:rsidRDefault="00087A6C" w:rsidP="00087A6C">
            <w:pPr>
              <w:rPr>
                <w:sz w:val="18"/>
              </w:rPr>
            </w:pPr>
            <w:r w:rsidRPr="00022485">
              <w:rPr>
                <w:sz w:val="18"/>
              </w:rPr>
              <w:t>Social assistance</w:t>
            </w:r>
          </w:p>
        </w:tc>
        <w:tc>
          <w:tcPr>
            <w:tcW w:w="1260" w:type="dxa"/>
            <w:shd w:val="clear" w:color="auto" w:fill="ACB9CA" w:themeFill="text2" w:themeFillTint="66"/>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p>
        </w:tc>
        <w:tc>
          <w:tcPr>
            <w:tcW w:w="1260" w:type="dxa"/>
            <w:shd w:val="clear" w:color="auto" w:fill="ACB9CA" w:themeFill="text2" w:themeFillTint="66"/>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p>
        </w:tc>
        <w:tc>
          <w:tcPr>
            <w:tcW w:w="1188" w:type="dxa"/>
            <w:shd w:val="clear" w:color="auto" w:fill="ACB9CA" w:themeFill="text2" w:themeFillTint="66"/>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p>
        </w:tc>
      </w:tr>
      <w:tr w:rsidR="00087A6C" w:rsidRPr="00022485" w:rsidTr="00087A6C">
        <w:tc>
          <w:tcPr>
            <w:cnfStyle w:val="001000000000" w:firstRow="0" w:lastRow="0" w:firstColumn="1" w:lastColumn="0" w:oddVBand="0" w:evenVBand="0" w:oddHBand="0" w:evenHBand="0" w:firstRowFirstColumn="0" w:firstRowLastColumn="0" w:lastRowFirstColumn="0" w:lastRowLastColumn="0"/>
            <w:tcW w:w="2628" w:type="dxa"/>
          </w:tcPr>
          <w:p w:rsidR="00087A6C" w:rsidRPr="00022485" w:rsidRDefault="00087A6C" w:rsidP="00087A6C">
            <w:pPr>
              <w:rPr>
                <w:b w:val="0"/>
                <w:sz w:val="18"/>
              </w:rPr>
            </w:pPr>
            <w:r w:rsidRPr="00022485">
              <w:rPr>
                <w:b w:val="0"/>
                <w:sz w:val="18"/>
              </w:rPr>
              <w:t>Million Lei</w:t>
            </w:r>
          </w:p>
        </w:tc>
        <w:tc>
          <w:tcPr>
            <w:tcW w:w="126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22,691</w:t>
            </w:r>
          </w:p>
        </w:tc>
        <w:tc>
          <w:tcPr>
            <w:tcW w:w="108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27,045</w:t>
            </w:r>
          </w:p>
        </w:tc>
        <w:tc>
          <w:tcPr>
            <w:tcW w:w="108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29,121</w:t>
            </w:r>
          </w:p>
        </w:tc>
        <w:tc>
          <w:tcPr>
            <w:tcW w:w="108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35,167</w:t>
            </w:r>
          </w:p>
        </w:tc>
        <w:tc>
          <w:tcPr>
            <w:tcW w:w="126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36,751</w:t>
            </w:r>
          </w:p>
        </w:tc>
        <w:tc>
          <w:tcPr>
            <w:tcW w:w="1188"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37,666</w:t>
            </w:r>
          </w:p>
        </w:tc>
      </w:tr>
      <w:tr w:rsidR="00087A6C" w:rsidRPr="00022485" w:rsidTr="00087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087A6C" w:rsidRPr="00022485" w:rsidRDefault="00087A6C" w:rsidP="00087A6C">
            <w:pPr>
              <w:rPr>
                <w:b w:val="0"/>
                <w:sz w:val="18"/>
              </w:rPr>
            </w:pPr>
            <w:r w:rsidRPr="00022485">
              <w:rPr>
                <w:b w:val="0"/>
                <w:sz w:val="18"/>
              </w:rPr>
              <w:t>% of G.D.P.</w:t>
            </w:r>
          </w:p>
        </w:tc>
        <w:tc>
          <w:tcPr>
            <w:tcW w:w="126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2.98</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3.21</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3.10</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3.60</w:t>
            </w:r>
          </w:p>
        </w:tc>
        <w:tc>
          <w:tcPr>
            <w:tcW w:w="126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3.49</w:t>
            </w:r>
          </w:p>
        </w:tc>
        <w:tc>
          <w:tcPr>
            <w:tcW w:w="1188"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3.34</w:t>
            </w:r>
          </w:p>
        </w:tc>
      </w:tr>
      <w:tr w:rsidR="00087A6C" w:rsidRPr="00022485" w:rsidTr="00087A6C">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087A6C" w:rsidRPr="00022485" w:rsidRDefault="00087A6C" w:rsidP="00087A6C">
            <w:pPr>
              <w:rPr>
                <w:sz w:val="18"/>
              </w:rPr>
            </w:pPr>
            <w:r w:rsidRPr="00022485">
              <w:rPr>
                <w:sz w:val="18"/>
              </w:rPr>
              <w:t>Projects with financing from external non-reimbursable funds corresponding to the financial framework 2014-2020</w:t>
            </w:r>
          </w:p>
        </w:tc>
        <w:tc>
          <w:tcPr>
            <w:tcW w:w="1260" w:type="dxa"/>
            <w:shd w:val="clear" w:color="auto" w:fill="ACB9CA" w:themeFill="text2" w:themeFillTint="66"/>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p>
        </w:tc>
        <w:tc>
          <w:tcPr>
            <w:tcW w:w="1260" w:type="dxa"/>
            <w:shd w:val="clear" w:color="auto" w:fill="ACB9CA" w:themeFill="text2" w:themeFillTint="66"/>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p>
        </w:tc>
        <w:tc>
          <w:tcPr>
            <w:tcW w:w="1188" w:type="dxa"/>
            <w:shd w:val="clear" w:color="auto" w:fill="ACB9CA" w:themeFill="text2" w:themeFillTint="66"/>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p>
        </w:tc>
      </w:tr>
      <w:tr w:rsidR="00087A6C" w:rsidRPr="00022485" w:rsidTr="00087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087A6C" w:rsidRPr="00022485" w:rsidRDefault="00087A6C" w:rsidP="00087A6C">
            <w:pPr>
              <w:rPr>
                <w:b w:val="0"/>
                <w:sz w:val="18"/>
              </w:rPr>
            </w:pPr>
            <w:r w:rsidRPr="00022485">
              <w:rPr>
                <w:b w:val="0"/>
                <w:sz w:val="18"/>
              </w:rPr>
              <w:t>Million Lei</w:t>
            </w:r>
          </w:p>
        </w:tc>
        <w:tc>
          <w:tcPr>
            <w:tcW w:w="126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7,054</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18,226</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19,879</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29,176</w:t>
            </w:r>
          </w:p>
        </w:tc>
        <w:tc>
          <w:tcPr>
            <w:tcW w:w="126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21,996</w:t>
            </w:r>
          </w:p>
        </w:tc>
        <w:tc>
          <w:tcPr>
            <w:tcW w:w="1188"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19,877</w:t>
            </w:r>
          </w:p>
        </w:tc>
      </w:tr>
      <w:tr w:rsidR="00087A6C" w:rsidRPr="00022485" w:rsidTr="00087A6C">
        <w:tc>
          <w:tcPr>
            <w:cnfStyle w:val="001000000000" w:firstRow="0" w:lastRow="0" w:firstColumn="1" w:lastColumn="0" w:oddVBand="0" w:evenVBand="0" w:oddHBand="0" w:evenHBand="0" w:firstRowFirstColumn="0" w:firstRowLastColumn="0" w:lastRowFirstColumn="0" w:lastRowLastColumn="0"/>
            <w:tcW w:w="2628" w:type="dxa"/>
          </w:tcPr>
          <w:p w:rsidR="00087A6C" w:rsidRPr="00022485" w:rsidRDefault="00087A6C" w:rsidP="00087A6C">
            <w:pPr>
              <w:rPr>
                <w:b w:val="0"/>
                <w:sz w:val="18"/>
              </w:rPr>
            </w:pPr>
            <w:r w:rsidRPr="00022485">
              <w:rPr>
                <w:b w:val="0"/>
                <w:sz w:val="18"/>
              </w:rPr>
              <w:t>% of G.D.P.</w:t>
            </w:r>
          </w:p>
        </w:tc>
        <w:tc>
          <w:tcPr>
            <w:tcW w:w="126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0.93</w:t>
            </w:r>
          </w:p>
        </w:tc>
        <w:tc>
          <w:tcPr>
            <w:tcW w:w="108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2.16</w:t>
            </w:r>
          </w:p>
        </w:tc>
        <w:tc>
          <w:tcPr>
            <w:tcW w:w="108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2.11</w:t>
            </w:r>
          </w:p>
        </w:tc>
        <w:tc>
          <w:tcPr>
            <w:tcW w:w="108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2.99</w:t>
            </w:r>
          </w:p>
        </w:tc>
        <w:tc>
          <w:tcPr>
            <w:tcW w:w="126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2.09</w:t>
            </w:r>
          </w:p>
        </w:tc>
        <w:tc>
          <w:tcPr>
            <w:tcW w:w="1188"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1.76</w:t>
            </w:r>
          </w:p>
        </w:tc>
      </w:tr>
      <w:tr w:rsidR="00087A6C" w:rsidRPr="00022485" w:rsidTr="00087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087A6C" w:rsidRPr="00022485" w:rsidRDefault="00087A6C" w:rsidP="00087A6C">
            <w:pPr>
              <w:rPr>
                <w:sz w:val="18"/>
              </w:rPr>
            </w:pPr>
            <w:r w:rsidRPr="00022485">
              <w:rPr>
                <w:sz w:val="18"/>
              </w:rPr>
              <w:t>Other expenditures</w:t>
            </w:r>
          </w:p>
        </w:tc>
        <w:tc>
          <w:tcPr>
            <w:tcW w:w="1260" w:type="dxa"/>
            <w:shd w:val="clear" w:color="auto" w:fill="ACB9CA" w:themeFill="text2" w:themeFillTint="66"/>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p>
        </w:tc>
        <w:tc>
          <w:tcPr>
            <w:tcW w:w="1260" w:type="dxa"/>
            <w:shd w:val="clear" w:color="auto" w:fill="ACB9CA" w:themeFill="text2" w:themeFillTint="66"/>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p>
        </w:tc>
        <w:tc>
          <w:tcPr>
            <w:tcW w:w="1188" w:type="dxa"/>
            <w:shd w:val="clear" w:color="auto" w:fill="ACB9CA" w:themeFill="text2" w:themeFillTint="66"/>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p>
        </w:tc>
      </w:tr>
      <w:tr w:rsidR="00087A6C" w:rsidRPr="00022485" w:rsidTr="00087A6C">
        <w:tc>
          <w:tcPr>
            <w:cnfStyle w:val="001000000000" w:firstRow="0" w:lastRow="0" w:firstColumn="1" w:lastColumn="0" w:oddVBand="0" w:evenVBand="0" w:oddHBand="0" w:evenHBand="0" w:firstRowFirstColumn="0" w:firstRowLastColumn="0" w:lastRowFirstColumn="0" w:lastRowLastColumn="0"/>
            <w:tcW w:w="2628" w:type="dxa"/>
          </w:tcPr>
          <w:p w:rsidR="00087A6C" w:rsidRPr="00022485" w:rsidRDefault="00087A6C" w:rsidP="00087A6C">
            <w:pPr>
              <w:rPr>
                <w:b w:val="0"/>
                <w:sz w:val="18"/>
              </w:rPr>
            </w:pPr>
            <w:r w:rsidRPr="00022485">
              <w:rPr>
                <w:b w:val="0"/>
                <w:sz w:val="18"/>
              </w:rPr>
              <w:t>Million Lei</w:t>
            </w:r>
          </w:p>
        </w:tc>
        <w:tc>
          <w:tcPr>
            <w:tcW w:w="126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1,523</w:t>
            </w:r>
          </w:p>
        </w:tc>
        <w:tc>
          <w:tcPr>
            <w:tcW w:w="108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2,049</w:t>
            </w:r>
          </w:p>
        </w:tc>
        <w:tc>
          <w:tcPr>
            <w:tcW w:w="108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3,183</w:t>
            </w:r>
          </w:p>
        </w:tc>
        <w:tc>
          <w:tcPr>
            <w:tcW w:w="108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2,839</w:t>
            </w:r>
          </w:p>
        </w:tc>
        <w:tc>
          <w:tcPr>
            <w:tcW w:w="126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2,790</w:t>
            </w:r>
          </w:p>
        </w:tc>
        <w:tc>
          <w:tcPr>
            <w:tcW w:w="1188"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2,747</w:t>
            </w:r>
          </w:p>
        </w:tc>
      </w:tr>
      <w:tr w:rsidR="00087A6C" w:rsidRPr="00022485" w:rsidTr="00087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087A6C" w:rsidRPr="00022485" w:rsidRDefault="00087A6C" w:rsidP="00087A6C">
            <w:pPr>
              <w:rPr>
                <w:b w:val="0"/>
                <w:sz w:val="18"/>
              </w:rPr>
            </w:pPr>
            <w:r w:rsidRPr="00022485">
              <w:rPr>
                <w:b w:val="0"/>
                <w:sz w:val="18"/>
              </w:rPr>
              <w:t>% of G.D.P.</w:t>
            </w:r>
          </w:p>
        </w:tc>
        <w:tc>
          <w:tcPr>
            <w:tcW w:w="126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0.20</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0.24</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0.34</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0.29</w:t>
            </w:r>
          </w:p>
        </w:tc>
        <w:tc>
          <w:tcPr>
            <w:tcW w:w="126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0.27</w:t>
            </w:r>
          </w:p>
        </w:tc>
        <w:tc>
          <w:tcPr>
            <w:tcW w:w="1188"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0.24</w:t>
            </w:r>
          </w:p>
        </w:tc>
      </w:tr>
      <w:tr w:rsidR="00087A6C" w:rsidRPr="00022485" w:rsidTr="00087A6C">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087A6C" w:rsidRPr="00022485" w:rsidRDefault="00087A6C" w:rsidP="00087A6C">
            <w:pPr>
              <w:rPr>
                <w:sz w:val="18"/>
              </w:rPr>
            </w:pPr>
            <w:r w:rsidRPr="00022485">
              <w:rPr>
                <w:sz w:val="18"/>
              </w:rPr>
              <w:t>Expenditures corresponding to programs with reimbursable financing</w:t>
            </w:r>
          </w:p>
        </w:tc>
        <w:tc>
          <w:tcPr>
            <w:tcW w:w="1260" w:type="dxa"/>
            <w:shd w:val="clear" w:color="auto" w:fill="ACB9CA" w:themeFill="text2" w:themeFillTint="66"/>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p>
        </w:tc>
        <w:tc>
          <w:tcPr>
            <w:tcW w:w="1260" w:type="dxa"/>
            <w:shd w:val="clear" w:color="auto" w:fill="ACB9CA" w:themeFill="text2" w:themeFillTint="66"/>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p>
        </w:tc>
        <w:tc>
          <w:tcPr>
            <w:tcW w:w="1188" w:type="dxa"/>
            <w:shd w:val="clear" w:color="auto" w:fill="ACB9CA" w:themeFill="text2" w:themeFillTint="66"/>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p>
        </w:tc>
      </w:tr>
      <w:tr w:rsidR="00087A6C" w:rsidRPr="00022485" w:rsidTr="00087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087A6C" w:rsidRPr="00022485" w:rsidRDefault="00087A6C" w:rsidP="00087A6C">
            <w:pPr>
              <w:rPr>
                <w:b w:val="0"/>
                <w:sz w:val="18"/>
              </w:rPr>
            </w:pPr>
            <w:r w:rsidRPr="00022485">
              <w:rPr>
                <w:b w:val="0"/>
                <w:sz w:val="18"/>
              </w:rPr>
              <w:t>Million Lei</w:t>
            </w:r>
          </w:p>
        </w:tc>
        <w:tc>
          <w:tcPr>
            <w:tcW w:w="126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463</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399</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536</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766</w:t>
            </w:r>
          </w:p>
        </w:tc>
        <w:tc>
          <w:tcPr>
            <w:tcW w:w="126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633</w:t>
            </w:r>
          </w:p>
        </w:tc>
        <w:tc>
          <w:tcPr>
            <w:tcW w:w="1188"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892</w:t>
            </w:r>
          </w:p>
        </w:tc>
      </w:tr>
      <w:tr w:rsidR="00087A6C" w:rsidRPr="00022485" w:rsidTr="00087A6C">
        <w:tc>
          <w:tcPr>
            <w:cnfStyle w:val="001000000000" w:firstRow="0" w:lastRow="0" w:firstColumn="1" w:lastColumn="0" w:oddVBand="0" w:evenVBand="0" w:oddHBand="0" w:evenHBand="0" w:firstRowFirstColumn="0" w:firstRowLastColumn="0" w:lastRowFirstColumn="0" w:lastRowLastColumn="0"/>
            <w:tcW w:w="2628" w:type="dxa"/>
          </w:tcPr>
          <w:p w:rsidR="00087A6C" w:rsidRPr="00022485" w:rsidRDefault="00087A6C" w:rsidP="00087A6C">
            <w:pPr>
              <w:rPr>
                <w:b w:val="0"/>
                <w:sz w:val="18"/>
              </w:rPr>
            </w:pPr>
            <w:r w:rsidRPr="00022485">
              <w:rPr>
                <w:b w:val="0"/>
                <w:sz w:val="18"/>
              </w:rPr>
              <w:t>% of G.D.P.</w:t>
            </w:r>
          </w:p>
        </w:tc>
        <w:tc>
          <w:tcPr>
            <w:tcW w:w="126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0.06</w:t>
            </w:r>
          </w:p>
        </w:tc>
        <w:tc>
          <w:tcPr>
            <w:tcW w:w="108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0.05</w:t>
            </w:r>
          </w:p>
        </w:tc>
        <w:tc>
          <w:tcPr>
            <w:tcW w:w="108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0.06</w:t>
            </w:r>
          </w:p>
        </w:tc>
        <w:tc>
          <w:tcPr>
            <w:tcW w:w="108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0.08</w:t>
            </w:r>
          </w:p>
        </w:tc>
        <w:tc>
          <w:tcPr>
            <w:tcW w:w="126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0.06</w:t>
            </w:r>
          </w:p>
        </w:tc>
        <w:tc>
          <w:tcPr>
            <w:tcW w:w="1188"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0.08</w:t>
            </w:r>
          </w:p>
        </w:tc>
      </w:tr>
      <w:tr w:rsidR="00087A6C" w:rsidRPr="00022485" w:rsidTr="00087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087A6C" w:rsidRPr="00022485" w:rsidRDefault="00087A6C" w:rsidP="00087A6C">
            <w:pPr>
              <w:rPr>
                <w:sz w:val="18"/>
              </w:rPr>
            </w:pPr>
            <w:r w:rsidRPr="00022485">
              <w:rPr>
                <w:sz w:val="18"/>
              </w:rPr>
              <w:t>Non-financial assets</w:t>
            </w:r>
          </w:p>
        </w:tc>
        <w:tc>
          <w:tcPr>
            <w:tcW w:w="1260" w:type="dxa"/>
            <w:shd w:val="clear" w:color="auto" w:fill="ACB9CA" w:themeFill="text2" w:themeFillTint="66"/>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p>
        </w:tc>
        <w:tc>
          <w:tcPr>
            <w:tcW w:w="1260" w:type="dxa"/>
            <w:shd w:val="clear" w:color="auto" w:fill="ACB9CA" w:themeFill="text2" w:themeFillTint="66"/>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p>
        </w:tc>
        <w:tc>
          <w:tcPr>
            <w:tcW w:w="1188" w:type="dxa"/>
            <w:shd w:val="clear" w:color="auto" w:fill="ACB9CA" w:themeFill="text2" w:themeFillTint="66"/>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p>
        </w:tc>
      </w:tr>
      <w:tr w:rsidR="00087A6C" w:rsidRPr="00022485" w:rsidTr="00087A6C">
        <w:tc>
          <w:tcPr>
            <w:cnfStyle w:val="001000000000" w:firstRow="0" w:lastRow="0" w:firstColumn="1" w:lastColumn="0" w:oddVBand="0" w:evenVBand="0" w:oddHBand="0" w:evenHBand="0" w:firstRowFirstColumn="0" w:firstRowLastColumn="0" w:lastRowFirstColumn="0" w:lastRowLastColumn="0"/>
            <w:tcW w:w="2628" w:type="dxa"/>
          </w:tcPr>
          <w:p w:rsidR="00087A6C" w:rsidRPr="00022485" w:rsidRDefault="00087A6C" w:rsidP="00087A6C">
            <w:pPr>
              <w:rPr>
                <w:b w:val="0"/>
                <w:sz w:val="18"/>
              </w:rPr>
            </w:pPr>
            <w:r w:rsidRPr="00022485">
              <w:rPr>
                <w:b w:val="0"/>
                <w:sz w:val="18"/>
              </w:rPr>
              <w:t>Million Lei</w:t>
            </w:r>
          </w:p>
        </w:tc>
        <w:tc>
          <w:tcPr>
            <w:tcW w:w="126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2,981</w:t>
            </w:r>
          </w:p>
        </w:tc>
        <w:tc>
          <w:tcPr>
            <w:tcW w:w="108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5,498</w:t>
            </w:r>
          </w:p>
        </w:tc>
        <w:tc>
          <w:tcPr>
            <w:tcW w:w="108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6,384</w:t>
            </w:r>
          </w:p>
        </w:tc>
        <w:tc>
          <w:tcPr>
            <w:tcW w:w="108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6,184</w:t>
            </w:r>
          </w:p>
        </w:tc>
        <w:tc>
          <w:tcPr>
            <w:tcW w:w="126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5,592</w:t>
            </w:r>
          </w:p>
        </w:tc>
        <w:tc>
          <w:tcPr>
            <w:tcW w:w="1188"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6,588</w:t>
            </w:r>
          </w:p>
        </w:tc>
      </w:tr>
      <w:tr w:rsidR="00087A6C" w:rsidRPr="00022485" w:rsidTr="00087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087A6C" w:rsidRPr="00022485" w:rsidRDefault="00087A6C" w:rsidP="00087A6C">
            <w:pPr>
              <w:rPr>
                <w:b w:val="0"/>
                <w:sz w:val="18"/>
              </w:rPr>
            </w:pPr>
            <w:r w:rsidRPr="00022485">
              <w:rPr>
                <w:b w:val="0"/>
                <w:sz w:val="18"/>
              </w:rPr>
              <w:t>% of G.D.P.</w:t>
            </w:r>
          </w:p>
        </w:tc>
        <w:tc>
          <w:tcPr>
            <w:tcW w:w="126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0.39</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0.65</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0.68</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0.63</w:t>
            </w:r>
          </w:p>
        </w:tc>
        <w:tc>
          <w:tcPr>
            <w:tcW w:w="126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0.53</w:t>
            </w:r>
          </w:p>
        </w:tc>
        <w:tc>
          <w:tcPr>
            <w:tcW w:w="1188"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0.58</w:t>
            </w:r>
          </w:p>
        </w:tc>
      </w:tr>
      <w:tr w:rsidR="00087A6C" w:rsidRPr="00022485" w:rsidTr="00087A6C">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087A6C" w:rsidRPr="00022485" w:rsidRDefault="00087A6C" w:rsidP="00087A6C">
            <w:pPr>
              <w:rPr>
                <w:sz w:val="18"/>
              </w:rPr>
            </w:pPr>
            <w:r w:rsidRPr="00022485">
              <w:rPr>
                <w:sz w:val="18"/>
              </w:rPr>
              <w:t>Financial assets</w:t>
            </w:r>
          </w:p>
        </w:tc>
        <w:tc>
          <w:tcPr>
            <w:tcW w:w="1260" w:type="dxa"/>
            <w:shd w:val="clear" w:color="auto" w:fill="ACB9CA" w:themeFill="text2" w:themeFillTint="66"/>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p>
        </w:tc>
        <w:tc>
          <w:tcPr>
            <w:tcW w:w="1260" w:type="dxa"/>
            <w:shd w:val="clear" w:color="auto" w:fill="ACB9CA" w:themeFill="text2" w:themeFillTint="66"/>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p>
        </w:tc>
        <w:tc>
          <w:tcPr>
            <w:tcW w:w="1188" w:type="dxa"/>
            <w:shd w:val="clear" w:color="auto" w:fill="ACB9CA" w:themeFill="text2" w:themeFillTint="66"/>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p>
        </w:tc>
      </w:tr>
      <w:tr w:rsidR="00087A6C" w:rsidRPr="00022485" w:rsidTr="00087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087A6C" w:rsidRPr="00022485" w:rsidRDefault="00087A6C" w:rsidP="00087A6C">
            <w:pPr>
              <w:rPr>
                <w:b w:val="0"/>
                <w:sz w:val="18"/>
              </w:rPr>
            </w:pPr>
            <w:r w:rsidRPr="00022485">
              <w:rPr>
                <w:b w:val="0"/>
                <w:sz w:val="18"/>
              </w:rPr>
              <w:t>Million Lei</w:t>
            </w:r>
          </w:p>
        </w:tc>
        <w:tc>
          <w:tcPr>
            <w:tcW w:w="126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166</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19</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83</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1,360</w:t>
            </w:r>
          </w:p>
        </w:tc>
        <w:tc>
          <w:tcPr>
            <w:tcW w:w="126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40</w:t>
            </w:r>
          </w:p>
        </w:tc>
        <w:tc>
          <w:tcPr>
            <w:tcW w:w="1188"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40</w:t>
            </w:r>
          </w:p>
        </w:tc>
      </w:tr>
      <w:tr w:rsidR="00087A6C" w:rsidRPr="00022485" w:rsidTr="00087A6C">
        <w:tc>
          <w:tcPr>
            <w:cnfStyle w:val="001000000000" w:firstRow="0" w:lastRow="0" w:firstColumn="1" w:lastColumn="0" w:oddVBand="0" w:evenVBand="0" w:oddHBand="0" w:evenHBand="0" w:firstRowFirstColumn="0" w:firstRowLastColumn="0" w:lastRowFirstColumn="0" w:lastRowLastColumn="0"/>
            <w:tcW w:w="2628" w:type="dxa"/>
          </w:tcPr>
          <w:p w:rsidR="00087A6C" w:rsidRPr="00022485" w:rsidRDefault="00087A6C" w:rsidP="00087A6C">
            <w:pPr>
              <w:rPr>
                <w:b w:val="0"/>
                <w:sz w:val="18"/>
              </w:rPr>
            </w:pPr>
            <w:r w:rsidRPr="00022485">
              <w:rPr>
                <w:b w:val="0"/>
                <w:sz w:val="18"/>
              </w:rPr>
              <w:t>% of G.D.P.</w:t>
            </w:r>
          </w:p>
        </w:tc>
        <w:tc>
          <w:tcPr>
            <w:tcW w:w="126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0.02</w:t>
            </w:r>
          </w:p>
        </w:tc>
        <w:tc>
          <w:tcPr>
            <w:tcW w:w="108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0.00</w:t>
            </w:r>
          </w:p>
        </w:tc>
        <w:tc>
          <w:tcPr>
            <w:tcW w:w="108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0.01</w:t>
            </w:r>
          </w:p>
        </w:tc>
        <w:tc>
          <w:tcPr>
            <w:tcW w:w="108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0.14</w:t>
            </w:r>
          </w:p>
        </w:tc>
        <w:tc>
          <w:tcPr>
            <w:tcW w:w="126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0.00</w:t>
            </w:r>
          </w:p>
        </w:tc>
        <w:tc>
          <w:tcPr>
            <w:tcW w:w="1188"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0.00</w:t>
            </w:r>
          </w:p>
        </w:tc>
      </w:tr>
      <w:tr w:rsidR="00087A6C" w:rsidRPr="00022485" w:rsidTr="00087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087A6C" w:rsidRPr="00022485" w:rsidRDefault="00087A6C" w:rsidP="00087A6C">
            <w:pPr>
              <w:rPr>
                <w:sz w:val="18"/>
              </w:rPr>
            </w:pPr>
            <w:r w:rsidRPr="00022485">
              <w:rPr>
                <w:sz w:val="18"/>
              </w:rPr>
              <w:t xml:space="preserve">Loans </w:t>
            </w:r>
          </w:p>
        </w:tc>
        <w:tc>
          <w:tcPr>
            <w:tcW w:w="1260" w:type="dxa"/>
            <w:shd w:val="clear" w:color="auto" w:fill="ACB9CA" w:themeFill="text2" w:themeFillTint="66"/>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p>
        </w:tc>
        <w:tc>
          <w:tcPr>
            <w:tcW w:w="1260" w:type="dxa"/>
            <w:shd w:val="clear" w:color="auto" w:fill="ACB9CA" w:themeFill="text2" w:themeFillTint="66"/>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p>
        </w:tc>
        <w:tc>
          <w:tcPr>
            <w:tcW w:w="1188" w:type="dxa"/>
            <w:shd w:val="clear" w:color="auto" w:fill="ACB9CA" w:themeFill="text2" w:themeFillTint="66"/>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p>
        </w:tc>
      </w:tr>
      <w:tr w:rsidR="00087A6C" w:rsidRPr="00022485" w:rsidTr="00087A6C">
        <w:tc>
          <w:tcPr>
            <w:cnfStyle w:val="001000000000" w:firstRow="0" w:lastRow="0" w:firstColumn="1" w:lastColumn="0" w:oddVBand="0" w:evenVBand="0" w:oddHBand="0" w:evenHBand="0" w:firstRowFirstColumn="0" w:firstRowLastColumn="0" w:lastRowFirstColumn="0" w:lastRowLastColumn="0"/>
            <w:tcW w:w="2628" w:type="dxa"/>
          </w:tcPr>
          <w:p w:rsidR="00087A6C" w:rsidRPr="00022485" w:rsidRDefault="00087A6C" w:rsidP="00087A6C">
            <w:pPr>
              <w:rPr>
                <w:b w:val="0"/>
                <w:sz w:val="18"/>
              </w:rPr>
            </w:pPr>
            <w:r w:rsidRPr="00022485">
              <w:rPr>
                <w:b w:val="0"/>
                <w:sz w:val="18"/>
              </w:rPr>
              <w:t>Million Lei</w:t>
            </w:r>
          </w:p>
        </w:tc>
        <w:tc>
          <w:tcPr>
            <w:tcW w:w="126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33</w:t>
            </w:r>
          </w:p>
        </w:tc>
        <w:tc>
          <w:tcPr>
            <w:tcW w:w="108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15</w:t>
            </w:r>
          </w:p>
        </w:tc>
        <w:tc>
          <w:tcPr>
            <w:tcW w:w="108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15</w:t>
            </w:r>
          </w:p>
        </w:tc>
        <w:tc>
          <w:tcPr>
            <w:tcW w:w="108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1</w:t>
            </w:r>
          </w:p>
        </w:tc>
        <w:tc>
          <w:tcPr>
            <w:tcW w:w="126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1</w:t>
            </w:r>
          </w:p>
        </w:tc>
        <w:tc>
          <w:tcPr>
            <w:tcW w:w="1188"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1</w:t>
            </w:r>
          </w:p>
        </w:tc>
      </w:tr>
      <w:tr w:rsidR="00087A6C" w:rsidRPr="00022485" w:rsidTr="00087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087A6C" w:rsidRPr="00022485" w:rsidRDefault="00087A6C" w:rsidP="00087A6C">
            <w:pPr>
              <w:rPr>
                <w:b w:val="0"/>
                <w:sz w:val="18"/>
              </w:rPr>
            </w:pPr>
            <w:r w:rsidRPr="00022485">
              <w:rPr>
                <w:b w:val="0"/>
                <w:sz w:val="18"/>
              </w:rPr>
              <w:t>% of G.D.P.</w:t>
            </w:r>
          </w:p>
        </w:tc>
        <w:tc>
          <w:tcPr>
            <w:tcW w:w="126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0.00</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0.00</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0.00</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0.00</w:t>
            </w:r>
          </w:p>
        </w:tc>
        <w:tc>
          <w:tcPr>
            <w:tcW w:w="126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0.00</w:t>
            </w:r>
          </w:p>
        </w:tc>
        <w:tc>
          <w:tcPr>
            <w:tcW w:w="1188"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0.00</w:t>
            </w:r>
          </w:p>
        </w:tc>
      </w:tr>
      <w:tr w:rsidR="00087A6C" w:rsidRPr="00022485" w:rsidTr="00087A6C">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087A6C" w:rsidRPr="00022485" w:rsidRDefault="00087A6C" w:rsidP="00087A6C">
            <w:pPr>
              <w:rPr>
                <w:sz w:val="18"/>
              </w:rPr>
            </w:pPr>
            <w:r w:rsidRPr="00022485">
              <w:rPr>
                <w:sz w:val="18"/>
              </w:rPr>
              <w:t xml:space="preserve">Loan reimbursements </w:t>
            </w:r>
          </w:p>
        </w:tc>
        <w:tc>
          <w:tcPr>
            <w:tcW w:w="1260" w:type="dxa"/>
            <w:shd w:val="clear" w:color="auto" w:fill="ACB9CA" w:themeFill="text2" w:themeFillTint="66"/>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p>
        </w:tc>
        <w:tc>
          <w:tcPr>
            <w:tcW w:w="1260" w:type="dxa"/>
            <w:shd w:val="clear" w:color="auto" w:fill="ACB9CA" w:themeFill="text2" w:themeFillTint="66"/>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p>
        </w:tc>
        <w:tc>
          <w:tcPr>
            <w:tcW w:w="1188" w:type="dxa"/>
            <w:shd w:val="clear" w:color="auto" w:fill="ACB9CA" w:themeFill="text2" w:themeFillTint="66"/>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p>
        </w:tc>
      </w:tr>
      <w:tr w:rsidR="00087A6C" w:rsidRPr="00022485" w:rsidTr="00087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087A6C" w:rsidRPr="00022485" w:rsidRDefault="00087A6C" w:rsidP="00087A6C">
            <w:pPr>
              <w:rPr>
                <w:b w:val="0"/>
                <w:sz w:val="18"/>
              </w:rPr>
            </w:pPr>
            <w:r w:rsidRPr="00022485">
              <w:rPr>
                <w:b w:val="0"/>
                <w:sz w:val="18"/>
              </w:rPr>
              <w:t>Million Lei</w:t>
            </w:r>
          </w:p>
        </w:tc>
        <w:tc>
          <w:tcPr>
            <w:tcW w:w="126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181</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152</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151</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150</w:t>
            </w:r>
          </w:p>
        </w:tc>
        <w:tc>
          <w:tcPr>
            <w:tcW w:w="126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149</w:t>
            </w:r>
          </w:p>
        </w:tc>
        <w:tc>
          <w:tcPr>
            <w:tcW w:w="1188"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149</w:t>
            </w:r>
          </w:p>
        </w:tc>
      </w:tr>
      <w:tr w:rsidR="00087A6C" w:rsidRPr="00022485" w:rsidTr="00087A6C">
        <w:tc>
          <w:tcPr>
            <w:cnfStyle w:val="001000000000" w:firstRow="0" w:lastRow="0" w:firstColumn="1" w:lastColumn="0" w:oddVBand="0" w:evenVBand="0" w:oddHBand="0" w:evenHBand="0" w:firstRowFirstColumn="0" w:firstRowLastColumn="0" w:lastRowFirstColumn="0" w:lastRowLastColumn="0"/>
            <w:tcW w:w="2628" w:type="dxa"/>
          </w:tcPr>
          <w:p w:rsidR="00087A6C" w:rsidRPr="00022485" w:rsidRDefault="00087A6C" w:rsidP="00087A6C">
            <w:pPr>
              <w:rPr>
                <w:b w:val="0"/>
                <w:sz w:val="18"/>
              </w:rPr>
            </w:pPr>
            <w:r w:rsidRPr="00022485">
              <w:rPr>
                <w:b w:val="0"/>
                <w:sz w:val="18"/>
              </w:rPr>
              <w:t>% of G.D.P.</w:t>
            </w:r>
          </w:p>
        </w:tc>
        <w:tc>
          <w:tcPr>
            <w:tcW w:w="126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0.02</w:t>
            </w:r>
          </w:p>
        </w:tc>
        <w:tc>
          <w:tcPr>
            <w:tcW w:w="108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0.02</w:t>
            </w:r>
          </w:p>
        </w:tc>
        <w:tc>
          <w:tcPr>
            <w:tcW w:w="108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0.02</w:t>
            </w:r>
          </w:p>
        </w:tc>
        <w:tc>
          <w:tcPr>
            <w:tcW w:w="108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0.02</w:t>
            </w:r>
          </w:p>
        </w:tc>
        <w:tc>
          <w:tcPr>
            <w:tcW w:w="126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0.01</w:t>
            </w:r>
          </w:p>
        </w:tc>
        <w:tc>
          <w:tcPr>
            <w:tcW w:w="1188"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0.01</w:t>
            </w:r>
          </w:p>
        </w:tc>
      </w:tr>
      <w:tr w:rsidR="00087A6C" w:rsidRPr="00022485" w:rsidTr="00087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087A6C" w:rsidRPr="00022485" w:rsidRDefault="00087A6C" w:rsidP="00087A6C">
            <w:pPr>
              <w:rPr>
                <w:sz w:val="18"/>
              </w:rPr>
            </w:pPr>
            <w:r w:rsidRPr="00022485">
              <w:rPr>
                <w:sz w:val="18"/>
              </w:rPr>
              <w:t>Payments made in previous years and recovered in the current year</w:t>
            </w:r>
          </w:p>
        </w:tc>
        <w:tc>
          <w:tcPr>
            <w:tcW w:w="1260" w:type="dxa"/>
            <w:shd w:val="clear" w:color="auto" w:fill="ACB9CA" w:themeFill="text2" w:themeFillTint="66"/>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p>
        </w:tc>
        <w:tc>
          <w:tcPr>
            <w:tcW w:w="1260" w:type="dxa"/>
            <w:shd w:val="clear" w:color="auto" w:fill="ACB9CA" w:themeFill="text2" w:themeFillTint="66"/>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p>
        </w:tc>
        <w:tc>
          <w:tcPr>
            <w:tcW w:w="1188" w:type="dxa"/>
            <w:shd w:val="clear" w:color="auto" w:fill="ACB9CA" w:themeFill="text2" w:themeFillTint="66"/>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p>
        </w:tc>
      </w:tr>
      <w:tr w:rsidR="00087A6C" w:rsidRPr="00022485" w:rsidTr="00087A6C">
        <w:tc>
          <w:tcPr>
            <w:cnfStyle w:val="001000000000" w:firstRow="0" w:lastRow="0" w:firstColumn="1" w:lastColumn="0" w:oddVBand="0" w:evenVBand="0" w:oddHBand="0" w:evenHBand="0" w:firstRowFirstColumn="0" w:firstRowLastColumn="0" w:lastRowFirstColumn="0" w:lastRowLastColumn="0"/>
            <w:tcW w:w="2628" w:type="dxa"/>
          </w:tcPr>
          <w:p w:rsidR="00087A6C" w:rsidRPr="00022485" w:rsidRDefault="00087A6C" w:rsidP="00087A6C">
            <w:pPr>
              <w:rPr>
                <w:b w:val="0"/>
                <w:sz w:val="18"/>
              </w:rPr>
            </w:pPr>
            <w:r w:rsidRPr="00022485">
              <w:rPr>
                <w:b w:val="0"/>
                <w:sz w:val="18"/>
              </w:rPr>
              <w:t>Million Lei</w:t>
            </w:r>
          </w:p>
        </w:tc>
        <w:tc>
          <w:tcPr>
            <w:tcW w:w="126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0</w:t>
            </w:r>
          </w:p>
        </w:tc>
        <w:tc>
          <w:tcPr>
            <w:tcW w:w="108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-761</w:t>
            </w:r>
          </w:p>
        </w:tc>
        <w:tc>
          <w:tcPr>
            <w:tcW w:w="108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-928</w:t>
            </w:r>
          </w:p>
        </w:tc>
        <w:tc>
          <w:tcPr>
            <w:tcW w:w="108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0</w:t>
            </w:r>
          </w:p>
        </w:tc>
        <w:tc>
          <w:tcPr>
            <w:tcW w:w="126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0</w:t>
            </w:r>
          </w:p>
        </w:tc>
        <w:tc>
          <w:tcPr>
            <w:tcW w:w="1188"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0</w:t>
            </w:r>
          </w:p>
        </w:tc>
      </w:tr>
      <w:tr w:rsidR="00087A6C" w:rsidRPr="00022485" w:rsidTr="00087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087A6C" w:rsidRPr="00022485" w:rsidRDefault="00087A6C" w:rsidP="00087A6C">
            <w:pPr>
              <w:rPr>
                <w:b w:val="0"/>
                <w:sz w:val="18"/>
              </w:rPr>
            </w:pPr>
            <w:r w:rsidRPr="00022485">
              <w:rPr>
                <w:b w:val="0"/>
                <w:sz w:val="18"/>
              </w:rPr>
              <w:t>% of G.D.P.</w:t>
            </w:r>
          </w:p>
        </w:tc>
        <w:tc>
          <w:tcPr>
            <w:tcW w:w="126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0.00</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-0.09</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-0.10</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0.00</w:t>
            </w:r>
          </w:p>
        </w:tc>
        <w:tc>
          <w:tcPr>
            <w:tcW w:w="126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0.00</w:t>
            </w:r>
          </w:p>
        </w:tc>
        <w:tc>
          <w:tcPr>
            <w:tcW w:w="1188"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0.00</w:t>
            </w:r>
          </w:p>
        </w:tc>
      </w:tr>
      <w:tr w:rsidR="00087A6C" w:rsidRPr="00022485" w:rsidTr="00087A6C">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087A6C" w:rsidRPr="00022485" w:rsidRDefault="00087A6C" w:rsidP="00087A6C">
            <w:pPr>
              <w:rPr>
                <w:sz w:val="18"/>
              </w:rPr>
            </w:pPr>
            <w:r w:rsidRPr="00022485">
              <w:rPr>
                <w:sz w:val="18"/>
              </w:rPr>
              <w:t>TOTAL EXPENDITURES – OTHER MAIN SPENDING AUTHORITIES</w:t>
            </w:r>
          </w:p>
        </w:tc>
        <w:tc>
          <w:tcPr>
            <w:tcW w:w="1260" w:type="dxa"/>
            <w:shd w:val="clear" w:color="auto" w:fill="ACB9CA" w:themeFill="text2" w:themeFillTint="66"/>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p>
        </w:tc>
        <w:tc>
          <w:tcPr>
            <w:tcW w:w="1260" w:type="dxa"/>
            <w:shd w:val="clear" w:color="auto" w:fill="ACB9CA" w:themeFill="text2" w:themeFillTint="66"/>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p>
        </w:tc>
        <w:tc>
          <w:tcPr>
            <w:tcW w:w="1188" w:type="dxa"/>
            <w:shd w:val="clear" w:color="auto" w:fill="ACB9CA" w:themeFill="text2" w:themeFillTint="66"/>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p>
        </w:tc>
      </w:tr>
      <w:tr w:rsidR="00087A6C" w:rsidRPr="00022485" w:rsidTr="00087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087A6C" w:rsidRPr="00022485" w:rsidRDefault="00087A6C" w:rsidP="00087A6C">
            <w:pPr>
              <w:rPr>
                <w:b w:val="0"/>
                <w:sz w:val="18"/>
              </w:rPr>
            </w:pPr>
            <w:r w:rsidRPr="00022485">
              <w:rPr>
                <w:b w:val="0"/>
                <w:sz w:val="18"/>
              </w:rPr>
              <w:t>Million Lei</w:t>
            </w:r>
          </w:p>
        </w:tc>
        <w:tc>
          <w:tcPr>
            <w:tcW w:w="126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32,691</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33,307</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42,694</w:t>
            </w:r>
          </w:p>
        </w:tc>
        <w:tc>
          <w:tcPr>
            <w:tcW w:w="108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46,131</w:t>
            </w:r>
          </w:p>
        </w:tc>
        <w:tc>
          <w:tcPr>
            <w:tcW w:w="1260"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45,620</w:t>
            </w:r>
          </w:p>
        </w:tc>
        <w:tc>
          <w:tcPr>
            <w:tcW w:w="1188" w:type="dxa"/>
          </w:tcPr>
          <w:p w:rsidR="00087A6C" w:rsidRPr="00022485" w:rsidRDefault="00087A6C" w:rsidP="00087A6C">
            <w:pPr>
              <w:cnfStyle w:val="000000100000" w:firstRow="0" w:lastRow="0" w:firstColumn="0" w:lastColumn="0" w:oddVBand="0" w:evenVBand="0" w:oddHBand="1" w:evenHBand="0" w:firstRowFirstColumn="0" w:firstRowLastColumn="0" w:lastRowFirstColumn="0" w:lastRowLastColumn="0"/>
              <w:rPr>
                <w:sz w:val="18"/>
              </w:rPr>
            </w:pPr>
            <w:r w:rsidRPr="00022485">
              <w:rPr>
                <w:sz w:val="18"/>
              </w:rPr>
              <w:t>45,860</w:t>
            </w:r>
          </w:p>
        </w:tc>
      </w:tr>
      <w:tr w:rsidR="00087A6C" w:rsidRPr="00022485" w:rsidTr="00087A6C">
        <w:tc>
          <w:tcPr>
            <w:cnfStyle w:val="001000000000" w:firstRow="0" w:lastRow="0" w:firstColumn="1" w:lastColumn="0" w:oddVBand="0" w:evenVBand="0" w:oddHBand="0" w:evenHBand="0" w:firstRowFirstColumn="0" w:firstRowLastColumn="0" w:lastRowFirstColumn="0" w:lastRowLastColumn="0"/>
            <w:tcW w:w="2628" w:type="dxa"/>
          </w:tcPr>
          <w:p w:rsidR="00087A6C" w:rsidRPr="00022485" w:rsidRDefault="00087A6C" w:rsidP="00087A6C">
            <w:pPr>
              <w:rPr>
                <w:b w:val="0"/>
                <w:sz w:val="18"/>
              </w:rPr>
            </w:pPr>
            <w:r w:rsidRPr="00022485">
              <w:rPr>
                <w:b w:val="0"/>
                <w:sz w:val="18"/>
              </w:rPr>
              <w:t>% of G.D.P.</w:t>
            </w:r>
          </w:p>
        </w:tc>
        <w:tc>
          <w:tcPr>
            <w:tcW w:w="126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4.29</w:t>
            </w:r>
          </w:p>
        </w:tc>
        <w:tc>
          <w:tcPr>
            <w:tcW w:w="108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3.95</w:t>
            </w:r>
          </w:p>
        </w:tc>
        <w:tc>
          <w:tcPr>
            <w:tcW w:w="108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4.54</w:t>
            </w:r>
          </w:p>
        </w:tc>
        <w:tc>
          <w:tcPr>
            <w:tcW w:w="108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4.72</w:t>
            </w:r>
          </w:p>
        </w:tc>
        <w:tc>
          <w:tcPr>
            <w:tcW w:w="1260"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4.34</w:t>
            </w:r>
          </w:p>
        </w:tc>
        <w:tc>
          <w:tcPr>
            <w:tcW w:w="1188" w:type="dxa"/>
          </w:tcPr>
          <w:p w:rsidR="00087A6C" w:rsidRPr="00022485" w:rsidRDefault="00087A6C" w:rsidP="00087A6C">
            <w:pPr>
              <w:cnfStyle w:val="000000000000" w:firstRow="0" w:lastRow="0" w:firstColumn="0" w:lastColumn="0" w:oddVBand="0" w:evenVBand="0" w:oddHBand="0" w:evenHBand="0" w:firstRowFirstColumn="0" w:firstRowLastColumn="0" w:lastRowFirstColumn="0" w:lastRowLastColumn="0"/>
              <w:rPr>
                <w:sz w:val="18"/>
              </w:rPr>
            </w:pPr>
            <w:r w:rsidRPr="00022485">
              <w:rPr>
                <w:sz w:val="18"/>
              </w:rPr>
              <w:t>4.07</w:t>
            </w:r>
          </w:p>
        </w:tc>
      </w:tr>
    </w:tbl>
    <w:p w:rsidR="00C21188" w:rsidRPr="00C21188" w:rsidRDefault="00C21188" w:rsidP="00C21188"/>
    <w:p w:rsidR="00C21188" w:rsidRPr="00C21188" w:rsidRDefault="00C21188" w:rsidP="00C21188">
      <w:r w:rsidRPr="00C21188">
        <w:t xml:space="preserve">The budget of the 10 main credit authorities presented in the strategy represent approximately 75% of the total expenditures of the </w:t>
      </w:r>
      <w:r w:rsidR="00F00F75" w:rsidRPr="00C21188">
        <w:t>State budget</w:t>
      </w:r>
      <w:r w:rsidRPr="00C21188">
        <w:t>. Adding to these credit authorities the budget of the Ministry of Public Finance - General Actions, which comprises interests, credit returns, Romania’s contribution to the EU budget, co-financing for pre-accession projects, as well as State aid schemes, it would represent approximately 90% of the total expenditures of the State budget.</w:t>
      </w:r>
    </w:p>
    <w:p w:rsidR="00C21188" w:rsidRPr="00C21188" w:rsidRDefault="00C21188" w:rsidP="00C21188">
      <w:r w:rsidRPr="00C21188">
        <w:t>The detailing of the expenditures for each of the 10 main credit authorities on the reference horizon is presented in Annexes 1 to 10 to this Strategy.</w:t>
      </w:r>
    </w:p>
    <w:p w:rsidR="00C21188" w:rsidRPr="00C21188" w:rsidRDefault="00C21188" w:rsidP="00C21188">
      <w:r w:rsidRPr="00C21188">
        <w:t>6. Declaration of liability</w:t>
      </w:r>
    </w:p>
    <w:p w:rsidR="00C21188" w:rsidRPr="00C21188" w:rsidRDefault="00C21188" w:rsidP="00C21188">
      <w:r w:rsidRPr="00C21188">
        <w:t>It is hereby attested the accuracy and integrity of the takeover and processing by the Ministry of Public Finance of the information provided in the Fiscal and Budgetary Strategy for 2019-2021.</w:t>
      </w:r>
    </w:p>
    <w:p w:rsidR="00C21188" w:rsidRPr="00C21188" w:rsidRDefault="00C21188" w:rsidP="00C21188">
      <w:r w:rsidRPr="00C21188">
        <w:t>The Fiscal and Budgetary Strategy for 2019-2021 was elaborated on the basis of the fiscal and budgetary information provided by the factors involved in the budgetary process, as well as by considering the internal and international circumstances known on this date.</w:t>
      </w:r>
    </w:p>
    <w:p w:rsidR="00C21188" w:rsidRPr="00C21188" w:rsidRDefault="00C21188" w:rsidP="00C21188"/>
    <w:p w:rsidR="00C21188" w:rsidRPr="00C21188" w:rsidRDefault="00C21188" w:rsidP="00C21188"/>
    <w:tbl>
      <w:tblPr>
        <w:tblpPr w:leftFromText="180" w:rightFromText="180" w:vertAnchor="text" w:horzAnchor="margin" w:tblpXSpec="center" w:tblpY="319"/>
        <w:tblW w:w="4303" w:type="dxa"/>
        <w:tblLook w:val="01E0" w:firstRow="1" w:lastRow="1" w:firstColumn="1" w:lastColumn="1" w:noHBand="0" w:noVBand="0"/>
      </w:tblPr>
      <w:tblGrid>
        <w:gridCol w:w="4303"/>
      </w:tblGrid>
      <w:tr w:rsidR="00C21188" w:rsidRPr="00C21188" w:rsidTr="00C21188">
        <w:tc>
          <w:tcPr>
            <w:tcW w:w="4303" w:type="dxa"/>
          </w:tcPr>
          <w:p w:rsidR="00C21188" w:rsidRPr="00C21188" w:rsidRDefault="00C21188" w:rsidP="00C21188">
            <w:r w:rsidRPr="00C21188">
              <w:t>PRIME-MINISTER,</w:t>
            </w:r>
          </w:p>
          <w:p w:rsidR="00C21188" w:rsidRPr="00C21188" w:rsidRDefault="00C21188" w:rsidP="00C21188"/>
        </w:tc>
      </w:tr>
      <w:tr w:rsidR="00C21188" w:rsidRPr="00C21188" w:rsidTr="00C21188">
        <w:tc>
          <w:tcPr>
            <w:tcW w:w="4303" w:type="dxa"/>
          </w:tcPr>
          <w:p w:rsidR="00C21188" w:rsidRPr="00C21188" w:rsidRDefault="00C21188" w:rsidP="00C21188">
            <w:r w:rsidRPr="00C21188">
              <w:t>VASILICA - VIORICA DĂNCILĂ</w:t>
            </w:r>
          </w:p>
        </w:tc>
      </w:tr>
    </w:tbl>
    <w:p w:rsidR="00C21188" w:rsidRPr="00C21188" w:rsidRDefault="00C21188" w:rsidP="00C21188"/>
    <w:p w:rsidR="00C21188" w:rsidRPr="00C21188" w:rsidRDefault="00C21188" w:rsidP="00C21188"/>
    <w:p w:rsidR="00C21188" w:rsidRPr="00C21188" w:rsidRDefault="00C21188" w:rsidP="00C21188"/>
    <w:p w:rsidR="00C21188" w:rsidRPr="00C21188" w:rsidRDefault="00C21188" w:rsidP="00C21188"/>
    <w:p w:rsidR="00C21188" w:rsidRPr="00C21188" w:rsidRDefault="00C21188" w:rsidP="00C21188"/>
    <w:p w:rsidR="00C21188" w:rsidRPr="00C21188" w:rsidRDefault="00C21188" w:rsidP="00C21188"/>
    <w:tbl>
      <w:tblPr>
        <w:tblpPr w:leftFromText="180" w:rightFromText="180" w:vertAnchor="text" w:horzAnchor="page" w:tblpXSpec="center" w:tblpY="-32"/>
        <w:tblW w:w="0" w:type="auto"/>
        <w:tblLayout w:type="fixed"/>
        <w:tblLook w:val="0000" w:firstRow="0" w:lastRow="0" w:firstColumn="0" w:lastColumn="0" w:noHBand="0" w:noVBand="0"/>
      </w:tblPr>
      <w:tblGrid>
        <w:gridCol w:w="6025"/>
      </w:tblGrid>
      <w:tr w:rsidR="00C21188" w:rsidRPr="00C21188" w:rsidTr="00C21188">
        <w:trPr>
          <w:trHeight w:val="641"/>
        </w:trPr>
        <w:tc>
          <w:tcPr>
            <w:tcW w:w="6025" w:type="dxa"/>
          </w:tcPr>
          <w:p w:rsidR="00C21188" w:rsidRPr="00C21188" w:rsidRDefault="00C21188" w:rsidP="00C21188">
            <w:r w:rsidRPr="00C21188">
              <w:t>MINISTER OF PUBLIC FINANCE,</w:t>
            </w:r>
          </w:p>
        </w:tc>
      </w:tr>
      <w:tr w:rsidR="00C21188" w:rsidRPr="00C21188" w:rsidTr="00C21188">
        <w:tc>
          <w:tcPr>
            <w:tcW w:w="6025" w:type="dxa"/>
          </w:tcPr>
          <w:p w:rsidR="00C21188" w:rsidRPr="00C21188" w:rsidRDefault="00C21188" w:rsidP="00C21188">
            <w:r w:rsidRPr="00C21188">
              <w:t>EUGEN ORLANDO TEODOROVICI</w:t>
            </w:r>
          </w:p>
        </w:tc>
      </w:tr>
      <w:tr w:rsidR="00C21188" w:rsidRPr="00C21188" w:rsidTr="00C21188">
        <w:tc>
          <w:tcPr>
            <w:tcW w:w="6025" w:type="dxa"/>
          </w:tcPr>
          <w:p w:rsidR="00C21188" w:rsidRPr="00C21188" w:rsidRDefault="00C21188" w:rsidP="00C21188"/>
        </w:tc>
      </w:tr>
    </w:tbl>
    <w:p w:rsidR="00C21188" w:rsidRPr="00C21188" w:rsidRDefault="00C21188" w:rsidP="00C21188"/>
    <w:p w:rsidR="00C21188" w:rsidRPr="00C21188" w:rsidRDefault="00C21188" w:rsidP="00C21188"/>
    <w:p w:rsidR="00C21188" w:rsidRPr="00C21188" w:rsidRDefault="00C21188" w:rsidP="00C21188"/>
    <w:p w:rsidR="00C21188" w:rsidRPr="00C21188" w:rsidRDefault="00C21188" w:rsidP="00C21188"/>
    <w:p w:rsidR="00C21188" w:rsidRPr="00C21188" w:rsidRDefault="00C21188" w:rsidP="00C21188"/>
    <w:p w:rsidR="00C21188" w:rsidRPr="00C21188" w:rsidRDefault="00C21188" w:rsidP="00C21188"/>
    <w:p w:rsidR="00C21188" w:rsidRPr="00C21188" w:rsidRDefault="00C21188" w:rsidP="00C21188"/>
    <w:p w:rsidR="00C21188" w:rsidRPr="00C21188" w:rsidRDefault="00C21188" w:rsidP="00C21188"/>
    <w:p w:rsidR="00C21188" w:rsidRPr="00C21188" w:rsidRDefault="00C21188" w:rsidP="00C21188"/>
    <w:p w:rsidR="00C21188" w:rsidRPr="00C21188" w:rsidRDefault="00C21188" w:rsidP="00C21188"/>
    <w:p w:rsidR="00C21188" w:rsidRPr="00C21188" w:rsidRDefault="00C21188" w:rsidP="00C21188"/>
    <w:p w:rsidR="00C21188" w:rsidRPr="00C21188" w:rsidRDefault="00C21188" w:rsidP="00C21188"/>
    <w:p w:rsidR="00C21188" w:rsidRPr="00C21188" w:rsidRDefault="00C21188" w:rsidP="00C21188"/>
    <w:p w:rsidR="00C21188" w:rsidRPr="00C21188" w:rsidRDefault="00C21188" w:rsidP="00C21188"/>
    <w:p w:rsidR="00C21188" w:rsidRPr="00C21188" w:rsidRDefault="00C21188" w:rsidP="00C21188"/>
    <w:p w:rsidR="00C21188" w:rsidRDefault="00C21188" w:rsidP="00C21188"/>
    <w:p w:rsidR="001B2458" w:rsidRDefault="001B2458" w:rsidP="00C21188"/>
    <w:p w:rsidR="001B2458" w:rsidRDefault="001B2458" w:rsidP="00C21188"/>
    <w:p w:rsidR="001B2458" w:rsidRDefault="001B2458" w:rsidP="00C21188"/>
    <w:p w:rsidR="001B2458" w:rsidRDefault="001B2458" w:rsidP="00C21188"/>
    <w:p w:rsidR="001B2458" w:rsidRDefault="001B2458" w:rsidP="00C21188"/>
    <w:p w:rsidR="001B2458" w:rsidRDefault="001B2458" w:rsidP="00C21188"/>
    <w:p w:rsidR="001B2458" w:rsidRDefault="001B2458" w:rsidP="001B2458">
      <w:pPr>
        <w:jc w:val="right"/>
      </w:pPr>
      <w:r>
        <w:t xml:space="preserve">- Million Lei- </w:t>
      </w:r>
    </w:p>
    <w:tbl>
      <w:tblPr>
        <w:tblStyle w:val="LightList"/>
        <w:tblW w:w="0" w:type="auto"/>
        <w:tblLook w:val="04A0" w:firstRow="1" w:lastRow="0" w:firstColumn="1" w:lastColumn="0" w:noHBand="0" w:noVBand="1"/>
      </w:tblPr>
      <w:tblGrid>
        <w:gridCol w:w="2628"/>
        <w:gridCol w:w="1260"/>
        <w:gridCol w:w="1080"/>
        <w:gridCol w:w="1080"/>
        <w:gridCol w:w="1080"/>
        <w:gridCol w:w="1260"/>
        <w:gridCol w:w="1188"/>
      </w:tblGrid>
      <w:tr w:rsidR="008A4CA2" w:rsidRPr="009D1595" w:rsidTr="003C68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7"/>
            <w:shd w:val="clear" w:color="auto" w:fill="auto"/>
          </w:tcPr>
          <w:p w:rsidR="008A4CA2" w:rsidRDefault="008A4CA2" w:rsidP="003C6835">
            <w:pPr>
              <w:jc w:val="center"/>
              <w:rPr>
                <w:color w:val="auto"/>
                <w:sz w:val="20"/>
              </w:rPr>
            </w:pPr>
            <w:r w:rsidRPr="009D1595">
              <w:rPr>
                <w:color w:val="auto"/>
                <w:sz w:val="20"/>
              </w:rPr>
              <w:t xml:space="preserve">Annex 1 - Expenditures of the Ministry of Labor and Social Justice from the State budget </w:t>
            </w:r>
          </w:p>
          <w:p w:rsidR="008A4CA2" w:rsidRPr="009D1595" w:rsidRDefault="008A4CA2" w:rsidP="003C6835">
            <w:pPr>
              <w:jc w:val="center"/>
              <w:rPr>
                <w:color w:val="auto"/>
                <w:sz w:val="20"/>
              </w:rPr>
            </w:pPr>
            <w:r w:rsidRPr="009D1595">
              <w:rPr>
                <w:color w:val="auto"/>
                <w:sz w:val="20"/>
              </w:rPr>
              <w:t>between 2016 and 2021</w:t>
            </w:r>
          </w:p>
          <w:p w:rsidR="008A4CA2" w:rsidRPr="009D1595" w:rsidRDefault="008A4CA2" w:rsidP="003C6835">
            <w:pPr>
              <w:rPr>
                <w:color w:val="auto"/>
                <w:sz w:val="18"/>
              </w:rPr>
            </w:pPr>
          </w:p>
        </w:tc>
      </w:tr>
      <w:tr w:rsidR="008A4CA2" w:rsidRPr="009D1595" w:rsidTr="003C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8A4CA2" w:rsidRPr="009D1595" w:rsidRDefault="008A4CA2" w:rsidP="003C6835">
            <w:pPr>
              <w:rPr>
                <w:sz w:val="18"/>
              </w:rPr>
            </w:pPr>
          </w:p>
        </w:tc>
        <w:tc>
          <w:tcPr>
            <w:tcW w:w="126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sidRPr="009D1595">
              <w:rPr>
                <w:sz w:val="18"/>
              </w:rPr>
              <w:t>2016</w:t>
            </w:r>
          </w:p>
        </w:tc>
        <w:tc>
          <w:tcPr>
            <w:tcW w:w="108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sidRPr="009D1595">
              <w:rPr>
                <w:sz w:val="18"/>
              </w:rPr>
              <w:t>2017</w:t>
            </w:r>
          </w:p>
        </w:tc>
        <w:tc>
          <w:tcPr>
            <w:tcW w:w="108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sidRPr="009D1595">
              <w:rPr>
                <w:sz w:val="18"/>
              </w:rPr>
              <w:t>2018</w:t>
            </w:r>
          </w:p>
        </w:tc>
        <w:tc>
          <w:tcPr>
            <w:tcW w:w="108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sidRPr="009D1595">
              <w:rPr>
                <w:sz w:val="18"/>
              </w:rPr>
              <w:t>2019</w:t>
            </w:r>
          </w:p>
        </w:tc>
        <w:tc>
          <w:tcPr>
            <w:tcW w:w="126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sidRPr="009D1595">
              <w:rPr>
                <w:sz w:val="18"/>
              </w:rPr>
              <w:t>2020</w:t>
            </w:r>
          </w:p>
        </w:tc>
        <w:tc>
          <w:tcPr>
            <w:tcW w:w="1188"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sidRPr="009D1595">
              <w:rPr>
                <w:sz w:val="18"/>
              </w:rPr>
              <w:t>2021</w:t>
            </w:r>
          </w:p>
        </w:tc>
      </w:tr>
      <w:tr w:rsidR="008A4CA2" w:rsidRPr="009D1595" w:rsidTr="003C6835">
        <w:tc>
          <w:tcPr>
            <w:cnfStyle w:val="001000000000" w:firstRow="0" w:lastRow="0" w:firstColumn="1" w:lastColumn="0" w:oddVBand="0" w:evenVBand="0" w:oddHBand="0" w:evenHBand="0" w:firstRowFirstColumn="0" w:firstRowLastColumn="0" w:lastRowFirstColumn="0" w:lastRowLastColumn="0"/>
            <w:tcW w:w="9576" w:type="dxa"/>
            <w:gridSpan w:val="7"/>
            <w:shd w:val="clear" w:color="auto" w:fill="ACB9CA" w:themeFill="text2" w:themeFillTint="66"/>
          </w:tcPr>
          <w:p w:rsidR="008A4CA2" w:rsidRPr="009D1595" w:rsidRDefault="008A4CA2" w:rsidP="0027753D">
            <w:pPr>
              <w:rPr>
                <w:sz w:val="18"/>
              </w:rPr>
            </w:pPr>
            <w:r w:rsidRPr="009D1595">
              <w:rPr>
                <w:sz w:val="18"/>
              </w:rPr>
              <w:t xml:space="preserve">TOTAL EXPENDITURES </w:t>
            </w:r>
          </w:p>
        </w:tc>
      </w:tr>
      <w:tr w:rsidR="008A4CA2" w:rsidRPr="009D1595" w:rsidTr="003C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8A4CA2" w:rsidRPr="009D1595" w:rsidRDefault="008A4CA2" w:rsidP="003C6835">
            <w:pPr>
              <w:rPr>
                <w:b w:val="0"/>
                <w:sz w:val="18"/>
              </w:rPr>
            </w:pPr>
            <w:r w:rsidRPr="009D1595">
              <w:rPr>
                <w:b w:val="0"/>
                <w:sz w:val="18"/>
              </w:rPr>
              <w:t>Million Lei</w:t>
            </w:r>
          </w:p>
        </w:tc>
        <w:tc>
          <w:tcPr>
            <w:tcW w:w="126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35,291</w:t>
            </w:r>
          </w:p>
        </w:tc>
        <w:tc>
          <w:tcPr>
            <w:tcW w:w="108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36,447</w:t>
            </w:r>
          </w:p>
        </w:tc>
        <w:tc>
          <w:tcPr>
            <w:tcW w:w="108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29,881</w:t>
            </w:r>
          </w:p>
        </w:tc>
        <w:tc>
          <w:tcPr>
            <w:tcW w:w="108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27,220</w:t>
            </w:r>
          </w:p>
        </w:tc>
        <w:tc>
          <w:tcPr>
            <w:tcW w:w="126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33,466</w:t>
            </w:r>
          </w:p>
        </w:tc>
        <w:tc>
          <w:tcPr>
            <w:tcW w:w="1188"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33,207</w:t>
            </w:r>
          </w:p>
        </w:tc>
      </w:tr>
      <w:tr w:rsidR="008A4CA2" w:rsidRPr="009D1595" w:rsidTr="003C6835">
        <w:tc>
          <w:tcPr>
            <w:cnfStyle w:val="001000000000" w:firstRow="0" w:lastRow="0" w:firstColumn="1" w:lastColumn="0" w:oddVBand="0" w:evenVBand="0" w:oddHBand="0" w:evenHBand="0" w:firstRowFirstColumn="0" w:firstRowLastColumn="0" w:lastRowFirstColumn="0" w:lastRowLastColumn="0"/>
            <w:tcW w:w="2628" w:type="dxa"/>
          </w:tcPr>
          <w:p w:rsidR="008A4CA2" w:rsidRPr="009D1595" w:rsidRDefault="008A4CA2" w:rsidP="003C6835">
            <w:pPr>
              <w:rPr>
                <w:b w:val="0"/>
                <w:sz w:val="18"/>
              </w:rPr>
            </w:pPr>
            <w:r w:rsidRPr="009D1595">
              <w:rPr>
                <w:b w:val="0"/>
                <w:sz w:val="18"/>
              </w:rPr>
              <w:t>% of G.D.P.</w:t>
            </w:r>
          </w:p>
        </w:tc>
        <w:tc>
          <w:tcPr>
            <w:tcW w:w="126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4.63</w:t>
            </w:r>
          </w:p>
        </w:tc>
        <w:tc>
          <w:tcPr>
            <w:tcW w:w="108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4.33</w:t>
            </w:r>
          </w:p>
        </w:tc>
        <w:tc>
          <w:tcPr>
            <w:tcW w:w="108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3.18</w:t>
            </w:r>
          </w:p>
        </w:tc>
        <w:tc>
          <w:tcPr>
            <w:tcW w:w="108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2.79</w:t>
            </w:r>
          </w:p>
        </w:tc>
        <w:tc>
          <w:tcPr>
            <w:tcW w:w="126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3.18</w:t>
            </w:r>
          </w:p>
        </w:tc>
        <w:tc>
          <w:tcPr>
            <w:tcW w:w="1188"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2.95</w:t>
            </w:r>
          </w:p>
        </w:tc>
      </w:tr>
      <w:tr w:rsidR="008A4CA2" w:rsidRPr="009D1595" w:rsidTr="003C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8A4CA2" w:rsidRPr="009D1595" w:rsidRDefault="008A4CA2" w:rsidP="003C6835">
            <w:pPr>
              <w:rPr>
                <w:sz w:val="18"/>
              </w:rPr>
            </w:pPr>
            <w:r w:rsidRPr="009D1595">
              <w:rPr>
                <w:sz w:val="18"/>
              </w:rPr>
              <w:t>Personnel expenditures</w:t>
            </w:r>
          </w:p>
        </w:tc>
        <w:tc>
          <w:tcPr>
            <w:tcW w:w="1260" w:type="dxa"/>
            <w:shd w:val="clear" w:color="auto" w:fill="ACB9CA" w:themeFill="text2" w:themeFillTint="66"/>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p>
        </w:tc>
        <w:tc>
          <w:tcPr>
            <w:tcW w:w="1260" w:type="dxa"/>
            <w:shd w:val="clear" w:color="auto" w:fill="ACB9CA" w:themeFill="text2" w:themeFillTint="66"/>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p>
        </w:tc>
        <w:tc>
          <w:tcPr>
            <w:tcW w:w="1188" w:type="dxa"/>
            <w:shd w:val="clear" w:color="auto" w:fill="ACB9CA" w:themeFill="text2" w:themeFillTint="66"/>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p>
        </w:tc>
      </w:tr>
      <w:tr w:rsidR="008A4CA2" w:rsidRPr="009D1595" w:rsidTr="003C6835">
        <w:tc>
          <w:tcPr>
            <w:cnfStyle w:val="001000000000" w:firstRow="0" w:lastRow="0" w:firstColumn="1" w:lastColumn="0" w:oddVBand="0" w:evenVBand="0" w:oddHBand="0" w:evenHBand="0" w:firstRowFirstColumn="0" w:firstRowLastColumn="0" w:lastRowFirstColumn="0" w:lastRowLastColumn="0"/>
            <w:tcW w:w="2628" w:type="dxa"/>
          </w:tcPr>
          <w:p w:rsidR="008A4CA2" w:rsidRPr="009D1595" w:rsidRDefault="008A4CA2" w:rsidP="003C6835">
            <w:pPr>
              <w:rPr>
                <w:b w:val="0"/>
                <w:sz w:val="18"/>
              </w:rPr>
            </w:pPr>
            <w:r w:rsidRPr="009D1595">
              <w:rPr>
                <w:b w:val="0"/>
                <w:sz w:val="18"/>
              </w:rPr>
              <w:t>Million Lei</w:t>
            </w:r>
          </w:p>
        </w:tc>
        <w:tc>
          <w:tcPr>
            <w:tcW w:w="126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218</w:t>
            </w:r>
          </w:p>
        </w:tc>
        <w:tc>
          <w:tcPr>
            <w:tcW w:w="108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230</w:t>
            </w:r>
          </w:p>
        </w:tc>
        <w:tc>
          <w:tcPr>
            <w:tcW w:w="108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273</w:t>
            </w:r>
          </w:p>
        </w:tc>
        <w:tc>
          <w:tcPr>
            <w:tcW w:w="108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301</w:t>
            </w:r>
          </w:p>
        </w:tc>
        <w:tc>
          <w:tcPr>
            <w:tcW w:w="126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321</w:t>
            </w:r>
          </w:p>
        </w:tc>
        <w:tc>
          <w:tcPr>
            <w:tcW w:w="1188"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336</w:t>
            </w:r>
          </w:p>
        </w:tc>
      </w:tr>
      <w:tr w:rsidR="008A4CA2" w:rsidRPr="009D1595" w:rsidTr="003C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8A4CA2" w:rsidRPr="009D1595" w:rsidRDefault="008A4CA2" w:rsidP="003C6835">
            <w:pPr>
              <w:rPr>
                <w:b w:val="0"/>
                <w:sz w:val="18"/>
              </w:rPr>
            </w:pPr>
            <w:r w:rsidRPr="009D1595">
              <w:rPr>
                <w:b w:val="0"/>
                <w:sz w:val="18"/>
              </w:rPr>
              <w:t>% of G.D.P.</w:t>
            </w:r>
          </w:p>
        </w:tc>
        <w:tc>
          <w:tcPr>
            <w:tcW w:w="126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0.03</w:t>
            </w:r>
          </w:p>
        </w:tc>
        <w:tc>
          <w:tcPr>
            <w:tcW w:w="108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0.03</w:t>
            </w:r>
          </w:p>
        </w:tc>
        <w:tc>
          <w:tcPr>
            <w:tcW w:w="108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0.03</w:t>
            </w:r>
          </w:p>
        </w:tc>
        <w:tc>
          <w:tcPr>
            <w:tcW w:w="108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0.03</w:t>
            </w:r>
          </w:p>
        </w:tc>
        <w:tc>
          <w:tcPr>
            <w:tcW w:w="126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0.03</w:t>
            </w:r>
          </w:p>
        </w:tc>
        <w:tc>
          <w:tcPr>
            <w:tcW w:w="1188"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0.03</w:t>
            </w:r>
          </w:p>
        </w:tc>
      </w:tr>
      <w:tr w:rsidR="008A4CA2" w:rsidRPr="009D1595" w:rsidTr="003C6835">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8A4CA2" w:rsidRPr="009D1595" w:rsidRDefault="008A4CA2" w:rsidP="003C6835">
            <w:pPr>
              <w:rPr>
                <w:sz w:val="18"/>
              </w:rPr>
            </w:pPr>
            <w:r w:rsidRPr="009D1595">
              <w:rPr>
                <w:sz w:val="18"/>
              </w:rPr>
              <w:t>Goods and services</w:t>
            </w:r>
          </w:p>
        </w:tc>
        <w:tc>
          <w:tcPr>
            <w:tcW w:w="1260" w:type="dxa"/>
            <w:shd w:val="clear" w:color="auto" w:fill="ACB9CA" w:themeFill="text2" w:themeFillTint="66"/>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p>
        </w:tc>
        <w:tc>
          <w:tcPr>
            <w:tcW w:w="1260" w:type="dxa"/>
            <w:shd w:val="clear" w:color="auto" w:fill="ACB9CA" w:themeFill="text2" w:themeFillTint="66"/>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p>
        </w:tc>
        <w:tc>
          <w:tcPr>
            <w:tcW w:w="1188" w:type="dxa"/>
            <w:shd w:val="clear" w:color="auto" w:fill="ACB9CA" w:themeFill="text2" w:themeFillTint="66"/>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p>
        </w:tc>
      </w:tr>
      <w:tr w:rsidR="008A4CA2" w:rsidRPr="009D1595" w:rsidTr="003C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8A4CA2" w:rsidRPr="009D1595" w:rsidRDefault="008A4CA2" w:rsidP="003C6835">
            <w:pPr>
              <w:rPr>
                <w:b w:val="0"/>
                <w:sz w:val="18"/>
              </w:rPr>
            </w:pPr>
            <w:r w:rsidRPr="009D1595">
              <w:rPr>
                <w:b w:val="0"/>
                <w:sz w:val="18"/>
              </w:rPr>
              <w:t>Million Lei</w:t>
            </w:r>
          </w:p>
        </w:tc>
        <w:tc>
          <w:tcPr>
            <w:tcW w:w="126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160</w:t>
            </w:r>
          </w:p>
        </w:tc>
        <w:tc>
          <w:tcPr>
            <w:tcW w:w="108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167</w:t>
            </w:r>
          </w:p>
        </w:tc>
        <w:tc>
          <w:tcPr>
            <w:tcW w:w="108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168</w:t>
            </w:r>
          </w:p>
        </w:tc>
        <w:tc>
          <w:tcPr>
            <w:tcW w:w="108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225</w:t>
            </w:r>
          </w:p>
        </w:tc>
        <w:tc>
          <w:tcPr>
            <w:tcW w:w="126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231</w:t>
            </w:r>
          </w:p>
        </w:tc>
        <w:tc>
          <w:tcPr>
            <w:tcW w:w="1188"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245</w:t>
            </w:r>
          </w:p>
        </w:tc>
      </w:tr>
      <w:tr w:rsidR="008A4CA2" w:rsidRPr="009D1595" w:rsidTr="003C6835">
        <w:tc>
          <w:tcPr>
            <w:cnfStyle w:val="001000000000" w:firstRow="0" w:lastRow="0" w:firstColumn="1" w:lastColumn="0" w:oddVBand="0" w:evenVBand="0" w:oddHBand="0" w:evenHBand="0" w:firstRowFirstColumn="0" w:firstRowLastColumn="0" w:lastRowFirstColumn="0" w:lastRowLastColumn="0"/>
            <w:tcW w:w="2628" w:type="dxa"/>
          </w:tcPr>
          <w:p w:rsidR="008A4CA2" w:rsidRPr="009D1595" w:rsidRDefault="008A4CA2" w:rsidP="003C6835">
            <w:pPr>
              <w:rPr>
                <w:b w:val="0"/>
                <w:sz w:val="18"/>
              </w:rPr>
            </w:pPr>
            <w:r w:rsidRPr="009D1595">
              <w:rPr>
                <w:b w:val="0"/>
                <w:sz w:val="18"/>
              </w:rPr>
              <w:t>% of G.D.P.</w:t>
            </w:r>
          </w:p>
        </w:tc>
        <w:tc>
          <w:tcPr>
            <w:tcW w:w="126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0.02</w:t>
            </w:r>
          </w:p>
        </w:tc>
        <w:tc>
          <w:tcPr>
            <w:tcW w:w="108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0.02</w:t>
            </w:r>
          </w:p>
        </w:tc>
        <w:tc>
          <w:tcPr>
            <w:tcW w:w="108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0.02</w:t>
            </w:r>
          </w:p>
        </w:tc>
        <w:tc>
          <w:tcPr>
            <w:tcW w:w="108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0.02</w:t>
            </w:r>
          </w:p>
        </w:tc>
        <w:tc>
          <w:tcPr>
            <w:tcW w:w="126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0.02</w:t>
            </w:r>
          </w:p>
        </w:tc>
        <w:tc>
          <w:tcPr>
            <w:tcW w:w="1188"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0.02</w:t>
            </w:r>
          </w:p>
        </w:tc>
      </w:tr>
      <w:tr w:rsidR="008A4CA2" w:rsidRPr="009D1595" w:rsidTr="003C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8A4CA2" w:rsidRPr="009D1595" w:rsidRDefault="008A4CA2" w:rsidP="003C6835">
            <w:pPr>
              <w:rPr>
                <w:sz w:val="18"/>
              </w:rPr>
            </w:pPr>
            <w:r w:rsidRPr="009D1595">
              <w:rPr>
                <w:sz w:val="18"/>
              </w:rPr>
              <w:t>Transfers between public administration units</w:t>
            </w:r>
          </w:p>
        </w:tc>
        <w:tc>
          <w:tcPr>
            <w:tcW w:w="1260" w:type="dxa"/>
            <w:shd w:val="clear" w:color="auto" w:fill="ACB9CA" w:themeFill="text2" w:themeFillTint="66"/>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p>
        </w:tc>
        <w:tc>
          <w:tcPr>
            <w:tcW w:w="1260" w:type="dxa"/>
            <w:shd w:val="clear" w:color="auto" w:fill="ACB9CA" w:themeFill="text2" w:themeFillTint="66"/>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p>
        </w:tc>
        <w:tc>
          <w:tcPr>
            <w:tcW w:w="1188" w:type="dxa"/>
            <w:shd w:val="clear" w:color="auto" w:fill="ACB9CA" w:themeFill="text2" w:themeFillTint="66"/>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p>
        </w:tc>
      </w:tr>
      <w:tr w:rsidR="008A4CA2" w:rsidRPr="009D1595" w:rsidTr="003C6835">
        <w:tc>
          <w:tcPr>
            <w:cnfStyle w:val="001000000000" w:firstRow="0" w:lastRow="0" w:firstColumn="1" w:lastColumn="0" w:oddVBand="0" w:evenVBand="0" w:oddHBand="0" w:evenHBand="0" w:firstRowFirstColumn="0" w:firstRowLastColumn="0" w:lastRowFirstColumn="0" w:lastRowLastColumn="0"/>
            <w:tcW w:w="2628" w:type="dxa"/>
          </w:tcPr>
          <w:p w:rsidR="008A4CA2" w:rsidRPr="009D1595" w:rsidRDefault="008A4CA2" w:rsidP="003C6835">
            <w:pPr>
              <w:rPr>
                <w:b w:val="0"/>
                <w:sz w:val="18"/>
              </w:rPr>
            </w:pPr>
            <w:r w:rsidRPr="009D1595">
              <w:rPr>
                <w:b w:val="0"/>
                <w:sz w:val="18"/>
              </w:rPr>
              <w:t>Million Lei</w:t>
            </w:r>
          </w:p>
        </w:tc>
        <w:tc>
          <w:tcPr>
            <w:tcW w:w="126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18,202*)</w:t>
            </w:r>
          </w:p>
        </w:tc>
        <w:tc>
          <w:tcPr>
            <w:tcW w:w="108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16,833*)</w:t>
            </w:r>
          </w:p>
        </w:tc>
        <w:tc>
          <w:tcPr>
            <w:tcW w:w="108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8,801*)</w:t>
            </w:r>
          </w:p>
        </w:tc>
        <w:tc>
          <w:tcPr>
            <w:tcW w:w="108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296*)</w:t>
            </w:r>
          </w:p>
        </w:tc>
        <w:tc>
          <w:tcPr>
            <w:tcW w:w="126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4,923*)</w:t>
            </w:r>
          </w:p>
        </w:tc>
        <w:tc>
          <w:tcPr>
            <w:tcW w:w="1188"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3,936*)</w:t>
            </w:r>
          </w:p>
        </w:tc>
      </w:tr>
      <w:tr w:rsidR="008A4CA2" w:rsidRPr="009D1595" w:rsidTr="003C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8A4CA2" w:rsidRPr="009D1595" w:rsidRDefault="008A4CA2" w:rsidP="003C6835">
            <w:pPr>
              <w:rPr>
                <w:b w:val="0"/>
                <w:sz w:val="18"/>
              </w:rPr>
            </w:pPr>
            <w:r w:rsidRPr="009D1595">
              <w:rPr>
                <w:b w:val="0"/>
                <w:sz w:val="18"/>
              </w:rPr>
              <w:t>% of G.D.P.</w:t>
            </w:r>
          </w:p>
        </w:tc>
        <w:tc>
          <w:tcPr>
            <w:tcW w:w="126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2.39</w:t>
            </w:r>
          </w:p>
        </w:tc>
        <w:tc>
          <w:tcPr>
            <w:tcW w:w="108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2.00</w:t>
            </w:r>
          </w:p>
        </w:tc>
        <w:tc>
          <w:tcPr>
            <w:tcW w:w="108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0.94</w:t>
            </w:r>
          </w:p>
        </w:tc>
        <w:tc>
          <w:tcPr>
            <w:tcW w:w="108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0.03</w:t>
            </w:r>
          </w:p>
        </w:tc>
        <w:tc>
          <w:tcPr>
            <w:tcW w:w="126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0.47</w:t>
            </w:r>
          </w:p>
        </w:tc>
        <w:tc>
          <w:tcPr>
            <w:tcW w:w="1188"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0.35</w:t>
            </w:r>
          </w:p>
        </w:tc>
      </w:tr>
      <w:tr w:rsidR="008A4CA2" w:rsidRPr="009D1595" w:rsidTr="003C6835">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8A4CA2" w:rsidRPr="009D1595" w:rsidRDefault="008A4CA2" w:rsidP="003C6835">
            <w:pPr>
              <w:rPr>
                <w:sz w:val="18"/>
              </w:rPr>
            </w:pPr>
            <w:r w:rsidRPr="009D1595">
              <w:rPr>
                <w:sz w:val="18"/>
              </w:rPr>
              <w:t>Other transfers</w:t>
            </w:r>
          </w:p>
        </w:tc>
        <w:tc>
          <w:tcPr>
            <w:tcW w:w="1260" w:type="dxa"/>
            <w:shd w:val="clear" w:color="auto" w:fill="ACB9CA" w:themeFill="text2" w:themeFillTint="66"/>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p>
        </w:tc>
        <w:tc>
          <w:tcPr>
            <w:tcW w:w="1260" w:type="dxa"/>
            <w:shd w:val="clear" w:color="auto" w:fill="ACB9CA" w:themeFill="text2" w:themeFillTint="66"/>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p>
        </w:tc>
        <w:tc>
          <w:tcPr>
            <w:tcW w:w="1188" w:type="dxa"/>
            <w:shd w:val="clear" w:color="auto" w:fill="ACB9CA" w:themeFill="text2" w:themeFillTint="66"/>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p>
        </w:tc>
      </w:tr>
      <w:tr w:rsidR="008A4CA2" w:rsidRPr="009D1595" w:rsidTr="003C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8A4CA2" w:rsidRPr="009D1595" w:rsidRDefault="008A4CA2" w:rsidP="003C6835">
            <w:pPr>
              <w:rPr>
                <w:b w:val="0"/>
                <w:sz w:val="18"/>
              </w:rPr>
            </w:pPr>
            <w:r w:rsidRPr="009D1595">
              <w:rPr>
                <w:b w:val="0"/>
                <w:sz w:val="18"/>
              </w:rPr>
              <w:t>Million Lei</w:t>
            </w:r>
          </w:p>
        </w:tc>
        <w:tc>
          <w:tcPr>
            <w:tcW w:w="126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4</w:t>
            </w:r>
          </w:p>
        </w:tc>
        <w:tc>
          <w:tcPr>
            <w:tcW w:w="108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3</w:t>
            </w:r>
          </w:p>
        </w:tc>
        <w:tc>
          <w:tcPr>
            <w:tcW w:w="108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3</w:t>
            </w:r>
          </w:p>
        </w:tc>
        <w:tc>
          <w:tcPr>
            <w:tcW w:w="108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4</w:t>
            </w:r>
          </w:p>
        </w:tc>
        <w:tc>
          <w:tcPr>
            <w:tcW w:w="126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5</w:t>
            </w:r>
          </w:p>
        </w:tc>
        <w:tc>
          <w:tcPr>
            <w:tcW w:w="1188"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5</w:t>
            </w:r>
          </w:p>
        </w:tc>
      </w:tr>
      <w:tr w:rsidR="008A4CA2" w:rsidRPr="009D1595" w:rsidTr="003C6835">
        <w:tc>
          <w:tcPr>
            <w:cnfStyle w:val="001000000000" w:firstRow="0" w:lastRow="0" w:firstColumn="1" w:lastColumn="0" w:oddVBand="0" w:evenVBand="0" w:oddHBand="0" w:evenHBand="0" w:firstRowFirstColumn="0" w:firstRowLastColumn="0" w:lastRowFirstColumn="0" w:lastRowLastColumn="0"/>
            <w:tcW w:w="2628" w:type="dxa"/>
          </w:tcPr>
          <w:p w:rsidR="008A4CA2" w:rsidRPr="009D1595" w:rsidRDefault="008A4CA2" w:rsidP="003C6835">
            <w:pPr>
              <w:rPr>
                <w:b w:val="0"/>
                <w:sz w:val="18"/>
              </w:rPr>
            </w:pPr>
            <w:r w:rsidRPr="009D1595">
              <w:rPr>
                <w:b w:val="0"/>
                <w:sz w:val="18"/>
              </w:rPr>
              <w:t>% of G.D.P.</w:t>
            </w:r>
          </w:p>
        </w:tc>
        <w:tc>
          <w:tcPr>
            <w:tcW w:w="126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c>
          <w:tcPr>
            <w:tcW w:w="108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c>
          <w:tcPr>
            <w:tcW w:w="108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c>
          <w:tcPr>
            <w:tcW w:w="108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c>
          <w:tcPr>
            <w:tcW w:w="126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c>
          <w:tcPr>
            <w:tcW w:w="1188"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r>
      <w:tr w:rsidR="008A4CA2" w:rsidRPr="009D1595" w:rsidTr="003C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8A4CA2" w:rsidRPr="009D1595" w:rsidRDefault="008A4CA2" w:rsidP="003C6835">
            <w:pPr>
              <w:rPr>
                <w:sz w:val="18"/>
              </w:rPr>
            </w:pPr>
            <w:r w:rsidRPr="009D1595">
              <w:rPr>
                <w:sz w:val="18"/>
              </w:rPr>
              <w:t>Projects with financing from external non-reimbursable funds (ENF)</w:t>
            </w:r>
          </w:p>
        </w:tc>
        <w:tc>
          <w:tcPr>
            <w:tcW w:w="1260" w:type="dxa"/>
            <w:shd w:val="clear" w:color="auto" w:fill="ACB9CA" w:themeFill="text2" w:themeFillTint="66"/>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b/>
                <w:sz w:val="18"/>
              </w:rPr>
            </w:pPr>
          </w:p>
        </w:tc>
        <w:tc>
          <w:tcPr>
            <w:tcW w:w="1080" w:type="dxa"/>
            <w:shd w:val="clear" w:color="auto" w:fill="ACB9CA" w:themeFill="text2" w:themeFillTint="66"/>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b/>
                <w:sz w:val="18"/>
              </w:rPr>
            </w:pPr>
          </w:p>
        </w:tc>
        <w:tc>
          <w:tcPr>
            <w:tcW w:w="1080" w:type="dxa"/>
            <w:shd w:val="clear" w:color="auto" w:fill="ACB9CA" w:themeFill="text2" w:themeFillTint="66"/>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b/>
                <w:sz w:val="18"/>
              </w:rPr>
            </w:pPr>
          </w:p>
        </w:tc>
        <w:tc>
          <w:tcPr>
            <w:tcW w:w="1080" w:type="dxa"/>
            <w:shd w:val="clear" w:color="auto" w:fill="ACB9CA" w:themeFill="text2" w:themeFillTint="66"/>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b/>
                <w:sz w:val="18"/>
              </w:rPr>
            </w:pPr>
          </w:p>
        </w:tc>
        <w:tc>
          <w:tcPr>
            <w:tcW w:w="1260" w:type="dxa"/>
            <w:shd w:val="clear" w:color="auto" w:fill="ACB9CA" w:themeFill="text2" w:themeFillTint="66"/>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b/>
                <w:sz w:val="18"/>
              </w:rPr>
            </w:pPr>
          </w:p>
        </w:tc>
        <w:tc>
          <w:tcPr>
            <w:tcW w:w="1188" w:type="dxa"/>
            <w:shd w:val="clear" w:color="auto" w:fill="ACB9CA" w:themeFill="text2" w:themeFillTint="66"/>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b/>
                <w:sz w:val="18"/>
              </w:rPr>
            </w:pPr>
          </w:p>
        </w:tc>
      </w:tr>
      <w:tr w:rsidR="008A4CA2" w:rsidRPr="009D1595" w:rsidTr="003C6835">
        <w:tc>
          <w:tcPr>
            <w:cnfStyle w:val="001000000000" w:firstRow="0" w:lastRow="0" w:firstColumn="1" w:lastColumn="0" w:oddVBand="0" w:evenVBand="0" w:oddHBand="0" w:evenHBand="0" w:firstRowFirstColumn="0" w:firstRowLastColumn="0" w:lastRowFirstColumn="0" w:lastRowLastColumn="0"/>
            <w:tcW w:w="2628" w:type="dxa"/>
          </w:tcPr>
          <w:p w:rsidR="008A4CA2" w:rsidRPr="009D1595" w:rsidRDefault="008A4CA2" w:rsidP="003C6835">
            <w:pPr>
              <w:rPr>
                <w:b w:val="0"/>
                <w:sz w:val="18"/>
              </w:rPr>
            </w:pPr>
            <w:r w:rsidRPr="009D1595">
              <w:rPr>
                <w:b w:val="0"/>
                <w:sz w:val="18"/>
              </w:rPr>
              <w:t>Million Lei</w:t>
            </w:r>
          </w:p>
        </w:tc>
        <w:tc>
          <w:tcPr>
            <w:tcW w:w="126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4</w:t>
            </w:r>
          </w:p>
        </w:tc>
        <w:tc>
          <w:tcPr>
            <w:tcW w:w="108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1</w:t>
            </w:r>
          </w:p>
        </w:tc>
        <w:tc>
          <w:tcPr>
            <w:tcW w:w="108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0</w:t>
            </w:r>
          </w:p>
        </w:tc>
        <w:tc>
          <w:tcPr>
            <w:tcW w:w="108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23</w:t>
            </w:r>
          </w:p>
        </w:tc>
        <w:tc>
          <w:tcPr>
            <w:tcW w:w="126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23</w:t>
            </w:r>
          </w:p>
        </w:tc>
        <w:tc>
          <w:tcPr>
            <w:tcW w:w="1188"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9</w:t>
            </w:r>
          </w:p>
        </w:tc>
      </w:tr>
      <w:tr w:rsidR="008A4CA2" w:rsidRPr="009D1595" w:rsidTr="003C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8A4CA2" w:rsidRPr="009D1595" w:rsidRDefault="008A4CA2" w:rsidP="003C6835">
            <w:pPr>
              <w:rPr>
                <w:b w:val="0"/>
                <w:sz w:val="18"/>
              </w:rPr>
            </w:pPr>
            <w:r w:rsidRPr="009D1595">
              <w:rPr>
                <w:b w:val="0"/>
                <w:sz w:val="18"/>
              </w:rPr>
              <w:t>% of G.D.P.</w:t>
            </w:r>
          </w:p>
        </w:tc>
        <w:tc>
          <w:tcPr>
            <w:tcW w:w="126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08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08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08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26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188"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r>
      <w:tr w:rsidR="008A4CA2" w:rsidRPr="009D1595" w:rsidTr="003C6835">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8A4CA2" w:rsidRPr="009D1595" w:rsidRDefault="008A4CA2" w:rsidP="003C6835">
            <w:pPr>
              <w:rPr>
                <w:sz w:val="18"/>
              </w:rPr>
            </w:pPr>
            <w:r w:rsidRPr="009D1595">
              <w:rPr>
                <w:sz w:val="18"/>
              </w:rPr>
              <w:t>Social assistance</w:t>
            </w:r>
          </w:p>
        </w:tc>
        <w:tc>
          <w:tcPr>
            <w:tcW w:w="1260" w:type="dxa"/>
            <w:shd w:val="clear" w:color="auto" w:fill="ACB9CA" w:themeFill="text2" w:themeFillTint="66"/>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p>
        </w:tc>
        <w:tc>
          <w:tcPr>
            <w:tcW w:w="1260" w:type="dxa"/>
            <w:shd w:val="clear" w:color="auto" w:fill="ACB9CA" w:themeFill="text2" w:themeFillTint="66"/>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p>
        </w:tc>
        <w:tc>
          <w:tcPr>
            <w:tcW w:w="1188" w:type="dxa"/>
            <w:shd w:val="clear" w:color="auto" w:fill="ACB9CA" w:themeFill="text2" w:themeFillTint="66"/>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p>
        </w:tc>
      </w:tr>
      <w:tr w:rsidR="008A4CA2" w:rsidRPr="009D1595" w:rsidTr="003C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8A4CA2" w:rsidRPr="009D1595" w:rsidRDefault="008A4CA2" w:rsidP="003C6835">
            <w:pPr>
              <w:rPr>
                <w:b w:val="0"/>
                <w:sz w:val="18"/>
              </w:rPr>
            </w:pPr>
            <w:r w:rsidRPr="009D1595">
              <w:rPr>
                <w:b w:val="0"/>
                <w:sz w:val="18"/>
              </w:rPr>
              <w:t>Million Lei</w:t>
            </w:r>
          </w:p>
        </w:tc>
        <w:tc>
          <w:tcPr>
            <w:tcW w:w="126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16,661</w:t>
            </w:r>
          </w:p>
        </w:tc>
        <w:tc>
          <w:tcPr>
            <w:tcW w:w="108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19,198</w:t>
            </w:r>
          </w:p>
        </w:tc>
        <w:tc>
          <w:tcPr>
            <w:tcW w:w="108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20,631</w:t>
            </w:r>
          </w:p>
        </w:tc>
        <w:tc>
          <w:tcPr>
            <w:tcW w:w="108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26,290</w:t>
            </w:r>
          </w:p>
        </w:tc>
        <w:tc>
          <w:tcPr>
            <w:tcW w:w="126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27,884</w:t>
            </w:r>
          </w:p>
        </w:tc>
        <w:tc>
          <w:tcPr>
            <w:tcW w:w="1188"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28,613</w:t>
            </w:r>
          </w:p>
        </w:tc>
      </w:tr>
      <w:tr w:rsidR="008A4CA2" w:rsidRPr="009D1595" w:rsidTr="003C6835">
        <w:tc>
          <w:tcPr>
            <w:cnfStyle w:val="001000000000" w:firstRow="0" w:lastRow="0" w:firstColumn="1" w:lastColumn="0" w:oddVBand="0" w:evenVBand="0" w:oddHBand="0" w:evenHBand="0" w:firstRowFirstColumn="0" w:firstRowLastColumn="0" w:lastRowFirstColumn="0" w:lastRowLastColumn="0"/>
            <w:tcW w:w="2628" w:type="dxa"/>
          </w:tcPr>
          <w:p w:rsidR="008A4CA2" w:rsidRPr="009D1595" w:rsidRDefault="008A4CA2" w:rsidP="003C6835">
            <w:pPr>
              <w:rPr>
                <w:b w:val="0"/>
                <w:sz w:val="18"/>
              </w:rPr>
            </w:pPr>
            <w:r w:rsidRPr="009D1595">
              <w:rPr>
                <w:b w:val="0"/>
                <w:sz w:val="18"/>
              </w:rPr>
              <w:t>% of G.D.P.</w:t>
            </w:r>
          </w:p>
        </w:tc>
        <w:tc>
          <w:tcPr>
            <w:tcW w:w="126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2.19</w:t>
            </w:r>
          </w:p>
        </w:tc>
        <w:tc>
          <w:tcPr>
            <w:tcW w:w="108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2.28</w:t>
            </w:r>
          </w:p>
        </w:tc>
        <w:tc>
          <w:tcPr>
            <w:tcW w:w="108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2.19</w:t>
            </w:r>
          </w:p>
        </w:tc>
        <w:tc>
          <w:tcPr>
            <w:tcW w:w="108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2.69</w:t>
            </w:r>
          </w:p>
        </w:tc>
        <w:tc>
          <w:tcPr>
            <w:tcW w:w="126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2.65</w:t>
            </w:r>
          </w:p>
        </w:tc>
        <w:tc>
          <w:tcPr>
            <w:tcW w:w="1188"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2.54</w:t>
            </w:r>
          </w:p>
        </w:tc>
      </w:tr>
      <w:tr w:rsidR="008A4CA2" w:rsidRPr="009D1595" w:rsidTr="003C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8A4CA2" w:rsidRPr="009D1595" w:rsidRDefault="008A4CA2" w:rsidP="003C6835">
            <w:pPr>
              <w:rPr>
                <w:sz w:val="18"/>
              </w:rPr>
            </w:pPr>
            <w:r w:rsidRPr="009D1595">
              <w:rPr>
                <w:sz w:val="18"/>
              </w:rPr>
              <w:t>Projects with financing from external non-reimbursable funds corresponding to the financial framework 2014-2020</w:t>
            </w:r>
          </w:p>
        </w:tc>
        <w:tc>
          <w:tcPr>
            <w:tcW w:w="1260" w:type="dxa"/>
            <w:shd w:val="clear" w:color="auto" w:fill="ACB9CA" w:themeFill="text2" w:themeFillTint="66"/>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p>
        </w:tc>
        <w:tc>
          <w:tcPr>
            <w:tcW w:w="1260" w:type="dxa"/>
            <w:shd w:val="clear" w:color="auto" w:fill="ACB9CA" w:themeFill="text2" w:themeFillTint="66"/>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p>
        </w:tc>
        <w:tc>
          <w:tcPr>
            <w:tcW w:w="1188" w:type="dxa"/>
            <w:shd w:val="clear" w:color="auto" w:fill="ACB9CA" w:themeFill="text2" w:themeFillTint="66"/>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p>
        </w:tc>
      </w:tr>
      <w:tr w:rsidR="008A4CA2" w:rsidRPr="009D1595" w:rsidTr="003C6835">
        <w:tc>
          <w:tcPr>
            <w:cnfStyle w:val="001000000000" w:firstRow="0" w:lastRow="0" w:firstColumn="1" w:lastColumn="0" w:oddVBand="0" w:evenVBand="0" w:oddHBand="0" w:evenHBand="0" w:firstRowFirstColumn="0" w:firstRowLastColumn="0" w:lastRowFirstColumn="0" w:lastRowLastColumn="0"/>
            <w:tcW w:w="2628" w:type="dxa"/>
          </w:tcPr>
          <w:p w:rsidR="008A4CA2" w:rsidRPr="009D1595" w:rsidRDefault="008A4CA2" w:rsidP="003C6835">
            <w:pPr>
              <w:rPr>
                <w:b w:val="0"/>
                <w:sz w:val="18"/>
              </w:rPr>
            </w:pPr>
            <w:r w:rsidRPr="009D1595">
              <w:rPr>
                <w:b w:val="0"/>
                <w:sz w:val="18"/>
              </w:rPr>
              <w:t>Million Lei</w:t>
            </w:r>
          </w:p>
        </w:tc>
        <w:tc>
          <w:tcPr>
            <w:tcW w:w="126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2</w:t>
            </w:r>
          </w:p>
        </w:tc>
        <w:tc>
          <w:tcPr>
            <w:tcW w:w="108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7</w:t>
            </w:r>
          </w:p>
        </w:tc>
        <w:tc>
          <w:tcPr>
            <w:tcW w:w="108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11</w:t>
            </w:r>
          </w:p>
        </w:tc>
        <w:tc>
          <w:tcPr>
            <w:tcW w:w="108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31</w:t>
            </w:r>
          </w:p>
        </w:tc>
        <w:tc>
          <w:tcPr>
            <w:tcW w:w="126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16</w:t>
            </w:r>
          </w:p>
        </w:tc>
        <w:tc>
          <w:tcPr>
            <w:tcW w:w="1188"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0</w:t>
            </w:r>
          </w:p>
        </w:tc>
      </w:tr>
      <w:tr w:rsidR="008A4CA2" w:rsidRPr="009D1595" w:rsidTr="003C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8A4CA2" w:rsidRPr="009D1595" w:rsidRDefault="008A4CA2" w:rsidP="003C6835">
            <w:pPr>
              <w:rPr>
                <w:b w:val="0"/>
                <w:sz w:val="18"/>
              </w:rPr>
            </w:pPr>
            <w:r w:rsidRPr="009D1595">
              <w:rPr>
                <w:b w:val="0"/>
                <w:sz w:val="18"/>
              </w:rPr>
              <w:t>% of G.D.P.</w:t>
            </w:r>
          </w:p>
        </w:tc>
        <w:tc>
          <w:tcPr>
            <w:tcW w:w="126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08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08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08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26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188"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r>
      <w:tr w:rsidR="008A4CA2" w:rsidRPr="009D1595" w:rsidTr="003C6835">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8A4CA2" w:rsidRPr="009D1595" w:rsidRDefault="008A4CA2" w:rsidP="003C6835">
            <w:pPr>
              <w:rPr>
                <w:sz w:val="18"/>
              </w:rPr>
            </w:pPr>
            <w:r w:rsidRPr="009D1595">
              <w:rPr>
                <w:sz w:val="18"/>
              </w:rPr>
              <w:t>Other expenditures</w:t>
            </w:r>
          </w:p>
        </w:tc>
        <w:tc>
          <w:tcPr>
            <w:tcW w:w="1260" w:type="dxa"/>
            <w:shd w:val="clear" w:color="auto" w:fill="ACB9CA" w:themeFill="text2" w:themeFillTint="66"/>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p>
        </w:tc>
        <w:tc>
          <w:tcPr>
            <w:tcW w:w="1260" w:type="dxa"/>
            <w:shd w:val="clear" w:color="auto" w:fill="ACB9CA" w:themeFill="text2" w:themeFillTint="66"/>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p>
        </w:tc>
        <w:tc>
          <w:tcPr>
            <w:tcW w:w="1188" w:type="dxa"/>
            <w:shd w:val="clear" w:color="auto" w:fill="ACB9CA" w:themeFill="text2" w:themeFillTint="66"/>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p>
        </w:tc>
      </w:tr>
      <w:tr w:rsidR="008A4CA2" w:rsidRPr="009D1595" w:rsidTr="003C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8A4CA2" w:rsidRPr="009D1595" w:rsidRDefault="008A4CA2" w:rsidP="003C6835">
            <w:pPr>
              <w:rPr>
                <w:b w:val="0"/>
                <w:sz w:val="18"/>
              </w:rPr>
            </w:pPr>
            <w:r w:rsidRPr="009D1595">
              <w:rPr>
                <w:b w:val="0"/>
                <w:sz w:val="18"/>
              </w:rPr>
              <w:t>Million Lei</w:t>
            </w:r>
          </w:p>
        </w:tc>
        <w:tc>
          <w:tcPr>
            <w:tcW w:w="126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29</w:t>
            </w:r>
          </w:p>
        </w:tc>
        <w:tc>
          <w:tcPr>
            <w:tcW w:w="108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27</w:t>
            </w:r>
          </w:p>
        </w:tc>
        <w:tc>
          <w:tcPr>
            <w:tcW w:w="108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26</w:t>
            </w:r>
          </w:p>
        </w:tc>
        <w:tc>
          <w:tcPr>
            <w:tcW w:w="108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41</w:t>
            </w:r>
          </w:p>
        </w:tc>
        <w:tc>
          <w:tcPr>
            <w:tcW w:w="126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39</w:t>
            </w:r>
          </w:p>
        </w:tc>
        <w:tc>
          <w:tcPr>
            <w:tcW w:w="1188"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40</w:t>
            </w:r>
          </w:p>
        </w:tc>
      </w:tr>
      <w:tr w:rsidR="008A4CA2" w:rsidRPr="009D1595" w:rsidTr="003C6835">
        <w:tc>
          <w:tcPr>
            <w:cnfStyle w:val="001000000000" w:firstRow="0" w:lastRow="0" w:firstColumn="1" w:lastColumn="0" w:oddVBand="0" w:evenVBand="0" w:oddHBand="0" w:evenHBand="0" w:firstRowFirstColumn="0" w:firstRowLastColumn="0" w:lastRowFirstColumn="0" w:lastRowLastColumn="0"/>
            <w:tcW w:w="2628" w:type="dxa"/>
          </w:tcPr>
          <w:p w:rsidR="008A4CA2" w:rsidRPr="009D1595" w:rsidRDefault="008A4CA2" w:rsidP="003C6835">
            <w:pPr>
              <w:rPr>
                <w:b w:val="0"/>
                <w:sz w:val="18"/>
              </w:rPr>
            </w:pPr>
            <w:r w:rsidRPr="009D1595">
              <w:rPr>
                <w:b w:val="0"/>
                <w:sz w:val="18"/>
              </w:rPr>
              <w:t>% of G.D.P.</w:t>
            </w:r>
          </w:p>
        </w:tc>
        <w:tc>
          <w:tcPr>
            <w:tcW w:w="126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c>
          <w:tcPr>
            <w:tcW w:w="108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c>
          <w:tcPr>
            <w:tcW w:w="108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c>
          <w:tcPr>
            <w:tcW w:w="108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c>
          <w:tcPr>
            <w:tcW w:w="126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c>
          <w:tcPr>
            <w:tcW w:w="1188"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r>
      <w:tr w:rsidR="008A4CA2" w:rsidRPr="009D1595" w:rsidTr="003C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8A4CA2" w:rsidRPr="009D1595" w:rsidRDefault="008A4CA2" w:rsidP="003C6835">
            <w:pPr>
              <w:rPr>
                <w:sz w:val="18"/>
              </w:rPr>
            </w:pPr>
            <w:r w:rsidRPr="009D1595">
              <w:rPr>
                <w:sz w:val="18"/>
              </w:rPr>
              <w:t>Expenditures corresponding to programs with reimbursable financing</w:t>
            </w:r>
          </w:p>
        </w:tc>
        <w:tc>
          <w:tcPr>
            <w:tcW w:w="1260" w:type="dxa"/>
            <w:shd w:val="clear" w:color="auto" w:fill="ACB9CA" w:themeFill="text2" w:themeFillTint="66"/>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p>
        </w:tc>
        <w:tc>
          <w:tcPr>
            <w:tcW w:w="1260" w:type="dxa"/>
            <w:shd w:val="clear" w:color="auto" w:fill="ACB9CA" w:themeFill="text2" w:themeFillTint="66"/>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p>
        </w:tc>
        <w:tc>
          <w:tcPr>
            <w:tcW w:w="1188" w:type="dxa"/>
            <w:shd w:val="clear" w:color="auto" w:fill="ACB9CA" w:themeFill="text2" w:themeFillTint="66"/>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p>
        </w:tc>
      </w:tr>
      <w:tr w:rsidR="008A4CA2" w:rsidRPr="009D1595" w:rsidTr="003C6835">
        <w:tc>
          <w:tcPr>
            <w:cnfStyle w:val="001000000000" w:firstRow="0" w:lastRow="0" w:firstColumn="1" w:lastColumn="0" w:oddVBand="0" w:evenVBand="0" w:oddHBand="0" w:evenHBand="0" w:firstRowFirstColumn="0" w:firstRowLastColumn="0" w:lastRowFirstColumn="0" w:lastRowLastColumn="0"/>
            <w:tcW w:w="2628" w:type="dxa"/>
          </w:tcPr>
          <w:p w:rsidR="008A4CA2" w:rsidRPr="009D1595" w:rsidRDefault="008A4CA2" w:rsidP="003C6835">
            <w:pPr>
              <w:rPr>
                <w:b w:val="0"/>
                <w:sz w:val="18"/>
              </w:rPr>
            </w:pPr>
            <w:r w:rsidRPr="009D1595">
              <w:rPr>
                <w:b w:val="0"/>
                <w:sz w:val="18"/>
              </w:rPr>
              <w:t>Million Lei</w:t>
            </w:r>
          </w:p>
        </w:tc>
        <w:tc>
          <w:tcPr>
            <w:tcW w:w="126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5</w:t>
            </w:r>
          </w:p>
        </w:tc>
        <w:tc>
          <w:tcPr>
            <w:tcW w:w="108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9</w:t>
            </w:r>
          </w:p>
        </w:tc>
        <w:tc>
          <w:tcPr>
            <w:tcW w:w="108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1</w:t>
            </w:r>
          </w:p>
        </w:tc>
        <w:tc>
          <w:tcPr>
            <w:tcW w:w="108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p>
        </w:tc>
        <w:tc>
          <w:tcPr>
            <w:tcW w:w="126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p>
        </w:tc>
        <w:tc>
          <w:tcPr>
            <w:tcW w:w="1188"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p>
        </w:tc>
      </w:tr>
      <w:tr w:rsidR="008A4CA2" w:rsidRPr="009D1595" w:rsidTr="003C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8A4CA2" w:rsidRPr="009D1595" w:rsidRDefault="008A4CA2" w:rsidP="003C6835">
            <w:pPr>
              <w:rPr>
                <w:b w:val="0"/>
                <w:sz w:val="18"/>
              </w:rPr>
            </w:pPr>
            <w:r w:rsidRPr="009D1595">
              <w:rPr>
                <w:b w:val="0"/>
                <w:sz w:val="18"/>
              </w:rPr>
              <w:t>% of G.D.P.</w:t>
            </w:r>
          </w:p>
        </w:tc>
        <w:tc>
          <w:tcPr>
            <w:tcW w:w="126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08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08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08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26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188"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r>
      <w:tr w:rsidR="008A4CA2" w:rsidRPr="009D1595" w:rsidTr="003C6835">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8A4CA2" w:rsidRPr="009D1595" w:rsidRDefault="008A4CA2" w:rsidP="003C6835">
            <w:pPr>
              <w:rPr>
                <w:sz w:val="18"/>
              </w:rPr>
            </w:pPr>
            <w:r w:rsidRPr="009D1595">
              <w:rPr>
                <w:sz w:val="18"/>
              </w:rPr>
              <w:t>Non-financial assets</w:t>
            </w:r>
          </w:p>
        </w:tc>
        <w:tc>
          <w:tcPr>
            <w:tcW w:w="1260" w:type="dxa"/>
            <w:shd w:val="clear" w:color="auto" w:fill="ACB9CA" w:themeFill="text2" w:themeFillTint="66"/>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p>
        </w:tc>
        <w:tc>
          <w:tcPr>
            <w:tcW w:w="1260" w:type="dxa"/>
            <w:shd w:val="clear" w:color="auto" w:fill="ACB9CA" w:themeFill="text2" w:themeFillTint="66"/>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p>
        </w:tc>
        <w:tc>
          <w:tcPr>
            <w:tcW w:w="1188" w:type="dxa"/>
            <w:shd w:val="clear" w:color="auto" w:fill="ACB9CA" w:themeFill="text2" w:themeFillTint="66"/>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p>
        </w:tc>
      </w:tr>
      <w:tr w:rsidR="008A4CA2" w:rsidRPr="009D1595" w:rsidTr="003C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8A4CA2" w:rsidRPr="009D1595" w:rsidRDefault="008A4CA2" w:rsidP="003C6835">
            <w:pPr>
              <w:rPr>
                <w:b w:val="0"/>
                <w:sz w:val="18"/>
              </w:rPr>
            </w:pPr>
            <w:r w:rsidRPr="009D1595">
              <w:rPr>
                <w:b w:val="0"/>
                <w:sz w:val="18"/>
              </w:rPr>
              <w:t>Million Lei</w:t>
            </w:r>
          </w:p>
        </w:tc>
        <w:tc>
          <w:tcPr>
            <w:tcW w:w="126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5</w:t>
            </w:r>
          </w:p>
        </w:tc>
        <w:tc>
          <w:tcPr>
            <w:tcW w:w="108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3</w:t>
            </w:r>
          </w:p>
        </w:tc>
        <w:tc>
          <w:tcPr>
            <w:tcW w:w="108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2</w:t>
            </w:r>
          </w:p>
        </w:tc>
        <w:tc>
          <w:tcPr>
            <w:tcW w:w="108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10</w:t>
            </w:r>
          </w:p>
        </w:tc>
        <w:tc>
          <w:tcPr>
            <w:tcW w:w="126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24</w:t>
            </w:r>
          </w:p>
        </w:tc>
        <w:tc>
          <w:tcPr>
            <w:tcW w:w="1188"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24</w:t>
            </w:r>
          </w:p>
        </w:tc>
      </w:tr>
      <w:tr w:rsidR="008A4CA2" w:rsidRPr="009D1595" w:rsidTr="003C6835">
        <w:tc>
          <w:tcPr>
            <w:cnfStyle w:val="001000000000" w:firstRow="0" w:lastRow="0" w:firstColumn="1" w:lastColumn="0" w:oddVBand="0" w:evenVBand="0" w:oddHBand="0" w:evenHBand="0" w:firstRowFirstColumn="0" w:firstRowLastColumn="0" w:lastRowFirstColumn="0" w:lastRowLastColumn="0"/>
            <w:tcW w:w="2628" w:type="dxa"/>
          </w:tcPr>
          <w:p w:rsidR="008A4CA2" w:rsidRPr="009D1595" w:rsidRDefault="008A4CA2" w:rsidP="003C6835">
            <w:pPr>
              <w:rPr>
                <w:b w:val="0"/>
                <w:sz w:val="18"/>
              </w:rPr>
            </w:pPr>
            <w:r w:rsidRPr="009D1595">
              <w:rPr>
                <w:b w:val="0"/>
                <w:sz w:val="18"/>
              </w:rPr>
              <w:t>% of G.D.P.</w:t>
            </w:r>
          </w:p>
        </w:tc>
        <w:tc>
          <w:tcPr>
            <w:tcW w:w="126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c>
          <w:tcPr>
            <w:tcW w:w="108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c>
          <w:tcPr>
            <w:tcW w:w="108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c>
          <w:tcPr>
            <w:tcW w:w="108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c>
          <w:tcPr>
            <w:tcW w:w="126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c>
          <w:tcPr>
            <w:tcW w:w="1188"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r>
      <w:tr w:rsidR="008A4CA2" w:rsidRPr="009D1595" w:rsidTr="003C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8A4CA2" w:rsidRPr="009D1595" w:rsidRDefault="008A4CA2" w:rsidP="003C6835">
            <w:pPr>
              <w:rPr>
                <w:sz w:val="18"/>
              </w:rPr>
            </w:pPr>
            <w:r w:rsidRPr="009D1595">
              <w:rPr>
                <w:sz w:val="18"/>
              </w:rPr>
              <w:t>Payments made in previous years and recovered in the current year</w:t>
            </w:r>
          </w:p>
        </w:tc>
        <w:tc>
          <w:tcPr>
            <w:tcW w:w="1260" w:type="dxa"/>
            <w:shd w:val="clear" w:color="auto" w:fill="ACB9CA" w:themeFill="text2" w:themeFillTint="66"/>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p>
        </w:tc>
        <w:tc>
          <w:tcPr>
            <w:tcW w:w="1260" w:type="dxa"/>
            <w:shd w:val="clear" w:color="auto" w:fill="ACB9CA" w:themeFill="text2" w:themeFillTint="66"/>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p>
        </w:tc>
        <w:tc>
          <w:tcPr>
            <w:tcW w:w="1188" w:type="dxa"/>
            <w:shd w:val="clear" w:color="auto" w:fill="ACB9CA" w:themeFill="text2" w:themeFillTint="66"/>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p>
        </w:tc>
      </w:tr>
      <w:tr w:rsidR="008A4CA2" w:rsidRPr="009D1595" w:rsidTr="003C6835">
        <w:tc>
          <w:tcPr>
            <w:cnfStyle w:val="001000000000" w:firstRow="0" w:lastRow="0" w:firstColumn="1" w:lastColumn="0" w:oddVBand="0" w:evenVBand="0" w:oddHBand="0" w:evenHBand="0" w:firstRowFirstColumn="0" w:firstRowLastColumn="0" w:lastRowFirstColumn="0" w:lastRowLastColumn="0"/>
            <w:tcW w:w="2628" w:type="dxa"/>
          </w:tcPr>
          <w:p w:rsidR="008A4CA2" w:rsidRPr="009D1595" w:rsidRDefault="008A4CA2" w:rsidP="003C6835">
            <w:pPr>
              <w:rPr>
                <w:b w:val="0"/>
                <w:sz w:val="18"/>
              </w:rPr>
            </w:pPr>
            <w:r w:rsidRPr="009D1595">
              <w:rPr>
                <w:b w:val="0"/>
                <w:sz w:val="18"/>
              </w:rPr>
              <w:t>Million Lei</w:t>
            </w:r>
          </w:p>
        </w:tc>
        <w:tc>
          <w:tcPr>
            <w:tcW w:w="126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p>
        </w:tc>
        <w:tc>
          <w:tcPr>
            <w:tcW w:w="108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-30</w:t>
            </w:r>
          </w:p>
        </w:tc>
        <w:tc>
          <w:tcPr>
            <w:tcW w:w="108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r>
              <w:rPr>
                <w:sz w:val="18"/>
              </w:rPr>
              <w:t>-35</w:t>
            </w:r>
          </w:p>
        </w:tc>
        <w:tc>
          <w:tcPr>
            <w:tcW w:w="108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p>
        </w:tc>
        <w:tc>
          <w:tcPr>
            <w:tcW w:w="1260"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p>
        </w:tc>
        <w:tc>
          <w:tcPr>
            <w:tcW w:w="1188" w:type="dxa"/>
          </w:tcPr>
          <w:p w:rsidR="008A4CA2" w:rsidRPr="009D1595" w:rsidRDefault="008A4CA2" w:rsidP="003C6835">
            <w:pPr>
              <w:cnfStyle w:val="000000000000" w:firstRow="0" w:lastRow="0" w:firstColumn="0" w:lastColumn="0" w:oddVBand="0" w:evenVBand="0" w:oddHBand="0" w:evenHBand="0" w:firstRowFirstColumn="0" w:firstRowLastColumn="0" w:lastRowFirstColumn="0" w:lastRowLastColumn="0"/>
              <w:rPr>
                <w:sz w:val="18"/>
              </w:rPr>
            </w:pPr>
          </w:p>
        </w:tc>
      </w:tr>
      <w:tr w:rsidR="008A4CA2" w:rsidRPr="009D1595" w:rsidTr="003C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8A4CA2" w:rsidRPr="009D1595" w:rsidRDefault="008A4CA2" w:rsidP="003C6835">
            <w:pPr>
              <w:rPr>
                <w:b w:val="0"/>
                <w:sz w:val="18"/>
              </w:rPr>
            </w:pPr>
            <w:r w:rsidRPr="009D1595">
              <w:rPr>
                <w:b w:val="0"/>
                <w:sz w:val="18"/>
              </w:rPr>
              <w:t>% of G.D.P.</w:t>
            </w:r>
          </w:p>
        </w:tc>
        <w:tc>
          <w:tcPr>
            <w:tcW w:w="126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08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08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08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260"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188" w:type="dxa"/>
          </w:tcPr>
          <w:p w:rsidR="008A4CA2" w:rsidRPr="009D1595" w:rsidRDefault="008A4CA2"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r>
    </w:tbl>
    <w:p w:rsidR="008A4CA2" w:rsidRDefault="00F00F75" w:rsidP="008A4CA2">
      <w:r>
        <w:t>*) Includes</w:t>
      </w:r>
      <w:r w:rsidR="008A4CA2">
        <w:t xml:space="preserve"> subsidies established to balance the social insurance budget, as follows:</w:t>
      </w:r>
    </w:p>
    <w:p w:rsidR="008A4CA2" w:rsidRDefault="008A4CA2" w:rsidP="008A4CA2">
      <w:r>
        <w:t>- in 2016 – 15,097.0 million Lei;</w:t>
      </w:r>
    </w:p>
    <w:p w:rsidR="008A4CA2" w:rsidRDefault="008A4CA2" w:rsidP="008A4CA2">
      <w:r>
        <w:t>- in 2017- 13,585.6 million Lei;</w:t>
      </w:r>
    </w:p>
    <w:p w:rsidR="008A4CA2" w:rsidRDefault="008A4CA2" w:rsidP="008A4CA2">
      <w:r>
        <w:t>- in 2018 – 4,815.2 million Lei;</w:t>
      </w:r>
    </w:p>
    <w:p w:rsidR="008A4CA2" w:rsidRDefault="008A4CA2" w:rsidP="008A4CA2">
      <w:r>
        <w:t>- in 2019 – 0 million Lei;</w:t>
      </w:r>
    </w:p>
    <w:p w:rsidR="008A4CA2" w:rsidRDefault="008A4CA2" w:rsidP="008A4CA2">
      <w:r>
        <w:t>- in 2020 – 4,619.9 million Lei;</w:t>
      </w:r>
    </w:p>
    <w:p w:rsidR="008A4CA2" w:rsidRPr="009D1595" w:rsidRDefault="008A4CA2" w:rsidP="008A4CA2">
      <w:r>
        <w:t xml:space="preserve">- in 2021 – 3,627.0 million Lei </w:t>
      </w:r>
    </w:p>
    <w:p w:rsidR="00C21188" w:rsidRDefault="00C21188" w:rsidP="00C21188"/>
    <w:p w:rsidR="001B2458" w:rsidRDefault="001B2458" w:rsidP="00C21188"/>
    <w:p w:rsidR="001B2458" w:rsidRDefault="001B2458" w:rsidP="001B2458">
      <w:pPr>
        <w:jc w:val="right"/>
      </w:pPr>
      <w:r>
        <w:t xml:space="preserve">- Million Lei- </w:t>
      </w:r>
    </w:p>
    <w:tbl>
      <w:tblPr>
        <w:tblStyle w:val="LightList"/>
        <w:tblW w:w="0" w:type="auto"/>
        <w:tblLook w:val="04A0" w:firstRow="1" w:lastRow="0" w:firstColumn="1" w:lastColumn="0" w:noHBand="0" w:noVBand="1"/>
      </w:tblPr>
      <w:tblGrid>
        <w:gridCol w:w="2628"/>
        <w:gridCol w:w="1260"/>
        <w:gridCol w:w="1080"/>
        <w:gridCol w:w="1080"/>
        <w:gridCol w:w="1080"/>
        <w:gridCol w:w="1260"/>
        <w:gridCol w:w="1188"/>
      </w:tblGrid>
      <w:tr w:rsidR="001F58C5" w:rsidRPr="009D1595" w:rsidTr="003C68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7"/>
            <w:shd w:val="clear" w:color="auto" w:fill="auto"/>
          </w:tcPr>
          <w:p w:rsidR="001F58C5" w:rsidRDefault="001F58C5" w:rsidP="003C6835">
            <w:pPr>
              <w:jc w:val="center"/>
              <w:rPr>
                <w:color w:val="auto"/>
                <w:sz w:val="20"/>
              </w:rPr>
            </w:pPr>
            <w:r w:rsidRPr="009D1595">
              <w:rPr>
                <w:color w:val="auto"/>
                <w:sz w:val="20"/>
              </w:rPr>
              <w:t xml:space="preserve">Annex </w:t>
            </w:r>
            <w:r>
              <w:rPr>
                <w:color w:val="auto"/>
                <w:sz w:val="20"/>
              </w:rPr>
              <w:t xml:space="preserve">2 </w:t>
            </w:r>
            <w:r w:rsidRPr="009D1595">
              <w:rPr>
                <w:color w:val="auto"/>
                <w:sz w:val="20"/>
              </w:rPr>
              <w:t xml:space="preserve">- Expenditures of the Ministry of </w:t>
            </w:r>
            <w:r>
              <w:rPr>
                <w:color w:val="auto"/>
                <w:sz w:val="20"/>
              </w:rPr>
              <w:t>Agriculture and Rural Development</w:t>
            </w:r>
            <w:r w:rsidRPr="009D1595">
              <w:rPr>
                <w:color w:val="auto"/>
                <w:sz w:val="20"/>
              </w:rPr>
              <w:t xml:space="preserve"> from the State budget </w:t>
            </w:r>
          </w:p>
          <w:p w:rsidR="001F58C5" w:rsidRPr="009D1595" w:rsidRDefault="001F58C5" w:rsidP="003C6835">
            <w:pPr>
              <w:jc w:val="center"/>
              <w:rPr>
                <w:color w:val="auto"/>
                <w:sz w:val="20"/>
              </w:rPr>
            </w:pPr>
            <w:r w:rsidRPr="009D1595">
              <w:rPr>
                <w:color w:val="auto"/>
                <w:sz w:val="20"/>
              </w:rPr>
              <w:t>between 2016 and 2021</w:t>
            </w:r>
          </w:p>
          <w:p w:rsidR="001F58C5" w:rsidRPr="009D1595" w:rsidRDefault="001F58C5" w:rsidP="003C6835">
            <w:pPr>
              <w:rPr>
                <w:color w:val="auto"/>
                <w:sz w:val="18"/>
              </w:rPr>
            </w:pPr>
          </w:p>
        </w:tc>
      </w:tr>
      <w:tr w:rsidR="001F58C5" w:rsidRPr="009D1595" w:rsidTr="003C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1F58C5" w:rsidRPr="009D1595" w:rsidRDefault="001F58C5" w:rsidP="003C6835">
            <w:pPr>
              <w:rPr>
                <w:sz w:val="18"/>
              </w:rPr>
            </w:pPr>
          </w:p>
        </w:tc>
        <w:tc>
          <w:tcPr>
            <w:tcW w:w="126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sidRPr="009D1595">
              <w:rPr>
                <w:sz w:val="18"/>
              </w:rPr>
              <w:t>2016</w:t>
            </w:r>
          </w:p>
        </w:tc>
        <w:tc>
          <w:tcPr>
            <w:tcW w:w="108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sidRPr="009D1595">
              <w:rPr>
                <w:sz w:val="18"/>
              </w:rPr>
              <w:t>2017</w:t>
            </w:r>
          </w:p>
        </w:tc>
        <w:tc>
          <w:tcPr>
            <w:tcW w:w="108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sidRPr="009D1595">
              <w:rPr>
                <w:sz w:val="18"/>
              </w:rPr>
              <w:t>2018</w:t>
            </w:r>
          </w:p>
        </w:tc>
        <w:tc>
          <w:tcPr>
            <w:tcW w:w="108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sidRPr="009D1595">
              <w:rPr>
                <w:sz w:val="18"/>
              </w:rPr>
              <w:t>2019</w:t>
            </w:r>
          </w:p>
        </w:tc>
        <w:tc>
          <w:tcPr>
            <w:tcW w:w="126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sidRPr="009D1595">
              <w:rPr>
                <w:sz w:val="18"/>
              </w:rPr>
              <w:t>2020</w:t>
            </w:r>
          </w:p>
        </w:tc>
        <w:tc>
          <w:tcPr>
            <w:tcW w:w="1188"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sidRPr="009D1595">
              <w:rPr>
                <w:sz w:val="18"/>
              </w:rPr>
              <w:t>2021</w:t>
            </w:r>
          </w:p>
        </w:tc>
      </w:tr>
      <w:tr w:rsidR="001F58C5" w:rsidRPr="009D1595" w:rsidTr="003C6835">
        <w:tc>
          <w:tcPr>
            <w:cnfStyle w:val="001000000000" w:firstRow="0" w:lastRow="0" w:firstColumn="1" w:lastColumn="0" w:oddVBand="0" w:evenVBand="0" w:oddHBand="0" w:evenHBand="0" w:firstRowFirstColumn="0" w:firstRowLastColumn="0" w:lastRowFirstColumn="0" w:lastRowLastColumn="0"/>
            <w:tcW w:w="9576" w:type="dxa"/>
            <w:gridSpan w:val="7"/>
            <w:shd w:val="clear" w:color="auto" w:fill="ACB9CA" w:themeFill="text2" w:themeFillTint="66"/>
          </w:tcPr>
          <w:p w:rsidR="001F58C5" w:rsidRPr="009D1595" w:rsidRDefault="001F58C5" w:rsidP="003C6835">
            <w:pPr>
              <w:rPr>
                <w:sz w:val="18"/>
              </w:rPr>
            </w:pPr>
            <w:r w:rsidRPr="009D1595">
              <w:rPr>
                <w:sz w:val="18"/>
              </w:rPr>
              <w:t xml:space="preserve">TOTAL EXPENDITURES </w:t>
            </w:r>
          </w:p>
        </w:tc>
      </w:tr>
      <w:tr w:rsidR="001F58C5" w:rsidRPr="009D1595" w:rsidTr="003C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1F58C5" w:rsidRPr="009D1595" w:rsidRDefault="001F58C5" w:rsidP="003C6835">
            <w:pPr>
              <w:rPr>
                <w:b w:val="0"/>
                <w:sz w:val="18"/>
              </w:rPr>
            </w:pPr>
            <w:r w:rsidRPr="009D1595">
              <w:rPr>
                <w:b w:val="0"/>
                <w:sz w:val="18"/>
              </w:rPr>
              <w:t>Million Lei</w:t>
            </w:r>
          </w:p>
        </w:tc>
        <w:tc>
          <w:tcPr>
            <w:tcW w:w="126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6,946</w:t>
            </w:r>
          </w:p>
        </w:tc>
        <w:tc>
          <w:tcPr>
            <w:tcW w:w="108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16,541</w:t>
            </w:r>
          </w:p>
        </w:tc>
        <w:tc>
          <w:tcPr>
            <w:tcW w:w="108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19,800</w:t>
            </w:r>
          </w:p>
        </w:tc>
        <w:tc>
          <w:tcPr>
            <w:tcW w:w="108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22,764</w:t>
            </w:r>
          </w:p>
        </w:tc>
        <w:tc>
          <w:tcPr>
            <w:tcW w:w="126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18,572</w:t>
            </w:r>
          </w:p>
        </w:tc>
        <w:tc>
          <w:tcPr>
            <w:tcW w:w="1188"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18,369</w:t>
            </w:r>
          </w:p>
        </w:tc>
      </w:tr>
      <w:tr w:rsidR="001F58C5" w:rsidRPr="009D1595" w:rsidTr="003C6835">
        <w:tc>
          <w:tcPr>
            <w:cnfStyle w:val="001000000000" w:firstRow="0" w:lastRow="0" w:firstColumn="1" w:lastColumn="0" w:oddVBand="0" w:evenVBand="0" w:oddHBand="0" w:evenHBand="0" w:firstRowFirstColumn="0" w:firstRowLastColumn="0" w:lastRowFirstColumn="0" w:lastRowLastColumn="0"/>
            <w:tcW w:w="2628" w:type="dxa"/>
          </w:tcPr>
          <w:p w:rsidR="001F58C5" w:rsidRPr="009D1595" w:rsidRDefault="001F58C5" w:rsidP="003C6835">
            <w:pPr>
              <w:rPr>
                <w:b w:val="0"/>
                <w:sz w:val="18"/>
              </w:rPr>
            </w:pPr>
            <w:r w:rsidRPr="009D1595">
              <w:rPr>
                <w:b w:val="0"/>
                <w:sz w:val="18"/>
              </w:rPr>
              <w:t>% of G.D.P.</w:t>
            </w:r>
          </w:p>
        </w:tc>
        <w:tc>
          <w:tcPr>
            <w:tcW w:w="1260"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0.91</w:t>
            </w:r>
          </w:p>
        </w:tc>
        <w:tc>
          <w:tcPr>
            <w:tcW w:w="1080"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1.96</w:t>
            </w:r>
          </w:p>
        </w:tc>
        <w:tc>
          <w:tcPr>
            <w:tcW w:w="1080"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2.11</w:t>
            </w:r>
          </w:p>
        </w:tc>
        <w:tc>
          <w:tcPr>
            <w:tcW w:w="1080"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2.33</w:t>
            </w:r>
          </w:p>
        </w:tc>
        <w:tc>
          <w:tcPr>
            <w:tcW w:w="1260"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1.77</w:t>
            </w:r>
          </w:p>
        </w:tc>
        <w:tc>
          <w:tcPr>
            <w:tcW w:w="1188"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1.63</w:t>
            </w:r>
          </w:p>
        </w:tc>
      </w:tr>
      <w:tr w:rsidR="001F58C5" w:rsidRPr="009D1595" w:rsidTr="003C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1F58C5" w:rsidRPr="009D1595" w:rsidRDefault="001F58C5" w:rsidP="003C6835">
            <w:pPr>
              <w:rPr>
                <w:sz w:val="18"/>
              </w:rPr>
            </w:pPr>
            <w:r w:rsidRPr="009D1595">
              <w:rPr>
                <w:sz w:val="18"/>
              </w:rPr>
              <w:t>Personnel expenditures</w:t>
            </w:r>
          </w:p>
        </w:tc>
        <w:tc>
          <w:tcPr>
            <w:tcW w:w="1260" w:type="dxa"/>
            <w:shd w:val="clear" w:color="auto" w:fill="ACB9CA" w:themeFill="text2" w:themeFillTint="66"/>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p>
        </w:tc>
        <w:tc>
          <w:tcPr>
            <w:tcW w:w="1260" w:type="dxa"/>
            <w:shd w:val="clear" w:color="auto" w:fill="ACB9CA" w:themeFill="text2" w:themeFillTint="66"/>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p>
        </w:tc>
        <w:tc>
          <w:tcPr>
            <w:tcW w:w="1188" w:type="dxa"/>
            <w:shd w:val="clear" w:color="auto" w:fill="ACB9CA" w:themeFill="text2" w:themeFillTint="66"/>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p>
        </w:tc>
      </w:tr>
      <w:tr w:rsidR="001F58C5" w:rsidRPr="009D1595" w:rsidTr="003C6835">
        <w:tc>
          <w:tcPr>
            <w:cnfStyle w:val="001000000000" w:firstRow="0" w:lastRow="0" w:firstColumn="1" w:lastColumn="0" w:oddVBand="0" w:evenVBand="0" w:oddHBand="0" w:evenHBand="0" w:firstRowFirstColumn="0" w:firstRowLastColumn="0" w:lastRowFirstColumn="0" w:lastRowLastColumn="0"/>
            <w:tcW w:w="2628" w:type="dxa"/>
          </w:tcPr>
          <w:p w:rsidR="001F58C5" w:rsidRPr="009D1595" w:rsidRDefault="001F58C5" w:rsidP="003C6835">
            <w:pPr>
              <w:rPr>
                <w:b w:val="0"/>
                <w:sz w:val="18"/>
              </w:rPr>
            </w:pPr>
            <w:r w:rsidRPr="009D1595">
              <w:rPr>
                <w:b w:val="0"/>
                <w:sz w:val="18"/>
              </w:rPr>
              <w:t>Million Lei</w:t>
            </w:r>
          </w:p>
        </w:tc>
        <w:tc>
          <w:tcPr>
            <w:tcW w:w="1260"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559</w:t>
            </w:r>
          </w:p>
        </w:tc>
        <w:tc>
          <w:tcPr>
            <w:tcW w:w="1080"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579</w:t>
            </w:r>
          </w:p>
        </w:tc>
        <w:tc>
          <w:tcPr>
            <w:tcW w:w="1080"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613</w:t>
            </w:r>
          </w:p>
        </w:tc>
        <w:tc>
          <w:tcPr>
            <w:tcW w:w="1080"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667</w:t>
            </w:r>
          </w:p>
        </w:tc>
        <w:tc>
          <w:tcPr>
            <w:tcW w:w="1260"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694</w:t>
            </w:r>
          </w:p>
        </w:tc>
        <w:tc>
          <w:tcPr>
            <w:tcW w:w="1188"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727</w:t>
            </w:r>
          </w:p>
        </w:tc>
      </w:tr>
      <w:tr w:rsidR="001F58C5" w:rsidRPr="009D1595" w:rsidTr="003C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1F58C5" w:rsidRPr="009D1595" w:rsidRDefault="001F58C5" w:rsidP="003C6835">
            <w:pPr>
              <w:rPr>
                <w:b w:val="0"/>
                <w:sz w:val="18"/>
              </w:rPr>
            </w:pPr>
            <w:r w:rsidRPr="009D1595">
              <w:rPr>
                <w:b w:val="0"/>
                <w:sz w:val="18"/>
              </w:rPr>
              <w:t>% of G.D.P.</w:t>
            </w:r>
          </w:p>
        </w:tc>
        <w:tc>
          <w:tcPr>
            <w:tcW w:w="126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0.07</w:t>
            </w:r>
          </w:p>
        </w:tc>
        <w:tc>
          <w:tcPr>
            <w:tcW w:w="108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0.07</w:t>
            </w:r>
          </w:p>
        </w:tc>
        <w:tc>
          <w:tcPr>
            <w:tcW w:w="108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0.07</w:t>
            </w:r>
          </w:p>
        </w:tc>
        <w:tc>
          <w:tcPr>
            <w:tcW w:w="108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0.07</w:t>
            </w:r>
          </w:p>
        </w:tc>
        <w:tc>
          <w:tcPr>
            <w:tcW w:w="126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0.07</w:t>
            </w:r>
          </w:p>
        </w:tc>
        <w:tc>
          <w:tcPr>
            <w:tcW w:w="1188"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0.06</w:t>
            </w:r>
          </w:p>
        </w:tc>
      </w:tr>
      <w:tr w:rsidR="001F58C5" w:rsidRPr="009D1595" w:rsidTr="003C6835">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1F58C5" w:rsidRPr="009D1595" w:rsidRDefault="001F58C5" w:rsidP="003C6835">
            <w:pPr>
              <w:rPr>
                <w:sz w:val="18"/>
              </w:rPr>
            </w:pPr>
            <w:r w:rsidRPr="009D1595">
              <w:rPr>
                <w:sz w:val="18"/>
              </w:rPr>
              <w:t>Goods and services</w:t>
            </w:r>
          </w:p>
        </w:tc>
        <w:tc>
          <w:tcPr>
            <w:tcW w:w="1260" w:type="dxa"/>
            <w:shd w:val="clear" w:color="auto" w:fill="ACB9CA" w:themeFill="text2" w:themeFillTint="66"/>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p>
        </w:tc>
        <w:tc>
          <w:tcPr>
            <w:tcW w:w="1260" w:type="dxa"/>
            <w:shd w:val="clear" w:color="auto" w:fill="ACB9CA" w:themeFill="text2" w:themeFillTint="66"/>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p>
        </w:tc>
        <w:tc>
          <w:tcPr>
            <w:tcW w:w="1188" w:type="dxa"/>
            <w:shd w:val="clear" w:color="auto" w:fill="ACB9CA" w:themeFill="text2" w:themeFillTint="66"/>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p>
        </w:tc>
      </w:tr>
      <w:tr w:rsidR="001F58C5" w:rsidRPr="009D1595" w:rsidTr="003C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1F58C5" w:rsidRPr="009D1595" w:rsidRDefault="001F58C5" w:rsidP="003C6835">
            <w:pPr>
              <w:rPr>
                <w:b w:val="0"/>
                <w:sz w:val="18"/>
              </w:rPr>
            </w:pPr>
            <w:r w:rsidRPr="009D1595">
              <w:rPr>
                <w:b w:val="0"/>
                <w:sz w:val="18"/>
              </w:rPr>
              <w:t>Million Lei</w:t>
            </w:r>
          </w:p>
        </w:tc>
        <w:tc>
          <w:tcPr>
            <w:tcW w:w="126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114</w:t>
            </w:r>
          </w:p>
        </w:tc>
        <w:tc>
          <w:tcPr>
            <w:tcW w:w="108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129</w:t>
            </w:r>
          </w:p>
        </w:tc>
        <w:tc>
          <w:tcPr>
            <w:tcW w:w="108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79</w:t>
            </w:r>
          </w:p>
        </w:tc>
        <w:tc>
          <w:tcPr>
            <w:tcW w:w="108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95</w:t>
            </w:r>
          </w:p>
        </w:tc>
        <w:tc>
          <w:tcPr>
            <w:tcW w:w="126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92</w:t>
            </w:r>
          </w:p>
        </w:tc>
        <w:tc>
          <w:tcPr>
            <w:tcW w:w="1188"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92</w:t>
            </w:r>
          </w:p>
        </w:tc>
      </w:tr>
      <w:tr w:rsidR="001F58C5" w:rsidRPr="009D1595" w:rsidTr="003C6835">
        <w:tc>
          <w:tcPr>
            <w:cnfStyle w:val="001000000000" w:firstRow="0" w:lastRow="0" w:firstColumn="1" w:lastColumn="0" w:oddVBand="0" w:evenVBand="0" w:oddHBand="0" w:evenHBand="0" w:firstRowFirstColumn="0" w:firstRowLastColumn="0" w:lastRowFirstColumn="0" w:lastRowLastColumn="0"/>
            <w:tcW w:w="2628" w:type="dxa"/>
          </w:tcPr>
          <w:p w:rsidR="001F58C5" w:rsidRPr="009D1595" w:rsidRDefault="001F58C5" w:rsidP="003C6835">
            <w:pPr>
              <w:rPr>
                <w:b w:val="0"/>
                <w:sz w:val="18"/>
              </w:rPr>
            </w:pPr>
            <w:r w:rsidRPr="009D1595">
              <w:rPr>
                <w:b w:val="0"/>
                <w:sz w:val="18"/>
              </w:rPr>
              <w:t>% of G.D.P.</w:t>
            </w:r>
          </w:p>
        </w:tc>
        <w:tc>
          <w:tcPr>
            <w:tcW w:w="1260"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0.02</w:t>
            </w:r>
          </w:p>
        </w:tc>
        <w:tc>
          <w:tcPr>
            <w:tcW w:w="1080"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0.02</w:t>
            </w:r>
          </w:p>
        </w:tc>
        <w:tc>
          <w:tcPr>
            <w:tcW w:w="1080"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0.01</w:t>
            </w:r>
          </w:p>
        </w:tc>
        <w:tc>
          <w:tcPr>
            <w:tcW w:w="1080"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0.01</w:t>
            </w:r>
          </w:p>
        </w:tc>
        <w:tc>
          <w:tcPr>
            <w:tcW w:w="1260"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0.01</w:t>
            </w:r>
          </w:p>
        </w:tc>
        <w:tc>
          <w:tcPr>
            <w:tcW w:w="1188"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0.01</w:t>
            </w:r>
          </w:p>
        </w:tc>
      </w:tr>
      <w:tr w:rsidR="001F58C5" w:rsidRPr="009D1595" w:rsidTr="003C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1F58C5" w:rsidRPr="009D1595" w:rsidRDefault="001F58C5" w:rsidP="003C6835">
            <w:pPr>
              <w:rPr>
                <w:sz w:val="18"/>
              </w:rPr>
            </w:pPr>
            <w:r w:rsidRPr="009D1595">
              <w:rPr>
                <w:sz w:val="18"/>
              </w:rPr>
              <w:t>Subsidies</w:t>
            </w:r>
          </w:p>
        </w:tc>
        <w:tc>
          <w:tcPr>
            <w:tcW w:w="1260" w:type="dxa"/>
            <w:shd w:val="clear" w:color="auto" w:fill="ACB9CA" w:themeFill="text2" w:themeFillTint="66"/>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p>
        </w:tc>
        <w:tc>
          <w:tcPr>
            <w:tcW w:w="1260" w:type="dxa"/>
            <w:shd w:val="clear" w:color="auto" w:fill="ACB9CA" w:themeFill="text2" w:themeFillTint="66"/>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p>
        </w:tc>
        <w:tc>
          <w:tcPr>
            <w:tcW w:w="1188" w:type="dxa"/>
            <w:shd w:val="clear" w:color="auto" w:fill="ACB9CA" w:themeFill="text2" w:themeFillTint="66"/>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p>
        </w:tc>
      </w:tr>
      <w:tr w:rsidR="001F58C5" w:rsidRPr="009D1595" w:rsidTr="003C6835">
        <w:tc>
          <w:tcPr>
            <w:cnfStyle w:val="001000000000" w:firstRow="0" w:lastRow="0" w:firstColumn="1" w:lastColumn="0" w:oddVBand="0" w:evenVBand="0" w:oddHBand="0" w:evenHBand="0" w:firstRowFirstColumn="0" w:firstRowLastColumn="0" w:lastRowFirstColumn="0" w:lastRowLastColumn="0"/>
            <w:tcW w:w="2628" w:type="dxa"/>
          </w:tcPr>
          <w:p w:rsidR="001F58C5" w:rsidRPr="009D1595" w:rsidRDefault="001F58C5" w:rsidP="003C6835">
            <w:pPr>
              <w:rPr>
                <w:b w:val="0"/>
                <w:sz w:val="18"/>
              </w:rPr>
            </w:pPr>
            <w:r w:rsidRPr="009D1595">
              <w:rPr>
                <w:b w:val="0"/>
                <w:sz w:val="18"/>
              </w:rPr>
              <w:t>Million Lei</w:t>
            </w:r>
          </w:p>
        </w:tc>
        <w:tc>
          <w:tcPr>
            <w:tcW w:w="1260"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2,128</w:t>
            </w:r>
          </w:p>
        </w:tc>
        <w:tc>
          <w:tcPr>
            <w:tcW w:w="1080"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1,945</w:t>
            </w:r>
          </w:p>
        </w:tc>
        <w:tc>
          <w:tcPr>
            <w:tcW w:w="1080"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1,859</w:t>
            </w:r>
          </w:p>
        </w:tc>
        <w:tc>
          <w:tcPr>
            <w:tcW w:w="1080"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1,951</w:t>
            </w:r>
          </w:p>
        </w:tc>
        <w:tc>
          <w:tcPr>
            <w:tcW w:w="1260"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2,100</w:t>
            </w:r>
          </w:p>
        </w:tc>
        <w:tc>
          <w:tcPr>
            <w:tcW w:w="1188"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2,100</w:t>
            </w:r>
          </w:p>
        </w:tc>
      </w:tr>
      <w:tr w:rsidR="001F58C5" w:rsidRPr="009D1595" w:rsidTr="003C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1F58C5" w:rsidRPr="009D1595" w:rsidRDefault="001F58C5" w:rsidP="003C6835">
            <w:pPr>
              <w:rPr>
                <w:b w:val="0"/>
                <w:sz w:val="18"/>
              </w:rPr>
            </w:pPr>
            <w:r w:rsidRPr="009D1595">
              <w:rPr>
                <w:b w:val="0"/>
                <w:sz w:val="18"/>
              </w:rPr>
              <w:t>% of G.D.P.</w:t>
            </w:r>
          </w:p>
        </w:tc>
        <w:tc>
          <w:tcPr>
            <w:tcW w:w="126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0.28</w:t>
            </w:r>
          </w:p>
        </w:tc>
        <w:tc>
          <w:tcPr>
            <w:tcW w:w="108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0.23</w:t>
            </w:r>
          </w:p>
        </w:tc>
        <w:tc>
          <w:tcPr>
            <w:tcW w:w="108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0.20</w:t>
            </w:r>
          </w:p>
        </w:tc>
        <w:tc>
          <w:tcPr>
            <w:tcW w:w="108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0.20</w:t>
            </w:r>
          </w:p>
        </w:tc>
        <w:tc>
          <w:tcPr>
            <w:tcW w:w="126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0.20</w:t>
            </w:r>
          </w:p>
        </w:tc>
        <w:tc>
          <w:tcPr>
            <w:tcW w:w="1188"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0.19</w:t>
            </w:r>
          </w:p>
        </w:tc>
      </w:tr>
      <w:tr w:rsidR="001F58C5" w:rsidRPr="009D1595" w:rsidTr="003C6835">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1F58C5" w:rsidRPr="009D1595" w:rsidRDefault="001F58C5" w:rsidP="003C6835">
            <w:pPr>
              <w:rPr>
                <w:sz w:val="18"/>
              </w:rPr>
            </w:pPr>
            <w:r w:rsidRPr="009D1595">
              <w:rPr>
                <w:sz w:val="18"/>
              </w:rPr>
              <w:t>Transfers between public administration units</w:t>
            </w:r>
          </w:p>
        </w:tc>
        <w:tc>
          <w:tcPr>
            <w:tcW w:w="1260" w:type="dxa"/>
            <w:shd w:val="clear" w:color="auto" w:fill="ACB9CA" w:themeFill="text2" w:themeFillTint="66"/>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p>
        </w:tc>
        <w:tc>
          <w:tcPr>
            <w:tcW w:w="1260" w:type="dxa"/>
            <w:shd w:val="clear" w:color="auto" w:fill="ACB9CA" w:themeFill="text2" w:themeFillTint="66"/>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p>
        </w:tc>
        <w:tc>
          <w:tcPr>
            <w:tcW w:w="1188" w:type="dxa"/>
            <w:shd w:val="clear" w:color="auto" w:fill="ACB9CA" w:themeFill="text2" w:themeFillTint="66"/>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p>
        </w:tc>
      </w:tr>
      <w:tr w:rsidR="001F58C5" w:rsidRPr="009D1595" w:rsidTr="003C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1F58C5" w:rsidRPr="009D1595" w:rsidRDefault="001F58C5" w:rsidP="003C6835">
            <w:pPr>
              <w:rPr>
                <w:b w:val="0"/>
                <w:sz w:val="18"/>
              </w:rPr>
            </w:pPr>
            <w:r w:rsidRPr="009D1595">
              <w:rPr>
                <w:b w:val="0"/>
                <w:sz w:val="18"/>
              </w:rPr>
              <w:t>Million Lei</w:t>
            </w:r>
          </w:p>
        </w:tc>
        <w:tc>
          <w:tcPr>
            <w:tcW w:w="126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450</w:t>
            </w:r>
          </w:p>
        </w:tc>
        <w:tc>
          <w:tcPr>
            <w:tcW w:w="108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789</w:t>
            </w:r>
          </w:p>
        </w:tc>
        <w:tc>
          <w:tcPr>
            <w:tcW w:w="108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1,231</w:t>
            </w:r>
          </w:p>
        </w:tc>
        <w:tc>
          <w:tcPr>
            <w:tcW w:w="108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2,036</w:t>
            </w:r>
          </w:p>
        </w:tc>
        <w:tc>
          <w:tcPr>
            <w:tcW w:w="126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1,665</w:t>
            </w:r>
          </w:p>
        </w:tc>
        <w:tc>
          <w:tcPr>
            <w:tcW w:w="1188"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1,745</w:t>
            </w:r>
          </w:p>
        </w:tc>
      </w:tr>
      <w:tr w:rsidR="001F58C5" w:rsidRPr="009D1595" w:rsidTr="003C6835">
        <w:tc>
          <w:tcPr>
            <w:cnfStyle w:val="001000000000" w:firstRow="0" w:lastRow="0" w:firstColumn="1" w:lastColumn="0" w:oddVBand="0" w:evenVBand="0" w:oddHBand="0" w:evenHBand="0" w:firstRowFirstColumn="0" w:firstRowLastColumn="0" w:lastRowFirstColumn="0" w:lastRowLastColumn="0"/>
            <w:tcW w:w="2628" w:type="dxa"/>
          </w:tcPr>
          <w:p w:rsidR="001F58C5" w:rsidRPr="009D1595" w:rsidRDefault="001F58C5" w:rsidP="003C6835">
            <w:pPr>
              <w:rPr>
                <w:b w:val="0"/>
                <w:sz w:val="18"/>
              </w:rPr>
            </w:pPr>
            <w:r w:rsidRPr="009D1595">
              <w:rPr>
                <w:b w:val="0"/>
                <w:sz w:val="18"/>
              </w:rPr>
              <w:t>% of G.D.P.</w:t>
            </w:r>
          </w:p>
        </w:tc>
        <w:tc>
          <w:tcPr>
            <w:tcW w:w="1260"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0.06</w:t>
            </w:r>
          </w:p>
        </w:tc>
        <w:tc>
          <w:tcPr>
            <w:tcW w:w="1080"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0.09</w:t>
            </w:r>
          </w:p>
        </w:tc>
        <w:tc>
          <w:tcPr>
            <w:tcW w:w="1080"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0.13</w:t>
            </w:r>
          </w:p>
        </w:tc>
        <w:tc>
          <w:tcPr>
            <w:tcW w:w="1080"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0.21</w:t>
            </w:r>
          </w:p>
        </w:tc>
        <w:tc>
          <w:tcPr>
            <w:tcW w:w="1260"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0.16</w:t>
            </w:r>
          </w:p>
        </w:tc>
        <w:tc>
          <w:tcPr>
            <w:tcW w:w="1188"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0.15</w:t>
            </w:r>
          </w:p>
        </w:tc>
      </w:tr>
      <w:tr w:rsidR="001F58C5" w:rsidRPr="009D1595" w:rsidTr="003C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1F58C5" w:rsidRPr="009D1595" w:rsidRDefault="001F58C5" w:rsidP="003C6835">
            <w:pPr>
              <w:rPr>
                <w:sz w:val="18"/>
              </w:rPr>
            </w:pPr>
            <w:r w:rsidRPr="009D1595">
              <w:rPr>
                <w:sz w:val="18"/>
              </w:rPr>
              <w:t>Other transfers</w:t>
            </w:r>
          </w:p>
        </w:tc>
        <w:tc>
          <w:tcPr>
            <w:tcW w:w="1260" w:type="dxa"/>
            <w:shd w:val="clear" w:color="auto" w:fill="ACB9CA" w:themeFill="text2" w:themeFillTint="66"/>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p>
        </w:tc>
        <w:tc>
          <w:tcPr>
            <w:tcW w:w="1260" w:type="dxa"/>
            <w:shd w:val="clear" w:color="auto" w:fill="ACB9CA" w:themeFill="text2" w:themeFillTint="66"/>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p>
        </w:tc>
        <w:tc>
          <w:tcPr>
            <w:tcW w:w="1188" w:type="dxa"/>
            <w:shd w:val="clear" w:color="auto" w:fill="ACB9CA" w:themeFill="text2" w:themeFillTint="66"/>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p>
        </w:tc>
      </w:tr>
      <w:tr w:rsidR="001F58C5" w:rsidRPr="009D1595" w:rsidTr="003C6835">
        <w:tc>
          <w:tcPr>
            <w:cnfStyle w:val="001000000000" w:firstRow="0" w:lastRow="0" w:firstColumn="1" w:lastColumn="0" w:oddVBand="0" w:evenVBand="0" w:oddHBand="0" w:evenHBand="0" w:firstRowFirstColumn="0" w:firstRowLastColumn="0" w:lastRowFirstColumn="0" w:lastRowLastColumn="0"/>
            <w:tcW w:w="2628" w:type="dxa"/>
          </w:tcPr>
          <w:p w:rsidR="001F58C5" w:rsidRPr="009D1595" w:rsidRDefault="001F58C5" w:rsidP="003C6835">
            <w:pPr>
              <w:rPr>
                <w:b w:val="0"/>
                <w:sz w:val="18"/>
              </w:rPr>
            </w:pPr>
            <w:r w:rsidRPr="009D1595">
              <w:rPr>
                <w:b w:val="0"/>
                <w:sz w:val="18"/>
              </w:rPr>
              <w:t>Million Lei</w:t>
            </w:r>
          </w:p>
        </w:tc>
        <w:tc>
          <w:tcPr>
            <w:tcW w:w="1260"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16</w:t>
            </w:r>
          </w:p>
        </w:tc>
        <w:tc>
          <w:tcPr>
            <w:tcW w:w="1080"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19</w:t>
            </w:r>
          </w:p>
        </w:tc>
        <w:tc>
          <w:tcPr>
            <w:tcW w:w="1080"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98</w:t>
            </w:r>
          </w:p>
        </w:tc>
        <w:tc>
          <w:tcPr>
            <w:tcW w:w="1080"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137</w:t>
            </w:r>
          </w:p>
        </w:tc>
        <w:tc>
          <w:tcPr>
            <w:tcW w:w="1260"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135</w:t>
            </w:r>
          </w:p>
        </w:tc>
        <w:tc>
          <w:tcPr>
            <w:tcW w:w="1188"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135</w:t>
            </w:r>
          </w:p>
        </w:tc>
      </w:tr>
      <w:tr w:rsidR="001F58C5" w:rsidRPr="009D1595" w:rsidTr="003C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1F58C5" w:rsidRPr="009D1595" w:rsidRDefault="001F58C5" w:rsidP="003C6835">
            <w:pPr>
              <w:rPr>
                <w:b w:val="0"/>
                <w:sz w:val="18"/>
              </w:rPr>
            </w:pPr>
            <w:r w:rsidRPr="009D1595">
              <w:rPr>
                <w:b w:val="0"/>
                <w:sz w:val="18"/>
              </w:rPr>
              <w:t>% of G.D.P.</w:t>
            </w:r>
          </w:p>
        </w:tc>
        <w:tc>
          <w:tcPr>
            <w:tcW w:w="126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08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08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0.01</w:t>
            </w:r>
          </w:p>
        </w:tc>
        <w:tc>
          <w:tcPr>
            <w:tcW w:w="108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0.01</w:t>
            </w:r>
          </w:p>
        </w:tc>
        <w:tc>
          <w:tcPr>
            <w:tcW w:w="126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0.01</w:t>
            </w:r>
          </w:p>
        </w:tc>
        <w:tc>
          <w:tcPr>
            <w:tcW w:w="1188"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0.01</w:t>
            </w:r>
          </w:p>
        </w:tc>
      </w:tr>
      <w:tr w:rsidR="001F58C5" w:rsidRPr="009D1595" w:rsidTr="003C6835">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1F58C5" w:rsidRPr="009D1595" w:rsidRDefault="001F58C5" w:rsidP="003C6835">
            <w:pPr>
              <w:rPr>
                <w:sz w:val="18"/>
              </w:rPr>
            </w:pPr>
            <w:r w:rsidRPr="009D1595">
              <w:rPr>
                <w:sz w:val="18"/>
              </w:rPr>
              <w:t>Projects with financing from external non-reimbursable funds (ENF)</w:t>
            </w:r>
          </w:p>
        </w:tc>
        <w:tc>
          <w:tcPr>
            <w:tcW w:w="1260" w:type="dxa"/>
            <w:shd w:val="clear" w:color="auto" w:fill="ACB9CA" w:themeFill="text2" w:themeFillTint="66"/>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b/>
                <w:sz w:val="18"/>
              </w:rPr>
            </w:pPr>
          </w:p>
        </w:tc>
        <w:tc>
          <w:tcPr>
            <w:tcW w:w="1080" w:type="dxa"/>
            <w:shd w:val="clear" w:color="auto" w:fill="ACB9CA" w:themeFill="text2" w:themeFillTint="66"/>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b/>
                <w:sz w:val="18"/>
              </w:rPr>
            </w:pPr>
          </w:p>
        </w:tc>
        <w:tc>
          <w:tcPr>
            <w:tcW w:w="1080" w:type="dxa"/>
            <w:shd w:val="clear" w:color="auto" w:fill="ACB9CA" w:themeFill="text2" w:themeFillTint="66"/>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b/>
                <w:sz w:val="18"/>
              </w:rPr>
            </w:pPr>
          </w:p>
        </w:tc>
        <w:tc>
          <w:tcPr>
            <w:tcW w:w="1080" w:type="dxa"/>
            <w:shd w:val="clear" w:color="auto" w:fill="ACB9CA" w:themeFill="text2" w:themeFillTint="66"/>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b/>
                <w:sz w:val="18"/>
              </w:rPr>
            </w:pPr>
          </w:p>
        </w:tc>
        <w:tc>
          <w:tcPr>
            <w:tcW w:w="1260" w:type="dxa"/>
            <w:shd w:val="clear" w:color="auto" w:fill="ACB9CA" w:themeFill="text2" w:themeFillTint="66"/>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b/>
                <w:sz w:val="18"/>
              </w:rPr>
            </w:pPr>
          </w:p>
        </w:tc>
        <w:tc>
          <w:tcPr>
            <w:tcW w:w="1188" w:type="dxa"/>
            <w:shd w:val="clear" w:color="auto" w:fill="ACB9CA" w:themeFill="text2" w:themeFillTint="66"/>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b/>
                <w:sz w:val="18"/>
              </w:rPr>
            </w:pPr>
          </w:p>
        </w:tc>
      </w:tr>
      <w:tr w:rsidR="001F58C5" w:rsidRPr="009D1595" w:rsidTr="003C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1F58C5" w:rsidRPr="009D1595" w:rsidRDefault="001F58C5" w:rsidP="003C6835">
            <w:pPr>
              <w:rPr>
                <w:b w:val="0"/>
                <w:sz w:val="18"/>
              </w:rPr>
            </w:pPr>
            <w:r w:rsidRPr="009D1595">
              <w:rPr>
                <w:b w:val="0"/>
                <w:sz w:val="18"/>
              </w:rPr>
              <w:t>Million Lei</w:t>
            </w:r>
          </w:p>
        </w:tc>
        <w:tc>
          <w:tcPr>
            <w:tcW w:w="126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105</w:t>
            </w:r>
          </w:p>
        </w:tc>
        <w:tc>
          <w:tcPr>
            <w:tcW w:w="108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3</w:t>
            </w:r>
          </w:p>
        </w:tc>
        <w:tc>
          <w:tcPr>
            <w:tcW w:w="108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13</w:t>
            </w:r>
          </w:p>
        </w:tc>
        <w:tc>
          <w:tcPr>
            <w:tcW w:w="108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5</w:t>
            </w:r>
          </w:p>
        </w:tc>
        <w:tc>
          <w:tcPr>
            <w:tcW w:w="126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5</w:t>
            </w:r>
          </w:p>
        </w:tc>
        <w:tc>
          <w:tcPr>
            <w:tcW w:w="1188"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p>
        </w:tc>
      </w:tr>
      <w:tr w:rsidR="001F58C5" w:rsidRPr="009D1595" w:rsidTr="003C6835">
        <w:tc>
          <w:tcPr>
            <w:cnfStyle w:val="001000000000" w:firstRow="0" w:lastRow="0" w:firstColumn="1" w:lastColumn="0" w:oddVBand="0" w:evenVBand="0" w:oddHBand="0" w:evenHBand="0" w:firstRowFirstColumn="0" w:firstRowLastColumn="0" w:lastRowFirstColumn="0" w:lastRowLastColumn="0"/>
            <w:tcW w:w="2628" w:type="dxa"/>
          </w:tcPr>
          <w:p w:rsidR="001F58C5" w:rsidRPr="009D1595" w:rsidRDefault="001F58C5" w:rsidP="003C6835">
            <w:pPr>
              <w:rPr>
                <w:b w:val="0"/>
                <w:sz w:val="18"/>
              </w:rPr>
            </w:pPr>
            <w:r w:rsidRPr="009D1595">
              <w:rPr>
                <w:b w:val="0"/>
                <w:sz w:val="18"/>
              </w:rPr>
              <w:t>% of G.D.P.</w:t>
            </w:r>
          </w:p>
        </w:tc>
        <w:tc>
          <w:tcPr>
            <w:tcW w:w="1260"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0.01</w:t>
            </w:r>
          </w:p>
        </w:tc>
        <w:tc>
          <w:tcPr>
            <w:tcW w:w="1080"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c>
          <w:tcPr>
            <w:tcW w:w="1080"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c>
          <w:tcPr>
            <w:tcW w:w="1080"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c>
          <w:tcPr>
            <w:tcW w:w="1260"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c>
          <w:tcPr>
            <w:tcW w:w="1188"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r>
      <w:tr w:rsidR="001F58C5" w:rsidRPr="009D1595" w:rsidTr="003C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1F58C5" w:rsidRPr="009D1595" w:rsidRDefault="001F58C5" w:rsidP="003C6835">
            <w:pPr>
              <w:rPr>
                <w:sz w:val="18"/>
              </w:rPr>
            </w:pPr>
            <w:r w:rsidRPr="009D1595">
              <w:rPr>
                <w:sz w:val="18"/>
              </w:rPr>
              <w:t>Projects with financing from external non-reimbursable funds corresponding to the financial framework 2014-2020</w:t>
            </w:r>
          </w:p>
        </w:tc>
        <w:tc>
          <w:tcPr>
            <w:tcW w:w="1260" w:type="dxa"/>
            <w:shd w:val="clear" w:color="auto" w:fill="ACB9CA" w:themeFill="text2" w:themeFillTint="66"/>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p>
        </w:tc>
        <w:tc>
          <w:tcPr>
            <w:tcW w:w="1260" w:type="dxa"/>
            <w:shd w:val="clear" w:color="auto" w:fill="ACB9CA" w:themeFill="text2" w:themeFillTint="66"/>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p>
        </w:tc>
        <w:tc>
          <w:tcPr>
            <w:tcW w:w="1188" w:type="dxa"/>
            <w:shd w:val="clear" w:color="auto" w:fill="ACB9CA" w:themeFill="text2" w:themeFillTint="66"/>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p>
        </w:tc>
      </w:tr>
      <w:tr w:rsidR="001F58C5" w:rsidRPr="009D1595" w:rsidTr="003C6835">
        <w:tc>
          <w:tcPr>
            <w:cnfStyle w:val="001000000000" w:firstRow="0" w:lastRow="0" w:firstColumn="1" w:lastColumn="0" w:oddVBand="0" w:evenVBand="0" w:oddHBand="0" w:evenHBand="0" w:firstRowFirstColumn="0" w:firstRowLastColumn="0" w:lastRowFirstColumn="0" w:lastRowLastColumn="0"/>
            <w:tcW w:w="2628" w:type="dxa"/>
          </w:tcPr>
          <w:p w:rsidR="001F58C5" w:rsidRPr="009D1595" w:rsidRDefault="001F58C5" w:rsidP="003C6835">
            <w:pPr>
              <w:rPr>
                <w:b w:val="0"/>
                <w:sz w:val="18"/>
              </w:rPr>
            </w:pPr>
            <w:r w:rsidRPr="009D1595">
              <w:rPr>
                <w:b w:val="0"/>
                <w:sz w:val="18"/>
              </w:rPr>
              <w:t>Million Lei</w:t>
            </w:r>
          </w:p>
        </w:tc>
        <w:tc>
          <w:tcPr>
            <w:tcW w:w="1260"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3,417</w:t>
            </w:r>
          </w:p>
        </w:tc>
        <w:tc>
          <w:tcPr>
            <w:tcW w:w="1080"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13,154</w:t>
            </w:r>
          </w:p>
        </w:tc>
        <w:tc>
          <w:tcPr>
            <w:tcW w:w="1080"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15,962</w:t>
            </w:r>
          </w:p>
        </w:tc>
        <w:tc>
          <w:tcPr>
            <w:tcW w:w="1080"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17,772</w:t>
            </w:r>
          </w:p>
        </w:tc>
        <w:tc>
          <w:tcPr>
            <w:tcW w:w="1260"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13,802</w:t>
            </w:r>
          </w:p>
        </w:tc>
        <w:tc>
          <w:tcPr>
            <w:tcW w:w="1188"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13,490</w:t>
            </w:r>
          </w:p>
        </w:tc>
      </w:tr>
      <w:tr w:rsidR="001F58C5" w:rsidRPr="009D1595" w:rsidTr="003C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1F58C5" w:rsidRPr="009D1595" w:rsidRDefault="001F58C5" w:rsidP="003C6835">
            <w:pPr>
              <w:rPr>
                <w:b w:val="0"/>
                <w:sz w:val="18"/>
              </w:rPr>
            </w:pPr>
            <w:r w:rsidRPr="009D1595">
              <w:rPr>
                <w:b w:val="0"/>
                <w:sz w:val="18"/>
              </w:rPr>
              <w:t>% of G.D.P.</w:t>
            </w:r>
          </w:p>
        </w:tc>
        <w:tc>
          <w:tcPr>
            <w:tcW w:w="126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0.45</w:t>
            </w:r>
          </w:p>
        </w:tc>
        <w:tc>
          <w:tcPr>
            <w:tcW w:w="108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1.56</w:t>
            </w:r>
          </w:p>
        </w:tc>
        <w:tc>
          <w:tcPr>
            <w:tcW w:w="108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1.70</w:t>
            </w:r>
          </w:p>
        </w:tc>
        <w:tc>
          <w:tcPr>
            <w:tcW w:w="108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1.82</w:t>
            </w:r>
          </w:p>
        </w:tc>
        <w:tc>
          <w:tcPr>
            <w:tcW w:w="126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1.31</w:t>
            </w:r>
          </w:p>
        </w:tc>
        <w:tc>
          <w:tcPr>
            <w:tcW w:w="1188"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1.20</w:t>
            </w:r>
          </w:p>
        </w:tc>
      </w:tr>
      <w:tr w:rsidR="001F58C5" w:rsidRPr="009D1595" w:rsidTr="003C6835">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1F58C5" w:rsidRPr="009D1595" w:rsidRDefault="001F58C5" w:rsidP="003C6835">
            <w:pPr>
              <w:rPr>
                <w:sz w:val="18"/>
              </w:rPr>
            </w:pPr>
            <w:r w:rsidRPr="009D1595">
              <w:rPr>
                <w:sz w:val="18"/>
              </w:rPr>
              <w:t>Other expenditures</w:t>
            </w:r>
          </w:p>
        </w:tc>
        <w:tc>
          <w:tcPr>
            <w:tcW w:w="1260" w:type="dxa"/>
            <w:shd w:val="clear" w:color="auto" w:fill="ACB9CA" w:themeFill="text2" w:themeFillTint="66"/>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p>
        </w:tc>
        <w:tc>
          <w:tcPr>
            <w:tcW w:w="1260" w:type="dxa"/>
            <w:shd w:val="clear" w:color="auto" w:fill="ACB9CA" w:themeFill="text2" w:themeFillTint="66"/>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p>
        </w:tc>
        <w:tc>
          <w:tcPr>
            <w:tcW w:w="1188" w:type="dxa"/>
            <w:shd w:val="clear" w:color="auto" w:fill="ACB9CA" w:themeFill="text2" w:themeFillTint="66"/>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p>
        </w:tc>
      </w:tr>
      <w:tr w:rsidR="001F58C5" w:rsidRPr="009D1595" w:rsidTr="003C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1F58C5" w:rsidRPr="009D1595" w:rsidRDefault="001F58C5" w:rsidP="003C6835">
            <w:pPr>
              <w:rPr>
                <w:b w:val="0"/>
                <w:sz w:val="18"/>
              </w:rPr>
            </w:pPr>
            <w:r w:rsidRPr="009D1595">
              <w:rPr>
                <w:b w:val="0"/>
                <w:sz w:val="18"/>
              </w:rPr>
              <w:t>Million Lei</w:t>
            </w:r>
          </w:p>
        </w:tc>
        <w:tc>
          <w:tcPr>
            <w:tcW w:w="126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62</w:t>
            </w:r>
          </w:p>
        </w:tc>
        <w:tc>
          <w:tcPr>
            <w:tcW w:w="108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58</w:t>
            </w:r>
          </w:p>
        </w:tc>
        <w:tc>
          <w:tcPr>
            <w:tcW w:w="108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58</w:t>
            </w:r>
          </w:p>
        </w:tc>
        <w:tc>
          <w:tcPr>
            <w:tcW w:w="108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58</w:t>
            </w:r>
          </w:p>
        </w:tc>
        <w:tc>
          <w:tcPr>
            <w:tcW w:w="126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64</w:t>
            </w:r>
          </w:p>
        </w:tc>
        <w:tc>
          <w:tcPr>
            <w:tcW w:w="1188"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64</w:t>
            </w:r>
          </w:p>
        </w:tc>
      </w:tr>
      <w:tr w:rsidR="001F58C5" w:rsidRPr="009D1595" w:rsidTr="003C6835">
        <w:tc>
          <w:tcPr>
            <w:cnfStyle w:val="001000000000" w:firstRow="0" w:lastRow="0" w:firstColumn="1" w:lastColumn="0" w:oddVBand="0" w:evenVBand="0" w:oddHBand="0" w:evenHBand="0" w:firstRowFirstColumn="0" w:firstRowLastColumn="0" w:lastRowFirstColumn="0" w:lastRowLastColumn="0"/>
            <w:tcW w:w="2628" w:type="dxa"/>
          </w:tcPr>
          <w:p w:rsidR="001F58C5" w:rsidRPr="009D1595" w:rsidRDefault="001F58C5" w:rsidP="003C6835">
            <w:pPr>
              <w:rPr>
                <w:b w:val="0"/>
                <w:sz w:val="18"/>
              </w:rPr>
            </w:pPr>
            <w:r w:rsidRPr="009D1595">
              <w:rPr>
                <w:b w:val="0"/>
                <w:sz w:val="18"/>
              </w:rPr>
              <w:t>% of G.D.P.</w:t>
            </w:r>
          </w:p>
        </w:tc>
        <w:tc>
          <w:tcPr>
            <w:tcW w:w="1260"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0.01</w:t>
            </w:r>
          </w:p>
        </w:tc>
        <w:tc>
          <w:tcPr>
            <w:tcW w:w="1080"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0.01</w:t>
            </w:r>
          </w:p>
        </w:tc>
        <w:tc>
          <w:tcPr>
            <w:tcW w:w="1080" w:type="dxa"/>
          </w:tcPr>
          <w:p w:rsidR="001F58C5" w:rsidRDefault="001F58C5" w:rsidP="003C6835">
            <w:pPr>
              <w:cnfStyle w:val="000000000000" w:firstRow="0" w:lastRow="0" w:firstColumn="0" w:lastColumn="0" w:oddVBand="0" w:evenVBand="0" w:oddHBand="0" w:evenHBand="0" w:firstRowFirstColumn="0" w:firstRowLastColumn="0" w:lastRowFirstColumn="0" w:lastRowLastColumn="0"/>
            </w:pPr>
            <w:r w:rsidRPr="00CC00B8">
              <w:rPr>
                <w:sz w:val="18"/>
              </w:rPr>
              <w:t>0.01</w:t>
            </w:r>
          </w:p>
        </w:tc>
        <w:tc>
          <w:tcPr>
            <w:tcW w:w="1080" w:type="dxa"/>
          </w:tcPr>
          <w:p w:rsidR="001F58C5" w:rsidRDefault="001F58C5" w:rsidP="003C6835">
            <w:pPr>
              <w:cnfStyle w:val="000000000000" w:firstRow="0" w:lastRow="0" w:firstColumn="0" w:lastColumn="0" w:oddVBand="0" w:evenVBand="0" w:oddHBand="0" w:evenHBand="0" w:firstRowFirstColumn="0" w:firstRowLastColumn="0" w:lastRowFirstColumn="0" w:lastRowLastColumn="0"/>
            </w:pPr>
            <w:r w:rsidRPr="00CC00B8">
              <w:rPr>
                <w:sz w:val="18"/>
              </w:rPr>
              <w:t>0.01</w:t>
            </w:r>
          </w:p>
        </w:tc>
        <w:tc>
          <w:tcPr>
            <w:tcW w:w="1260" w:type="dxa"/>
          </w:tcPr>
          <w:p w:rsidR="001F58C5" w:rsidRDefault="001F58C5" w:rsidP="003C6835">
            <w:pPr>
              <w:cnfStyle w:val="000000000000" w:firstRow="0" w:lastRow="0" w:firstColumn="0" w:lastColumn="0" w:oddVBand="0" w:evenVBand="0" w:oddHBand="0" w:evenHBand="0" w:firstRowFirstColumn="0" w:firstRowLastColumn="0" w:lastRowFirstColumn="0" w:lastRowLastColumn="0"/>
            </w:pPr>
            <w:r w:rsidRPr="00CC00B8">
              <w:rPr>
                <w:sz w:val="18"/>
              </w:rPr>
              <w:t>0.01</w:t>
            </w:r>
          </w:p>
        </w:tc>
        <w:tc>
          <w:tcPr>
            <w:tcW w:w="1188" w:type="dxa"/>
          </w:tcPr>
          <w:p w:rsidR="001F58C5" w:rsidRDefault="001F58C5" w:rsidP="003C6835">
            <w:pPr>
              <w:cnfStyle w:val="000000000000" w:firstRow="0" w:lastRow="0" w:firstColumn="0" w:lastColumn="0" w:oddVBand="0" w:evenVBand="0" w:oddHBand="0" w:evenHBand="0" w:firstRowFirstColumn="0" w:firstRowLastColumn="0" w:lastRowFirstColumn="0" w:lastRowLastColumn="0"/>
            </w:pPr>
            <w:r w:rsidRPr="00CC00B8">
              <w:rPr>
                <w:sz w:val="18"/>
              </w:rPr>
              <w:t>0.01</w:t>
            </w:r>
          </w:p>
        </w:tc>
      </w:tr>
      <w:tr w:rsidR="001F58C5" w:rsidRPr="009D1595" w:rsidTr="003C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1F58C5" w:rsidRPr="009D1595" w:rsidRDefault="001F58C5" w:rsidP="003C6835">
            <w:pPr>
              <w:rPr>
                <w:sz w:val="18"/>
              </w:rPr>
            </w:pPr>
            <w:r w:rsidRPr="009D1595">
              <w:rPr>
                <w:sz w:val="18"/>
              </w:rPr>
              <w:t>Non-financial assets</w:t>
            </w:r>
          </w:p>
        </w:tc>
        <w:tc>
          <w:tcPr>
            <w:tcW w:w="1260" w:type="dxa"/>
            <w:shd w:val="clear" w:color="auto" w:fill="ACB9CA" w:themeFill="text2" w:themeFillTint="66"/>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p>
        </w:tc>
        <w:tc>
          <w:tcPr>
            <w:tcW w:w="1260" w:type="dxa"/>
            <w:shd w:val="clear" w:color="auto" w:fill="ACB9CA" w:themeFill="text2" w:themeFillTint="66"/>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p>
        </w:tc>
        <w:tc>
          <w:tcPr>
            <w:tcW w:w="1188" w:type="dxa"/>
            <w:shd w:val="clear" w:color="auto" w:fill="ACB9CA" w:themeFill="text2" w:themeFillTint="66"/>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p>
        </w:tc>
      </w:tr>
      <w:tr w:rsidR="001F58C5" w:rsidRPr="009D1595" w:rsidTr="003C6835">
        <w:tc>
          <w:tcPr>
            <w:cnfStyle w:val="001000000000" w:firstRow="0" w:lastRow="0" w:firstColumn="1" w:lastColumn="0" w:oddVBand="0" w:evenVBand="0" w:oddHBand="0" w:evenHBand="0" w:firstRowFirstColumn="0" w:firstRowLastColumn="0" w:lastRowFirstColumn="0" w:lastRowLastColumn="0"/>
            <w:tcW w:w="2628" w:type="dxa"/>
          </w:tcPr>
          <w:p w:rsidR="001F58C5" w:rsidRPr="009D1595" w:rsidRDefault="001F58C5" w:rsidP="003C6835">
            <w:pPr>
              <w:rPr>
                <w:b w:val="0"/>
                <w:sz w:val="18"/>
              </w:rPr>
            </w:pPr>
            <w:r w:rsidRPr="009D1595">
              <w:rPr>
                <w:b w:val="0"/>
                <w:sz w:val="18"/>
              </w:rPr>
              <w:t>Million Lei</w:t>
            </w:r>
          </w:p>
        </w:tc>
        <w:tc>
          <w:tcPr>
            <w:tcW w:w="1260"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94</w:t>
            </w:r>
          </w:p>
        </w:tc>
        <w:tc>
          <w:tcPr>
            <w:tcW w:w="1080"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33</w:t>
            </w:r>
          </w:p>
        </w:tc>
        <w:tc>
          <w:tcPr>
            <w:tcW w:w="1080"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16</w:t>
            </w:r>
          </w:p>
        </w:tc>
        <w:tc>
          <w:tcPr>
            <w:tcW w:w="1080"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42</w:t>
            </w:r>
          </w:p>
        </w:tc>
        <w:tc>
          <w:tcPr>
            <w:tcW w:w="1260"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15</w:t>
            </w:r>
          </w:p>
        </w:tc>
        <w:tc>
          <w:tcPr>
            <w:tcW w:w="1188"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15</w:t>
            </w:r>
          </w:p>
        </w:tc>
      </w:tr>
      <w:tr w:rsidR="001F58C5" w:rsidRPr="009D1595" w:rsidTr="003C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1F58C5" w:rsidRPr="009D1595" w:rsidRDefault="001F58C5" w:rsidP="003C6835">
            <w:pPr>
              <w:rPr>
                <w:b w:val="0"/>
                <w:sz w:val="18"/>
              </w:rPr>
            </w:pPr>
            <w:r w:rsidRPr="009D1595">
              <w:rPr>
                <w:b w:val="0"/>
                <w:sz w:val="18"/>
              </w:rPr>
              <w:t>% of G.D.P.</w:t>
            </w:r>
          </w:p>
        </w:tc>
        <w:tc>
          <w:tcPr>
            <w:tcW w:w="126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0.01</w:t>
            </w:r>
          </w:p>
        </w:tc>
        <w:tc>
          <w:tcPr>
            <w:tcW w:w="108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08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08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26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188"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r>
      <w:tr w:rsidR="001F58C5" w:rsidRPr="009D1595" w:rsidTr="00F00F75">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1F58C5" w:rsidRPr="009D1595" w:rsidRDefault="001F58C5" w:rsidP="003C6835">
            <w:pPr>
              <w:rPr>
                <w:sz w:val="18"/>
              </w:rPr>
            </w:pPr>
            <w:r w:rsidRPr="009D1595">
              <w:rPr>
                <w:sz w:val="18"/>
              </w:rPr>
              <w:t xml:space="preserve">Loans </w:t>
            </w:r>
          </w:p>
        </w:tc>
        <w:tc>
          <w:tcPr>
            <w:tcW w:w="1260" w:type="dxa"/>
            <w:shd w:val="clear" w:color="auto" w:fill="ACB9CA" w:themeFill="text2" w:themeFillTint="66"/>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p>
        </w:tc>
        <w:tc>
          <w:tcPr>
            <w:tcW w:w="1260" w:type="dxa"/>
            <w:shd w:val="clear" w:color="auto" w:fill="ACB9CA" w:themeFill="text2" w:themeFillTint="66"/>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p>
        </w:tc>
        <w:tc>
          <w:tcPr>
            <w:tcW w:w="1188" w:type="dxa"/>
            <w:shd w:val="clear" w:color="auto" w:fill="ACB9CA" w:themeFill="text2" w:themeFillTint="66"/>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p>
        </w:tc>
      </w:tr>
      <w:tr w:rsidR="001F58C5" w:rsidRPr="009D1595" w:rsidTr="003C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1F58C5" w:rsidRPr="009D1595" w:rsidRDefault="001F58C5" w:rsidP="003C6835">
            <w:pPr>
              <w:rPr>
                <w:b w:val="0"/>
                <w:sz w:val="18"/>
              </w:rPr>
            </w:pPr>
            <w:r w:rsidRPr="009D1595">
              <w:rPr>
                <w:b w:val="0"/>
                <w:sz w:val="18"/>
              </w:rPr>
              <w:t>Million Lei</w:t>
            </w:r>
          </w:p>
        </w:tc>
        <w:tc>
          <w:tcPr>
            <w:tcW w:w="126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p>
        </w:tc>
        <w:tc>
          <w:tcPr>
            <w:tcW w:w="108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p>
        </w:tc>
        <w:tc>
          <w:tcPr>
            <w:tcW w:w="108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p>
        </w:tc>
        <w:tc>
          <w:tcPr>
            <w:tcW w:w="108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1</w:t>
            </w:r>
          </w:p>
        </w:tc>
        <w:tc>
          <w:tcPr>
            <w:tcW w:w="126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1</w:t>
            </w:r>
          </w:p>
        </w:tc>
        <w:tc>
          <w:tcPr>
            <w:tcW w:w="1188"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1</w:t>
            </w:r>
          </w:p>
        </w:tc>
      </w:tr>
      <w:tr w:rsidR="001F58C5" w:rsidRPr="009D1595" w:rsidTr="003C6835">
        <w:tc>
          <w:tcPr>
            <w:cnfStyle w:val="001000000000" w:firstRow="0" w:lastRow="0" w:firstColumn="1" w:lastColumn="0" w:oddVBand="0" w:evenVBand="0" w:oddHBand="0" w:evenHBand="0" w:firstRowFirstColumn="0" w:firstRowLastColumn="0" w:lastRowFirstColumn="0" w:lastRowLastColumn="0"/>
            <w:tcW w:w="2628" w:type="dxa"/>
          </w:tcPr>
          <w:p w:rsidR="001F58C5" w:rsidRPr="009D1595" w:rsidRDefault="001F58C5" w:rsidP="003C6835">
            <w:pPr>
              <w:rPr>
                <w:b w:val="0"/>
                <w:sz w:val="18"/>
              </w:rPr>
            </w:pPr>
            <w:r w:rsidRPr="009D1595">
              <w:rPr>
                <w:b w:val="0"/>
                <w:sz w:val="18"/>
              </w:rPr>
              <w:t>% of G.D.P.</w:t>
            </w:r>
          </w:p>
        </w:tc>
        <w:tc>
          <w:tcPr>
            <w:tcW w:w="1260" w:type="dxa"/>
          </w:tcPr>
          <w:p w:rsidR="001F58C5" w:rsidRDefault="001F58C5" w:rsidP="003C6835">
            <w:pPr>
              <w:cnfStyle w:val="000000000000" w:firstRow="0" w:lastRow="0" w:firstColumn="0" w:lastColumn="0" w:oddVBand="0" w:evenVBand="0" w:oddHBand="0" w:evenHBand="0" w:firstRowFirstColumn="0" w:firstRowLastColumn="0" w:lastRowFirstColumn="0" w:lastRowLastColumn="0"/>
            </w:pPr>
            <w:r w:rsidRPr="00C6518A">
              <w:rPr>
                <w:sz w:val="18"/>
              </w:rPr>
              <w:t>0.00</w:t>
            </w:r>
          </w:p>
        </w:tc>
        <w:tc>
          <w:tcPr>
            <w:tcW w:w="1080" w:type="dxa"/>
          </w:tcPr>
          <w:p w:rsidR="001F58C5" w:rsidRDefault="001F58C5" w:rsidP="003C6835">
            <w:pPr>
              <w:cnfStyle w:val="000000000000" w:firstRow="0" w:lastRow="0" w:firstColumn="0" w:lastColumn="0" w:oddVBand="0" w:evenVBand="0" w:oddHBand="0" w:evenHBand="0" w:firstRowFirstColumn="0" w:firstRowLastColumn="0" w:lastRowFirstColumn="0" w:lastRowLastColumn="0"/>
            </w:pPr>
            <w:r w:rsidRPr="00C6518A">
              <w:rPr>
                <w:sz w:val="18"/>
              </w:rPr>
              <w:t>0.00</w:t>
            </w:r>
          </w:p>
        </w:tc>
        <w:tc>
          <w:tcPr>
            <w:tcW w:w="1080" w:type="dxa"/>
          </w:tcPr>
          <w:p w:rsidR="001F58C5" w:rsidRDefault="001F58C5" w:rsidP="003C6835">
            <w:pPr>
              <w:cnfStyle w:val="000000000000" w:firstRow="0" w:lastRow="0" w:firstColumn="0" w:lastColumn="0" w:oddVBand="0" w:evenVBand="0" w:oddHBand="0" w:evenHBand="0" w:firstRowFirstColumn="0" w:firstRowLastColumn="0" w:lastRowFirstColumn="0" w:lastRowLastColumn="0"/>
            </w:pPr>
            <w:r w:rsidRPr="00C6518A">
              <w:rPr>
                <w:sz w:val="18"/>
              </w:rPr>
              <w:t>0.00</w:t>
            </w:r>
          </w:p>
        </w:tc>
        <w:tc>
          <w:tcPr>
            <w:tcW w:w="1080" w:type="dxa"/>
          </w:tcPr>
          <w:p w:rsidR="001F58C5" w:rsidRDefault="001F58C5" w:rsidP="003C6835">
            <w:pPr>
              <w:cnfStyle w:val="000000000000" w:firstRow="0" w:lastRow="0" w:firstColumn="0" w:lastColumn="0" w:oddVBand="0" w:evenVBand="0" w:oddHBand="0" w:evenHBand="0" w:firstRowFirstColumn="0" w:firstRowLastColumn="0" w:lastRowFirstColumn="0" w:lastRowLastColumn="0"/>
            </w:pPr>
            <w:r w:rsidRPr="00C6518A">
              <w:rPr>
                <w:sz w:val="18"/>
              </w:rPr>
              <w:t>0.00</w:t>
            </w:r>
          </w:p>
        </w:tc>
        <w:tc>
          <w:tcPr>
            <w:tcW w:w="1260" w:type="dxa"/>
          </w:tcPr>
          <w:p w:rsidR="001F58C5" w:rsidRDefault="001F58C5" w:rsidP="003C6835">
            <w:pPr>
              <w:cnfStyle w:val="000000000000" w:firstRow="0" w:lastRow="0" w:firstColumn="0" w:lastColumn="0" w:oddVBand="0" w:evenVBand="0" w:oddHBand="0" w:evenHBand="0" w:firstRowFirstColumn="0" w:firstRowLastColumn="0" w:lastRowFirstColumn="0" w:lastRowLastColumn="0"/>
            </w:pPr>
            <w:r w:rsidRPr="00C6518A">
              <w:rPr>
                <w:sz w:val="18"/>
              </w:rPr>
              <w:t>0.00</w:t>
            </w:r>
          </w:p>
        </w:tc>
        <w:tc>
          <w:tcPr>
            <w:tcW w:w="1188" w:type="dxa"/>
          </w:tcPr>
          <w:p w:rsidR="001F58C5" w:rsidRDefault="001F58C5" w:rsidP="003C6835">
            <w:pPr>
              <w:cnfStyle w:val="000000000000" w:firstRow="0" w:lastRow="0" w:firstColumn="0" w:lastColumn="0" w:oddVBand="0" w:evenVBand="0" w:oddHBand="0" w:evenHBand="0" w:firstRowFirstColumn="0" w:firstRowLastColumn="0" w:lastRowFirstColumn="0" w:lastRowLastColumn="0"/>
            </w:pPr>
            <w:r w:rsidRPr="00C6518A">
              <w:rPr>
                <w:sz w:val="18"/>
              </w:rPr>
              <w:t>0.00</w:t>
            </w:r>
          </w:p>
        </w:tc>
      </w:tr>
      <w:tr w:rsidR="001F58C5" w:rsidRPr="009D1595" w:rsidTr="003C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1F58C5" w:rsidRPr="009D1595" w:rsidRDefault="001F58C5" w:rsidP="003C6835">
            <w:pPr>
              <w:rPr>
                <w:sz w:val="18"/>
              </w:rPr>
            </w:pPr>
            <w:r w:rsidRPr="009D1595">
              <w:rPr>
                <w:sz w:val="18"/>
              </w:rPr>
              <w:t>Payments made in previous years and recovered in the current year</w:t>
            </w:r>
          </w:p>
        </w:tc>
        <w:tc>
          <w:tcPr>
            <w:tcW w:w="1260" w:type="dxa"/>
            <w:shd w:val="clear" w:color="auto" w:fill="ACB9CA" w:themeFill="text2" w:themeFillTint="66"/>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p>
        </w:tc>
        <w:tc>
          <w:tcPr>
            <w:tcW w:w="1260" w:type="dxa"/>
            <w:shd w:val="clear" w:color="auto" w:fill="ACB9CA" w:themeFill="text2" w:themeFillTint="66"/>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p>
        </w:tc>
        <w:tc>
          <w:tcPr>
            <w:tcW w:w="1188" w:type="dxa"/>
            <w:shd w:val="clear" w:color="auto" w:fill="ACB9CA" w:themeFill="text2" w:themeFillTint="66"/>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p>
        </w:tc>
      </w:tr>
      <w:tr w:rsidR="001F58C5" w:rsidRPr="009D1595" w:rsidTr="003C6835">
        <w:tc>
          <w:tcPr>
            <w:cnfStyle w:val="001000000000" w:firstRow="0" w:lastRow="0" w:firstColumn="1" w:lastColumn="0" w:oddVBand="0" w:evenVBand="0" w:oddHBand="0" w:evenHBand="0" w:firstRowFirstColumn="0" w:firstRowLastColumn="0" w:lastRowFirstColumn="0" w:lastRowLastColumn="0"/>
            <w:tcW w:w="2628" w:type="dxa"/>
          </w:tcPr>
          <w:p w:rsidR="001F58C5" w:rsidRPr="009D1595" w:rsidRDefault="001F58C5" w:rsidP="003C6835">
            <w:pPr>
              <w:rPr>
                <w:b w:val="0"/>
                <w:sz w:val="18"/>
              </w:rPr>
            </w:pPr>
            <w:r w:rsidRPr="009D1595">
              <w:rPr>
                <w:b w:val="0"/>
                <w:sz w:val="18"/>
              </w:rPr>
              <w:t>Million Lei</w:t>
            </w:r>
          </w:p>
        </w:tc>
        <w:tc>
          <w:tcPr>
            <w:tcW w:w="1260"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p>
        </w:tc>
        <w:tc>
          <w:tcPr>
            <w:tcW w:w="1080"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-168</w:t>
            </w:r>
          </w:p>
        </w:tc>
        <w:tc>
          <w:tcPr>
            <w:tcW w:w="1080"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r>
              <w:rPr>
                <w:sz w:val="18"/>
              </w:rPr>
              <w:t>-130</w:t>
            </w:r>
          </w:p>
        </w:tc>
        <w:tc>
          <w:tcPr>
            <w:tcW w:w="1080"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p>
        </w:tc>
        <w:tc>
          <w:tcPr>
            <w:tcW w:w="1260"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p>
        </w:tc>
        <w:tc>
          <w:tcPr>
            <w:tcW w:w="1188" w:type="dxa"/>
          </w:tcPr>
          <w:p w:rsidR="001F58C5" w:rsidRPr="009D1595" w:rsidRDefault="001F58C5" w:rsidP="003C6835">
            <w:pPr>
              <w:cnfStyle w:val="000000000000" w:firstRow="0" w:lastRow="0" w:firstColumn="0" w:lastColumn="0" w:oddVBand="0" w:evenVBand="0" w:oddHBand="0" w:evenHBand="0" w:firstRowFirstColumn="0" w:firstRowLastColumn="0" w:lastRowFirstColumn="0" w:lastRowLastColumn="0"/>
              <w:rPr>
                <w:sz w:val="18"/>
              </w:rPr>
            </w:pPr>
          </w:p>
        </w:tc>
      </w:tr>
      <w:tr w:rsidR="001F58C5" w:rsidRPr="009D1595" w:rsidTr="003C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1F58C5" w:rsidRPr="009D1595" w:rsidRDefault="001F58C5" w:rsidP="003C6835">
            <w:pPr>
              <w:rPr>
                <w:b w:val="0"/>
                <w:sz w:val="18"/>
              </w:rPr>
            </w:pPr>
            <w:r w:rsidRPr="009D1595">
              <w:rPr>
                <w:b w:val="0"/>
                <w:sz w:val="18"/>
              </w:rPr>
              <w:t>% of G.D.P.</w:t>
            </w:r>
          </w:p>
        </w:tc>
        <w:tc>
          <w:tcPr>
            <w:tcW w:w="126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08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0.02</w:t>
            </w:r>
          </w:p>
        </w:tc>
        <w:tc>
          <w:tcPr>
            <w:tcW w:w="108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0.01</w:t>
            </w:r>
          </w:p>
        </w:tc>
        <w:tc>
          <w:tcPr>
            <w:tcW w:w="108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260"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188" w:type="dxa"/>
          </w:tcPr>
          <w:p w:rsidR="001F58C5" w:rsidRPr="009D1595" w:rsidRDefault="001F58C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r>
    </w:tbl>
    <w:p w:rsidR="00C21188" w:rsidRPr="00C21188" w:rsidRDefault="00C21188" w:rsidP="00C21188"/>
    <w:p w:rsidR="00C21188" w:rsidRPr="00C21188" w:rsidRDefault="00C21188" w:rsidP="00C21188"/>
    <w:p w:rsidR="001F58C5" w:rsidRPr="009D1595" w:rsidRDefault="001F58C5" w:rsidP="001F58C5">
      <w:r w:rsidRPr="00210C68">
        <w:rPr>
          <w:b/>
        </w:rPr>
        <w:t>NOTE:</w:t>
      </w:r>
      <w:r>
        <w:t xml:space="preserve"> As of 2016, the amounts for national transitional aid in the vegetables sector are included under title “Subsidies”</w:t>
      </w:r>
    </w:p>
    <w:p w:rsidR="00C21188" w:rsidRDefault="00C21188" w:rsidP="00C21188"/>
    <w:p w:rsidR="003C6835" w:rsidRDefault="003C6835" w:rsidP="00C21188"/>
    <w:p w:rsidR="001B2458" w:rsidRDefault="001B2458" w:rsidP="001B2458">
      <w:pPr>
        <w:jc w:val="right"/>
      </w:pPr>
      <w:r>
        <w:t xml:space="preserve">- Million Lei- </w:t>
      </w:r>
    </w:p>
    <w:tbl>
      <w:tblPr>
        <w:tblStyle w:val="LightList"/>
        <w:tblW w:w="0" w:type="auto"/>
        <w:tblLook w:val="04A0" w:firstRow="1" w:lastRow="0" w:firstColumn="1" w:lastColumn="0" w:noHBand="0" w:noVBand="1"/>
      </w:tblPr>
      <w:tblGrid>
        <w:gridCol w:w="2628"/>
        <w:gridCol w:w="1260"/>
        <w:gridCol w:w="1080"/>
        <w:gridCol w:w="1080"/>
        <w:gridCol w:w="1080"/>
        <w:gridCol w:w="1260"/>
        <w:gridCol w:w="1188"/>
      </w:tblGrid>
      <w:tr w:rsidR="003C6835" w:rsidRPr="009D1595" w:rsidTr="003C68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7"/>
            <w:shd w:val="clear" w:color="auto" w:fill="auto"/>
          </w:tcPr>
          <w:p w:rsidR="003C6835" w:rsidRDefault="003C6835" w:rsidP="003C6835">
            <w:pPr>
              <w:jc w:val="center"/>
              <w:rPr>
                <w:color w:val="auto"/>
                <w:sz w:val="20"/>
              </w:rPr>
            </w:pPr>
            <w:r w:rsidRPr="009D1595">
              <w:rPr>
                <w:color w:val="auto"/>
                <w:sz w:val="20"/>
              </w:rPr>
              <w:t>Annex</w:t>
            </w:r>
            <w:r>
              <w:rPr>
                <w:color w:val="auto"/>
                <w:sz w:val="20"/>
              </w:rPr>
              <w:t xml:space="preserve"> 3</w:t>
            </w:r>
            <w:r w:rsidRPr="009D1595">
              <w:rPr>
                <w:color w:val="auto"/>
                <w:sz w:val="20"/>
              </w:rPr>
              <w:t xml:space="preserve"> - Expenditures of the Ministry of </w:t>
            </w:r>
            <w:r>
              <w:rPr>
                <w:color w:val="auto"/>
                <w:sz w:val="20"/>
              </w:rPr>
              <w:t>National Education</w:t>
            </w:r>
            <w:r w:rsidRPr="009D1595">
              <w:rPr>
                <w:color w:val="auto"/>
                <w:sz w:val="20"/>
              </w:rPr>
              <w:t xml:space="preserve"> from the State budget </w:t>
            </w:r>
          </w:p>
          <w:p w:rsidR="003C6835" w:rsidRPr="009D1595" w:rsidRDefault="003C6835" w:rsidP="003C6835">
            <w:pPr>
              <w:jc w:val="center"/>
              <w:rPr>
                <w:color w:val="auto"/>
                <w:sz w:val="20"/>
              </w:rPr>
            </w:pPr>
            <w:r w:rsidRPr="009D1595">
              <w:rPr>
                <w:color w:val="auto"/>
                <w:sz w:val="20"/>
              </w:rPr>
              <w:t>between 2016 and 2021</w:t>
            </w:r>
          </w:p>
          <w:p w:rsidR="003C6835" w:rsidRPr="009D1595" w:rsidRDefault="003C6835" w:rsidP="003C6835">
            <w:pPr>
              <w:rPr>
                <w:color w:val="auto"/>
                <w:sz w:val="18"/>
              </w:rPr>
            </w:pPr>
          </w:p>
        </w:tc>
      </w:tr>
      <w:tr w:rsidR="003C6835" w:rsidRPr="009D1595" w:rsidTr="003C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3C6835" w:rsidRPr="009D1595" w:rsidRDefault="003C6835" w:rsidP="003C6835">
            <w:pPr>
              <w:rPr>
                <w:sz w:val="18"/>
              </w:rPr>
            </w:pPr>
          </w:p>
        </w:tc>
        <w:tc>
          <w:tcPr>
            <w:tcW w:w="126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sidRPr="009D1595">
              <w:rPr>
                <w:sz w:val="18"/>
              </w:rPr>
              <w:t>2016</w:t>
            </w:r>
          </w:p>
        </w:tc>
        <w:tc>
          <w:tcPr>
            <w:tcW w:w="108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sidRPr="009D1595">
              <w:rPr>
                <w:sz w:val="18"/>
              </w:rPr>
              <w:t>2017</w:t>
            </w:r>
          </w:p>
        </w:tc>
        <w:tc>
          <w:tcPr>
            <w:tcW w:w="108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sidRPr="009D1595">
              <w:rPr>
                <w:sz w:val="18"/>
              </w:rPr>
              <w:t>2018</w:t>
            </w:r>
          </w:p>
        </w:tc>
        <w:tc>
          <w:tcPr>
            <w:tcW w:w="108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sidRPr="009D1595">
              <w:rPr>
                <w:sz w:val="18"/>
              </w:rPr>
              <w:t>2019</w:t>
            </w:r>
          </w:p>
        </w:tc>
        <w:tc>
          <w:tcPr>
            <w:tcW w:w="126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sidRPr="009D1595">
              <w:rPr>
                <w:sz w:val="18"/>
              </w:rPr>
              <w:t>2020</w:t>
            </w:r>
          </w:p>
        </w:tc>
        <w:tc>
          <w:tcPr>
            <w:tcW w:w="1188"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sidRPr="009D1595">
              <w:rPr>
                <w:sz w:val="18"/>
              </w:rPr>
              <w:t>2021</w:t>
            </w:r>
          </w:p>
        </w:tc>
      </w:tr>
      <w:tr w:rsidR="003C6835" w:rsidRPr="009D1595" w:rsidTr="003C6835">
        <w:tc>
          <w:tcPr>
            <w:cnfStyle w:val="001000000000" w:firstRow="0" w:lastRow="0" w:firstColumn="1" w:lastColumn="0" w:oddVBand="0" w:evenVBand="0" w:oddHBand="0" w:evenHBand="0" w:firstRowFirstColumn="0" w:firstRowLastColumn="0" w:lastRowFirstColumn="0" w:lastRowLastColumn="0"/>
            <w:tcW w:w="9576" w:type="dxa"/>
            <w:gridSpan w:val="7"/>
            <w:shd w:val="clear" w:color="auto" w:fill="ACB9CA" w:themeFill="text2" w:themeFillTint="66"/>
          </w:tcPr>
          <w:p w:rsidR="003C6835" w:rsidRPr="009D1595" w:rsidRDefault="003C6835" w:rsidP="003C6835">
            <w:pPr>
              <w:rPr>
                <w:sz w:val="18"/>
              </w:rPr>
            </w:pPr>
            <w:r w:rsidRPr="009D1595">
              <w:rPr>
                <w:sz w:val="18"/>
              </w:rPr>
              <w:t xml:space="preserve">TOTAL EXPENDITURES </w:t>
            </w:r>
          </w:p>
        </w:tc>
      </w:tr>
      <w:tr w:rsidR="003C6835" w:rsidRPr="009D1595" w:rsidTr="003C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3C6835" w:rsidRPr="009D1595" w:rsidRDefault="003C6835" w:rsidP="003C6835">
            <w:pPr>
              <w:rPr>
                <w:b w:val="0"/>
                <w:sz w:val="18"/>
              </w:rPr>
            </w:pPr>
            <w:r w:rsidRPr="009D1595">
              <w:rPr>
                <w:b w:val="0"/>
                <w:sz w:val="18"/>
              </w:rPr>
              <w:t>Million Lei</w:t>
            </w:r>
          </w:p>
        </w:tc>
        <w:tc>
          <w:tcPr>
            <w:tcW w:w="126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6,353</w:t>
            </w:r>
          </w:p>
        </w:tc>
        <w:tc>
          <w:tcPr>
            <w:tcW w:w="108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4,901</w:t>
            </w:r>
          </w:p>
        </w:tc>
        <w:tc>
          <w:tcPr>
            <w:tcW w:w="108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21,011</w:t>
            </w:r>
          </w:p>
        </w:tc>
        <w:tc>
          <w:tcPr>
            <w:tcW w:w="108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30,969</w:t>
            </w:r>
          </w:p>
        </w:tc>
        <w:tc>
          <w:tcPr>
            <w:tcW w:w="126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26,515</w:t>
            </w:r>
          </w:p>
        </w:tc>
        <w:tc>
          <w:tcPr>
            <w:tcW w:w="1188"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26,938</w:t>
            </w:r>
          </w:p>
        </w:tc>
      </w:tr>
      <w:tr w:rsidR="003C6835" w:rsidRPr="009D1595" w:rsidTr="003C6835">
        <w:tc>
          <w:tcPr>
            <w:cnfStyle w:val="001000000000" w:firstRow="0" w:lastRow="0" w:firstColumn="1" w:lastColumn="0" w:oddVBand="0" w:evenVBand="0" w:oddHBand="0" w:evenHBand="0" w:firstRowFirstColumn="0" w:firstRowLastColumn="0" w:lastRowFirstColumn="0" w:lastRowLastColumn="0"/>
            <w:tcW w:w="2628" w:type="dxa"/>
          </w:tcPr>
          <w:p w:rsidR="003C6835" w:rsidRPr="009D1595" w:rsidRDefault="003C6835" w:rsidP="003C6835">
            <w:pPr>
              <w:rPr>
                <w:b w:val="0"/>
                <w:sz w:val="18"/>
              </w:rPr>
            </w:pPr>
            <w:r w:rsidRPr="009D1595">
              <w:rPr>
                <w:b w:val="0"/>
                <w:sz w:val="18"/>
              </w:rPr>
              <w:t>% of G.D.P.</w:t>
            </w:r>
          </w:p>
        </w:tc>
        <w:tc>
          <w:tcPr>
            <w:tcW w:w="1260"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r>
              <w:rPr>
                <w:sz w:val="18"/>
              </w:rPr>
              <w:t>0.83</w:t>
            </w:r>
          </w:p>
        </w:tc>
        <w:tc>
          <w:tcPr>
            <w:tcW w:w="1080"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r>
              <w:rPr>
                <w:sz w:val="18"/>
              </w:rPr>
              <w:t>0.58</w:t>
            </w:r>
          </w:p>
        </w:tc>
        <w:tc>
          <w:tcPr>
            <w:tcW w:w="1080"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r>
              <w:rPr>
                <w:sz w:val="18"/>
              </w:rPr>
              <w:t>2.23</w:t>
            </w:r>
          </w:p>
        </w:tc>
        <w:tc>
          <w:tcPr>
            <w:tcW w:w="1080"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r>
              <w:rPr>
                <w:sz w:val="18"/>
              </w:rPr>
              <w:t>3.17</w:t>
            </w:r>
          </w:p>
        </w:tc>
        <w:tc>
          <w:tcPr>
            <w:tcW w:w="1260"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r>
              <w:rPr>
                <w:sz w:val="18"/>
              </w:rPr>
              <w:t>2.52</w:t>
            </w:r>
          </w:p>
        </w:tc>
        <w:tc>
          <w:tcPr>
            <w:tcW w:w="1188"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r>
              <w:rPr>
                <w:sz w:val="18"/>
              </w:rPr>
              <w:t>2.39</w:t>
            </w:r>
          </w:p>
        </w:tc>
      </w:tr>
      <w:tr w:rsidR="003C6835" w:rsidRPr="009D1595" w:rsidTr="003C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3C6835" w:rsidRPr="009D1595" w:rsidRDefault="003C6835" w:rsidP="003C6835">
            <w:pPr>
              <w:rPr>
                <w:sz w:val="18"/>
              </w:rPr>
            </w:pPr>
            <w:r w:rsidRPr="009D1595">
              <w:rPr>
                <w:sz w:val="18"/>
              </w:rPr>
              <w:t>Personnel expenditures</w:t>
            </w:r>
          </w:p>
        </w:tc>
        <w:tc>
          <w:tcPr>
            <w:tcW w:w="1260" w:type="dxa"/>
            <w:shd w:val="clear" w:color="auto" w:fill="ACB9CA" w:themeFill="text2" w:themeFillTint="66"/>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p>
        </w:tc>
        <w:tc>
          <w:tcPr>
            <w:tcW w:w="1260" w:type="dxa"/>
            <w:shd w:val="clear" w:color="auto" w:fill="ACB9CA" w:themeFill="text2" w:themeFillTint="66"/>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p>
        </w:tc>
        <w:tc>
          <w:tcPr>
            <w:tcW w:w="1188" w:type="dxa"/>
            <w:shd w:val="clear" w:color="auto" w:fill="ACB9CA" w:themeFill="text2" w:themeFillTint="66"/>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p>
        </w:tc>
      </w:tr>
      <w:tr w:rsidR="003C6835" w:rsidRPr="009D1595" w:rsidTr="003C6835">
        <w:tc>
          <w:tcPr>
            <w:cnfStyle w:val="001000000000" w:firstRow="0" w:lastRow="0" w:firstColumn="1" w:lastColumn="0" w:oddVBand="0" w:evenVBand="0" w:oddHBand="0" w:evenHBand="0" w:firstRowFirstColumn="0" w:firstRowLastColumn="0" w:lastRowFirstColumn="0" w:lastRowLastColumn="0"/>
            <w:tcW w:w="2628" w:type="dxa"/>
          </w:tcPr>
          <w:p w:rsidR="003C6835" w:rsidRPr="009D1595" w:rsidRDefault="003C6835" w:rsidP="003C6835">
            <w:pPr>
              <w:rPr>
                <w:b w:val="0"/>
                <w:sz w:val="18"/>
              </w:rPr>
            </w:pPr>
            <w:r w:rsidRPr="009D1595">
              <w:rPr>
                <w:b w:val="0"/>
                <w:sz w:val="18"/>
              </w:rPr>
              <w:t>Million Lei</w:t>
            </w:r>
          </w:p>
        </w:tc>
        <w:tc>
          <w:tcPr>
            <w:tcW w:w="1260"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r>
              <w:rPr>
                <w:sz w:val="18"/>
              </w:rPr>
              <w:t>404</w:t>
            </w:r>
          </w:p>
        </w:tc>
        <w:tc>
          <w:tcPr>
            <w:tcW w:w="1080"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r>
              <w:rPr>
                <w:sz w:val="18"/>
              </w:rPr>
              <w:t>459</w:t>
            </w:r>
          </w:p>
        </w:tc>
        <w:tc>
          <w:tcPr>
            <w:tcW w:w="1080"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r>
              <w:rPr>
                <w:sz w:val="18"/>
              </w:rPr>
              <w:t>15,735</w:t>
            </w:r>
          </w:p>
        </w:tc>
        <w:tc>
          <w:tcPr>
            <w:tcW w:w="1080"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r>
              <w:rPr>
                <w:sz w:val="18"/>
              </w:rPr>
              <w:t>20,610</w:t>
            </w:r>
          </w:p>
        </w:tc>
        <w:tc>
          <w:tcPr>
            <w:tcW w:w="1260"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r>
              <w:rPr>
                <w:sz w:val="18"/>
              </w:rPr>
              <w:t>19,872</w:t>
            </w:r>
          </w:p>
        </w:tc>
        <w:tc>
          <w:tcPr>
            <w:tcW w:w="1188"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r>
              <w:rPr>
                <w:sz w:val="18"/>
              </w:rPr>
              <w:t>20,320</w:t>
            </w:r>
          </w:p>
        </w:tc>
      </w:tr>
      <w:tr w:rsidR="003C6835" w:rsidRPr="009D1595" w:rsidTr="003C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3C6835" w:rsidRPr="009D1595" w:rsidRDefault="003C6835" w:rsidP="003C6835">
            <w:pPr>
              <w:rPr>
                <w:b w:val="0"/>
                <w:sz w:val="18"/>
              </w:rPr>
            </w:pPr>
            <w:r w:rsidRPr="009D1595">
              <w:rPr>
                <w:b w:val="0"/>
                <w:sz w:val="18"/>
              </w:rPr>
              <w:t>% of G.D.P.</w:t>
            </w:r>
          </w:p>
        </w:tc>
        <w:tc>
          <w:tcPr>
            <w:tcW w:w="126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0.05</w:t>
            </w:r>
          </w:p>
        </w:tc>
        <w:tc>
          <w:tcPr>
            <w:tcW w:w="108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0.05</w:t>
            </w:r>
          </w:p>
        </w:tc>
        <w:tc>
          <w:tcPr>
            <w:tcW w:w="108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1.67</w:t>
            </w:r>
          </w:p>
        </w:tc>
        <w:tc>
          <w:tcPr>
            <w:tcW w:w="108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2.11</w:t>
            </w:r>
          </w:p>
        </w:tc>
        <w:tc>
          <w:tcPr>
            <w:tcW w:w="126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1.89</w:t>
            </w:r>
          </w:p>
        </w:tc>
        <w:tc>
          <w:tcPr>
            <w:tcW w:w="1188"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1.80</w:t>
            </w:r>
          </w:p>
        </w:tc>
      </w:tr>
      <w:tr w:rsidR="003C6835" w:rsidRPr="009D1595" w:rsidTr="003C6835">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3C6835" w:rsidRPr="009D1595" w:rsidRDefault="003C6835" w:rsidP="003C6835">
            <w:pPr>
              <w:rPr>
                <w:sz w:val="18"/>
              </w:rPr>
            </w:pPr>
            <w:r w:rsidRPr="009D1595">
              <w:rPr>
                <w:sz w:val="18"/>
              </w:rPr>
              <w:t>Goods and services</w:t>
            </w:r>
          </w:p>
        </w:tc>
        <w:tc>
          <w:tcPr>
            <w:tcW w:w="1260" w:type="dxa"/>
            <w:shd w:val="clear" w:color="auto" w:fill="ACB9CA" w:themeFill="text2" w:themeFillTint="66"/>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p>
        </w:tc>
        <w:tc>
          <w:tcPr>
            <w:tcW w:w="1260" w:type="dxa"/>
            <w:shd w:val="clear" w:color="auto" w:fill="ACB9CA" w:themeFill="text2" w:themeFillTint="66"/>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p>
        </w:tc>
        <w:tc>
          <w:tcPr>
            <w:tcW w:w="1188" w:type="dxa"/>
            <w:shd w:val="clear" w:color="auto" w:fill="ACB9CA" w:themeFill="text2" w:themeFillTint="66"/>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p>
        </w:tc>
      </w:tr>
      <w:tr w:rsidR="003C6835" w:rsidRPr="009D1595" w:rsidTr="003C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3C6835" w:rsidRPr="009D1595" w:rsidRDefault="003C6835" w:rsidP="003C6835">
            <w:pPr>
              <w:rPr>
                <w:b w:val="0"/>
                <w:sz w:val="18"/>
              </w:rPr>
            </w:pPr>
            <w:r w:rsidRPr="009D1595">
              <w:rPr>
                <w:b w:val="0"/>
                <w:sz w:val="18"/>
              </w:rPr>
              <w:t>Million Lei</w:t>
            </w:r>
          </w:p>
        </w:tc>
        <w:tc>
          <w:tcPr>
            <w:tcW w:w="126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81</w:t>
            </w:r>
          </w:p>
        </w:tc>
        <w:tc>
          <w:tcPr>
            <w:tcW w:w="108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75</w:t>
            </w:r>
          </w:p>
        </w:tc>
        <w:tc>
          <w:tcPr>
            <w:tcW w:w="108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70</w:t>
            </w:r>
          </w:p>
        </w:tc>
        <w:tc>
          <w:tcPr>
            <w:tcW w:w="108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75</w:t>
            </w:r>
          </w:p>
        </w:tc>
        <w:tc>
          <w:tcPr>
            <w:tcW w:w="126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73</w:t>
            </w:r>
          </w:p>
        </w:tc>
        <w:tc>
          <w:tcPr>
            <w:tcW w:w="1188"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77</w:t>
            </w:r>
          </w:p>
        </w:tc>
      </w:tr>
      <w:tr w:rsidR="003C6835" w:rsidRPr="009D1595" w:rsidTr="003C6835">
        <w:tc>
          <w:tcPr>
            <w:cnfStyle w:val="001000000000" w:firstRow="0" w:lastRow="0" w:firstColumn="1" w:lastColumn="0" w:oddVBand="0" w:evenVBand="0" w:oddHBand="0" w:evenHBand="0" w:firstRowFirstColumn="0" w:firstRowLastColumn="0" w:lastRowFirstColumn="0" w:lastRowLastColumn="0"/>
            <w:tcW w:w="2628" w:type="dxa"/>
          </w:tcPr>
          <w:p w:rsidR="003C6835" w:rsidRPr="009D1595" w:rsidRDefault="003C6835" w:rsidP="003C6835">
            <w:pPr>
              <w:rPr>
                <w:b w:val="0"/>
                <w:sz w:val="18"/>
              </w:rPr>
            </w:pPr>
            <w:r w:rsidRPr="009D1595">
              <w:rPr>
                <w:b w:val="0"/>
                <w:sz w:val="18"/>
              </w:rPr>
              <w:t>% of G.D.P.</w:t>
            </w:r>
          </w:p>
        </w:tc>
        <w:tc>
          <w:tcPr>
            <w:tcW w:w="1260"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r>
              <w:rPr>
                <w:sz w:val="18"/>
              </w:rPr>
              <w:t>0.01</w:t>
            </w:r>
          </w:p>
        </w:tc>
        <w:tc>
          <w:tcPr>
            <w:tcW w:w="1080" w:type="dxa"/>
          </w:tcPr>
          <w:p w:rsidR="003C6835" w:rsidRDefault="003C6835" w:rsidP="003C6835">
            <w:pPr>
              <w:cnfStyle w:val="000000000000" w:firstRow="0" w:lastRow="0" w:firstColumn="0" w:lastColumn="0" w:oddVBand="0" w:evenVBand="0" w:oddHBand="0" w:evenHBand="0" w:firstRowFirstColumn="0" w:firstRowLastColumn="0" w:lastRowFirstColumn="0" w:lastRowLastColumn="0"/>
            </w:pPr>
            <w:r w:rsidRPr="0028685B">
              <w:rPr>
                <w:sz w:val="18"/>
              </w:rPr>
              <w:t>0.01</w:t>
            </w:r>
          </w:p>
        </w:tc>
        <w:tc>
          <w:tcPr>
            <w:tcW w:w="1080" w:type="dxa"/>
          </w:tcPr>
          <w:p w:rsidR="003C6835" w:rsidRDefault="003C6835" w:rsidP="003C6835">
            <w:pPr>
              <w:cnfStyle w:val="000000000000" w:firstRow="0" w:lastRow="0" w:firstColumn="0" w:lastColumn="0" w:oddVBand="0" w:evenVBand="0" w:oddHBand="0" w:evenHBand="0" w:firstRowFirstColumn="0" w:firstRowLastColumn="0" w:lastRowFirstColumn="0" w:lastRowLastColumn="0"/>
            </w:pPr>
            <w:r w:rsidRPr="0028685B">
              <w:rPr>
                <w:sz w:val="18"/>
              </w:rPr>
              <w:t>0.01</w:t>
            </w:r>
          </w:p>
        </w:tc>
        <w:tc>
          <w:tcPr>
            <w:tcW w:w="1080" w:type="dxa"/>
          </w:tcPr>
          <w:p w:rsidR="003C6835" w:rsidRDefault="003C6835" w:rsidP="003C6835">
            <w:pPr>
              <w:cnfStyle w:val="000000000000" w:firstRow="0" w:lastRow="0" w:firstColumn="0" w:lastColumn="0" w:oddVBand="0" w:evenVBand="0" w:oddHBand="0" w:evenHBand="0" w:firstRowFirstColumn="0" w:firstRowLastColumn="0" w:lastRowFirstColumn="0" w:lastRowLastColumn="0"/>
            </w:pPr>
            <w:r w:rsidRPr="0028685B">
              <w:rPr>
                <w:sz w:val="18"/>
              </w:rPr>
              <w:t>0.01</w:t>
            </w:r>
          </w:p>
        </w:tc>
        <w:tc>
          <w:tcPr>
            <w:tcW w:w="1260" w:type="dxa"/>
          </w:tcPr>
          <w:p w:rsidR="003C6835" w:rsidRDefault="003C6835" w:rsidP="003C6835">
            <w:pPr>
              <w:cnfStyle w:val="000000000000" w:firstRow="0" w:lastRow="0" w:firstColumn="0" w:lastColumn="0" w:oddVBand="0" w:evenVBand="0" w:oddHBand="0" w:evenHBand="0" w:firstRowFirstColumn="0" w:firstRowLastColumn="0" w:lastRowFirstColumn="0" w:lastRowLastColumn="0"/>
            </w:pPr>
            <w:r w:rsidRPr="0028685B">
              <w:rPr>
                <w:sz w:val="18"/>
              </w:rPr>
              <w:t>0.01</w:t>
            </w:r>
          </w:p>
        </w:tc>
        <w:tc>
          <w:tcPr>
            <w:tcW w:w="1188" w:type="dxa"/>
          </w:tcPr>
          <w:p w:rsidR="003C6835" w:rsidRDefault="003C6835" w:rsidP="003C6835">
            <w:pPr>
              <w:cnfStyle w:val="000000000000" w:firstRow="0" w:lastRow="0" w:firstColumn="0" w:lastColumn="0" w:oddVBand="0" w:evenVBand="0" w:oddHBand="0" w:evenHBand="0" w:firstRowFirstColumn="0" w:firstRowLastColumn="0" w:lastRowFirstColumn="0" w:lastRowLastColumn="0"/>
            </w:pPr>
            <w:r w:rsidRPr="0028685B">
              <w:rPr>
                <w:sz w:val="18"/>
              </w:rPr>
              <w:t>0.01</w:t>
            </w:r>
          </w:p>
        </w:tc>
      </w:tr>
      <w:tr w:rsidR="003C6835" w:rsidRPr="009D1595" w:rsidTr="003C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3C6835" w:rsidRPr="009D1595" w:rsidRDefault="003C6835" w:rsidP="003C6835">
            <w:pPr>
              <w:rPr>
                <w:sz w:val="18"/>
              </w:rPr>
            </w:pPr>
            <w:r w:rsidRPr="009D1595">
              <w:rPr>
                <w:sz w:val="18"/>
              </w:rPr>
              <w:t>Transfers between public administration units</w:t>
            </w:r>
          </w:p>
        </w:tc>
        <w:tc>
          <w:tcPr>
            <w:tcW w:w="1260" w:type="dxa"/>
            <w:shd w:val="clear" w:color="auto" w:fill="ACB9CA" w:themeFill="text2" w:themeFillTint="66"/>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p>
        </w:tc>
        <w:tc>
          <w:tcPr>
            <w:tcW w:w="1260" w:type="dxa"/>
            <w:shd w:val="clear" w:color="auto" w:fill="ACB9CA" w:themeFill="text2" w:themeFillTint="66"/>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p>
        </w:tc>
        <w:tc>
          <w:tcPr>
            <w:tcW w:w="1188" w:type="dxa"/>
            <w:shd w:val="clear" w:color="auto" w:fill="ACB9CA" w:themeFill="text2" w:themeFillTint="66"/>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p>
        </w:tc>
      </w:tr>
      <w:tr w:rsidR="003C6835" w:rsidRPr="009D1595" w:rsidTr="003C6835">
        <w:tc>
          <w:tcPr>
            <w:cnfStyle w:val="001000000000" w:firstRow="0" w:lastRow="0" w:firstColumn="1" w:lastColumn="0" w:oddVBand="0" w:evenVBand="0" w:oddHBand="0" w:evenHBand="0" w:firstRowFirstColumn="0" w:firstRowLastColumn="0" w:lastRowFirstColumn="0" w:lastRowLastColumn="0"/>
            <w:tcW w:w="2628" w:type="dxa"/>
          </w:tcPr>
          <w:p w:rsidR="003C6835" w:rsidRPr="009D1595" w:rsidRDefault="003C6835" w:rsidP="003C6835">
            <w:pPr>
              <w:rPr>
                <w:b w:val="0"/>
                <w:sz w:val="18"/>
              </w:rPr>
            </w:pPr>
            <w:r w:rsidRPr="009D1595">
              <w:rPr>
                <w:b w:val="0"/>
                <w:sz w:val="18"/>
              </w:rPr>
              <w:t>Million Lei</w:t>
            </w:r>
          </w:p>
        </w:tc>
        <w:tc>
          <w:tcPr>
            <w:tcW w:w="1260"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r>
              <w:rPr>
                <w:sz w:val="18"/>
              </w:rPr>
              <w:t>3,049</w:t>
            </w:r>
          </w:p>
        </w:tc>
        <w:tc>
          <w:tcPr>
            <w:tcW w:w="1080"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r>
              <w:rPr>
                <w:sz w:val="18"/>
              </w:rPr>
              <w:t>3,066</w:t>
            </w:r>
          </w:p>
        </w:tc>
        <w:tc>
          <w:tcPr>
            <w:tcW w:w="1080"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r>
              <w:rPr>
                <w:sz w:val="18"/>
              </w:rPr>
              <w:t>3,753</w:t>
            </w:r>
          </w:p>
        </w:tc>
        <w:tc>
          <w:tcPr>
            <w:tcW w:w="1080"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r>
              <w:rPr>
                <w:sz w:val="18"/>
              </w:rPr>
              <w:t>5,310</w:t>
            </w:r>
          </w:p>
        </w:tc>
        <w:tc>
          <w:tcPr>
            <w:tcW w:w="1260"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r>
              <w:rPr>
                <w:sz w:val="18"/>
              </w:rPr>
              <w:t>4,724</w:t>
            </w:r>
          </w:p>
        </w:tc>
        <w:tc>
          <w:tcPr>
            <w:tcW w:w="1188"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r>
              <w:rPr>
                <w:sz w:val="18"/>
              </w:rPr>
              <w:t>4,828</w:t>
            </w:r>
          </w:p>
        </w:tc>
      </w:tr>
      <w:tr w:rsidR="003C6835" w:rsidRPr="009D1595" w:rsidTr="003C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3C6835" w:rsidRPr="009D1595" w:rsidRDefault="003C6835" w:rsidP="003C6835">
            <w:pPr>
              <w:rPr>
                <w:b w:val="0"/>
                <w:sz w:val="18"/>
              </w:rPr>
            </w:pPr>
            <w:r w:rsidRPr="009D1595">
              <w:rPr>
                <w:b w:val="0"/>
                <w:sz w:val="18"/>
              </w:rPr>
              <w:t>% of G.D.P.</w:t>
            </w:r>
          </w:p>
        </w:tc>
        <w:tc>
          <w:tcPr>
            <w:tcW w:w="126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0.40</w:t>
            </w:r>
          </w:p>
        </w:tc>
        <w:tc>
          <w:tcPr>
            <w:tcW w:w="108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0.36</w:t>
            </w:r>
          </w:p>
        </w:tc>
        <w:tc>
          <w:tcPr>
            <w:tcW w:w="108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0.40</w:t>
            </w:r>
          </w:p>
        </w:tc>
        <w:tc>
          <w:tcPr>
            <w:tcW w:w="108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0.54</w:t>
            </w:r>
          </w:p>
        </w:tc>
        <w:tc>
          <w:tcPr>
            <w:tcW w:w="126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0.45</w:t>
            </w:r>
          </w:p>
        </w:tc>
        <w:tc>
          <w:tcPr>
            <w:tcW w:w="1188"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0.43</w:t>
            </w:r>
          </w:p>
        </w:tc>
      </w:tr>
      <w:tr w:rsidR="003C6835" w:rsidRPr="009D1595" w:rsidTr="003C6835">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3C6835" w:rsidRPr="009D1595" w:rsidRDefault="003C6835" w:rsidP="003C6835">
            <w:pPr>
              <w:rPr>
                <w:sz w:val="18"/>
              </w:rPr>
            </w:pPr>
            <w:r w:rsidRPr="009D1595">
              <w:rPr>
                <w:sz w:val="18"/>
              </w:rPr>
              <w:t>Other transfers</w:t>
            </w:r>
          </w:p>
        </w:tc>
        <w:tc>
          <w:tcPr>
            <w:tcW w:w="1260" w:type="dxa"/>
            <w:shd w:val="clear" w:color="auto" w:fill="ACB9CA" w:themeFill="text2" w:themeFillTint="66"/>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p>
        </w:tc>
        <w:tc>
          <w:tcPr>
            <w:tcW w:w="1260" w:type="dxa"/>
            <w:shd w:val="clear" w:color="auto" w:fill="ACB9CA" w:themeFill="text2" w:themeFillTint="66"/>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p>
        </w:tc>
        <w:tc>
          <w:tcPr>
            <w:tcW w:w="1188" w:type="dxa"/>
            <w:shd w:val="clear" w:color="auto" w:fill="ACB9CA" w:themeFill="text2" w:themeFillTint="66"/>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p>
        </w:tc>
      </w:tr>
      <w:tr w:rsidR="003C6835" w:rsidRPr="009D1595" w:rsidTr="003C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3C6835" w:rsidRPr="009D1595" w:rsidRDefault="003C6835" w:rsidP="003C6835">
            <w:pPr>
              <w:rPr>
                <w:b w:val="0"/>
                <w:sz w:val="18"/>
              </w:rPr>
            </w:pPr>
            <w:r w:rsidRPr="009D1595">
              <w:rPr>
                <w:b w:val="0"/>
                <w:sz w:val="18"/>
              </w:rPr>
              <w:t>Million Lei</w:t>
            </w:r>
          </w:p>
        </w:tc>
        <w:tc>
          <w:tcPr>
            <w:tcW w:w="126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1,310</w:t>
            </w:r>
          </w:p>
        </w:tc>
        <w:tc>
          <w:tcPr>
            <w:tcW w:w="108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2</w:t>
            </w:r>
          </w:p>
        </w:tc>
        <w:tc>
          <w:tcPr>
            <w:tcW w:w="108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2</w:t>
            </w:r>
          </w:p>
        </w:tc>
        <w:tc>
          <w:tcPr>
            <w:tcW w:w="108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2</w:t>
            </w:r>
          </w:p>
        </w:tc>
        <w:tc>
          <w:tcPr>
            <w:tcW w:w="126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2</w:t>
            </w:r>
          </w:p>
        </w:tc>
        <w:tc>
          <w:tcPr>
            <w:tcW w:w="1188"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2</w:t>
            </w:r>
          </w:p>
        </w:tc>
      </w:tr>
      <w:tr w:rsidR="003C6835" w:rsidRPr="009D1595" w:rsidTr="003C6835">
        <w:tc>
          <w:tcPr>
            <w:cnfStyle w:val="001000000000" w:firstRow="0" w:lastRow="0" w:firstColumn="1" w:lastColumn="0" w:oddVBand="0" w:evenVBand="0" w:oddHBand="0" w:evenHBand="0" w:firstRowFirstColumn="0" w:firstRowLastColumn="0" w:lastRowFirstColumn="0" w:lastRowLastColumn="0"/>
            <w:tcW w:w="2628" w:type="dxa"/>
          </w:tcPr>
          <w:p w:rsidR="003C6835" w:rsidRPr="009D1595" w:rsidRDefault="003C6835" w:rsidP="003C6835">
            <w:pPr>
              <w:rPr>
                <w:b w:val="0"/>
                <w:sz w:val="18"/>
              </w:rPr>
            </w:pPr>
            <w:r w:rsidRPr="009D1595">
              <w:rPr>
                <w:b w:val="0"/>
                <w:sz w:val="18"/>
              </w:rPr>
              <w:t>% of G.D.P.</w:t>
            </w:r>
          </w:p>
        </w:tc>
        <w:tc>
          <w:tcPr>
            <w:tcW w:w="1260"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r>
              <w:rPr>
                <w:sz w:val="18"/>
              </w:rPr>
              <w:t>0.17</w:t>
            </w:r>
          </w:p>
        </w:tc>
        <w:tc>
          <w:tcPr>
            <w:tcW w:w="1080"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c>
          <w:tcPr>
            <w:tcW w:w="1080" w:type="dxa"/>
          </w:tcPr>
          <w:p w:rsidR="003C6835" w:rsidRDefault="003C6835" w:rsidP="003C6835">
            <w:pPr>
              <w:cnfStyle w:val="000000000000" w:firstRow="0" w:lastRow="0" w:firstColumn="0" w:lastColumn="0" w:oddVBand="0" w:evenVBand="0" w:oddHBand="0" w:evenHBand="0" w:firstRowFirstColumn="0" w:firstRowLastColumn="0" w:lastRowFirstColumn="0" w:lastRowLastColumn="0"/>
            </w:pPr>
            <w:r w:rsidRPr="00C75C9D">
              <w:rPr>
                <w:sz w:val="18"/>
              </w:rPr>
              <w:t>0.00</w:t>
            </w:r>
          </w:p>
        </w:tc>
        <w:tc>
          <w:tcPr>
            <w:tcW w:w="1080" w:type="dxa"/>
          </w:tcPr>
          <w:p w:rsidR="003C6835" w:rsidRDefault="003C6835" w:rsidP="003C6835">
            <w:pPr>
              <w:cnfStyle w:val="000000000000" w:firstRow="0" w:lastRow="0" w:firstColumn="0" w:lastColumn="0" w:oddVBand="0" w:evenVBand="0" w:oddHBand="0" w:evenHBand="0" w:firstRowFirstColumn="0" w:firstRowLastColumn="0" w:lastRowFirstColumn="0" w:lastRowLastColumn="0"/>
            </w:pPr>
            <w:r w:rsidRPr="00C75C9D">
              <w:rPr>
                <w:sz w:val="18"/>
              </w:rPr>
              <w:t>0.00</w:t>
            </w:r>
          </w:p>
        </w:tc>
        <w:tc>
          <w:tcPr>
            <w:tcW w:w="1260" w:type="dxa"/>
          </w:tcPr>
          <w:p w:rsidR="003C6835" w:rsidRDefault="003C6835" w:rsidP="003C6835">
            <w:pPr>
              <w:cnfStyle w:val="000000000000" w:firstRow="0" w:lastRow="0" w:firstColumn="0" w:lastColumn="0" w:oddVBand="0" w:evenVBand="0" w:oddHBand="0" w:evenHBand="0" w:firstRowFirstColumn="0" w:firstRowLastColumn="0" w:lastRowFirstColumn="0" w:lastRowLastColumn="0"/>
            </w:pPr>
            <w:r w:rsidRPr="00C75C9D">
              <w:rPr>
                <w:sz w:val="18"/>
              </w:rPr>
              <w:t>0.00</w:t>
            </w:r>
          </w:p>
        </w:tc>
        <w:tc>
          <w:tcPr>
            <w:tcW w:w="1188" w:type="dxa"/>
          </w:tcPr>
          <w:p w:rsidR="003C6835" w:rsidRDefault="003C6835" w:rsidP="003C6835">
            <w:pPr>
              <w:cnfStyle w:val="000000000000" w:firstRow="0" w:lastRow="0" w:firstColumn="0" w:lastColumn="0" w:oddVBand="0" w:evenVBand="0" w:oddHBand="0" w:evenHBand="0" w:firstRowFirstColumn="0" w:firstRowLastColumn="0" w:lastRowFirstColumn="0" w:lastRowLastColumn="0"/>
            </w:pPr>
            <w:r w:rsidRPr="00C75C9D">
              <w:rPr>
                <w:sz w:val="18"/>
              </w:rPr>
              <w:t>0.00</w:t>
            </w:r>
          </w:p>
        </w:tc>
      </w:tr>
      <w:tr w:rsidR="003C6835" w:rsidRPr="009D1595" w:rsidTr="003C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3C6835" w:rsidRPr="009D1595" w:rsidRDefault="003C6835" w:rsidP="003C6835">
            <w:pPr>
              <w:rPr>
                <w:sz w:val="18"/>
              </w:rPr>
            </w:pPr>
            <w:r w:rsidRPr="009D1595">
              <w:rPr>
                <w:sz w:val="18"/>
              </w:rPr>
              <w:t>Projects with financing from external non-reimbursable funds (ENF)</w:t>
            </w:r>
          </w:p>
        </w:tc>
        <w:tc>
          <w:tcPr>
            <w:tcW w:w="1260" w:type="dxa"/>
            <w:shd w:val="clear" w:color="auto" w:fill="ACB9CA" w:themeFill="text2" w:themeFillTint="66"/>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b/>
                <w:sz w:val="18"/>
              </w:rPr>
            </w:pPr>
          </w:p>
        </w:tc>
        <w:tc>
          <w:tcPr>
            <w:tcW w:w="1080" w:type="dxa"/>
            <w:shd w:val="clear" w:color="auto" w:fill="ACB9CA" w:themeFill="text2" w:themeFillTint="66"/>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b/>
                <w:sz w:val="18"/>
              </w:rPr>
            </w:pPr>
          </w:p>
        </w:tc>
        <w:tc>
          <w:tcPr>
            <w:tcW w:w="1080" w:type="dxa"/>
            <w:shd w:val="clear" w:color="auto" w:fill="ACB9CA" w:themeFill="text2" w:themeFillTint="66"/>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b/>
                <w:sz w:val="18"/>
              </w:rPr>
            </w:pPr>
          </w:p>
        </w:tc>
        <w:tc>
          <w:tcPr>
            <w:tcW w:w="1080" w:type="dxa"/>
            <w:shd w:val="clear" w:color="auto" w:fill="ACB9CA" w:themeFill="text2" w:themeFillTint="66"/>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b/>
                <w:sz w:val="18"/>
              </w:rPr>
            </w:pPr>
          </w:p>
        </w:tc>
        <w:tc>
          <w:tcPr>
            <w:tcW w:w="1260" w:type="dxa"/>
            <w:shd w:val="clear" w:color="auto" w:fill="ACB9CA" w:themeFill="text2" w:themeFillTint="66"/>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b/>
                <w:sz w:val="18"/>
              </w:rPr>
            </w:pPr>
          </w:p>
        </w:tc>
        <w:tc>
          <w:tcPr>
            <w:tcW w:w="1188" w:type="dxa"/>
            <w:shd w:val="clear" w:color="auto" w:fill="ACB9CA" w:themeFill="text2" w:themeFillTint="66"/>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b/>
                <w:sz w:val="18"/>
              </w:rPr>
            </w:pPr>
          </w:p>
        </w:tc>
      </w:tr>
      <w:tr w:rsidR="003C6835" w:rsidRPr="009D1595" w:rsidTr="003C6835">
        <w:tc>
          <w:tcPr>
            <w:cnfStyle w:val="001000000000" w:firstRow="0" w:lastRow="0" w:firstColumn="1" w:lastColumn="0" w:oddVBand="0" w:evenVBand="0" w:oddHBand="0" w:evenHBand="0" w:firstRowFirstColumn="0" w:firstRowLastColumn="0" w:lastRowFirstColumn="0" w:lastRowLastColumn="0"/>
            <w:tcW w:w="2628" w:type="dxa"/>
          </w:tcPr>
          <w:p w:rsidR="003C6835" w:rsidRPr="009D1595" w:rsidRDefault="003C6835" w:rsidP="003C6835">
            <w:pPr>
              <w:rPr>
                <w:b w:val="0"/>
                <w:sz w:val="18"/>
              </w:rPr>
            </w:pPr>
            <w:r w:rsidRPr="009D1595">
              <w:rPr>
                <w:b w:val="0"/>
                <w:sz w:val="18"/>
              </w:rPr>
              <w:t>Million Lei</w:t>
            </w:r>
          </w:p>
        </w:tc>
        <w:tc>
          <w:tcPr>
            <w:tcW w:w="1260"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r>
              <w:rPr>
                <w:sz w:val="18"/>
              </w:rPr>
              <w:t>8</w:t>
            </w:r>
          </w:p>
        </w:tc>
        <w:tc>
          <w:tcPr>
            <w:tcW w:w="1080"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r>
              <w:rPr>
                <w:sz w:val="18"/>
              </w:rPr>
              <w:t>0</w:t>
            </w:r>
          </w:p>
        </w:tc>
        <w:tc>
          <w:tcPr>
            <w:tcW w:w="1080"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r>
              <w:rPr>
                <w:sz w:val="18"/>
              </w:rPr>
              <w:t>0</w:t>
            </w:r>
          </w:p>
        </w:tc>
        <w:tc>
          <w:tcPr>
            <w:tcW w:w="1080"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r>
              <w:rPr>
                <w:sz w:val="18"/>
              </w:rPr>
              <w:t>0</w:t>
            </w:r>
          </w:p>
        </w:tc>
        <w:tc>
          <w:tcPr>
            <w:tcW w:w="1260"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p>
        </w:tc>
        <w:tc>
          <w:tcPr>
            <w:tcW w:w="1188"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p>
        </w:tc>
      </w:tr>
      <w:tr w:rsidR="003C6835" w:rsidRPr="009D1595" w:rsidTr="003C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3C6835" w:rsidRPr="009D1595" w:rsidRDefault="003C6835" w:rsidP="003C6835">
            <w:pPr>
              <w:rPr>
                <w:b w:val="0"/>
                <w:sz w:val="18"/>
              </w:rPr>
            </w:pPr>
            <w:r w:rsidRPr="009D1595">
              <w:rPr>
                <w:b w:val="0"/>
                <w:sz w:val="18"/>
              </w:rPr>
              <w:t>% of G.D.P.</w:t>
            </w:r>
          </w:p>
        </w:tc>
        <w:tc>
          <w:tcPr>
            <w:tcW w:w="126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08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08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08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26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188"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r>
      <w:tr w:rsidR="003C6835" w:rsidRPr="009D1595" w:rsidTr="003C6835">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3C6835" w:rsidRPr="009D1595" w:rsidRDefault="003C6835" w:rsidP="003C6835">
            <w:pPr>
              <w:rPr>
                <w:sz w:val="18"/>
              </w:rPr>
            </w:pPr>
            <w:r w:rsidRPr="009D1595">
              <w:rPr>
                <w:sz w:val="18"/>
              </w:rPr>
              <w:t>Social assistance</w:t>
            </w:r>
          </w:p>
        </w:tc>
        <w:tc>
          <w:tcPr>
            <w:tcW w:w="1260" w:type="dxa"/>
            <w:shd w:val="clear" w:color="auto" w:fill="ACB9CA" w:themeFill="text2" w:themeFillTint="66"/>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p>
        </w:tc>
        <w:tc>
          <w:tcPr>
            <w:tcW w:w="1260" w:type="dxa"/>
            <w:shd w:val="clear" w:color="auto" w:fill="ACB9CA" w:themeFill="text2" w:themeFillTint="66"/>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p>
        </w:tc>
        <w:tc>
          <w:tcPr>
            <w:tcW w:w="1188" w:type="dxa"/>
            <w:shd w:val="clear" w:color="auto" w:fill="ACB9CA" w:themeFill="text2" w:themeFillTint="66"/>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p>
        </w:tc>
      </w:tr>
      <w:tr w:rsidR="003C6835" w:rsidRPr="009D1595" w:rsidTr="003C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3C6835" w:rsidRPr="009D1595" w:rsidRDefault="003C6835" w:rsidP="003C6835">
            <w:pPr>
              <w:rPr>
                <w:b w:val="0"/>
                <w:sz w:val="18"/>
              </w:rPr>
            </w:pPr>
            <w:r w:rsidRPr="009D1595">
              <w:rPr>
                <w:b w:val="0"/>
                <w:sz w:val="18"/>
              </w:rPr>
              <w:t>Million Lei</w:t>
            </w:r>
          </w:p>
        </w:tc>
        <w:tc>
          <w:tcPr>
            <w:tcW w:w="126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200</w:t>
            </w:r>
          </w:p>
        </w:tc>
        <w:tc>
          <w:tcPr>
            <w:tcW w:w="108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180</w:t>
            </w:r>
          </w:p>
        </w:tc>
        <w:tc>
          <w:tcPr>
            <w:tcW w:w="108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196</w:t>
            </w:r>
          </w:p>
        </w:tc>
        <w:tc>
          <w:tcPr>
            <w:tcW w:w="108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790</w:t>
            </w:r>
          </w:p>
        </w:tc>
        <w:tc>
          <w:tcPr>
            <w:tcW w:w="126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241</w:t>
            </w:r>
          </w:p>
        </w:tc>
        <w:tc>
          <w:tcPr>
            <w:tcW w:w="1188"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247</w:t>
            </w:r>
          </w:p>
        </w:tc>
      </w:tr>
      <w:tr w:rsidR="003C6835" w:rsidRPr="009D1595" w:rsidTr="003C6835">
        <w:tc>
          <w:tcPr>
            <w:cnfStyle w:val="001000000000" w:firstRow="0" w:lastRow="0" w:firstColumn="1" w:lastColumn="0" w:oddVBand="0" w:evenVBand="0" w:oddHBand="0" w:evenHBand="0" w:firstRowFirstColumn="0" w:firstRowLastColumn="0" w:lastRowFirstColumn="0" w:lastRowLastColumn="0"/>
            <w:tcW w:w="2628" w:type="dxa"/>
          </w:tcPr>
          <w:p w:rsidR="003C6835" w:rsidRPr="009D1595" w:rsidRDefault="003C6835" w:rsidP="003C6835">
            <w:pPr>
              <w:rPr>
                <w:b w:val="0"/>
                <w:sz w:val="18"/>
              </w:rPr>
            </w:pPr>
            <w:r w:rsidRPr="009D1595">
              <w:rPr>
                <w:b w:val="0"/>
                <w:sz w:val="18"/>
              </w:rPr>
              <w:t>% of G.D.P.</w:t>
            </w:r>
          </w:p>
        </w:tc>
        <w:tc>
          <w:tcPr>
            <w:tcW w:w="1260"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r>
              <w:rPr>
                <w:sz w:val="18"/>
              </w:rPr>
              <w:t>0.03</w:t>
            </w:r>
          </w:p>
        </w:tc>
        <w:tc>
          <w:tcPr>
            <w:tcW w:w="1080"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r>
              <w:rPr>
                <w:sz w:val="18"/>
              </w:rPr>
              <w:t>0.02</w:t>
            </w:r>
          </w:p>
        </w:tc>
        <w:tc>
          <w:tcPr>
            <w:tcW w:w="1080"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r>
              <w:rPr>
                <w:sz w:val="18"/>
              </w:rPr>
              <w:t>0.02</w:t>
            </w:r>
          </w:p>
        </w:tc>
        <w:tc>
          <w:tcPr>
            <w:tcW w:w="1080"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r>
              <w:rPr>
                <w:sz w:val="18"/>
              </w:rPr>
              <w:t>0.08</w:t>
            </w:r>
          </w:p>
        </w:tc>
        <w:tc>
          <w:tcPr>
            <w:tcW w:w="1260"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r>
              <w:rPr>
                <w:sz w:val="18"/>
              </w:rPr>
              <w:t>0.02</w:t>
            </w:r>
          </w:p>
        </w:tc>
        <w:tc>
          <w:tcPr>
            <w:tcW w:w="1188"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r>
              <w:rPr>
                <w:sz w:val="18"/>
              </w:rPr>
              <w:t>0.02</w:t>
            </w:r>
          </w:p>
        </w:tc>
      </w:tr>
      <w:tr w:rsidR="003C6835" w:rsidRPr="009D1595" w:rsidTr="003C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3C6835" w:rsidRPr="009D1595" w:rsidRDefault="003C6835" w:rsidP="003C6835">
            <w:pPr>
              <w:rPr>
                <w:sz w:val="18"/>
              </w:rPr>
            </w:pPr>
            <w:r w:rsidRPr="009D1595">
              <w:rPr>
                <w:sz w:val="18"/>
              </w:rPr>
              <w:t>Projects with financing from external non-reimbursable funds corresponding to the financial framework 2014-2020</w:t>
            </w:r>
          </w:p>
        </w:tc>
        <w:tc>
          <w:tcPr>
            <w:tcW w:w="1260" w:type="dxa"/>
            <w:shd w:val="clear" w:color="auto" w:fill="ACB9CA" w:themeFill="text2" w:themeFillTint="66"/>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p>
        </w:tc>
        <w:tc>
          <w:tcPr>
            <w:tcW w:w="1260" w:type="dxa"/>
            <w:shd w:val="clear" w:color="auto" w:fill="ACB9CA" w:themeFill="text2" w:themeFillTint="66"/>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p>
        </w:tc>
        <w:tc>
          <w:tcPr>
            <w:tcW w:w="1188" w:type="dxa"/>
            <w:shd w:val="clear" w:color="auto" w:fill="ACB9CA" w:themeFill="text2" w:themeFillTint="66"/>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p>
        </w:tc>
      </w:tr>
      <w:tr w:rsidR="003C6835" w:rsidRPr="009D1595" w:rsidTr="003C6835">
        <w:tc>
          <w:tcPr>
            <w:cnfStyle w:val="001000000000" w:firstRow="0" w:lastRow="0" w:firstColumn="1" w:lastColumn="0" w:oddVBand="0" w:evenVBand="0" w:oddHBand="0" w:evenHBand="0" w:firstRowFirstColumn="0" w:firstRowLastColumn="0" w:lastRowFirstColumn="0" w:lastRowLastColumn="0"/>
            <w:tcW w:w="2628" w:type="dxa"/>
          </w:tcPr>
          <w:p w:rsidR="003C6835" w:rsidRPr="009D1595" w:rsidRDefault="003C6835" w:rsidP="003C6835">
            <w:pPr>
              <w:rPr>
                <w:b w:val="0"/>
                <w:sz w:val="18"/>
              </w:rPr>
            </w:pPr>
            <w:r w:rsidRPr="009D1595">
              <w:rPr>
                <w:b w:val="0"/>
                <w:sz w:val="18"/>
              </w:rPr>
              <w:t>Million Lei</w:t>
            </w:r>
          </w:p>
        </w:tc>
        <w:tc>
          <w:tcPr>
            <w:tcW w:w="1260"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r>
              <w:rPr>
                <w:sz w:val="18"/>
              </w:rPr>
              <w:t>404</w:t>
            </w:r>
          </w:p>
        </w:tc>
        <w:tc>
          <w:tcPr>
            <w:tcW w:w="1080"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r>
              <w:rPr>
                <w:sz w:val="18"/>
              </w:rPr>
              <w:t>3</w:t>
            </w:r>
          </w:p>
        </w:tc>
        <w:tc>
          <w:tcPr>
            <w:tcW w:w="1080"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r>
              <w:rPr>
                <w:sz w:val="18"/>
              </w:rPr>
              <w:t>30</w:t>
            </w:r>
          </w:p>
        </w:tc>
        <w:tc>
          <w:tcPr>
            <w:tcW w:w="1080"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r>
              <w:rPr>
                <w:sz w:val="18"/>
              </w:rPr>
              <w:t>2,289</w:t>
            </w:r>
          </w:p>
        </w:tc>
        <w:tc>
          <w:tcPr>
            <w:tcW w:w="1260"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r>
              <w:rPr>
                <w:sz w:val="18"/>
              </w:rPr>
              <w:t>300</w:t>
            </w:r>
          </w:p>
        </w:tc>
        <w:tc>
          <w:tcPr>
            <w:tcW w:w="1188"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r>
              <w:rPr>
                <w:sz w:val="18"/>
              </w:rPr>
              <w:t>200</w:t>
            </w:r>
          </w:p>
        </w:tc>
      </w:tr>
      <w:tr w:rsidR="003C6835" w:rsidRPr="009D1595" w:rsidTr="003C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3C6835" w:rsidRPr="009D1595" w:rsidRDefault="003C6835" w:rsidP="003C6835">
            <w:pPr>
              <w:rPr>
                <w:b w:val="0"/>
                <w:sz w:val="18"/>
              </w:rPr>
            </w:pPr>
            <w:r w:rsidRPr="009D1595">
              <w:rPr>
                <w:b w:val="0"/>
                <w:sz w:val="18"/>
              </w:rPr>
              <w:t>% of G.D.P.</w:t>
            </w:r>
          </w:p>
        </w:tc>
        <w:tc>
          <w:tcPr>
            <w:tcW w:w="126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0.05</w:t>
            </w:r>
          </w:p>
        </w:tc>
        <w:tc>
          <w:tcPr>
            <w:tcW w:w="108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08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08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0.23</w:t>
            </w:r>
          </w:p>
        </w:tc>
        <w:tc>
          <w:tcPr>
            <w:tcW w:w="126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0.03</w:t>
            </w:r>
          </w:p>
        </w:tc>
        <w:tc>
          <w:tcPr>
            <w:tcW w:w="1188"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0.02</w:t>
            </w:r>
          </w:p>
        </w:tc>
      </w:tr>
      <w:tr w:rsidR="003C6835" w:rsidRPr="009D1595" w:rsidTr="003C6835">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3C6835" w:rsidRPr="009D1595" w:rsidRDefault="003C6835" w:rsidP="003C6835">
            <w:pPr>
              <w:rPr>
                <w:sz w:val="18"/>
              </w:rPr>
            </w:pPr>
            <w:r w:rsidRPr="009D1595">
              <w:rPr>
                <w:sz w:val="18"/>
              </w:rPr>
              <w:t>Other expenditures</w:t>
            </w:r>
          </w:p>
        </w:tc>
        <w:tc>
          <w:tcPr>
            <w:tcW w:w="1260" w:type="dxa"/>
            <w:shd w:val="clear" w:color="auto" w:fill="ACB9CA" w:themeFill="text2" w:themeFillTint="66"/>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p>
        </w:tc>
        <w:tc>
          <w:tcPr>
            <w:tcW w:w="1260" w:type="dxa"/>
            <w:shd w:val="clear" w:color="auto" w:fill="ACB9CA" w:themeFill="text2" w:themeFillTint="66"/>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p>
        </w:tc>
        <w:tc>
          <w:tcPr>
            <w:tcW w:w="1188" w:type="dxa"/>
            <w:shd w:val="clear" w:color="auto" w:fill="ACB9CA" w:themeFill="text2" w:themeFillTint="66"/>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p>
        </w:tc>
      </w:tr>
      <w:tr w:rsidR="003C6835" w:rsidRPr="009D1595" w:rsidTr="003C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3C6835" w:rsidRPr="009D1595" w:rsidRDefault="003C6835" w:rsidP="003C6835">
            <w:pPr>
              <w:rPr>
                <w:b w:val="0"/>
                <w:sz w:val="18"/>
              </w:rPr>
            </w:pPr>
            <w:r w:rsidRPr="009D1595">
              <w:rPr>
                <w:b w:val="0"/>
                <w:sz w:val="18"/>
              </w:rPr>
              <w:t>Million Lei</w:t>
            </w:r>
          </w:p>
        </w:tc>
        <w:tc>
          <w:tcPr>
            <w:tcW w:w="126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531</w:t>
            </w:r>
          </w:p>
        </w:tc>
        <w:tc>
          <w:tcPr>
            <w:tcW w:w="108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840</w:t>
            </w:r>
          </w:p>
        </w:tc>
        <w:tc>
          <w:tcPr>
            <w:tcW w:w="108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1,043</w:t>
            </w:r>
          </w:p>
        </w:tc>
        <w:tc>
          <w:tcPr>
            <w:tcW w:w="108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1,600</w:t>
            </w:r>
          </w:p>
        </w:tc>
        <w:tc>
          <w:tcPr>
            <w:tcW w:w="126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1,064</w:t>
            </w:r>
          </w:p>
        </w:tc>
        <w:tc>
          <w:tcPr>
            <w:tcW w:w="1188"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1,076</w:t>
            </w:r>
          </w:p>
        </w:tc>
      </w:tr>
      <w:tr w:rsidR="003C6835" w:rsidRPr="009D1595" w:rsidTr="003C6835">
        <w:tc>
          <w:tcPr>
            <w:cnfStyle w:val="001000000000" w:firstRow="0" w:lastRow="0" w:firstColumn="1" w:lastColumn="0" w:oddVBand="0" w:evenVBand="0" w:oddHBand="0" w:evenHBand="0" w:firstRowFirstColumn="0" w:firstRowLastColumn="0" w:lastRowFirstColumn="0" w:lastRowLastColumn="0"/>
            <w:tcW w:w="2628" w:type="dxa"/>
          </w:tcPr>
          <w:p w:rsidR="003C6835" w:rsidRPr="009D1595" w:rsidRDefault="003C6835" w:rsidP="003C6835">
            <w:pPr>
              <w:rPr>
                <w:b w:val="0"/>
                <w:sz w:val="18"/>
              </w:rPr>
            </w:pPr>
            <w:r w:rsidRPr="009D1595">
              <w:rPr>
                <w:b w:val="0"/>
                <w:sz w:val="18"/>
              </w:rPr>
              <w:t>% of G.D.P.</w:t>
            </w:r>
          </w:p>
        </w:tc>
        <w:tc>
          <w:tcPr>
            <w:tcW w:w="1260"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r>
              <w:rPr>
                <w:sz w:val="18"/>
              </w:rPr>
              <w:t>0.07</w:t>
            </w:r>
          </w:p>
        </w:tc>
        <w:tc>
          <w:tcPr>
            <w:tcW w:w="1080"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r>
              <w:rPr>
                <w:sz w:val="18"/>
              </w:rPr>
              <w:t>0.10</w:t>
            </w:r>
          </w:p>
        </w:tc>
        <w:tc>
          <w:tcPr>
            <w:tcW w:w="1080"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r>
              <w:rPr>
                <w:sz w:val="18"/>
              </w:rPr>
              <w:t>0.11</w:t>
            </w:r>
          </w:p>
        </w:tc>
        <w:tc>
          <w:tcPr>
            <w:tcW w:w="1080"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r>
              <w:rPr>
                <w:sz w:val="18"/>
              </w:rPr>
              <w:t>0.16</w:t>
            </w:r>
          </w:p>
        </w:tc>
        <w:tc>
          <w:tcPr>
            <w:tcW w:w="1260"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r>
              <w:rPr>
                <w:sz w:val="18"/>
              </w:rPr>
              <w:t>0.10</w:t>
            </w:r>
          </w:p>
        </w:tc>
        <w:tc>
          <w:tcPr>
            <w:tcW w:w="1188"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r>
              <w:rPr>
                <w:sz w:val="18"/>
              </w:rPr>
              <w:t>0.10</w:t>
            </w:r>
          </w:p>
        </w:tc>
      </w:tr>
      <w:tr w:rsidR="003C6835" w:rsidRPr="009D1595" w:rsidTr="003C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3C6835" w:rsidRPr="009D1595" w:rsidRDefault="003C6835" w:rsidP="003C6835">
            <w:pPr>
              <w:rPr>
                <w:sz w:val="18"/>
              </w:rPr>
            </w:pPr>
            <w:r w:rsidRPr="009D1595">
              <w:rPr>
                <w:sz w:val="18"/>
              </w:rPr>
              <w:t>Expenditures corresponding to programs with reimbursable financing</w:t>
            </w:r>
          </w:p>
        </w:tc>
        <w:tc>
          <w:tcPr>
            <w:tcW w:w="1260" w:type="dxa"/>
            <w:shd w:val="clear" w:color="auto" w:fill="ACB9CA" w:themeFill="text2" w:themeFillTint="66"/>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p>
        </w:tc>
        <w:tc>
          <w:tcPr>
            <w:tcW w:w="1260" w:type="dxa"/>
            <w:shd w:val="clear" w:color="auto" w:fill="ACB9CA" w:themeFill="text2" w:themeFillTint="66"/>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p>
        </w:tc>
        <w:tc>
          <w:tcPr>
            <w:tcW w:w="1188" w:type="dxa"/>
            <w:shd w:val="clear" w:color="auto" w:fill="ACB9CA" w:themeFill="text2" w:themeFillTint="66"/>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p>
        </w:tc>
      </w:tr>
      <w:tr w:rsidR="003C6835" w:rsidRPr="009D1595" w:rsidTr="003C6835">
        <w:tc>
          <w:tcPr>
            <w:cnfStyle w:val="001000000000" w:firstRow="0" w:lastRow="0" w:firstColumn="1" w:lastColumn="0" w:oddVBand="0" w:evenVBand="0" w:oddHBand="0" w:evenHBand="0" w:firstRowFirstColumn="0" w:firstRowLastColumn="0" w:lastRowFirstColumn="0" w:lastRowLastColumn="0"/>
            <w:tcW w:w="2628" w:type="dxa"/>
          </w:tcPr>
          <w:p w:rsidR="003C6835" w:rsidRPr="009D1595" w:rsidRDefault="003C6835" w:rsidP="003C6835">
            <w:pPr>
              <w:rPr>
                <w:b w:val="0"/>
                <w:sz w:val="18"/>
              </w:rPr>
            </w:pPr>
            <w:r w:rsidRPr="009D1595">
              <w:rPr>
                <w:b w:val="0"/>
                <w:sz w:val="18"/>
              </w:rPr>
              <w:t>Million Lei</w:t>
            </w:r>
          </w:p>
        </w:tc>
        <w:tc>
          <w:tcPr>
            <w:tcW w:w="1260"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r>
              <w:rPr>
                <w:sz w:val="18"/>
              </w:rPr>
              <w:t>95</w:t>
            </w:r>
          </w:p>
        </w:tc>
        <w:tc>
          <w:tcPr>
            <w:tcW w:w="1080"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r>
              <w:rPr>
                <w:sz w:val="18"/>
              </w:rPr>
              <w:t>85</w:t>
            </w:r>
          </w:p>
        </w:tc>
        <w:tc>
          <w:tcPr>
            <w:tcW w:w="1080"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r>
              <w:rPr>
                <w:sz w:val="18"/>
              </w:rPr>
              <w:t>94</w:t>
            </w:r>
          </w:p>
        </w:tc>
        <w:tc>
          <w:tcPr>
            <w:tcW w:w="1080"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r>
              <w:rPr>
                <w:sz w:val="18"/>
              </w:rPr>
              <w:t>102</w:t>
            </w:r>
          </w:p>
        </w:tc>
        <w:tc>
          <w:tcPr>
            <w:tcW w:w="1260"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r>
              <w:rPr>
                <w:sz w:val="18"/>
              </w:rPr>
              <w:t>187</w:t>
            </w:r>
          </w:p>
        </w:tc>
        <w:tc>
          <w:tcPr>
            <w:tcW w:w="1188"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r>
              <w:rPr>
                <w:sz w:val="18"/>
              </w:rPr>
              <w:t>137</w:t>
            </w:r>
          </w:p>
        </w:tc>
      </w:tr>
      <w:tr w:rsidR="003C6835" w:rsidRPr="009D1595" w:rsidTr="003C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3C6835" w:rsidRPr="009D1595" w:rsidRDefault="003C6835" w:rsidP="003C6835">
            <w:pPr>
              <w:rPr>
                <w:b w:val="0"/>
                <w:sz w:val="18"/>
              </w:rPr>
            </w:pPr>
            <w:r w:rsidRPr="009D1595">
              <w:rPr>
                <w:b w:val="0"/>
                <w:sz w:val="18"/>
              </w:rPr>
              <w:t>% of G.D.P.</w:t>
            </w:r>
          </w:p>
        </w:tc>
        <w:tc>
          <w:tcPr>
            <w:tcW w:w="126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0.01</w:t>
            </w:r>
          </w:p>
        </w:tc>
        <w:tc>
          <w:tcPr>
            <w:tcW w:w="108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0.01</w:t>
            </w:r>
          </w:p>
        </w:tc>
        <w:tc>
          <w:tcPr>
            <w:tcW w:w="108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0.01</w:t>
            </w:r>
          </w:p>
        </w:tc>
        <w:tc>
          <w:tcPr>
            <w:tcW w:w="108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0.01</w:t>
            </w:r>
          </w:p>
        </w:tc>
        <w:tc>
          <w:tcPr>
            <w:tcW w:w="126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0.02</w:t>
            </w:r>
          </w:p>
        </w:tc>
        <w:tc>
          <w:tcPr>
            <w:tcW w:w="1188"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0.01</w:t>
            </w:r>
          </w:p>
        </w:tc>
      </w:tr>
      <w:tr w:rsidR="003C6835" w:rsidRPr="009D1595" w:rsidTr="003C6835">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3C6835" w:rsidRPr="009D1595" w:rsidRDefault="003C6835" w:rsidP="003C6835">
            <w:pPr>
              <w:rPr>
                <w:sz w:val="18"/>
              </w:rPr>
            </w:pPr>
            <w:r w:rsidRPr="009D1595">
              <w:rPr>
                <w:sz w:val="18"/>
              </w:rPr>
              <w:t>Non-financial assets</w:t>
            </w:r>
          </w:p>
        </w:tc>
        <w:tc>
          <w:tcPr>
            <w:tcW w:w="1260" w:type="dxa"/>
            <w:shd w:val="clear" w:color="auto" w:fill="ACB9CA" w:themeFill="text2" w:themeFillTint="66"/>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p>
        </w:tc>
        <w:tc>
          <w:tcPr>
            <w:tcW w:w="1260" w:type="dxa"/>
            <w:shd w:val="clear" w:color="auto" w:fill="ACB9CA" w:themeFill="text2" w:themeFillTint="66"/>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p>
        </w:tc>
        <w:tc>
          <w:tcPr>
            <w:tcW w:w="1188" w:type="dxa"/>
            <w:shd w:val="clear" w:color="auto" w:fill="ACB9CA" w:themeFill="text2" w:themeFillTint="66"/>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p>
        </w:tc>
      </w:tr>
      <w:tr w:rsidR="003C6835" w:rsidRPr="009D1595" w:rsidTr="003C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3C6835" w:rsidRPr="009D1595" w:rsidRDefault="003C6835" w:rsidP="003C6835">
            <w:pPr>
              <w:rPr>
                <w:b w:val="0"/>
                <w:sz w:val="18"/>
              </w:rPr>
            </w:pPr>
            <w:r w:rsidRPr="009D1595">
              <w:rPr>
                <w:b w:val="0"/>
                <w:sz w:val="18"/>
              </w:rPr>
              <w:t>Million Lei</w:t>
            </w:r>
          </w:p>
        </w:tc>
        <w:tc>
          <w:tcPr>
            <w:tcW w:w="126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272</w:t>
            </w:r>
          </w:p>
        </w:tc>
        <w:tc>
          <w:tcPr>
            <w:tcW w:w="108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198</w:t>
            </w:r>
          </w:p>
        </w:tc>
        <w:tc>
          <w:tcPr>
            <w:tcW w:w="108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91</w:t>
            </w:r>
          </w:p>
        </w:tc>
        <w:tc>
          <w:tcPr>
            <w:tcW w:w="108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190</w:t>
            </w:r>
          </w:p>
        </w:tc>
        <w:tc>
          <w:tcPr>
            <w:tcW w:w="126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51</w:t>
            </w:r>
          </w:p>
        </w:tc>
        <w:tc>
          <w:tcPr>
            <w:tcW w:w="1188"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51</w:t>
            </w:r>
          </w:p>
        </w:tc>
      </w:tr>
      <w:tr w:rsidR="003C6835" w:rsidRPr="009D1595" w:rsidTr="003C6835">
        <w:tc>
          <w:tcPr>
            <w:cnfStyle w:val="001000000000" w:firstRow="0" w:lastRow="0" w:firstColumn="1" w:lastColumn="0" w:oddVBand="0" w:evenVBand="0" w:oddHBand="0" w:evenHBand="0" w:firstRowFirstColumn="0" w:firstRowLastColumn="0" w:lastRowFirstColumn="0" w:lastRowLastColumn="0"/>
            <w:tcW w:w="2628" w:type="dxa"/>
          </w:tcPr>
          <w:p w:rsidR="003C6835" w:rsidRPr="009D1595" w:rsidRDefault="003C6835" w:rsidP="003C6835">
            <w:pPr>
              <w:rPr>
                <w:b w:val="0"/>
                <w:sz w:val="18"/>
              </w:rPr>
            </w:pPr>
            <w:r w:rsidRPr="009D1595">
              <w:rPr>
                <w:b w:val="0"/>
                <w:sz w:val="18"/>
              </w:rPr>
              <w:t>% of G.D.P.</w:t>
            </w:r>
          </w:p>
        </w:tc>
        <w:tc>
          <w:tcPr>
            <w:tcW w:w="1260"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r>
              <w:rPr>
                <w:sz w:val="18"/>
              </w:rPr>
              <w:t>0.04</w:t>
            </w:r>
          </w:p>
        </w:tc>
        <w:tc>
          <w:tcPr>
            <w:tcW w:w="1080"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r>
              <w:rPr>
                <w:sz w:val="18"/>
              </w:rPr>
              <w:t>0.02</w:t>
            </w:r>
          </w:p>
        </w:tc>
        <w:tc>
          <w:tcPr>
            <w:tcW w:w="1080"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r>
              <w:rPr>
                <w:sz w:val="18"/>
              </w:rPr>
              <w:t>0.01</w:t>
            </w:r>
          </w:p>
        </w:tc>
        <w:tc>
          <w:tcPr>
            <w:tcW w:w="1080"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r>
              <w:rPr>
                <w:sz w:val="18"/>
              </w:rPr>
              <w:t>0.02</w:t>
            </w:r>
          </w:p>
        </w:tc>
        <w:tc>
          <w:tcPr>
            <w:tcW w:w="1260"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c>
          <w:tcPr>
            <w:tcW w:w="1188"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r>
      <w:tr w:rsidR="003C6835" w:rsidRPr="009D1595" w:rsidTr="003C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3C6835" w:rsidRPr="009D1595" w:rsidRDefault="003C6835" w:rsidP="003C6835">
            <w:pPr>
              <w:rPr>
                <w:sz w:val="18"/>
              </w:rPr>
            </w:pPr>
            <w:r w:rsidRPr="009D1595">
              <w:rPr>
                <w:sz w:val="18"/>
              </w:rPr>
              <w:t>Payments made in previous years and recovered in the current year</w:t>
            </w:r>
          </w:p>
        </w:tc>
        <w:tc>
          <w:tcPr>
            <w:tcW w:w="1260" w:type="dxa"/>
            <w:shd w:val="clear" w:color="auto" w:fill="ACB9CA" w:themeFill="text2" w:themeFillTint="66"/>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p>
        </w:tc>
        <w:tc>
          <w:tcPr>
            <w:tcW w:w="1260" w:type="dxa"/>
            <w:shd w:val="clear" w:color="auto" w:fill="ACB9CA" w:themeFill="text2" w:themeFillTint="66"/>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p>
        </w:tc>
        <w:tc>
          <w:tcPr>
            <w:tcW w:w="1188" w:type="dxa"/>
            <w:shd w:val="clear" w:color="auto" w:fill="ACB9CA" w:themeFill="text2" w:themeFillTint="66"/>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p>
        </w:tc>
      </w:tr>
      <w:tr w:rsidR="003C6835" w:rsidRPr="009D1595" w:rsidTr="003C6835">
        <w:tc>
          <w:tcPr>
            <w:cnfStyle w:val="001000000000" w:firstRow="0" w:lastRow="0" w:firstColumn="1" w:lastColumn="0" w:oddVBand="0" w:evenVBand="0" w:oddHBand="0" w:evenHBand="0" w:firstRowFirstColumn="0" w:firstRowLastColumn="0" w:lastRowFirstColumn="0" w:lastRowLastColumn="0"/>
            <w:tcW w:w="2628" w:type="dxa"/>
          </w:tcPr>
          <w:p w:rsidR="003C6835" w:rsidRPr="009D1595" w:rsidRDefault="003C6835" w:rsidP="003C6835">
            <w:pPr>
              <w:rPr>
                <w:b w:val="0"/>
                <w:sz w:val="18"/>
              </w:rPr>
            </w:pPr>
            <w:r w:rsidRPr="009D1595">
              <w:rPr>
                <w:b w:val="0"/>
                <w:sz w:val="18"/>
              </w:rPr>
              <w:t>Million Lei</w:t>
            </w:r>
          </w:p>
        </w:tc>
        <w:tc>
          <w:tcPr>
            <w:tcW w:w="1260"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p>
        </w:tc>
        <w:tc>
          <w:tcPr>
            <w:tcW w:w="1080"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r>
              <w:rPr>
                <w:sz w:val="18"/>
              </w:rPr>
              <w:t>-8</w:t>
            </w:r>
          </w:p>
        </w:tc>
        <w:tc>
          <w:tcPr>
            <w:tcW w:w="1080"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r>
              <w:rPr>
                <w:sz w:val="18"/>
              </w:rPr>
              <w:t>-4</w:t>
            </w:r>
          </w:p>
        </w:tc>
        <w:tc>
          <w:tcPr>
            <w:tcW w:w="1080"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p>
        </w:tc>
        <w:tc>
          <w:tcPr>
            <w:tcW w:w="1260"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p>
        </w:tc>
        <w:tc>
          <w:tcPr>
            <w:tcW w:w="1188" w:type="dxa"/>
          </w:tcPr>
          <w:p w:rsidR="003C6835" w:rsidRPr="009D1595" w:rsidRDefault="003C6835" w:rsidP="003C6835">
            <w:pPr>
              <w:cnfStyle w:val="000000000000" w:firstRow="0" w:lastRow="0" w:firstColumn="0" w:lastColumn="0" w:oddVBand="0" w:evenVBand="0" w:oddHBand="0" w:evenHBand="0" w:firstRowFirstColumn="0" w:firstRowLastColumn="0" w:lastRowFirstColumn="0" w:lastRowLastColumn="0"/>
              <w:rPr>
                <w:sz w:val="18"/>
              </w:rPr>
            </w:pPr>
          </w:p>
        </w:tc>
      </w:tr>
      <w:tr w:rsidR="003C6835" w:rsidRPr="009D1595" w:rsidTr="003C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3C6835" w:rsidRPr="009D1595" w:rsidRDefault="003C6835" w:rsidP="003C6835">
            <w:pPr>
              <w:rPr>
                <w:b w:val="0"/>
                <w:sz w:val="18"/>
              </w:rPr>
            </w:pPr>
            <w:r w:rsidRPr="009D1595">
              <w:rPr>
                <w:b w:val="0"/>
                <w:sz w:val="18"/>
              </w:rPr>
              <w:t>% of G.D.P.</w:t>
            </w:r>
          </w:p>
        </w:tc>
        <w:tc>
          <w:tcPr>
            <w:tcW w:w="126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08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08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08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260"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188" w:type="dxa"/>
          </w:tcPr>
          <w:p w:rsidR="003C6835" w:rsidRPr="009D1595" w:rsidRDefault="003C6835" w:rsidP="003C6835">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r>
    </w:tbl>
    <w:p w:rsidR="003C6835" w:rsidRPr="00C21188" w:rsidRDefault="003C6835" w:rsidP="00C21188"/>
    <w:p w:rsidR="00C21188" w:rsidRPr="00C21188" w:rsidRDefault="00C21188" w:rsidP="00C21188"/>
    <w:p w:rsidR="00C21188" w:rsidRPr="00C21188" w:rsidRDefault="00C21188" w:rsidP="00C21188"/>
    <w:p w:rsidR="00C21188" w:rsidRPr="00C21188" w:rsidRDefault="00C21188" w:rsidP="00C21188"/>
    <w:p w:rsidR="00C21188" w:rsidRPr="00C21188" w:rsidRDefault="00C21188" w:rsidP="00C21188"/>
    <w:p w:rsidR="001B2458" w:rsidRDefault="001B2458" w:rsidP="001B2458">
      <w:pPr>
        <w:jc w:val="right"/>
      </w:pPr>
      <w:r>
        <w:t xml:space="preserve">- Million Lei- </w:t>
      </w:r>
    </w:p>
    <w:tbl>
      <w:tblPr>
        <w:tblStyle w:val="LightList"/>
        <w:tblW w:w="0" w:type="auto"/>
        <w:tblLook w:val="04A0" w:firstRow="1" w:lastRow="0" w:firstColumn="1" w:lastColumn="0" w:noHBand="0" w:noVBand="1"/>
      </w:tblPr>
      <w:tblGrid>
        <w:gridCol w:w="2628"/>
        <w:gridCol w:w="1260"/>
        <w:gridCol w:w="1080"/>
        <w:gridCol w:w="1080"/>
        <w:gridCol w:w="1080"/>
        <w:gridCol w:w="1260"/>
        <w:gridCol w:w="1188"/>
      </w:tblGrid>
      <w:tr w:rsidR="00C22295" w:rsidRPr="009D1595" w:rsidTr="00C35D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7"/>
            <w:shd w:val="clear" w:color="auto" w:fill="auto"/>
          </w:tcPr>
          <w:p w:rsidR="00C22295" w:rsidRDefault="00C22295" w:rsidP="00C35D71">
            <w:pPr>
              <w:jc w:val="center"/>
              <w:rPr>
                <w:color w:val="auto"/>
                <w:sz w:val="20"/>
              </w:rPr>
            </w:pPr>
            <w:r w:rsidRPr="009D1595">
              <w:rPr>
                <w:color w:val="auto"/>
                <w:sz w:val="20"/>
              </w:rPr>
              <w:t>Annex</w:t>
            </w:r>
            <w:r>
              <w:rPr>
                <w:color w:val="auto"/>
                <w:sz w:val="20"/>
              </w:rPr>
              <w:t xml:space="preserve"> 4</w:t>
            </w:r>
            <w:r w:rsidRPr="009D1595">
              <w:rPr>
                <w:color w:val="auto"/>
                <w:sz w:val="20"/>
              </w:rPr>
              <w:t xml:space="preserve"> - Expenditures of the Ministry of </w:t>
            </w:r>
            <w:r>
              <w:rPr>
                <w:color w:val="auto"/>
                <w:sz w:val="20"/>
              </w:rPr>
              <w:t>National Defense</w:t>
            </w:r>
            <w:r w:rsidRPr="009D1595">
              <w:rPr>
                <w:color w:val="auto"/>
                <w:sz w:val="20"/>
              </w:rPr>
              <w:t xml:space="preserve"> from the State budget </w:t>
            </w:r>
          </w:p>
          <w:p w:rsidR="00C22295" w:rsidRPr="009D1595" w:rsidRDefault="00C22295" w:rsidP="00C35D71">
            <w:pPr>
              <w:jc w:val="center"/>
              <w:rPr>
                <w:color w:val="auto"/>
                <w:sz w:val="20"/>
              </w:rPr>
            </w:pPr>
            <w:r w:rsidRPr="009D1595">
              <w:rPr>
                <w:color w:val="auto"/>
                <w:sz w:val="20"/>
              </w:rPr>
              <w:t>between 2016 and 2021</w:t>
            </w:r>
          </w:p>
          <w:p w:rsidR="00C22295" w:rsidRPr="009D1595" w:rsidRDefault="00C22295" w:rsidP="00C35D71">
            <w:pPr>
              <w:rPr>
                <w:color w:val="auto"/>
                <w:sz w:val="18"/>
              </w:rPr>
            </w:pPr>
          </w:p>
        </w:tc>
      </w:tr>
      <w:tr w:rsidR="00C22295"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C22295" w:rsidRPr="009D1595" w:rsidRDefault="00C22295" w:rsidP="00C35D71">
            <w:pPr>
              <w:rPr>
                <w:sz w:val="18"/>
              </w:rPr>
            </w:pPr>
          </w:p>
        </w:tc>
        <w:tc>
          <w:tcPr>
            <w:tcW w:w="1260"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r w:rsidRPr="009D1595">
              <w:rPr>
                <w:sz w:val="18"/>
              </w:rPr>
              <w:t>2016</w:t>
            </w:r>
          </w:p>
        </w:tc>
        <w:tc>
          <w:tcPr>
            <w:tcW w:w="1080"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r w:rsidRPr="009D1595">
              <w:rPr>
                <w:sz w:val="18"/>
              </w:rPr>
              <w:t>2017</w:t>
            </w:r>
          </w:p>
        </w:tc>
        <w:tc>
          <w:tcPr>
            <w:tcW w:w="1080"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r w:rsidRPr="009D1595">
              <w:rPr>
                <w:sz w:val="18"/>
              </w:rPr>
              <w:t>2018</w:t>
            </w:r>
          </w:p>
        </w:tc>
        <w:tc>
          <w:tcPr>
            <w:tcW w:w="1080"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r w:rsidRPr="009D1595">
              <w:rPr>
                <w:sz w:val="18"/>
              </w:rPr>
              <w:t>2019</w:t>
            </w:r>
          </w:p>
        </w:tc>
        <w:tc>
          <w:tcPr>
            <w:tcW w:w="1260"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r w:rsidRPr="009D1595">
              <w:rPr>
                <w:sz w:val="18"/>
              </w:rPr>
              <w:t>2020</w:t>
            </w:r>
          </w:p>
        </w:tc>
        <w:tc>
          <w:tcPr>
            <w:tcW w:w="1188"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r w:rsidRPr="009D1595">
              <w:rPr>
                <w:sz w:val="18"/>
              </w:rPr>
              <w:t>2021</w:t>
            </w:r>
          </w:p>
        </w:tc>
      </w:tr>
      <w:tr w:rsidR="00C22295" w:rsidRPr="009D1595" w:rsidTr="00C35D71">
        <w:tc>
          <w:tcPr>
            <w:cnfStyle w:val="001000000000" w:firstRow="0" w:lastRow="0" w:firstColumn="1" w:lastColumn="0" w:oddVBand="0" w:evenVBand="0" w:oddHBand="0" w:evenHBand="0" w:firstRowFirstColumn="0" w:firstRowLastColumn="0" w:lastRowFirstColumn="0" w:lastRowLastColumn="0"/>
            <w:tcW w:w="9576" w:type="dxa"/>
            <w:gridSpan w:val="7"/>
            <w:shd w:val="clear" w:color="auto" w:fill="ACB9CA" w:themeFill="text2" w:themeFillTint="66"/>
          </w:tcPr>
          <w:p w:rsidR="00C22295" w:rsidRPr="009D1595" w:rsidRDefault="00C22295" w:rsidP="00C35D71">
            <w:pPr>
              <w:rPr>
                <w:sz w:val="18"/>
              </w:rPr>
            </w:pPr>
            <w:r w:rsidRPr="009D1595">
              <w:rPr>
                <w:sz w:val="18"/>
              </w:rPr>
              <w:t xml:space="preserve">TOTAL EXPENDITURES </w:t>
            </w:r>
          </w:p>
        </w:tc>
      </w:tr>
      <w:tr w:rsidR="00C22295"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C22295" w:rsidRPr="009D1595" w:rsidRDefault="00C22295" w:rsidP="00C35D71">
            <w:pPr>
              <w:rPr>
                <w:b w:val="0"/>
                <w:sz w:val="18"/>
              </w:rPr>
            </w:pPr>
            <w:r w:rsidRPr="009D1595">
              <w:rPr>
                <w:b w:val="0"/>
                <w:sz w:val="18"/>
              </w:rPr>
              <w:t>Million Lei</w:t>
            </w:r>
          </w:p>
        </w:tc>
        <w:tc>
          <w:tcPr>
            <w:tcW w:w="1260"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r>
              <w:rPr>
                <w:sz w:val="18"/>
              </w:rPr>
              <w:t>10,583</w:t>
            </w:r>
          </w:p>
        </w:tc>
        <w:tc>
          <w:tcPr>
            <w:tcW w:w="1080"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r>
              <w:rPr>
                <w:sz w:val="18"/>
              </w:rPr>
              <w:t>14,655</w:t>
            </w:r>
          </w:p>
        </w:tc>
        <w:tc>
          <w:tcPr>
            <w:tcW w:w="1080"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r>
              <w:rPr>
                <w:sz w:val="18"/>
              </w:rPr>
              <w:t>17,007</w:t>
            </w:r>
          </w:p>
        </w:tc>
        <w:tc>
          <w:tcPr>
            <w:tcW w:w="1080"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r>
              <w:rPr>
                <w:sz w:val="18"/>
              </w:rPr>
              <w:t>18,125</w:t>
            </w:r>
          </w:p>
        </w:tc>
        <w:tc>
          <w:tcPr>
            <w:tcW w:w="1260"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r>
              <w:rPr>
                <w:sz w:val="18"/>
              </w:rPr>
              <w:t>19,309</w:t>
            </w:r>
          </w:p>
        </w:tc>
        <w:tc>
          <w:tcPr>
            <w:tcW w:w="1188"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r>
              <w:rPr>
                <w:sz w:val="18"/>
              </w:rPr>
              <w:t>20,820</w:t>
            </w:r>
          </w:p>
        </w:tc>
      </w:tr>
      <w:tr w:rsidR="00C22295"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C22295" w:rsidRPr="009D1595" w:rsidRDefault="00C22295" w:rsidP="00C35D71">
            <w:pPr>
              <w:rPr>
                <w:b w:val="0"/>
                <w:sz w:val="18"/>
              </w:rPr>
            </w:pPr>
            <w:r w:rsidRPr="009D1595">
              <w:rPr>
                <w:b w:val="0"/>
                <w:sz w:val="18"/>
              </w:rPr>
              <w:t>% of G.D.P.</w:t>
            </w:r>
          </w:p>
        </w:tc>
        <w:tc>
          <w:tcPr>
            <w:tcW w:w="1260" w:type="dxa"/>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r>
              <w:rPr>
                <w:sz w:val="18"/>
              </w:rPr>
              <w:t>1.39</w:t>
            </w:r>
          </w:p>
        </w:tc>
        <w:tc>
          <w:tcPr>
            <w:tcW w:w="1080" w:type="dxa"/>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r>
              <w:rPr>
                <w:sz w:val="18"/>
              </w:rPr>
              <w:t>1.74</w:t>
            </w:r>
          </w:p>
        </w:tc>
        <w:tc>
          <w:tcPr>
            <w:tcW w:w="1080" w:type="dxa"/>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r>
              <w:rPr>
                <w:sz w:val="18"/>
              </w:rPr>
              <w:t>1.81</w:t>
            </w:r>
          </w:p>
        </w:tc>
        <w:tc>
          <w:tcPr>
            <w:tcW w:w="1080" w:type="dxa"/>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r>
              <w:rPr>
                <w:sz w:val="18"/>
              </w:rPr>
              <w:t>1.85</w:t>
            </w:r>
          </w:p>
        </w:tc>
        <w:tc>
          <w:tcPr>
            <w:tcW w:w="1260" w:type="dxa"/>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r>
              <w:rPr>
                <w:sz w:val="18"/>
              </w:rPr>
              <w:t>1.84</w:t>
            </w:r>
          </w:p>
        </w:tc>
        <w:tc>
          <w:tcPr>
            <w:tcW w:w="1188" w:type="dxa"/>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r>
              <w:rPr>
                <w:sz w:val="18"/>
              </w:rPr>
              <w:t>1.85</w:t>
            </w:r>
          </w:p>
        </w:tc>
      </w:tr>
      <w:tr w:rsidR="00C22295"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C22295" w:rsidRPr="009D1595" w:rsidRDefault="00C22295" w:rsidP="00C35D71">
            <w:pPr>
              <w:rPr>
                <w:sz w:val="18"/>
              </w:rPr>
            </w:pPr>
            <w:r w:rsidRPr="009D1595">
              <w:rPr>
                <w:sz w:val="18"/>
              </w:rPr>
              <w:t>Personnel expenditures</w:t>
            </w:r>
          </w:p>
        </w:tc>
        <w:tc>
          <w:tcPr>
            <w:tcW w:w="1260" w:type="dxa"/>
            <w:shd w:val="clear" w:color="auto" w:fill="ACB9CA" w:themeFill="text2" w:themeFillTint="66"/>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p>
        </w:tc>
        <w:tc>
          <w:tcPr>
            <w:tcW w:w="1260" w:type="dxa"/>
            <w:shd w:val="clear" w:color="auto" w:fill="ACB9CA" w:themeFill="text2" w:themeFillTint="66"/>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p>
        </w:tc>
        <w:tc>
          <w:tcPr>
            <w:tcW w:w="1188" w:type="dxa"/>
            <w:shd w:val="clear" w:color="auto" w:fill="ACB9CA" w:themeFill="text2" w:themeFillTint="66"/>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p>
        </w:tc>
      </w:tr>
      <w:tr w:rsidR="00C22295"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C22295" w:rsidRPr="009D1595" w:rsidRDefault="00C22295" w:rsidP="00C35D71">
            <w:pPr>
              <w:rPr>
                <w:b w:val="0"/>
                <w:sz w:val="18"/>
              </w:rPr>
            </w:pPr>
            <w:r w:rsidRPr="009D1595">
              <w:rPr>
                <w:b w:val="0"/>
                <w:sz w:val="18"/>
              </w:rPr>
              <w:t>Million Lei</w:t>
            </w:r>
          </w:p>
        </w:tc>
        <w:tc>
          <w:tcPr>
            <w:tcW w:w="1260" w:type="dxa"/>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r>
              <w:rPr>
                <w:sz w:val="18"/>
              </w:rPr>
              <w:t>3,684</w:t>
            </w:r>
          </w:p>
        </w:tc>
        <w:tc>
          <w:tcPr>
            <w:tcW w:w="1080" w:type="dxa"/>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r>
              <w:rPr>
                <w:sz w:val="18"/>
              </w:rPr>
              <w:t>4,083</w:t>
            </w:r>
          </w:p>
        </w:tc>
        <w:tc>
          <w:tcPr>
            <w:tcW w:w="1080" w:type="dxa"/>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r>
              <w:rPr>
                <w:sz w:val="18"/>
              </w:rPr>
              <w:t>5,226</w:t>
            </w:r>
          </w:p>
        </w:tc>
        <w:tc>
          <w:tcPr>
            <w:tcW w:w="1080" w:type="dxa"/>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r>
              <w:rPr>
                <w:sz w:val="18"/>
              </w:rPr>
              <w:t>6,500</w:t>
            </w:r>
          </w:p>
        </w:tc>
        <w:tc>
          <w:tcPr>
            <w:tcW w:w="1260" w:type="dxa"/>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r>
              <w:rPr>
                <w:sz w:val="18"/>
              </w:rPr>
              <w:t>7,158</w:t>
            </w:r>
          </w:p>
        </w:tc>
        <w:tc>
          <w:tcPr>
            <w:tcW w:w="1188" w:type="dxa"/>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r>
              <w:rPr>
                <w:sz w:val="18"/>
              </w:rPr>
              <w:t>7,454</w:t>
            </w:r>
          </w:p>
        </w:tc>
      </w:tr>
      <w:tr w:rsidR="00C22295"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C22295" w:rsidRPr="009D1595" w:rsidRDefault="00C22295" w:rsidP="00C35D71">
            <w:pPr>
              <w:rPr>
                <w:b w:val="0"/>
                <w:sz w:val="18"/>
              </w:rPr>
            </w:pPr>
            <w:r w:rsidRPr="009D1595">
              <w:rPr>
                <w:b w:val="0"/>
                <w:sz w:val="18"/>
              </w:rPr>
              <w:t>% of G.D.P.</w:t>
            </w:r>
          </w:p>
        </w:tc>
        <w:tc>
          <w:tcPr>
            <w:tcW w:w="1260"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r>
              <w:rPr>
                <w:sz w:val="18"/>
              </w:rPr>
              <w:t>0.48</w:t>
            </w:r>
          </w:p>
        </w:tc>
        <w:tc>
          <w:tcPr>
            <w:tcW w:w="1080"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r>
              <w:rPr>
                <w:sz w:val="18"/>
              </w:rPr>
              <w:t>0.48</w:t>
            </w:r>
          </w:p>
        </w:tc>
        <w:tc>
          <w:tcPr>
            <w:tcW w:w="1080"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r>
              <w:rPr>
                <w:sz w:val="18"/>
              </w:rPr>
              <w:t>0.56</w:t>
            </w:r>
          </w:p>
        </w:tc>
        <w:tc>
          <w:tcPr>
            <w:tcW w:w="1080"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r>
              <w:rPr>
                <w:sz w:val="18"/>
              </w:rPr>
              <w:t>0.67</w:t>
            </w:r>
          </w:p>
        </w:tc>
        <w:tc>
          <w:tcPr>
            <w:tcW w:w="1260"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r>
              <w:rPr>
                <w:sz w:val="18"/>
              </w:rPr>
              <w:t>0.68</w:t>
            </w:r>
          </w:p>
        </w:tc>
        <w:tc>
          <w:tcPr>
            <w:tcW w:w="1188"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r>
              <w:rPr>
                <w:sz w:val="18"/>
              </w:rPr>
              <w:t>0.66</w:t>
            </w:r>
          </w:p>
        </w:tc>
      </w:tr>
      <w:tr w:rsidR="00C22295" w:rsidRPr="009D1595" w:rsidTr="00C35D71">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C22295" w:rsidRPr="009D1595" w:rsidRDefault="00C22295" w:rsidP="00C35D71">
            <w:pPr>
              <w:rPr>
                <w:sz w:val="18"/>
              </w:rPr>
            </w:pPr>
            <w:r w:rsidRPr="009D1595">
              <w:rPr>
                <w:sz w:val="18"/>
              </w:rPr>
              <w:t>Goods and services</w:t>
            </w:r>
          </w:p>
        </w:tc>
        <w:tc>
          <w:tcPr>
            <w:tcW w:w="1260" w:type="dxa"/>
            <w:shd w:val="clear" w:color="auto" w:fill="ACB9CA" w:themeFill="text2" w:themeFillTint="66"/>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p>
        </w:tc>
        <w:tc>
          <w:tcPr>
            <w:tcW w:w="1260" w:type="dxa"/>
            <w:shd w:val="clear" w:color="auto" w:fill="ACB9CA" w:themeFill="text2" w:themeFillTint="66"/>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p>
        </w:tc>
        <w:tc>
          <w:tcPr>
            <w:tcW w:w="1188" w:type="dxa"/>
            <w:shd w:val="clear" w:color="auto" w:fill="ACB9CA" w:themeFill="text2" w:themeFillTint="66"/>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p>
        </w:tc>
      </w:tr>
      <w:tr w:rsidR="00C22295"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C22295" w:rsidRPr="009D1595" w:rsidRDefault="00C22295" w:rsidP="00C35D71">
            <w:pPr>
              <w:rPr>
                <w:b w:val="0"/>
                <w:sz w:val="18"/>
              </w:rPr>
            </w:pPr>
            <w:r w:rsidRPr="009D1595">
              <w:rPr>
                <w:b w:val="0"/>
                <w:sz w:val="18"/>
              </w:rPr>
              <w:t>Million Lei</w:t>
            </w:r>
          </w:p>
        </w:tc>
        <w:tc>
          <w:tcPr>
            <w:tcW w:w="1260"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r>
              <w:rPr>
                <w:sz w:val="18"/>
              </w:rPr>
              <w:t>1,056</w:t>
            </w:r>
          </w:p>
        </w:tc>
        <w:tc>
          <w:tcPr>
            <w:tcW w:w="1080"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r>
              <w:rPr>
                <w:sz w:val="18"/>
              </w:rPr>
              <w:t>1,308</w:t>
            </w:r>
          </w:p>
        </w:tc>
        <w:tc>
          <w:tcPr>
            <w:tcW w:w="1080"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r>
              <w:rPr>
                <w:sz w:val="18"/>
              </w:rPr>
              <w:t>1,491</w:t>
            </w:r>
          </w:p>
        </w:tc>
        <w:tc>
          <w:tcPr>
            <w:tcW w:w="1080"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r>
              <w:rPr>
                <w:sz w:val="18"/>
              </w:rPr>
              <w:t>1,511</w:t>
            </w:r>
          </w:p>
        </w:tc>
        <w:tc>
          <w:tcPr>
            <w:tcW w:w="1260"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r>
              <w:rPr>
                <w:sz w:val="18"/>
              </w:rPr>
              <w:t>1,589</w:t>
            </w:r>
          </w:p>
        </w:tc>
        <w:tc>
          <w:tcPr>
            <w:tcW w:w="1188"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r>
              <w:rPr>
                <w:sz w:val="18"/>
              </w:rPr>
              <w:t>1,695</w:t>
            </w:r>
          </w:p>
        </w:tc>
      </w:tr>
      <w:tr w:rsidR="00C22295"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C22295" w:rsidRPr="009D1595" w:rsidRDefault="00C22295" w:rsidP="00C35D71">
            <w:pPr>
              <w:rPr>
                <w:b w:val="0"/>
                <w:sz w:val="18"/>
              </w:rPr>
            </w:pPr>
            <w:r w:rsidRPr="009D1595">
              <w:rPr>
                <w:b w:val="0"/>
                <w:sz w:val="18"/>
              </w:rPr>
              <w:t>% of G.D.P.</w:t>
            </w:r>
          </w:p>
        </w:tc>
        <w:tc>
          <w:tcPr>
            <w:tcW w:w="1260" w:type="dxa"/>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r>
              <w:rPr>
                <w:sz w:val="18"/>
              </w:rPr>
              <w:t>0.14</w:t>
            </w:r>
          </w:p>
        </w:tc>
        <w:tc>
          <w:tcPr>
            <w:tcW w:w="1080" w:type="dxa"/>
          </w:tcPr>
          <w:p w:rsidR="00C22295" w:rsidRPr="00B14CDF" w:rsidRDefault="00C22295" w:rsidP="00C35D71">
            <w:pPr>
              <w:cnfStyle w:val="000000000000" w:firstRow="0" w:lastRow="0" w:firstColumn="0" w:lastColumn="0" w:oddVBand="0" w:evenVBand="0" w:oddHBand="0" w:evenHBand="0" w:firstRowFirstColumn="0" w:firstRowLastColumn="0" w:lastRowFirstColumn="0" w:lastRowLastColumn="0"/>
              <w:rPr>
                <w:sz w:val="18"/>
              </w:rPr>
            </w:pPr>
            <w:r w:rsidRPr="00B14CDF">
              <w:rPr>
                <w:sz w:val="18"/>
              </w:rPr>
              <w:t>0.16</w:t>
            </w:r>
          </w:p>
        </w:tc>
        <w:tc>
          <w:tcPr>
            <w:tcW w:w="1080" w:type="dxa"/>
          </w:tcPr>
          <w:p w:rsidR="00C22295" w:rsidRPr="00B14CDF" w:rsidRDefault="00C22295" w:rsidP="00C35D71">
            <w:pPr>
              <w:cnfStyle w:val="000000000000" w:firstRow="0" w:lastRow="0" w:firstColumn="0" w:lastColumn="0" w:oddVBand="0" w:evenVBand="0" w:oddHBand="0" w:evenHBand="0" w:firstRowFirstColumn="0" w:firstRowLastColumn="0" w:lastRowFirstColumn="0" w:lastRowLastColumn="0"/>
              <w:rPr>
                <w:sz w:val="18"/>
              </w:rPr>
            </w:pPr>
            <w:r w:rsidRPr="00B14CDF">
              <w:rPr>
                <w:sz w:val="18"/>
              </w:rPr>
              <w:t>0.16</w:t>
            </w:r>
          </w:p>
        </w:tc>
        <w:tc>
          <w:tcPr>
            <w:tcW w:w="1080" w:type="dxa"/>
          </w:tcPr>
          <w:p w:rsidR="00C22295" w:rsidRPr="00B14CDF" w:rsidRDefault="00C22295" w:rsidP="00C35D71">
            <w:pPr>
              <w:cnfStyle w:val="000000000000" w:firstRow="0" w:lastRow="0" w:firstColumn="0" w:lastColumn="0" w:oddVBand="0" w:evenVBand="0" w:oddHBand="0" w:evenHBand="0" w:firstRowFirstColumn="0" w:firstRowLastColumn="0" w:lastRowFirstColumn="0" w:lastRowLastColumn="0"/>
              <w:rPr>
                <w:sz w:val="18"/>
              </w:rPr>
            </w:pPr>
            <w:r w:rsidRPr="00B14CDF">
              <w:rPr>
                <w:sz w:val="18"/>
              </w:rPr>
              <w:t>0.15</w:t>
            </w:r>
          </w:p>
        </w:tc>
        <w:tc>
          <w:tcPr>
            <w:tcW w:w="1260" w:type="dxa"/>
          </w:tcPr>
          <w:p w:rsidR="00C22295" w:rsidRPr="00B14CDF" w:rsidRDefault="00C22295" w:rsidP="00C35D71">
            <w:pPr>
              <w:cnfStyle w:val="000000000000" w:firstRow="0" w:lastRow="0" w:firstColumn="0" w:lastColumn="0" w:oddVBand="0" w:evenVBand="0" w:oddHBand="0" w:evenHBand="0" w:firstRowFirstColumn="0" w:firstRowLastColumn="0" w:lastRowFirstColumn="0" w:lastRowLastColumn="0"/>
              <w:rPr>
                <w:sz w:val="18"/>
              </w:rPr>
            </w:pPr>
            <w:r w:rsidRPr="00B14CDF">
              <w:rPr>
                <w:sz w:val="18"/>
              </w:rPr>
              <w:t>0.15</w:t>
            </w:r>
          </w:p>
        </w:tc>
        <w:tc>
          <w:tcPr>
            <w:tcW w:w="1188" w:type="dxa"/>
          </w:tcPr>
          <w:p w:rsidR="00C22295" w:rsidRPr="00B14CDF" w:rsidRDefault="00C22295" w:rsidP="00C35D71">
            <w:pPr>
              <w:cnfStyle w:val="000000000000" w:firstRow="0" w:lastRow="0" w:firstColumn="0" w:lastColumn="0" w:oddVBand="0" w:evenVBand="0" w:oddHBand="0" w:evenHBand="0" w:firstRowFirstColumn="0" w:firstRowLastColumn="0" w:lastRowFirstColumn="0" w:lastRowLastColumn="0"/>
              <w:rPr>
                <w:sz w:val="18"/>
              </w:rPr>
            </w:pPr>
            <w:r w:rsidRPr="00B14CDF">
              <w:rPr>
                <w:sz w:val="18"/>
              </w:rPr>
              <w:t>0.15</w:t>
            </w:r>
          </w:p>
        </w:tc>
      </w:tr>
      <w:tr w:rsidR="00C22295"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C22295" w:rsidRPr="009D1595" w:rsidRDefault="00C22295" w:rsidP="00C35D71">
            <w:pPr>
              <w:rPr>
                <w:sz w:val="18"/>
              </w:rPr>
            </w:pPr>
            <w:r w:rsidRPr="009D1595">
              <w:rPr>
                <w:sz w:val="18"/>
              </w:rPr>
              <w:t>Transfers between public administration units</w:t>
            </w:r>
          </w:p>
        </w:tc>
        <w:tc>
          <w:tcPr>
            <w:tcW w:w="1260" w:type="dxa"/>
            <w:shd w:val="clear" w:color="auto" w:fill="ACB9CA" w:themeFill="text2" w:themeFillTint="66"/>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p>
        </w:tc>
        <w:tc>
          <w:tcPr>
            <w:tcW w:w="1260" w:type="dxa"/>
            <w:shd w:val="clear" w:color="auto" w:fill="ACB9CA" w:themeFill="text2" w:themeFillTint="66"/>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p>
        </w:tc>
        <w:tc>
          <w:tcPr>
            <w:tcW w:w="1188" w:type="dxa"/>
            <w:shd w:val="clear" w:color="auto" w:fill="ACB9CA" w:themeFill="text2" w:themeFillTint="66"/>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p>
        </w:tc>
      </w:tr>
      <w:tr w:rsidR="00C22295"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C22295" w:rsidRPr="009D1595" w:rsidRDefault="00C22295" w:rsidP="00C35D71">
            <w:pPr>
              <w:rPr>
                <w:b w:val="0"/>
                <w:sz w:val="18"/>
              </w:rPr>
            </w:pPr>
            <w:r w:rsidRPr="009D1595">
              <w:rPr>
                <w:b w:val="0"/>
                <w:sz w:val="18"/>
              </w:rPr>
              <w:t>Million Lei</w:t>
            </w:r>
          </w:p>
        </w:tc>
        <w:tc>
          <w:tcPr>
            <w:tcW w:w="1260" w:type="dxa"/>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r>
              <w:rPr>
                <w:sz w:val="18"/>
              </w:rPr>
              <w:t>466</w:t>
            </w:r>
          </w:p>
        </w:tc>
        <w:tc>
          <w:tcPr>
            <w:tcW w:w="1080" w:type="dxa"/>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r>
              <w:rPr>
                <w:sz w:val="18"/>
              </w:rPr>
              <w:t>592</w:t>
            </w:r>
          </w:p>
        </w:tc>
        <w:tc>
          <w:tcPr>
            <w:tcW w:w="1080" w:type="dxa"/>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r>
              <w:rPr>
                <w:sz w:val="18"/>
              </w:rPr>
              <w:t>816</w:t>
            </w:r>
          </w:p>
        </w:tc>
        <w:tc>
          <w:tcPr>
            <w:tcW w:w="1080" w:type="dxa"/>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r>
              <w:rPr>
                <w:sz w:val="18"/>
              </w:rPr>
              <w:t>1,070</w:t>
            </w:r>
          </w:p>
        </w:tc>
        <w:tc>
          <w:tcPr>
            <w:tcW w:w="1260" w:type="dxa"/>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r>
              <w:rPr>
                <w:sz w:val="18"/>
              </w:rPr>
              <w:t>1,201</w:t>
            </w:r>
          </w:p>
        </w:tc>
        <w:tc>
          <w:tcPr>
            <w:tcW w:w="1188" w:type="dxa"/>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r>
              <w:rPr>
                <w:sz w:val="18"/>
              </w:rPr>
              <w:t>1,232</w:t>
            </w:r>
          </w:p>
        </w:tc>
      </w:tr>
      <w:tr w:rsidR="00C22295"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C22295" w:rsidRPr="009D1595" w:rsidRDefault="00C22295" w:rsidP="00C35D71">
            <w:pPr>
              <w:rPr>
                <w:b w:val="0"/>
                <w:sz w:val="18"/>
              </w:rPr>
            </w:pPr>
            <w:r w:rsidRPr="009D1595">
              <w:rPr>
                <w:b w:val="0"/>
                <w:sz w:val="18"/>
              </w:rPr>
              <w:t>% of G.D.P.</w:t>
            </w:r>
          </w:p>
        </w:tc>
        <w:tc>
          <w:tcPr>
            <w:tcW w:w="1260"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0.06</w:t>
            </w:r>
          </w:p>
        </w:tc>
        <w:tc>
          <w:tcPr>
            <w:tcW w:w="1080"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0.02</w:t>
            </w:r>
          </w:p>
        </w:tc>
        <w:tc>
          <w:tcPr>
            <w:tcW w:w="1080"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0.01</w:t>
            </w:r>
          </w:p>
        </w:tc>
        <w:tc>
          <w:tcPr>
            <w:tcW w:w="1080"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0.02</w:t>
            </w:r>
          </w:p>
        </w:tc>
        <w:tc>
          <w:tcPr>
            <w:tcW w:w="1260"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0.02</w:t>
            </w:r>
          </w:p>
        </w:tc>
        <w:tc>
          <w:tcPr>
            <w:tcW w:w="1188"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0.02</w:t>
            </w:r>
          </w:p>
        </w:tc>
      </w:tr>
      <w:tr w:rsidR="00C22295" w:rsidRPr="009D1595" w:rsidTr="00C35D71">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C22295" w:rsidRPr="009D1595" w:rsidRDefault="00C22295" w:rsidP="00C35D71">
            <w:pPr>
              <w:rPr>
                <w:sz w:val="18"/>
              </w:rPr>
            </w:pPr>
            <w:r w:rsidRPr="009D1595">
              <w:rPr>
                <w:sz w:val="18"/>
              </w:rPr>
              <w:t>Other transfers</w:t>
            </w:r>
          </w:p>
        </w:tc>
        <w:tc>
          <w:tcPr>
            <w:tcW w:w="1260" w:type="dxa"/>
            <w:shd w:val="clear" w:color="auto" w:fill="ACB9CA" w:themeFill="text2" w:themeFillTint="66"/>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p>
        </w:tc>
        <w:tc>
          <w:tcPr>
            <w:tcW w:w="1260" w:type="dxa"/>
            <w:shd w:val="clear" w:color="auto" w:fill="ACB9CA" w:themeFill="text2" w:themeFillTint="66"/>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p>
        </w:tc>
        <w:tc>
          <w:tcPr>
            <w:tcW w:w="1188" w:type="dxa"/>
            <w:shd w:val="clear" w:color="auto" w:fill="ACB9CA" w:themeFill="text2" w:themeFillTint="66"/>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p>
        </w:tc>
      </w:tr>
      <w:tr w:rsidR="00C22295"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C22295" w:rsidRPr="009D1595" w:rsidRDefault="00C22295" w:rsidP="00C35D71">
            <w:pPr>
              <w:rPr>
                <w:b w:val="0"/>
                <w:sz w:val="18"/>
              </w:rPr>
            </w:pPr>
            <w:r w:rsidRPr="009D1595">
              <w:rPr>
                <w:b w:val="0"/>
                <w:sz w:val="18"/>
              </w:rPr>
              <w:t>Million Lei</w:t>
            </w:r>
          </w:p>
        </w:tc>
        <w:tc>
          <w:tcPr>
            <w:tcW w:w="1260"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r>
              <w:rPr>
                <w:sz w:val="18"/>
              </w:rPr>
              <w:t>164</w:t>
            </w:r>
          </w:p>
        </w:tc>
        <w:tc>
          <w:tcPr>
            <w:tcW w:w="1080"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r>
              <w:rPr>
                <w:sz w:val="18"/>
              </w:rPr>
              <w:t>139</w:t>
            </w:r>
          </w:p>
        </w:tc>
        <w:tc>
          <w:tcPr>
            <w:tcW w:w="1080"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r>
              <w:rPr>
                <w:sz w:val="18"/>
              </w:rPr>
              <w:t>126</w:t>
            </w:r>
          </w:p>
        </w:tc>
        <w:tc>
          <w:tcPr>
            <w:tcW w:w="1080"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r>
              <w:rPr>
                <w:sz w:val="18"/>
              </w:rPr>
              <w:t>173</w:t>
            </w:r>
          </w:p>
        </w:tc>
        <w:tc>
          <w:tcPr>
            <w:tcW w:w="1260"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r>
              <w:rPr>
                <w:sz w:val="18"/>
              </w:rPr>
              <w:t>190</w:t>
            </w:r>
          </w:p>
        </w:tc>
        <w:tc>
          <w:tcPr>
            <w:tcW w:w="1188"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r>
              <w:rPr>
                <w:sz w:val="18"/>
              </w:rPr>
              <w:t>179</w:t>
            </w:r>
          </w:p>
        </w:tc>
      </w:tr>
      <w:tr w:rsidR="00C22295"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C22295" w:rsidRPr="009D1595" w:rsidRDefault="00C22295" w:rsidP="00C35D71">
            <w:pPr>
              <w:rPr>
                <w:b w:val="0"/>
                <w:sz w:val="18"/>
              </w:rPr>
            </w:pPr>
            <w:r w:rsidRPr="009D1595">
              <w:rPr>
                <w:b w:val="0"/>
                <w:sz w:val="18"/>
              </w:rPr>
              <w:t>% of G.D.P.</w:t>
            </w:r>
          </w:p>
        </w:tc>
        <w:tc>
          <w:tcPr>
            <w:tcW w:w="1260" w:type="dxa"/>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0.02</w:t>
            </w:r>
          </w:p>
        </w:tc>
        <w:tc>
          <w:tcPr>
            <w:tcW w:w="1080" w:type="dxa"/>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0.02</w:t>
            </w:r>
          </w:p>
        </w:tc>
        <w:tc>
          <w:tcPr>
            <w:tcW w:w="1080" w:type="dxa"/>
          </w:tcPr>
          <w:p w:rsidR="00C22295" w:rsidRPr="00B14CDF" w:rsidRDefault="00C22295" w:rsidP="00C35D71">
            <w:pPr>
              <w:cnfStyle w:val="000000000000" w:firstRow="0" w:lastRow="0" w:firstColumn="0" w:lastColumn="0" w:oddVBand="0" w:evenVBand="0" w:oddHBand="0" w:evenHBand="0" w:firstRowFirstColumn="0" w:firstRowLastColumn="0" w:lastRowFirstColumn="0" w:lastRowLastColumn="0"/>
              <w:rPr>
                <w:sz w:val="18"/>
              </w:rPr>
            </w:pPr>
            <w:r w:rsidRPr="00B14CDF">
              <w:rPr>
                <w:sz w:val="18"/>
              </w:rPr>
              <w:t>0.01</w:t>
            </w:r>
          </w:p>
        </w:tc>
        <w:tc>
          <w:tcPr>
            <w:tcW w:w="1080" w:type="dxa"/>
          </w:tcPr>
          <w:p w:rsidR="00C22295" w:rsidRPr="00B14CDF" w:rsidRDefault="00C22295" w:rsidP="00C35D71">
            <w:pPr>
              <w:cnfStyle w:val="000000000000" w:firstRow="0" w:lastRow="0" w:firstColumn="0" w:lastColumn="0" w:oddVBand="0" w:evenVBand="0" w:oddHBand="0" w:evenHBand="0" w:firstRowFirstColumn="0" w:firstRowLastColumn="0" w:lastRowFirstColumn="0" w:lastRowLastColumn="0"/>
              <w:rPr>
                <w:sz w:val="18"/>
              </w:rPr>
            </w:pPr>
            <w:r w:rsidRPr="00B14CDF">
              <w:rPr>
                <w:sz w:val="18"/>
              </w:rPr>
              <w:t>0.02</w:t>
            </w:r>
          </w:p>
        </w:tc>
        <w:tc>
          <w:tcPr>
            <w:tcW w:w="1260" w:type="dxa"/>
          </w:tcPr>
          <w:p w:rsidR="00C22295" w:rsidRPr="00B14CDF" w:rsidRDefault="00C22295" w:rsidP="00C35D71">
            <w:pPr>
              <w:cnfStyle w:val="000000000000" w:firstRow="0" w:lastRow="0" w:firstColumn="0" w:lastColumn="0" w:oddVBand="0" w:evenVBand="0" w:oddHBand="0" w:evenHBand="0" w:firstRowFirstColumn="0" w:firstRowLastColumn="0" w:lastRowFirstColumn="0" w:lastRowLastColumn="0"/>
              <w:rPr>
                <w:sz w:val="18"/>
              </w:rPr>
            </w:pPr>
            <w:r w:rsidRPr="00B14CDF">
              <w:rPr>
                <w:sz w:val="18"/>
              </w:rPr>
              <w:t>0.02</w:t>
            </w:r>
          </w:p>
        </w:tc>
        <w:tc>
          <w:tcPr>
            <w:tcW w:w="1188" w:type="dxa"/>
          </w:tcPr>
          <w:p w:rsidR="00C22295" w:rsidRPr="00B14CDF" w:rsidRDefault="00C22295" w:rsidP="00C35D71">
            <w:pPr>
              <w:cnfStyle w:val="000000000000" w:firstRow="0" w:lastRow="0" w:firstColumn="0" w:lastColumn="0" w:oddVBand="0" w:evenVBand="0" w:oddHBand="0" w:evenHBand="0" w:firstRowFirstColumn="0" w:firstRowLastColumn="0" w:lastRowFirstColumn="0" w:lastRowLastColumn="0"/>
              <w:rPr>
                <w:sz w:val="18"/>
              </w:rPr>
            </w:pPr>
            <w:r w:rsidRPr="00B14CDF">
              <w:rPr>
                <w:sz w:val="18"/>
              </w:rPr>
              <w:t>0.02</w:t>
            </w:r>
          </w:p>
        </w:tc>
      </w:tr>
      <w:tr w:rsidR="00C22295"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C22295" w:rsidRPr="009D1595" w:rsidRDefault="00C22295" w:rsidP="00C35D71">
            <w:pPr>
              <w:rPr>
                <w:sz w:val="18"/>
              </w:rPr>
            </w:pPr>
            <w:r w:rsidRPr="009D1595">
              <w:rPr>
                <w:sz w:val="18"/>
              </w:rPr>
              <w:t>Social assistance</w:t>
            </w:r>
          </w:p>
        </w:tc>
        <w:tc>
          <w:tcPr>
            <w:tcW w:w="1260" w:type="dxa"/>
            <w:shd w:val="clear" w:color="auto" w:fill="ACB9CA" w:themeFill="text2" w:themeFillTint="66"/>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p>
        </w:tc>
        <w:tc>
          <w:tcPr>
            <w:tcW w:w="1260" w:type="dxa"/>
            <w:shd w:val="clear" w:color="auto" w:fill="ACB9CA" w:themeFill="text2" w:themeFillTint="66"/>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p>
        </w:tc>
        <w:tc>
          <w:tcPr>
            <w:tcW w:w="1188" w:type="dxa"/>
            <w:shd w:val="clear" w:color="auto" w:fill="ACB9CA" w:themeFill="text2" w:themeFillTint="66"/>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p>
        </w:tc>
      </w:tr>
      <w:tr w:rsidR="00C22295"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C22295" w:rsidRPr="009D1595" w:rsidRDefault="00C22295" w:rsidP="00C35D71">
            <w:pPr>
              <w:rPr>
                <w:b w:val="0"/>
                <w:sz w:val="18"/>
              </w:rPr>
            </w:pPr>
            <w:r w:rsidRPr="009D1595">
              <w:rPr>
                <w:b w:val="0"/>
                <w:sz w:val="18"/>
              </w:rPr>
              <w:t>Million Lei</w:t>
            </w:r>
          </w:p>
        </w:tc>
        <w:tc>
          <w:tcPr>
            <w:tcW w:w="1260" w:type="dxa"/>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r>
              <w:rPr>
                <w:sz w:val="18"/>
              </w:rPr>
              <w:t>2,914</w:t>
            </w:r>
          </w:p>
        </w:tc>
        <w:tc>
          <w:tcPr>
            <w:tcW w:w="1080" w:type="dxa"/>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r>
              <w:rPr>
                <w:sz w:val="18"/>
              </w:rPr>
              <w:t>3,526</w:t>
            </w:r>
          </w:p>
        </w:tc>
        <w:tc>
          <w:tcPr>
            <w:tcW w:w="1080" w:type="dxa"/>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r>
              <w:rPr>
                <w:sz w:val="18"/>
              </w:rPr>
              <w:t>3,477</w:t>
            </w:r>
          </w:p>
        </w:tc>
        <w:tc>
          <w:tcPr>
            <w:tcW w:w="1080" w:type="dxa"/>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r>
              <w:rPr>
                <w:sz w:val="18"/>
              </w:rPr>
              <w:t>3,577</w:t>
            </w:r>
          </w:p>
        </w:tc>
        <w:tc>
          <w:tcPr>
            <w:tcW w:w="1260" w:type="dxa"/>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r>
              <w:rPr>
                <w:sz w:val="18"/>
              </w:rPr>
              <w:t>3,997</w:t>
            </w:r>
          </w:p>
        </w:tc>
        <w:tc>
          <w:tcPr>
            <w:tcW w:w="1188" w:type="dxa"/>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r>
              <w:rPr>
                <w:sz w:val="18"/>
              </w:rPr>
              <w:t>4,079</w:t>
            </w:r>
          </w:p>
        </w:tc>
      </w:tr>
      <w:tr w:rsidR="00C22295"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C22295" w:rsidRPr="009D1595" w:rsidRDefault="00C22295" w:rsidP="00C35D71">
            <w:pPr>
              <w:rPr>
                <w:b w:val="0"/>
                <w:sz w:val="18"/>
              </w:rPr>
            </w:pPr>
            <w:r w:rsidRPr="009D1595">
              <w:rPr>
                <w:b w:val="0"/>
                <w:sz w:val="18"/>
              </w:rPr>
              <w:t>% of G.D.P.</w:t>
            </w:r>
          </w:p>
        </w:tc>
        <w:tc>
          <w:tcPr>
            <w:tcW w:w="1260"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r>
              <w:rPr>
                <w:sz w:val="18"/>
              </w:rPr>
              <w:t>0.38</w:t>
            </w:r>
          </w:p>
        </w:tc>
        <w:tc>
          <w:tcPr>
            <w:tcW w:w="1080"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r>
              <w:rPr>
                <w:sz w:val="18"/>
              </w:rPr>
              <w:t>0.42</w:t>
            </w:r>
          </w:p>
        </w:tc>
        <w:tc>
          <w:tcPr>
            <w:tcW w:w="1080"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r>
              <w:rPr>
                <w:sz w:val="18"/>
              </w:rPr>
              <w:t>0.37</w:t>
            </w:r>
          </w:p>
        </w:tc>
        <w:tc>
          <w:tcPr>
            <w:tcW w:w="1080"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r>
              <w:rPr>
                <w:sz w:val="18"/>
              </w:rPr>
              <w:t>0.37</w:t>
            </w:r>
          </w:p>
        </w:tc>
        <w:tc>
          <w:tcPr>
            <w:tcW w:w="1260"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r>
              <w:rPr>
                <w:sz w:val="18"/>
              </w:rPr>
              <w:t>0.38</w:t>
            </w:r>
          </w:p>
        </w:tc>
        <w:tc>
          <w:tcPr>
            <w:tcW w:w="1188"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r>
              <w:rPr>
                <w:sz w:val="18"/>
              </w:rPr>
              <w:t>0.36</w:t>
            </w:r>
          </w:p>
        </w:tc>
      </w:tr>
      <w:tr w:rsidR="00C22295" w:rsidRPr="009D1595" w:rsidTr="00C35D71">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C22295" w:rsidRPr="009D1595" w:rsidRDefault="00C22295" w:rsidP="00C35D71">
            <w:pPr>
              <w:rPr>
                <w:sz w:val="18"/>
              </w:rPr>
            </w:pPr>
            <w:r w:rsidRPr="009D1595">
              <w:rPr>
                <w:sz w:val="18"/>
              </w:rPr>
              <w:t>Projects with financing from external non-reimbursable funds corresponding to the financial framework 2014-2020</w:t>
            </w:r>
          </w:p>
        </w:tc>
        <w:tc>
          <w:tcPr>
            <w:tcW w:w="1260" w:type="dxa"/>
            <w:shd w:val="clear" w:color="auto" w:fill="ACB9CA" w:themeFill="text2" w:themeFillTint="66"/>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p>
        </w:tc>
        <w:tc>
          <w:tcPr>
            <w:tcW w:w="1260" w:type="dxa"/>
            <w:shd w:val="clear" w:color="auto" w:fill="ACB9CA" w:themeFill="text2" w:themeFillTint="66"/>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p>
        </w:tc>
        <w:tc>
          <w:tcPr>
            <w:tcW w:w="1188" w:type="dxa"/>
            <w:shd w:val="clear" w:color="auto" w:fill="ACB9CA" w:themeFill="text2" w:themeFillTint="66"/>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p>
        </w:tc>
      </w:tr>
      <w:tr w:rsidR="00C22295"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C22295" w:rsidRPr="009D1595" w:rsidRDefault="00C22295" w:rsidP="00C35D71">
            <w:pPr>
              <w:rPr>
                <w:b w:val="0"/>
                <w:sz w:val="18"/>
              </w:rPr>
            </w:pPr>
            <w:r w:rsidRPr="009D1595">
              <w:rPr>
                <w:b w:val="0"/>
                <w:sz w:val="18"/>
              </w:rPr>
              <w:t>Million Lei</w:t>
            </w:r>
          </w:p>
        </w:tc>
        <w:tc>
          <w:tcPr>
            <w:tcW w:w="1260"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r>
              <w:rPr>
                <w:sz w:val="18"/>
              </w:rPr>
              <w:t>0</w:t>
            </w:r>
          </w:p>
        </w:tc>
        <w:tc>
          <w:tcPr>
            <w:tcW w:w="1080"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r>
              <w:rPr>
                <w:sz w:val="18"/>
              </w:rPr>
              <w:t>6</w:t>
            </w:r>
          </w:p>
        </w:tc>
        <w:tc>
          <w:tcPr>
            <w:tcW w:w="1080"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r>
              <w:rPr>
                <w:sz w:val="18"/>
              </w:rPr>
              <w:t>7</w:t>
            </w:r>
          </w:p>
        </w:tc>
        <w:tc>
          <w:tcPr>
            <w:tcW w:w="1260"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r>
              <w:rPr>
                <w:sz w:val="18"/>
              </w:rPr>
              <w:t>5</w:t>
            </w:r>
          </w:p>
        </w:tc>
        <w:tc>
          <w:tcPr>
            <w:tcW w:w="1188"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p>
        </w:tc>
      </w:tr>
      <w:tr w:rsidR="00C22295"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C22295" w:rsidRPr="009D1595" w:rsidRDefault="00C22295" w:rsidP="00C35D71">
            <w:pPr>
              <w:rPr>
                <w:b w:val="0"/>
                <w:sz w:val="18"/>
              </w:rPr>
            </w:pPr>
            <w:r w:rsidRPr="009D1595">
              <w:rPr>
                <w:b w:val="0"/>
                <w:sz w:val="18"/>
              </w:rPr>
              <w:t>% of G.D.P.</w:t>
            </w:r>
          </w:p>
        </w:tc>
        <w:tc>
          <w:tcPr>
            <w:tcW w:w="1260" w:type="dxa"/>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c>
          <w:tcPr>
            <w:tcW w:w="1080" w:type="dxa"/>
          </w:tcPr>
          <w:p w:rsidR="00C22295" w:rsidRDefault="00C22295" w:rsidP="00C35D71">
            <w:pPr>
              <w:cnfStyle w:val="000000000000" w:firstRow="0" w:lastRow="0" w:firstColumn="0" w:lastColumn="0" w:oddVBand="0" w:evenVBand="0" w:oddHBand="0" w:evenHBand="0" w:firstRowFirstColumn="0" w:firstRowLastColumn="0" w:lastRowFirstColumn="0" w:lastRowLastColumn="0"/>
            </w:pPr>
            <w:r w:rsidRPr="00BE4709">
              <w:rPr>
                <w:sz w:val="18"/>
              </w:rPr>
              <w:t>0.00</w:t>
            </w:r>
          </w:p>
        </w:tc>
        <w:tc>
          <w:tcPr>
            <w:tcW w:w="1080" w:type="dxa"/>
          </w:tcPr>
          <w:p w:rsidR="00C22295" w:rsidRDefault="00C22295" w:rsidP="00C35D71">
            <w:pPr>
              <w:cnfStyle w:val="000000000000" w:firstRow="0" w:lastRow="0" w:firstColumn="0" w:lastColumn="0" w:oddVBand="0" w:evenVBand="0" w:oddHBand="0" w:evenHBand="0" w:firstRowFirstColumn="0" w:firstRowLastColumn="0" w:lastRowFirstColumn="0" w:lastRowLastColumn="0"/>
            </w:pPr>
            <w:r w:rsidRPr="00BE4709">
              <w:rPr>
                <w:sz w:val="18"/>
              </w:rPr>
              <w:t>0.00</w:t>
            </w:r>
          </w:p>
        </w:tc>
        <w:tc>
          <w:tcPr>
            <w:tcW w:w="1080" w:type="dxa"/>
          </w:tcPr>
          <w:p w:rsidR="00C22295" w:rsidRDefault="00C22295" w:rsidP="00C35D71">
            <w:pPr>
              <w:cnfStyle w:val="000000000000" w:firstRow="0" w:lastRow="0" w:firstColumn="0" w:lastColumn="0" w:oddVBand="0" w:evenVBand="0" w:oddHBand="0" w:evenHBand="0" w:firstRowFirstColumn="0" w:firstRowLastColumn="0" w:lastRowFirstColumn="0" w:lastRowLastColumn="0"/>
            </w:pPr>
            <w:r w:rsidRPr="00BE4709">
              <w:rPr>
                <w:sz w:val="18"/>
              </w:rPr>
              <w:t>0.00</w:t>
            </w:r>
          </w:p>
        </w:tc>
        <w:tc>
          <w:tcPr>
            <w:tcW w:w="1260" w:type="dxa"/>
          </w:tcPr>
          <w:p w:rsidR="00C22295" w:rsidRDefault="00C22295" w:rsidP="00C35D71">
            <w:pPr>
              <w:cnfStyle w:val="000000000000" w:firstRow="0" w:lastRow="0" w:firstColumn="0" w:lastColumn="0" w:oddVBand="0" w:evenVBand="0" w:oddHBand="0" w:evenHBand="0" w:firstRowFirstColumn="0" w:firstRowLastColumn="0" w:lastRowFirstColumn="0" w:lastRowLastColumn="0"/>
            </w:pPr>
            <w:r w:rsidRPr="00BE4709">
              <w:rPr>
                <w:sz w:val="18"/>
              </w:rPr>
              <w:t>0.00</w:t>
            </w:r>
          </w:p>
        </w:tc>
        <w:tc>
          <w:tcPr>
            <w:tcW w:w="1188" w:type="dxa"/>
          </w:tcPr>
          <w:p w:rsidR="00C22295" w:rsidRDefault="00C22295" w:rsidP="00C35D71">
            <w:pPr>
              <w:cnfStyle w:val="000000000000" w:firstRow="0" w:lastRow="0" w:firstColumn="0" w:lastColumn="0" w:oddVBand="0" w:evenVBand="0" w:oddHBand="0" w:evenHBand="0" w:firstRowFirstColumn="0" w:firstRowLastColumn="0" w:lastRowFirstColumn="0" w:lastRowLastColumn="0"/>
            </w:pPr>
            <w:r w:rsidRPr="00BE4709">
              <w:rPr>
                <w:sz w:val="18"/>
              </w:rPr>
              <w:t>0.00</w:t>
            </w:r>
          </w:p>
        </w:tc>
      </w:tr>
      <w:tr w:rsidR="00C22295"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C22295" w:rsidRPr="009D1595" w:rsidRDefault="00C22295" w:rsidP="00C35D71">
            <w:pPr>
              <w:rPr>
                <w:sz w:val="18"/>
              </w:rPr>
            </w:pPr>
            <w:r w:rsidRPr="009D1595">
              <w:rPr>
                <w:sz w:val="18"/>
              </w:rPr>
              <w:t>Other expenditures</w:t>
            </w:r>
          </w:p>
        </w:tc>
        <w:tc>
          <w:tcPr>
            <w:tcW w:w="1260" w:type="dxa"/>
            <w:shd w:val="clear" w:color="auto" w:fill="ACB9CA" w:themeFill="text2" w:themeFillTint="66"/>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p>
        </w:tc>
        <w:tc>
          <w:tcPr>
            <w:tcW w:w="1260" w:type="dxa"/>
            <w:shd w:val="clear" w:color="auto" w:fill="ACB9CA" w:themeFill="text2" w:themeFillTint="66"/>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p>
        </w:tc>
        <w:tc>
          <w:tcPr>
            <w:tcW w:w="1188" w:type="dxa"/>
            <w:shd w:val="clear" w:color="auto" w:fill="ACB9CA" w:themeFill="text2" w:themeFillTint="66"/>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p>
        </w:tc>
      </w:tr>
      <w:tr w:rsidR="00C22295"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C22295" w:rsidRPr="009D1595" w:rsidRDefault="00C22295" w:rsidP="00C35D71">
            <w:pPr>
              <w:rPr>
                <w:b w:val="0"/>
                <w:sz w:val="18"/>
              </w:rPr>
            </w:pPr>
            <w:r w:rsidRPr="009D1595">
              <w:rPr>
                <w:b w:val="0"/>
                <w:sz w:val="18"/>
              </w:rPr>
              <w:t>Million Lei</w:t>
            </w:r>
          </w:p>
        </w:tc>
        <w:tc>
          <w:tcPr>
            <w:tcW w:w="1260" w:type="dxa"/>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r>
              <w:rPr>
                <w:sz w:val="18"/>
              </w:rPr>
              <w:t>2,295</w:t>
            </w:r>
          </w:p>
        </w:tc>
        <w:tc>
          <w:tcPr>
            <w:tcW w:w="1080" w:type="dxa"/>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r>
              <w:rPr>
                <w:sz w:val="18"/>
              </w:rPr>
              <w:t>5,020</w:t>
            </w:r>
          </w:p>
        </w:tc>
        <w:tc>
          <w:tcPr>
            <w:tcW w:w="1080" w:type="dxa"/>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r>
              <w:rPr>
                <w:sz w:val="18"/>
              </w:rPr>
              <w:t>5,903</w:t>
            </w:r>
          </w:p>
        </w:tc>
        <w:tc>
          <w:tcPr>
            <w:tcW w:w="1080" w:type="dxa"/>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r>
              <w:rPr>
                <w:sz w:val="18"/>
              </w:rPr>
              <w:t>5,277</w:t>
            </w:r>
          </w:p>
        </w:tc>
        <w:tc>
          <w:tcPr>
            <w:tcW w:w="1260" w:type="dxa"/>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r>
              <w:rPr>
                <w:sz w:val="18"/>
              </w:rPr>
              <w:t>5,160</w:t>
            </w:r>
          </w:p>
        </w:tc>
        <w:tc>
          <w:tcPr>
            <w:tcW w:w="1188" w:type="dxa"/>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r>
              <w:rPr>
                <w:sz w:val="18"/>
              </w:rPr>
              <w:t>6,171</w:t>
            </w:r>
          </w:p>
        </w:tc>
      </w:tr>
      <w:tr w:rsidR="00C22295"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C22295" w:rsidRPr="009D1595" w:rsidRDefault="00C22295" w:rsidP="00C35D71">
            <w:pPr>
              <w:rPr>
                <w:b w:val="0"/>
                <w:sz w:val="18"/>
              </w:rPr>
            </w:pPr>
            <w:r w:rsidRPr="009D1595">
              <w:rPr>
                <w:b w:val="0"/>
                <w:sz w:val="18"/>
              </w:rPr>
              <w:t>% of G.D.P.</w:t>
            </w:r>
          </w:p>
        </w:tc>
        <w:tc>
          <w:tcPr>
            <w:tcW w:w="1260"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r>
              <w:rPr>
                <w:sz w:val="18"/>
              </w:rPr>
              <w:t>0.30</w:t>
            </w:r>
          </w:p>
        </w:tc>
        <w:tc>
          <w:tcPr>
            <w:tcW w:w="1080"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r>
              <w:rPr>
                <w:sz w:val="18"/>
              </w:rPr>
              <w:t>0.60</w:t>
            </w:r>
          </w:p>
        </w:tc>
        <w:tc>
          <w:tcPr>
            <w:tcW w:w="1080"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r>
              <w:rPr>
                <w:sz w:val="18"/>
              </w:rPr>
              <w:t>0.63</w:t>
            </w:r>
          </w:p>
        </w:tc>
        <w:tc>
          <w:tcPr>
            <w:tcW w:w="1080"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r>
              <w:rPr>
                <w:sz w:val="18"/>
              </w:rPr>
              <w:t>0.54</w:t>
            </w:r>
          </w:p>
        </w:tc>
        <w:tc>
          <w:tcPr>
            <w:tcW w:w="1260"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r>
              <w:rPr>
                <w:sz w:val="18"/>
              </w:rPr>
              <w:t>0.49</w:t>
            </w:r>
          </w:p>
        </w:tc>
        <w:tc>
          <w:tcPr>
            <w:tcW w:w="1188"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r>
              <w:rPr>
                <w:sz w:val="18"/>
              </w:rPr>
              <w:t>0.55</w:t>
            </w:r>
          </w:p>
        </w:tc>
      </w:tr>
      <w:tr w:rsidR="00C22295" w:rsidRPr="009D1595" w:rsidTr="00C35D71">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C22295" w:rsidRPr="009D1595" w:rsidRDefault="00C22295" w:rsidP="00C35D71">
            <w:pPr>
              <w:rPr>
                <w:sz w:val="18"/>
              </w:rPr>
            </w:pPr>
            <w:r w:rsidRPr="009D1595">
              <w:rPr>
                <w:sz w:val="18"/>
              </w:rPr>
              <w:t>Payments made in previous years and recovered in the current year</w:t>
            </w:r>
          </w:p>
        </w:tc>
        <w:tc>
          <w:tcPr>
            <w:tcW w:w="1260" w:type="dxa"/>
            <w:shd w:val="clear" w:color="auto" w:fill="ACB9CA" w:themeFill="text2" w:themeFillTint="66"/>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p>
        </w:tc>
        <w:tc>
          <w:tcPr>
            <w:tcW w:w="1260" w:type="dxa"/>
            <w:shd w:val="clear" w:color="auto" w:fill="ACB9CA" w:themeFill="text2" w:themeFillTint="66"/>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p>
        </w:tc>
        <w:tc>
          <w:tcPr>
            <w:tcW w:w="1188" w:type="dxa"/>
            <w:shd w:val="clear" w:color="auto" w:fill="ACB9CA" w:themeFill="text2" w:themeFillTint="66"/>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p>
        </w:tc>
      </w:tr>
      <w:tr w:rsidR="00C22295"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C22295" w:rsidRPr="009D1595" w:rsidRDefault="00C22295" w:rsidP="00C35D71">
            <w:pPr>
              <w:rPr>
                <w:b w:val="0"/>
                <w:sz w:val="18"/>
              </w:rPr>
            </w:pPr>
            <w:r w:rsidRPr="009D1595">
              <w:rPr>
                <w:b w:val="0"/>
                <w:sz w:val="18"/>
              </w:rPr>
              <w:t>Million Lei</w:t>
            </w:r>
          </w:p>
        </w:tc>
        <w:tc>
          <w:tcPr>
            <w:tcW w:w="1260"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r>
              <w:rPr>
                <w:sz w:val="18"/>
              </w:rPr>
              <w:t>-19</w:t>
            </w:r>
          </w:p>
        </w:tc>
        <w:tc>
          <w:tcPr>
            <w:tcW w:w="1080"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r>
              <w:rPr>
                <w:sz w:val="18"/>
              </w:rPr>
              <w:t>-44</w:t>
            </w:r>
          </w:p>
        </w:tc>
        <w:tc>
          <w:tcPr>
            <w:tcW w:w="1080"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p>
        </w:tc>
        <w:tc>
          <w:tcPr>
            <w:tcW w:w="1260"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p>
        </w:tc>
        <w:tc>
          <w:tcPr>
            <w:tcW w:w="1188" w:type="dxa"/>
          </w:tcPr>
          <w:p w:rsidR="00C22295" w:rsidRPr="009D1595" w:rsidRDefault="00C22295" w:rsidP="00C35D71">
            <w:pPr>
              <w:cnfStyle w:val="000000100000" w:firstRow="0" w:lastRow="0" w:firstColumn="0" w:lastColumn="0" w:oddVBand="0" w:evenVBand="0" w:oddHBand="1" w:evenHBand="0" w:firstRowFirstColumn="0" w:firstRowLastColumn="0" w:lastRowFirstColumn="0" w:lastRowLastColumn="0"/>
              <w:rPr>
                <w:sz w:val="18"/>
              </w:rPr>
            </w:pPr>
          </w:p>
        </w:tc>
      </w:tr>
      <w:tr w:rsidR="00C22295"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C22295" w:rsidRPr="009D1595" w:rsidRDefault="00C22295" w:rsidP="00C35D71">
            <w:pPr>
              <w:rPr>
                <w:b w:val="0"/>
                <w:sz w:val="18"/>
              </w:rPr>
            </w:pPr>
            <w:r w:rsidRPr="009D1595">
              <w:rPr>
                <w:b w:val="0"/>
                <w:sz w:val="18"/>
              </w:rPr>
              <w:t>% of G.D.P.</w:t>
            </w:r>
          </w:p>
        </w:tc>
        <w:tc>
          <w:tcPr>
            <w:tcW w:w="1260" w:type="dxa"/>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c>
          <w:tcPr>
            <w:tcW w:w="1080" w:type="dxa"/>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c>
          <w:tcPr>
            <w:tcW w:w="1080" w:type="dxa"/>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c>
          <w:tcPr>
            <w:tcW w:w="1080" w:type="dxa"/>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c>
          <w:tcPr>
            <w:tcW w:w="1260" w:type="dxa"/>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c>
          <w:tcPr>
            <w:tcW w:w="1188" w:type="dxa"/>
          </w:tcPr>
          <w:p w:rsidR="00C22295" w:rsidRPr="009D1595" w:rsidRDefault="00C22295"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r>
    </w:tbl>
    <w:p w:rsidR="00C22295" w:rsidRPr="00C21188" w:rsidRDefault="00C22295" w:rsidP="00C21188"/>
    <w:p w:rsidR="00C21188" w:rsidRPr="00C21188" w:rsidRDefault="00C21188" w:rsidP="00C21188"/>
    <w:p w:rsidR="00C21188" w:rsidRPr="00C21188" w:rsidRDefault="00C21188" w:rsidP="00C21188"/>
    <w:p w:rsidR="00C21188" w:rsidRPr="00C21188" w:rsidRDefault="00C21188" w:rsidP="00C21188"/>
    <w:p w:rsidR="00C21188" w:rsidRPr="00C21188" w:rsidRDefault="00C21188" w:rsidP="00C21188"/>
    <w:p w:rsidR="00C21188" w:rsidRDefault="00C21188" w:rsidP="00C21188"/>
    <w:p w:rsidR="001B2458" w:rsidRDefault="001B2458" w:rsidP="00C21188"/>
    <w:p w:rsidR="001B2458" w:rsidRDefault="001B2458" w:rsidP="00C21188"/>
    <w:p w:rsidR="001B2458" w:rsidRDefault="001B2458" w:rsidP="00C21188"/>
    <w:p w:rsidR="001B2458" w:rsidRPr="00C21188" w:rsidRDefault="001B2458" w:rsidP="00C21188"/>
    <w:p w:rsidR="00C21188" w:rsidRPr="00C21188" w:rsidRDefault="00C21188" w:rsidP="00C21188"/>
    <w:p w:rsidR="00C21188" w:rsidRPr="00C21188" w:rsidRDefault="00C21188" w:rsidP="00C21188"/>
    <w:p w:rsidR="00C21188" w:rsidRPr="00C21188" w:rsidRDefault="00C21188" w:rsidP="00C21188"/>
    <w:p w:rsidR="00C21188" w:rsidRPr="00C21188" w:rsidRDefault="00C21188" w:rsidP="00C21188"/>
    <w:p w:rsidR="00C21188" w:rsidRPr="00C21188" w:rsidRDefault="00C21188" w:rsidP="00C21188"/>
    <w:p w:rsidR="00C21188" w:rsidRPr="00C21188" w:rsidRDefault="00C21188" w:rsidP="00C21188"/>
    <w:p w:rsidR="00C21188" w:rsidRPr="00C21188" w:rsidRDefault="00C21188" w:rsidP="00C21188"/>
    <w:p w:rsidR="00C21188" w:rsidRPr="00C21188" w:rsidRDefault="00C21188" w:rsidP="00C21188"/>
    <w:p w:rsidR="001B2458" w:rsidRDefault="001B2458" w:rsidP="001B2458">
      <w:pPr>
        <w:jc w:val="right"/>
      </w:pPr>
      <w:r>
        <w:t xml:space="preserve">- Million Lei- </w:t>
      </w:r>
    </w:p>
    <w:tbl>
      <w:tblPr>
        <w:tblStyle w:val="LightList"/>
        <w:tblW w:w="0" w:type="auto"/>
        <w:tblLook w:val="04A0" w:firstRow="1" w:lastRow="0" w:firstColumn="1" w:lastColumn="0" w:noHBand="0" w:noVBand="1"/>
      </w:tblPr>
      <w:tblGrid>
        <w:gridCol w:w="2628"/>
        <w:gridCol w:w="1260"/>
        <w:gridCol w:w="1080"/>
        <w:gridCol w:w="1080"/>
        <w:gridCol w:w="1080"/>
        <w:gridCol w:w="1260"/>
        <w:gridCol w:w="1188"/>
      </w:tblGrid>
      <w:tr w:rsidR="00AD01E5" w:rsidRPr="009D1595" w:rsidTr="00C35D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7"/>
            <w:shd w:val="clear" w:color="auto" w:fill="auto"/>
          </w:tcPr>
          <w:p w:rsidR="00AD01E5" w:rsidRDefault="00AD01E5" w:rsidP="00C35D71">
            <w:pPr>
              <w:jc w:val="center"/>
              <w:rPr>
                <w:color w:val="auto"/>
                <w:sz w:val="20"/>
              </w:rPr>
            </w:pPr>
            <w:r w:rsidRPr="009D1595">
              <w:rPr>
                <w:color w:val="auto"/>
                <w:sz w:val="20"/>
              </w:rPr>
              <w:t>Annex</w:t>
            </w:r>
            <w:r>
              <w:rPr>
                <w:color w:val="auto"/>
                <w:sz w:val="20"/>
              </w:rPr>
              <w:t xml:space="preserve"> 5</w:t>
            </w:r>
            <w:r w:rsidRPr="009D1595">
              <w:rPr>
                <w:color w:val="auto"/>
                <w:sz w:val="20"/>
              </w:rPr>
              <w:t xml:space="preserve"> - Expenditures of the Ministry of </w:t>
            </w:r>
            <w:r>
              <w:rPr>
                <w:color w:val="auto"/>
                <w:sz w:val="20"/>
              </w:rPr>
              <w:t>Internal Affairs</w:t>
            </w:r>
            <w:r w:rsidRPr="009D1595">
              <w:rPr>
                <w:color w:val="auto"/>
                <w:sz w:val="20"/>
              </w:rPr>
              <w:t xml:space="preserve"> from the State budget </w:t>
            </w:r>
          </w:p>
          <w:p w:rsidR="00AD01E5" w:rsidRPr="009D1595" w:rsidRDefault="00AD01E5" w:rsidP="00C35D71">
            <w:pPr>
              <w:jc w:val="center"/>
              <w:rPr>
                <w:color w:val="auto"/>
                <w:sz w:val="20"/>
              </w:rPr>
            </w:pPr>
            <w:r w:rsidRPr="009D1595">
              <w:rPr>
                <w:color w:val="auto"/>
                <w:sz w:val="20"/>
              </w:rPr>
              <w:t>between 2016 and 2021</w:t>
            </w:r>
          </w:p>
          <w:p w:rsidR="00AD01E5" w:rsidRPr="009D1595" w:rsidRDefault="00AD01E5" w:rsidP="00C35D71">
            <w:pPr>
              <w:rPr>
                <w:color w:val="auto"/>
                <w:sz w:val="18"/>
              </w:rPr>
            </w:pPr>
          </w:p>
        </w:tc>
      </w:tr>
      <w:tr w:rsidR="00AD01E5"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AD01E5" w:rsidRPr="009D1595" w:rsidRDefault="00AD01E5" w:rsidP="00C35D71">
            <w:pPr>
              <w:rPr>
                <w:sz w:val="18"/>
              </w:rPr>
            </w:pPr>
          </w:p>
        </w:tc>
        <w:tc>
          <w:tcPr>
            <w:tcW w:w="126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sidRPr="009D1595">
              <w:rPr>
                <w:sz w:val="18"/>
              </w:rPr>
              <w:t>2016</w:t>
            </w:r>
          </w:p>
        </w:tc>
        <w:tc>
          <w:tcPr>
            <w:tcW w:w="108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sidRPr="009D1595">
              <w:rPr>
                <w:sz w:val="18"/>
              </w:rPr>
              <w:t>2017</w:t>
            </w:r>
          </w:p>
        </w:tc>
        <w:tc>
          <w:tcPr>
            <w:tcW w:w="108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sidRPr="009D1595">
              <w:rPr>
                <w:sz w:val="18"/>
              </w:rPr>
              <w:t>2018</w:t>
            </w:r>
          </w:p>
        </w:tc>
        <w:tc>
          <w:tcPr>
            <w:tcW w:w="108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sidRPr="009D1595">
              <w:rPr>
                <w:sz w:val="18"/>
              </w:rPr>
              <w:t>2019</w:t>
            </w:r>
          </w:p>
        </w:tc>
        <w:tc>
          <w:tcPr>
            <w:tcW w:w="126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sidRPr="009D1595">
              <w:rPr>
                <w:sz w:val="18"/>
              </w:rPr>
              <w:t>2020</w:t>
            </w:r>
          </w:p>
        </w:tc>
        <w:tc>
          <w:tcPr>
            <w:tcW w:w="1188"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sidRPr="009D1595">
              <w:rPr>
                <w:sz w:val="18"/>
              </w:rPr>
              <w:t>2021</w:t>
            </w:r>
          </w:p>
        </w:tc>
      </w:tr>
      <w:tr w:rsidR="00AD01E5" w:rsidRPr="009D1595" w:rsidTr="00C35D71">
        <w:tc>
          <w:tcPr>
            <w:cnfStyle w:val="001000000000" w:firstRow="0" w:lastRow="0" w:firstColumn="1" w:lastColumn="0" w:oddVBand="0" w:evenVBand="0" w:oddHBand="0" w:evenHBand="0" w:firstRowFirstColumn="0" w:firstRowLastColumn="0" w:lastRowFirstColumn="0" w:lastRowLastColumn="0"/>
            <w:tcW w:w="9576" w:type="dxa"/>
            <w:gridSpan w:val="7"/>
            <w:shd w:val="clear" w:color="auto" w:fill="ACB9CA" w:themeFill="text2" w:themeFillTint="66"/>
          </w:tcPr>
          <w:p w:rsidR="00AD01E5" w:rsidRPr="009D1595" w:rsidRDefault="00AD01E5" w:rsidP="00C35D71">
            <w:pPr>
              <w:rPr>
                <w:sz w:val="18"/>
              </w:rPr>
            </w:pPr>
            <w:r w:rsidRPr="009D1595">
              <w:rPr>
                <w:sz w:val="18"/>
              </w:rPr>
              <w:t xml:space="preserve">TOTAL EXPENDITURES </w:t>
            </w:r>
          </w:p>
        </w:tc>
      </w:tr>
      <w:tr w:rsidR="00AD01E5"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AD01E5" w:rsidRPr="009D1595" w:rsidRDefault="00AD01E5" w:rsidP="00C35D71">
            <w:pPr>
              <w:rPr>
                <w:b w:val="0"/>
                <w:sz w:val="18"/>
              </w:rPr>
            </w:pPr>
            <w:r w:rsidRPr="009D1595">
              <w:rPr>
                <w:b w:val="0"/>
                <w:sz w:val="18"/>
              </w:rPr>
              <w:t>Million Lei</w:t>
            </w:r>
          </w:p>
        </w:tc>
        <w:tc>
          <w:tcPr>
            <w:tcW w:w="126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11,344</w:t>
            </w:r>
          </w:p>
        </w:tc>
        <w:tc>
          <w:tcPr>
            <w:tcW w:w="108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12,422</w:t>
            </w:r>
          </w:p>
        </w:tc>
        <w:tc>
          <w:tcPr>
            <w:tcW w:w="108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15,199</w:t>
            </w:r>
          </w:p>
        </w:tc>
        <w:tc>
          <w:tcPr>
            <w:tcW w:w="108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18,467</w:t>
            </w:r>
          </w:p>
        </w:tc>
        <w:tc>
          <w:tcPr>
            <w:tcW w:w="126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19,872</w:t>
            </w:r>
          </w:p>
        </w:tc>
        <w:tc>
          <w:tcPr>
            <w:tcW w:w="1188"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18,334</w:t>
            </w:r>
          </w:p>
        </w:tc>
      </w:tr>
      <w:tr w:rsidR="00AD01E5"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AD01E5" w:rsidRPr="009D1595" w:rsidRDefault="00AD01E5" w:rsidP="00C35D71">
            <w:pPr>
              <w:rPr>
                <w:b w:val="0"/>
                <w:sz w:val="18"/>
              </w:rPr>
            </w:pPr>
            <w:r w:rsidRPr="009D1595">
              <w:rPr>
                <w:b w:val="0"/>
                <w:sz w:val="18"/>
              </w:rPr>
              <w:t>% of G.D.P.</w:t>
            </w:r>
          </w:p>
        </w:tc>
        <w:tc>
          <w:tcPr>
            <w:tcW w:w="1260"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r>
              <w:rPr>
                <w:sz w:val="18"/>
              </w:rPr>
              <w:t>1.49</w:t>
            </w:r>
          </w:p>
        </w:tc>
        <w:tc>
          <w:tcPr>
            <w:tcW w:w="1080"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r>
              <w:rPr>
                <w:sz w:val="18"/>
              </w:rPr>
              <w:t>1.47</w:t>
            </w:r>
          </w:p>
        </w:tc>
        <w:tc>
          <w:tcPr>
            <w:tcW w:w="1080"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r>
              <w:rPr>
                <w:sz w:val="18"/>
              </w:rPr>
              <w:t>1.62</w:t>
            </w:r>
          </w:p>
        </w:tc>
        <w:tc>
          <w:tcPr>
            <w:tcW w:w="1080"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r>
              <w:rPr>
                <w:sz w:val="18"/>
              </w:rPr>
              <w:t>1.89</w:t>
            </w:r>
          </w:p>
        </w:tc>
        <w:tc>
          <w:tcPr>
            <w:tcW w:w="1260"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r>
              <w:rPr>
                <w:sz w:val="18"/>
              </w:rPr>
              <w:t>1.89</w:t>
            </w:r>
          </w:p>
        </w:tc>
        <w:tc>
          <w:tcPr>
            <w:tcW w:w="1188"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r>
              <w:rPr>
                <w:sz w:val="18"/>
              </w:rPr>
              <w:t>1.63</w:t>
            </w:r>
          </w:p>
        </w:tc>
      </w:tr>
      <w:tr w:rsidR="00AD01E5"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AD01E5" w:rsidRPr="009D1595" w:rsidRDefault="00AD01E5" w:rsidP="00C35D71">
            <w:pPr>
              <w:rPr>
                <w:sz w:val="18"/>
              </w:rPr>
            </w:pPr>
            <w:r w:rsidRPr="009D1595">
              <w:rPr>
                <w:sz w:val="18"/>
              </w:rPr>
              <w:t>Personnel expenditures</w:t>
            </w:r>
          </w:p>
        </w:tc>
        <w:tc>
          <w:tcPr>
            <w:tcW w:w="1260" w:type="dxa"/>
            <w:shd w:val="clear" w:color="auto" w:fill="ACB9CA" w:themeFill="text2" w:themeFillTint="66"/>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p>
        </w:tc>
        <w:tc>
          <w:tcPr>
            <w:tcW w:w="1260" w:type="dxa"/>
            <w:shd w:val="clear" w:color="auto" w:fill="ACB9CA" w:themeFill="text2" w:themeFillTint="66"/>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p>
        </w:tc>
        <w:tc>
          <w:tcPr>
            <w:tcW w:w="1188" w:type="dxa"/>
            <w:shd w:val="clear" w:color="auto" w:fill="ACB9CA" w:themeFill="text2" w:themeFillTint="66"/>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p>
        </w:tc>
      </w:tr>
      <w:tr w:rsidR="00AD01E5"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AD01E5" w:rsidRPr="009D1595" w:rsidRDefault="00AD01E5" w:rsidP="00C35D71">
            <w:pPr>
              <w:rPr>
                <w:b w:val="0"/>
                <w:sz w:val="18"/>
              </w:rPr>
            </w:pPr>
            <w:r w:rsidRPr="009D1595">
              <w:rPr>
                <w:b w:val="0"/>
                <w:sz w:val="18"/>
              </w:rPr>
              <w:t>Million Lei</w:t>
            </w:r>
          </w:p>
        </w:tc>
        <w:tc>
          <w:tcPr>
            <w:tcW w:w="1260"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r>
              <w:rPr>
                <w:sz w:val="18"/>
              </w:rPr>
              <w:t>7,641</w:t>
            </w:r>
          </w:p>
        </w:tc>
        <w:tc>
          <w:tcPr>
            <w:tcW w:w="1080"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r>
              <w:rPr>
                <w:sz w:val="18"/>
              </w:rPr>
              <w:t>7,547</w:t>
            </w:r>
          </w:p>
        </w:tc>
        <w:tc>
          <w:tcPr>
            <w:tcW w:w="1080"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r>
              <w:rPr>
                <w:sz w:val="18"/>
              </w:rPr>
              <w:t>9,297</w:t>
            </w:r>
          </w:p>
        </w:tc>
        <w:tc>
          <w:tcPr>
            <w:tcW w:w="1080"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r>
              <w:rPr>
                <w:sz w:val="18"/>
              </w:rPr>
              <w:t>11,194</w:t>
            </w:r>
          </w:p>
        </w:tc>
        <w:tc>
          <w:tcPr>
            <w:tcW w:w="1260"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r>
              <w:rPr>
                <w:sz w:val="18"/>
              </w:rPr>
              <w:t>12,164</w:t>
            </w:r>
          </w:p>
        </w:tc>
        <w:tc>
          <w:tcPr>
            <w:tcW w:w="1188"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r>
              <w:rPr>
                <w:sz w:val="18"/>
              </w:rPr>
              <w:t>12,701</w:t>
            </w:r>
          </w:p>
        </w:tc>
      </w:tr>
      <w:tr w:rsidR="00AD01E5"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AD01E5" w:rsidRPr="009D1595" w:rsidRDefault="00AD01E5" w:rsidP="00C35D71">
            <w:pPr>
              <w:rPr>
                <w:b w:val="0"/>
                <w:sz w:val="18"/>
              </w:rPr>
            </w:pPr>
            <w:r w:rsidRPr="009D1595">
              <w:rPr>
                <w:b w:val="0"/>
                <w:sz w:val="18"/>
              </w:rPr>
              <w:t>% of G.D.P.</w:t>
            </w:r>
          </w:p>
        </w:tc>
        <w:tc>
          <w:tcPr>
            <w:tcW w:w="126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1.00</w:t>
            </w:r>
          </w:p>
        </w:tc>
        <w:tc>
          <w:tcPr>
            <w:tcW w:w="108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0.90</w:t>
            </w:r>
          </w:p>
        </w:tc>
        <w:tc>
          <w:tcPr>
            <w:tcW w:w="108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0.99</w:t>
            </w:r>
          </w:p>
        </w:tc>
        <w:tc>
          <w:tcPr>
            <w:tcW w:w="108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1.15</w:t>
            </w:r>
          </w:p>
        </w:tc>
        <w:tc>
          <w:tcPr>
            <w:tcW w:w="126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1.16</w:t>
            </w:r>
          </w:p>
        </w:tc>
        <w:tc>
          <w:tcPr>
            <w:tcW w:w="1188"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1.13</w:t>
            </w:r>
          </w:p>
        </w:tc>
      </w:tr>
      <w:tr w:rsidR="00AD01E5" w:rsidRPr="009D1595" w:rsidTr="00C35D71">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AD01E5" w:rsidRPr="009D1595" w:rsidRDefault="00AD01E5" w:rsidP="00C35D71">
            <w:pPr>
              <w:rPr>
                <w:sz w:val="18"/>
              </w:rPr>
            </w:pPr>
            <w:r w:rsidRPr="009D1595">
              <w:rPr>
                <w:sz w:val="18"/>
              </w:rPr>
              <w:t>Goods and services</w:t>
            </w:r>
          </w:p>
        </w:tc>
        <w:tc>
          <w:tcPr>
            <w:tcW w:w="1260" w:type="dxa"/>
            <w:shd w:val="clear" w:color="auto" w:fill="ACB9CA" w:themeFill="text2" w:themeFillTint="66"/>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p>
        </w:tc>
        <w:tc>
          <w:tcPr>
            <w:tcW w:w="1260" w:type="dxa"/>
            <w:shd w:val="clear" w:color="auto" w:fill="ACB9CA" w:themeFill="text2" w:themeFillTint="66"/>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p>
        </w:tc>
        <w:tc>
          <w:tcPr>
            <w:tcW w:w="1188" w:type="dxa"/>
            <w:shd w:val="clear" w:color="auto" w:fill="ACB9CA" w:themeFill="text2" w:themeFillTint="66"/>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p>
        </w:tc>
      </w:tr>
      <w:tr w:rsidR="00AD01E5"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AD01E5" w:rsidRPr="009D1595" w:rsidRDefault="00AD01E5" w:rsidP="00C35D71">
            <w:pPr>
              <w:rPr>
                <w:b w:val="0"/>
                <w:sz w:val="18"/>
              </w:rPr>
            </w:pPr>
            <w:r w:rsidRPr="009D1595">
              <w:rPr>
                <w:b w:val="0"/>
                <w:sz w:val="18"/>
              </w:rPr>
              <w:t>Million Lei</w:t>
            </w:r>
          </w:p>
        </w:tc>
        <w:tc>
          <w:tcPr>
            <w:tcW w:w="126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723</w:t>
            </w:r>
          </w:p>
        </w:tc>
        <w:tc>
          <w:tcPr>
            <w:tcW w:w="108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544</w:t>
            </w:r>
          </w:p>
        </w:tc>
        <w:tc>
          <w:tcPr>
            <w:tcW w:w="108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706</w:t>
            </w:r>
          </w:p>
        </w:tc>
        <w:tc>
          <w:tcPr>
            <w:tcW w:w="108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844</w:t>
            </w:r>
          </w:p>
        </w:tc>
        <w:tc>
          <w:tcPr>
            <w:tcW w:w="126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832</w:t>
            </w:r>
          </w:p>
        </w:tc>
        <w:tc>
          <w:tcPr>
            <w:tcW w:w="1188"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836</w:t>
            </w:r>
          </w:p>
        </w:tc>
      </w:tr>
      <w:tr w:rsidR="00AD01E5"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AD01E5" w:rsidRPr="009D1595" w:rsidRDefault="00AD01E5" w:rsidP="00C35D71">
            <w:pPr>
              <w:rPr>
                <w:b w:val="0"/>
                <w:sz w:val="18"/>
              </w:rPr>
            </w:pPr>
            <w:r w:rsidRPr="009D1595">
              <w:rPr>
                <w:b w:val="0"/>
                <w:sz w:val="18"/>
              </w:rPr>
              <w:t>% of G.D.P.</w:t>
            </w:r>
          </w:p>
        </w:tc>
        <w:tc>
          <w:tcPr>
            <w:tcW w:w="1260"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0.09</w:t>
            </w:r>
          </w:p>
        </w:tc>
        <w:tc>
          <w:tcPr>
            <w:tcW w:w="1080" w:type="dxa"/>
          </w:tcPr>
          <w:p w:rsidR="00AD01E5" w:rsidRPr="00B14CDF" w:rsidRDefault="00AD01E5"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0.06</w:t>
            </w:r>
          </w:p>
        </w:tc>
        <w:tc>
          <w:tcPr>
            <w:tcW w:w="1080" w:type="dxa"/>
          </w:tcPr>
          <w:p w:rsidR="00AD01E5" w:rsidRPr="00B14CDF" w:rsidRDefault="00AD01E5"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0.08</w:t>
            </w:r>
          </w:p>
        </w:tc>
        <w:tc>
          <w:tcPr>
            <w:tcW w:w="1080" w:type="dxa"/>
          </w:tcPr>
          <w:p w:rsidR="00AD01E5" w:rsidRPr="00B14CDF" w:rsidRDefault="00AD01E5"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0.09</w:t>
            </w:r>
          </w:p>
        </w:tc>
        <w:tc>
          <w:tcPr>
            <w:tcW w:w="1260" w:type="dxa"/>
          </w:tcPr>
          <w:p w:rsidR="00AD01E5" w:rsidRPr="00B14CDF" w:rsidRDefault="00AD01E5"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0.08</w:t>
            </w:r>
          </w:p>
        </w:tc>
        <w:tc>
          <w:tcPr>
            <w:tcW w:w="1188" w:type="dxa"/>
          </w:tcPr>
          <w:p w:rsidR="00AD01E5" w:rsidRPr="00B14CDF" w:rsidRDefault="00AD01E5"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0.07</w:t>
            </w:r>
          </w:p>
        </w:tc>
      </w:tr>
      <w:tr w:rsidR="00AD01E5"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AD01E5" w:rsidRPr="009D1595" w:rsidRDefault="00AD01E5" w:rsidP="00C35D71">
            <w:pPr>
              <w:rPr>
                <w:sz w:val="18"/>
              </w:rPr>
            </w:pPr>
            <w:r w:rsidRPr="009D1595">
              <w:rPr>
                <w:sz w:val="18"/>
              </w:rPr>
              <w:t>Transfers between public administration units</w:t>
            </w:r>
          </w:p>
        </w:tc>
        <w:tc>
          <w:tcPr>
            <w:tcW w:w="1260" w:type="dxa"/>
            <w:shd w:val="clear" w:color="auto" w:fill="ACB9CA" w:themeFill="text2" w:themeFillTint="66"/>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p>
        </w:tc>
        <w:tc>
          <w:tcPr>
            <w:tcW w:w="1260" w:type="dxa"/>
            <w:shd w:val="clear" w:color="auto" w:fill="ACB9CA" w:themeFill="text2" w:themeFillTint="66"/>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p>
        </w:tc>
        <w:tc>
          <w:tcPr>
            <w:tcW w:w="1188" w:type="dxa"/>
            <w:shd w:val="clear" w:color="auto" w:fill="ACB9CA" w:themeFill="text2" w:themeFillTint="66"/>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p>
        </w:tc>
      </w:tr>
      <w:tr w:rsidR="00AD01E5"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AD01E5" w:rsidRPr="009D1595" w:rsidRDefault="00AD01E5" w:rsidP="00C35D71">
            <w:pPr>
              <w:rPr>
                <w:b w:val="0"/>
                <w:sz w:val="18"/>
              </w:rPr>
            </w:pPr>
            <w:r w:rsidRPr="009D1595">
              <w:rPr>
                <w:b w:val="0"/>
                <w:sz w:val="18"/>
              </w:rPr>
              <w:t>Million Lei</w:t>
            </w:r>
          </w:p>
        </w:tc>
        <w:tc>
          <w:tcPr>
            <w:tcW w:w="1260"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r>
              <w:rPr>
                <w:sz w:val="18"/>
              </w:rPr>
              <w:t>169</w:t>
            </w:r>
          </w:p>
        </w:tc>
        <w:tc>
          <w:tcPr>
            <w:tcW w:w="1080"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r>
              <w:rPr>
                <w:sz w:val="18"/>
              </w:rPr>
              <w:t>153</w:t>
            </w:r>
          </w:p>
        </w:tc>
        <w:tc>
          <w:tcPr>
            <w:tcW w:w="1080"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r>
              <w:rPr>
                <w:sz w:val="18"/>
              </w:rPr>
              <w:t>193</w:t>
            </w:r>
          </w:p>
        </w:tc>
        <w:tc>
          <w:tcPr>
            <w:tcW w:w="1080"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r>
              <w:rPr>
                <w:sz w:val="18"/>
              </w:rPr>
              <w:t>230</w:t>
            </w:r>
          </w:p>
        </w:tc>
        <w:tc>
          <w:tcPr>
            <w:tcW w:w="1260"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r>
              <w:rPr>
                <w:sz w:val="18"/>
              </w:rPr>
              <w:t>254</w:t>
            </w:r>
          </w:p>
        </w:tc>
        <w:tc>
          <w:tcPr>
            <w:tcW w:w="1188"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r>
              <w:rPr>
                <w:sz w:val="18"/>
              </w:rPr>
              <w:t>267</w:t>
            </w:r>
          </w:p>
        </w:tc>
      </w:tr>
      <w:tr w:rsidR="00AD01E5"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AD01E5" w:rsidRPr="009D1595" w:rsidRDefault="00AD01E5" w:rsidP="00C35D71">
            <w:pPr>
              <w:rPr>
                <w:b w:val="0"/>
                <w:sz w:val="18"/>
              </w:rPr>
            </w:pPr>
            <w:r w:rsidRPr="009D1595">
              <w:rPr>
                <w:b w:val="0"/>
                <w:sz w:val="18"/>
              </w:rPr>
              <w:t>% of G.D.P.</w:t>
            </w:r>
          </w:p>
        </w:tc>
        <w:tc>
          <w:tcPr>
            <w:tcW w:w="126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0.02</w:t>
            </w:r>
          </w:p>
        </w:tc>
        <w:tc>
          <w:tcPr>
            <w:tcW w:w="108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0.02</w:t>
            </w:r>
          </w:p>
        </w:tc>
        <w:tc>
          <w:tcPr>
            <w:tcW w:w="108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0.02</w:t>
            </w:r>
          </w:p>
        </w:tc>
        <w:tc>
          <w:tcPr>
            <w:tcW w:w="108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0.02</w:t>
            </w:r>
          </w:p>
        </w:tc>
        <w:tc>
          <w:tcPr>
            <w:tcW w:w="126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0.02</w:t>
            </w:r>
          </w:p>
        </w:tc>
        <w:tc>
          <w:tcPr>
            <w:tcW w:w="1188"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0.02</w:t>
            </w:r>
          </w:p>
        </w:tc>
      </w:tr>
      <w:tr w:rsidR="00AD01E5" w:rsidRPr="009D1595" w:rsidTr="00C35D71">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AD01E5" w:rsidRPr="009D1595" w:rsidRDefault="00AD01E5" w:rsidP="00C35D71">
            <w:pPr>
              <w:rPr>
                <w:sz w:val="18"/>
              </w:rPr>
            </w:pPr>
            <w:r w:rsidRPr="009D1595">
              <w:rPr>
                <w:sz w:val="18"/>
              </w:rPr>
              <w:t>Other transfers</w:t>
            </w:r>
          </w:p>
        </w:tc>
        <w:tc>
          <w:tcPr>
            <w:tcW w:w="1260" w:type="dxa"/>
            <w:shd w:val="clear" w:color="auto" w:fill="ACB9CA" w:themeFill="text2" w:themeFillTint="66"/>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p>
        </w:tc>
        <w:tc>
          <w:tcPr>
            <w:tcW w:w="1260" w:type="dxa"/>
            <w:shd w:val="clear" w:color="auto" w:fill="ACB9CA" w:themeFill="text2" w:themeFillTint="66"/>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p>
        </w:tc>
        <w:tc>
          <w:tcPr>
            <w:tcW w:w="1188" w:type="dxa"/>
            <w:shd w:val="clear" w:color="auto" w:fill="ACB9CA" w:themeFill="text2" w:themeFillTint="66"/>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p>
        </w:tc>
      </w:tr>
      <w:tr w:rsidR="00AD01E5"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AD01E5" w:rsidRPr="009D1595" w:rsidRDefault="00AD01E5" w:rsidP="00C35D71">
            <w:pPr>
              <w:rPr>
                <w:b w:val="0"/>
                <w:sz w:val="18"/>
              </w:rPr>
            </w:pPr>
            <w:r w:rsidRPr="009D1595">
              <w:rPr>
                <w:b w:val="0"/>
                <w:sz w:val="18"/>
              </w:rPr>
              <w:t>Million Lei</w:t>
            </w:r>
          </w:p>
        </w:tc>
        <w:tc>
          <w:tcPr>
            <w:tcW w:w="126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4</w:t>
            </w:r>
          </w:p>
        </w:tc>
        <w:tc>
          <w:tcPr>
            <w:tcW w:w="108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4</w:t>
            </w:r>
          </w:p>
        </w:tc>
        <w:tc>
          <w:tcPr>
            <w:tcW w:w="108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4</w:t>
            </w:r>
          </w:p>
        </w:tc>
        <w:tc>
          <w:tcPr>
            <w:tcW w:w="108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6</w:t>
            </w:r>
          </w:p>
        </w:tc>
        <w:tc>
          <w:tcPr>
            <w:tcW w:w="126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12</w:t>
            </w:r>
          </w:p>
        </w:tc>
        <w:tc>
          <w:tcPr>
            <w:tcW w:w="1188"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13</w:t>
            </w:r>
          </w:p>
        </w:tc>
      </w:tr>
      <w:tr w:rsidR="00AD01E5"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AD01E5" w:rsidRPr="009D1595" w:rsidRDefault="00AD01E5" w:rsidP="00C35D71">
            <w:pPr>
              <w:rPr>
                <w:b w:val="0"/>
                <w:sz w:val="18"/>
              </w:rPr>
            </w:pPr>
            <w:r w:rsidRPr="009D1595">
              <w:rPr>
                <w:b w:val="0"/>
                <w:sz w:val="18"/>
              </w:rPr>
              <w:t>% of G.D.P.</w:t>
            </w:r>
          </w:p>
        </w:tc>
        <w:tc>
          <w:tcPr>
            <w:tcW w:w="1260"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c>
          <w:tcPr>
            <w:tcW w:w="1080" w:type="dxa"/>
          </w:tcPr>
          <w:p w:rsidR="00AD01E5" w:rsidRDefault="00AD01E5" w:rsidP="00C35D71">
            <w:pPr>
              <w:cnfStyle w:val="000000000000" w:firstRow="0" w:lastRow="0" w:firstColumn="0" w:lastColumn="0" w:oddVBand="0" w:evenVBand="0" w:oddHBand="0" w:evenHBand="0" w:firstRowFirstColumn="0" w:firstRowLastColumn="0" w:lastRowFirstColumn="0" w:lastRowLastColumn="0"/>
            </w:pPr>
            <w:r w:rsidRPr="008671FF">
              <w:rPr>
                <w:sz w:val="18"/>
              </w:rPr>
              <w:t>0.00</w:t>
            </w:r>
          </w:p>
        </w:tc>
        <w:tc>
          <w:tcPr>
            <w:tcW w:w="1080" w:type="dxa"/>
          </w:tcPr>
          <w:p w:rsidR="00AD01E5" w:rsidRDefault="00AD01E5" w:rsidP="00C35D71">
            <w:pPr>
              <w:cnfStyle w:val="000000000000" w:firstRow="0" w:lastRow="0" w:firstColumn="0" w:lastColumn="0" w:oddVBand="0" w:evenVBand="0" w:oddHBand="0" w:evenHBand="0" w:firstRowFirstColumn="0" w:firstRowLastColumn="0" w:lastRowFirstColumn="0" w:lastRowLastColumn="0"/>
            </w:pPr>
            <w:r w:rsidRPr="008671FF">
              <w:rPr>
                <w:sz w:val="18"/>
              </w:rPr>
              <w:t>0.00</w:t>
            </w:r>
          </w:p>
        </w:tc>
        <w:tc>
          <w:tcPr>
            <w:tcW w:w="1080" w:type="dxa"/>
          </w:tcPr>
          <w:p w:rsidR="00AD01E5" w:rsidRDefault="00AD01E5" w:rsidP="00C35D71">
            <w:pPr>
              <w:cnfStyle w:val="000000000000" w:firstRow="0" w:lastRow="0" w:firstColumn="0" w:lastColumn="0" w:oddVBand="0" w:evenVBand="0" w:oddHBand="0" w:evenHBand="0" w:firstRowFirstColumn="0" w:firstRowLastColumn="0" w:lastRowFirstColumn="0" w:lastRowLastColumn="0"/>
            </w:pPr>
            <w:r w:rsidRPr="008671FF">
              <w:rPr>
                <w:sz w:val="18"/>
              </w:rPr>
              <w:t>0.00</w:t>
            </w:r>
          </w:p>
        </w:tc>
        <w:tc>
          <w:tcPr>
            <w:tcW w:w="1260" w:type="dxa"/>
          </w:tcPr>
          <w:p w:rsidR="00AD01E5" w:rsidRDefault="00AD01E5" w:rsidP="00C35D71">
            <w:pPr>
              <w:cnfStyle w:val="000000000000" w:firstRow="0" w:lastRow="0" w:firstColumn="0" w:lastColumn="0" w:oddVBand="0" w:evenVBand="0" w:oddHBand="0" w:evenHBand="0" w:firstRowFirstColumn="0" w:firstRowLastColumn="0" w:lastRowFirstColumn="0" w:lastRowLastColumn="0"/>
            </w:pPr>
            <w:r w:rsidRPr="008671FF">
              <w:rPr>
                <w:sz w:val="18"/>
              </w:rPr>
              <w:t>0.00</w:t>
            </w:r>
          </w:p>
        </w:tc>
        <w:tc>
          <w:tcPr>
            <w:tcW w:w="1188" w:type="dxa"/>
          </w:tcPr>
          <w:p w:rsidR="00AD01E5" w:rsidRDefault="00AD01E5" w:rsidP="00C35D71">
            <w:pPr>
              <w:cnfStyle w:val="000000000000" w:firstRow="0" w:lastRow="0" w:firstColumn="0" w:lastColumn="0" w:oddVBand="0" w:evenVBand="0" w:oddHBand="0" w:evenHBand="0" w:firstRowFirstColumn="0" w:firstRowLastColumn="0" w:lastRowFirstColumn="0" w:lastRowLastColumn="0"/>
            </w:pPr>
            <w:r w:rsidRPr="008671FF">
              <w:rPr>
                <w:sz w:val="18"/>
              </w:rPr>
              <w:t>0.00</w:t>
            </w:r>
          </w:p>
        </w:tc>
      </w:tr>
      <w:tr w:rsidR="00AD01E5"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AD01E5" w:rsidRPr="009D1595" w:rsidRDefault="00AD01E5" w:rsidP="00C35D71">
            <w:pPr>
              <w:rPr>
                <w:sz w:val="18"/>
              </w:rPr>
            </w:pPr>
            <w:r w:rsidRPr="009D1595">
              <w:rPr>
                <w:sz w:val="18"/>
              </w:rPr>
              <w:t>Projects with financing from external non-reimbursable funds (ENF)</w:t>
            </w:r>
          </w:p>
        </w:tc>
        <w:tc>
          <w:tcPr>
            <w:tcW w:w="1260" w:type="dxa"/>
            <w:shd w:val="clear" w:color="auto" w:fill="ACB9CA" w:themeFill="text2" w:themeFillTint="66"/>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b/>
                <w:sz w:val="18"/>
              </w:rPr>
            </w:pPr>
          </w:p>
        </w:tc>
        <w:tc>
          <w:tcPr>
            <w:tcW w:w="1080" w:type="dxa"/>
            <w:shd w:val="clear" w:color="auto" w:fill="ACB9CA" w:themeFill="text2" w:themeFillTint="66"/>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b/>
                <w:sz w:val="18"/>
              </w:rPr>
            </w:pPr>
          </w:p>
        </w:tc>
        <w:tc>
          <w:tcPr>
            <w:tcW w:w="1080" w:type="dxa"/>
            <w:shd w:val="clear" w:color="auto" w:fill="ACB9CA" w:themeFill="text2" w:themeFillTint="66"/>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b/>
                <w:sz w:val="18"/>
              </w:rPr>
            </w:pPr>
          </w:p>
        </w:tc>
        <w:tc>
          <w:tcPr>
            <w:tcW w:w="1080" w:type="dxa"/>
            <w:shd w:val="clear" w:color="auto" w:fill="ACB9CA" w:themeFill="text2" w:themeFillTint="66"/>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b/>
                <w:sz w:val="18"/>
              </w:rPr>
            </w:pPr>
          </w:p>
        </w:tc>
        <w:tc>
          <w:tcPr>
            <w:tcW w:w="1260" w:type="dxa"/>
            <w:shd w:val="clear" w:color="auto" w:fill="ACB9CA" w:themeFill="text2" w:themeFillTint="66"/>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b/>
                <w:sz w:val="18"/>
              </w:rPr>
            </w:pPr>
          </w:p>
        </w:tc>
        <w:tc>
          <w:tcPr>
            <w:tcW w:w="1188" w:type="dxa"/>
            <w:shd w:val="clear" w:color="auto" w:fill="ACB9CA" w:themeFill="text2" w:themeFillTint="66"/>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b/>
                <w:sz w:val="18"/>
              </w:rPr>
            </w:pPr>
          </w:p>
        </w:tc>
      </w:tr>
      <w:tr w:rsidR="00AD01E5"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AD01E5" w:rsidRPr="009D1595" w:rsidRDefault="00AD01E5" w:rsidP="00C35D71">
            <w:pPr>
              <w:rPr>
                <w:b w:val="0"/>
                <w:sz w:val="18"/>
              </w:rPr>
            </w:pPr>
            <w:r w:rsidRPr="009D1595">
              <w:rPr>
                <w:b w:val="0"/>
                <w:sz w:val="18"/>
              </w:rPr>
              <w:t>Million Lei</w:t>
            </w:r>
          </w:p>
        </w:tc>
        <w:tc>
          <w:tcPr>
            <w:tcW w:w="1260"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r>
              <w:rPr>
                <w:sz w:val="18"/>
              </w:rPr>
              <w:t>16</w:t>
            </w:r>
          </w:p>
        </w:tc>
        <w:tc>
          <w:tcPr>
            <w:tcW w:w="1080"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r>
              <w:rPr>
                <w:sz w:val="18"/>
              </w:rPr>
              <w:t>3</w:t>
            </w:r>
          </w:p>
        </w:tc>
        <w:tc>
          <w:tcPr>
            <w:tcW w:w="1080"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r>
              <w:rPr>
                <w:sz w:val="18"/>
              </w:rPr>
              <w:t>2</w:t>
            </w:r>
          </w:p>
        </w:tc>
        <w:tc>
          <w:tcPr>
            <w:tcW w:w="1080"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r>
              <w:rPr>
                <w:sz w:val="18"/>
              </w:rPr>
              <w:t>5</w:t>
            </w:r>
          </w:p>
        </w:tc>
        <w:tc>
          <w:tcPr>
            <w:tcW w:w="1260"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p>
        </w:tc>
        <w:tc>
          <w:tcPr>
            <w:tcW w:w="1188"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p>
        </w:tc>
      </w:tr>
      <w:tr w:rsidR="00AD01E5"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AD01E5" w:rsidRPr="009D1595" w:rsidRDefault="00AD01E5" w:rsidP="00C35D71">
            <w:pPr>
              <w:rPr>
                <w:b w:val="0"/>
                <w:sz w:val="18"/>
              </w:rPr>
            </w:pPr>
            <w:r w:rsidRPr="009D1595">
              <w:rPr>
                <w:b w:val="0"/>
                <w:sz w:val="18"/>
              </w:rPr>
              <w:t>% of G.D.P.</w:t>
            </w:r>
          </w:p>
        </w:tc>
        <w:tc>
          <w:tcPr>
            <w:tcW w:w="126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08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08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08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26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188"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r>
      <w:tr w:rsidR="00AD01E5" w:rsidRPr="009D1595" w:rsidTr="00C35D71">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AD01E5" w:rsidRPr="009D1595" w:rsidRDefault="00AD01E5" w:rsidP="00C35D71">
            <w:pPr>
              <w:rPr>
                <w:sz w:val="18"/>
              </w:rPr>
            </w:pPr>
            <w:r w:rsidRPr="009D1595">
              <w:rPr>
                <w:sz w:val="18"/>
              </w:rPr>
              <w:t>Social assistance</w:t>
            </w:r>
          </w:p>
        </w:tc>
        <w:tc>
          <w:tcPr>
            <w:tcW w:w="1260" w:type="dxa"/>
            <w:shd w:val="clear" w:color="auto" w:fill="ACB9CA" w:themeFill="text2" w:themeFillTint="66"/>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p>
        </w:tc>
        <w:tc>
          <w:tcPr>
            <w:tcW w:w="1260" w:type="dxa"/>
            <w:shd w:val="clear" w:color="auto" w:fill="ACB9CA" w:themeFill="text2" w:themeFillTint="66"/>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p>
        </w:tc>
        <w:tc>
          <w:tcPr>
            <w:tcW w:w="1188" w:type="dxa"/>
            <w:shd w:val="clear" w:color="auto" w:fill="ACB9CA" w:themeFill="text2" w:themeFillTint="66"/>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p>
        </w:tc>
      </w:tr>
      <w:tr w:rsidR="00AD01E5"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AD01E5" w:rsidRPr="009D1595" w:rsidRDefault="00AD01E5" w:rsidP="00C35D71">
            <w:pPr>
              <w:rPr>
                <w:b w:val="0"/>
                <w:sz w:val="18"/>
              </w:rPr>
            </w:pPr>
            <w:r w:rsidRPr="009D1595">
              <w:rPr>
                <w:b w:val="0"/>
                <w:sz w:val="18"/>
              </w:rPr>
              <w:t>Million Lei</w:t>
            </w:r>
          </w:p>
        </w:tc>
        <w:tc>
          <w:tcPr>
            <w:tcW w:w="126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2,478</w:t>
            </w:r>
          </w:p>
        </w:tc>
        <w:tc>
          <w:tcPr>
            <w:tcW w:w="108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3,747</w:t>
            </w:r>
          </w:p>
        </w:tc>
        <w:tc>
          <w:tcPr>
            <w:tcW w:w="108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4,102</w:t>
            </w:r>
          </w:p>
        </w:tc>
        <w:tc>
          <w:tcPr>
            <w:tcW w:w="108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4,010</w:t>
            </w:r>
          </w:p>
        </w:tc>
        <w:tc>
          <w:tcPr>
            <w:tcW w:w="126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4,110</w:t>
            </w:r>
          </w:p>
        </w:tc>
        <w:tc>
          <w:tcPr>
            <w:tcW w:w="1188"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4,193</w:t>
            </w:r>
          </w:p>
        </w:tc>
      </w:tr>
      <w:tr w:rsidR="00AD01E5"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AD01E5" w:rsidRPr="009D1595" w:rsidRDefault="00AD01E5" w:rsidP="00C35D71">
            <w:pPr>
              <w:rPr>
                <w:b w:val="0"/>
                <w:sz w:val="18"/>
              </w:rPr>
            </w:pPr>
            <w:r w:rsidRPr="009D1595">
              <w:rPr>
                <w:b w:val="0"/>
                <w:sz w:val="18"/>
              </w:rPr>
              <w:t>% of G.D.P.</w:t>
            </w:r>
          </w:p>
        </w:tc>
        <w:tc>
          <w:tcPr>
            <w:tcW w:w="1260"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r>
              <w:rPr>
                <w:sz w:val="18"/>
              </w:rPr>
              <w:t>0.33</w:t>
            </w:r>
          </w:p>
        </w:tc>
        <w:tc>
          <w:tcPr>
            <w:tcW w:w="1080"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r>
              <w:rPr>
                <w:sz w:val="18"/>
              </w:rPr>
              <w:t>0.44</w:t>
            </w:r>
          </w:p>
        </w:tc>
        <w:tc>
          <w:tcPr>
            <w:tcW w:w="1080"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r>
              <w:rPr>
                <w:sz w:val="18"/>
              </w:rPr>
              <w:t>0.44</w:t>
            </w:r>
          </w:p>
        </w:tc>
        <w:tc>
          <w:tcPr>
            <w:tcW w:w="1080"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r>
              <w:rPr>
                <w:sz w:val="18"/>
              </w:rPr>
              <w:t>0.41</w:t>
            </w:r>
          </w:p>
        </w:tc>
        <w:tc>
          <w:tcPr>
            <w:tcW w:w="1260"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r>
              <w:rPr>
                <w:sz w:val="18"/>
              </w:rPr>
              <w:t>0.39</w:t>
            </w:r>
          </w:p>
        </w:tc>
        <w:tc>
          <w:tcPr>
            <w:tcW w:w="1188"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r>
              <w:rPr>
                <w:sz w:val="18"/>
              </w:rPr>
              <w:t>0.37</w:t>
            </w:r>
          </w:p>
        </w:tc>
      </w:tr>
      <w:tr w:rsidR="00AD01E5"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AD01E5" w:rsidRPr="009D1595" w:rsidRDefault="00AD01E5" w:rsidP="00C35D71">
            <w:pPr>
              <w:rPr>
                <w:sz w:val="18"/>
              </w:rPr>
            </w:pPr>
            <w:r w:rsidRPr="009D1595">
              <w:rPr>
                <w:sz w:val="18"/>
              </w:rPr>
              <w:t>Projects with financing from external non-reimbursable funds corresponding to the financial framework 2014-2020</w:t>
            </w:r>
          </w:p>
        </w:tc>
        <w:tc>
          <w:tcPr>
            <w:tcW w:w="1260" w:type="dxa"/>
            <w:shd w:val="clear" w:color="auto" w:fill="ACB9CA" w:themeFill="text2" w:themeFillTint="66"/>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p>
        </w:tc>
        <w:tc>
          <w:tcPr>
            <w:tcW w:w="1260" w:type="dxa"/>
            <w:shd w:val="clear" w:color="auto" w:fill="ACB9CA" w:themeFill="text2" w:themeFillTint="66"/>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p>
        </w:tc>
        <w:tc>
          <w:tcPr>
            <w:tcW w:w="1188" w:type="dxa"/>
            <w:shd w:val="clear" w:color="auto" w:fill="ACB9CA" w:themeFill="text2" w:themeFillTint="66"/>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p>
        </w:tc>
      </w:tr>
      <w:tr w:rsidR="00AD01E5"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AD01E5" w:rsidRPr="009D1595" w:rsidRDefault="00AD01E5" w:rsidP="00C35D71">
            <w:pPr>
              <w:rPr>
                <w:b w:val="0"/>
                <w:sz w:val="18"/>
              </w:rPr>
            </w:pPr>
            <w:r w:rsidRPr="009D1595">
              <w:rPr>
                <w:b w:val="0"/>
                <w:sz w:val="18"/>
              </w:rPr>
              <w:t>Million Lei</w:t>
            </w:r>
          </w:p>
        </w:tc>
        <w:tc>
          <w:tcPr>
            <w:tcW w:w="1260"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r>
              <w:rPr>
                <w:sz w:val="18"/>
              </w:rPr>
              <w:t>166</w:t>
            </w:r>
          </w:p>
        </w:tc>
        <w:tc>
          <w:tcPr>
            <w:tcW w:w="1080"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r>
              <w:rPr>
                <w:sz w:val="18"/>
              </w:rPr>
              <w:t>269</w:t>
            </w:r>
          </w:p>
        </w:tc>
        <w:tc>
          <w:tcPr>
            <w:tcW w:w="1080"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r>
              <w:rPr>
                <w:sz w:val="18"/>
              </w:rPr>
              <w:t>665</w:t>
            </w:r>
          </w:p>
        </w:tc>
        <w:tc>
          <w:tcPr>
            <w:tcW w:w="1080"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r>
              <w:rPr>
                <w:sz w:val="18"/>
              </w:rPr>
              <w:t>1,888</w:t>
            </w:r>
          </w:p>
        </w:tc>
        <w:tc>
          <w:tcPr>
            <w:tcW w:w="1260"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r>
              <w:rPr>
                <w:sz w:val="18"/>
              </w:rPr>
              <w:t>2,357</w:t>
            </w:r>
          </w:p>
        </w:tc>
        <w:tc>
          <w:tcPr>
            <w:tcW w:w="1188"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r>
              <w:rPr>
                <w:sz w:val="18"/>
              </w:rPr>
              <w:t>200</w:t>
            </w:r>
          </w:p>
        </w:tc>
      </w:tr>
      <w:tr w:rsidR="00AD01E5"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AD01E5" w:rsidRPr="009D1595" w:rsidRDefault="00AD01E5" w:rsidP="00C35D71">
            <w:pPr>
              <w:rPr>
                <w:b w:val="0"/>
                <w:sz w:val="18"/>
              </w:rPr>
            </w:pPr>
            <w:r w:rsidRPr="009D1595">
              <w:rPr>
                <w:b w:val="0"/>
                <w:sz w:val="18"/>
              </w:rPr>
              <w:t>% of G.D.P.</w:t>
            </w:r>
          </w:p>
        </w:tc>
        <w:tc>
          <w:tcPr>
            <w:tcW w:w="126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0.02</w:t>
            </w:r>
          </w:p>
        </w:tc>
        <w:tc>
          <w:tcPr>
            <w:tcW w:w="1080" w:type="dxa"/>
          </w:tcPr>
          <w:p w:rsidR="00AD01E5" w:rsidRDefault="00AD01E5" w:rsidP="00C35D71">
            <w:pPr>
              <w:cnfStyle w:val="000000100000" w:firstRow="0" w:lastRow="0" w:firstColumn="0" w:lastColumn="0" w:oddVBand="0" w:evenVBand="0" w:oddHBand="1" w:evenHBand="0" w:firstRowFirstColumn="0" w:firstRowLastColumn="0" w:lastRowFirstColumn="0" w:lastRowLastColumn="0"/>
            </w:pPr>
            <w:r w:rsidRPr="00BE4709">
              <w:rPr>
                <w:sz w:val="18"/>
              </w:rPr>
              <w:t>0.0</w:t>
            </w:r>
            <w:r>
              <w:rPr>
                <w:sz w:val="18"/>
              </w:rPr>
              <w:t>3</w:t>
            </w:r>
          </w:p>
        </w:tc>
        <w:tc>
          <w:tcPr>
            <w:tcW w:w="1080" w:type="dxa"/>
          </w:tcPr>
          <w:p w:rsidR="00AD01E5" w:rsidRDefault="00AD01E5" w:rsidP="00C35D71">
            <w:pPr>
              <w:cnfStyle w:val="000000100000" w:firstRow="0" w:lastRow="0" w:firstColumn="0" w:lastColumn="0" w:oddVBand="0" w:evenVBand="0" w:oddHBand="1" w:evenHBand="0" w:firstRowFirstColumn="0" w:firstRowLastColumn="0" w:lastRowFirstColumn="0" w:lastRowLastColumn="0"/>
            </w:pPr>
            <w:r w:rsidRPr="00BE4709">
              <w:rPr>
                <w:sz w:val="18"/>
              </w:rPr>
              <w:t>0.0</w:t>
            </w:r>
            <w:r>
              <w:rPr>
                <w:sz w:val="18"/>
              </w:rPr>
              <w:t>7</w:t>
            </w:r>
          </w:p>
        </w:tc>
        <w:tc>
          <w:tcPr>
            <w:tcW w:w="1080" w:type="dxa"/>
          </w:tcPr>
          <w:p w:rsidR="00AD01E5" w:rsidRDefault="00AD01E5" w:rsidP="00C35D71">
            <w:pPr>
              <w:cnfStyle w:val="000000100000" w:firstRow="0" w:lastRow="0" w:firstColumn="0" w:lastColumn="0" w:oddVBand="0" w:evenVBand="0" w:oddHBand="1" w:evenHBand="0" w:firstRowFirstColumn="0" w:firstRowLastColumn="0" w:lastRowFirstColumn="0" w:lastRowLastColumn="0"/>
            </w:pPr>
            <w:r w:rsidRPr="00BE4709">
              <w:rPr>
                <w:sz w:val="18"/>
              </w:rPr>
              <w:t>0.</w:t>
            </w:r>
            <w:r>
              <w:rPr>
                <w:sz w:val="18"/>
              </w:rPr>
              <w:t>19</w:t>
            </w:r>
          </w:p>
        </w:tc>
        <w:tc>
          <w:tcPr>
            <w:tcW w:w="1260" w:type="dxa"/>
          </w:tcPr>
          <w:p w:rsidR="00AD01E5" w:rsidRDefault="00AD01E5" w:rsidP="00C35D71">
            <w:pPr>
              <w:cnfStyle w:val="000000100000" w:firstRow="0" w:lastRow="0" w:firstColumn="0" w:lastColumn="0" w:oddVBand="0" w:evenVBand="0" w:oddHBand="1" w:evenHBand="0" w:firstRowFirstColumn="0" w:firstRowLastColumn="0" w:lastRowFirstColumn="0" w:lastRowLastColumn="0"/>
            </w:pPr>
            <w:r w:rsidRPr="00BE4709">
              <w:rPr>
                <w:sz w:val="18"/>
              </w:rPr>
              <w:t>0.</w:t>
            </w:r>
            <w:r>
              <w:rPr>
                <w:sz w:val="18"/>
              </w:rPr>
              <w:t>22</w:t>
            </w:r>
          </w:p>
        </w:tc>
        <w:tc>
          <w:tcPr>
            <w:tcW w:w="1188" w:type="dxa"/>
          </w:tcPr>
          <w:p w:rsidR="00AD01E5" w:rsidRDefault="00AD01E5" w:rsidP="00C35D71">
            <w:pPr>
              <w:cnfStyle w:val="000000100000" w:firstRow="0" w:lastRow="0" w:firstColumn="0" w:lastColumn="0" w:oddVBand="0" w:evenVBand="0" w:oddHBand="1" w:evenHBand="0" w:firstRowFirstColumn="0" w:firstRowLastColumn="0" w:lastRowFirstColumn="0" w:lastRowLastColumn="0"/>
            </w:pPr>
            <w:r>
              <w:rPr>
                <w:sz w:val="18"/>
              </w:rPr>
              <w:t>0.02</w:t>
            </w:r>
          </w:p>
        </w:tc>
      </w:tr>
      <w:tr w:rsidR="00AD01E5" w:rsidRPr="009D1595" w:rsidTr="00C35D71">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AD01E5" w:rsidRPr="009D1595" w:rsidRDefault="00AD01E5" w:rsidP="00C35D71">
            <w:pPr>
              <w:rPr>
                <w:sz w:val="18"/>
              </w:rPr>
            </w:pPr>
            <w:r w:rsidRPr="009D1595">
              <w:rPr>
                <w:sz w:val="18"/>
              </w:rPr>
              <w:t>Other expenditures</w:t>
            </w:r>
          </w:p>
        </w:tc>
        <w:tc>
          <w:tcPr>
            <w:tcW w:w="1260" w:type="dxa"/>
            <w:shd w:val="clear" w:color="auto" w:fill="ACB9CA" w:themeFill="text2" w:themeFillTint="66"/>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p>
        </w:tc>
        <w:tc>
          <w:tcPr>
            <w:tcW w:w="1260" w:type="dxa"/>
            <w:shd w:val="clear" w:color="auto" w:fill="ACB9CA" w:themeFill="text2" w:themeFillTint="66"/>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p>
        </w:tc>
        <w:tc>
          <w:tcPr>
            <w:tcW w:w="1188" w:type="dxa"/>
            <w:shd w:val="clear" w:color="auto" w:fill="ACB9CA" w:themeFill="text2" w:themeFillTint="66"/>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p>
        </w:tc>
      </w:tr>
      <w:tr w:rsidR="00AD01E5"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AD01E5" w:rsidRPr="009D1595" w:rsidRDefault="00AD01E5" w:rsidP="00C35D71">
            <w:pPr>
              <w:rPr>
                <w:b w:val="0"/>
                <w:sz w:val="18"/>
              </w:rPr>
            </w:pPr>
            <w:r w:rsidRPr="009D1595">
              <w:rPr>
                <w:b w:val="0"/>
                <w:sz w:val="18"/>
              </w:rPr>
              <w:t>Million Lei</w:t>
            </w:r>
          </w:p>
        </w:tc>
        <w:tc>
          <w:tcPr>
            <w:tcW w:w="126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4</w:t>
            </w:r>
          </w:p>
        </w:tc>
        <w:tc>
          <w:tcPr>
            <w:tcW w:w="108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6</w:t>
            </w:r>
          </w:p>
        </w:tc>
        <w:tc>
          <w:tcPr>
            <w:tcW w:w="108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7</w:t>
            </w:r>
          </w:p>
        </w:tc>
        <w:tc>
          <w:tcPr>
            <w:tcW w:w="108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10</w:t>
            </w:r>
          </w:p>
        </w:tc>
        <w:tc>
          <w:tcPr>
            <w:tcW w:w="126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10</w:t>
            </w:r>
          </w:p>
        </w:tc>
        <w:tc>
          <w:tcPr>
            <w:tcW w:w="1188"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10</w:t>
            </w:r>
          </w:p>
        </w:tc>
      </w:tr>
      <w:tr w:rsidR="00AD01E5"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AD01E5" w:rsidRPr="009D1595" w:rsidRDefault="00AD01E5" w:rsidP="00C35D71">
            <w:pPr>
              <w:rPr>
                <w:b w:val="0"/>
                <w:sz w:val="18"/>
              </w:rPr>
            </w:pPr>
            <w:r w:rsidRPr="009D1595">
              <w:rPr>
                <w:b w:val="0"/>
                <w:sz w:val="18"/>
              </w:rPr>
              <w:t>% of G.D.P.</w:t>
            </w:r>
          </w:p>
        </w:tc>
        <w:tc>
          <w:tcPr>
            <w:tcW w:w="1260"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c>
          <w:tcPr>
            <w:tcW w:w="1080" w:type="dxa"/>
          </w:tcPr>
          <w:p w:rsidR="00AD01E5" w:rsidRDefault="00AD01E5" w:rsidP="00C35D71">
            <w:pPr>
              <w:cnfStyle w:val="000000000000" w:firstRow="0" w:lastRow="0" w:firstColumn="0" w:lastColumn="0" w:oddVBand="0" w:evenVBand="0" w:oddHBand="0" w:evenHBand="0" w:firstRowFirstColumn="0" w:firstRowLastColumn="0" w:lastRowFirstColumn="0" w:lastRowLastColumn="0"/>
            </w:pPr>
            <w:r w:rsidRPr="00037965">
              <w:rPr>
                <w:sz w:val="18"/>
              </w:rPr>
              <w:t>0.00</w:t>
            </w:r>
          </w:p>
        </w:tc>
        <w:tc>
          <w:tcPr>
            <w:tcW w:w="1080" w:type="dxa"/>
          </w:tcPr>
          <w:p w:rsidR="00AD01E5" w:rsidRDefault="00AD01E5" w:rsidP="00C35D71">
            <w:pPr>
              <w:cnfStyle w:val="000000000000" w:firstRow="0" w:lastRow="0" w:firstColumn="0" w:lastColumn="0" w:oddVBand="0" w:evenVBand="0" w:oddHBand="0" w:evenHBand="0" w:firstRowFirstColumn="0" w:firstRowLastColumn="0" w:lastRowFirstColumn="0" w:lastRowLastColumn="0"/>
            </w:pPr>
            <w:r w:rsidRPr="00037965">
              <w:rPr>
                <w:sz w:val="18"/>
              </w:rPr>
              <w:t>0.00</w:t>
            </w:r>
          </w:p>
        </w:tc>
        <w:tc>
          <w:tcPr>
            <w:tcW w:w="1080" w:type="dxa"/>
          </w:tcPr>
          <w:p w:rsidR="00AD01E5" w:rsidRDefault="00AD01E5" w:rsidP="00C35D71">
            <w:pPr>
              <w:cnfStyle w:val="000000000000" w:firstRow="0" w:lastRow="0" w:firstColumn="0" w:lastColumn="0" w:oddVBand="0" w:evenVBand="0" w:oddHBand="0" w:evenHBand="0" w:firstRowFirstColumn="0" w:firstRowLastColumn="0" w:lastRowFirstColumn="0" w:lastRowLastColumn="0"/>
            </w:pPr>
            <w:r w:rsidRPr="00037965">
              <w:rPr>
                <w:sz w:val="18"/>
              </w:rPr>
              <w:t>0.00</w:t>
            </w:r>
          </w:p>
        </w:tc>
        <w:tc>
          <w:tcPr>
            <w:tcW w:w="1260" w:type="dxa"/>
          </w:tcPr>
          <w:p w:rsidR="00AD01E5" w:rsidRDefault="00AD01E5" w:rsidP="00C35D71">
            <w:pPr>
              <w:cnfStyle w:val="000000000000" w:firstRow="0" w:lastRow="0" w:firstColumn="0" w:lastColumn="0" w:oddVBand="0" w:evenVBand="0" w:oddHBand="0" w:evenHBand="0" w:firstRowFirstColumn="0" w:firstRowLastColumn="0" w:lastRowFirstColumn="0" w:lastRowLastColumn="0"/>
            </w:pPr>
            <w:r w:rsidRPr="00037965">
              <w:rPr>
                <w:sz w:val="18"/>
              </w:rPr>
              <w:t>0.00</w:t>
            </w:r>
          </w:p>
        </w:tc>
        <w:tc>
          <w:tcPr>
            <w:tcW w:w="1188" w:type="dxa"/>
          </w:tcPr>
          <w:p w:rsidR="00AD01E5" w:rsidRDefault="00AD01E5" w:rsidP="00C35D71">
            <w:pPr>
              <w:cnfStyle w:val="000000000000" w:firstRow="0" w:lastRow="0" w:firstColumn="0" w:lastColumn="0" w:oddVBand="0" w:evenVBand="0" w:oddHBand="0" w:evenHBand="0" w:firstRowFirstColumn="0" w:firstRowLastColumn="0" w:lastRowFirstColumn="0" w:lastRowLastColumn="0"/>
            </w:pPr>
            <w:r w:rsidRPr="00037965">
              <w:rPr>
                <w:sz w:val="18"/>
              </w:rPr>
              <w:t>0.00</w:t>
            </w:r>
          </w:p>
        </w:tc>
      </w:tr>
      <w:tr w:rsidR="00AD01E5" w:rsidRPr="009D1595" w:rsidTr="00F00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AD01E5" w:rsidRPr="009D1595" w:rsidRDefault="00AD01E5" w:rsidP="00C35D71">
            <w:pPr>
              <w:rPr>
                <w:sz w:val="18"/>
              </w:rPr>
            </w:pPr>
            <w:r w:rsidRPr="009D1595">
              <w:rPr>
                <w:sz w:val="18"/>
              </w:rPr>
              <w:t>Expenditures corresponding to programs with reimbursable financing</w:t>
            </w:r>
          </w:p>
        </w:tc>
        <w:tc>
          <w:tcPr>
            <w:tcW w:w="1260" w:type="dxa"/>
            <w:shd w:val="clear" w:color="auto" w:fill="ACB9CA" w:themeFill="text2" w:themeFillTint="66"/>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p>
        </w:tc>
        <w:tc>
          <w:tcPr>
            <w:tcW w:w="1260" w:type="dxa"/>
            <w:shd w:val="clear" w:color="auto" w:fill="ACB9CA" w:themeFill="text2" w:themeFillTint="66"/>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p>
        </w:tc>
        <w:tc>
          <w:tcPr>
            <w:tcW w:w="1188" w:type="dxa"/>
            <w:shd w:val="clear" w:color="auto" w:fill="ACB9CA" w:themeFill="text2" w:themeFillTint="66"/>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p>
        </w:tc>
      </w:tr>
      <w:tr w:rsidR="00AD01E5"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AD01E5" w:rsidRPr="009D1595" w:rsidRDefault="00AD01E5" w:rsidP="00C35D71">
            <w:pPr>
              <w:rPr>
                <w:b w:val="0"/>
                <w:sz w:val="18"/>
              </w:rPr>
            </w:pPr>
            <w:r w:rsidRPr="009D1595">
              <w:rPr>
                <w:b w:val="0"/>
                <w:sz w:val="18"/>
              </w:rPr>
              <w:t>Million Lei</w:t>
            </w:r>
          </w:p>
        </w:tc>
        <w:tc>
          <w:tcPr>
            <w:tcW w:w="1260"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r>
              <w:rPr>
                <w:sz w:val="18"/>
              </w:rPr>
              <w:t>0</w:t>
            </w:r>
          </w:p>
        </w:tc>
        <w:tc>
          <w:tcPr>
            <w:tcW w:w="1080"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r>
              <w:rPr>
                <w:sz w:val="18"/>
              </w:rPr>
              <w:t>2</w:t>
            </w:r>
          </w:p>
        </w:tc>
        <w:tc>
          <w:tcPr>
            <w:tcW w:w="1080"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r>
              <w:rPr>
                <w:sz w:val="18"/>
              </w:rPr>
              <w:t>3</w:t>
            </w:r>
          </w:p>
        </w:tc>
        <w:tc>
          <w:tcPr>
            <w:tcW w:w="1260"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p>
        </w:tc>
        <w:tc>
          <w:tcPr>
            <w:tcW w:w="1188"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p>
        </w:tc>
      </w:tr>
      <w:tr w:rsidR="00AD01E5"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AD01E5" w:rsidRPr="009D1595" w:rsidRDefault="00AD01E5" w:rsidP="00C35D71">
            <w:pPr>
              <w:rPr>
                <w:b w:val="0"/>
                <w:sz w:val="18"/>
              </w:rPr>
            </w:pPr>
            <w:r w:rsidRPr="009D1595">
              <w:rPr>
                <w:b w:val="0"/>
                <w:sz w:val="18"/>
              </w:rPr>
              <w:t>% of G.D.P.</w:t>
            </w:r>
          </w:p>
        </w:tc>
        <w:tc>
          <w:tcPr>
            <w:tcW w:w="126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08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08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08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26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188"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r>
      <w:tr w:rsidR="00AD01E5"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AD01E5" w:rsidRPr="009D1595" w:rsidRDefault="00AD01E5" w:rsidP="00C35D71">
            <w:pPr>
              <w:rPr>
                <w:sz w:val="18"/>
              </w:rPr>
            </w:pPr>
            <w:r w:rsidRPr="009D1595">
              <w:rPr>
                <w:sz w:val="18"/>
              </w:rPr>
              <w:t>Non-financial assets</w:t>
            </w:r>
          </w:p>
        </w:tc>
        <w:tc>
          <w:tcPr>
            <w:tcW w:w="1260"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p>
        </w:tc>
        <w:tc>
          <w:tcPr>
            <w:tcW w:w="1260"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p>
        </w:tc>
        <w:tc>
          <w:tcPr>
            <w:tcW w:w="1188"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p>
        </w:tc>
      </w:tr>
      <w:tr w:rsidR="00AD01E5"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AD01E5" w:rsidRPr="009D1595" w:rsidRDefault="00AD01E5" w:rsidP="00C35D71">
            <w:pPr>
              <w:rPr>
                <w:b w:val="0"/>
                <w:sz w:val="18"/>
              </w:rPr>
            </w:pPr>
            <w:r w:rsidRPr="009D1595">
              <w:rPr>
                <w:b w:val="0"/>
                <w:sz w:val="18"/>
              </w:rPr>
              <w:t>Million Lei</w:t>
            </w:r>
          </w:p>
        </w:tc>
        <w:tc>
          <w:tcPr>
            <w:tcW w:w="126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143</w:t>
            </w:r>
          </w:p>
        </w:tc>
        <w:tc>
          <w:tcPr>
            <w:tcW w:w="108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160</w:t>
            </w:r>
          </w:p>
        </w:tc>
        <w:tc>
          <w:tcPr>
            <w:tcW w:w="108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233</w:t>
            </w:r>
          </w:p>
        </w:tc>
        <w:tc>
          <w:tcPr>
            <w:tcW w:w="108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276</w:t>
            </w:r>
          </w:p>
        </w:tc>
        <w:tc>
          <w:tcPr>
            <w:tcW w:w="126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132</w:t>
            </w:r>
          </w:p>
        </w:tc>
        <w:tc>
          <w:tcPr>
            <w:tcW w:w="1188"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115</w:t>
            </w:r>
          </w:p>
        </w:tc>
      </w:tr>
      <w:tr w:rsidR="00AD01E5"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AD01E5" w:rsidRPr="009D1595" w:rsidRDefault="00AD01E5" w:rsidP="00C35D71">
            <w:pPr>
              <w:rPr>
                <w:b w:val="0"/>
                <w:sz w:val="18"/>
              </w:rPr>
            </w:pPr>
            <w:r w:rsidRPr="009D1595">
              <w:rPr>
                <w:b w:val="0"/>
                <w:sz w:val="18"/>
              </w:rPr>
              <w:t>% of G.D.P.</w:t>
            </w:r>
          </w:p>
        </w:tc>
        <w:tc>
          <w:tcPr>
            <w:tcW w:w="1260"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0.02</w:t>
            </w:r>
          </w:p>
        </w:tc>
        <w:tc>
          <w:tcPr>
            <w:tcW w:w="1080"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0.02</w:t>
            </w:r>
          </w:p>
        </w:tc>
        <w:tc>
          <w:tcPr>
            <w:tcW w:w="1080"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0.02</w:t>
            </w:r>
          </w:p>
        </w:tc>
        <w:tc>
          <w:tcPr>
            <w:tcW w:w="1080"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0.03</w:t>
            </w:r>
          </w:p>
        </w:tc>
        <w:tc>
          <w:tcPr>
            <w:tcW w:w="1260"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0.01</w:t>
            </w:r>
          </w:p>
        </w:tc>
        <w:tc>
          <w:tcPr>
            <w:tcW w:w="1188"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0.01</w:t>
            </w:r>
          </w:p>
        </w:tc>
      </w:tr>
      <w:tr w:rsidR="00AD01E5"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AD01E5" w:rsidRPr="009D1595" w:rsidRDefault="00AD01E5" w:rsidP="00C35D71">
            <w:pPr>
              <w:rPr>
                <w:sz w:val="18"/>
              </w:rPr>
            </w:pPr>
            <w:r w:rsidRPr="009D1595">
              <w:rPr>
                <w:sz w:val="18"/>
              </w:rPr>
              <w:t>Payments made in previous years and recovered in the current year</w:t>
            </w:r>
          </w:p>
        </w:tc>
        <w:tc>
          <w:tcPr>
            <w:tcW w:w="1260" w:type="dxa"/>
            <w:shd w:val="clear" w:color="auto" w:fill="ACB9CA" w:themeFill="text2" w:themeFillTint="66"/>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p>
        </w:tc>
        <w:tc>
          <w:tcPr>
            <w:tcW w:w="1260" w:type="dxa"/>
            <w:shd w:val="clear" w:color="auto" w:fill="ACB9CA" w:themeFill="text2" w:themeFillTint="66"/>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p>
        </w:tc>
        <w:tc>
          <w:tcPr>
            <w:tcW w:w="1188" w:type="dxa"/>
            <w:shd w:val="clear" w:color="auto" w:fill="ACB9CA" w:themeFill="text2" w:themeFillTint="66"/>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p>
        </w:tc>
      </w:tr>
      <w:tr w:rsidR="00AD01E5"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AD01E5" w:rsidRPr="009D1595" w:rsidRDefault="00AD01E5" w:rsidP="00C35D71">
            <w:pPr>
              <w:rPr>
                <w:b w:val="0"/>
                <w:sz w:val="18"/>
              </w:rPr>
            </w:pPr>
            <w:r w:rsidRPr="009D1595">
              <w:rPr>
                <w:b w:val="0"/>
                <w:sz w:val="18"/>
              </w:rPr>
              <w:t>Million Lei</w:t>
            </w:r>
          </w:p>
        </w:tc>
        <w:tc>
          <w:tcPr>
            <w:tcW w:w="1260"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r>
              <w:rPr>
                <w:sz w:val="18"/>
              </w:rPr>
              <w:t>-10</w:t>
            </w:r>
          </w:p>
        </w:tc>
        <w:tc>
          <w:tcPr>
            <w:tcW w:w="1080"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r>
              <w:rPr>
                <w:sz w:val="18"/>
              </w:rPr>
              <w:t>-10</w:t>
            </w:r>
          </w:p>
        </w:tc>
        <w:tc>
          <w:tcPr>
            <w:tcW w:w="1080"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p>
        </w:tc>
        <w:tc>
          <w:tcPr>
            <w:tcW w:w="1260"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p>
        </w:tc>
        <w:tc>
          <w:tcPr>
            <w:tcW w:w="1188" w:type="dxa"/>
          </w:tcPr>
          <w:p w:rsidR="00AD01E5" w:rsidRPr="009D1595" w:rsidRDefault="00AD01E5" w:rsidP="00C35D71">
            <w:pPr>
              <w:cnfStyle w:val="000000000000" w:firstRow="0" w:lastRow="0" w:firstColumn="0" w:lastColumn="0" w:oddVBand="0" w:evenVBand="0" w:oddHBand="0" w:evenHBand="0" w:firstRowFirstColumn="0" w:firstRowLastColumn="0" w:lastRowFirstColumn="0" w:lastRowLastColumn="0"/>
              <w:rPr>
                <w:sz w:val="18"/>
              </w:rPr>
            </w:pPr>
          </w:p>
        </w:tc>
      </w:tr>
      <w:tr w:rsidR="00AD01E5"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AD01E5" w:rsidRPr="009D1595" w:rsidRDefault="00AD01E5" w:rsidP="00C35D71">
            <w:pPr>
              <w:rPr>
                <w:b w:val="0"/>
                <w:sz w:val="18"/>
              </w:rPr>
            </w:pPr>
            <w:r w:rsidRPr="009D1595">
              <w:rPr>
                <w:b w:val="0"/>
                <w:sz w:val="18"/>
              </w:rPr>
              <w:t>% of G.D.P.</w:t>
            </w:r>
          </w:p>
        </w:tc>
        <w:tc>
          <w:tcPr>
            <w:tcW w:w="126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08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08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08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260"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188" w:type="dxa"/>
          </w:tcPr>
          <w:p w:rsidR="00AD01E5" w:rsidRPr="009D1595" w:rsidRDefault="00AD01E5"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r>
    </w:tbl>
    <w:p w:rsidR="00AD01E5" w:rsidRPr="00C21188" w:rsidRDefault="00AD01E5" w:rsidP="00C21188"/>
    <w:p w:rsidR="00C21188" w:rsidRPr="00C21188" w:rsidRDefault="00C21188" w:rsidP="00C21188"/>
    <w:p w:rsidR="00C21188" w:rsidRPr="00C21188" w:rsidRDefault="00C21188" w:rsidP="00C21188"/>
    <w:p w:rsidR="00C21188" w:rsidRPr="00C21188" w:rsidRDefault="00C21188" w:rsidP="00C21188"/>
    <w:p w:rsidR="00C21188" w:rsidRPr="00C21188" w:rsidRDefault="00C21188" w:rsidP="00C21188"/>
    <w:p w:rsidR="001B2458" w:rsidRDefault="001B2458" w:rsidP="00CC05F6">
      <w:r>
        <w:br w:type="page"/>
      </w:r>
      <w:bookmarkStart w:id="29" w:name="_GoBack"/>
      <w:bookmarkEnd w:id="29"/>
      <w:r>
        <w:t xml:space="preserve">- Million Lei- </w:t>
      </w:r>
    </w:p>
    <w:tbl>
      <w:tblPr>
        <w:tblStyle w:val="LightList"/>
        <w:tblW w:w="0" w:type="auto"/>
        <w:tblLook w:val="04A0" w:firstRow="1" w:lastRow="0" w:firstColumn="1" w:lastColumn="0" w:noHBand="0" w:noVBand="1"/>
      </w:tblPr>
      <w:tblGrid>
        <w:gridCol w:w="2628"/>
        <w:gridCol w:w="1260"/>
        <w:gridCol w:w="1080"/>
        <w:gridCol w:w="1080"/>
        <w:gridCol w:w="1080"/>
        <w:gridCol w:w="1260"/>
        <w:gridCol w:w="1188"/>
      </w:tblGrid>
      <w:tr w:rsidR="001B2458" w:rsidRPr="009D1595" w:rsidTr="00C35D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7"/>
            <w:shd w:val="clear" w:color="auto" w:fill="auto"/>
          </w:tcPr>
          <w:p w:rsidR="001B2458" w:rsidRDefault="001B2458" w:rsidP="00C35D71">
            <w:pPr>
              <w:jc w:val="center"/>
              <w:rPr>
                <w:color w:val="auto"/>
                <w:sz w:val="20"/>
              </w:rPr>
            </w:pPr>
            <w:r w:rsidRPr="009D1595">
              <w:rPr>
                <w:color w:val="auto"/>
                <w:sz w:val="20"/>
              </w:rPr>
              <w:t>Annex</w:t>
            </w:r>
            <w:r>
              <w:rPr>
                <w:color w:val="auto"/>
                <w:sz w:val="20"/>
              </w:rPr>
              <w:t xml:space="preserve"> 6</w:t>
            </w:r>
            <w:r w:rsidRPr="009D1595">
              <w:rPr>
                <w:color w:val="auto"/>
                <w:sz w:val="20"/>
              </w:rPr>
              <w:t xml:space="preserve"> - Expenditures of the Ministry of </w:t>
            </w:r>
            <w:r>
              <w:rPr>
                <w:color w:val="auto"/>
                <w:sz w:val="20"/>
              </w:rPr>
              <w:t>Transport</w:t>
            </w:r>
            <w:r w:rsidRPr="009D1595">
              <w:rPr>
                <w:color w:val="auto"/>
                <w:sz w:val="20"/>
              </w:rPr>
              <w:t xml:space="preserve"> from the State budget </w:t>
            </w:r>
          </w:p>
          <w:p w:rsidR="001B2458" w:rsidRPr="009D1595" w:rsidRDefault="001B2458" w:rsidP="00C35D71">
            <w:pPr>
              <w:jc w:val="center"/>
              <w:rPr>
                <w:color w:val="auto"/>
                <w:sz w:val="20"/>
              </w:rPr>
            </w:pPr>
            <w:r w:rsidRPr="009D1595">
              <w:rPr>
                <w:color w:val="auto"/>
                <w:sz w:val="20"/>
              </w:rPr>
              <w:t>between 2016 and 2021</w:t>
            </w:r>
          </w:p>
          <w:p w:rsidR="001B2458" w:rsidRPr="009D1595" w:rsidRDefault="001B2458" w:rsidP="00C35D71">
            <w:pPr>
              <w:rPr>
                <w:color w:val="auto"/>
                <w:sz w:val="18"/>
              </w:rPr>
            </w:pPr>
          </w:p>
        </w:tc>
      </w:tr>
      <w:tr w:rsidR="001B2458"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1B2458" w:rsidRPr="009D1595" w:rsidRDefault="001B2458" w:rsidP="00C35D71">
            <w:pPr>
              <w:rPr>
                <w:sz w:val="18"/>
              </w:rPr>
            </w:pPr>
          </w:p>
        </w:tc>
        <w:tc>
          <w:tcPr>
            <w:tcW w:w="126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sidRPr="009D1595">
              <w:rPr>
                <w:sz w:val="18"/>
              </w:rPr>
              <w:t>2016</w:t>
            </w:r>
          </w:p>
        </w:tc>
        <w:tc>
          <w:tcPr>
            <w:tcW w:w="108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sidRPr="009D1595">
              <w:rPr>
                <w:sz w:val="18"/>
              </w:rPr>
              <w:t>2017</w:t>
            </w:r>
          </w:p>
        </w:tc>
        <w:tc>
          <w:tcPr>
            <w:tcW w:w="108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sidRPr="009D1595">
              <w:rPr>
                <w:sz w:val="18"/>
              </w:rPr>
              <w:t>2018</w:t>
            </w:r>
          </w:p>
        </w:tc>
        <w:tc>
          <w:tcPr>
            <w:tcW w:w="108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sidRPr="009D1595">
              <w:rPr>
                <w:sz w:val="18"/>
              </w:rPr>
              <w:t>2019</w:t>
            </w:r>
          </w:p>
        </w:tc>
        <w:tc>
          <w:tcPr>
            <w:tcW w:w="126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sidRPr="009D1595">
              <w:rPr>
                <w:sz w:val="18"/>
              </w:rPr>
              <w:t>2020</w:t>
            </w:r>
          </w:p>
        </w:tc>
        <w:tc>
          <w:tcPr>
            <w:tcW w:w="1188"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sidRPr="009D1595">
              <w:rPr>
                <w:sz w:val="18"/>
              </w:rPr>
              <w:t>2021</w:t>
            </w:r>
          </w:p>
        </w:tc>
      </w:tr>
      <w:tr w:rsidR="001B2458" w:rsidRPr="009D1595" w:rsidTr="00C35D71">
        <w:tc>
          <w:tcPr>
            <w:cnfStyle w:val="001000000000" w:firstRow="0" w:lastRow="0" w:firstColumn="1" w:lastColumn="0" w:oddVBand="0" w:evenVBand="0" w:oddHBand="0" w:evenHBand="0" w:firstRowFirstColumn="0" w:firstRowLastColumn="0" w:lastRowFirstColumn="0" w:lastRowLastColumn="0"/>
            <w:tcW w:w="9576" w:type="dxa"/>
            <w:gridSpan w:val="7"/>
            <w:shd w:val="clear" w:color="auto" w:fill="ACB9CA" w:themeFill="text2" w:themeFillTint="66"/>
          </w:tcPr>
          <w:p w:rsidR="001B2458" w:rsidRPr="009D1595" w:rsidRDefault="001B2458" w:rsidP="00C35D71">
            <w:pPr>
              <w:rPr>
                <w:sz w:val="18"/>
              </w:rPr>
            </w:pPr>
            <w:r w:rsidRPr="009D1595">
              <w:rPr>
                <w:sz w:val="18"/>
              </w:rPr>
              <w:t xml:space="preserve">TOTAL EXPENDITURES </w:t>
            </w:r>
          </w:p>
        </w:tc>
      </w:tr>
      <w:tr w:rsidR="001B2458"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1B2458" w:rsidRPr="009D1595" w:rsidRDefault="001B2458" w:rsidP="00C35D71">
            <w:pPr>
              <w:rPr>
                <w:b w:val="0"/>
                <w:sz w:val="18"/>
              </w:rPr>
            </w:pPr>
            <w:r w:rsidRPr="009D1595">
              <w:rPr>
                <w:b w:val="0"/>
                <w:sz w:val="18"/>
              </w:rPr>
              <w:t>Million Lei</w:t>
            </w:r>
          </w:p>
        </w:tc>
        <w:tc>
          <w:tcPr>
            <w:tcW w:w="126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8,575</w:t>
            </w:r>
          </w:p>
        </w:tc>
        <w:tc>
          <w:tcPr>
            <w:tcW w:w="108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8,198</w:t>
            </w:r>
          </w:p>
        </w:tc>
        <w:tc>
          <w:tcPr>
            <w:tcW w:w="108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7,526</w:t>
            </w:r>
          </w:p>
        </w:tc>
        <w:tc>
          <w:tcPr>
            <w:tcW w:w="108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13,112</w:t>
            </w:r>
          </w:p>
        </w:tc>
        <w:tc>
          <w:tcPr>
            <w:tcW w:w="126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10,194</w:t>
            </w:r>
          </w:p>
        </w:tc>
        <w:tc>
          <w:tcPr>
            <w:tcW w:w="1188"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10,725</w:t>
            </w:r>
          </w:p>
        </w:tc>
      </w:tr>
      <w:tr w:rsidR="001B2458"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1B2458" w:rsidRPr="009D1595" w:rsidRDefault="001B2458" w:rsidP="00C35D71">
            <w:pPr>
              <w:rPr>
                <w:b w:val="0"/>
                <w:sz w:val="18"/>
              </w:rPr>
            </w:pPr>
            <w:r w:rsidRPr="009D1595">
              <w:rPr>
                <w:b w:val="0"/>
                <w:sz w:val="18"/>
              </w:rPr>
              <w:t>% of G.D.P.</w:t>
            </w:r>
          </w:p>
        </w:tc>
        <w:tc>
          <w:tcPr>
            <w:tcW w:w="126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1.13</w:t>
            </w:r>
          </w:p>
        </w:tc>
        <w:tc>
          <w:tcPr>
            <w:tcW w:w="108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0.97</w:t>
            </w:r>
          </w:p>
        </w:tc>
        <w:tc>
          <w:tcPr>
            <w:tcW w:w="108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0.80</w:t>
            </w:r>
          </w:p>
        </w:tc>
        <w:tc>
          <w:tcPr>
            <w:tcW w:w="108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1.34</w:t>
            </w:r>
          </w:p>
        </w:tc>
        <w:tc>
          <w:tcPr>
            <w:tcW w:w="126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0.97</w:t>
            </w:r>
          </w:p>
        </w:tc>
        <w:tc>
          <w:tcPr>
            <w:tcW w:w="1188"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0.95</w:t>
            </w:r>
          </w:p>
        </w:tc>
      </w:tr>
      <w:tr w:rsidR="001B2458"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1B2458" w:rsidRPr="009D1595" w:rsidRDefault="001B2458" w:rsidP="00C35D71">
            <w:pPr>
              <w:rPr>
                <w:sz w:val="18"/>
              </w:rPr>
            </w:pPr>
            <w:r w:rsidRPr="009D1595">
              <w:rPr>
                <w:sz w:val="18"/>
              </w:rPr>
              <w:t>Personnel expenditures</w:t>
            </w:r>
          </w:p>
        </w:tc>
        <w:tc>
          <w:tcPr>
            <w:tcW w:w="1260" w:type="dxa"/>
            <w:shd w:val="clear" w:color="auto" w:fill="ACB9CA" w:themeFill="text2" w:themeFillTint="66"/>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p>
        </w:tc>
        <w:tc>
          <w:tcPr>
            <w:tcW w:w="1260" w:type="dxa"/>
            <w:shd w:val="clear" w:color="auto" w:fill="ACB9CA" w:themeFill="text2" w:themeFillTint="66"/>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p>
        </w:tc>
        <w:tc>
          <w:tcPr>
            <w:tcW w:w="1188" w:type="dxa"/>
            <w:shd w:val="clear" w:color="auto" w:fill="ACB9CA" w:themeFill="text2" w:themeFillTint="66"/>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p>
        </w:tc>
      </w:tr>
      <w:tr w:rsidR="001B2458"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1B2458" w:rsidRPr="009D1595" w:rsidRDefault="001B2458" w:rsidP="00C35D71">
            <w:pPr>
              <w:rPr>
                <w:b w:val="0"/>
                <w:sz w:val="18"/>
              </w:rPr>
            </w:pPr>
            <w:r w:rsidRPr="009D1595">
              <w:rPr>
                <w:b w:val="0"/>
                <w:sz w:val="18"/>
              </w:rPr>
              <w:t>Million Lei</w:t>
            </w:r>
          </w:p>
        </w:tc>
        <w:tc>
          <w:tcPr>
            <w:tcW w:w="126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23</w:t>
            </w:r>
          </w:p>
        </w:tc>
        <w:tc>
          <w:tcPr>
            <w:tcW w:w="108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37</w:t>
            </w:r>
          </w:p>
        </w:tc>
        <w:tc>
          <w:tcPr>
            <w:tcW w:w="108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38</w:t>
            </w:r>
          </w:p>
        </w:tc>
        <w:tc>
          <w:tcPr>
            <w:tcW w:w="108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42</w:t>
            </w:r>
          </w:p>
        </w:tc>
        <w:tc>
          <w:tcPr>
            <w:tcW w:w="126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52</w:t>
            </w:r>
          </w:p>
        </w:tc>
        <w:tc>
          <w:tcPr>
            <w:tcW w:w="1188"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55</w:t>
            </w:r>
          </w:p>
        </w:tc>
      </w:tr>
      <w:tr w:rsidR="001B2458"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1B2458" w:rsidRPr="009D1595" w:rsidRDefault="001B2458" w:rsidP="00C35D71">
            <w:pPr>
              <w:rPr>
                <w:b w:val="0"/>
                <w:sz w:val="18"/>
              </w:rPr>
            </w:pPr>
            <w:r w:rsidRPr="009D1595">
              <w:rPr>
                <w:b w:val="0"/>
                <w:sz w:val="18"/>
              </w:rPr>
              <w:t>% of G.D.P.</w:t>
            </w:r>
          </w:p>
        </w:tc>
        <w:tc>
          <w:tcPr>
            <w:tcW w:w="126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08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08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08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26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188"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r>
      <w:tr w:rsidR="001B2458" w:rsidRPr="009D1595" w:rsidTr="00C35D71">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1B2458" w:rsidRPr="009D1595" w:rsidRDefault="001B2458" w:rsidP="00C35D71">
            <w:pPr>
              <w:rPr>
                <w:sz w:val="18"/>
              </w:rPr>
            </w:pPr>
            <w:r w:rsidRPr="009D1595">
              <w:rPr>
                <w:sz w:val="18"/>
              </w:rPr>
              <w:t>Goods and services</w:t>
            </w:r>
          </w:p>
        </w:tc>
        <w:tc>
          <w:tcPr>
            <w:tcW w:w="1260" w:type="dxa"/>
            <w:shd w:val="clear" w:color="auto" w:fill="ACB9CA" w:themeFill="text2" w:themeFillTint="66"/>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p>
        </w:tc>
        <w:tc>
          <w:tcPr>
            <w:tcW w:w="1260" w:type="dxa"/>
            <w:shd w:val="clear" w:color="auto" w:fill="ACB9CA" w:themeFill="text2" w:themeFillTint="66"/>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p>
        </w:tc>
        <w:tc>
          <w:tcPr>
            <w:tcW w:w="1188" w:type="dxa"/>
            <w:shd w:val="clear" w:color="auto" w:fill="ACB9CA" w:themeFill="text2" w:themeFillTint="66"/>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p>
        </w:tc>
      </w:tr>
      <w:tr w:rsidR="001B2458"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1B2458" w:rsidRPr="009D1595" w:rsidRDefault="001B2458" w:rsidP="00C35D71">
            <w:pPr>
              <w:rPr>
                <w:b w:val="0"/>
                <w:sz w:val="18"/>
              </w:rPr>
            </w:pPr>
            <w:r w:rsidRPr="009D1595">
              <w:rPr>
                <w:b w:val="0"/>
                <w:sz w:val="18"/>
              </w:rPr>
              <w:t>Million Lei</w:t>
            </w:r>
          </w:p>
        </w:tc>
        <w:tc>
          <w:tcPr>
            <w:tcW w:w="126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9</w:t>
            </w:r>
          </w:p>
        </w:tc>
        <w:tc>
          <w:tcPr>
            <w:tcW w:w="108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7</w:t>
            </w:r>
          </w:p>
        </w:tc>
        <w:tc>
          <w:tcPr>
            <w:tcW w:w="108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8</w:t>
            </w:r>
          </w:p>
        </w:tc>
        <w:tc>
          <w:tcPr>
            <w:tcW w:w="108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11</w:t>
            </w:r>
          </w:p>
        </w:tc>
        <w:tc>
          <w:tcPr>
            <w:tcW w:w="126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8</w:t>
            </w:r>
          </w:p>
        </w:tc>
        <w:tc>
          <w:tcPr>
            <w:tcW w:w="1188"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9</w:t>
            </w:r>
          </w:p>
        </w:tc>
      </w:tr>
      <w:tr w:rsidR="001B2458"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1B2458" w:rsidRPr="009D1595" w:rsidRDefault="001B2458" w:rsidP="00C35D71">
            <w:pPr>
              <w:rPr>
                <w:b w:val="0"/>
                <w:sz w:val="18"/>
              </w:rPr>
            </w:pPr>
            <w:r w:rsidRPr="009D1595">
              <w:rPr>
                <w:b w:val="0"/>
                <w:sz w:val="18"/>
              </w:rPr>
              <w:t>% of G.D.P.</w:t>
            </w:r>
          </w:p>
        </w:tc>
        <w:tc>
          <w:tcPr>
            <w:tcW w:w="126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c>
          <w:tcPr>
            <w:tcW w:w="108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c>
          <w:tcPr>
            <w:tcW w:w="108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c>
          <w:tcPr>
            <w:tcW w:w="108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c>
          <w:tcPr>
            <w:tcW w:w="126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c>
          <w:tcPr>
            <w:tcW w:w="1188"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r>
      <w:tr w:rsidR="001B2458"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1B2458" w:rsidRPr="009D1595" w:rsidRDefault="001B2458" w:rsidP="00C35D71">
            <w:pPr>
              <w:rPr>
                <w:sz w:val="18"/>
              </w:rPr>
            </w:pPr>
            <w:r w:rsidRPr="009D1595">
              <w:rPr>
                <w:sz w:val="18"/>
              </w:rPr>
              <w:t xml:space="preserve">Interests </w:t>
            </w:r>
          </w:p>
        </w:tc>
        <w:tc>
          <w:tcPr>
            <w:tcW w:w="1260" w:type="dxa"/>
            <w:shd w:val="clear" w:color="auto" w:fill="ACB9CA" w:themeFill="text2" w:themeFillTint="66"/>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p>
        </w:tc>
        <w:tc>
          <w:tcPr>
            <w:tcW w:w="1260" w:type="dxa"/>
            <w:shd w:val="clear" w:color="auto" w:fill="ACB9CA" w:themeFill="text2" w:themeFillTint="66"/>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p>
        </w:tc>
        <w:tc>
          <w:tcPr>
            <w:tcW w:w="1188" w:type="dxa"/>
            <w:shd w:val="clear" w:color="auto" w:fill="ACB9CA" w:themeFill="text2" w:themeFillTint="66"/>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p>
        </w:tc>
      </w:tr>
      <w:tr w:rsidR="001B2458"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1B2458" w:rsidRPr="009D1595" w:rsidRDefault="001B2458" w:rsidP="00C35D71">
            <w:pPr>
              <w:rPr>
                <w:b w:val="0"/>
                <w:sz w:val="18"/>
              </w:rPr>
            </w:pPr>
            <w:r w:rsidRPr="009D1595">
              <w:rPr>
                <w:b w:val="0"/>
                <w:sz w:val="18"/>
              </w:rPr>
              <w:t>Million Lei</w:t>
            </w:r>
          </w:p>
        </w:tc>
        <w:tc>
          <w:tcPr>
            <w:tcW w:w="126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48</w:t>
            </w:r>
          </w:p>
        </w:tc>
        <w:tc>
          <w:tcPr>
            <w:tcW w:w="108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44</w:t>
            </w:r>
          </w:p>
        </w:tc>
        <w:tc>
          <w:tcPr>
            <w:tcW w:w="108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40</w:t>
            </w:r>
          </w:p>
        </w:tc>
        <w:tc>
          <w:tcPr>
            <w:tcW w:w="108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37</w:t>
            </w:r>
          </w:p>
        </w:tc>
        <w:tc>
          <w:tcPr>
            <w:tcW w:w="126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47</w:t>
            </w:r>
          </w:p>
        </w:tc>
        <w:tc>
          <w:tcPr>
            <w:tcW w:w="1188"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47</w:t>
            </w:r>
          </w:p>
        </w:tc>
      </w:tr>
      <w:tr w:rsidR="001B2458"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1B2458" w:rsidRPr="009D1595" w:rsidRDefault="001B2458" w:rsidP="00C35D71">
            <w:pPr>
              <w:rPr>
                <w:b w:val="0"/>
                <w:sz w:val="18"/>
              </w:rPr>
            </w:pPr>
            <w:r w:rsidRPr="009D1595">
              <w:rPr>
                <w:b w:val="0"/>
                <w:sz w:val="18"/>
              </w:rPr>
              <w:t>% of G.D.P.</w:t>
            </w:r>
          </w:p>
        </w:tc>
        <w:tc>
          <w:tcPr>
            <w:tcW w:w="126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0.01</w:t>
            </w:r>
          </w:p>
        </w:tc>
        <w:tc>
          <w:tcPr>
            <w:tcW w:w="108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0.01</w:t>
            </w:r>
          </w:p>
        </w:tc>
        <w:tc>
          <w:tcPr>
            <w:tcW w:w="108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08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26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188"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r>
      <w:tr w:rsidR="001B2458" w:rsidRPr="009D1595" w:rsidTr="00C35D71">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1B2458" w:rsidRPr="009D1595" w:rsidRDefault="001B2458" w:rsidP="00C35D71">
            <w:pPr>
              <w:rPr>
                <w:sz w:val="18"/>
              </w:rPr>
            </w:pPr>
            <w:r w:rsidRPr="009D1595">
              <w:rPr>
                <w:sz w:val="18"/>
              </w:rPr>
              <w:t>Subsidies</w:t>
            </w:r>
          </w:p>
        </w:tc>
        <w:tc>
          <w:tcPr>
            <w:tcW w:w="1260" w:type="dxa"/>
            <w:shd w:val="clear" w:color="auto" w:fill="ACB9CA" w:themeFill="text2" w:themeFillTint="66"/>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p>
        </w:tc>
        <w:tc>
          <w:tcPr>
            <w:tcW w:w="1260" w:type="dxa"/>
            <w:shd w:val="clear" w:color="auto" w:fill="ACB9CA" w:themeFill="text2" w:themeFillTint="66"/>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p>
        </w:tc>
        <w:tc>
          <w:tcPr>
            <w:tcW w:w="1188" w:type="dxa"/>
            <w:shd w:val="clear" w:color="auto" w:fill="ACB9CA" w:themeFill="text2" w:themeFillTint="66"/>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p>
        </w:tc>
      </w:tr>
      <w:tr w:rsidR="001B2458"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1B2458" w:rsidRPr="009D1595" w:rsidRDefault="001B2458" w:rsidP="00C35D71">
            <w:pPr>
              <w:rPr>
                <w:b w:val="0"/>
                <w:sz w:val="18"/>
              </w:rPr>
            </w:pPr>
            <w:r w:rsidRPr="009D1595">
              <w:rPr>
                <w:b w:val="0"/>
                <w:sz w:val="18"/>
              </w:rPr>
              <w:t>Million Lei</w:t>
            </w:r>
          </w:p>
        </w:tc>
        <w:tc>
          <w:tcPr>
            <w:tcW w:w="126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1,706</w:t>
            </w:r>
          </w:p>
        </w:tc>
        <w:tc>
          <w:tcPr>
            <w:tcW w:w="108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1,669</w:t>
            </w:r>
          </w:p>
        </w:tc>
        <w:tc>
          <w:tcPr>
            <w:tcW w:w="108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1,831</w:t>
            </w:r>
          </w:p>
        </w:tc>
        <w:tc>
          <w:tcPr>
            <w:tcW w:w="108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1,930</w:t>
            </w:r>
          </w:p>
        </w:tc>
        <w:tc>
          <w:tcPr>
            <w:tcW w:w="126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1,940</w:t>
            </w:r>
          </w:p>
        </w:tc>
        <w:tc>
          <w:tcPr>
            <w:tcW w:w="1188"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1,940</w:t>
            </w:r>
          </w:p>
        </w:tc>
      </w:tr>
      <w:tr w:rsidR="001B2458"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1B2458" w:rsidRPr="009D1595" w:rsidRDefault="001B2458" w:rsidP="00C35D71">
            <w:pPr>
              <w:rPr>
                <w:b w:val="0"/>
                <w:sz w:val="18"/>
              </w:rPr>
            </w:pPr>
            <w:r w:rsidRPr="009D1595">
              <w:rPr>
                <w:b w:val="0"/>
                <w:sz w:val="18"/>
              </w:rPr>
              <w:t>% of G.D.P.</w:t>
            </w:r>
          </w:p>
        </w:tc>
        <w:tc>
          <w:tcPr>
            <w:tcW w:w="126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c>
          <w:tcPr>
            <w:tcW w:w="108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0.20</w:t>
            </w:r>
          </w:p>
        </w:tc>
        <w:tc>
          <w:tcPr>
            <w:tcW w:w="108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0.19</w:t>
            </w:r>
          </w:p>
        </w:tc>
        <w:tc>
          <w:tcPr>
            <w:tcW w:w="108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0.20</w:t>
            </w:r>
          </w:p>
        </w:tc>
        <w:tc>
          <w:tcPr>
            <w:tcW w:w="126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0.18</w:t>
            </w:r>
          </w:p>
        </w:tc>
        <w:tc>
          <w:tcPr>
            <w:tcW w:w="1188"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0.17</w:t>
            </w:r>
          </w:p>
        </w:tc>
      </w:tr>
      <w:tr w:rsidR="001B2458"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1B2458" w:rsidRPr="009D1595" w:rsidRDefault="001B2458" w:rsidP="00C35D71">
            <w:pPr>
              <w:rPr>
                <w:sz w:val="18"/>
              </w:rPr>
            </w:pPr>
            <w:r w:rsidRPr="009D1595">
              <w:rPr>
                <w:sz w:val="18"/>
              </w:rPr>
              <w:t>Transfers between public administration units</w:t>
            </w:r>
          </w:p>
        </w:tc>
        <w:tc>
          <w:tcPr>
            <w:tcW w:w="1260" w:type="dxa"/>
            <w:shd w:val="clear" w:color="auto" w:fill="ACB9CA" w:themeFill="text2" w:themeFillTint="66"/>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p>
        </w:tc>
        <w:tc>
          <w:tcPr>
            <w:tcW w:w="1260" w:type="dxa"/>
            <w:shd w:val="clear" w:color="auto" w:fill="ACB9CA" w:themeFill="text2" w:themeFillTint="66"/>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p>
        </w:tc>
        <w:tc>
          <w:tcPr>
            <w:tcW w:w="1188" w:type="dxa"/>
            <w:shd w:val="clear" w:color="auto" w:fill="ACB9CA" w:themeFill="text2" w:themeFillTint="66"/>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p>
        </w:tc>
      </w:tr>
      <w:tr w:rsidR="001B2458"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1B2458" w:rsidRPr="009D1595" w:rsidRDefault="001B2458" w:rsidP="00C35D71">
            <w:pPr>
              <w:rPr>
                <w:b w:val="0"/>
                <w:sz w:val="18"/>
              </w:rPr>
            </w:pPr>
            <w:r w:rsidRPr="009D1595">
              <w:rPr>
                <w:b w:val="0"/>
                <w:sz w:val="18"/>
              </w:rPr>
              <w:t>Million Lei</w:t>
            </w:r>
          </w:p>
        </w:tc>
        <w:tc>
          <w:tcPr>
            <w:tcW w:w="126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1,761</w:t>
            </w:r>
          </w:p>
        </w:tc>
        <w:tc>
          <w:tcPr>
            <w:tcW w:w="108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1,348</w:t>
            </w:r>
          </w:p>
        </w:tc>
        <w:tc>
          <w:tcPr>
            <w:tcW w:w="108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1,386</w:t>
            </w:r>
          </w:p>
        </w:tc>
        <w:tc>
          <w:tcPr>
            <w:tcW w:w="108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2,449</w:t>
            </w:r>
          </w:p>
        </w:tc>
        <w:tc>
          <w:tcPr>
            <w:tcW w:w="126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1,890</w:t>
            </w:r>
          </w:p>
        </w:tc>
        <w:tc>
          <w:tcPr>
            <w:tcW w:w="1188"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1,890</w:t>
            </w:r>
          </w:p>
        </w:tc>
      </w:tr>
      <w:tr w:rsidR="001B2458"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1B2458" w:rsidRPr="009D1595" w:rsidRDefault="001B2458" w:rsidP="00C35D71">
            <w:pPr>
              <w:rPr>
                <w:b w:val="0"/>
                <w:sz w:val="18"/>
              </w:rPr>
            </w:pPr>
            <w:r w:rsidRPr="009D1595">
              <w:rPr>
                <w:b w:val="0"/>
                <w:sz w:val="18"/>
              </w:rPr>
              <w:t>% of G.D.P.</w:t>
            </w:r>
          </w:p>
        </w:tc>
        <w:tc>
          <w:tcPr>
            <w:tcW w:w="126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0.23</w:t>
            </w:r>
          </w:p>
        </w:tc>
        <w:tc>
          <w:tcPr>
            <w:tcW w:w="108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0.16</w:t>
            </w:r>
          </w:p>
        </w:tc>
        <w:tc>
          <w:tcPr>
            <w:tcW w:w="108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0.15</w:t>
            </w:r>
          </w:p>
        </w:tc>
        <w:tc>
          <w:tcPr>
            <w:tcW w:w="108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0.25</w:t>
            </w:r>
          </w:p>
        </w:tc>
        <w:tc>
          <w:tcPr>
            <w:tcW w:w="126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0.18</w:t>
            </w:r>
          </w:p>
        </w:tc>
        <w:tc>
          <w:tcPr>
            <w:tcW w:w="1188"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0.17</w:t>
            </w:r>
          </w:p>
        </w:tc>
      </w:tr>
      <w:tr w:rsidR="001B2458" w:rsidRPr="009D1595" w:rsidTr="00C35D71">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1B2458" w:rsidRPr="009D1595" w:rsidRDefault="001B2458" w:rsidP="00C35D71">
            <w:pPr>
              <w:rPr>
                <w:sz w:val="18"/>
              </w:rPr>
            </w:pPr>
            <w:r w:rsidRPr="009D1595">
              <w:rPr>
                <w:sz w:val="18"/>
              </w:rPr>
              <w:t>Other transfers</w:t>
            </w:r>
          </w:p>
        </w:tc>
        <w:tc>
          <w:tcPr>
            <w:tcW w:w="1260" w:type="dxa"/>
            <w:shd w:val="clear" w:color="auto" w:fill="ACB9CA" w:themeFill="text2" w:themeFillTint="66"/>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p>
        </w:tc>
        <w:tc>
          <w:tcPr>
            <w:tcW w:w="1260" w:type="dxa"/>
            <w:shd w:val="clear" w:color="auto" w:fill="ACB9CA" w:themeFill="text2" w:themeFillTint="66"/>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p>
        </w:tc>
        <w:tc>
          <w:tcPr>
            <w:tcW w:w="1188" w:type="dxa"/>
            <w:shd w:val="clear" w:color="auto" w:fill="ACB9CA" w:themeFill="text2" w:themeFillTint="66"/>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p>
        </w:tc>
      </w:tr>
      <w:tr w:rsidR="001B2458"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1B2458" w:rsidRPr="009D1595" w:rsidRDefault="001B2458" w:rsidP="00C35D71">
            <w:pPr>
              <w:rPr>
                <w:b w:val="0"/>
                <w:sz w:val="18"/>
              </w:rPr>
            </w:pPr>
            <w:r w:rsidRPr="009D1595">
              <w:rPr>
                <w:b w:val="0"/>
                <w:sz w:val="18"/>
              </w:rPr>
              <w:t>Million Lei</w:t>
            </w:r>
          </w:p>
        </w:tc>
        <w:tc>
          <w:tcPr>
            <w:tcW w:w="126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827</w:t>
            </w:r>
          </w:p>
        </w:tc>
        <w:tc>
          <w:tcPr>
            <w:tcW w:w="108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410</w:t>
            </w:r>
          </w:p>
        </w:tc>
        <w:tc>
          <w:tcPr>
            <w:tcW w:w="108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672</w:t>
            </w:r>
          </w:p>
        </w:tc>
        <w:tc>
          <w:tcPr>
            <w:tcW w:w="108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1,417</w:t>
            </w:r>
          </w:p>
        </w:tc>
        <w:tc>
          <w:tcPr>
            <w:tcW w:w="126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876</w:t>
            </w:r>
          </w:p>
        </w:tc>
        <w:tc>
          <w:tcPr>
            <w:tcW w:w="1188"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887</w:t>
            </w:r>
          </w:p>
        </w:tc>
      </w:tr>
      <w:tr w:rsidR="001B2458"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1B2458" w:rsidRPr="009D1595" w:rsidRDefault="001B2458" w:rsidP="00C35D71">
            <w:pPr>
              <w:rPr>
                <w:b w:val="0"/>
                <w:sz w:val="18"/>
              </w:rPr>
            </w:pPr>
            <w:r w:rsidRPr="009D1595">
              <w:rPr>
                <w:b w:val="0"/>
                <w:sz w:val="18"/>
              </w:rPr>
              <w:t>% of G.D.P.</w:t>
            </w:r>
          </w:p>
        </w:tc>
        <w:tc>
          <w:tcPr>
            <w:tcW w:w="1260" w:type="dxa"/>
          </w:tcPr>
          <w:p w:rsidR="001B2458" w:rsidRPr="00C40410" w:rsidRDefault="001B2458" w:rsidP="00C35D71">
            <w:pPr>
              <w:cnfStyle w:val="000000000000" w:firstRow="0" w:lastRow="0" w:firstColumn="0" w:lastColumn="0" w:oddVBand="0" w:evenVBand="0" w:oddHBand="0" w:evenHBand="0" w:firstRowFirstColumn="0" w:firstRowLastColumn="0" w:lastRowFirstColumn="0" w:lastRowLastColumn="0"/>
              <w:rPr>
                <w:sz w:val="18"/>
                <w:szCs w:val="18"/>
              </w:rPr>
            </w:pPr>
            <w:r w:rsidRPr="00C40410">
              <w:rPr>
                <w:sz w:val="18"/>
                <w:szCs w:val="18"/>
              </w:rPr>
              <w:t>0.11</w:t>
            </w:r>
          </w:p>
        </w:tc>
        <w:tc>
          <w:tcPr>
            <w:tcW w:w="1080" w:type="dxa"/>
          </w:tcPr>
          <w:p w:rsidR="001B2458" w:rsidRPr="00C40410" w:rsidRDefault="001B2458" w:rsidP="00C35D71">
            <w:pPr>
              <w:cnfStyle w:val="000000000000" w:firstRow="0" w:lastRow="0" w:firstColumn="0" w:lastColumn="0" w:oddVBand="0" w:evenVBand="0" w:oddHBand="0" w:evenHBand="0" w:firstRowFirstColumn="0" w:firstRowLastColumn="0" w:lastRowFirstColumn="0" w:lastRowLastColumn="0"/>
              <w:rPr>
                <w:sz w:val="18"/>
                <w:szCs w:val="18"/>
              </w:rPr>
            </w:pPr>
            <w:r w:rsidRPr="00C40410">
              <w:rPr>
                <w:sz w:val="18"/>
                <w:szCs w:val="18"/>
              </w:rPr>
              <w:t>0.05</w:t>
            </w:r>
          </w:p>
        </w:tc>
        <w:tc>
          <w:tcPr>
            <w:tcW w:w="1080" w:type="dxa"/>
          </w:tcPr>
          <w:p w:rsidR="001B2458" w:rsidRPr="00C40410" w:rsidRDefault="001B2458" w:rsidP="00C35D71">
            <w:pPr>
              <w:cnfStyle w:val="000000000000" w:firstRow="0" w:lastRow="0" w:firstColumn="0" w:lastColumn="0" w:oddVBand="0" w:evenVBand="0" w:oddHBand="0" w:evenHBand="0" w:firstRowFirstColumn="0" w:firstRowLastColumn="0" w:lastRowFirstColumn="0" w:lastRowLastColumn="0"/>
              <w:rPr>
                <w:sz w:val="18"/>
                <w:szCs w:val="18"/>
              </w:rPr>
            </w:pPr>
            <w:r w:rsidRPr="00C40410">
              <w:rPr>
                <w:sz w:val="18"/>
                <w:szCs w:val="18"/>
              </w:rPr>
              <w:t>0.07</w:t>
            </w:r>
          </w:p>
        </w:tc>
        <w:tc>
          <w:tcPr>
            <w:tcW w:w="1080" w:type="dxa"/>
          </w:tcPr>
          <w:p w:rsidR="001B2458" w:rsidRPr="00C40410" w:rsidRDefault="001B2458" w:rsidP="00C35D71">
            <w:pPr>
              <w:cnfStyle w:val="000000000000" w:firstRow="0" w:lastRow="0" w:firstColumn="0" w:lastColumn="0" w:oddVBand="0" w:evenVBand="0" w:oddHBand="0" w:evenHBand="0" w:firstRowFirstColumn="0" w:firstRowLastColumn="0" w:lastRowFirstColumn="0" w:lastRowLastColumn="0"/>
              <w:rPr>
                <w:sz w:val="18"/>
                <w:szCs w:val="18"/>
              </w:rPr>
            </w:pPr>
            <w:r w:rsidRPr="00C40410">
              <w:rPr>
                <w:sz w:val="18"/>
                <w:szCs w:val="18"/>
              </w:rPr>
              <w:t>0.14</w:t>
            </w:r>
          </w:p>
        </w:tc>
        <w:tc>
          <w:tcPr>
            <w:tcW w:w="1260" w:type="dxa"/>
          </w:tcPr>
          <w:p w:rsidR="001B2458" w:rsidRPr="00C40410" w:rsidRDefault="001B2458" w:rsidP="00C35D71">
            <w:pPr>
              <w:cnfStyle w:val="000000000000" w:firstRow="0" w:lastRow="0" w:firstColumn="0" w:lastColumn="0" w:oddVBand="0" w:evenVBand="0" w:oddHBand="0" w:evenHBand="0" w:firstRowFirstColumn="0" w:firstRowLastColumn="0" w:lastRowFirstColumn="0" w:lastRowLastColumn="0"/>
              <w:rPr>
                <w:sz w:val="18"/>
                <w:szCs w:val="18"/>
              </w:rPr>
            </w:pPr>
            <w:r w:rsidRPr="00C40410">
              <w:rPr>
                <w:sz w:val="18"/>
                <w:szCs w:val="18"/>
              </w:rPr>
              <w:t>0.08</w:t>
            </w:r>
          </w:p>
        </w:tc>
        <w:tc>
          <w:tcPr>
            <w:tcW w:w="1188" w:type="dxa"/>
          </w:tcPr>
          <w:p w:rsidR="001B2458" w:rsidRPr="00C40410" w:rsidRDefault="001B2458" w:rsidP="00C35D71">
            <w:pPr>
              <w:cnfStyle w:val="000000000000" w:firstRow="0" w:lastRow="0" w:firstColumn="0" w:lastColumn="0" w:oddVBand="0" w:evenVBand="0" w:oddHBand="0" w:evenHBand="0" w:firstRowFirstColumn="0" w:firstRowLastColumn="0" w:lastRowFirstColumn="0" w:lastRowLastColumn="0"/>
              <w:rPr>
                <w:sz w:val="18"/>
                <w:szCs w:val="18"/>
              </w:rPr>
            </w:pPr>
            <w:r w:rsidRPr="00C40410">
              <w:rPr>
                <w:sz w:val="18"/>
                <w:szCs w:val="18"/>
              </w:rPr>
              <w:t>0.08</w:t>
            </w:r>
          </w:p>
        </w:tc>
      </w:tr>
      <w:tr w:rsidR="001B2458"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1B2458" w:rsidRPr="009D1595" w:rsidRDefault="001B2458" w:rsidP="00C35D71">
            <w:pPr>
              <w:rPr>
                <w:sz w:val="18"/>
              </w:rPr>
            </w:pPr>
            <w:r w:rsidRPr="009D1595">
              <w:rPr>
                <w:sz w:val="18"/>
              </w:rPr>
              <w:t>Projects with financing from external non-reimbursable funds (ENF)</w:t>
            </w:r>
          </w:p>
        </w:tc>
        <w:tc>
          <w:tcPr>
            <w:tcW w:w="1260" w:type="dxa"/>
            <w:shd w:val="clear" w:color="auto" w:fill="ACB9CA" w:themeFill="text2" w:themeFillTint="66"/>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b/>
                <w:sz w:val="18"/>
              </w:rPr>
            </w:pPr>
          </w:p>
        </w:tc>
        <w:tc>
          <w:tcPr>
            <w:tcW w:w="1080" w:type="dxa"/>
            <w:shd w:val="clear" w:color="auto" w:fill="ACB9CA" w:themeFill="text2" w:themeFillTint="66"/>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b/>
                <w:sz w:val="18"/>
              </w:rPr>
            </w:pPr>
          </w:p>
        </w:tc>
        <w:tc>
          <w:tcPr>
            <w:tcW w:w="1080" w:type="dxa"/>
            <w:shd w:val="clear" w:color="auto" w:fill="ACB9CA" w:themeFill="text2" w:themeFillTint="66"/>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b/>
                <w:sz w:val="18"/>
              </w:rPr>
            </w:pPr>
          </w:p>
        </w:tc>
        <w:tc>
          <w:tcPr>
            <w:tcW w:w="1080" w:type="dxa"/>
            <w:shd w:val="clear" w:color="auto" w:fill="ACB9CA" w:themeFill="text2" w:themeFillTint="66"/>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b/>
                <w:sz w:val="18"/>
              </w:rPr>
            </w:pPr>
          </w:p>
        </w:tc>
        <w:tc>
          <w:tcPr>
            <w:tcW w:w="1260" w:type="dxa"/>
            <w:shd w:val="clear" w:color="auto" w:fill="ACB9CA" w:themeFill="text2" w:themeFillTint="66"/>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b/>
                <w:sz w:val="18"/>
              </w:rPr>
            </w:pPr>
          </w:p>
        </w:tc>
        <w:tc>
          <w:tcPr>
            <w:tcW w:w="1188" w:type="dxa"/>
            <w:shd w:val="clear" w:color="auto" w:fill="ACB9CA" w:themeFill="text2" w:themeFillTint="66"/>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b/>
                <w:sz w:val="18"/>
              </w:rPr>
            </w:pPr>
          </w:p>
        </w:tc>
      </w:tr>
      <w:tr w:rsidR="001B2458"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1B2458" w:rsidRPr="009D1595" w:rsidRDefault="001B2458" w:rsidP="00C35D71">
            <w:pPr>
              <w:rPr>
                <w:b w:val="0"/>
                <w:sz w:val="18"/>
              </w:rPr>
            </w:pPr>
            <w:r w:rsidRPr="009D1595">
              <w:rPr>
                <w:b w:val="0"/>
                <w:sz w:val="18"/>
              </w:rPr>
              <w:t>Million Lei</w:t>
            </w:r>
          </w:p>
        </w:tc>
        <w:tc>
          <w:tcPr>
            <w:tcW w:w="126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281</w:t>
            </w:r>
          </w:p>
        </w:tc>
        <w:tc>
          <w:tcPr>
            <w:tcW w:w="108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117</w:t>
            </w:r>
          </w:p>
        </w:tc>
        <w:tc>
          <w:tcPr>
            <w:tcW w:w="108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81</w:t>
            </w:r>
          </w:p>
        </w:tc>
        <w:tc>
          <w:tcPr>
            <w:tcW w:w="108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50</w:t>
            </w:r>
          </w:p>
        </w:tc>
        <w:tc>
          <w:tcPr>
            <w:tcW w:w="126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p>
        </w:tc>
        <w:tc>
          <w:tcPr>
            <w:tcW w:w="1188"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p>
        </w:tc>
      </w:tr>
      <w:tr w:rsidR="001B2458"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1B2458" w:rsidRPr="009D1595" w:rsidRDefault="001B2458" w:rsidP="00C35D71">
            <w:pPr>
              <w:rPr>
                <w:b w:val="0"/>
                <w:sz w:val="18"/>
              </w:rPr>
            </w:pPr>
            <w:r w:rsidRPr="009D1595">
              <w:rPr>
                <w:b w:val="0"/>
                <w:sz w:val="18"/>
              </w:rPr>
              <w:t>% of G.D.P.</w:t>
            </w:r>
          </w:p>
        </w:tc>
        <w:tc>
          <w:tcPr>
            <w:tcW w:w="126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0.04</w:t>
            </w:r>
          </w:p>
        </w:tc>
        <w:tc>
          <w:tcPr>
            <w:tcW w:w="108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0.01</w:t>
            </w:r>
          </w:p>
        </w:tc>
        <w:tc>
          <w:tcPr>
            <w:tcW w:w="108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0.01</w:t>
            </w:r>
          </w:p>
        </w:tc>
        <w:tc>
          <w:tcPr>
            <w:tcW w:w="108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0.01</w:t>
            </w:r>
          </w:p>
        </w:tc>
        <w:tc>
          <w:tcPr>
            <w:tcW w:w="126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188"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r>
      <w:tr w:rsidR="001B2458" w:rsidRPr="009D1595" w:rsidTr="00C35D71">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1B2458" w:rsidRPr="009D1595" w:rsidRDefault="001B2458" w:rsidP="00C35D71">
            <w:pPr>
              <w:rPr>
                <w:sz w:val="18"/>
              </w:rPr>
            </w:pPr>
            <w:r w:rsidRPr="009D1595">
              <w:rPr>
                <w:sz w:val="18"/>
              </w:rPr>
              <w:t>Social assistance</w:t>
            </w:r>
          </w:p>
        </w:tc>
        <w:tc>
          <w:tcPr>
            <w:tcW w:w="1260" w:type="dxa"/>
            <w:shd w:val="clear" w:color="auto" w:fill="ACB9CA" w:themeFill="text2" w:themeFillTint="66"/>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p>
        </w:tc>
        <w:tc>
          <w:tcPr>
            <w:tcW w:w="1260" w:type="dxa"/>
            <w:shd w:val="clear" w:color="auto" w:fill="ACB9CA" w:themeFill="text2" w:themeFillTint="66"/>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p>
        </w:tc>
        <w:tc>
          <w:tcPr>
            <w:tcW w:w="1188" w:type="dxa"/>
            <w:shd w:val="clear" w:color="auto" w:fill="ACB9CA" w:themeFill="text2" w:themeFillTint="66"/>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p>
        </w:tc>
      </w:tr>
      <w:tr w:rsidR="001B2458"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1B2458" w:rsidRPr="009D1595" w:rsidRDefault="001B2458" w:rsidP="00C35D71">
            <w:pPr>
              <w:rPr>
                <w:b w:val="0"/>
                <w:sz w:val="18"/>
              </w:rPr>
            </w:pPr>
            <w:r w:rsidRPr="009D1595">
              <w:rPr>
                <w:b w:val="0"/>
                <w:sz w:val="18"/>
              </w:rPr>
              <w:t>Million Lei</w:t>
            </w:r>
          </w:p>
        </w:tc>
        <w:tc>
          <w:tcPr>
            <w:tcW w:w="126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438</w:t>
            </w:r>
          </w:p>
        </w:tc>
        <w:tc>
          <w:tcPr>
            <w:tcW w:w="108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394</w:t>
            </w:r>
          </w:p>
        </w:tc>
        <w:tc>
          <w:tcPr>
            <w:tcW w:w="108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714</w:t>
            </w:r>
          </w:p>
        </w:tc>
        <w:tc>
          <w:tcPr>
            <w:tcW w:w="108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500</w:t>
            </w:r>
          </w:p>
        </w:tc>
        <w:tc>
          <w:tcPr>
            <w:tcW w:w="126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518</w:t>
            </w:r>
          </w:p>
        </w:tc>
        <w:tc>
          <w:tcPr>
            <w:tcW w:w="1188"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534</w:t>
            </w:r>
          </w:p>
        </w:tc>
      </w:tr>
      <w:tr w:rsidR="001B2458"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1B2458" w:rsidRPr="009D1595" w:rsidRDefault="001B2458" w:rsidP="00C35D71">
            <w:pPr>
              <w:rPr>
                <w:b w:val="0"/>
                <w:sz w:val="18"/>
              </w:rPr>
            </w:pPr>
            <w:r w:rsidRPr="009D1595">
              <w:rPr>
                <w:b w:val="0"/>
                <w:sz w:val="18"/>
              </w:rPr>
              <w:t>% of G.D.P.</w:t>
            </w:r>
          </w:p>
        </w:tc>
        <w:tc>
          <w:tcPr>
            <w:tcW w:w="126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0.06</w:t>
            </w:r>
          </w:p>
        </w:tc>
        <w:tc>
          <w:tcPr>
            <w:tcW w:w="108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0.05</w:t>
            </w:r>
          </w:p>
        </w:tc>
        <w:tc>
          <w:tcPr>
            <w:tcW w:w="108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0.08</w:t>
            </w:r>
          </w:p>
        </w:tc>
        <w:tc>
          <w:tcPr>
            <w:tcW w:w="108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0.05</w:t>
            </w:r>
          </w:p>
        </w:tc>
        <w:tc>
          <w:tcPr>
            <w:tcW w:w="126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0.05</w:t>
            </w:r>
          </w:p>
        </w:tc>
        <w:tc>
          <w:tcPr>
            <w:tcW w:w="1188"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0.05</w:t>
            </w:r>
          </w:p>
        </w:tc>
      </w:tr>
      <w:tr w:rsidR="001B2458"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1B2458" w:rsidRPr="009D1595" w:rsidRDefault="001B2458" w:rsidP="00C35D71">
            <w:pPr>
              <w:rPr>
                <w:sz w:val="18"/>
              </w:rPr>
            </w:pPr>
            <w:r w:rsidRPr="009D1595">
              <w:rPr>
                <w:sz w:val="18"/>
              </w:rPr>
              <w:t>Projects with financing from external non-reimbursable funds corresponding to the financial framework 2014-2020</w:t>
            </w:r>
          </w:p>
        </w:tc>
        <w:tc>
          <w:tcPr>
            <w:tcW w:w="1260" w:type="dxa"/>
            <w:shd w:val="clear" w:color="auto" w:fill="ACB9CA" w:themeFill="text2" w:themeFillTint="66"/>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p>
        </w:tc>
        <w:tc>
          <w:tcPr>
            <w:tcW w:w="1260" w:type="dxa"/>
            <w:shd w:val="clear" w:color="auto" w:fill="ACB9CA" w:themeFill="text2" w:themeFillTint="66"/>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p>
        </w:tc>
        <w:tc>
          <w:tcPr>
            <w:tcW w:w="1188" w:type="dxa"/>
            <w:shd w:val="clear" w:color="auto" w:fill="ACB9CA" w:themeFill="text2" w:themeFillTint="66"/>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p>
        </w:tc>
      </w:tr>
      <w:tr w:rsidR="001B2458"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1B2458" w:rsidRPr="009D1595" w:rsidRDefault="001B2458" w:rsidP="00C35D71">
            <w:pPr>
              <w:rPr>
                <w:b w:val="0"/>
                <w:sz w:val="18"/>
              </w:rPr>
            </w:pPr>
            <w:r w:rsidRPr="009D1595">
              <w:rPr>
                <w:b w:val="0"/>
                <w:sz w:val="18"/>
              </w:rPr>
              <w:t>Million Lei</w:t>
            </w:r>
          </w:p>
        </w:tc>
        <w:tc>
          <w:tcPr>
            <w:tcW w:w="126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2,993</w:t>
            </w:r>
          </w:p>
        </w:tc>
        <w:tc>
          <w:tcPr>
            <w:tcW w:w="108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4,028</w:t>
            </w:r>
          </w:p>
        </w:tc>
        <w:tc>
          <w:tcPr>
            <w:tcW w:w="108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2,544</w:t>
            </w:r>
          </w:p>
        </w:tc>
        <w:tc>
          <w:tcPr>
            <w:tcW w:w="108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5,895</w:t>
            </w:r>
          </w:p>
        </w:tc>
        <w:tc>
          <w:tcPr>
            <w:tcW w:w="126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4,500</w:t>
            </w:r>
          </w:p>
        </w:tc>
        <w:tc>
          <w:tcPr>
            <w:tcW w:w="1188"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5,000</w:t>
            </w:r>
          </w:p>
        </w:tc>
      </w:tr>
      <w:tr w:rsidR="001B2458"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1B2458" w:rsidRPr="009D1595" w:rsidRDefault="001B2458" w:rsidP="00C35D71">
            <w:pPr>
              <w:rPr>
                <w:b w:val="0"/>
                <w:sz w:val="18"/>
              </w:rPr>
            </w:pPr>
            <w:r w:rsidRPr="009D1595">
              <w:rPr>
                <w:b w:val="0"/>
                <w:sz w:val="18"/>
              </w:rPr>
              <w:t>% of G.D.P.</w:t>
            </w:r>
          </w:p>
        </w:tc>
        <w:tc>
          <w:tcPr>
            <w:tcW w:w="126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0.39</w:t>
            </w:r>
          </w:p>
        </w:tc>
        <w:tc>
          <w:tcPr>
            <w:tcW w:w="1080" w:type="dxa"/>
          </w:tcPr>
          <w:p w:rsidR="001B2458" w:rsidRPr="00C40410" w:rsidRDefault="001B2458" w:rsidP="00C35D71">
            <w:pPr>
              <w:cnfStyle w:val="000000100000" w:firstRow="0" w:lastRow="0" w:firstColumn="0" w:lastColumn="0" w:oddVBand="0" w:evenVBand="0" w:oddHBand="1" w:evenHBand="0" w:firstRowFirstColumn="0" w:firstRowLastColumn="0" w:lastRowFirstColumn="0" w:lastRowLastColumn="0"/>
              <w:rPr>
                <w:sz w:val="18"/>
              </w:rPr>
            </w:pPr>
            <w:r w:rsidRPr="00C40410">
              <w:rPr>
                <w:sz w:val="18"/>
              </w:rPr>
              <w:t>0.48</w:t>
            </w:r>
          </w:p>
        </w:tc>
        <w:tc>
          <w:tcPr>
            <w:tcW w:w="1080" w:type="dxa"/>
          </w:tcPr>
          <w:p w:rsidR="001B2458" w:rsidRPr="00C40410" w:rsidRDefault="001B2458" w:rsidP="00C35D71">
            <w:pPr>
              <w:cnfStyle w:val="000000100000" w:firstRow="0" w:lastRow="0" w:firstColumn="0" w:lastColumn="0" w:oddVBand="0" w:evenVBand="0" w:oddHBand="1" w:evenHBand="0" w:firstRowFirstColumn="0" w:firstRowLastColumn="0" w:lastRowFirstColumn="0" w:lastRowLastColumn="0"/>
              <w:rPr>
                <w:sz w:val="18"/>
              </w:rPr>
            </w:pPr>
            <w:r w:rsidRPr="00C40410">
              <w:rPr>
                <w:sz w:val="18"/>
              </w:rPr>
              <w:t>0.27</w:t>
            </w:r>
          </w:p>
        </w:tc>
        <w:tc>
          <w:tcPr>
            <w:tcW w:w="1080" w:type="dxa"/>
          </w:tcPr>
          <w:p w:rsidR="001B2458" w:rsidRPr="00C40410" w:rsidRDefault="001B2458" w:rsidP="00C35D71">
            <w:pPr>
              <w:cnfStyle w:val="000000100000" w:firstRow="0" w:lastRow="0" w:firstColumn="0" w:lastColumn="0" w:oddVBand="0" w:evenVBand="0" w:oddHBand="1" w:evenHBand="0" w:firstRowFirstColumn="0" w:firstRowLastColumn="0" w:lastRowFirstColumn="0" w:lastRowLastColumn="0"/>
              <w:rPr>
                <w:sz w:val="18"/>
              </w:rPr>
            </w:pPr>
            <w:r w:rsidRPr="00C40410">
              <w:rPr>
                <w:sz w:val="18"/>
              </w:rPr>
              <w:t>0.60</w:t>
            </w:r>
          </w:p>
        </w:tc>
        <w:tc>
          <w:tcPr>
            <w:tcW w:w="1260" w:type="dxa"/>
          </w:tcPr>
          <w:p w:rsidR="001B2458" w:rsidRPr="00C40410" w:rsidRDefault="001B2458" w:rsidP="00C35D71">
            <w:pPr>
              <w:cnfStyle w:val="000000100000" w:firstRow="0" w:lastRow="0" w:firstColumn="0" w:lastColumn="0" w:oddVBand="0" w:evenVBand="0" w:oddHBand="1" w:evenHBand="0" w:firstRowFirstColumn="0" w:firstRowLastColumn="0" w:lastRowFirstColumn="0" w:lastRowLastColumn="0"/>
              <w:rPr>
                <w:sz w:val="18"/>
              </w:rPr>
            </w:pPr>
            <w:r w:rsidRPr="00C40410">
              <w:rPr>
                <w:sz w:val="18"/>
              </w:rPr>
              <w:t>0.43</w:t>
            </w:r>
          </w:p>
        </w:tc>
        <w:tc>
          <w:tcPr>
            <w:tcW w:w="1188" w:type="dxa"/>
          </w:tcPr>
          <w:p w:rsidR="001B2458" w:rsidRPr="00C40410" w:rsidRDefault="001B2458" w:rsidP="00C35D71">
            <w:pPr>
              <w:cnfStyle w:val="000000100000" w:firstRow="0" w:lastRow="0" w:firstColumn="0" w:lastColumn="0" w:oddVBand="0" w:evenVBand="0" w:oddHBand="1" w:evenHBand="0" w:firstRowFirstColumn="0" w:firstRowLastColumn="0" w:lastRowFirstColumn="0" w:lastRowLastColumn="0"/>
              <w:rPr>
                <w:sz w:val="18"/>
              </w:rPr>
            </w:pPr>
            <w:r w:rsidRPr="00C40410">
              <w:rPr>
                <w:sz w:val="18"/>
              </w:rPr>
              <w:t>0.44</w:t>
            </w:r>
          </w:p>
        </w:tc>
      </w:tr>
      <w:tr w:rsidR="001B2458" w:rsidRPr="009D1595" w:rsidTr="00C35D71">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1B2458" w:rsidRPr="009D1595" w:rsidRDefault="001B2458" w:rsidP="00C35D71">
            <w:pPr>
              <w:rPr>
                <w:sz w:val="18"/>
              </w:rPr>
            </w:pPr>
            <w:r w:rsidRPr="009D1595">
              <w:rPr>
                <w:sz w:val="18"/>
              </w:rPr>
              <w:t>Other expenditures</w:t>
            </w:r>
          </w:p>
        </w:tc>
        <w:tc>
          <w:tcPr>
            <w:tcW w:w="1260" w:type="dxa"/>
            <w:shd w:val="clear" w:color="auto" w:fill="ACB9CA" w:themeFill="text2" w:themeFillTint="66"/>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p>
        </w:tc>
        <w:tc>
          <w:tcPr>
            <w:tcW w:w="1260" w:type="dxa"/>
            <w:shd w:val="clear" w:color="auto" w:fill="ACB9CA" w:themeFill="text2" w:themeFillTint="66"/>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p>
        </w:tc>
        <w:tc>
          <w:tcPr>
            <w:tcW w:w="1188" w:type="dxa"/>
            <w:shd w:val="clear" w:color="auto" w:fill="ACB9CA" w:themeFill="text2" w:themeFillTint="66"/>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p>
        </w:tc>
      </w:tr>
      <w:tr w:rsidR="001B2458"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1B2458" w:rsidRPr="009D1595" w:rsidRDefault="001B2458" w:rsidP="00C35D71">
            <w:pPr>
              <w:rPr>
                <w:b w:val="0"/>
                <w:sz w:val="18"/>
              </w:rPr>
            </w:pPr>
            <w:r w:rsidRPr="009D1595">
              <w:rPr>
                <w:b w:val="0"/>
                <w:sz w:val="18"/>
              </w:rPr>
              <w:t>Million Lei</w:t>
            </w:r>
          </w:p>
        </w:tc>
        <w:tc>
          <w:tcPr>
            <w:tcW w:w="126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26</w:t>
            </w:r>
          </w:p>
        </w:tc>
        <w:tc>
          <w:tcPr>
            <w:tcW w:w="108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9</w:t>
            </w:r>
          </w:p>
        </w:tc>
        <w:tc>
          <w:tcPr>
            <w:tcW w:w="108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8</w:t>
            </w:r>
          </w:p>
        </w:tc>
        <w:tc>
          <w:tcPr>
            <w:tcW w:w="108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14</w:t>
            </w:r>
          </w:p>
        </w:tc>
        <w:tc>
          <w:tcPr>
            <w:tcW w:w="126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14</w:t>
            </w:r>
          </w:p>
        </w:tc>
        <w:tc>
          <w:tcPr>
            <w:tcW w:w="1188"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14</w:t>
            </w:r>
          </w:p>
        </w:tc>
      </w:tr>
      <w:tr w:rsidR="001B2458"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1B2458" w:rsidRPr="009D1595" w:rsidRDefault="001B2458" w:rsidP="00C35D71">
            <w:pPr>
              <w:rPr>
                <w:b w:val="0"/>
                <w:sz w:val="18"/>
              </w:rPr>
            </w:pPr>
            <w:r w:rsidRPr="009D1595">
              <w:rPr>
                <w:b w:val="0"/>
                <w:sz w:val="18"/>
              </w:rPr>
              <w:t>% of G.D.P.</w:t>
            </w:r>
          </w:p>
        </w:tc>
        <w:tc>
          <w:tcPr>
            <w:tcW w:w="126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c>
          <w:tcPr>
            <w:tcW w:w="1080" w:type="dxa"/>
          </w:tcPr>
          <w:p w:rsidR="001B2458" w:rsidRPr="00C40410" w:rsidRDefault="001B2458" w:rsidP="00C35D71">
            <w:pPr>
              <w:cnfStyle w:val="000000000000" w:firstRow="0" w:lastRow="0" w:firstColumn="0" w:lastColumn="0" w:oddVBand="0" w:evenVBand="0" w:oddHBand="0" w:evenHBand="0" w:firstRowFirstColumn="0" w:firstRowLastColumn="0" w:lastRowFirstColumn="0" w:lastRowLastColumn="0"/>
              <w:rPr>
                <w:sz w:val="18"/>
              </w:rPr>
            </w:pPr>
            <w:r w:rsidRPr="00C40410">
              <w:rPr>
                <w:sz w:val="18"/>
              </w:rPr>
              <w:t>0.00</w:t>
            </w:r>
          </w:p>
        </w:tc>
        <w:tc>
          <w:tcPr>
            <w:tcW w:w="1080" w:type="dxa"/>
          </w:tcPr>
          <w:p w:rsidR="001B2458" w:rsidRPr="00C40410" w:rsidRDefault="001B2458" w:rsidP="00C35D71">
            <w:pPr>
              <w:cnfStyle w:val="000000000000" w:firstRow="0" w:lastRow="0" w:firstColumn="0" w:lastColumn="0" w:oddVBand="0" w:evenVBand="0" w:oddHBand="0" w:evenHBand="0" w:firstRowFirstColumn="0" w:firstRowLastColumn="0" w:lastRowFirstColumn="0" w:lastRowLastColumn="0"/>
              <w:rPr>
                <w:sz w:val="18"/>
              </w:rPr>
            </w:pPr>
            <w:r w:rsidRPr="00C40410">
              <w:rPr>
                <w:sz w:val="18"/>
              </w:rPr>
              <w:t>0.00</w:t>
            </w:r>
          </w:p>
        </w:tc>
        <w:tc>
          <w:tcPr>
            <w:tcW w:w="1080" w:type="dxa"/>
          </w:tcPr>
          <w:p w:rsidR="001B2458" w:rsidRDefault="001B2458" w:rsidP="00C35D71">
            <w:pPr>
              <w:cnfStyle w:val="000000000000" w:firstRow="0" w:lastRow="0" w:firstColumn="0" w:lastColumn="0" w:oddVBand="0" w:evenVBand="0" w:oddHBand="0" w:evenHBand="0" w:firstRowFirstColumn="0" w:firstRowLastColumn="0" w:lastRowFirstColumn="0" w:lastRowLastColumn="0"/>
            </w:pPr>
            <w:r w:rsidRPr="00A37E2F">
              <w:rPr>
                <w:sz w:val="18"/>
              </w:rPr>
              <w:t>0.00</w:t>
            </w:r>
          </w:p>
        </w:tc>
        <w:tc>
          <w:tcPr>
            <w:tcW w:w="1260" w:type="dxa"/>
          </w:tcPr>
          <w:p w:rsidR="001B2458" w:rsidRDefault="001B2458" w:rsidP="00C35D71">
            <w:pPr>
              <w:cnfStyle w:val="000000000000" w:firstRow="0" w:lastRow="0" w:firstColumn="0" w:lastColumn="0" w:oddVBand="0" w:evenVBand="0" w:oddHBand="0" w:evenHBand="0" w:firstRowFirstColumn="0" w:firstRowLastColumn="0" w:lastRowFirstColumn="0" w:lastRowLastColumn="0"/>
            </w:pPr>
            <w:r w:rsidRPr="00A37E2F">
              <w:rPr>
                <w:sz w:val="18"/>
              </w:rPr>
              <w:t>0.00</w:t>
            </w:r>
          </w:p>
        </w:tc>
        <w:tc>
          <w:tcPr>
            <w:tcW w:w="1188" w:type="dxa"/>
          </w:tcPr>
          <w:p w:rsidR="001B2458" w:rsidRDefault="001B2458" w:rsidP="00C35D71">
            <w:pPr>
              <w:cnfStyle w:val="000000000000" w:firstRow="0" w:lastRow="0" w:firstColumn="0" w:lastColumn="0" w:oddVBand="0" w:evenVBand="0" w:oddHBand="0" w:evenHBand="0" w:firstRowFirstColumn="0" w:firstRowLastColumn="0" w:lastRowFirstColumn="0" w:lastRowLastColumn="0"/>
            </w:pPr>
            <w:r w:rsidRPr="00A37E2F">
              <w:rPr>
                <w:sz w:val="18"/>
              </w:rPr>
              <w:t>0.00</w:t>
            </w:r>
          </w:p>
        </w:tc>
      </w:tr>
      <w:tr w:rsidR="001B2458"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1B2458" w:rsidRPr="009D1595" w:rsidRDefault="001B2458" w:rsidP="00C35D71">
            <w:pPr>
              <w:rPr>
                <w:sz w:val="18"/>
              </w:rPr>
            </w:pPr>
            <w:r w:rsidRPr="009D1595">
              <w:rPr>
                <w:sz w:val="18"/>
              </w:rPr>
              <w:t>Expenditures corresponding to programs with reimbursable financing</w:t>
            </w:r>
          </w:p>
        </w:tc>
        <w:tc>
          <w:tcPr>
            <w:tcW w:w="1260" w:type="dxa"/>
            <w:shd w:val="clear" w:color="auto" w:fill="ACB9CA" w:themeFill="text2" w:themeFillTint="66"/>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p>
        </w:tc>
        <w:tc>
          <w:tcPr>
            <w:tcW w:w="1260" w:type="dxa"/>
            <w:shd w:val="clear" w:color="auto" w:fill="ACB9CA" w:themeFill="text2" w:themeFillTint="66"/>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p>
        </w:tc>
        <w:tc>
          <w:tcPr>
            <w:tcW w:w="1188" w:type="dxa"/>
            <w:shd w:val="clear" w:color="auto" w:fill="ACB9CA" w:themeFill="text2" w:themeFillTint="66"/>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p>
        </w:tc>
      </w:tr>
      <w:tr w:rsidR="001B2458"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1B2458" w:rsidRPr="009D1595" w:rsidRDefault="001B2458" w:rsidP="00C35D71">
            <w:pPr>
              <w:rPr>
                <w:b w:val="0"/>
                <w:sz w:val="18"/>
              </w:rPr>
            </w:pPr>
            <w:r w:rsidRPr="009D1595">
              <w:rPr>
                <w:b w:val="0"/>
                <w:sz w:val="18"/>
              </w:rPr>
              <w:t>Million Lei</w:t>
            </w:r>
          </w:p>
        </w:tc>
        <w:tc>
          <w:tcPr>
            <w:tcW w:w="126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170</w:t>
            </w:r>
          </w:p>
        </w:tc>
        <w:tc>
          <w:tcPr>
            <w:tcW w:w="108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190</w:t>
            </w:r>
          </w:p>
        </w:tc>
        <w:tc>
          <w:tcPr>
            <w:tcW w:w="108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183</w:t>
            </w:r>
          </w:p>
        </w:tc>
        <w:tc>
          <w:tcPr>
            <w:tcW w:w="108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287</w:t>
            </w:r>
          </w:p>
        </w:tc>
        <w:tc>
          <w:tcPr>
            <w:tcW w:w="126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200</w:t>
            </w:r>
          </w:p>
        </w:tc>
        <w:tc>
          <w:tcPr>
            <w:tcW w:w="1188"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200</w:t>
            </w:r>
          </w:p>
        </w:tc>
      </w:tr>
      <w:tr w:rsidR="001B2458"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1B2458" w:rsidRPr="009D1595" w:rsidRDefault="001B2458" w:rsidP="00C35D71">
            <w:pPr>
              <w:rPr>
                <w:b w:val="0"/>
                <w:sz w:val="18"/>
              </w:rPr>
            </w:pPr>
            <w:r w:rsidRPr="009D1595">
              <w:rPr>
                <w:b w:val="0"/>
                <w:sz w:val="18"/>
              </w:rPr>
              <w:t>% of G.D.P.</w:t>
            </w:r>
          </w:p>
        </w:tc>
        <w:tc>
          <w:tcPr>
            <w:tcW w:w="126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0.02</w:t>
            </w:r>
          </w:p>
        </w:tc>
        <w:tc>
          <w:tcPr>
            <w:tcW w:w="108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0.02</w:t>
            </w:r>
          </w:p>
        </w:tc>
        <w:tc>
          <w:tcPr>
            <w:tcW w:w="108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0.02</w:t>
            </w:r>
          </w:p>
        </w:tc>
        <w:tc>
          <w:tcPr>
            <w:tcW w:w="108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0.03</w:t>
            </w:r>
          </w:p>
        </w:tc>
        <w:tc>
          <w:tcPr>
            <w:tcW w:w="126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0.02</w:t>
            </w:r>
          </w:p>
        </w:tc>
        <w:tc>
          <w:tcPr>
            <w:tcW w:w="1188"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0.02</w:t>
            </w:r>
          </w:p>
        </w:tc>
      </w:tr>
      <w:tr w:rsidR="001B2458" w:rsidRPr="009D1595" w:rsidTr="00C35D71">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1B2458" w:rsidRPr="009D1595" w:rsidRDefault="001B2458" w:rsidP="00C35D71">
            <w:pPr>
              <w:rPr>
                <w:sz w:val="18"/>
              </w:rPr>
            </w:pPr>
            <w:r w:rsidRPr="009D1595">
              <w:rPr>
                <w:sz w:val="18"/>
              </w:rPr>
              <w:t>Non-financial assets</w:t>
            </w:r>
          </w:p>
        </w:tc>
        <w:tc>
          <w:tcPr>
            <w:tcW w:w="1260" w:type="dxa"/>
            <w:shd w:val="clear" w:color="auto" w:fill="ACB9CA" w:themeFill="text2" w:themeFillTint="66"/>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p>
        </w:tc>
        <w:tc>
          <w:tcPr>
            <w:tcW w:w="1260" w:type="dxa"/>
            <w:shd w:val="clear" w:color="auto" w:fill="ACB9CA" w:themeFill="text2" w:themeFillTint="66"/>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p>
        </w:tc>
        <w:tc>
          <w:tcPr>
            <w:tcW w:w="1188" w:type="dxa"/>
            <w:shd w:val="clear" w:color="auto" w:fill="ACB9CA" w:themeFill="text2" w:themeFillTint="66"/>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p>
        </w:tc>
      </w:tr>
      <w:tr w:rsidR="001B2458"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1B2458" w:rsidRPr="009D1595" w:rsidRDefault="001B2458" w:rsidP="00C35D71">
            <w:pPr>
              <w:rPr>
                <w:b w:val="0"/>
                <w:sz w:val="18"/>
              </w:rPr>
            </w:pPr>
            <w:r w:rsidRPr="009D1595">
              <w:rPr>
                <w:b w:val="0"/>
                <w:sz w:val="18"/>
              </w:rPr>
              <w:t>Million Lei</w:t>
            </w:r>
          </w:p>
        </w:tc>
        <w:tc>
          <w:tcPr>
            <w:tcW w:w="126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8</w:t>
            </w:r>
          </w:p>
        </w:tc>
        <w:tc>
          <w:tcPr>
            <w:tcW w:w="108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0</w:t>
            </w:r>
          </w:p>
        </w:tc>
        <w:tc>
          <w:tcPr>
            <w:tcW w:w="108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1</w:t>
            </w:r>
          </w:p>
        </w:tc>
        <w:tc>
          <w:tcPr>
            <w:tcW w:w="108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1</w:t>
            </w:r>
          </w:p>
        </w:tc>
        <w:tc>
          <w:tcPr>
            <w:tcW w:w="126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1</w:t>
            </w:r>
          </w:p>
        </w:tc>
        <w:tc>
          <w:tcPr>
            <w:tcW w:w="1188"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1</w:t>
            </w:r>
          </w:p>
        </w:tc>
      </w:tr>
      <w:tr w:rsidR="001B2458"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1B2458" w:rsidRPr="009D1595" w:rsidRDefault="001B2458" w:rsidP="00C35D71">
            <w:pPr>
              <w:rPr>
                <w:b w:val="0"/>
                <w:sz w:val="18"/>
              </w:rPr>
            </w:pPr>
            <w:r w:rsidRPr="009D1595">
              <w:rPr>
                <w:b w:val="0"/>
                <w:sz w:val="18"/>
              </w:rPr>
              <w:t>% of G.D.P.</w:t>
            </w:r>
          </w:p>
        </w:tc>
        <w:tc>
          <w:tcPr>
            <w:tcW w:w="126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c>
          <w:tcPr>
            <w:tcW w:w="1080" w:type="dxa"/>
          </w:tcPr>
          <w:p w:rsidR="001B2458" w:rsidRDefault="001B2458" w:rsidP="00C35D71">
            <w:pPr>
              <w:cnfStyle w:val="000000000000" w:firstRow="0" w:lastRow="0" w:firstColumn="0" w:lastColumn="0" w:oddVBand="0" w:evenVBand="0" w:oddHBand="0" w:evenHBand="0" w:firstRowFirstColumn="0" w:firstRowLastColumn="0" w:lastRowFirstColumn="0" w:lastRowLastColumn="0"/>
            </w:pPr>
            <w:r w:rsidRPr="0068628F">
              <w:rPr>
                <w:sz w:val="18"/>
              </w:rPr>
              <w:t>0.00</w:t>
            </w:r>
          </w:p>
        </w:tc>
        <w:tc>
          <w:tcPr>
            <w:tcW w:w="1080" w:type="dxa"/>
          </w:tcPr>
          <w:p w:rsidR="001B2458" w:rsidRDefault="001B2458" w:rsidP="00C35D71">
            <w:pPr>
              <w:cnfStyle w:val="000000000000" w:firstRow="0" w:lastRow="0" w:firstColumn="0" w:lastColumn="0" w:oddVBand="0" w:evenVBand="0" w:oddHBand="0" w:evenHBand="0" w:firstRowFirstColumn="0" w:firstRowLastColumn="0" w:lastRowFirstColumn="0" w:lastRowLastColumn="0"/>
            </w:pPr>
            <w:r w:rsidRPr="0068628F">
              <w:rPr>
                <w:sz w:val="18"/>
              </w:rPr>
              <w:t>0.00</w:t>
            </w:r>
          </w:p>
        </w:tc>
        <w:tc>
          <w:tcPr>
            <w:tcW w:w="1080" w:type="dxa"/>
          </w:tcPr>
          <w:p w:rsidR="001B2458" w:rsidRDefault="001B2458" w:rsidP="00C35D71">
            <w:pPr>
              <w:cnfStyle w:val="000000000000" w:firstRow="0" w:lastRow="0" w:firstColumn="0" w:lastColumn="0" w:oddVBand="0" w:evenVBand="0" w:oddHBand="0" w:evenHBand="0" w:firstRowFirstColumn="0" w:firstRowLastColumn="0" w:lastRowFirstColumn="0" w:lastRowLastColumn="0"/>
            </w:pPr>
            <w:r w:rsidRPr="0068628F">
              <w:rPr>
                <w:sz w:val="18"/>
              </w:rPr>
              <w:t>0.00</w:t>
            </w:r>
          </w:p>
        </w:tc>
        <w:tc>
          <w:tcPr>
            <w:tcW w:w="1260" w:type="dxa"/>
          </w:tcPr>
          <w:p w:rsidR="001B2458" w:rsidRDefault="001B2458" w:rsidP="00C35D71">
            <w:pPr>
              <w:cnfStyle w:val="000000000000" w:firstRow="0" w:lastRow="0" w:firstColumn="0" w:lastColumn="0" w:oddVBand="0" w:evenVBand="0" w:oddHBand="0" w:evenHBand="0" w:firstRowFirstColumn="0" w:firstRowLastColumn="0" w:lastRowFirstColumn="0" w:lastRowLastColumn="0"/>
            </w:pPr>
            <w:r w:rsidRPr="0068628F">
              <w:rPr>
                <w:sz w:val="18"/>
              </w:rPr>
              <w:t>0.00</w:t>
            </w:r>
          </w:p>
        </w:tc>
        <w:tc>
          <w:tcPr>
            <w:tcW w:w="1188" w:type="dxa"/>
          </w:tcPr>
          <w:p w:rsidR="001B2458" w:rsidRDefault="001B2458" w:rsidP="00C35D71">
            <w:pPr>
              <w:cnfStyle w:val="000000000000" w:firstRow="0" w:lastRow="0" w:firstColumn="0" w:lastColumn="0" w:oddVBand="0" w:evenVBand="0" w:oddHBand="0" w:evenHBand="0" w:firstRowFirstColumn="0" w:firstRowLastColumn="0" w:lastRowFirstColumn="0" w:lastRowLastColumn="0"/>
            </w:pPr>
            <w:r w:rsidRPr="0068628F">
              <w:rPr>
                <w:sz w:val="18"/>
              </w:rPr>
              <w:t>0.00</w:t>
            </w:r>
          </w:p>
        </w:tc>
      </w:tr>
      <w:tr w:rsidR="001B2458"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1B2458" w:rsidRPr="009D1595" w:rsidRDefault="001B2458" w:rsidP="00C35D71">
            <w:pPr>
              <w:rPr>
                <w:sz w:val="18"/>
              </w:rPr>
            </w:pPr>
            <w:r w:rsidRPr="009D1595">
              <w:rPr>
                <w:sz w:val="18"/>
              </w:rPr>
              <w:t xml:space="preserve">Loan reimbursements </w:t>
            </w:r>
          </w:p>
        </w:tc>
        <w:tc>
          <w:tcPr>
            <w:tcW w:w="1260" w:type="dxa"/>
            <w:shd w:val="clear" w:color="auto" w:fill="ACB9CA" w:themeFill="text2" w:themeFillTint="66"/>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p>
        </w:tc>
        <w:tc>
          <w:tcPr>
            <w:tcW w:w="1260" w:type="dxa"/>
            <w:shd w:val="clear" w:color="auto" w:fill="ACB9CA" w:themeFill="text2" w:themeFillTint="66"/>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p>
        </w:tc>
        <w:tc>
          <w:tcPr>
            <w:tcW w:w="1188" w:type="dxa"/>
            <w:shd w:val="clear" w:color="auto" w:fill="ACB9CA" w:themeFill="text2" w:themeFillTint="66"/>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p>
        </w:tc>
      </w:tr>
      <w:tr w:rsidR="001B2458"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1B2458" w:rsidRPr="009D1595" w:rsidRDefault="001B2458" w:rsidP="00C35D71">
            <w:pPr>
              <w:rPr>
                <w:b w:val="0"/>
                <w:sz w:val="18"/>
              </w:rPr>
            </w:pPr>
            <w:r w:rsidRPr="009D1595">
              <w:rPr>
                <w:b w:val="0"/>
                <w:sz w:val="18"/>
              </w:rPr>
              <w:t>Million Lei</w:t>
            </w:r>
          </w:p>
        </w:tc>
        <w:tc>
          <w:tcPr>
            <w:tcW w:w="126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181</w:t>
            </w:r>
          </w:p>
        </w:tc>
        <w:tc>
          <w:tcPr>
            <w:tcW w:w="108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152</w:t>
            </w:r>
          </w:p>
        </w:tc>
        <w:tc>
          <w:tcPr>
            <w:tcW w:w="108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151</w:t>
            </w:r>
          </w:p>
        </w:tc>
        <w:tc>
          <w:tcPr>
            <w:tcW w:w="108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150</w:t>
            </w:r>
          </w:p>
        </w:tc>
        <w:tc>
          <w:tcPr>
            <w:tcW w:w="126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149</w:t>
            </w:r>
          </w:p>
        </w:tc>
        <w:tc>
          <w:tcPr>
            <w:tcW w:w="1188"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149</w:t>
            </w:r>
          </w:p>
        </w:tc>
      </w:tr>
      <w:tr w:rsidR="001B2458"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1B2458" w:rsidRPr="009D1595" w:rsidRDefault="001B2458" w:rsidP="00C35D71">
            <w:pPr>
              <w:rPr>
                <w:b w:val="0"/>
                <w:sz w:val="18"/>
              </w:rPr>
            </w:pPr>
            <w:r w:rsidRPr="009D1595">
              <w:rPr>
                <w:b w:val="0"/>
                <w:sz w:val="18"/>
              </w:rPr>
              <w:t>% of G.D.P.</w:t>
            </w:r>
          </w:p>
        </w:tc>
        <w:tc>
          <w:tcPr>
            <w:tcW w:w="126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0.02</w:t>
            </w:r>
          </w:p>
        </w:tc>
        <w:tc>
          <w:tcPr>
            <w:tcW w:w="108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0.02</w:t>
            </w:r>
          </w:p>
        </w:tc>
        <w:tc>
          <w:tcPr>
            <w:tcW w:w="108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0.02</w:t>
            </w:r>
          </w:p>
        </w:tc>
        <w:tc>
          <w:tcPr>
            <w:tcW w:w="108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0.02</w:t>
            </w:r>
          </w:p>
        </w:tc>
        <w:tc>
          <w:tcPr>
            <w:tcW w:w="126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0.01</w:t>
            </w:r>
          </w:p>
        </w:tc>
        <w:tc>
          <w:tcPr>
            <w:tcW w:w="1188"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0.01</w:t>
            </w:r>
          </w:p>
        </w:tc>
      </w:tr>
      <w:tr w:rsidR="001B2458" w:rsidRPr="009D1595" w:rsidTr="00C35D71">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1B2458" w:rsidRPr="009D1595" w:rsidRDefault="001B2458" w:rsidP="00C35D71">
            <w:pPr>
              <w:rPr>
                <w:sz w:val="18"/>
              </w:rPr>
            </w:pPr>
            <w:r w:rsidRPr="009D1595">
              <w:rPr>
                <w:sz w:val="18"/>
              </w:rPr>
              <w:t>Payments made in previous years and recovered in the current year</w:t>
            </w:r>
          </w:p>
        </w:tc>
        <w:tc>
          <w:tcPr>
            <w:tcW w:w="1260" w:type="dxa"/>
            <w:shd w:val="clear" w:color="auto" w:fill="ACB9CA" w:themeFill="text2" w:themeFillTint="66"/>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p>
        </w:tc>
        <w:tc>
          <w:tcPr>
            <w:tcW w:w="1260" w:type="dxa"/>
            <w:shd w:val="clear" w:color="auto" w:fill="ACB9CA" w:themeFill="text2" w:themeFillTint="66"/>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p>
        </w:tc>
        <w:tc>
          <w:tcPr>
            <w:tcW w:w="1188" w:type="dxa"/>
            <w:shd w:val="clear" w:color="auto" w:fill="ACB9CA" w:themeFill="text2" w:themeFillTint="66"/>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p>
        </w:tc>
      </w:tr>
      <w:tr w:rsidR="001B2458"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1B2458" w:rsidRPr="009D1595" w:rsidRDefault="001B2458" w:rsidP="00C35D71">
            <w:pPr>
              <w:rPr>
                <w:b w:val="0"/>
                <w:sz w:val="18"/>
              </w:rPr>
            </w:pPr>
            <w:r w:rsidRPr="009D1595">
              <w:rPr>
                <w:b w:val="0"/>
                <w:sz w:val="18"/>
              </w:rPr>
              <w:t>Million Lei</w:t>
            </w:r>
          </w:p>
        </w:tc>
        <w:tc>
          <w:tcPr>
            <w:tcW w:w="126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-207</w:t>
            </w:r>
          </w:p>
        </w:tc>
        <w:tc>
          <w:tcPr>
            <w:tcW w:w="108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r>
              <w:rPr>
                <w:sz w:val="18"/>
              </w:rPr>
              <w:t>-151</w:t>
            </w:r>
          </w:p>
        </w:tc>
        <w:tc>
          <w:tcPr>
            <w:tcW w:w="108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p>
        </w:tc>
        <w:tc>
          <w:tcPr>
            <w:tcW w:w="1260"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p>
        </w:tc>
        <w:tc>
          <w:tcPr>
            <w:tcW w:w="1188" w:type="dxa"/>
          </w:tcPr>
          <w:p w:rsidR="001B2458" w:rsidRPr="009D1595" w:rsidRDefault="001B2458" w:rsidP="00C35D71">
            <w:pPr>
              <w:cnfStyle w:val="000000100000" w:firstRow="0" w:lastRow="0" w:firstColumn="0" w:lastColumn="0" w:oddVBand="0" w:evenVBand="0" w:oddHBand="1" w:evenHBand="0" w:firstRowFirstColumn="0" w:firstRowLastColumn="0" w:lastRowFirstColumn="0" w:lastRowLastColumn="0"/>
              <w:rPr>
                <w:sz w:val="18"/>
              </w:rPr>
            </w:pPr>
          </w:p>
        </w:tc>
      </w:tr>
      <w:tr w:rsidR="001B2458"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1B2458" w:rsidRPr="009D1595" w:rsidRDefault="001B2458" w:rsidP="00C35D71">
            <w:pPr>
              <w:rPr>
                <w:b w:val="0"/>
                <w:sz w:val="18"/>
              </w:rPr>
            </w:pPr>
            <w:r w:rsidRPr="009D1595">
              <w:rPr>
                <w:b w:val="0"/>
                <w:sz w:val="18"/>
              </w:rPr>
              <w:t>% of G.D.P.</w:t>
            </w:r>
          </w:p>
        </w:tc>
        <w:tc>
          <w:tcPr>
            <w:tcW w:w="126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c>
          <w:tcPr>
            <w:tcW w:w="108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0.02</w:t>
            </w:r>
          </w:p>
        </w:tc>
        <w:tc>
          <w:tcPr>
            <w:tcW w:w="108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0.02</w:t>
            </w:r>
          </w:p>
        </w:tc>
        <w:tc>
          <w:tcPr>
            <w:tcW w:w="108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c>
          <w:tcPr>
            <w:tcW w:w="1260"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c>
          <w:tcPr>
            <w:tcW w:w="1188" w:type="dxa"/>
          </w:tcPr>
          <w:p w:rsidR="001B2458" w:rsidRPr="009D1595" w:rsidRDefault="001B2458"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r>
      <w:tr w:rsidR="00B90F89"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B90F89" w:rsidRPr="009D1595" w:rsidRDefault="00B90F89" w:rsidP="00B90F89">
            <w:pPr>
              <w:jc w:val="right"/>
              <w:rPr>
                <w:b w:val="0"/>
                <w:sz w:val="18"/>
              </w:rPr>
            </w:pPr>
          </w:p>
        </w:tc>
        <w:tc>
          <w:tcPr>
            <w:tcW w:w="1260" w:type="dxa"/>
          </w:tcPr>
          <w:p w:rsidR="00B90F89" w:rsidRDefault="00B90F89" w:rsidP="00B90F89">
            <w:pPr>
              <w:jc w:val="right"/>
              <w:cnfStyle w:val="000000100000" w:firstRow="0" w:lastRow="0" w:firstColumn="0" w:lastColumn="0" w:oddVBand="0" w:evenVBand="0" w:oddHBand="1" w:evenHBand="0" w:firstRowFirstColumn="0" w:firstRowLastColumn="0" w:lastRowFirstColumn="0" w:lastRowLastColumn="0"/>
              <w:rPr>
                <w:sz w:val="18"/>
              </w:rPr>
            </w:pPr>
          </w:p>
        </w:tc>
        <w:tc>
          <w:tcPr>
            <w:tcW w:w="1080" w:type="dxa"/>
          </w:tcPr>
          <w:p w:rsidR="00B90F89" w:rsidRDefault="00B90F89"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tcPr>
          <w:p w:rsidR="00B90F89" w:rsidRDefault="00B90F89"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tcPr>
          <w:p w:rsidR="00B90F89" w:rsidRDefault="00B90F89" w:rsidP="00C35D71">
            <w:pPr>
              <w:cnfStyle w:val="000000100000" w:firstRow="0" w:lastRow="0" w:firstColumn="0" w:lastColumn="0" w:oddVBand="0" w:evenVBand="0" w:oddHBand="1" w:evenHBand="0" w:firstRowFirstColumn="0" w:firstRowLastColumn="0" w:lastRowFirstColumn="0" w:lastRowLastColumn="0"/>
              <w:rPr>
                <w:sz w:val="18"/>
              </w:rPr>
            </w:pPr>
          </w:p>
        </w:tc>
        <w:tc>
          <w:tcPr>
            <w:tcW w:w="1260" w:type="dxa"/>
          </w:tcPr>
          <w:p w:rsidR="00B90F89" w:rsidRDefault="00B90F89" w:rsidP="00C35D71">
            <w:pPr>
              <w:cnfStyle w:val="000000100000" w:firstRow="0" w:lastRow="0" w:firstColumn="0" w:lastColumn="0" w:oddVBand="0" w:evenVBand="0" w:oddHBand="1" w:evenHBand="0" w:firstRowFirstColumn="0" w:firstRowLastColumn="0" w:lastRowFirstColumn="0" w:lastRowLastColumn="0"/>
              <w:rPr>
                <w:sz w:val="18"/>
              </w:rPr>
            </w:pPr>
          </w:p>
        </w:tc>
        <w:tc>
          <w:tcPr>
            <w:tcW w:w="1188" w:type="dxa"/>
          </w:tcPr>
          <w:p w:rsidR="00B90F89" w:rsidRDefault="00B90F89" w:rsidP="00B90F89">
            <w:pPr>
              <w:cnfStyle w:val="000000100000" w:firstRow="0" w:lastRow="0" w:firstColumn="0" w:lastColumn="0" w:oddVBand="0" w:evenVBand="0" w:oddHBand="1" w:evenHBand="0" w:firstRowFirstColumn="0" w:firstRowLastColumn="0" w:lastRowFirstColumn="0" w:lastRowLastColumn="0"/>
              <w:rPr>
                <w:sz w:val="18"/>
              </w:rPr>
            </w:pPr>
            <w:r w:rsidRPr="00B90F89">
              <w:rPr>
                <w:sz w:val="18"/>
              </w:rPr>
              <w:t xml:space="preserve">- Million Lei- </w:t>
            </w:r>
          </w:p>
        </w:tc>
      </w:tr>
    </w:tbl>
    <w:tbl>
      <w:tblPr>
        <w:tblStyle w:val="LightList1"/>
        <w:tblW w:w="0" w:type="auto"/>
        <w:tblLook w:val="04A0" w:firstRow="1" w:lastRow="0" w:firstColumn="1" w:lastColumn="0" w:noHBand="0" w:noVBand="1"/>
      </w:tblPr>
      <w:tblGrid>
        <w:gridCol w:w="2628"/>
        <w:gridCol w:w="1170"/>
        <w:gridCol w:w="90"/>
        <w:gridCol w:w="1080"/>
        <w:gridCol w:w="90"/>
        <w:gridCol w:w="990"/>
        <w:gridCol w:w="1080"/>
        <w:gridCol w:w="1260"/>
        <w:gridCol w:w="1188"/>
      </w:tblGrid>
      <w:tr w:rsidR="00B90F89" w:rsidRPr="009D1595" w:rsidTr="00C35D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9"/>
            <w:shd w:val="clear" w:color="auto" w:fill="auto"/>
          </w:tcPr>
          <w:p w:rsidR="00B90F89" w:rsidRDefault="00B90F89" w:rsidP="00C35D71">
            <w:pPr>
              <w:jc w:val="center"/>
              <w:rPr>
                <w:color w:val="auto"/>
                <w:sz w:val="20"/>
              </w:rPr>
            </w:pPr>
            <w:r w:rsidRPr="009D1595">
              <w:rPr>
                <w:color w:val="auto"/>
                <w:sz w:val="20"/>
              </w:rPr>
              <w:t>Annex</w:t>
            </w:r>
            <w:r>
              <w:rPr>
                <w:color w:val="auto"/>
                <w:sz w:val="20"/>
              </w:rPr>
              <w:t xml:space="preserve"> 7</w:t>
            </w:r>
            <w:r w:rsidRPr="009D1595">
              <w:rPr>
                <w:color w:val="auto"/>
                <w:sz w:val="20"/>
              </w:rPr>
              <w:t xml:space="preserve"> - Expenditures of the Ministry of </w:t>
            </w:r>
            <w:r>
              <w:rPr>
                <w:color w:val="auto"/>
                <w:sz w:val="20"/>
              </w:rPr>
              <w:t>Health</w:t>
            </w:r>
            <w:r w:rsidRPr="009D1595">
              <w:rPr>
                <w:color w:val="auto"/>
                <w:sz w:val="20"/>
              </w:rPr>
              <w:t xml:space="preserve"> from the State budget </w:t>
            </w:r>
          </w:p>
          <w:p w:rsidR="00B90F89" w:rsidRPr="009D1595" w:rsidRDefault="00B90F89" w:rsidP="00C35D71">
            <w:pPr>
              <w:jc w:val="center"/>
              <w:rPr>
                <w:color w:val="auto"/>
                <w:sz w:val="20"/>
              </w:rPr>
            </w:pPr>
            <w:r w:rsidRPr="009D1595">
              <w:rPr>
                <w:color w:val="auto"/>
                <w:sz w:val="20"/>
              </w:rPr>
              <w:t>between 2016 and 2021</w:t>
            </w:r>
          </w:p>
          <w:p w:rsidR="00B90F89" w:rsidRPr="009D1595" w:rsidRDefault="00B90F89" w:rsidP="00C35D71">
            <w:pPr>
              <w:rPr>
                <w:color w:val="auto"/>
                <w:sz w:val="18"/>
              </w:rPr>
            </w:pPr>
          </w:p>
        </w:tc>
      </w:tr>
      <w:tr w:rsidR="00B90F89"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B90F89" w:rsidRPr="009D1595" w:rsidRDefault="00B90F89" w:rsidP="00C35D71">
            <w:pPr>
              <w:rPr>
                <w:sz w:val="18"/>
              </w:rPr>
            </w:pPr>
          </w:p>
        </w:tc>
        <w:tc>
          <w:tcPr>
            <w:tcW w:w="1260" w:type="dxa"/>
            <w:gridSpan w:val="2"/>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sidRPr="009D1595">
              <w:rPr>
                <w:sz w:val="18"/>
              </w:rPr>
              <w:t>2016</w:t>
            </w:r>
          </w:p>
        </w:tc>
        <w:tc>
          <w:tcPr>
            <w:tcW w:w="1080" w:type="dxa"/>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sidRPr="009D1595">
              <w:rPr>
                <w:sz w:val="18"/>
              </w:rPr>
              <w:t>2017</w:t>
            </w:r>
          </w:p>
        </w:tc>
        <w:tc>
          <w:tcPr>
            <w:tcW w:w="1080" w:type="dxa"/>
            <w:gridSpan w:val="2"/>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sidRPr="009D1595">
              <w:rPr>
                <w:sz w:val="18"/>
              </w:rPr>
              <w:t>2018</w:t>
            </w:r>
          </w:p>
        </w:tc>
        <w:tc>
          <w:tcPr>
            <w:tcW w:w="1080" w:type="dxa"/>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sidRPr="009D1595">
              <w:rPr>
                <w:sz w:val="18"/>
              </w:rPr>
              <w:t>2019</w:t>
            </w:r>
          </w:p>
        </w:tc>
        <w:tc>
          <w:tcPr>
            <w:tcW w:w="1260" w:type="dxa"/>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sidRPr="009D1595">
              <w:rPr>
                <w:sz w:val="18"/>
              </w:rPr>
              <w:t>2020</w:t>
            </w:r>
          </w:p>
        </w:tc>
        <w:tc>
          <w:tcPr>
            <w:tcW w:w="1188" w:type="dxa"/>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sidRPr="009D1595">
              <w:rPr>
                <w:sz w:val="18"/>
              </w:rPr>
              <w:t>2021</w:t>
            </w:r>
          </w:p>
        </w:tc>
      </w:tr>
      <w:tr w:rsidR="00B90F89" w:rsidRPr="009D1595" w:rsidTr="00C35D71">
        <w:tc>
          <w:tcPr>
            <w:cnfStyle w:val="001000000000" w:firstRow="0" w:lastRow="0" w:firstColumn="1" w:lastColumn="0" w:oddVBand="0" w:evenVBand="0" w:oddHBand="0" w:evenHBand="0" w:firstRowFirstColumn="0" w:firstRowLastColumn="0" w:lastRowFirstColumn="0" w:lastRowLastColumn="0"/>
            <w:tcW w:w="9576" w:type="dxa"/>
            <w:gridSpan w:val="9"/>
            <w:shd w:val="clear" w:color="auto" w:fill="ACB9CA" w:themeFill="text2" w:themeFillTint="66"/>
          </w:tcPr>
          <w:p w:rsidR="00B90F89" w:rsidRPr="009D1595" w:rsidRDefault="00B90F89" w:rsidP="00C35D71">
            <w:pPr>
              <w:rPr>
                <w:sz w:val="18"/>
              </w:rPr>
            </w:pPr>
            <w:r w:rsidRPr="009D1595">
              <w:rPr>
                <w:sz w:val="18"/>
              </w:rPr>
              <w:t xml:space="preserve">TOTAL EXPENDITURES </w:t>
            </w:r>
          </w:p>
        </w:tc>
      </w:tr>
      <w:tr w:rsidR="00B90F89"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B90F89" w:rsidRPr="009D1595" w:rsidRDefault="00B90F89" w:rsidP="00C35D71">
            <w:pPr>
              <w:rPr>
                <w:b w:val="0"/>
                <w:sz w:val="18"/>
              </w:rPr>
            </w:pPr>
            <w:r w:rsidRPr="009D1595">
              <w:rPr>
                <w:b w:val="0"/>
                <w:sz w:val="18"/>
              </w:rPr>
              <w:t>Million Lei</w:t>
            </w:r>
          </w:p>
        </w:tc>
        <w:tc>
          <w:tcPr>
            <w:tcW w:w="1170" w:type="dxa"/>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5,855</w:t>
            </w:r>
          </w:p>
        </w:tc>
        <w:tc>
          <w:tcPr>
            <w:tcW w:w="1260" w:type="dxa"/>
            <w:gridSpan w:val="3"/>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6,771</w:t>
            </w:r>
          </w:p>
        </w:tc>
        <w:tc>
          <w:tcPr>
            <w:tcW w:w="990" w:type="dxa"/>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7,496</w:t>
            </w:r>
          </w:p>
        </w:tc>
        <w:tc>
          <w:tcPr>
            <w:tcW w:w="1080" w:type="dxa"/>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11,054</w:t>
            </w:r>
          </w:p>
        </w:tc>
        <w:tc>
          <w:tcPr>
            <w:tcW w:w="1260" w:type="dxa"/>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8,246</w:t>
            </w:r>
          </w:p>
        </w:tc>
        <w:tc>
          <w:tcPr>
            <w:tcW w:w="1188" w:type="dxa"/>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9,504</w:t>
            </w:r>
          </w:p>
        </w:tc>
      </w:tr>
      <w:tr w:rsidR="00B90F89"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B90F89" w:rsidRPr="009D1595" w:rsidRDefault="00B90F89" w:rsidP="00C35D71">
            <w:pPr>
              <w:rPr>
                <w:b w:val="0"/>
                <w:sz w:val="18"/>
              </w:rPr>
            </w:pPr>
            <w:r w:rsidRPr="009D1595">
              <w:rPr>
                <w:b w:val="0"/>
                <w:sz w:val="18"/>
              </w:rPr>
              <w:t>% of G.D.P.</w:t>
            </w:r>
          </w:p>
        </w:tc>
        <w:tc>
          <w:tcPr>
            <w:tcW w:w="1170" w:type="dxa"/>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r>
              <w:rPr>
                <w:sz w:val="18"/>
              </w:rPr>
              <w:t>0.77</w:t>
            </w:r>
          </w:p>
        </w:tc>
        <w:tc>
          <w:tcPr>
            <w:tcW w:w="1260" w:type="dxa"/>
            <w:gridSpan w:val="3"/>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r>
              <w:rPr>
                <w:sz w:val="18"/>
              </w:rPr>
              <w:t>0.80</w:t>
            </w:r>
          </w:p>
        </w:tc>
        <w:tc>
          <w:tcPr>
            <w:tcW w:w="990" w:type="dxa"/>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r>
              <w:rPr>
                <w:sz w:val="18"/>
              </w:rPr>
              <w:t>0.80</w:t>
            </w:r>
          </w:p>
        </w:tc>
        <w:tc>
          <w:tcPr>
            <w:tcW w:w="1080" w:type="dxa"/>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r>
              <w:rPr>
                <w:sz w:val="18"/>
              </w:rPr>
              <w:t>1.13</w:t>
            </w:r>
          </w:p>
        </w:tc>
        <w:tc>
          <w:tcPr>
            <w:tcW w:w="1260" w:type="dxa"/>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r>
              <w:rPr>
                <w:sz w:val="18"/>
              </w:rPr>
              <w:t>0.78</w:t>
            </w:r>
          </w:p>
        </w:tc>
        <w:tc>
          <w:tcPr>
            <w:tcW w:w="1188" w:type="dxa"/>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r>
              <w:rPr>
                <w:sz w:val="18"/>
              </w:rPr>
              <w:t>0.84</w:t>
            </w:r>
          </w:p>
        </w:tc>
      </w:tr>
      <w:tr w:rsidR="00B90F89"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B90F89" w:rsidRPr="009D1595" w:rsidRDefault="00B90F89" w:rsidP="00C35D71">
            <w:pPr>
              <w:rPr>
                <w:sz w:val="18"/>
              </w:rPr>
            </w:pPr>
            <w:r w:rsidRPr="009D1595">
              <w:rPr>
                <w:sz w:val="18"/>
              </w:rPr>
              <w:t>Personnel expenditures</w:t>
            </w:r>
          </w:p>
        </w:tc>
        <w:tc>
          <w:tcPr>
            <w:tcW w:w="1170" w:type="dxa"/>
            <w:shd w:val="clear" w:color="auto" w:fill="ACB9CA" w:themeFill="text2" w:themeFillTint="66"/>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p>
        </w:tc>
        <w:tc>
          <w:tcPr>
            <w:tcW w:w="1260" w:type="dxa"/>
            <w:gridSpan w:val="3"/>
            <w:shd w:val="clear" w:color="auto" w:fill="ACB9CA" w:themeFill="text2" w:themeFillTint="66"/>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p>
        </w:tc>
        <w:tc>
          <w:tcPr>
            <w:tcW w:w="990" w:type="dxa"/>
            <w:shd w:val="clear" w:color="auto" w:fill="ACB9CA" w:themeFill="text2" w:themeFillTint="66"/>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p>
        </w:tc>
        <w:tc>
          <w:tcPr>
            <w:tcW w:w="1260" w:type="dxa"/>
            <w:shd w:val="clear" w:color="auto" w:fill="ACB9CA" w:themeFill="text2" w:themeFillTint="66"/>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p>
        </w:tc>
        <w:tc>
          <w:tcPr>
            <w:tcW w:w="1188" w:type="dxa"/>
            <w:shd w:val="clear" w:color="auto" w:fill="ACB9CA" w:themeFill="text2" w:themeFillTint="66"/>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p>
        </w:tc>
      </w:tr>
      <w:tr w:rsidR="00B90F89"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B90F89" w:rsidRPr="009D1595" w:rsidRDefault="00B90F89" w:rsidP="00C35D71">
            <w:pPr>
              <w:rPr>
                <w:b w:val="0"/>
                <w:sz w:val="18"/>
              </w:rPr>
            </w:pPr>
            <w:r w:rsidRPr="009D1595">
              <w:rPr>
                <w:b w:val="0"/>
                <w:sz w:val="18"/>
              </w:rPr>
              <w:t>Million Lei</w:t>
            </w:r>
          </w:p>
        </w:tc>
        <w:tc>
          <w:tcPr>
            <w:tcW w:w="1170" w:type="dxa"/>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r>
              <w:rPr>
                <w:sz w:val="18"/>
              </w:rPr>
              <w:t>965</w:t>
            </w:r>
          </w:p>
        </w:tc>
        <w:tc>
          <w:tcPr>
            <w:tcW w:w="1260" w:type="dxa"/>
            <w:gridSpan w:val="3"/>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r>
              <w:rPr>
                <w:sz w:val="18"/>
              </w:rPr>
              <w:t>1,503</w:t>
            </w:r>
          </w:p>
        </w:tc>
        <w:tc>
          <w:tcPr>
            <w:tcW w:w="990" w:type="dxa"/>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r>
              <w:rPr>
                <w:sz w:val="18"/>
              </w:rPr>
              <w:t>1,853</w:t>
            </w:r>
          </w:p>
        </w:tc>
        <w:tc>
          <w:tcPr>
            <w:tcW w:w="1080" w:type="dxa"/>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r>
              <w:rPr>
                <w:sz w:val="18"/>
              </w:rPr>
              <w:t>2,069</w:t>
            </w:r>
          </w:p>
        </w:tc>
        <w:tc>
          <w:tcPr>
            <w:tcW w:w="1260" w:type="dxa"/>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r>
              <w:rPr>
                <w:sz w:val="18"/>
              </w:rPr>
              <w:t>2,218</w:t>
            </w:r>
          </w:p>
        </w:tc>
        <w:tc>
          <w:tcPr>
            <w:tcW w:w="1188" w:type="dxa"/>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r>
              <w:rPr>
                <w:sz w:val="18"/>
              </w:rPr>
              <w:t>2,324</w:t>
            </w:r>
          </w:p>
        </w:tc>
      </w:tr>
      <w:tr w:rsidR="00B90F89"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B90F89" w:rsidRPr="009D1595" w:rsidRDefault="00B90F89" w:rsidP="00C35D71">
            <w:pPr>
              <w:rPr>
                <w:b w:val="0"/>
                <w:sz w:val="18"/>
              </w:rPr>
            </w:pPr>
            <w:r w:rsidRPr="009D1595">
              <w:rPr>
                <w:b w:val="0"/>
                <w:sz w:val="18"/>
              </w:rPr>
              <w:t>% of G.D.P.</w:t>
            </w:r>
          </w:p>
        </w:tc>
        <w:tc>
          <w:tcPr>
            <w:tcW w:w="1170" w:type="dxa"/>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0.13</w:t>
            </w:r>
          </w:p>
        </w:tc>
        <w:tc>
          <w:tcPr>
            <w:tcW w:w="1260" w:type="dxa"/>
            <w:gridSpan w:val="3"/>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0.18</w:t>
            </w:r>
          </w:p>
        </w:tc>
        <w:tc>
          <w:tcPr>
            <w:tcW w:w="990" w:type="dxa"/>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0.20</w:t>
            </w:r>
          </w:p>
        </w:tc>
        <w:tc>
          <w:tcPr>
            <w:tcW w:w="1080" w:type="dxa"/>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0.21</w:t>
            </w:r>
          </w:p>
        </w:tc>
        <w:tc>
          <w:tcPr>
            <w:tcW w:w="1260" w:type="dxa"/>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0.21</w:t>
            </w:r>
          </w:p>
        </w:tc>
        <w:tc>
          <w:tcPr>
            <w:tcW w:w="1188" w:type="dxa"/>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0.21</w:t>
            </w:r>
          </w:p>
        </w:tc>
      </w:tr>
      <w:tr w:rsidR="00B90F89" w:rsidRPr="009D1595" w:rsidTr="00C35D71">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B90F89" w:rsidRPr="009D1595" w:rsidRDefault="00B90F89" w:rsidP="00C35D71">
            <w:pPr>
              <w:rPr>
                <w:sz w:val="18"/>
              </w:rPr>
            </w:pPr>
            <w:r w:rsidRPr="009D1595">
              <w:rPr>
                <w:sz w:val="18"/>
              </w:rPr>
              <w:t>Goods and services</w:t>
            </w:r>
          </w:p>
        </w:tc>
        <w:tc>
          <w:tcPr>
            <w:tcW w:w="1170" w:type="dxa"/>
            <w:shd w:val="clear" w:color="auto" w:fill="ACB9CA" w:themeFill="text2" w:themeFillTint="66"/>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p>
        </w:tc>
        <w:tc>
          <w:tcPr>
            <w:tcW w:w="1260" w:type="dxa"/>
            <w:gridSpan w:val="3"/>
            <w:shd w:val="clear" w:color="auto" w:fill="ACB9CA" w:themeFill="text2" w:themeFillTint="66"/>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p>
        </w:tc>
        <w:tc>
          <w:tcPr>
            <w:tcW w:w="990" w:type="dxa"/>
            <w:shd w:val="clear" w:color="auto" w:fill="ACB9CA" w:themeFill="text2" w:themeFillTint="66"/>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p>
        </w:tc>
        <w:tc>
          <w:tcPr>
            <w:tcW w:w="1260" w:type="dxa"/>
            <w:shd w:val="clear" w:color="auto" w:fill="ACB9CA" w:themeFill="text2" w:themeFillTint="66"/>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p>
        </w:tc>
        <w:tc>
          <w:tcPr>
            <w:tcW w:w="1188" w:type="dxa"/>
            <w:shd w:val="clear" w:color="auto" w:fill="ACB9CA" w:themeFill="text2" w:themeFillTint="66"/>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p>
        </w:tc>
      </w:tr>
      <w:tr w:rsidR="00B90F89"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B90F89" w:rsidRPr="009D1595" w:rsidRDefault="00B90F89" w:rsidP="00C35D71">
            <w:pPr>
              <w:rPr>
                <w:b w:val="0"/>
                <w:sz w:val="18"/>
              </w:rPr>
            </w:pPr>
            <w:r w:rsidRPr="009D1595">
              <w:rPr>
                <w:b w:val="0"/>
                <w:sz w:val="18"/>
              </w:rPr>
              <w:t>Million Lei</w:t>
            </w:r>
          </w:p>
        </w:tc>
        <w:tc>
          <w:tcPr>
            <w:tcW w:w="1170" w:type="dxa"/>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1,645</w:t>
            </w:r>
          </w:p>
        </w:tc>
        <w:tc>
          <w:tcPr>
            <w:tcW w:w="1260" w:type="dxa"/>
            <w:gridSpan w:val="3"/>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1,797</w:t>
            </w:r>
          </w:p>
        </w:tc>
        <w:tc>
          <w:tcPr>
            <w:tcW w:w="990" w:type="dxa"/>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1,968</w:t>
            </w:r>
          </w:p>
        </w:tc>
        <w:tc>
          <w:tcPr>
            <w:tcW w:w="1080" w:type="dxa"/>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3,731</w:t>
            </w:r>
          </w:p>
        </w:tc>
        <w:tc>
          <w:tcPr>
            <w:tcW w:w="1260" w:type="dxa"/>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3,469</w:t>
            </w:r>
          </w:p>
        </w:tc>
        <w:tc>
          <w:tcPr>
            <w:tcW w:w="1188" w:type="dxa"/>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3,215</w:t>
            </w:r>
          </w:p>
        </w:tc>
      </w:tr>
      <w:tr w:rsidR="00B90F89"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B90F89" w:rsidRPr="009D1595" w:rsidRDefault="00B90F89" w:rsidP="00C35D71">
            <w:pPr>
              <w:rPr>
                <w:b w:val="0"/>
                <w:sz w:val="18"/>
              </w:rPr>
            </w:pPr>
            <w:r w:rsidRPr="009D1595">
              <w:rPr>
                <w:b w:val="0"/>
                <w:sz w:val="18"/>
              </w:rPr>
              <w:t>% of G.D.P.</w:t>
            </w:r>
          </w:p>
        </w:tc>
        <w:tc>
          <w:tcPr>
            <w:tcW w:w="1170" w:type="dxa"/>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r>
              <w:rPr>
                <w:sz w:val="18"/>
              </w:rPr>
              <w:t>0.22</w:t>
            </w:r>
          </w:p>
        </w:tc>
        <w:tc>
          <w:tcPr>
            <w:tcW w:w="1260" w:type="dxa"/>
            <w:gridSpan w:val="3"/>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r>
              <w:rPr>
                <w:sz w:val="18"/>
              </w:rPr>
              <w:t>0.21</w:t>
            </w:r>
          </w:p>
        </w:tc>
        <w:tc>
          <w:tcPr>
            <w:tcW w:w="990" w:type="dxa"/>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r>
              <w:rPr>
                <w:sz w:val="18"/>
              </w:rPr>
              <w:t>0.21</w:t>
            </w:r>
          </w:p>
        </w:tc>
        <w:tc>
          <w:tcPr>
            <w:tcW w:w="1080" w:type="dxa"/>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r>
              <w:rPr>
                <w:sz w:val="18"/>
              </w:rPr>
              <w:t>0.38</w:t>
            </w:r>
          </w:p>
        </w:tc>
        <w:tc>
          <w:tcPr>
            <w:tcW w:w="1260" w:type="dxa"/>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r>
              <w:rPr>
                <w:sz w:val="18"/>
              </w:rPr>
              <w:t>0.33</w:t>
            </w:r>
          </w:p>
        </w:tc>
        <w:tc>
          <w:tcPr>
            <w:tcW w:w="1188" w:type="dxa"/>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r>
              <w:rPr>
                <w:sz w:val="18"/>
              </w:rPr>
              <w:t>0.29</w:t>
            </w:r>
          </w:p>
        </w:tc>
      </w:tr>
      <w:tr w:rsidR="00B90F89"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B90F89" w:rsidRPr="009D1595" w:rsidRDefault="00B90F89" w:rsidP="00C35D71">
            <w:pPr>
              <w:rPr>
                <w:sz w:val="18"/>
              </w:rPr>
            </w:pPr>
            <w:r w:rsidRPr="009D1595">
              <w:rPr>
                <w:sz w:val="18"/>
              </w:rPr>
              <w:t>Transfers between public administration units</w:t>
            </w:r>
          </w:p>
        </w:tc>
        <w:tc>
          <w:tcPr>
            <w:tcW w:w="1170" w:type="dxa"/>
            <w:shd w:val="clear" w:color="auto" w:fill="ACB9CA" w:themeFill="text2" w:themeFillTint="66"/>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p>
        </w:tc>
        <w:tc>
          <w:tcPr>
            <w:tcW w:w="1260" w:type="dxa"/>
            <w:gridSpan w:val="3"/>
            <w:shd w:val="clear" w:color="auto" w:fill="ACB9CA" w:themeFill="text2" w:themeFillTint="66"/>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p>
        </w:tc>
        <w:tc>
          <w:tcPr>
            <w:tcW w:w="990" w:type="dxa"/>
            <w:shd w:val="clear" w:color="auto" w:fill="ACB9CA" w:themeFill="text2" w:themeFillTint="66"/>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p>
        </w:tc>
        <w:tc>
          <w:tcPr>
            <w:tcW w:w="1260" w:type="dxa"/>
            <w:shd w:val="clear" w:color="auto" w:fill="ACB9CA" w:themeFill="text2" w:themeFillTint="66"/>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p>
        </w:tc>
        <w:tc>
          <w:tcPr>
            <w:tcW w:w="1188" w:type="dxa"/>
            <w:shd w:val="clear" w:color="auto" w:fill="ACB9CA" w:themeFill="text2" w:themeFillTint="66"/>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p>
        </w:tc>
      </w:tr>
      <w:tr w:rsidR="00B90F89"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B90F89" w:rsidRPr="009D1595" w:rsidRDefault="00B90F89" w:rsidP="00C35D71">
            <w:pPr>
              <w:rPr>
                <w:b w:val="0"/>
                <w:sz w:val="18"/>
              </w:rPr>
            </w:pPr>
            <w:r w:rsidRPr="009D1595">
              <w:rPr>
                <w:b w:val="0"/>
                <w:sz w:val="18"/>
              </w:rPr>
              <w:t>Million Lei</w:t>
            </w:r>
          </w:p>
        </w:tc>
        <w:tc>
          <w:tcPr>
            <w:tcW w:w="1170" w:type="dxa"/>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r>
              <w:rPr>
                <w:sz w:val="18"/>
              </w:rPr>
              <w:t>3,181*)</w:t>
            </w:r>
          </w:p>
        </w:tc>
        <w:tc>
          <w:tcPr>
            <w:tcW w:w="1260" w:type="dxa"/>
            <w:gridSpan w:val="3"/>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r>
              <w:rPr>
                <w:sz w:val="18"/>
              </w:rPr>
              <w:t>3,393*)</w:t>
            </w:r>
          </w:p>
        </w:tc>
        <w:tc>
          <w:tcPr>
            <w:tcW w:w="990" w:type="dxa"/>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r>
              <w:rPr>
                <w:sz w:val="18"/>
              </w:rPr>
              <w:t>3,469*)</w:t>
            </w:r>
          </w:p>
        </w:tc>
        <w:tc>
          <w:tcPr>
            <w:tcW w:w="1080" w:type="dxa"/>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r>
              <w:rPr>
                <w:sz w:val="18"/>
              </w:rPr>
              <w:t>4,795*)</w:t>
            </w:r>
          </w:p>
        </w:tc>
        <w:tc>
          <w:tcPr>
            <w:tcW w:w="1260" w:type="dxa"/>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r>
              <w:rPr>
                <w:sz w:val="18"/>
              </w:rPr>
              <w:t>2,285*)</w:t>
            </w:r>
          </w:p>
        </w:tc>
        <w:tc>
          <w:tcPr>
            <w:tcW w:w="1188" w:type="dxa"/>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r>
              <w:rPr>
                <w:sz w:val="18"/>
              </w:rPr>
              <w:t>3,427*)</w:t>
            </w:r>
          </w:p>
        </w:tc>
      </w:tr>
      <w:tr w:rsidR="00B90F89"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B90F89" w:rsidRPr="009D1595" w:rsidRDefault="00B90F89" w:rsidP="00C35D71">
            <w:pPr>
              <w:rPr>
                <w:b w:val="0"/>
                <w:sz w:val="18"/>
              </w:rPr>
            </w:pPr>
            <w:r w:rsidRPr="009D1595">
              <w:rPr>
                <w:b w:val="0"/>
                <w:sz w:val="18"/>
              </w:rPr>
              <w:t>% of G.D.P.</w:t>
            </w:r>
          </w:p>
        </w:tc>
        <w:tc>
          <w:tcPr>
            <w:tcW w:w="1170" w:type="dxa"/>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042</w:t>
            </w:r>
          </w:p>
        </w:tc>
        <w:tc>
          <w:tcPr>
            <w:tcW w:w="1260" w:type="dxa"/>
            <w:gridSpan w:val="3"/>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0.40</w:t>
            </w:r>
          </w:p>
        </w:tc>
        <w:tc>
          <w:tcPr>
            <w:tcW w:w="990" w:type="dxa"/>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0.37</w:t>
            </w:r>
          </w:p>
        </w:tc>
        <w:tc>
          <w:tcPr>
            <w:tcW w:w="1080" w:type="dxa"/>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0.49</w:t>
            </w:r>
          </w:p>
        </w:tc>
        <w:tc>
          <w:tcPr>
            <w:tcW w:w="1260" w:type="dxa"/>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0.22</w:t>
            </w:r>
          </w:p>
        </w:tc>
        <w:tc>
          <w:tcPr>
            <w:tcW w:w="1188" w:type="dxa"/>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0.30</w:t>
            </w:r>
          </w:p>
        </w:tc>
      </w:tr>
      <w:tr w:rsidR="00B90F89" w:rsidRPr="009D1595" w:rsidTr="00C35D71">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B90F89" w:rsidRPr="009D1595" w:rsidRDefault="00B90F89" w:rsidP="00C35D71">
            <w:pPr>
              <w:rPr>
                <w:sz w:val="18"/>
              </w:rPr>
            </w:pPr>
            <w:r w:rsidRPr="009D1595">
              <w:rPr>
                <w:sz w:val="18"/>
              </w:rPr>
              <w:t>Other transfers</w:t>
            </w:r>
          </w:p>
        </w:tc>
        <w:tc>
          <w:tcPr>
            <w:tcW w:w="1170" w:type="dxa"/>
            <w:shd w:val="clear" w:color="auto" w:fill="ACB9CA" w:themeFill="text2" w:themeFillTint="66"/>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p>
        </w:tc>
        <w:tc>
          <w:tcPr>
            <w:tcW w:w="1260" w:type="dxa"/>
            <w:gridSpan w:val="3"/>
            <w:shd w:val="clear" w:color="auto" w:fill="ACB9CA" w:themeFill="text2" w:themeFillTint="66"/>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p>
        </w:tc>
        <w:tc>
          <w:tcPr>
            <w:tcW w:w="990" w:type="dxa"/>
            <w:shd w:val="clear" w:color="auto" w:fill="ACB9CA" w:themeFill="text2" w:themeFillTint="66"/>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p>
        </w:tc>
        <w:tc>
          <w:tcPr>
            <w:tcW w:w="1260" w:type="dxa"/>
            <w:shd w:val="clear" w:color="auto" w:fill="ACB9CA" w:themeFill="text2" w:themeFillTint="66"/>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p>
        </w:tc>
        <w:tc>
          <w:tcPr>
            <w:tcW w:w="1188" w:type="dxa"/>
            <w:shd w:val="clear" w:color="auto" w:fill="ACB9CA" w:themeFill="text2" w:themeFillTint="66"/>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p>
        </w:tc>
      </w:tr>
      <w:tr w:rsidR="00B90F89"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B90F89" w:rsidRPr="009D1595" w:rsidRDefault="00B90F89" w:rsidP="00C35D71">
            <w:pPr>
              <w:rPr>
                <w:b w:val="0"/>
                <w:sz w:val="18"/>
              </w:rPr>
            </w:pPr>
            <w:r w:rsidRPr="009D1595">
              <w:rPr>
                <w:b w:val="0"/>
                <w:sz w:val="18"/>
              </w:rPr>
              <w:t>Million Lei</w:t>
            </w:r>
          </w:p>
        </w:tc>
        <w:tc>
          <w:tcPr>
            <w:tcW w:w="1170" w:type="dxa"/>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5</w:t>
            </w:r>
          </w:p>
        </w:tc>
        <w:tc>
          <w:tcPr>
            <w:tcW w:w="1260" w:type="dxa"/>
            <w:gridSpan w:val="3"/>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5</w:t>
            </w:r>
          </w:p>
        </w:tc>
        <w:tc>
          <w:tcPr>
            <w:tcW w:w="990" w:type="dxa"/>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5</w:t>
            </w:r>
          </w:p>
        </w:tc>
        <w:tc>
          <w:tcPr>
            <w:tcW w:w="1080" w:type="dxa"/>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32</w:t>
            </w:r>
          </w:p>
        </w:tc>
        <w:tc>
          <w:tcPr>
            <w:tcW w:w="1260" w:type="dxa"/>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6</w:t>
            </w:r>
          </w:p>
        </w:tc>
        <w:tc>
          <w:tcPr>
            <w:tcW w:w="1188" w:type="dxa"/>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6</w:t>
            </w:r>
          </w:p>
        </w:tc>
      </w:tr>
      <w:tr w:rsidR="00B90F89"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B90F89" w:rsidRPr="009D1595" w:rsidRDefault="00B90F89" w:rsidP="00C35D71">
            <w:pPr>
              <w:rPr>
                <w:b w:val="0"/>
                <w:sz w:val="18"/>
              </w:rPr>
            </w:pPr>
            <w:r w:rsidRPr="009D1595">
              <w:rPr>
                <w:b w:val="0"/>
                <w:sz w:val="18"/>
              </w:rPr>
              <w:t>% of G.D.P.</w:t>
            </w:r>
          </w:p>
        </w:tc>
        <w:tc>
          <w:tcPr>
            <w:tcW w:w="1170" w:type="dxa"/>
          </w:tcPr>
          <w:p w:rsidR="00B90F89" w:rsidRPr="00C40410" w:rsidRDefault="00B90F89" w:rsidP="00C35D71">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0.00</w:t>
            </w:r>
          </w:p>
        </w:tc>
        <w:tc>
          <w:tcPr>
            <w:tcW w:w="1260" w:type="dxa"/>
            <w:gridSpan w:val="3"/>
          </w:tcPr>
          <w:p w:rsidR="00B90F89" w:rsidRDefault="00B90F89" w:rsidP="00C35D71">
            <w:pPr>
              <w:cnfStyle w:val="000000000000" w:firstRow="0" w:lastRow="0" w:firstColumn="0" w:lastColumn="0" w:oddVBand="0" w:evenVBand="0" w:oddHBand="0" w:evenHBand="0" w:firstRowFirstColumn="0" w:firstRowLastColumn="0" w:lastRowFirstColumn="0" w:lastRowLastColumn="0"/>
            </w:pPr>
            <w:r w:rsidRPr="00F63720">
              <w:rPr>
                <w:sz w:val="18"/>
                <w:szCs w:val="18"/>
              </w:rPr>
              <w:t>0.00</w:t>
            </w:r>
          </w:p>
        </w:tc>
        <w:tc>
          <w:tcPr>
            <w:tcW w:w="990" w:type="dxa"/>
          </w:tcPr>
          <w:p w:rsidR="00B90F89" w:rsidRDefault="00B90F89" w:rsidP="00C35D71">
            <w:pPr>
              <w:cnfStyle w:val="000000000000" w:firstRow="0" w:lastRow="0" w:firstColumn="0" w:lastColumn="0" w:oddVBand="0" w:evenVBand="0" w:oddHBand="0" w:evenHBand="0" w:firstRowFirstColumn="0" w:firstRowLastColumn="0" w:lastRowFirstColumn="0" w:lastRowLastColumn="0"/>
            </w:pPr>
            <w:r w:rsidRPr="00F63720">
              <w:rPr>
                <w:sz w:val="18"/>
                <w:szCs w:val="18"/>
              </w:rPr>
              <w:t>0.00</w:t>
            </w:r>
          </w:p>
        </w:tc>
        <w:tc>
          <w:tcPr>
            <w:tcW w:w="1080" w:type="dxa"/>
          </w:tcPr>
          <w:p w:rsidR="00B90F89" w:rsidRDefault="00B90F89" w:rsidP="00C35D71">
            <w:pPr>
              <w:cnfStyle w:val="000000000000" w:firstRow="0" w:lastRow="0" w:firstColumn="0" w:lastColumn="0" w:oddVBand="0" w:evenVBand="0" w:oddHBand="0" w:evenHBand="0" w:firstRowFirstColumn="0" w:firstRowLastColumn="0" w:lastRowFirstColumn="0" w:lastRowLastColumn="0"/>
            </w:pPr>
            <w:r w:rsidRPr="00F63720">
              <w:rPr>
                <w:sz w:val="18"/>
                <w:szCs w:val="18"/>
              </w:rPr>
              <w:t>0.00</w:t>
            </w:r>
          </w:p>
        </w:tc>
        <w:tc>
          <w:tcPr>
            <w:tcW w:w="1260" w:type="dxa"/>
          </w:tcPr>
          <w:p w:rsidR="00B90F89" w:rsidRDefault="00B90F89" w:rsidP="00C35D71">
            <w:pPr>
              <w:cnfStyle w:val="000000000000" w:firstRow="0" w:lastRow="0" w:firstColumn="0" w:lastColumn="0" w:oddVBand="0" w:evenVBand="0" w:oddHBand="0" w:evenHBand="0" w:firstRowFirstColumn="0" w:firstRowLastColumn="0" w:lastRowFirstColumn="0" w:lastRowLastColumn="0"/>
            </w:pPr>
            <w:r w:rsidRPr="00F63720">
              <w:rPr>
                <w:sz w:val="18"/>
                <w:szCs w:val="18"/>
              </w:rPr>
              <w:t>0.00</w:t>
            </w:r>
          </w:p>
        </w:tc>
        <w:tc>
          <w:tcPr>
            <w:tcW w:w="1188" w:type="dxa"/>
          </w:tcPr>
          <w:p w:rsidR="00B90F89" w:rsidRDefault="00B90F89" w:rsidP="00C35D71">
            <w:pPr>
              <w:cnfStyle w:val="000000000000" w:firstRow="0" w:lastRow="0" w:firstColumn="0" w:lastColumn="0" w:oddVBand="0" w:evenVBand="0" w:oddHBand="0" w:evenHBand="0" w:firstRowFirstColumn="0" w:firstRowLastColumn="0" w:lastRowFirstColumn="0" w:lastRowLastColumn="0"/>
            </w:pPr>
            <w:r w:rsidRPr="00F63720">
              <w:rPr>
                <w:sz w:val="18"/>
                <w:szCs w:val="18"/>
              </w:rPr>
              <w:t>0.00</w:t>
            </w:r>
          </w:p>
        </w:tc>
      </w:tr>
      <w:tr w:rsidR="00B90F89"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B90F89" w:rsidRPr="009D1595" w:rsidRDefault="00B90F89" w:rsidP="00C35D71">
            <w:pPr>
              <w:rPr>
                <w:sz w:val="18"/>
              </w:rPr>
            </w:pPr>
            <w:r w:rsidRPr="009D1595">
              <w:rPr>
                <w:sz w:val="18"/>
              </w:rPr>
              <w:t>Projects with financing from external non-reimbursable funds (ENF)</w:t>
            </w:r>
          </w:p>
        </w:tc>
        <w:tc>
          <w:tcPr>
            <w:tcW w:w="1170" w:type="dxa"/>
            <w:shd w:val="clear" w:color="auto" w:fill="ACB9CA" w:themeFill="text2" w:themeFillTint="66"/>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b/>
                <w:sz w:val="18"/>
              </w:rPr>
            </w:pPr>
          </w:p>
        </w:tc>
        <w:tc>
          <w:tcPr>
            <w:tcW w:w="1260" w:type="dxa"/>
            <w:gridSpan w:val="3"/>
            <w:shd w:val="clear" w:color="auto" w:fill="ACB9CA" w:themeFill="text2" w:themeFillTint="66"/>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b/>
                <w:sz w:val="18"/>
              </w:rPr>
            </w:pPr>
          </w:p>
        </w:tc>
        <w:tc>
          <w:tcPr>
            <w:tcW w:w="990" w:type="dxa"/>
            <w:shd w:val="clear" w:color="auto" w:fill="ACB9CA" w:themeFill="text2" w:themeFillTint="66"/>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b/>
                <w:sz w:val="18"/>
              </w:rPr>
            </w:pPr>
          </w:p>
        </w:tc>
        <w:tc>
          <w:tcPr>
            <w:tcW w:w="1080" w:type="dxa"/>
            <w:shd w:val="clear" w:color="auto" w:fill="ACB9CA" w:themeFill="text2" w:themeFillTint="66"/>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b/>
                <w:sz w:val="18"/>
              </w:rPr>
            </w:pPr>
          </w:p>
        </w:tc>
        <w:tc>
          <w:tcPr>
            <w:tcW w:w="1260" w:type="dxa"/>
            <w:shd w:val="clear" w:color="auto" w:fill="ACB9CA" w:themeFill="text2" w:themeFillTint="66"/>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b/>
                <w:sz w:val="18"/>
              </w:rPr>
            </w:pPr>
          </w:p>
        </w:tc>
        <w:tc>
          <w:tcPr>
            <w:tcW w:w="1188" w:type="dxa"/>
            <w:shd w:val="clear" w:color="auto" w:fill="ACB9CA" w:themeFill="text2" w:themeFillTint="66"/>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b/>
                <w:sz w:val="18"/>
              </w:rPr>
            </w:pPr>
          </w:p>
        </w:tc>
      </w:tr>
      <w:tr w:rsidR="00B90F89"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B90F89" w:rsidRPr="009D1595" w:rsidRDefault="00B90F89" w:rsidP="00C35D71">
            <w:pPr>
              <w:rPr>
                <w:b w:val="0"/>
                <w:sz w:val="18"/>
              </w:rPr>
            </w:pPr>
            <w:r w:rsidRPr="009D1595">
              <w:rPr>
                <w:b w:val="0"/>
                <w:sz w:val="18"/>
              </w:rPr>
              <w:t>Million Lei</w:t>
            </w:r>
          </w:p>
        </w:tc>
        <w:tc>
          <w:tcPr>
            <w:tcW w:w="1170" w:type="dxa"/>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r>
              <w:rPr>
                <w:sz w:val="18"/>
              </w:rPr>
              <w:t>9</w:t>
            </w:r>
          </w:p>
        </w:tc>
        <w:tc>
          <w:tcPr>
            <w:tcW w:w="1260" w:type="dxa"/>
            <w:gridSpan w:val="3"/>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r>
              <w:rPr>
                <w:sz w:val="18"/>
              </w:rPr>
              <w:t>4</w:t>
            </w:r>
          </w:p>
        </w:tc>
        <w:tc>
          <w:tcPr>
            <w:tcW w:w="990" w:type="dxa"/>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r>
              <w:rPr>
                <w:sz w:val="18"/>
              </w:rPr>
              <w:t>1</w:t>
            </w:r>
          </w:p>
        </w:tc>
        <w:tc>
          <w:tcPr>
            <w:tcW w:w="1080" w:type="dxa"/>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r>
              <w:rPr>
                <w:sz w:val="18"/>
              </w:rPr>
              <w:t>4</w:t>
            </w:r>
          </w:p>
        </w:tc>
        <w:tc>
          <w:tcPr>
            <w:tcW w:w="1260" w:type="dxa"/>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r>
              <w:rPr>
                <w:sz w:val="18"/>
              </w:rPr>
              <w:t>9</w:t>
            </w:r>
          </w:p>
        </w:tc>
        <w:tc>
          <w:tcPr>
            <w:tcW w:w="1188" w:type="dxa"/>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p>
        </w:tc>
      </w:tr>
      <w:tr w:rsidR="00B90F89"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B90F89" w:rsidRPr="009D1595" w:rsidRDefault="00B90F89" w:rsidP="00C35D71">
            <w:pPr>
              <w:rPr>
                <w:b w:val="0"/>
                <w:sz w:val="18"/>
              </w:rPr>
            </w:pPr>
            <w:r w:rsidRPr="009D1595">
              <w:rPr>
                <w:b w:val="0"/>
                <w:sz w:val="18"/>
              </w:rPr>
              <w:t>% of G.D.P.</w:t>
            </w:r>
          </w:p>
        </w:tc>
        <w:tc>
          <w:tcPr>
            <w:tcW w:w="1170" w:type="dxa"/>
          </w:tcPr>
          <w:p w:rsidR="00B90F89" w:rsidRDefault="00B90F89" w:rsidP="00C35D71">
            <w:pPr>
              <w:cnfStyle w:val="000000100000" w:firstRow="0" w:lastRow="0" w:firstColumn="0" w:lastColumn="0" w:oddVBand="0" w:evenVBand="0" w:oddHBand="1" w:evenHBand="0" w:firstRowFirstColumn="0" w:firstRowLastColumn="0" w:lastRowFirstColumn="0" w:lastRowLastColumn="0"/>
            </w:pPr>
            <w:r w:rsidRPr="00465E2D">
              <w:rPr>
                <w:sz w:val="18"/>
                <w:szCs w:val="18"/>
              </w:rPr>
              <w:t>0.00</w:t>
            </w:r>
          </w:p>
        </w:tc>
        <w:tc>
          <w:tcPr>
            <w:tcW w:w="1260" w:type="dxa"/>
            <w:gridSpan w:val="3"/>
          </w:tcPr>
          <w:p w:rsidR="00B90F89" w:rsidRDefault="00B90F89" w:rsidP="00C35D71">
            <w:pPr>
              <w:cnfStyle w:val="000000100000" w:firstRow="0" w:lastRow="0" w:firstColumn="0" w:lastColumn="0" w:oddVBand="0" w:evenVBand="0" w:oddHBand="1" w:evenHBand="0" w:firstRowFirstColumn="0" w:firstRowLastColumn="0" w:lastRowFirstColumn="0" w:lastRowLastColumn="0"/>
            </w:pPr>
            <w:r w:rsidRPr="00465E2D">
              <w:rPr>
                <w:sz w:val="18"/>
                <w:szCs w:val="18"/>
              </w:rPr>
              <w:t>0.00</w:t>
            </w:r>
          </w:p>
        </w:tc>
        <w:tc>
          <w:tcPr>
            <w:tcW w:w="990" w:type="dxa"/>
          </w:tcPr>
          <w:p w:rsidR="00B90F89" w:rsidRDefault="00B90F89" w:rsidP="00C35D71">
            <w:pPr>
              <w:cnfStyle w:val="000000100000" w:firstRow="0" w:lastRow="0" w:firstColumn="0" w:lastColumn="0" w:oddVBand="0" w:evenVBand="0" w:oddHBand="1" w:evenHBand="0" w:firstRowFirstColumn="0" w:firstRowLastColumn="0" w:lastRowFirstColumn="0" w:lastRowLastColumn="0"/>
            </w:pPr>
            <w:r w:rsidRPr="00465E2D">
              <w:rPr>
                <w:sz w:val="18"/>
                <w:szCs w:val="18"/>
              </w:rPr>
              <w:t>0.00</w:t>
            </w:r>
          </w:p>
        </w:tc>
        <w:tc>
          <w:tcPr>
            <w:tcW w:w="1080" w:type="dxa"/>
          </w:tcPr>
          <w:p w:rsidR="00B90F89" w:rsidRDefault="00B90F89" w:rsidP="00C35D71">
            <w:pPr>
              <w:cnfStyle w:val="000000100000" w:firstRow="0" w:lastRow="0" w:firstColumn="0" w:lastColumn="0" w:oddVBand="0" w:evenVBand="0" w:oddHBand="1" w:evenHBand="0" w:firstRowFirstColumn="0" w:firstRowLastColumn="0" w:lastRowFirstColumn="0" w:lastRowLastColumn="0"/>
            </w:pPr>
            <w:r w:rsidRPr="00465E2D">
              <w:rPr>
                <w:sz w:val="18"/>
                <w:szCs w:val="18"/>
              </w:rPr>
              <w:t>0.00</w:t>
            </w:r>
          </w:p>
        </w:tc>
        <w:tc>
          <w:tcPr>
            <w:tcW w:w="1260" w:type="dxa"/>
          </w:tcPr>
          <w:p w:rsidR="00B90F89" w:rsidRDefault="00B90F89" w:rsidP="00C35D71">
            <w:pPr>
              <w:cnfStyle w:val="000000100000" w:firstRow="0" w:lastRow="0" w:firstColumn="0" w:lastColumn="0" w:oddVBand="0" w:evenVBand="0" w:oddHBand="1" w:evenHBand="0" w:firstRowFirstColumn="0" w:firstRowLastColumn="0" w:lastRowFirstColumn="0" w:lastRowLastColumn="0"/>
            </w:pPr>
            <w:r w:rsidRPr="00465E2D">
              <w:rPr>
                <w:sz w:val="18"/>
                <w:szCs w:val="18"/>
              </w:rPr>
              <w:t>0.00</w:t>
            </w:r>
          </w:p>
        </w:tc>
        <w:tc>
          <w:tcPr>
            <w:tcW w:w="1188" w:type="dxa"/>
          </w:tcPr>
          <w:p w:rsidR="00B90F89" w:rsidRDefault="00B90F89" w:rsidP="00C35D71">
            <w:pPr>
              <w:cnfStyle w:val="000000100000" w:firstRow="0" w:lastRow="0" w:firstColumn="0" w:lastColumn="0" w:oddVBand="0" w:evenVBand="0" w:oddHBand="1" w:evenHBand="0" w:firstRowFirstColumn="0" w:firstRowLastColumn="0" w:lastRowFirstColumn="0" w:lastRowLastColumn="0"/>
            </w:pPr>
            <w:r w:rsidRPr="00465E2D">
              <w:rPr>
                <w:sz w:val="18"/>
                <w:szCs w:val="18"/>
              </w:rPr>
              <w:t>0.00</w:t>
            </w:r>
          </w:p>
        </w:tc>
      </w:tr>
      <w:tr w:rsidR="00B90F89" w:rsidRPr="009D1595" w:rsidTr="00C35D71">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B90F89" w:rsidRPr="009D1595" w:rsidRDefault="00B90F89" w:rsidP="00C35D71">
            <w:pPr>
              <w:rPr>
                <w:sz w:val="18"/>
              </w:rPr>
            </w:pPr>
            <w:r w:rsidRPr="009D1595">
              <w:rPr>
                <w:sz w:val="18"/>
              </w:rPr>
              <w:t>Social assistance</w:t>
            </w:r>
          </w:p>
        </w:tc>
        <w:tc>
          <w:tcPr>
            <w:tcW w:w="1170" w:type="dxa"/>
            <w:shd w:val="clear" w:color="auto" w:fill="ACB9CA" w:themeFill="text2" w:themeFillTint="66"/>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p>
        </w:tc>
        <w:tc>
          <w:tcPr>
            <w:tcW w:w="1260" w:type="dxa"/>
            <w:gridSpan w:val="3"/>
            <w:shd w:val="clear" w:color="auto" w:fill="ACB9CA" w:themeFill="text2" w:themeFillTint="66"/>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p>
        </w:tc>
        <w:tc>
          <w:tcPr>
            <w:tcW w:w="990" w:type="dxa"/>
            <w:shd w:val="clear" w:color="auto" w:fill="ACB9CA" w:themeFill="text2" w:themeFillTint="66"/>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p>
        </w:tc>
        <w:tc>
          <w:tcPr>
            <w:tcW w:w="1260" w:type="dxa"/>
            <w:shd w:val="clear" w:color="auto" w:fill="ACB9CA" w:themeFill="text2" w:themeFillTint="66"/>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p>
        </w:tc>
        <w:tc>
          <w:tcPr>
            <w:tcW w:w="1188" w:type="dxa"/>
            <w:shd w:val="clear" w:color="auto" w:fill="ACB9CA" w:themeFill="text2" w:themeFillTint="66"/>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p>
        </w:tc>
      </w:tr>
      <w:tr w:rsidR="00B90F89"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B90F89" w:rsidRPr="009D1595" w:rsidRDefault="00B90F89" w:rsidP="00C35D71">
            <w:pPr>
              <w:rPr>
                <w:b w:val="0"/>
                <w:sz w:val="18"/>
              </w:rPr>
            </w:pPr>
            <w:r w:rsidRPr="009D1595">
              <w:rPr>
                <w:b w:val="0"/>
                <w:sz w:val="18"/>
              </w:rPr>
              <w:t>Million Lei</w:t>
            </w:r>
          </w:p>
        </w:tc>
        <w:tc>
          <w:tcPr>
            <w:tcW w:w="1170" w:type="dxa"/>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438</w:t>
            </w:r>
          </w:p>
        </w:tc>
        <w:tc>
          <w:tcPr>
            <w:tcW w:w="1260" w:type="dxa"/>
            <w:gridSpan w:val="3"/>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394</w:t>
            </w:r>
          </w:p>
        </w:tc>
        <w:tc>
          <w:tcPr>
            <w:tcW w:w="990" w:type="dxa"/>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714</w:t>
            </w:r>
          </w:p>
        </w:tc>
        <w:tc>
          <w:tcPr>
            <w:tcW w:w="1080" w:type="dxa"/>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500</w:t>
            </w:r>
          </w:p>
        </w:tc>
        <w:tc>
          <w:tcPr>
            <w:tcW w:w="1260" w:type="dxa"/>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518</w:t>
            </w:r>
          </w:p>
        </w:tc>
        <w:tc>
          <w:tcPr>
            <w:tcW w:w="1188" w:type="dxa"/>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534</w:t>
            </w:r>
          </w:p>
        </w:tc>
      </w:tr>
      <w:tr w:rsidR="00B90F89"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B90F89" w:rsidRPr="009D1595" w:rsidRDefault="00B90F89" w:rsidP="00C35D71">
            <w:pPr>
              <w:rPr>
                <w:b w:val="0"/>
                <w:sz w:val="18"/>
              </w:rPr>
            </w:pPr>
            <w:r w:rsidRPr="009D1595">
              <w:rPr>
                <w:b w:val="0"/>
                <w:sz w:val="18"/>
              </w:rPr>
              <w:t>% of G.D.P.</w:t>
            </w:r>
          </w:p>
        </w:tc>
        <w:tc>
          <w:tcPr>
            <w:tcW w:w="1170" w:type="dxa"/>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0.06</w:t>
            </w:r>
          </w:p>
        </w:tc>
        <w:tc>
          <w:tcPr>
            <w:tcW w:w="1260" w:type="dxa"/>
            <w:gridSpan w:val="3"/>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0.05</w:t>
            </w:r>
          </w:p>
        </w:tc>
        <w:tc>
          <w:tcPr>
            <w:tcW w:w="990" w:type="dxa"/>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0.08</w:t>
            </w:r>
          </w:p>
        </w:tc>
        <w:tc>
          <w:tcPr>
            <w:tcW w:w="1080" w:type="dxa"/>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0.05</w:t>
            </w:r>
          </w:p>
        </w:tc>
        <w:tc>
          <w:tcPr>
            <w:tcW w:w="1260" w:type="dxa"/>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0.05</w:t>
            </w:r>
          </w:p>
        </w:tc>
        <w:tc>
          <w:tcPr>
            <w:tcW w:w="1188" w:type="dxa"/>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0.05</w:t>
            </w:r>
          </w:p>
        </w:tc>
      </w:tr>
      <w:tr w:rsidR="00B90F89"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B90F89" w:rsidRPr="009D1595" w:rsidRDefault="00B90F89" w:rsidP="00C35D71">
            <w:pPr>
              <w:rPr>
                <w:sz w:val="18"/>
              </w:rPr>
            </w:pPr>
            <w:r w:rsidRPr="009D1595">
              <w:rPr>
                <w:sz w:val="18"/>
              </w:rPr>
              <w:t>Projects with financing from external non-reimbursable funds corresponding to the financial framework 2014-2020</w:t>
            </w:r>
          </w:p>
        </w:tc>
        <w:tc>
          <w:tcPr>
            <w:tcW w:w="1170" w:type="dxa"/>
            <w:shd w:val="clear" w:color="auto" w:fill="ACB9CA" w:themeFill="text2" w:themeFillTint="66"/>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p>
        </w:tc>
        <w:tc>
          <w:tcPr>
            <w:tcW w:w="1260" w:type="dxa"/>
            <w:gridSpan w:val="3"/>
            <w:shd w:val="clear" w:color="auto" w:fill="ACB9CA" w:themeFill="text2" w:themeFillTint="66"/>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p>
        </w:tc>
        <w:tc>
          <w:tcPr>
            <w:tcW w:w="990" w:type="dxa"/>
            <w:shd w:val="clear" w:color="auto" w:fill="ACB9CA" w:themeFill="text2" w:themeFillTint="66"/>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p>
        </w:tc>
        <w:tc>
          <w:tcPr>
            <w:tcW w:w="1260" w:type="dxa"/>
            <w:shd w:val="clear" w:color="auto" w:fill="ACB9CA" w:themeFill="text2" w:themeFillTint="66"/>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p>
        </w:tc>
        <w:tc>
          <w:tcPr>
            <w:tcW w:w="1188" w:type="dxa"/>
            <w:shd w:val="clear" w:color="auto" w:fill="ACB9CA" w:themeFill="text2" w:themeFillTint="66"/>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p>
        </w:tc>
      </w:tr>
      <w:tr w:rsidR="00B90F89"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B90F89" w:rsidRPr="009D1595" w:rsidRDefault="00B90F89" w:rsidP="00C35D71">
            <w:pPr>
              <w:rPr>
                <w:b w:val="0"/>
                <w:sz w:val="18"/>
              </w:rPr>
            </w:pPr>
            <w:r w:rsidRPr="009D1595">
              <w:rPr>
                <w:b w:val="0"/>
                <w:sz w:val="18"/>
              </w:rPr>
              <w:t>Million Lei</w:t>
            </w:r>
          </w:p>
        </w:tc>
        <w:tc>
          <w:tcPr>
            <w:tcW w:w="1170" w:type="dxa"/>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r>
              <w:rPr>
                <w:sz w:val="18"/>
              </w:rPr>
              <w:t>0</w:t>
            </w:r>
          </w:p>
        </w:tc>
        <w:tc>
          <w:tcPr>
            <w:tcW w:w="1260" w:type="dxa"/>
            <w:gridSpan w:val="3"/>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r>
              <w:rPr>
                <w:sz w:val="18"/>
              </w:rPr>
              <w:t>1</w:t>
            </w:r>
          </w:p>
        </w:tc>
        <w:tc>
          <w:tcPr>
            <w:tcW w:w="990" w:type="dxa"/>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r>
              <w:rPr>
                <w:sz w:val="18"/>
              </w:rPr>
              <w:t>2</w:t>
            </w:r>
          </w:p>
        </w:tc>
        <w:tc>
          <w:tcPr>
            <w:tcW w:w="1080" w:type="dxa"/>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r>
              <w:rPr>
                <w:sz w:val="18"/>
              </w:rPr>
              <w:t>94</w:t>
            </w:r>
          </w:p>
        </w:tc>
        <w:tc>
          <w:tcPr>
            <w:tcW w:w="1260" w:type="dxa"/>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r>
              <w:rPr>
                <w:sz w:val="18"/>
              </w:rPr>
              <w:t>38</w:t>
            </w:r>
          </w:p>
        </w:tc>
        <w:tc>
          <w:tcPr>
            <w:tcW w:w="1188" w:type="dxa"/>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r>
              <w:rPr>
                <w:sz w:val="18"/>
              </w:rPr>
              <w:t>32</w:t>
            </w:r>
          </w:p>
        </w:tc>
      </w:tr>
      <w:tr w:rsidR="00B90F89"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B90F89" w:rsidRPr="009D1595" w:rsidRDefault="00B90F89" w:rsidP="00C35D71">
            <w:pPr>
              <w:rPr>
                <w:b w:val="0"/>
                <w:sz w:val="18"/>
              </w:rPr>
            </w:pPr>
            <w:r w:rsidRPr="009D1595">
              <w:rPr>
                <w:b w:val="0"/>
                <w:sz w:val="18"/>
              </w:rPr>
              <w:t>% of G.D.P.</w:t>
            </w:r>
          </w:p>
        </w:tc>
        <w:tc>
          <w:tcPr>
            <w:tcW w:w="1170" w:type="dxa"/>
          </w:tcPr>
          <w:p w:rsidR="00B90F89" w:rsidRDefault="00B90F89" w:rsidP="00C35D71">
            <w:pPr>
              <w:cnfStyle w:val="000000100000" w:firstRow="0" w:lastRow="0" w:firstColumn="0" w:lastColumn="0" w:oddVBand="0" w:evenVBand="0" w:oddHBand="1" w:evenHBand="0" w:firstRowFirstColumn="0" w:firstRowLastColumn="0" w:lastRowFirstColumn="0" w:lastRowLastColumn="0"/>
            </w:pPr>
            <w:r w:rsidRPr="00E0094C">
              <w:rPr>
                <w:sz w:val="18"/>
                <w:szCs w:val="18"/>
              </w:rPr>
              <w:t>0.00</w:t>
            </w:r>
          </w:p>
        </w:tc>
        <w:tc>
          <w:tcPr>
            <w:tcW w:w="1260" w:type="dxa"/>
            <w:gridSpan w:val="3"/>
          </w:tcPr>
          <w:p w:rsidR="00B90F89" w:rsidRDefault="00B90F89" w:rsidP="00C35D71">
            <w:pPr>
              <w:cnfStyle w:val="000000100000" w:firstRow="0" w:lastRow="0" w:firstColumn="0" w:lastColumn="0" w:oddVBand="0" w:evenVBand="0" w:oddHBand="1" w:evenHBand="0" w:firstRowFirstColumn="0" w:firstRowLastColumn="0" w:lastRowFirstColumn="0" w:lastRowLastColumn="0"/>
            </w:pPr>
            <w:r w:rsidRPr="00E0094C">
              <w:rPr>
                <w:sz w:val="18"/>
                <w:szCs w:val="18"/>
              </w:rPr>
              <w:t>0.00</w:t>
            </w:r>
          </w:p>
        </w:tc>
        <w:tc>
          <w:tcPr>
            <w:tcW w:w="990" w:type="dxa"/>
          </w:tcPr>
          <w:p w:rsidR="00B90F89" w:rsidRDefault="00B90F89" w:rsidP="00C35D71">
            <w:pPr>
              <w:cnfStyle w:val="000000100000" w:firstRow="0" w:lastRow="0" w:firstColumn="0" w:lastColumn="0" w:oddVBand="0" w:evenVBand="0" w:oddHBand="1" w:evenHBand="0" w:firstRowFirstColumn="0" w:firstRowLastColumn="0" w:lastRowFirstColumn="0" w:lastRowLastColumn="0"/>
            </w:pPr>
            <w:r w:rsidRPr="00E0094C">
              <w:rPr>
                <w:sz w:val="18"/>
                <w:szCs w:val="18"/>
              </w:rPr>
              <w:t>0.00</w:t>
            </w:r>
          </w:p>
        </w:tc>
        <w:tc>
          <w:tcPr>
            <w:tcW w:w="1080" w:type="dxa"/>
          </w:tcPr>
          <w:p w:rsidR="00B90F89" w:rsidRDefault="00B90F89" w:rsidP="00C35D71">
            <w:pPr>
              <w:cnfStyle w:val="000000100000" w:firstRow="0" w:lastRow="0" w:firstColumn="0" w:lastColumn="0" w:oddVBand="0" w:evenVBand="0" w:oddHBand="1" w:evenHBand="0" w:firstRowFirstColumn="0" w:firstRowLastColumn="0" w:lastRowFirstColumn="0" w:lastRowLastColumn="0"/>
            </w:pPr>
            <w:r>
              <w:rPr>
                <w:sz w:val="18"/>
                <w:szCs w:val="18"/>
              </w:rPr>
              <w:t>0.01</w:t>
            </w:r>
          </w:p>
        </w:tc>
        <w:tc>
          <w:tcPr>
            <w:tcW w:w="1260" w:type="dxa"/>
          </w:tcPr>
          <w:p w:rsidR="00B90F89" w:rsidRDefault="00B90F89" w:rsidP="00C35D71">
            <w:pPr>
              <w:cnfStyle w:val="000000100000" w:firstRow="0" w:lastRow="0" w:firstColumn="0" w:lastColumn="0" w:oddVBand="0" w:evenVBand="0" w:oddHBand="1" w:evenHBand="0" w:firstRowFirstColumn="0" w:firstRowLastColumn="0" w:lastRowFirstColumn="0" w:lastRowLastColumn="0"/>
            </w:pPr>
            <w:r w:rsidRPr="00E0094C">
              <w:rPr>
                <w:sz w:val="18"/>
                <w:szCs w:val="18"/>
              </w:rPr>
              <w:t>0.00</w:t>
            </w:r>
          </w:p>
        </w:tc>
        <w:tc>
          <w:tcPr>
            <w:tcW w:w="1188" w:type="dxa"/>
          </w:tcPr>
          <w:p w:rsidR="00B90F89" w:rsidRDefault="00B90F89" w:rsidP="00C35D71">
            <w:pPr>
              <w:cnfStyle w:val="000000100000" w:firstRow="0" w:lastRow="0" w:firstColumn="0" w:lastColumn="0" w:oddVBand="0" w:evenVBand="0" w:oddHBand="1" w:evenHBand="0" w:firstRowFirstColumn="0" w:firstRowLastColumn="0" w:lastRowFirstColumn="0" w:lastRowLastColumn="0"/>
            </w:pPr>
            <w:r w:rsidRPr="00E0094C">
              <w:rPr>
                <w:sz w:val="18"/>
                <w:szCs w:val="18"/>
              </w:rPr>
              <w:t>0.00</w:t>
            </w:r>
          </w:p>
        </w:tc>
      </w:tr>
      <w:tr w:rsidR="00B90F89" w:rsidRPr="009D1595" w:rsidTr="00C35D71">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B90F89" w:rsidRPr="009D1595" w:rsidRDefault="00B90F89" w:rsidP="00C35D71">
            <w:pPr>
              <w:rPr>
                <w:sz w:val="18"/>
              </w:rPr>
            </w:pPr>
            <w:r w:rsidRPr="009D1595">
              <w:rPr>
                <w:sz w:val="18"/>
              </w:rPr>
              <w:t>Other expenditures</w:t>
            </w:r>
          </w:p>
        </w:tc>
        <w:tc>
          <w:tcPr>
            <w:tcW w:w="1170" w:type="dxa"/>
            <w:shd w:val="clear" w:color="auto" w:fill="ACB9CA" w:themeFill="text2" w:themeFillTint="66"/>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p>
        </w:tc>
        <w:tc>
          <w:tcPr>
            <w:tcW w:w="1260" w:type="dxa"/>
            <w:gridSpan w:val="3"/>
            <w:shd w:val="clear" w:color="auto" w:fill="ACB9CA" w:themeFill="text2" w:themeFillTint="66"/>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p>
        </w:tc>
        <w:tc>
          <w:tcPr>
            <w:tcW w:w="990" w:type="dxa"/>
            <w:shd w:val="clear" w:color="auto" w:fill="ACB9CA" w:themeFill="text2" w:themeFillTint="66"/>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p>
        </w:tc>
        <w:tc>
          <w:tcPr>
            <w:tcW w:w="1260" w:type="dxa"/>
            <w:shd w:val="clear" w:color="auto" w:fill="ACB9CA" w:themeFill="text2" w:themeFillTint="66"/>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p>
        </w:tc>
        <w:tc>
          <w:tcPr>
            <w:tcW w:w="1188" w:type="dxa"/>
            <w:shd w:val="clear" w:color="auto" w:fill="ACB9CA" w:themeFill="text2" w:themeFillTint="66"/>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p>
        </w:tc>
      </w:tr>
      <w:tr w:rsidR="00B90F89"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B90F89" w:rsidRPr="009D1595" w:rsidRDefault="00B90F89" w:rsidP="00C35D71">
            <w:pPr>
              <w:rPr>
                <w:b w:val="0"/>
                <w:sz w:val="18"/>
              </w:rPr>
            </w:pPr>
            <w:r w:rsidRPr="009D1595">
              <w:rPr>
                <w:b w:val="0"/>
                <w:sz w:val="18"/>
              </w:rPr>
              <w:t>Million Lei</w:t>
            </w:r>
          </w:p>
        </w:tc>
        <w:tc>
          <w:tcPr>
            <w:tcW w:w="1170" w:type="dxa"/>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1</w:t>
            </w:r>
          </w:p>
        </w:tc>
        <w:tc>
          <w:tcPr>
            <w:tcW w:w="1260" w:type="dxa"/>
            <w:gridSpan w:val="3"/>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1</w:t>
            </w:r>
          </w:p>
        </w:tc>
        <w:tc>
          <w:tcPr>
            <w:tcW w:w="990" w:type="dxa"/>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10</w:t>
            </w:r>
          </w:p>
        </w:tc>
        <w:tc>
          <w:tcPr>
            <w:tcW w:w="1080" w:type="dxa"/>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11</w:t>
            </w:r>
          </w:p>
        </w:tc>
        <w:tc>
          <w:tcPr>
            <w:tcW w:w="1260" w:type="dxa"/>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11</w:t>
            </w:r>
          </w:p>
        </w:tc>
        <w:tc>
          <w:tcPr>
            <w:tcW w:w="1188" w:type="dxa"/>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11</w:t>
            </w:r>
          </w:p>
        </w:tc>
      </w:tr>
      <w:tr w:rsidR="00B90F89"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B90F89" w:rsidRPr="009D1595" w:rsidRDefault="00B90F89" w:rsidP="00C35D71">
            <w:pPr>
              <w:rPr>
                <w:b w:val="0"/>
                <w:sz w:val="18"/>
              </w:rPr>
            </w:pPr>
            <w:r w:rsidRPr="009D1595">
              <w:rPr>
                <w:b w:val="0"/>
                <w:sz w:val="18"/>
              </w:rPr>
              <w:t>% of G.D.P.</w:t>
            </w:r>
          </w:p>
        </w:tc>
        <w:tc>
          <w:tcPr>
            <w:tcW w:w="1170" w:type="dxa"/>
          </w:tcPr>
          <w:p w:rsidR="00B90F89" w:rsidRDefault="00B90F89" w:rsidP="00C35D71">
            <w:pPr>
              <w:cnfStyle w:val="000000000000" w:firstRow="0" w:lastRow="0" w:firstColumn="0" w:lastColumn="0" w:oddVBand="0" w:evenVBand="0" w:oddHBand="0" w:evenHBand="0" w:firstRowFirstColumn="0" w:firstRowLastColumn="0" w:lastRowFirstColumn="0" w:lastRowLastColumn="0"/>
            </w:pPr>
            <w:r w:rsidRPr="00E0094C">
              <w:rPr>
                <w:sz w:val="18"/>
                <w:szCs w:val="18"/>
              </w:rPr>
              <w:t>0.00</w:t>
            </w:r>
          </w:p>
        </w:tc>
        <w:tc>
          <w:tcPr>
            <w:tcW w:w="1260" w:type="dxa"/>
            <w:gridSpan w:val="3"/>
          </w:tcPr>
          <w:p w:rsidR="00B90F89" w:rsidRDefault="00B90F89" w:rsidP="00C35D71">
            <w:pPr>
              <w:cnfStyle w:val="000000000000" w:firstRow="0" w:lastRow="0" w:firstColumn="0" w:lastColumn="0" w:oddVBand="0" w:evenVBand="0" w:oddHBand="0" w:evenHBand="0" w:firstRowFirstColumn="0" w:firstRowLastColumn="0" w:lastRowFirstColumn="0" w:lastRowLastColumn="0"/>
            </w:pPr>
            <w:r w:rsidRPr="00E0094C">
              <w:rPr>
                <w:sz w:val="18"/>
                <w:szCs w:val="18"/>
              </w:rPr>
              <w:t>0.00</w:t>
            </w:r>
          </w:p>
        </w:tc>
        <w:tc>
          <w:tcPr>
            <w:tcW w:w="990" w:type="dxa"/>
          </w:tcPr>
          <w:p w:rsidR="00B90F89" w:rsidRDefault="00B90F89" w:rsidP="00C35D71">
            <w:pPr>
              <w:cnfStyle w:val="000000000000" w:firstRow="0" w:lastRow="0" w:firstColumn="0" w:lastColumn="0" w:oddVBand="0" w:evenVBand="0" w:oddHBand="0" w:evenHBand="0" w:firstRowFirstColumn="0" w:firstRowLastColumn="0" w:lastRowFirstColumn="0" w:lastRowLastColumn="0"/>
            </w:pPr>
            <w:r w:rsidRPr="00E0094C">
              <w:rPr>
                <w:sz w:val="18"/>
                <w:szCs w:val="18"/>
              </w:rPr>
              <w:t>0.00</w:t>
            </w:r>
          </w:p>
        </w:tc>
        <w:tc>
          <w:tcPr>
            <w:tcW w:w="1080" w:type="dxa"/>
          </w:tcPr>
          <w:p w:rsidR="00B90F89" w:rsidRDefault="00B90F89" w:rsidP="00C35D71">
            <w:pPr>
              <w:cnfStyle w:val="000000000000" w:firstRow="0" w:lastRow="0" w:firstColumn="0" w:lastColumn="0" w:oddVBand="0" w:evenVBand="0" w:oddHBand="0" w:evenHBand="0" w:firstRowFirstColumn="0" w:firstRowLastColumn="0" w:lastRowFirstColumn="0" w:lastRowLastColumn="0"/>
            </w:pPr>
            <w:r w:rsidRPr="00E0094C">
              <w:rPr>
                <w:sz w:val="18"/>
                <w:szCs w:val="18"/>
              </w:rPr>
              <w:t>0.00</w:t>
            </w:r>
          </w:p>
        </w:tc>
        <w:tc>
          <w:tcPr>
            <w:tcW w:w="1260" w:type="dxa"/>
          </w:tcPr>
          <w:p w:rsidR="00B90F89" w:rsidRDefault="00B90F89" w:rsidP="00C35D71">
            <w:pPr>
              <w:cnfStyle w:val="000000000000" w:firstRow="0" w:lastRow="0" w:firstColumn="0" w:lastColumn="0" w:oddVBand="0" w:evenVBand="0" w:oddHBand="0" w:evenHBand="0" w:firstRowFirstColumn="0" w:firstRowLastColumn="0" w:lastRowFirstColumn="0" w:lastRowLastColumn="0"/>
            </w:pPr>
            <w:r w:rsidRPr="00E0094C">
              <w:rPr>
                <w:sz w:val="18"/>
                <w:szCs w:val="18"/>
              </w:rPr>
              <w:t>0.00</w:t>
            </w:r>
          </w:p>
        </w:tc>
        <w:tc>
          <w:tcPr>
            <w:tcW w:w="1188" w:type="dxa"/>
          </w:tcPr>
          <w:p w:rsidR="00B90F89" w:rsidRDefault="00B90F89" w:rsidP="00C35D71">
            <w:pPr>
              <w:cnfStyle w:val="000000000000" w:firstRow="0" w:lastRow="0" w:firstColumn="0" w:lastColumn="0" w:oddVBand="0" w:evenVBand="0" w:oddHBand="0" w:evenHBand="0" w:firstRowFirstColumn="0" w:firstRowLastColumn="0" w:lastRowFirstColumn="0" w:lastRowLastColumn="0"/>
            </w:pPr>
            <w:r w:rsidRPr="00E0094C">
              <w:rPr>
                <w:sz w:val="18"/>
                <w:szCs w:val="18"/>
              </w:rPr>
              <w:t>0.00</w:t>
            </w:r>
          </w:p>
        </w:tc>
      </w:tr>
      <w:tr w:rsidR="00B90F89"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B90F89" w:rsidRPr="009D1595" w:rsidRDefault="00B90F89" w:rsidP="00C35D71">
            <w:pPr>
              <w:rPr>
                <w:sz w:val="18"/>
              </w:rPr>
            </w:pPr>
            <w:r w:rsidRPr="009D1595">
              <w:rPr>
                <w:sz w:val="18"/>
              </w:rPr>
              <w:t>Expenditures corresponding to programs with reimbursable financing</w:t>
            </w:r>
          </w:p>
        </w:tc>
        <w:tc>
          <w:tcPr>
            <w:tcW w:w="1170" w:type="dxa"/>
            <w:shd w:val="clear" w:color="auto" w:fill="ACB9CA" w:themeFill="text2" w:themeFillTint="66"/>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p>
        </w:tc>
        <w:tc>
          <w:tcPr>
            <w:tcW w:w="1260" w:type="dxa"/>
            <w:gridSpan w:val="3"/>
            <w:shd w:val="clear" w:color="auto" w:fill="ACB9CA" w:themeFill="text2" w:themeFillTint="66"/>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p>
        </w:tc>
        <w:tc>
          <w:tcPr>
            <w:tcW w:w="990" w:type="dxa"/>
            <w:shd w:val="clear" w:color="auto" w:fill="ACB9CA" w:themeFill="text2" w:themeFillTint="66"/>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p>
        </w:tc>
        <w:tc>
          <w:tcPr>
            <w:tcW w:w="1260" w:type="dxa"/>
            <w:shd w:val="clear" w:color="auto" w:fill="ACB9CA" w:themeFill="text2" w:themeFillTint="66"/>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p>
        </w:tc>
        <w:tc>
          <w:tcPr>
            <w:tcW w:w="1188" w:type="dxa"/>
            <w:shd w:val="clear" w:color="auto" w:fill="ACB9CA" w:themeFill="text2" w:themeFillTint="66"/>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p>
        </w:tc>
      </w:tr>
      <w:tr w:rsidR="00B90F89"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B90F89" w:rsidRPr="009D1595" w:rsidRDefault="00B90F89" w:rsidP="00C35D71">
            <w:pPr>
              <w:rPr>
                <w:b w:val="0"/>
                <w:sz w:val="18"/>
              </w:rPr>
            </w:pPr>
            <w:r w:rsidRPr="009D1595">
              <w:rPr>
                <w:b w:val="0"/>
                <w:sz w:val="18"/>
              </w:rPr>
              <w:t>Million Lei</w:t>
            </w:r>
          </w:p>
        </w:tc>
        <w:tc>
          <w:tcPr>
            <w:tcW w:w="1170" w:type="dxa"/>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r>
              <w:rPr>
                <w:sz w:val="18"/>
              </w:rPr>
              <w:t>45</w:t>
            </w:r>
          </w:p>
        </w:tc>
        <w:tc>
          <w:tcPr>
            <w:tcW w:w="1260" w:type="dxa"/>
            <w:gridSpan w:val="3"/>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r>
              <w:rPr>
                <w:sz w:val="18"/>
              </w:rPr>
              <w:t>76</w:t>
            </w:r>
          </w:p>
        </w:tc>
        <w:tc>
          <w:tcPr>
            <w:tcW w:w="990" w:type="dxa"/>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r>
              <w:rPr>
                <w:sz w:val="18"/>
              </w:rPr>
              <w:t>216</w:t>
            </w:r>
          </w:p>
        </w:tc>
        <w:tc>
          <w:tcPr>
            <w:tcW w:w="1080" w:type="dxa"/>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r>
              <w:rPr>
                <w:sz w:val="18"/>
              </w:rPr>
              <w:t>305</w:t>
            </w:r>
          </w:p>
        </w:tc>
        <w:tc>
          <w:tcPr>
            <w:tcW w:w="1260" w:type="dxa"/>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r>
              <w:rPr>
                <w:sz w:val="18"/>
              </w:rPr>
              <w:t>150</w:t>
            </w:r>
          </w:p>
        </w:tc>
        <w:tc>
          <w:tcPr>
            <w:tcW w:w="1188" w:type="dxa"/>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r>
              <w:rPr>
                <w:sz w:val="18"/>
              </w:rPr>
              <w:t>429</w:t>
            </w:r>
          </w:p>
        </w:tc>
      </w:tr>
      <w:tr w:rsidR="00B90F89"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B90F89" w:rsidRPr="009D1595" w:rsidRDefault="00B90F89" w:rsidP="00C35D71">
            <w:pPr>
              <w:rPr>
                <w:b w:val="0"/>
                <w:sz w:val="18"/>
              </w:rPr>
            </w:pPr>
            <w:r w:rsidRPr="009D1595">
              <w:rPr>
                <w:b w:val="0"/>
                <w:sz w:val="18"/>
              </w:rPr>
              <w:t>% of G.D.P.</w:t>
            </w:r>
          </w:p>
        </w:tc>
        <w:tc>
          <w:tcPr>
            <w:tcW w:w="1170" w:type="dxa"/>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0.01</w:t>
            </w:r>
          </w:p>
        </w:tc>
        <w:tc>
          <w:tcPr>
            <w:tcW w:w="1260" w:type="dxa"/>
            <w:gridSpan w:val="3"/>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0.01</w:t>
            </w:r>
          </w:p>
        </w:tc>
        <w:tc>
          <w:tcPr>
            <w:tcW w:w="990" w:type="dxa"/>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0.02</w:t>
            </w:r>
          </w:p>
        </w:tc>
        <w:tc>
          <w:tcPr>
            <w:tcW w:w="1080" w:type="dxa"/>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0.03</w:t>
            </w:r>
          </w:p>
        </w:tc>
        <w:tc>
          <w:tcPr>
            <w:tcW w:w="1260" w:type="dxa"/>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0.01</w:t>
            </w:r>
          </w:p>
        </w:tc>
        <w:tc>
          <w:tcPr>
            <w:tcW w:w="1188" w:type="dxa"/>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0.04</w:t>
            </w:r>
          </w:p>
        </w:tc>
      </w:tr>
      <w:tr w:rsidR="00B90F89" w:rsidRPr="009D1595" w:rsidTr="00C35D71">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B90F89" w:rsidRPr="009D1595" w:rsidRDefault="00B90F89" w:rsidP="00C35D71">
            <w:pPr>
              <w:rPr>
                <w:sz w:val="18"/>
              </w:rPr>
            </w:pPr>
            <w:r w:rsidRPr="009D1595">
              <w:rPr>
                <w:sz w:val="18"/>
              </w:rPr>
              <w:t>Non-financial assets</w:t>
            </w:r>
          </w:p>
        </w:tc>
        <w:tc>
          <w:tcPr>
            <w:tcW w:w="1170" w:type="dxa"/>
            <w:shd w:val="clear" w:color="auto" w:fill="ACB9CA" w:themeFill="text2" w:themeFillTint="66"/>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p>
        </w:tc>
        <w:tc>
          <w:tcPr>
            <w:tcW w:w="1260" w:type="dxa"/>
            <w:gridSpan w:val="3"/>
            <w:shd w:val="clear" w:color="auto" w:fill="ACB9CA" w:themeFill="text2" w:themeFillTint="66"/>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p>
        </w:tc>
        <w:tc>
          <w:tcPr>
            <w:tcW w:w="990" w:type="dxa"/>
            <w:shd w:val="clear" w:color="auto" w:fill="ACB9CA" w:themeFill="text2" w:themeFillTint="66"/>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p>
        </w:tc>
        <w:tc>
          <w:tcPr>
            <w:tcW w:w="1260" w:type="dxa"/>
            <w:shd w:val="clear" w:color="auto" w:fill="ACB9CA" w:themeFill="text2" w:themeFillTint="66"/>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p>
        </w:tc>
        <w:tc>
          <w:tcPr>
            <w:tcW w:w="1188" w:type="dxa"/>
            <w:shd w:val="clear" w:color="auto" w:fill="ACB9CA" w:themeFill="text2" w:themeFillTint="66"/>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p>
        </w:tc>
      </w:tr>
      <w:tr w:rsidR="00B90F89"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B90F89" w:rsidRPr="009D1595" w:rsidRDefault="00B90F89" w:rsidP="00C35D71">
            <w:pPr>
              <w:rPr>
                <w:b w:val="0"/>
                <w:sz w:val="18"/>
              </w:rPr>
            </w:pPr>
            <w:r w:rsidRPr="009D1595">
              <w:rPr>
                <w:b w:val="0"/>
                <w:sz w:val="18"/>
              </w:rPr>
              <w:t>Million Lei</w:t>
            </w:r>
          </w:p>
        </w:tc>
        <w:tc>
          <w:tcPr>
            <w:tcW w:w="1170" w:type="dxa"/>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4</w:t>
            </w:r>
          </w:p>
        </w:tc>
        <w:tc>
          <w:tcPr>
            <w:tcW w:w="1260" w:type="dxa"/>
            <w:gridSpan w:val="3"/>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1</w:t>
            </w:r>
          </w:p>
        </w:tc>
        <w:tc>
          <w:tcPr>
            <w:tcW w:w="990" w:type="dxa"/>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1</w:t>
            </w:r>
          </w:p>
        </w:tc>
        <w:tc>
          <w:tcPr>
            <w:tcW w:w="1080" w:type="dxa"/>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13</w:t>
            </w:r>
          </w:p>
        </w:tc>
        <w:tc>
          <w:tcPr>
            <w:tcW w:w="1260" w:type="dxa"/>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60</w:t>
            </w:r>
          </w:p>
        </w:tc>
        <w:tc>
          <w:tcPr>
            <w:tcW w:w="1188" w:type="dxa"/>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60</w:t>
            </w:r>
          </w:p>
        </w:tc>
      </w:tr>
      <w:tr w:rsidR="00B90F89"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B90F89" w:rsidRPr="009D1595" w:rsidRDefault="00B90F89" w:rsidP="00C35D71">
            <w:pPr>
              <w:rPr>
                <w:b w:val="0"/>
                <w:sz w:val="18"/>
              </w:rPr>
            </w:pPr>
            <w:r w:rsidRPr="009D1595">
              <w:rPr>
                <w:b w:val="0"/>
                <w:sz w:val="18"/>
              </w:rPr>
              <w:t>% of G.D.P.</w:t>
            </w:r>
          </w:p>
        </w:tc>
        <w:tc>
          <w:tcPr>
            <w:tcW w:w="1170" w:type="dxa"/>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c>
          <w:tcPr>
            <w:tcW w:w="1260" w:type="dxa"/>
            <w:gridSpan w:val="3"/>
          </w:tcPr>
          <w:p w:rsidR="00B90F89" w:rsidRPr="006347D2" w:rsidRDefault="00B90F89" w:rsidP="00C35D71">
            <w:pPr>
              <w:cnfStyle w:val="000000000000" w:firstRow="0" w:lastRow="0" w:firstColumn="0" w:lastColumn="0" w:oddVBand="0" w:evenVBand="0" w:oddHBand="0" w:evenHBand="0" w:firstRowFirstColumn="0" w:firstRowLastColumn="0" w:lastRowFirstColumn="0" w:lastRowLastColumn="0"/>
              <w:rPr>
                <w:sz w:val="18"/>
              </w:rPr>
            </w:pPr>
            <w:r w:rsidRPr="006347D2">
              <w:rPr>
                <w:sz w:val="18"/>
              </w:rPr>
              <w:t>0.00</w:t>
            </w:r>
          </w:p>
        </w:tc>
        <w:tc>
          <w:tcPr>
            <w:tcW w:w="990" w:type="dxa"/>
          </w:tcPr>
          <w:p w:rsidR="00B90F89" w:rsidRPr="006347D2" w:rsidRDefault="00B90F89" w:rsidP="00C35D71">
            <w:pPr>
              <w:cnfStyle w:val="000000000000" w:firstRow="0" w:lastRow="0" w:firstColumn="0" w:lastColumn="0" w:oddVBand="0" w:evenVBand="0" w:oddHBand="0" w:evenHBand="0" w:firstRowFirstColumn="0" w:firstRowLastColumn="0" w:lastRowFirstColumn="0" w:lastRowLastColumn="0"/>
              <w:rPr>
                <w:sz w:val="18"/>
              </w:rPr>
            </w:pPr>
            <w:r w:rsidRPr="006347D2">
              <w:rPr>
                <w:sz w:val="18"/>
              </w:rPr>
              <w:t>0.00</w:t>
            </w:r>
          </w:p>
        </w:tc>
        <w:tc>
          <w:tcPr>
            <w:tcW w:w="1080" w:type="dxa"/>
          </w:tcPr>
          <w:p w:rsidR="00B90F89" w:rsidRPr="006347D2" w:rsidRDefault="00B90F89" w:rsidP="00C35D71">
            <w:pPr>
              <w:cnfStyle w:val="000000000000" w:firstRow="0" w:lastRow="0" w:firstColumn="0" w:lastColumn="0" w:oddVBand="0" w:evenVBand="0" w:oddHBand="0" w:evenHBand="0" w:firstRowFirstColumn="0" w:firstRowLastColumn="0" w:lastRowFirstColumn="0" w:lastRowLastColumn="0"/>
              <w:rPr>
                <w:sz w:val="18"/>
              </w:rPr>
            </w:pPr>
            <w:r w:rsidRPr="006347D2">
              <w:rPr>
                <w:sz w:val="18"/>
              </w:rPr>
              <w:t>0.00</w:t>
            </w:r>
          </w:p>
        </w:tc>
        <w:tc>
          <w:tcPr>
            <w:tcW w:w="1260" w:type="dxa"/>
          </w:tcPr>
          <w:p w:rsidR="00B90F89" w:rsidRPr="006347D2" w:rsidRDefault="00B90F89" w:rsidP="00C35D71">
            <w:pPr>
              <w:cnfStyle w:val="000000000000" w:firstRow="0" w:lastRow="0" w:firstColumn="0" w:lastColumn="0" w:oddVBand="0" w:evenVBand="0" w:oddHBand="0" w:evenHBand="0" w:firstRowFirstColumn="0" w:firstRowLastColumn="0" w:lastRowFirstColumn="0" w:lastRowLastColumn="0"/>
              <w:rPr>
                <w:sz w:val="18"/>
              </w:rPr>
            </w:pPr>
            <w:r w:rsidRPr="006347D2">
              <w:rPr>
                <w:sz w:val="18"/>
              </w:rPr>
              <w:t>0.01</w:t>
            </w:r>
          </w:p>
        </w:tc>
        <w:tc>
          <w:tcPr>
            <w:tcW w:w="1188" w:type="dxa"/>
          </w:tcPr>
          <w:p w:rsidR="00B90F89" w:rsidRPr="006347D2" w:rsidRDefault="00B90F89" w:rsidP="00C35D71">
            <w:pPr>
              <w:cnfStyle w:val="000000000000" w:firstRow="0" w:lastRow="0" w:firstColumn="0" w:lastColumn="0" w:oddVBand="0" w:evenVBand="0" w:oddHBand="0" w:evenHBand="0" w:firstRowFirstColumn="0" w:firstRowLastColumn="0" w:lastRowFirstColumn="0" w:lastRowLastColumn="0"/>
              <w:rPr>
                <w:sz w:val="18"/>
              </w:rPr>
            </w:pPr>
            <w:r w:rsidRPr="006347D2">
              <w:rPr>
                <w:sz w:val="18"/>
              </w:rPr>
              <w:t>0.01</w:t>
            </w:r>
          </w:p>
        </w:tc>
      </w:tr>
      <w:tr w:rsidR="00B90F89"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B90F89" w:rsidRPr="009D1595" w:rsidRDefault="00B90F89" w:rsidP="00C35D71">
            <w:pPr>
              <w:rPr>
                <w:sz w:val="18"/>
              </w:rPr>
            </w:pPr>
            <w:r w:rsidRPr="009D1595">
              <w:rPr>
                <w:sz w:val="18"/>
              </w:rPr>
              <w:t>Payments made in previous years and recovered in the current year</w:t>
            </w:r>
          </w:p>
        </w:tc>
        <w:tc>
          <w:tcPr>
            <w:tcW w:w="1170" w:type="dxa"/>
            <w:shd w:val="clear" w:color="auto" w:fill="ACB9CA" w:themeFill="text2" w:themeFillTint="66"/>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p>
        </w:tc>
        <w:tc>
          <w:tcPr>
            <w:tcW w:w="1260" w:type="dxa"/>
            <w:gridSpan w:val="3"/>
            <w:shd w:val="clear" w:color="auto" w:fill="ACB9CA" w:themeFill="text2" w:themeFillTint="66"/>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p>
        </w:tc>
        <w:tc>
          <w:tcPr>
            <w:tcW w:w="990" w:type="dxa"/>
            <w:shd w:val="clear" w:color="auto" w:fill="ACB9CA" w:themeFill="text2" w:themeFillTint="66"/>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p>
        </w:tc>
        <w:tc>
          <w:tcPr>
            <w:tcW w:w="1260" w:type="dxa"/>
            <w:shd w:val="clear" w:color="auto" w:fill="ACB9CA" w:themeFill="text2" w:themeFillTint="66"/>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p>
        </w:tc>
        <w:tc>
          <w:tcPr>
            <w:tcW w:w="1188" w:type="dxa"/>
            <w:shd w:val="clear" w:color="auto" w:fill="ACB9CA" w:themeFill="text2" w:themeFillTint="66"/>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p>
        </w:tc>
      </w:tr>
      <w:tr w:rsidR="00B90F89"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B90F89" w:rsidRPr="009D1595" w:rsidRDefault="00B90F89" w:rsidP="00C35D71">
            <w:pPr>
              <w:rPr>
                <w:b w:val="0"/>
                <w:sz w:val="18"/>
              </w:rPr>
            </w:pPr>
            <w:r w:rsidRPr="009D1595">
              <w:rPr>
                <w:b w:val="0"/>
                <w:sz w:val="18"/>
              </w:rPr>
              <w:t>Million Lei</w:t>
            </w:r>
          </w:p>
        </w:tc>
        <w:tc>
          <w:tcPr>
            <w:tcW w:w="1170" w:type="dxa"/>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p>
        </w:tc>
        <w:tc>
          <w:tcPr>
            <w:tcW w:w="1260" w:type="dxa"/>
            <w:gridSpan w:val="3"/>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r>
              <w:rPr>
                <w:sz w:val="18"/>
              </w:rPr>
              <w:t>-10</w:t>
            </w:r>
          </w:p>
        </w:tc>
        <w:tc>
          <w:tcPr>
            <w:tcW w:w="990" w:type="dxa"/>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r>
              <w:rPr>
                <w:sz w:val="18"/>
              </w:rPr>
              <w:t>-27</w:t>
            </w:r>
          </w:p>
        </w:tc>
        <w:tc>
          <w:tcPr>
            <w:tcW w:w="1080" w:type="dxa"/>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p>
        </w:tc>
        <w:tc>
          <w:tcPr>
            <w:tcW w:w="1260" w:type="dxa"/>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p>
        </w:tc>
        <w:tc>
          <w:tcPr>
            <w:tcW w:w="1188" w:type="dxa"/>
          </w:tcPr>
          <w:p w:rsidR="00B90F89" w:rsidRPr="009D1595" w:rsidRDefault="00B90F89" w:rsidP="00C35D71">
            <w:pPr>
              <w:cnfStyle w:val="000000000000" w:firstRow="0" w:lastRow="0" w:firstColumn="0" w:lastColumn="0" w:oddVBand="0" w:evenVBand="0" w:oddHBand="0" w:evenHBand="0" w:firstRowFirstColumn="0" w:firstRowLastColumn="0" w:lastRowFirstColumn="0" w:lastRowLastColumn="0"/>
              <w:rPr>
                <w:sz w:val="18"/>
              </w:rPr>
            </w:pPr>
          </w:p>
        </w:tc>
      </w:tr>
      <w:tr w:rsidR="00B90F89"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B90F89" w:rsidRPr="009D1595" w:rsidRDefault="00B90F89" w:rsidP="00C35D71">
            <w:pPr>
              <w:rPr>
                <w:b w:val="0"/>
                <w:sz w:val="18"/>
              </w:rPr>
            </w:pPr>
            <w:r w:rsidRPr="009D1595">
              <w:rPr>
                <w:b w:val="0"/>
                <w:sz w:val="18"/>
              </w:rPr>
              <w:t>% of G.D.P.</w:t>
            </w:r>
          </w:p>
        </w:tc>
        <w:tc>
          <w:tcPr>
            <w:tcW w:w="1170" w:type="dxa"/>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260" w:type="dxa"/>
            <w:gridSpan w:val="3"/>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990" w:type="dxa"/>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080" w:type="dxa"/>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260" w:type="dxa"/>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188" w:type="dxa"/>
          </w:tcPr>
          <w:p w:rsidR="00B90F89" w:rsidRPr="009D1595" w:rsidRDefault="00B90F89"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r>
    </w:tbl>
    <w:p w:rsidR="00B90F89" w:rsidRDefault="00B90F89" w:rsidP="00B90F89">
      <w:r>
        <w:t>*)The years 2016-2021 include the subsidies awarded from the State budget to the National Single Fund of Health Insurance for balancing, as follows:</w:t>
      </w:r>
    </w:p>
    <w:p w:rsidR="00B90F89" w:rsidRDefault="00B90F89" w:rsidP="00B90F89">
      <w:r>
        <w:t>- in 2016 – 1,136.7 million Lei;</w:t>
      </w:r>
    </w:p>
    <w:p w:rsidR="00B90F89" w:rsidRDefault="00B90F89" w:rsidP="00B90F89">
      <w:r>
        <w:t>- in 2017- 651.8 million Lei;</w:t>
      </w:r>
    </w:p>
    <w:p w:rsidR="00B90F89" w:rsidRDefault="00B90F89" w:rsidP="00B90F89">
      <w:r>
        <w:t>- in 2018 – 1,733.7 million Lei;</w:t>
      </w:r>
    </w:p>
    <w:p w:rsidR="00B90F89" w:rsidRDefault="00B90F89" w:rsidP="00B90F89">
      <w:r>
        <w:t>- in 2019 – 1,273.0 million Lei;</w:t>
      </w:r>
    </w:p>
    <w:p w:rsidR="00B90F89" w:rsidRDefault="00B90F89" w:rsidP="00B90F89">
      <w:r>
        <w:t>- in 2020 – 30.2 million Lei;</w:t>
      </w:r>
    </w:p>
    <w:p w:rsidR="00B90F89" w:rsidRDefault="00B90F89" w:rsidP="00B90F89">
      <w:r>
        <w:t xml:space="preserve">- in 2021 – 1,150.0 million Lei </w:t>
      </w:r>
    </w:p>
    <w:p w:rsidR="00C21188" w:rsidRPr="00C21188" w:rsidRDefault="00C21188" w:rsidP="00C21188"/>
    <w:tbl>
      <w:tblPr>
        <w:tblStyle w:val="LightList"/>
        <w:tblW w:w="0" w:type="auto"/>
        <w:tblLook w:val="04A0" w:firstRow="1" w:lastRow="0" w:firstColumn="1" w:lastColumn="0" w:noHBand="0" w:noVBand="1"/>
      </w:tblPr>
      <w:tblGrid>
        <w:gridCol w:w="2591"/>
        <w:gridCol w:w="1246"/>
        <w:gridCol w:w="1071"/>
        <w:gridCol w:w="1175"/>
        <w:gridCol w:w="1071"/>
        <w:gridCol w:w="1246"/>
        <w:gridCol w:w="1176"/>
      </w:tblGrid>
      <w:tr w:rsidR="00C35D71" w:rsidRPr="009D1595" w:rsidTr="00C35D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dxa"/>
            <w:shd w:val="clear" w:color="auto" w:fill="auto"/>
          </w:tcPr>
          <w:p w:rsidR="00C35D71" w:rsidRPr="009D1595" w:rsidRDefault="00C35D71" w:rsidP="00C35D71">
            <w:pPr>
              <w:rPr>
                <w:color w:val="auto"/>
                <w:sz w:val="18"/>
              </w:rPr>
            </w:pPr>
          </w:p>
        </w:tc>
        <w:tc>
          <w:tcPr>
            <w:tcW w:w="1246" w:type="dxa"/>
            <w:shd w:val="clear" w:color="auto" w:fill="auto"/>
          </w:tcPr>
          <w:p w:rsidR="00C35D71" w:rsidRPr="009D1595" w:rsidRDefault="00C35D71" w:rsidP="00C35D71">
            <w:pPr>
              <w:cnfStyle w:val="100000000000" w:firstRow="1" w:lastRow="0" w:firstColumn="0" w:lastColumn="0" w:oddVBand="0" w:evenVBand="0" w:oddHBand="0" w:evenHBand="0" w:firstRowFirstColumn="0" w:firstRowLastColumn="0" w:lastRowFirstColumn="0" w:lastRowLastColumn="0"/>
              <w:rPr>
                <w:color w:val="auto"/>
                <w:sz w:val="18"/>
              </w:rPr>
            </w:pPr>
          </w:p>
        </w:tc>
        <w:tc>
          <w:tcPr>
            <w:tcW w:w="1071" w:type="dxa"/>
            <w:shd w:val="clear" w:color="auto" w:fill="auto"/>
          </w:tcPr>
          <w:p w:rsidR="00C35D71" w:rsidRPr="009D1595" w:rsidRDefault="00C35D71" w:rsidP="00C35D71">
            <w:pPr>
              <w:cnfStyle w:val="100000000000" w:firstRow="1" w:lastRow="0" w:firstColumn="0" w:lastColumn="0" w:oddVBand="0" w:evenVBand="0" w:oddHBand="0" w:evenHBand="0" w:firstRowFirstColumn="0" w:firstRowLastColumn="0" w:lastRowFirstColumn="0" w:lastRowLastColumn="0"/>
              <w:rPr>
                <w:color w:val="auto"/>
                <w:sz w:val="18"/>
              </w:rPr>
            </w:pPr>
          </w:p>
        </w:tc>
        <w:tc>
          <w:tcPr>
            <w:tcW w:w="1175" w:type="dxa"/>
            <w:shd w:val="clear" w:color="auto" w:fill="auto"/>
          </w:tcPr>
          <w:p w:rsidR="00C35D71" w:rsidRPr="009D1595" w:rsidRDefault="00C35D71" w:rsidP="00C35D71">
            <w:pPr>
              <w:cnfStyle w:val="100000000000" w:firstRow="1" w:lastRow="0" w:firstColumn="0" w:lastColumn="0" w:oddVBand="0" w:evenVBand="0" w:oddHBand="0" w:evenHBand="0" w:firstRowFirstColumn="0" w:firstRowLastColumn="0" w:lastRowFirstColumn="0" w:lastRowLastColumn="0"/>
              <w:rPr>
                <w:color w:val="auto"/>
                <w:sz w:val="18"/>
              </w:rPr>
            </w:pPr>
          </w:p>
        </w:tc>
        <w:tc>
          <w:tcPr>
            <w:tcW w:w="1071" w:type="dxa"/>
            <w:shd w:val="clear" w:color="auto" w:fill="auto"/>
          </w:tcPr>
          <w:p w:rsidR="00C35D71" w:rsidRPr="009D1595" w:rsidRDefault="00C35D71" w:rsidP="00C35D71">
            <w:pPr>
              <w:cnfStyle w:val="100000000000" w:firstRow="1" w:lastRow="0" w:firstColumn="0" w:lastColumn="0" w:oddVBand="0" w:evenVBand="0" w:oddHBand="0" w:evenHBand="0" w:firstRowFirstColumn="0" w:firstRowLastColumn="0" w:lastRowFirstColumn="0" w:lastRowLastColumn="0"/>
              <w:rPr>
                <w:color w:val="auto"/>
                <w:sz w:val="18"/>
              </w:rPr>
            </w:pPr>
          </w:p>
        </w:tc>
        <w:tc>
          <w:tcPr>
            <w:tcW w:w="1246" w:type="dxa"/>
            <w:shd w:val="clear" w:color="auto" w:fill="auto"/>
          </w:tcPr>
          <w:p w:rsidR="00C35D71" w:rsidRPr="009D1595" w:rsidRDefault="00C35D71" w:rsidP="00C35D71">
            <w:pPr>
              <w:cnfStyle w:val="100000000000" w:firstRow="1" w:lastRow="0" w:firstColumn="0" w:lastColumn="0" w:oddVBand="0" w:evenVBand="0" w:oddHBand="0" w:evenHBand="0" w:firstRowFirstColumn="0" w:firstRowLastColumn="0" w:lastRowFirstColumn="0" w:lastRowLastColumn="0"/>
              <w:rPr>
                <w:color w:val="auto"/>
                <w:sz w:val="18"/>
              </w:rPr>
            </w:pPr>
          </w:p>
        </w:tc>
        <w:tc>
          <w:tcPr>
            <w:tcW w:w="1176" w:type="dxa"/>
            <w:shd w:val="clear" w:color="auto" w:fill="auto"/>
          </w:tcPr>
          <w:p w:rsidR="00C35D71" w:rsidRPr="009D1595" w:rsidRDefault="00C35D71" w:rsidP="00C35D71">
            <w:pPr>
              <w:cnfStyle w:val="100000000000" w:firstRow="1" w:lastRow="0" w:firstColumn="0" w:lastColumn="0" w:oddVBand="0" w:evenVBand="0" w:oddHBand="0" w:evenHBand="0" w:firstRowFirstColumn="0" w:firstRowLastColumn="0" w:lastRowFirstColumn="0" w:lastRowLastColumn="0"/>
              <w:rPr>
                <w:color w:val="auto"/>
                <w:sz w:val="18"/>
              </w:rPr>
            </w:pPr>
            <w:r w:rsidRPr="009D1595">
              <w:rPr>
                <w:color w:val="auto"/>
                <w:sz w:val="18"/>
              </w:rPr>
              <w:t xml:space="preserve">- million Lei - </w:t>
            </w:r>
          </w:p>
        </w:tc>
      </w:tr>
      <w:tr w:rsidR="00C35D71"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7"/>
            <w:shd w:val="clear" w:color="auto" w:fill="auto"/>
          </w:tcPr>
          <w:p w:rsidR="00C35D71" w:rsidRPr="0037389E" w:rsidRDefault="00C35D71" w:rsidP="00C35D71">
            <w:pPr>
              <w:jc w:val="center"/>
              <w:rPr>
                <w:sz w:val="18"/>
              </w:rPr>
            </w:pPr>
            <w:r w:rsidRPr="0037389E">
              <w:rPr>
                <w:sz w:val="18"/>
              </w:rPr>
              <w:t xml:space="preserve">Annex </w:t>
            </w:r>
            <w:r>
              <w:rPr>
                <w:sz w:val="18"/>
              </w:rPr>
              <w:t>8</w:t>
            </w:r>
            <w:r w:rsidRPr="0037389E">
              <w:rPr>
                <w:sz w:val="18"/>
              </w:rPr>
              <w:t xml:space="preserve"> - Expenditures of the Ministry of </w:t>
            </w:r>
            <w:r>
              <w:rPr>
                <w:sz w:val="18"/>
              </w:rPr>
              <w:t>Public Finance</w:t>
            </w:r>
            <w:r w:rsidRPr="0037389E">
              <w:rPr>
                <w:sz w:val="18"/>
              </w:rPr>
              <w:t xml:space="preserve"> from the State budget</w:t>
            </w:r>
          </w:p>
          <w:p w:rsidR="00C35D71" w:rsidRPr="009D1595" w:rsidRDefault="00C35D71" w:rsidP="00C35D71">
            <w:pPr>
              <w:jc w:val="center"/>
              <w:rPr>
                <w:sz w:val="18"/>
              </w:rPr>
            </w:pPr>
            <w:r w:rsidRPr="0037389E">
              <w:rPr>
                <w:sz w:val="18"/>
              </w:rPr>
              <w:t>between 2016 and 2021</w:t>
            </w:r>
          </w:p>
        </w:tc>
      </w:tr>
      <w:tr w:rsidR="00C35D71" w:rsidRPr="009D1595" w:rsidTr="00C35D71">
        <w:tc>
          <w:tcPr>
            <w:cnfStyle w:val="001000000000" w:firstRow="0" w:lastRow="0" w:firstColumn="1" w:lastColumn="0" w:oddVBand="0" w:evenVBand="0" w:oddHBand="0" w:evenHBand="0" w:firstRowFirstColumn="0" w:firstRowLastColumn="0" w:lastRowFirstColumn="0" w:lastRowLastColumn="0"/>
            <w:tcW w:w="2591" w:type="dxa"/>
          </w:tcPr>
          <w:p w:rsidR="00C35D71" w:rsidRPr="009D1595" w:rsidRDefault="00C35D71" w:rsidP="00C35D71">
            <w:pPr>
              <w:rPr>
                <w:sz w:val="18"/>
              </w:rPr>
            </w:pPr>
          </w:p>
        </w:tc>
        <w:tc>
          <w:tcPr>
            <w:tcW w:w="1246"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sidRPr="009D1595">
              <w:rPr>
                <w:sz w:val="18"/>
              </w:rPr>
              <w:t>2016</w:t>
            </w:r>
          </w:p>
        </w:tc>
        <w:tc>
          <w:tcPr>
            <w:tcW w:w="1071"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sidRPr="009D1595">
              <w:rPr>
                <w:sz w:val="18"/>
              </w:rPr>
              <w:t>2017</w:t>
            </w:r>
          </w:p>
        </w:tc>
        <w:tc>
          <w:tcPr>
            <w:tcW w:w="1175"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sidRPr="009D1595">
              <w:rPr>
                <w:sz w:val="18"/>
              </w:rPr>
              <w:t>2018</w:t>
            </w:r>
          </w:p>
        </w:tc>
        <w:tc>
          <w:tcPr>
            <w:tcW w:w="1071"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sidRPr="009D1595">
              <w:rPr>
                <w:sz w:val="18"/>
              </w:rPr>
              <w:t>2019</w:t>
            </w:r>
          </w:p>
        </w:tc>
        <w:tc>
          <w:tcPr>
            <w:tcW w:w="1246"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sidRPr="009D1595">
              <w:rPr>
                <w:sz w:val="18"/>
              </w:rPr>
              <w:t>2020</w:t>
            </w:r>
          </w:p>
        </w:tc>
        <w:tc>
          <w:tcPr>
            <w:tcW w:w="1176"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sidRPr="009D1595">
              <w:rPr>
                <w:sz w:val="18"/>
              </w:rPr>
              <w:t>2021</w:t>
            </w:r>
          </w:p>
        </w:tc>
      </w:tr>
      <w:tr w:rsidR="00C35D71"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7"/>
            <w:shd w:val="clear" w:color="auto" w:fill="ACB9CA" w:themeFill="text2" w:themeFillTint="66"/>
          </w:tcPr>
          <w:p w:rsidR="00C35D71" w:rsidRPr="009D1595" w:rsidRDefault="00C35D71" w:rsidP="00C35D71">
            <w:pPr>
              <w:rPr>
                <w:sz w:val="18"/>
              </w:rPr>
            </w:pPr>
            <w:r w:rsidRPr="009D1595">
              <w:rPr>
                <w:sz w:val="18"/>
              </w:rPr>
              <w:t>TOTAL EXPENDITURES</w:t>
            </w:r>
          </w:p>
        </w:tc>
      </w:tr>
      <w:tr w:rsidR="00C35D71" w:rsidRPr="009D1595" w:rsidTr="00C35D71">
        <w:tc>
          <w:tcPr>
            <w:cnfStyle w:val="001000000000" w:firstRow="0" w:lastRow="0" w:firstColumn="1" w:lastColumn="0" w:oddVBand="0" w:evenVBand="0" w:oddHBand="0" w:evenHBand="0" w:firstRowFirstColumn="0" w:firstRowLastColumn="0" w:lastRowFirstColumn="0" w:lastRowLastColumn="0"/>
            <w:tcW w:w="2591" w:type="dxa"/>
          </w:tcPr>
          <w:p w:rsidR="00C35D71" w:rsidRPr="009D1595" w:rsidRDefault="00C35D71" w:rsidP="00C35D71">
            <w:pPr>
              <w:rPr>
                <w:b w:val="0"/>
                <w:sz w:val="18"/>
              </w:rPr>
            </w:pPr>
            <w:r w:rsidRPr="009D1595">
              <w:rPr>
                <w:b w:val="0"/>
                <w:sz w:val="18"/>
              </w:rPr>
              <w:t>Million Lei</w:t>
            </w:r>
          </w:p>
        </w:tc>
        <w:tc>
          <w:tcPr>
            <w:tcW w:w="1246"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3,361</w:t>
            </w:r>
          </w:p>
        </w:tc>
        <w:tc>
          <w:tcPr>
            <w:tcW w:w="1071"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3,540</w:t>
            </w:r>
          </w:p>
        </w:tc>
        <w:tc>
          <w:tcPr>
            <w:tcW w:w="1175"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4,925</w:t>
            </w:r>
          </w:p>
        </w:tc>
        <w:tc>
          <w:tcPr>
            <w:tcW w:w="1071"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5,409</w:t>
            </w:r>
          </w:p>
        </w:tc>
        <w:tc>
          <w:tcPr>
            <w:tcW w:w="1246"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5,112</w:t>
            </w:r>
          </w:p>
        </w:tc>
        <w:tc>
          <w:tcPr>
            <w:tcW w:w="1176"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5,273</w:t>
            </w:r>
          </w:p>
        </w:tc>
      </w:tr>
      <w:tr w:rsidR="00C35D71"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dxa"/>
          </w:tcPr>
          <w:p w:rsidR="00C35D71" w:rsidRPr="009D1595" w:rsidRDefault="00C35D71" w:rsidP="00C35D71">
            <w:pPr>
              <w:rPr>
                <w:b w:val="0"/>
                <w:sz w:val="18"/>
              </w:rPr>
            </w:pPr>
            <w:r w:rsidRPr="009D1595">
              <w:rPr>
                <w:b w:val="0"/>
                <w:sz w:val="18"/>
              </w:rPr>
              <w:t>% of G.D.P.</w:t>
            </w:r>
          </w:p>
        </w:tc>
        <w:tc>
          <w:tcPr>
            <w:tcW w:w="1246"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0.44</w:t>
            </w:r>
          </w:p>
        </w:tc>
        <w:tc>
          <w:tcPr>
            <w:tcW w:w="1071"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0.42</w:t>
            </w:r>
          </w:p>
        </w:tc>
        <w:tc>
          <w:tcPr>
            <w:tcW w:w="1175"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0.52</w:t>
            </w:r>
          </w:p>
        </w:tc>
        <w:tc>
          <w:tcPr>
            <w:tcW w:w="1071"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0.55</w:t>
            </w:r>
          </w:p>
        </w:tc>
        <w:tc>
          <w:tcPr>
            <w:tcW w:w="1246"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0.49</w:t>
            </w:r>
          </w:p>
        </w:tc>
        <w:tc>
          <w:tcPr>
            <w:tcW w:w="1176"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0.47</w:t>
            </w:r>
          </w:p>
        </w:tc>
      </w:tr>
      <w:tr w:rsidR="00C35D71" w:rsidRPr="009D1595" w:rsidTr="00C35D71">
        <w:tc>
          <w:tcPr>
            <w:cnfStyle w:val="001000000000" w:firstRow="0" w:lastRow="0" w:firstColumn="1" w:lastColumn="0" w:oddVBand="0" w:evenVBand="0" w:oddHBand="0" w:evenHBand="0" w:firstRowFirstColumn="0" w:firstRowLastColumn="0" w:lastRowFirstColumn="0" w:lastRowLastColumn="0"/>
            <w:tcW w:w="2591" w:type="dxa"/>
            <w:shd w:val="clear" w:color="auto" w:fill="ACB9CA" w:themeFill="text2" w:themeFillTint="66"/>
          </w:tcPr>
          <w:p w:rsidR="00C35D71" w:rsidRPr="009D1595" w:rsidRDefault="00C35D71" w:rsidP="00C35D71">
            <w:pPr>
              <w:rPr>
                <w:sz w:val="18"/>
              </w:rPr>
            </w:pPr>
            <w:r w:rsidRPr="009D1595">
              <w:rPr>
                <w:sz w:val="18"/>
              </w:rPr>
              <w:t>Personnel expenditures</w:t>
            </w:r>
          </w:p>
        </w:tc>
        <w:tc>
          <w:tcPr>
            <w:tcW w:w="1246"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c>
          <w:tcPr>
            <w:tcW w:w="1071"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c>
          <w:tcPr>
            <w:tcW w:w="1175"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c>
          <w:tcPr>
            <w:tcW w:w="1071"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c>
          <w:tcPr>
            <w:tcW w:w="1246"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c>
          <w:tcPr>
            <w:tcW w:w="1176"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r>
      <w:tr w:rsidR="00C35D71"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dxa"/>
          </w:tcPr>
          <w:p w:rsidR="00C35D71" w:rsidRPr="009D1595" w:rsidRDefault="00C35D71" w:rsidP="00C35D71">
            <w:pPr>
              <w:rPr>
                <w:b w:val="0"/>
                <w:sz w:val="18"/>
              </w:rPr>
            </w:pPr>
            <w:r w:rsidRPr="009D1595">
              <w:rPr>
                <w:b w:val="0"/>
                <w:sz w:val="18"/>
              </w:rPr>
              <w:t>Million Lei</w:t>
            </w:r>
          </w:p>
        </w:tc>
        <w:tc>
          <w:tcPr>
            <w:tcW w:w="1246"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2,143</w:t>
            </w:r>
          </w:p>
        </w:tc>
        <w:tc>
          <w:tcPr>
            <w:tcW w:w="1071"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2,241</w:t>
            </w:r>
          </w:p>
        </w:tc>
        <w:tc>
          <w:tcPr>
            <w:tcW w:w="1175"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2,564</w:t>
            </w:r>
          </w:p>
        </w:tc>
        <w:tc>
          <w:tcPr>
            <w:tcW w:w="1071"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2,726</w:t>
            </w:r>
          </w:p>
        </w:tc>
        <w:tc>
          <w:tcPr>
            <w:tcW w:w="1246"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3,084</w:t>
            </w:r>
          </w:p>
        </w:tc>
        <w:tc>
          <w:tcPr>
            <w:tcW w:w="1176"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3,225</w:t>
            </w:r>
          </w:p>
        </w:tc>
      </w:tr>
      <w:tr w:rsidR="00C35D71" w:rsidRPr="009D1595" w:rsidTr="00C35D71">
        <w:tc>
          <w:tcPr>
            <w:cnfStyle w:val="001000000000" w:firstRow="0" w:lastRow="0" w:firstColumn="1" w:lastColumn="0" w:oddVBand="0" w:evenVBand="0" w:oddHBand="0" w:evenHBand="0" w:firstRowFirstColumn="0" w:firstRowLastColumn="0" w:lastRowFirstColumn="0" w:lastRowLastColumn="0"/>
            <w:tcW w:w="2591" w:type="dxa"/>
          </w:tcPr>
          <w:p w:rsidR="00C35D71" w:rsidRPr="009D1595" w:rsidRDefault="00C35D71" w:rsidP="00C35D71">
            <w:pPr>
              <w:rPr>
                <w:b w:val="0"/>
                <w:sz w:val="18"/>
              </w:rPr>
            </w:pPr>
            <w:r w:rsidRPr="009D1595">
              <w:rPr>
                <w:b w:val="0"/>
                <w:sz w:val="18"/>
              </w:rPr>
              <w:t>% of G.D.P.</w:t>
            </w:r>
          </w:p>
        </w:tc>
        <w:tc>
          <w:tcPr>
            <w:tcW w:w="1246"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0.04</w:t>
            </w:r>
          </w:p>
        </w:tc>
        <w:tc>
          <w:tcPr>
            <w:tcW w:w="1071"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0.03</w:t>
            </w:r>
          </w:p>
        </w:tc>
        <w:tc>
          <w:tcPr>
            <w:tcW w:w="1175"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0.03</w:t>
            </w:r>
          </w:p>
        </w:tc>
        <w:tc>
          <w:tcPr>
            <w:tcW w:w="1071"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0.03</w:t>
            </w:r>
          </w:p>
        </w:tc>
        <w:tc>
          <w:tcPr>
            <w:tcW w:w="1246"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0.03</w:t>
            </w:r>
          </w:p>
        </w:tc>
        <w:tc>
          <w:tcPr>
            <w:tcW w:w="1176"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0.03</w:t>
            </w:r>
          </w:p>
        </w:tc>
      </w:tr>
      <w:tr w:rsidR="00C35D71"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dxa"/>
            <w:shd w:val="clear" w:color="auto" w:fill="ACB9CA" w:themeFill="text2" w:themeFillTint="66"/>
          </w:tcPr>
          <w:p w:rsidR="00C35D71" w:rsidRPr="009D1595" w:rsidRDefault="00C35D71" w:rsidP="00C35D71">
            <w:pPr>
              <w:rPr>
                <w:sz w:val="18"/>
              </w:rPr>
            </w:pPr>
            <w:r w:rsidRPr="009D1595">
              <w:rPr>
                <w:sz w:val="18"/>
              </w:rPr>
              <w:t>Goods and services</w:t>
            </w:r>
          </w:p>
        </w:tc>
        <w:tc>
          <w:tcPr>
            <w:tcW w:w="1246" w:type="dxa"/>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c>
          <w:tcPr>
            <w:tcW w:w="1071" w:type="dxa"/>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c>
          <w:tcPr>
            <w:tcW w:w="1175" w:type="dxa"/>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c>
          <w:tcPr>
            <w:tcW w:w="1071" w:type="dxa"/>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c>
          <w:tcPr>
            <w:tcW w:w="1246" w:type="dxa"/>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c>
          <w:tcPr>
            <w:tcW w:w="1176" w:type="dxa"/>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r>
      <w:tr w:rsidR="00C35D71" w:rsidRPr="009D1595" w:rsidTr="00C35D71">
        <w:tc>
          <w:tcPr>
            <w:cnfStyle w:val="001000000000" w:firstRow="0" w:lastRow="0" w:firstColumn="1" w:lastColumn="0" w:oddVBand="0" w:evenVBand="0" w:oddHBand="0" w:evenHBand="0" w:firstRowFirstColumn="0" w:firstRowLastColumn="0" w:lastRowFirstColumn="0" w:lastRowLastColumn="0"/>
            <w:tcW w:w="2591" w:type="dxa"/>
          </w:tcPr>
          <w:p w:rsidR="00C35D71" w:rsidRPr="009D1595" w:rsidRDefault="00C35D71" w:rsidP="00C35D71">
            <w:pPr>
              <w:rPr>
                <w:b w:val="0"/>
                <w:sz w:val="18"/>
              </w:rPr>
            </w:pPr>
            <w:r w:rsidRPr="009D1595">
              <w:rPr>
                <w:b w:val="0"/>
                <w:sz w:val="18"/>
              </w:rPr>
              <w:t>Million Lei</w:t>
            </w:r>
          </w:p>
        </w:tc>
        <w:tc>
          <w:tcPr>
            <w:tcW w:w="1246"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287</w:t>
            </w:r>
          </w:p>
        </w:tc>
        <w:tc>
          <w:tcPr>
            <w:tcW w:w="1071"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241</w:t>
            </w:r>
          </w:p>
        </w:tc>
        <w:tc>
          <w:tcPr>
            <w:tcW w:w="1175"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241</w:t>
            </w:r>
          </w:p>
        </w:tc>
        <w:tc>
          <w:tcPr>
            <w:tcW w:w="1071"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274</w:t>
            </w:r>
          </w:p>
        </w:tc>
        <w:tc>
          <w:tcPr>
            <w:tcW w:w="1246"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319</w:t>
            </w:r>
          </w:p>
        </w:tc>
        <w:tc>
          <w:tcPr>
            <w:tcW w:w="1176"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353</w:t>
            </w:r>
          </w:p>
        </w:tc>
      </w:tr>
      <w:tr w:rsidR="00C35D71"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dxa"/>
          </w:tcPr>
          <w:p w:rsidR="00C35D71" w:rsidRPr="009D1595" w:rsidRDefault="00C35D71" w:rsidP="00C35D71">
            <w:pPr>
              <w:rPr>
                <w:b w:val="0"/>
                <w:sz w:val="18"/>
              </w:rPr>
            </w:pPr>
            <w:r w:rsidRPr="009D1595">
              <w:rPr>
                <w:b w:val="0"/>
                <w:sz w:val="18"/>
              </w:rPr>
              <w:t>% of G.D.P.</w:t>
            </w:r>
          </w:p>
        </w:tc>
        <w:tc>
          <w:tcPr>
            <w:tcW w:w="1246"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0.04</w:t>
            </w:r>
          </w:p>
        </w:tc>
        <w:tc>
          <w:tcPr>
            <w:tcW w:w="1071"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0.03</w:t>
            </w:r>
          </w:p>
        </w:tc>
        <w:tc>
          <w:tcPr>
            <w:tcW w:w="1175"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0.03</w:t>
            </w:r>
          </w:p>
        </w:tc>
        <w:tc>
          <w:tcPr>
            <w:tcW w:w="1071"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0.03</w:t>
            </w:r>
          </w:p>
        </w:tc>
        <w:tc>
          <w:tcPr>
            <w:tcW w:w="1246"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0.03</w:t>
            </w:r>
          </w:p>
        </w:tc>
        <w:tc>
          <w:tcPr>
            <w:tcW w:w="1176"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0.03</w:t>
            </w:r>
          </w:p>
        </w:tc>
      </w:tr>
      <w:tr w:rsidR="00C35D71" w:rsidRPr="009D1595" w:rsidTr="00C35D71">
        <w:tc>
          <w:tcPr>
            <w:cnfStyle w:val="001000000000" w:firstRow="0" w:lastRow="0" w:firstColumn="1" w:lastColumn="0" w:oddVBand="0" w:evenVBand="0" w:oddHBand="0" w:evenHBand="0" w:firstRowFirstColumn="0" w:firstRowLastColumn="0" w:lastRowFirstColumn="0" w:lastRowLastColumn="0"/>
            <w:tcW w:w="2591" w:type="dxa"/>
            <w:shd w:val="clear" w:color="auto" w:fill="ACB9CA" w:themeFill="text2" w:themeFillTint="66"/>
          </w:tcPr>
          <w:p w:rsidR="00C35D71" w:rsidRPr="009D1595" w:rsidRDefault="00C35D71" w:rsidP="00C35D71">
            <w:pPr>
              <w:rPr>
                <w:sz w:val="18"/>
              </w:rPr>
            </w:pPr>
            <w:r w:rsidRPr="009D1595">
              <w:rPr>
                <w:sz w:val="18"/>
              </w:rPr>
              <w:t>Transfers between public administration units</w:t>
            </w:r>
          </w:p>
        </w:tc>
        <w:tc>
          <w:tcPr>
            <w:tcW w:w="1246"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c>
          <w:tcPr>
            <w:tcW w:w="1071"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c>
          <w:tcPr>
            <w:tcW w:w="1175"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c>
          <w:tcPr>
            <w:tcW w:w="1071"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c>
          <w:tcPr>
            <w:tcW w:w="1246"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c>
          <w:tcPr>
            <w:tcW w:w="1176"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r>
      <w:tr w:rsidR="00C35D71"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dxa"/>
          </w:tcPr>
          <w:p w:rsidR="00C35D71" w:rsidRPr="009D1595" w:rsidRDefault="00C35D71" w:rsidP="00C35D71">
            <w:pPr>
              <w:rPr>
                <w:b w:val="0"/>
                <w:sz w:val="18"/>
              </w:rPr>
            </w:pPr>
            <w:r w:rsidRPr="009D1595">
              <w:rPr>
                <w:b w:val="0"/>
                <w:sz w:val="18"/>
              </w:rPr>
              <w:t>Million Lei</w:t>
            </w:r>
          </w:p>
        </w:tc>
        <w:tc>
          <w:tcPr>
            <w:tcW w:w="1246"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1</w:t>
            </w:r>
          </w:p>
        </w:tc>
        <w:tc>
          <w:tcPr>
            <w:tcW w:w="1071"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1</w:t>
            </w:r>
          </w:p>
        </w:tc>
        <w:tc>
          <w:tcPr>
            <w:tcW w:w="1175"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2</w:t>
            </w:r>
          </w:p>
        </w:tc>
        <w:tc>
          <w:tcPr>
            <w:tcW w:w="1071"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3</w:t>
            </w:r>
          </w:p>
        </w:tc>
        <w:tc>
          <w:tcPr>
            <w:tcW w:w="1246"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2</w:t>
            </w:r>
          </w:p>
        </w:tc>
        <w:tc>
          <w:tcPr>
            <w:tcW w:w="1176"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3</w:t>
            </w:r>
          </w:p>
        </w:tc>
      </w:tr>
      <w:tr w:rsidR="00C35D71" w:rsidRPr="009D1595" w:rsidTr="00C35D71">
        <w:tc>
          <w:tcPr>
            <w:cnfStyle w:val="001000000000" w:firstRow="0" w:lastRow="0" w:firstColumn="1" w:lastColumn="0" w:oddVBand="0" w:evenVBand="0" w:oddHBand="0" w:evenHBand="0" w:firstRowFirstColumn="0" w:firstRowLastColumn="0" w:lastRowFirstColumn="0" w:lastRowLastColumn="0"/>
            <w:tcW w:w="2591" w:type="dxa"/>
          </w:tcPr>
          <w:p w:rsidR="00C35D71" w:rsidRPr="009D1595" w:rsidRDefault="00C35D71" w:rsidP="00C35D71">
            <w:pPr>
              <w:rPr>
                <w:b w:val="0"/>
                <w:sz w:val="18"/>
              </w:rPr>
            </w:pPr>
            <w:r w:rsidRPr="009D1595">
              <w:rPr>
                <w:b w:val="0"/>
                <w:sz w:val="18"/>
              </w:rPr>
              <w:t>% of G.D.P.</w:t>
            </w:r>
          </w:p>
        </w:tc>
        <w:tc>
          <w:tcPr>
            <w:tcW w:w="1246"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c>
          <w:tcPr>
            <w:tcW w:w="1071" w:type="dxa"/>
          </w:tcPr>
          <w:p w:rsidR="00C35D71" w:rsidRDefault="00C35D71" w:rsidP="00C35D71">
            <w:pPr>
              <w:cnfStyle w:val="000000000000" w:firstRow="0" w:lastRow="0" w:firstColumn="0" w:lastColumn="0" w:oddVBand="0" w:evenVBand="0" w:oddHBand="0" w:evenHBand="0" w:firstRowFirstColumn="0" w:firstRowLastColumn="0" w:lastRowFirstColumn="0" w:lastRowLastColumn="0"/>
            </w:pPr>
            <w:r w:rsidRPr="00FA113F">
              <w:rPr>
                <w:sz w:val="18"/>
              </w:rPr>
              <w:t>0.00</w:t>
            </w:r>
          </w:p>
        </w:tc>
        <w:tc>
          <w:tcPr>
            <w:tcW w:w="1175" w:type="dxa"/>
          </w:tcPr>
          <w:p w:rsidR="00C35D71" w:rsidRDefault="00C35D71" w:rsidP="00C35D71">
            <w:pPr>
              <w:cnfStyle w:val="000000000000" w:firstRow="0" w:lastRow="0" w:firstColumn="0" w:lastColumn="0" w:oddVBand="0" w:evenVBand="0" w:oddHBand="0" w:evenHBand="0" w:firstRowFirstColumn="0" w:firstRowLastColumn="0" w:lastRowFirstColumn="0" w:lastRowLastColumn="0"/>
            </w:pPr>
            <w:r w:rsidRPr="00FA113F">
              <w:rPr>
                <w:sz w:val="18"/>
              </w:rPr>
              <w:t>0.00</w:t>
            </w:r>
          </w:p>
        </w:tc>
        <w:tc>
          <w:tcPr>
            <w:tcW w:w="1071" w:type="dxa"/>
          </w:tcPr>
          <w:p w:rsidR="00C35D71" w:rsidRDefault="00C35D71" w:rsidP="00C35D71">
            <w:pPr>
              <w:cnfStyle w:val="000000000000" w:firstRow="0" w:lastRow="0" w:firstColumn="0" w:lastColumn="0" w:oddVBand="0" w:evenVBand="0" w:oddHBand="0" w:evenHBand="0" w:firstRowFirstColumn="0" w:firstRowLastColumn="0" w:lastRowFirstColumn="0" w:lastRowLastColumn="0"/>
            </w:pPr>
            <w:r w:rsidRPr="00FA113F">
              <w:rPr>
                <w:sz w:val="18"/>
              </w:rPr>
              <w:t>0.00</w:t>
            </w:r>
          </w:p>
        </w:tc>
        <w:tc>
          <w:tcPr>
            <w:tcW w:w="1246" w:type="dxa"/>
          </w:tcPr>
          <w:p w:rsidR="00C35D71" w:rsidRDefault="00C35D71" w:rsidP="00C35D71">
            <w:pPr>
              <w:cnfStyle w:val="000000000000" w:firstRow="0" w:lastRow="0" w:firstColumn="0" w:lastColumn="0" w:oddVBand="0" w:evenVBand="0" w:oddHBand="0" w:evenHBand="0" w:firstRowFirstColumn="0" w:firstRowLastColumn="0" w:lastRowFirstColumn="0" w:lastRowLastColumn="0"/>
            </w:pPr>
            <w:r w:rsidRPr="00FA113F">
              <w:rPr>
                <w:sz w:val="18"/>
              </w:rPr>
              <w:t>0.00</w:t>
            </w:r>
          </w:p>
        </w:tc>
        <w:tc>
          <w:tcPr>
            <w:tcW w:w="1176" w:type="dxa"/>
          </w:tcPr>
          <w:p w:rsidR="00C35D71" w:rsidRDefault="00C35D71" w:rsidP="00C35D71">
            <w:pPr>
              <w:cnfStyle w:val="000000000000" w:firstRow="0" w:lastRow="0" w:firstColumn="0" w:lastColumn="0" w:oddVBand="0" w:evenVBand="0" w:oddHBand="0" w:evenHBand="0" w:firstRowFirstColumn="0" w:firstRowLastColumn="0" w:lastRowFirstColumn="0" w:lastRowLastColumn="0"/>
            </w:pPr>
            <w:r w:rsidRPr="00FA113F">
              <w:rPr>
                <w:sz w:val="18"/>
              </w:rPr>
              <w:t>0.00</w:t>
            </w:r>
          </w:p>
        </w:tc>
      </w:tr>
      <w:tr w:rsidR="00C35D71"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dxa"/>
            <w:shd w:val="clear" w:color="auto" w:fill="ACB9CA" w:themeFill="text2" w:themeFillTint="66"/>
          </w:tcPr>
          <w:p w:rsidR="00C35D71" w:rsidRPr="009D1595" w:rsidRDefault="00C35D71" w:rsidP="00C35D71">
            <w:pPr>
              <w:rPr>
                <w:sz w:val="18"/>
              </w:rPr>
            </w:pPr>
            <w:r w:rsidRPr="009D1595">
              <w:rPr>
                <w:sz w:val="18"/>
              </w:rPr>
              <w:t>Other transfers</w:t>
            </w:r>
          </w:p>
        </w:tc>
        <w:tc>
          <w:tcPr>
            <w:tcW w:w="1246" w:type="dxa"/>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c>
          <w:tcPr>
            <w:tcW w:w="1071" w:type="dxa"/>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c>
          <w:tcPr>
            <w:tcW w:w="1175" w:type="dxa"/>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c>
          <w:tcPr>
            <w:tcW w:w="1071" w:type="dxa"/>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c>
          <w:tcPr>
            <w:tcW w:w="1246" w:type="dxa"/>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c>
          <w:tcPr>
            <w:tcW w:w="1176" w:type="dxa"/>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r>
      <w:tr w:rsidR="00C35D71" w:rsidRPr="009D1595" w:rsidTr="00C35D71">
        <w:tc>
          <w:tcPr>
            <w:cnfStyle w:val="001000000000" w:firstRow="0" w:lastRow="0" w:firstColumn="1" w:lastColumn="0" w:oddVBand="0" w:evenVBand="0" w:oddHBand="0" w:evenHBand="0" w:firstRowFirstColumn="0" w:firstRowLastColumn="0" w:lastRowFirstColumn="0" w:lastRowLastColumn="0"/>
            <w:tcW w:w="2591" w:type="dxa"/>
          </w:tcPr>
          <w:p w:rsidR="00C35D71" w:rsidRPr="009D1595" w:rsidRDefault="00C35D71" w:rsidP="00C35D71">
            <w:pPr>
              <w:rPr>
                <w:b w:val="0"/>
                <w:sz w:val="18"/>
              </w:rPr>
            </w:pPr>
            <w:r w:rsidRPr="009D1595">
              <w:rPr>
                <w:b w:val="0"/>
                <w:sz w:val="18"/>
              </w:rPr>
              <w:t>Million Lei</w:t>
            </w:r>
          </w:p>
        </w:tc>
        <w:tc>
          <w:tcPr>
            <w:tcW w:w="1246"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0</w:t>
            </w:r>
          </w:p>
        </w:tc>
        <w:tc>
          <w:tcPr>
            <w:tcW w:w="1071"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1</w:t>
            </w:r>
          </w:p>
        </w:tc>
        <w:tc>
          <w:tcPr>
            <w:tcW w:w="1175"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0</w:t>
            </w:r>
          </w:p>
        </w:tc>
        <w:tc>
          <w:tcPr>
            <w:tcW w:w="1071"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3</w:t>
            </w:r>
          </w:p>
        </w:tc>
        <w:tc>
          <w:tcPr>
            <w:tcW w:w="1246"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1</w:t>
            </w:r>
          </w:p>
        </w:tc>
        <w:tc>
          <w:tcPr>
            <w:tcW w:w="1176"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1</w:t>
            </w:r>
          </w:p>
        </w:tc>
      </w:tr>
      <w:tr w:rsidR="00C35D71"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dxa"/>
          </w:tcPr>
          <w:p w:rsidR="00C35D71" w:rsidRPr="009D1595" w:rsidRDefault="00C35D71" w:rsidP="00C35D71">
            <w:pPr>
              <w:rPr>
                <w:b w:val="0"/>
                <w:sz w:val="18"/>
              </w:rPr>
            </w:pPr>
            <w:r w:rsidRPr="009D1595">
              <w:rPr>
                <w:b w:val="0"/>
                <w:sz w:val="18"/>
              </w:rPr>
              <w:t>% of G.D.P.</w:t>
            </w:r>
          </w:p>
        </w:tc>
        <w:tc>
          <w:tcPr>
            <w:tcW w:w="1246" w:type="dxa"/>
          </w:tcPr>
          <w:p w:rsidR="00C35D71" w:rsidRDefault="00C35D71" w:rsidP="00C35D71">
            <w:pPr>
              <w:cnfStyle w:val="000000100000" w:firstRow="0" w:lastRow="0" w:firstColumn="0" w:lastColumn="0" w:oddVBand="0" w:evenVBand="0" w:oddHBand="1" w:evenHBand="0" w:firstRowFirstColumn="0" w:firstRowLastColumn="0" w:lastRowFirstColumn="0" w:lastRowLastColumn="0"/>
            </w:pPr>
            <w:r w:rsidRPr="00681AB7">
              <w:rPr>
                <w:sz w:val="18"/>
              </w:rPr>
              <w:t>0.00</w:t>
            </w:r>
          </w:p>
        </w:tc>
        <w:tc>
          <w:tcPr>
            <w:tcW w:w="1071" w:type="dxa"/>
          </w:tcPr>
          <w:p w:rsidR="00C35D71" w:rsidRDefault="00C35D71" w:rsidP="00C35D71">
            <w:pPr>
              <w:cnfStyle w:val="000000100000" w:firstRow="0" w:lastRow="0" w:firstColumn="0" w:lastColumn="0" w:oddVBand="0" w:evenVBand="0" w:oddHBand="1" w:evenHBand="0" w:firstRowFirstColumn="0" w:firstRowLastColumn="0" w:lastRowFirstColumn="0" w:lastRowLastColumn="0"/>
            </w:pPr>
            <w:r w:rsidRPr="00681AB7">
              <w:rPr>
                <w:sz w:val="18"/>
              </w:rPr>
              <w:t>0.00</w:t>
            </w:r>
          </w:p>
        </w:tc>
        <w:tc>
          <w:tcPr>
            <w:tcW w:w="1175" w:type="dxa"/>
          </w:tcPr>
          <w:p w:rsidR="00C35D71" w:rsidRDefault="00C35D71" w:rsidP="00C35D71">
            <w:pPr>
              <w:cnfStyle w:val="000000100000" w:firstRow="0" w:lastRow="0" w:firstColumn="0" w:lastColumn="0" w:oddVBand="0" w:evenVBand="0" w:oddHBand="1" w:evenHBand="0" w:firstRowFirstColumn="0" w:firstRowLastColumn="0" w:lastRowFirstColumn="0" w:lastRowLastColumn="0"/>
            </w:pPr>
            <w:r w:rsidRPr="00681AB7">
              <w:rPr>
                <w:sz w:val="18"/>
              </w:rPr>
              <w:t>0.00</w:t>
            </w:r>
          </w:p>
        </w:tc>
        <w:tc>
          <w:tcPr>
            <w:tcW w:w="1071" w:type="dxa"/>
          </w:tcPr>
          <w:p w:rsidR="00C35D71" w:rsidRDefault="00C35D71" w:rsidP="00C35D71">
            <w:pPr>
              <w:cnfStyle w:val="000000100000" w:firstRow="0" w:lastRow="0" w:firstColumn="0" w:lastColumn="0" w:oddVBand="0" w:evenVBand="0" w:oddHBand="1" w:evenHBand="0" w:firstRowFirstColumn="0" w:firstRowLastColumn="0" w:lastRowFirstColumn="0" w:lastRowLastColumn="0"/>
            </w:pPr>
            <w:r w:rsidRPr="00681AB7">
              <w:rPr>
                <w:sz w:val="18"/>
              </w:rPr>
              <w:t>0.00</w:t>
            </w:r>
          </w:p>
        </w:tc>
        <w:tc>
          <w:tcPr>
            <w:tcW w:w="1246" w:type="dxa"/>
          </w:tcPr>
          <w:p w:rsidR="00C35D71" w:rsidRDefault="00C35D71" w:rsidP="00C35D71">
            <w:pPr>
              <w:cnfStyle w:val="000000100000" w:firstRow="0" w:lastRow="0" w:firstColumn="0" w:lastColumn="0" w:oddVBand="0" w:evenVBand="0" w:oddHBand="1" w:evenHBand="0" w:firstRowFirstColumn="0" w:firstRowLastColumn="0" w:lastRowFirstColumn="0" w:lastRowLastColumn="0"/>
            </w:pPr>
            <w:r w:rsidRPr="00681AB7">
              <w:rPr>
                <w:sz w:val="18"/>
              </w:rPr>
              <w:t>0.00</w:t>
            </w:r>
          </w:p>
        </w:tc>
        <w:tc>
          <w:tcPr>
            <w:tcW w:w="1176" w:type="dxa"/>
          </w:tcPr>
          <w:p w:rsidR="00C35D71" w:rsidRDefault="00C35D71" w:rsidP="00C35D71">
            <w:pPr>
              <w:cnfStyle w:val="000000100000" w:firstRow="0" w:lastRow="0" w:firstColumn="0" w:lastColumn="0" w:oddVBand="0" w:evenVBand="0" w:oddHBand="1" w:evenHBand="0" w:firstRowFirstColumn="0" w:firstRowLastColumn="0" w:lastRowFirstColumn="0" w:lastRowLastColumn="0"/>
            </w:pPr>
            <w:r w:rsidRPr="00681AB7">
              <w:rPr>
                <w:sz w:val="18"/>
              </w:rPr>
              <w:t>0.00</w:t>
            </w:r>
          </w:p>
        </w:tc>
      </w:tr>
      <w:tr w:rsidR="00C35D71" w:rsidRPr="009D1595" w:rsidTr="00C35D71">
        <w:tc>
          <w:tcPr>
            <w:cnfStyle w:val="001000000000" w:firstRow="0" w:lastRow="0" w:firstColumn="1" w:lastColumn="0" w:oddVBand="0" w:evenVBand="0" w:oddHBand="0" w:evenHBand="0" w:firstRowFirstColumn="0" w:firstRowLastColumn="0" w:lastRowFirstColumn="0" w:lastRowLastColumn="0"/>
            <w:tcW w:w="2591" w:type="dxa"/>
            <w:shd w:val="clear" w:color="auto" w:fill="ACB9CA" w:themeFill="text2" w:themeFillTint="66"/>
          </w:tcPr>
          <w:p w:rsidR="00C35D71" w:rsidRPr="009D1595" w:rsidRDefault="00C35D71" w:rsidP="00C35D71">
            <w:pPr>
              <w:rPr>
                <w:sz w:val="18"/>
              </w:rPr>
            </w:pPr>
            <w:r w:rsidRPr="009D1595">
              <w:rPr>
                <w:sz w:val="18"/>
              </w:rPr>
              <w:t>Projects with financing from external non-reimbursable funds (ENF)</w:t>
            </w:r>
          </w:p>
        </w:tc>
        <w:tc>
          <w:tcPr>
            <w:tcW w:w="1246"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b/>
                <w:sz w:val="18"/>
              </w:rPr>
            </w:pPr>
          </w:p>
        </w:tc>
        <w:tc>
          <w:tcPr>
            <w:tcW w:w="1071"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b/>
                <w:sz w:val="18"/>
              </w:rPr>
            </w:pPr>
          </w:p>
        </w:tc>
        <w:tc>
          <w:tcPr>
            <w:tcW w:w="1175"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b/>
                <w:sz w:val="18"/>
              </w:rPr>
            </w:pPr>
          </w:p>
        </w:tc>
        <w:tc>
          <w:tcPr>
            <w:tcW w:w="1071"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b/>
                <w:sz w:val="18"/>
              </w:rPr>
            </w:pPr>
          </w:p>
        </w:tc>
        <w:tc>
          <w:tcPr>
            <w:tcW w:w="1246"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b/>
                <w:sz w:val="18"/>
              </w:rPr>
            </w:pPr>
          </w:p>
        </w:tc>
        <w:tc>
          <w:tcPr>
            <w:tcW w:w="1176"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b/>
                <w:sz w:val="18"/>
              </w:rPr>
            </w:pPr>
          </w:p>
        </w:tc>
      </w:tr>
      <w:tr w:rsidR="00C35D71"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dxa"/>
          </w:tcPr>
          <w:p w:rsidR="00C35D71" w:rsidRPr="009D1595" w:rsidRDefault="00C35D71" w:rsidP="00C35D71">
            <w:pPr>
              <w:rPr>
                <w:b w:val="0"/>
                <w:sz w:val="18"/>
              </w:rPr>
            </w:pPr>
            <w:r w:rsidRPr="009D1595">
              <w:rPr>
                <w:b w:val="0"/>
                <w:sz w:val="18"/>
              </w:rPr>
              <w:t>Million Lei</w:t>
            </w:r>
          </w:p>
        </w:tc>
        <w:tc>
          <w:tcPr>
            <w:tcW w:w="1246"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10</w:t>
            </w:r>
          </w:p>
        </w:tc>
        <w:tc>
          <w:tcPr>
            <w:tcW w:w="1071"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1</w:t>
            </w:r>
          </w:p>
        </w:tc>
        <w:tc>
          <w:tcPr>
            <w:tcW w:w="1175"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0</w:t>
            </w:r>
          </w:p>
        </w:tc>
        <w:tc>
          <w:tcPr>
            <w:tcW w:w="1071"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8</w:t>
            </w:r>
          </w:p>
        </w:tc>
        <w:tc>
          <w:tcPr>
            <w:tcW w:w="1246"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c>
          <w:tcPr>
            <w:tcW w:w="1176"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r>
      <w:tr w:rsidR="00C35D71" w:rsidRPr="009D1595" w:rsidTr="00C35D71">
        <w:tc>
          <w:tcPr>
            <w:cnfStyle w:val="001000000000" w:firstRow="0" w:lastRow="0" w:firstColumn="1" w:lastColumn="0" w:oddVBand="0" w:evenVBand="0" w:oddHBand="0" w:evenHBand="0" w:firstRowFirstColumn="0" w:firstRowLastColumn="0" w:lastRowFirstColumn="0" w:lastRowLastColumn="0"/>
            <w:tcW w:w="2591" w:type="dxa"/>
          </w:tcPr>
          <w:p w:rsidR="00C35D71" w:rsidRPr="009D1595" w:rsidRDefault="00C35D71" w:rsidP="00C35D71">
            <w:pPr>
              <w:rPr>
                <w:b w:val="0"/>
                <w:sz w:val="18"/>
              </w:rPr>
            </w:pPr>
            <w:r w:rsidRPr="009D1595">
              <w:rPr>
                <w:b w:val="0"/>
                <w:sz w:val="18"/>
              </w:rPr>
              <w:t>% of G.D.P.</w:t>
            </w:r>
          </w:p>
        </w:tc>
        <w:tc>
          <w:tcPr>
            <w:tcW w:w="1246" w:type="dxa"/>
          </w:tcPr>
          <w:p w:rsidR="00C35D71" w:rsidRDefault="00C35D71" w:rsidP="00C35D71">
            <w:pPr>
              <w:cnfStyle w:val="000000000000" w:firstRow="0" w:lastRow="0" w:firstColumn="0" w:lastColumn="0" w:oddVBand="0" w:evenVBand="0" w:oddHBand="0" w:evenHBand="0" w:firstRowFirstColumn="0" w:firstRowLastColumn="0" w:lastRowFirstColumn="0" w:lastRowLastColumn="0"/>
            </w:pPr>
            <w:r w:rsidRPr="009C518F">
              <w:rPr>
                <w:sz w:val="18"/>
              </w:rPr>
              <w:t>0.00</w:t>
            </w:r>
          </w:p>
        </w:tc>
        <w:tc>
          <w:tcPr>
            <w:tcW w:w="1071" w:type="dxa"/>
          </w:tcPr>
          <w:p w:rsidR="00C35D71" w:rsidRDefault="00C35D71" w:rsidP="00C35D71">
            <w:pPr>
              <w:cnfStyle w:val="000000000000" w:firstRow="0" w:lastRow="0" w:firstColumn="0" w:lastColumn="0" w:oddVBand="0" w:evenVBand="0" w:oddHBand="0" w:evenHBand="0" w:firstRowFirstColumn="0" w:firstRowLastColumn="0" w:lastRowFirstColumn="0" w:lastRowLastColumn="0"/>
            </w:pPr>
            <w:r w:rsidRPr="009C518F">
              <w:rPr>
                <w:sz w:val="18"/>
              </w:rPr>
              <w:t>0.00</w:t>
            </w:r>
          </w:p>
        </w:tc>
        <w:tc>
          <w:tcPr>
            <w:tcW w:w="1175" w:type="dxa"/>
          </w:tcPr>
          <w:p w:rsidR="00C35D71" w:rsidRDefault="00C35D71" w:rsidP="00C35D71">
            <w:pPr>
              <w:cnfStyle w:val="000000000000" w:firstRow="0" w:lastRow="0" w:firstColumn="0" w:lastColumn="0" w:oddVBand="0" w:evenVBand="0" w:oddHBand="0" w:evenHBand="0" w:firstRowFirstColumn="0" w:firstRowLastColumn="0" w:lastRowFirstColumn="0" w:lastRowLastColumn="0"/>
            </w:pPr>
            <w:r w:rsidRPr="009C518F">
              <w:rPr>
                <w:sz w:val="18"/>
              </w:rPr>
              <w:t>0.00</w:t>
            </w:r>
          </w:p>
        </w:tc>
        <w:tc>
          <w:tcPr>
            <w:tcW w:w="1071" w:type="dxa"/>
          </w:tcPr>
          <w:p w:rsidR="00C35D71" w:rsidRDefault="00C35D71" w:rsidP="00C35D71">
            <w:pPr>
              <w:cnfStyle w:val="000000000000" w:firstRow="0" w:lastRow="0" w:firstColumn="0" w:lastColumn="0" w:oddVBand="0" w:evenVBand="0" w:oddHBand="0" w:evenHBand="0" w:firstRowFirstColumn="0" w:firstRowLastColumn="0" w:lastRowFirstColumn="0" w:lastRowLastColumn="0"/>
            </w:pPr>
            <w:r w:rsidRPr="009C518F">
              <w:rPr>
                <w:sz w:val="18"/>
              </w:rPr>
              <w:t>0.00</w:t>
            </w:r>
          </w:p>
        </w:tc>
        <w:tc>
          <w:tcPr>
            <w:tcW w:w="1246" w:type="dxa"/>
          </w:tcPr>
          <w:p w:rsidR="00C35D71" w:rsidRDefault="00C35D71" w:rsidP="00C35D71">
            <w:pPr>
              <w:cnfStyle w:val="000000000000" w:firstRow="0" w:lastRow="0" w:firstColumn="0" w:lastColumn="0" w:oddVBand="0" w:evenVBand="0" w:oddHBand="0" w:evenHBand="0" w:firstRowFirstColumn="0" w:firstRowLastColumn="0" w:lastRowFirstColumn="0" w:lastRowLastColumn="0"/>
            </w:pPr>
            <w:r w:rsidRPr="009C518F">
              <w:rPr>
                <w:sz w:val="18"/>
              </w:rPr>
              <w:t>0.00</w:t>
            </w:r>
          </w:p>
        </w:tc>
        <w:tc>
          <w:tcPr>
            <w:tcW w:w="1176" w:type="dxa"/>
          </w:tcPr>
          <w:p w:rsidR="00C35D71" w:rsidRDefault="00C35D71" w:rsidP="00C35D71">
            <w:pPr>
              <w:cnfStyle w:val="000000000000" w:firstRow="0" w:lastRow="0" w:firstColumn="0" w:lastColumn="0" w:oddVBand="0" w:evenVBand="0" w:oddHBand="0" w:evenHBand="0" w:firstRowFirstColumn="0" w:firstRowLastColumn="0" w:lastRowFirstColumn="0" w:lastRowLastColumn="0"/>
            </w:pPr>
            <w:r w:rsidRPr="009C518F">
              <w:rPr>
                <w:sz w:val="18"/>
              </w:rPr>
              <w:t>0.00</w:t>
            </w:r>
          </w:p>
        </w:tc>
      </w:tr>
      <w:tr w:rsidR="00C35D71"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dxa"/>
            <w:shd w:val="clear" w:color="auto" w:fill="ACB9CA" w:themeFill="text2" w:themeFillTint="66"/>
          </w:tcPr>
          <w:p w:rsidR="00C35D71" w:rsidRPr="009D1595" w:rsidRDefault="00C35D71" w:rsidP="00C35D71">
            <w:pPr>
              <w:rPr>
                <w:sz w:val="18"/>
              </w:rPr>
            </w:pPr>
            <w:r w:rsidRPr="009D1595">
              <w:rPr>
                <w:sz w:val="18"/>
              </w:rPr>
              <w:t>Projects with financing from external non-reimbursable funds corresponding to the financial framework 2014-2020</w:t>
            </w:r>
          </w:p>
        </w:tc>
        <w:tc>
          <w:tcPr>
            <w:tcW w:w="1246" w:type="dxa"/>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c>
          <w:tcPr>
            <w:tcW w:w="1071" w:type="dxa"/>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c>
          <w:tcPr>
            <w:tcW w:w="1175" w:type="dxa"/>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c>
          <w:tcPr>
            <w:tcW w:w="1071" w:type="dxa"/>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c>
          <w:tcPr>
            <w:tcW w:w="1246" w:type="dxa"/>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c>
          <w:tcPr>
            <w:tcW w:w="1176" w:type="dxa"/>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r>
      <w:tr w:rsidR="00C35D71" w:rsidRPr="009D1595" w:rsidTr="00C35D71">
        <w:tc>
          <w:tcPr>
            <w:cnfStyle w:val="001000000000" w:firstRow="0" w:lastRow="0" w:firstColumn="1" w:lastColumn="0" w:oddVBand="0" w:evenVBand="0" w:oddHBand="0" w:evenHBand="0" w:firstRowFirstColumn="0" w:firstRowLastColumn="0" w:lastRowFirstColumn="0" w:lastRowLastColumn="0"/>
            <w:tcW w:w="2591" w:type="dxa"/>
          </w:tcPr>
          <w:p w:rsidR="00C35D71" w:rsidRPr="009D1595" w:rsidRDefault="00C35D71" w:rsidP="00C35D71">
            <w:pPr>
              <w:rPr>
                <w:b w:val="0"/>
                <w:sz w:val="18"/>
              </w:rPr>
            </w:pPr>
            <w:r w:rsidRPr="009D1595">
              <w:rPr>
                <w:b w:val="0"/>
                <w:sz w:val="18"/>
              </w:rPr>
              <w:t>Million Lei</w:t>
            </w:r>
          </w:p>
        </w:tc>
        <w:tc>
          <w:tcPr>
            <w:tcW w:w="1246"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1</w:t>
            </w:r>
          </w:p>
        </w:tc>
        <w:tc>
          <w:tcPr>
            <w:tcW w:w="1071"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13</w:t>
            </w:r>
          </w:p>
        </w:tc>
        <w:tc>
          <w:tcPr>
            <w:tcW w:w="1175"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28</w:t>
            </w:r>
          </w:p>
        </w:tc>
        <w:tc>
          <w:tcPr>
            <w:tcW w:w="1071"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50</w:t>
            </w:r>
          </w:p>
        </w:tc>
        <w:tc>
          <w:tcPr>
            <w:tcW w:w="1246"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64</w:t>
            </w:r>
          </w:p>
        </w:tc>
        <w:tc>
          <w:tcPr>
            <w:tcW w:w="1176"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49</w:t>
            </w:r>
          </w:p>
        </w:tc>
      </w:tr>
      <w:tr w:rsidR="00C35D71"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dxa"/>
          </w:tcPr>
          <w:p w:rsidR="00C35D71" w:rsidRPr="009D1595" w:rsidRDefault="00C35D71" w:rsidP="00C35D71">
            <w:pPr>
              <w:rPr>
                <w:b w:val="0"/>
                <w:sz w:val="18"/>
              </w:rPr>
            </w:pPr>
            <w:r w:rsidRPr="009D1595">
              <w:rPr>
                <w:b w:val="0"/>
                <w:sz w:val="18"/>
              </w:rPr>
              <w:t>% of G.D.P.</w:t>
            </w:r>
          </w:p>
        </w:tc>
        <w:tc>
          <w:tcPr>
            <w:tcW w:w="1246" w:type="dxa"/>
          </w:tcPr>
          <w:p w:rsidR="00C35D71" w:rsidRDefault="00C35D71" w:rsidP="00C35D71">
            <w:pPr>
              <w:cnfStyle w:val="000000100000" w:firstRow="0" w:lastRow="0" w:firstColumn="0" w:lastColumn="0" w:oddVBand="0" w:evenVBand="0" w:oddHBand="1" w:evenHBand="0" w:firstRowFirstColumn="0" w:firstRowLastColumn="0" w:lastRowFirstColumn="0" w:lastRowLastColumn="0"/>
            </w:pPr>
            <w:r w:rsidRPr="00EE1482">
              <w:rPr>
                <w:sz w:val="18"/>
              </w:rPr>
              <w:t>0.00</w:t>
            </w:r>
          </w:p>
        </w:tc>
        <w:tc>
          <w:tcPr>
            <w:tcW w:w="1071" w:type="dxa"/>
          </w:tcPr>
          <w:p w:rsidR="00C35D71" w:rsidRDefault="00C35D71" w:rsidP="00C35D71">
            <w:pPr>
              <w:cnfStyle w:val="000000100000" w:firstRow="0" w:lastRow="0" w:firstColumn="0" w:lastColumn="0" w:oddVBand="0" w:evenVBand="0" w:oddHBand="1" w:evenHBand="0" w:firstRowFirstColumn="0" w:firstRowLastColumn="0" w:lastRowFirstColumn="0" w:lastRowLastColumn="0"/>
            </w:pPr>
            <w:r w:rsidRPr="00EE1482">
              <w:rPr>
                <w:sz w:val="18"/>
              </w:rPr>
              <w:t>0.00</w:t>
            </w:r>
          </w:p>
        </w:tc>
        <w:tc>
          <w:tcPr>
            <w:tcW w:w="1175" w:type="dxa"/>
          </w:tcPr>
          <w:p w:rsidR="00C35D71" w:rsidRDefault="00C35D71" w:rsidP="00C35D71">
            <w:pPr>
              <w:cnfStyle w:val="000000100000" w:firstRow="0" w:lastRow="0" w:firstColumn="0" w:lastColumn="0" w:oddVBand="0" w:evenVBand="0" w:oddHBand="1" w:evenHBand="0" w:firstRowFirstColumn="0" w:firstRowLastColumn="0" w:lastRowFirstColumn="0" w:lastRowLastColumn="0"/>
            </w:pPr>
            <w:r w:rsidRPr="00EE1482">
              <w:rPr>
                <w:sz w:val="18"/>
              </w:rPr>
              <w:t>0.00</w:t>
            </w:r>
          </w:p>
        </w:tc>
        <w:tc>
          <w:tcPr>
            <w:tcW w:w="1071"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0.01</w:t>
            </w:r>
          </w:p>
        </w:tc>
        <w:tc>
          <w:tcPr>
            <w:tcW w:w="1246"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0.01</w:t>
            </w:r>
          </w:p>
        </w:tc>
        <w:tc>
          <w:tcPr>
            <w:tcW w:w="1176"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r>
      <w:tr w:rsidR="00C35D71" w:rsidRPr="009D1595" w:rsidTr="00C35D71">
        <w:tc>
          <w:tcPr>
            <w:cnfStyle w:val="001000000000" w:firstRow="0" w:lastRow="0" w:firstColumn="1" w:lastColumn="0" w:oddVBand="0" w:evenVBand="0" w:oddHBand="0" w:evenHBand="0" w:firstRowFirstColumn="0" w:firstRowLastColumn="0" w:lastRowFirstColumn="0" w:lastRowLastColumn="0"/>
            <w:tcW w:w="2591" w:type="dxa"/>
            <w:shd w:val="clear" w:color="auto" w:fill="ACB9CA" w:themeFill="text2" w:themeFillTint="66"/>
          </w:tcPr>
          <w:p w:rsidR="00C35D71" w:rsidRPr="009D1595" w:rsidRDefault="00C35D71" w:rsidP="00C35D71">
            <w:pPr>
              <w:rPr>
                <w:sz w:val="18"/>
              </w:rPr>
            </w:pPr>
            <w:r w:rsidRPr="009D1595">
              <w:rPr>
                <w:sz w:val="18"/>
              </w:rPr>
              <w:t>Other expenditures</w:t>
            </w:r>
          </w:p>
        </w:tc>
        <w:tc>
          <w:tcPr>
            <w:tcW w:w="1246"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c>
          <w:tcPr>
            <w:tcW w:w="1071"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c>
          <w:tcPr>
            <w:tcW w:w="1175"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c>
          <w:tcPr>
            <w:tcW w:w="1071"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c>
          <w:tcPr>
            <w:tcW w:w="1246"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c>
          <w:tcPr>
            <w:tcW w:w="1176"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r>
      <w:tr w:rsidR="00C35D71"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dxa"/>
          </w:tcPr>
          <w:p w:rsidR="00C35D71" w:rsidRPr="009D1595" w:rsidRDefault="00C35D71" w:rsidP="00C35D71">
            <w:pPr>
              <w:rPr>
                <w:b w:val="0"/>
                <w:sz w:val="18"/>
              </w:rPr>
            </w:pPr>
            <w:r w:rsidRPr="009D1595">
              <w:rPr>
                <w:b w:val="0"/>
                <w:sz w:val="18"/>
              </w:rPr>
              <w:t>Million Lei</w:t>
            </w:r>
          </w:p>
        </w:tc>
        <w:tc>
          <w:tcPr>
            <w:tcW w:w="1246"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794</w:t>
            </w:r>
          </w:p>
        </w:tc>
        <w:tc>
          <w:tcPr>
            <w:tcW w:w="1071"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1,011</w:t>
            </w:r>
          </w:p>
        </w:tc>
        <w:tc>
          <w:tcPr>
            <w:tcW w:w="1175"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1,949</w:t>
            </w:r>
          </w:p>
        </w:tc>
        <w:tc>
          <w:tcPr>
            <w:tcW w:w="1071"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984</w:t>
            </w:r>
          </w:p>
        </w:tc>
        <w:tc>
          <w:tcPr>
            <w:tcW w:w="1246"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1,500</w:t>
            </w:r>
          </w:p>
        </w:tc>
        <w:tc>
          <w:tcPr>
            <w:tcW w:w="1176"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1,500</w:t>
            </w:r>
          </w:p>
        </w:tc>
      </w:tr>
      <w:tr w:rsidR="00C35D71" w:rsidRPr="009D1595" w:rsidTr="00C35D71">
        <w:tc>
          <w:tcPr>
            <w:cnfStyle w:val="001000000000" w:firstRow="0" w:lastRow="0" w:firstColumn="1" w:lastColumn="0" w:oddVBand="0" w:evenVBand="0" w:oddHBand="0" w:evenHBand="0" w:firstRowFirstColumn="0" w:firstRowLastColumn="0" w:lastRowFirstColumn="0" w:lastRowLastColumn="0"/>
            <w:tcW w:w="2591" w:type="dxa"/>
          </w:tcPr>
          <w:p w:rsidR="00C35D71" w:rsidRPr="009D1595" w:rsidRDefault="00C35D71" w:rsidP="00C35D71">
            <w:pPr>
              <w:rPr>
                <w:b w:val="0"/>
                <w:sz w:val="18"/>
              </w:rPr>
            </w:pPr>
            <w:r w:rsidRPr="009D1595">
              <w:rPr>
                <w:b w:val="0"/>
                <w:sz w:val="18"/>
              </w:rPr>
              <w:t>% of G.D.P.</w:t>
            </w:r>
          </w:p>
        </w:tc>
        <w:tc>
          <w:tcPr>
            <w:tcW w:w="1246"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0.10</w:t>
            </w:r>
          </w:p>
        </w:tc>
        <w:tc>
          <w:tcPr>
            <w:tcW w:w="1071"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0.12</w:t>
            </w:r>
          </w:p>
        </w:tc>
        <w:tc>
          <w:tcPr>
            <w:tcW w:w="1175"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0.21</w:t>
            </w:r>
          </w:p>
        </w:tc>
        <w:tc>
          <w:tcPr>
            <w:tcW w:w="1071"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0.10</w:t>
            </w:r>
          </w:p>
        </w:tc>
        <w:tc>
          <w:tcPr>
            <w:tcW w:w="1246"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0.14</w:t>
            </w:r>
          </w:p>
        </w:tc>
        <w:tc>
          <w:tcPr>
            <w:tcW w:w="1176"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0.13</w:t>
            </w:r>
          </w:p>
        </w:tc>
      </w:tr>
      <w:tr w:rsidR="00C35D71"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dxa"/>
            <w:shd w:val="clear" w:color="auto" w:fill="ACB9CA" w:themeFill="text2" w:themeFillTint="66"/>
          </w:tcPr>
          <w:p w:rsidR="00C35D71" w:rsidRPr="009D1595" w:rsidRDefault="00C35D71" w:rsidP="00C35D71">
            <w:pPr>
              <w:rPr>
                <w:sz w:val="18"/>
              </w:rPr>
            </w:pPr>
            <w:r w:rsidRPr="009D1595">
              <w:rPr>
                <w:sz w:val="18"/>
              </w:rPr>
              <w:t>Expenditures corresponding to programs with reimbursable financing</w:t>
            </w:r>
          </w:p>
        </w:tc>
        <w:tc>
          <w:tcPr>
            <w:tcW w:w="1246" w:type="dxa"/>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c>
          <w:tcPr>
            <w:tcW w:w="1071" w:type="dxa"/>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c>
          <w:tcPr>
            <w:tcW w:w="1175" w:type="dxa"/>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c>
          <w:tcPr>
            <w:tcW w:w="1071" w:type="dxa"/>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c>
          <w:tcPr>
            <w:tcW w:w="1246" w:type="dxa"/>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c>
          <w:tcPr>
            <w:tcW w:w="1176" w:type="dxa"/>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r>
      <w:tr w:rsidR="00C35D71" w:rsidRPr="009D1595" w:rsidTr="00C35D71">
        <w:tc>
          <w:tcPr>
            <w:cnfStyle w:val="001000000000" w:firstRow="0" w:lastRow="0" w:firstColumn="1" w:lastColumn="0" w:oddVBand="0" w:evenVBand="0" w:oddHBand="0" w:evenHBand="0" w:firstRowFirstColumn="0" w:firstRowLastColumn="0" w:lastRowFirstColumn="0" w:lastRowLastColumn="0"/>
            <w:tcW w:w="2591" w:type="dxa"/>
          </w:tcPr>
          <w:p w:rsidR="00C35D71" w:rsidRPr="009D1595" w:rsidRDefault="00C35D71" w:rsidP="00C35D71">
            <w:pPr>
              <w:rPr>
                <w:b w:val="0"/>
                <w:sz w:val="18"/>
              </w:rPr>
            </w:pPr>
            <w:r w:rsidRPr="009D1595">
              <w:rPr>
                <w:b w:val="0"/>
                <w:sz w:val="18"/>
              </w:rPr>
              <w:t>Million Lei</w:t>
            </w:r>
          </w:p>
        </w:tc>
        <w:tc>
          <w:tcPr>
            <w:tcW w:w="1246"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30</w:t>
            </w:r>
          </w:p>
        </w:tc>
        <w:tc>
          <w:tcPr>
            <w:tcW w:w="1071"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12</w:t>
            </w:r>
          </w:p>
        </w:tc>
        <w:tc>
          <w:tcPr>
            <w:tcW w:w="1175"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0</w:t>
            </w:r>
          </w:p>
        </w:tc>
        <w:tc>
          <w:tcPr>
            <w:tcW w:w="1071"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3</w:t>
            </w:r>
          </w:p>
        </w:tc>
        <w:tc>
          <w:tcPr>
            <w:tcW w:w="1246"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c>
          <w:tcPr>
            <w:tcW w:w="1176"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r>
      <w:tr w:rsidR="00C35D71"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dxa"/>
          </w:tcPr>
          <w:p w:rsidR="00C35D71" w:rsidRPr="009D1595" w:rsidRDefault="00C35D71" w:rsidP="00C35D71">
            <w:pPr>
              <w:rPr>
                <w:b w:val="0"/>
                <w:sz w:val="18"/>
              </w:rPr>
            </w:pPr>
            <w:r w:rsidRPr="009D1595">
              <w:rPr>
                <w:b w:val="0"/>
                <w:sz w:val="18"/>
              </w:rPr>
              <w:t>% of G.D.P.</w:t>
            </w:r>
          </w:p>
        </w:tc>
        <w:tc>
          <w:tcPr>
            <w:tcW w:w="1246" w:type="dxa"/>
          </w:tcPr>
          <w:p w:rsidR="00C35D71" w:rsidRDefault="00C35D71" w:rsidP="00C35D71">
            <w:pPr>
              <w:cnfStyle w:val="000000100000" w:firstRow="0" w:lastRow="0" w:firstColumn="0" w:lastColumn="0" w:oddVBand="0" w:evenVBand="0" w:oddHBand="1" w:evenHBand="0" w:firstRowFirstColumn="0" w:firstRowLastColumn="0" w:lastRowFirstColumn="0" w:lastRowLastColumn="0"/>
            </w:pPr>
            <w:r w:rsidRPr="00854602">
              <w:rPr>
                <w:sz w:val="18"/>
              </w:rPr>
              <w:t>0.00</w:t>
            </w:r>
          </w:p>
        </w:tc>
        <w:tc>
          <w:tcPr>
            <w:tcW w:w="1071" w:type="dxa"/>
          </w:tcPr>
          <w:p w:rsidR="00C35D71" w:rsidRDefault="00C35D71" w:rsidP="00C35D71">
            <w:pPr>
              <w:cnfStyle w:val="000000100000" w:firstRow="0" w:lastRow="0" w:firstColumn="0" w:lastColumn="0" w:oddVBand="0" w:evenVBand="0" w:oddHBand="1" w:evenHBand="0" w:firstRowFirstColumn="0" w:firstRowLastColumn="0" w:lastRowFirstColumn="0" w:lastRowLastColumn="0"/>
            </w:pPr>
            <w:r w:rsidRPr="00854602">
              <w:rPr>
                <w:sz w:val="18"/>
              </w:rPr>
              <w:t>0.00</w:t>
            </w:r>
          </w:p>
        </w:tc>
        <w:tc>
          <w:tcPr>
            <w:tcW w:w="1175" w:type="dxa"/>
          </w:tcPr>
          <w:p w:rsidR="00C35D71" w:rsidRDefault="00C35D71" w:rsidP="00C35D71">
            <w:pPr>
              <w:cnfStyle w:val="000000100000" w:firstRow="0" w:lastRow="0" w:firstColumn="0" w:lastColumn="0" w:oddVBand="0" w:evenVBand="0" w:oddHBand="1" w:evenHBand="0" w:firstRowFirstColumn="0" w:firstRowLastColumn="0" w:lastRowFirstColumn="0" w:lastRowLastColumn="0"/>
            </w:pPr>
            <w:r w:rsidRPr="00854602">
              <w:rPr>
                <w:sz w:val="18"/>
              </w:rPr>
              <w:t>0.00</w:t>
            </w:r>
          </w:p>
        </w:tc>
        <w:tc>
          <w:tcPr>
            <w:tcW w:w="1071" w:type="dxa"/>
          </w:tcPr>
          <w:p w:rsidR="00C35D71" w:rsidRDefault="00C35D71" w:rsidP="00C35D71">
            <w:pPr>
              <w:cnfStyle w:val="000000100000" w:firstRow="0" w:lastRow="0" w:firstColumn="0" w:lastColumn="0" w:oddVBand="0" w:evenVBand="0" w:oddHBand="1" w:evenHBand="0" w:firstRowFirstColumn="0" w:firstRowLastColumn="0" w:lastRowFirstColumn="0" w:lastRowLastColumn="0"/>
            </w:pPr>
            <w:r w:rsidRPr="00854602">
              <w:rPr>
                <w:sz w:val="18"/>
              </w:rPr>
              <w:t>0.00</w:t>
            </w:r>
          </w:p>
        </w:tc>
        <w:tc>
          <w:tcPr>
            <w:tcW w:w="1246" w:type="dxa"/>
          </w:tcPr>
          <w:p w:rsidR="00C35D71" w:rsidRDefault="00C35D71" w:rsidP="00C35D71">
            <w:pPr>
              <w:cnfStyle w:val="000000100000" w:firstRow="0" w:lastRow="0" w:firstColumn="0" w:lastColumn="0" w:oddVBand="0" w:evenVBand="0" w:oddHBand="1" w:evenHBand="0" w:firstRowFirstColumn="0" w:firstRowLastColumn="0" w:lastRowFirstColumn="0" w:lastRowLastColumn="0"/>
            </w:pPr>
            <w:r w:rsidRPr="00854602">
              <w:rPr>
                <w:sz w:val="18"/>
              </w:rPr>
              <w:t>0.00</w:t>
            </w:r>
          </w:p>
        </w:tc>
        <w:tc>
          <w:tcPr>
            <w:tcW w:w="1176" w:type="dxa"/>
          </w:tcPr>
          <w:p w:rsidR="00C35D71" w:rsidRDefault="00C35D71" w:rsidP="00C35D71">
            <w:pPr>
              <w:cnfStyle w:val="000000100000" w:firstRow="0" w:lastRow="0" w:firstColumn="0" w:lastColumn="0" w:oddVBand="0" w:evenVBand="0" w:oddHBand="1" w:evenHBand="0" w:firstRowFirstColumn="0" w:firstRowLastColumn="0" w:lastRowFirstColumn="0" w:lastRowLastColumn="0"/>
            </w:pPr>
            <w:r w:rsidRPr="00854602">
              <w:rPr>
                <w:sz w:val="18"/>
              </w:rPr>
              <w:t>0.00</w:t>
            </w:r>
          </w:p>
        </w:tc>
      </w:tr>
      <w:tr w:rsidR="00C35D71" w:rsidRPr="009D1595" w:rsidTr="00C35D71">
        <w:tc>
          <w:tcPr>
            <w:cnfStyle w:val="001000000000" w:firstRow="0" w:lastRow="0" w:firstColumn="1" w:lastColumn="0" w:oddVBand="0" w:evenVBand="0" w:oddHBand="0" w:evenHBand="0" w:firstRowFirstColumn="0" w:firstRowLastColumn="0" w:lastRowFirstColumn="0" w:lastRowLastColumn="0"/>
            <w:tcW w:w="2591" w:type="dxa"/>
            <w:shd w:val="clear" w:color="auto" w:fill="ACB9CA" w:themeFill="text2" w:themeFillTint="66"/>
          </w:tcPr>
          <w:p w:rsidR="00C35D71" w:rsidRPr="009D1595" w:rsidRDefault="00C35D71" w:rsidP="00C35D71">
            <w:pPr>
              <w:rPr>
                <w:sz w:val="18"/>
              </w:rPr>
            </w:pPr>
            <w:r w:rsidRPr="009D1595">
              <w:rPr>
                <w:sz w:val="18"/>
              </w:rPr>
              <w:t>Non-financial assets</w:t>
            </w:r>
          </w:p>
        </w:tc>
        <w:tc>
          <w:tcPr>
            <w:tcW w:w="1246"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c>
          <w:tcPr>
            <w:tcW w:w="1071"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c>
          <w:tcPr>
            <w:tcW w:w="1175"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c>
          <w:tcPr>
            <w:tcW w:w="1071"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c>
          <w:tcPr>
            <w:tcW w:w="1246"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c>
          <w:tcPr>
            <w:tcW w:w="1176"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r>
      <w:tr w:rsidR="00C35D71"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dxa"/>
          </w:tcPr>
          <w:p w:rsidR="00C35D71" w:rsidRPr="009D1595" w:rsidRDefault="00C35D71" w:rsidP="00C35D71">
            <w:pPr>
              <w:rPr>
                <w:b w:val="0"/>
                <w:sz w:val="18"/>
              </w:rPr>
            </w:pPr>
            <w:r w:rsidRPr="009D1595">
              <w:rPr>
                <w:b w:val="0"/>
                <w:sz w:val="18"/>
              </w:rPr>
              <w:t>Million Lei</w:t>
            </w:r>
          </w:p>
        </w:tc>
        <w:tc>
          <w:tcPr>
            <w:tcW w:w="1246"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35</w:t>
            </w:r>
          </w:p>
        </w:tc>
        <w:tc>
          <w:tcPr>
            <w:tcW w:w="1071"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10</w:t>
            </w:r>
          </w:p>
        </w:tc>
        <w:tc>
          <w:tcPr>
            <w:tcW w:w="1175"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98</w:t>
            </w:r>
          </w:p>
        </w:tc>
        <w:tc>
          <w:tcPr>
            <w:tcW w:w="1071"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327</w:t>
            </w:r>
          </w:p>
        </w:tc>
        <w:tc>
          <w:tcPr>
            <w:tcW w:w="1246"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101</w:t>
            </w:r>
          </w:p>
        </w:tc>
        <w:tc>
          <w:tcPr>
            <w:tcW w:w="1176"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102</w:t>
            </w:r>
          </w:p>
        </w:tc>
      </w:tr>
      <w:tr w:rsidR="00C35D71" w:rsidRPr="009D1595" w:rsidTr="00C35D71">
        <w:tc>
          <w:tcPr>
            <w:cnfStyle w:val="001000000000" w:firstRow="0" w:lastRow="0" w:firstColumn="1" w:lastColumn="0" w:oddVBand="0" w:evenVBand="0" w:oddHBand="0" w:evenHBand="0" w:firstRowFirstColumn="0" w:firstRowLastColumn="0" w:lastRowFirstColumn="0" w:lastRowLastColumn="0"/>
            <w:tcW w:w="2591" w:type="dxa"/>
          </w:tcPr>
          <w:p w:rsidR="00C35D71" w:rsidRPr="009D1595" w:rsidRDefault="00C35D71" w:rsidP="00C35D71">
            <w:pPr>
              <w:rPr>
                <w:b w:val="0"/>
                <w:sz w:val="18"/>
              </w:rPr>
            </w:pPr>
            <w:r w:rsidRPr="009D1595">
              <w:rPr>
                <w:b w:val="0"/>
                <w:sz w:val="18"/>
              </w:rPr>
              <w:t>% of G.D.P.</w:t>
            </w:r>
          </w:p>
        </w:tc>
        <w:tc>
          <w:tcPr>
            <w:tcW w:w="1246"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c>
          <w:tcPr>
            <w:tcW w:w="1071"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c>
          <w:tcPr>
            <w:tcW w:w="1175"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0.01</w:t>
            </w:r>
          </w:p>
        </w:tc>
        <w:tc>
          <w:tcPr>
            <w:tcW w:w="1071"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0.03</w:t>
            </w:r>
          </w:p>
        </w:tc>
        <w:tc>
          <w:tcPr>
            <w:tcW w:w="1246"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0.01</w:t>
            </w:r>
          </w:p>
        </w:tc>
        <w:tc>
          <w:tcPr>
            <w:tcW w:w="1176"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0.01</w:t>
            </w:r>
          </w:p>
        </w:tc>
      </w:tr>
      <w:tr w:rsidR="00C35D71"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dxa"/>
            <w:shd w:val="clear" w:color="auto" w:fill="ACB9CA" w:themeFill="text2" w:themeFillTint="66"/>
          </w:tcPr>
          <w:p w:rsidR="00C35D71" w:rsidRPr="009D1595" w:rsidRDefault="00C35D71" w:rsidP="00C35D71">
            <w:pPr>
              <w:rPr>
                <w:sz w:val="18"/>
              </w:rPr>
            </w:pPr>
            <w:r w:rsidRPr="009D1595">
              <w:rPr>
                <w:sz w:val="18"/>
              </w:rPr>
              <w:t>Financial assets</w:t>
            </w:r>
          </w:p>
        </w:tc>
        <w:tc>
          <w:tcPr>
            <w:tcW w:w="1246" w:type="dxa"/>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c>
          <w:tcPr>
            <w:tcW w:w="1071" w:type="dxa"/>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c>
          <w:tcPr>
            <w:tcW w:w="1175" w:type="dxa"/>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c>
          <w:tcPr>
            <w:tcW w:w="1071" w:type="dxa"/>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c>
          <w:tcPr>
            <w:tcW w:w="1246" w:type="dxa"/>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c>
          <w:tcPr>
            <w:tcW w:w="1176" w:type="dxa"/>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r>
      <w:tr w:rsidR="00C35D71" w:rsidRPr="009D1595" w:rsidTr="00C35D71">
        <w:tc>
          <w:tcPr>
            <w:cnfStyle w:val="001000000000" w:firstRow="0" w:lastRow="0" w:firstColumn="1" w:lastColumn="0" w:oddVBand="0" w:evenVBand="0" w:oddHBand="0" w:evenHBand="0" w:firstRowFirstColumn="0" w:firstRowLastColumn="0" w:lastRowFirstColumn="0" w:lastRowLastColumn="0"/>
            <w:tcW w:w="2591" w:type="dxa"/>
          </w:tcPr>
          <w:p w:rsidR="00C35D71" w:rsidRPr="009D1595" w:rsidRDefault="00C35D71" w:rsidP="00C35D71">
            <w:pPr>
              <w:rPr>
                <w:b w:val="0"/>
                <w:sz w:val="18"/>
              </w:rPr>
            </w:pPr>
            <w:r w:rsidRPr="009D1595">
              <w:rPr>
                <w:b w:val="0"/>
                <w:sz w:val="18"/>
              </w:rPr>
              <w:t>Million Lei</w:t>
            </w:r>
          </w:p>
        </w:tc>
        <w:tc>
          <w:tcPr>
            <w:tcW w:w="1246"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61</w:t>
            </w:r>
          </w:p>
        </w:tc>
        <w:tc>
          <w:tcPr>
            <w:tcW w:w="1071"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19</w:t>
            </w:r>
          </w:p>
        </w:tc>
        <w:tc>
          <w:tcPr>
            <w:tcW w:w="1175"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63</w:t>
            </w:r>
          </w:p>
        </w:tc>
        <w:tc>
          <w:tcPr>
            <w:tcW w:w="1071"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1,030</w:t>
            </w:r>
          </w:p>
        </w:tc>
        <w:tc>
          <w:tcPr>
            <w:tcW w:w="1246"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40</w:t>
            </w:r>
          </w:p>
        </w:tc>
        <w:tc>
          <w:tcPr>
            <w:tcW w:w="1176"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40</w:t>
            </w:r>
          </w:p>
        </w:tc>
      </w:tr>
      <w:tr w:rsidR="00C35D71"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dxa"/>
          </w:tcPr>
          <w:p w:rsidR="00C35D71" w:rsidRPr="009D1595" w:rsidRDefault="00C35D71" w:rsidP="00C35D71">
            <w:pPr>
              <w:rPr>
                <w:b w:val="0"/>
                <w:sz w:val="18"/>
              </w:rPr>
            </w:pPr>
            <w:r w:rsidRPr="009D1595">
              <w:rPr>
                <w:b w:val="0"/>
                <w:sz w:val="18"/>
              </w:rPr>
              <w:t>% of G.D.P.</w:t>
            </w:r>
          </w:p>
        </w:tc>
        <w:tc>
          <w:tcPr>
            <w:tcW w:w="1246"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0.01</w:t>
            </w:r>
          </w:p>
        </w:tc>
        <w:tc>
          <w:tcPr>
            <w:tcW w:w="1071"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175"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0.01</w:t>
            </w:r>
          </w:p>
        </w:tc>
        <w:tc>
          <w:tcPr>
            <w:tcW w:w="1071"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0.03</w:t>
            </w:r>
          </w:p>
        </w:tc>
        <w:tc>
          <w:tcPr>
            <w:tcW w:w="1246"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0.01</w:t>
            </w:r>
          </w:p>
        </w:tc>
        <w:tc>
          <w:tcPr>
            <w:tcW w:w="1176"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0.01</w:t>
            </w:r>
          </w:p>
        </w:tc>
      </w:tr>
      <w:tr w:rsidR="00C35D71" w:rsidRPr="009D1595" w:rsidTr="00C35D71">
        <w:tc>
          <w:tcPr>
            <w:cnfStyle w:val="001000000000" w:firstRow="0" w:lastRow="0" w:firstColumn="1" w:lastColumn="0" w:oddVBand="0" w:evenVBand="0" w:oddHBand="0" w:evenHBand="0" w:firstRowFirstColumn="0" w:firstRowLastColumn="0" w:lastRowFirstColumn="0" w:lastRowLastColumn="0"/>
            <w:tcW w:w="2591" w:type="dxa"/>
            <w:shd w:val="clear" w:color="auto" w:fill="ACB9CA" w:themeFill="text2" w:themeFillTint="66"/>
          </w:tcPr>
          <w:p w:rsidR="00C35D71" w:rsidRPr="009D1595" w:rsidRDefault="00C35D71" w:rsidP="00C35D71">
            <w:pPr>
              <w:rPr>
                <w:sz w:val="18"/>
              </w:rPr>
            </w:pPr>
            <w:r w:rsidRPr="009D1595">
              <w:rPr>
                <w:sz w:val="18"/>
              </w:rPr>
              <w:t>Payments made in previous years and recovered in the current year</w:t>
            </w:r>
          </w:p>
        </w:tc>
        <w:tc>
          <w:tcPr>
            <w:tcW w:w="1246"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c>
          <w:tcPr>
            <w:tcW w:w="1071"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c>
          <w:tcPr>
            <w:tcW w:w="1175"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c>
          <w:tcPr>
            <w:tcW w:w="1071"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c>
          <w:tcPr>
            <w:tcW w:w="1246"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c>
          <w:tcPr>
            <w:tcW w:w="1176"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r>
      <w:tr w:rsidR="00C35D71"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dxa"/>
          </w:tcPr>
          <w:p w:rsidR="00C35D71" w:rsidRPr="009D1595" w:rsidRDefault="00C35D71" w:rsidP="00C35D71">
            <w:pPr>
              <w:rPr>
                <w:b w:val="0"/>
                <w:sz w:val="18"/>
              </w:rPr>
            </w:pPr>
            <w:r w:rsidRPr="009D1595">
              <w:rPr>
                <w:b w:val="0"/>
                <w:sz w:val="18"/>
              </w:rPr>
              <w:t>Million Lei</w:t>
            </w:r>
          </w:p>
        </w:tc>
        <w:tc>
          <w:tcPr>
            <w:tcW w:w="1246"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c>
          <w:tcPr>
            <w:tcW w:w="1071"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-12</w:t>
            </w:r>
          </w:p>
        </w:tc>
        <w:tc>
          <w:tcPr>
            <w:tcW w:w="1175"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-21</w:t>
            </w:r>
          </w:p>
        </w:tc>
        <w:tc>
          <w:tcPr>
            <w:tcW w:w="1071"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c>
          <w:tcPr>
            <w:tcW w:w="1246"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c>
          <w:tcPr>
            <w:tcW w:w="1176"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r>
      <w:tr w:rsidR="00C35D71" w:rsidRPr="009D1595" w:rsidTr="00C35D71">
        <w:tc>
          <w:tcPr>
            <w:cnfStyle w:val="001000000000" w:firstRow="0" w:lastRow="0" w:firstColumn="1" w:lastColumn="0" w:oddVBand="0" w:evenVBand="0" w:oddHBand="0" w:evenHBand="0" w:firstRowFirstColumn="0" w:firstRowLastColumn="0" w:lastRowFirstColumn="0" w:lastRowLastColumn="0"/>
            <w:tcW w:w="2591" w:type="dxa"/>
          </w:tcPr>
          <w:p w:rsidR="00C35D71" w:rsidRPr="009D1595" w:rsidRDefault="00C35D71" w:rsidP="00C35D71">
            <w:pPr>
              <w:rPr>
                <w:b w:val="0"/>
                <w:sz w:val="18"/>
              </w:rPr>
            </w:pPr>
            <w:r w:rsidRPr="009D1595">
              <w:rPr>
                <w:b w:val="0"/>
                <w:sz w:val="18"/>
              </w:rPr>
              <w:t>% of G.D.P.</w:t>
            </w:r>
          </w:p>
        </w:tc>
        <w:tc>
          <w:tcPr>
            <w:tcW w:w="1246" w:type="dxa"/>
          </w:tcPr>
          <w:p w:rsidR="00C35D71" w:rsidRDefault="00C35D71" w:rsidP="00C35D71">
            <w:pPr>
              <w:cnfStyle w:val="000000000000" w:firstRow="0" w:lastRow="0" w:firstColumn="0" w:lastColumn="0" w:oddVBand="0" w:evenVBand="0" w:oddHBand="0" w:evenHBand="0" w:firstRowFirstColumn="0" w:firstRowLastColumn="0" w:lastRowFirstColumn="0" w:lastRowLastColumn="0"/>
            </w:pPr>
            <w:r w:rsidRPr="002117F7">
              <w:rPr>
                <w:sz w:val="18"/>
              </w:rPr>
              <w:t>0.00</w:t>
            </w:r>
          </w:p>
        </w:tc>
        <w:tc>
          <w:tcPr>
            <w:tcW w:w="1071" w:type="dxa"/>
          </w:tcPr>
          <w:p w:rsidR="00C35D71" w:rsidRDefault="00C35D71" w:rsidP="00C35D71">
            <w:pPr>
              <w:cnfStyle w:val="000000000000" w:firstRow="0" w:lastRow="0" w:firstColumn="0" w:lastColumn="0" w:oddVBand="0" w:evenVBand="0" w:oddHBand="0" w:evenHBand="0" w:firstRowFirstColumn="0" w:firstRowLastColumn="0" w:lastRowFirstColumn="0" w:lastRowLastColumn="0"/>
            </w:pPr>
            <w:r w:rsidRPr="002117F7">
              <w:rPr>
                <w:sz w:val="18"/>
              </w:rPr>
              <w:t>0.00</w:t>
            </w:r>
          </w:p>
        </w:tc>
        <w:tc>
          <w:tcPr>
            <w:tcW w:w="1175" w:type="dxa"/>
          </w:tcPr>
          <w:p w:rsidR="00C35D71" w:rsidRDefault="00C35D71" w:rsidP="00C35D71">
            <w:pPr>
              <w:cnfStyle w:val="000000000000" w:firstRow="0" w:lastRow="0" w:firstColumn="0" w:lastColumn="0" w:oddVBand="0" w:evenVBand="0" w:oddHBand="0" w:evenHBand="0" w:firstRowFirstColumn="0" w:firstRowLastColumn="0" w:lastRowFirstColumn="0" w:lastRowLastColumn="0"/>
            </w:pPr>
            <w:r w:rsidRPr="002117F7">
              <w:rPr>
                <w:sz w:val="18"/>
              </w:rPr>
              <w:t>0.00</w:t>
            </w:r>
          </w:p>
        </w:tc>
        <w:tc>
          <w:tcPr>
            <w:tcW w:w="1071" w:type="dxa"/>
          </w:tcPr>
          <w:p w:rsidR="00C35D71" w:rsidRDefault="00C35D71" w:rsidP="00C35D71">
            <w:pPr>
              <w:cnfStyle w:val="000000000000" w:firstRow="0" w:lastRow="0" w:firstColumn="0" w:lastColumn="0" w:oddVBand="0" w:evenVBand="0" w:oddHBand="0" w:evenHBand="0" w:firstRowFirstColumn="0" w:firstRowLastColumn="0" w:lastRowFirstColumn="0" w:lastRowLastColumn="0"/>
            </w:pPr>
            <w:r w:rsidRPr="002117F7">
              <w:rPr>
                <w:sz w:val="18"/>
              </w:rPr>
              <w:t>0.00</w:t>
            </w:r>
          </w:p>
        </w:tc>
        <w:tc>
          <w:tcPr>
            <w:tcW w:w="1246" w:type="dxa"/>
          </w:tcPr>
          <w:p w:rsidR="00C35D71" w:rsidRDefault="00C35D71" w:rsidP="00C35D71">
            <w:pPr>
              <w:cnfStyle w:val="000000000000" w:firstRow="0" w:lastRow="0" w:firstColumn="0" w:lastColumn="0" w:oddVBand="0" w:evenVBand="0" w:oddHBand="0" w:evenHBand="0" w:firstRowFirstColumn="0" w:firstRowLastColumn="0" w:lastRowFirstColumn="0" w:lastRowLastColumn="0"/>
            </w:pPr>
            <w:r w:rsidRPr="002117F7">
              <w:rPr>
                <w:sz w:val="18"/>
              </w:rPr>
              <w:t>0.00</w:t>
            </w:r>
          </w:p>
        </w:tc>
        <w:tc>
          <w:tcPr>
            <w:tcW w:w="1176" w:type="dxa"/>
          </w:tcPr>
          <w:p w:rsidR="00C35D71" w:rsidRDefault="00C35D71" w:rsidP="00C35D71">
            <w:pPr>
              <w:cnfStyle w:val="000000000000" w:firstRow="0" w:lastRow="0" w:firstColumn="0" w:lastColumn="0" w:oddVBand="0" w:evenVBand="0" w:oddHBand="0" w:evenHBand="0" w:firstRowFirstColumn="0" w:firstRowLastColumn="0" w:lastRowFirstColumn="0" w:lastRowLastColumn="0"/>
            </w:pPr>
            <w:r w:rsidRPr="002117F7">
              <w:rPr>
                <w:sz w:val="18"/>
              </w:rPr>
              <w:t>0.00</w:t>
            </w:r>
          </w:p>
        </w:tc>
      </w:tr>
    </w:tbl>
    <w:p w:rsidR="00C21188" w:rsidRPr="00C21188" w:rsidRDefault="00C21188" w:rsidP="00C21188"/>
    <w:p w:rsidR="00C21188" w:rsidRPr="00C21188" w:rsidRDefault="00C21188" w:rsidP="00C21188"/>
    <w:p w:rsidR="00C21188" w:rsidRPr="00C21188" w:rsidRDefault="00C21188" w:rsidP="00C21188"/>
    <w:p w:rsidR="00C21188" w:rsidRPr="00C21188" w:rsidRDefault="00C21188" w:rsidP="00C21188"/>
    <w:p w:rsidR="00C21188" w:rsidRPr="00C21188" w:rsidRDefault="00C21188" w:rsidP="00C21188"/>
    <w:p w:rsidR="00C21188" w:rsidRPr="00C21188" w:rsidRDefault="00C21188" w:rsidP="00C21188"/>
    <w:p w:rsidR="00C21188" w:rsidRDefault="00C21188" w:rsidP="00C21188"/>
    <w:p w:rsidR="00C35D71" w:rsidRDefault="00C35D71" w:rsidP="00C21188"/>
    <w:p w:rsidR="00C35D71" w:rsidRDefault="00C35D71" w:rsidP="00C35D71">
      <w:pPr>
        <w:jc w:val="right"/>
      </w:pPr>
      <w:r>
        <w:t>- Million Lei -</w:t>
      </w:r>
    </w:p>
    <w:tbl>
      <w:tblPr>
        <w:tblStyle w:val="LightList"/>
        <w:tblW w:w="0" w:type="auto"/>
        <w:tblLook w:val="04A0" w:firstRow="1" w:lastRow="0" w:firstColumn="1" w:lastColumn="0" w:noHBand="0" w:noVBand="1"/>
      </w:tblPr>
      <w:tblGrid>
        <w:gridCol w:w="2628"/>
        <w:gridCol w:w="1170"/>
        <w:gridCol w:w="90"/>
        <w:gridCol w:w="1080"/>
        <w:gridCol w:w="90"/>
        <w:gridCol w:w="990"/>
        <w:gridCol w:w="1080"/>
        <w:gridCol w:w="1260"/>
        <w:gridCol w:w="1188"/>
      </w:tblGrid>
      <w:tr w:rsidR="00C35D71" w:rsidRPr="009D1595" w:rsidTr="00C35D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9"/>
            <w:shd w:val="clear" w:color="auto" w:fill="auto"/>
          </w:tcPr>
          <w:p w:rsidR="00C35D71" w:rsidRPr="009D1595" w:rsidRDefault="00C35D71" w:rsidP="00C35D71">
            <w:pPr>
              <w:jc w:val="center"/>
              <w:rPr>
                <w:color w:val="auto"/>
                <w:sz w:val="20"/>
              </w:rPr>
            </w:pPr>
            <w:r w:rsidRPr="009D1595">
              <w:rPr>
                <w:color w:val="auto"/>
                <w:sz w:val="20"/>
              </w:rPr>
              <w:t>Annex</w:t>
            </w:r>
            <w:r>
              <w:rPr>
                <w:color w:val="auto"/>
                <w:sz w:val="20"/>
              </w:rPr>
              <w:t xml:space="preserve"> 9</w:t>
            </w:r>
            <w:r w:rsidRPr="009D1595">
              <w:rPr>
                <w:color w:val="auto"/>
                <w:sz w:val="20"/>
              </w:rPr>
              <w:t xml:space="preserve"> - Expenditures of the Ministry of </w:t>
            </w:r>
            <w:r>
              <w:rPr>
                <w:color w:val="auto"/>
                <w:sz w:val="20"/>
              </w:rPr>
              <w:t>Regional Development and Public Administration</w:t>
            </w:r>
            <w:r w:rsidRPr="009D1595">
              <w:rPr>
                <w:color w:val="auto"/>
                <w:sz w:val="20"/>
              </w:rPr>
              <w:t xml:space="preserve"> from the State budget between 2016 and 2021</w:t>
            </w:r>
          </w:p>
          <w:p w:rsidR="00C35D71" w:rsidRPr="009D1595" w:rsidRDefault="00C35D71" w:rsidP="00C35D71">
            <w:pPr>
              <w:rPr>
                <w:color w:val="auto"/>
                <w:sz w:val="18"/>
              </w:rPr>
            </w:pPr>
          </w:p>
        </w:tc>
      </w:tr>
      <w:tr w:rsidR="00C35D71"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C35D71" w:rsidRPr="009D1595" w:rsidRDefault="00C35D71" w:rsidP="00C35D71">
            <w:pPr>
              <w:rPr>
                <w:sz w:val="18"/>
              </w:rPr>
            </w:pPr>
          </w:p>
        </w:tc>
        <w:tc>
          <w:tcPr>
            <w:tcW w:w="1260" w:type="dxa"/>
            <w:gridSpan w:val="2"/>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sidRPr="009D1595">
              <w:rPr>
                <w:sz w:val="18"/>
              </w:rPr>
              <w:t>2016</w:t>
            </w:r>
          </w:p>
        </w:tc>
        <w:tc>
          <w:tcPr>
            <w:tcW w:w="1080"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sidRPr="009D1595">
              <w:rPr>
                <w:sz w:val="18"/>
              </w:rPr>
              <w:t>2017</w:t>
            </w:r>
          </w:p>
        </w:tc>
        <w:tc>
          <w:tcPr>
            <w:tcW w:w="1080" w:type="dxa"/>
            <w:gridSpan w:val="2"/>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sidRPr="009D1595">
              <w:rPr>
                <w:sz w:val="18"/>
              </w:rPr>
              <w:t>2018</w:t>
            </w:r>
          </w:p>
        </w:tc>
        <w:tc>
          <w:tcPr>
            <w:tcW w:w="1080"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sidRPr="009D1595">
              <w:rPr>
                <w:sz w:val="18"/>
              </w:rPr>
              <w:t>2019</w:t>
            </w:r>
          </w:p>
        </w:tc>
        <w:tc>
          <w:tcPr>
            <w:tcW w:w="1260"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sidRPr="009D1595">
              <w:rPr>
                <w:sz w:val="18"/>
              </w:rPr>
              <w:t>2020</w:t>
            </w:r>
          </w:p>
        </w:tc>
        <w:tc>
          <w:tcPr>
            <w:tcW w:w="1188"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sidRPr="009D1595">
              <w:rPr>
                <w:sz w:val="18"/>
              </w:rPr>
              <w:t>2021</w:t>
            </w:r>
          </w:p>
        </w:tc>
      </w:tr>
      <w:tr w:rsidR="00C35D71" w:rsidRPr="009D1595" w:rsidTr="00C35D71">
        <w:tc>
          <w:tcPr>
            <w:cnfStyle w:val="001000000000" w:firstRow="0" w:lastRow="0" w:firstColumn="1" w:lastColumn="0" w:oddVBand="0" w:evenVBand="0" w:oddHBand="0" w:evenHBand="0" w:firstRowFirstColumn="0" w:firstRowLastColumn="0" w:lastRowFirstColumn="0" w:lastRowLastColumn="0"/>
            <w:tcW w:w="9576" w:type="dxa"/>
            <w:gridSpan w:val="9"/>
            <w:shd w:val="clear" w:color="auto" w:fill="ACB9CA" w:themeFill="text2" w:themeFillTint="66"/>
          </w:tcPr>
          <w:p w:rsidR="00C35D71" w:rsidRPr="009D1595" w:rsidRDefault="00C35D71" w:rsidP="00C35D71">
            <w:pPr>
              <w:rPr>
                <w:sz w:val="18"/>
              </w:rPr>
            </w:pPr>
            <w:r w:rsidRPr="009D1595">
              <w:rPr>
                <w:sz w:val="18"/>
              </w:rPr>
              <w:t xml:space="preserve">TOTAL EXPENDITURES </w:t>
            </w:r>
          </w:p>
        </w:tc>
      </w:tr>
      <w:tr w:rsidR="00C35D71"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C35D71" w:rsidRPr="009D1595" w:rsidRDefault="00C35D71" w:rsidP="00C35D71">
            <w:pPr>
              <w:rPr>
                <w:b w:val="0"/>
                <w:sz w:val="18"/>
              </w:rPr>
            </w:pPr>
            <w:r w:rsidRPr="009D1595">
              <w:rPr>
                <w:b w:val="0"/>
                <w:sz w:val="18"/>
              </w:rPr>
              <w:t>Million Lei</w:t>
            </w:r>
          </w:p>
        </w:tc>
        <w:tc>
          <w:tcPr>
            <w:tcW w:w="1170"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6,067</w:t>
            </w:r>
          </w:p>
        </w:tc>
        <w:tc>
          <w:tcPr>
            <w:tcW w:w="1260" w:type="dxa"/>
            <w:gridSpan w:val="3"/>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3,933</w:t>
            </w:r>
          </w:p>
        </w:tc>
        <w:tc>
          <w:tcPr>
            <w:tcW w:w="990"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5,353</w:t>
            </w:r>
          </w:p>
        </w:tc>
        <w:tc>
          <w:tcPr>
            <w:tcW w:w="1080"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5,224</w:t>
            </w:r>
          </w:p>
        </w:tc>
        <w:tc>
          <w:tcPr>
            <w:tcW w:w="1260"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4,820</w:t>
            </w:r>
          </w:p>
        </w:tc>
        <w:tc>
          <w:tcPr>
            <w:tcW w:w="1188"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4,954</w:t>
            </w:r>
          </w:p>
        </w:tc>
      </w:tr>
      <w:tr w:rsidR="00C35D71"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C35D71" w:rsidRPr="009D1595" w:rsidRDefault="00C35D71" w:rsidP="00C35D71">
            <w:pPr>
              <w:rPr>
                <w:b w:val="0"/>
                <w:sz w:val="18"/>
              </w:rPr>
            </w:pPr>
            <w:r w:rsidRPr="009D1595">
              <w:rPr>
                <w:b w:val="0"/>
                <w:sz w:val="18"/>
              </w:rPr>
              <w:t>% of G.D.P.</w:t>
            </w:r>
          </w:p>
        </w:tc>
        <w:tc>
          <w:tcPr>
            <w:tcW w:w="1170"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0.80</w:t>
            </w:r>
          </w:p>
        </w:tc>
        <w:tc>
          <w:tcPr>
            <w:tcW w:w="1260" w:type="dxa"/>
            <w:gridSpan w:val="3"/>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0.47</w:t>
            </w:r>
          </w:p>
        </w:tc>
        <w:tc>
          <w:tcPr>
            <w:tcW w:w="990"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0.57</w:t>
            </w:r>
          </w:p>
        </w:tc>
        <w:tc>
          <w:tcPr>
            <w:tcW w:w="1080"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0.53</w:t>
            </w:r>
          </w:p>
        </w:tc>
        <w:tc>
          <w:tcPr>
            <w:tcW w:w="1260"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0.46</w:t>
            </w:r>
          </w:p>
        </w:tc>
        <w:tc>
          <w:tcPr>
            <w:tcW w:w="1188"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0.44</w:t>
            </w:r>
          </w:p>
        </w:tc>
      </w:tr>
      <w:tr w:rsidR="00C35D71"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C35D71" w:rsidRPr="009D1595" w:rsidRDefault="00C35D71" w:rsidP="00C35D71">
            <w:pPr>
              <w:rPr>
                <w:sz w:val="18"/>
              </w:rPr>
            </w:pPr>
            <w:r w:rsidRPr="009D1595">
              <w:rPr>
                <w:sz w:val="18"/>
              </w:rPr>
              <w:t>Personnel expenditures</w:t>
            </w:r>
          </w:p>
        </w:tc>
        <w:tc>
          <w:tcPr>
            <w:tcW w:w="1170" w:type="dxa"/>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c>
          <w:tcPr>
            <w:tcW w:w="1260" w:type="dxa"/>
            <w:gridSpan w:val="3"/>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c>
          <w:tcPr>
            <w:tcW w:w="990" w:type="dxa"/>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c>
          <w:tcPr>
            <w:tcW w:w="1260" w:type="dxa"/>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c>
          <w:tcPr>
            <w:tcW w:w="1188" w:type="dxa"/>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r>
      <w:tr w:rsidR="00C35D71"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C35D71" w:rsidRPr="009D1595" w:rsidRDefault="00C35D71" w:rsidP="00C35D71">
            <w:pPr>
              <w:rPr>
                <w:b w:val="0"/>
                <w:sz w:val="18"/>
              </w:rPr>
            </w:pPr>
            <w:r w:rsidRPr="009D1595">
              <w:rPr>
                <w:b w:val="0"/>
                <w:sz w:val="18"/>
              </w:rPr>
              <w:t>Million Lei</w:t>
            </w:r>
          </w:p>
        </w:tc>
        <w:tc>
          <w:tcPr>
            <w:tcW w:w="1170"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65</w:t>
            </w:r>
          </w:p>
        </w:tc>
        <w:tc>
          <w:tcPr>
            <w:tcW w:w="1260" w:type="dxa"/>
            <w:gridSpan w:val="3"/>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102</w:t>
            </w:r>
          </w:p>
        </w:tc>
        <w:tc>
          <w:tcPr>
            <w:tcW w:w="990"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74</w:t>
            </w:r>
          </w:p>
        </w:tc>
        <w:tc>
          <w:tcPr>
            <w:tcW w:w="1080"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79</w:t>
            </w:r>
          </w:p>
        </w:tc>
        <w:tc>
          <w:tcPr>
            <w:tcW w:w="1260"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79</w:t>
            </w:r>
          </w:p>
        </w:tc>
        <w:tc>
          <w:tcPr>
            <w:tcW w:w="1188"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83</w:t>
            </w:r>
          </w:p>
        </w:tc>
      </w:tr>
      <w:tr w:rsidR="00C35D71"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C35D71" w:rsidRPr="009D1595" w:rsidRDefault="00C35D71" w:rsidP="00C35D71">
            <w:pPr>
              <w:rPr>
                <w:b w:val="0"/>
                <w:sz w:val="18"/>
              </w:rPr>
            </w:pPr>
            <w:r w:rsidRPr="009D1595">
              <w:rPr>
                <w:b w:val="0"/>
                <w:sz w:val="18"/>
              </w:rPr>
              <w:t>% of G.D.P.</w:t>
            </w:r>
          </w:p>
        </w:tc>
        <w:tc>
          <w:tcPr>
            <w:tcW w:w="1170"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0.01</w:t>
            </w:r>
          </w:p>
        </w:tc>
        <w:tc>
          <w:tcPr>
            <w:tcW w:w="1260" w:type="dxa"/>
            <w:gridSpan w:val="3"/>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0.01</w:t>
            </w:r>
          </w:p>
        </w:tc>
        <w:tc>
          <w:tcPr>
            <w:tcW w:w="990"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0.01</w:t>
            </w:r>
          </w:p>
        </w:tc>
        <w:tc>
          <w:tcPr>
            <w:tcW w:w="1080"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0.01</w:t>
            </w:r>
          </w:p>
        </w:tc>
        <w:tc>
          <w:tcPr>
            <w:tcW w:w="1260"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0.01</w:t>
            </w:r>
          </w:p>
        </w:tc>
        <w:tc>
          <w:tcPr>
            <w:tcW w:w="1188"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0.01</w:t>
            </w:r>
          </w:p>
        </w:tc>
      </w:tr>
      <w:tr w:rsidR="00C35D71" w:rsidRPr="009D1595" w:rsidTr="00C35D71">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C35D71" w:rsidRPr="009D1595" w:rsidRDefault="00C35D71" w:rsidP="00C35D71">
            <w:pPr>
              <w:rPr>
                <w:sz w:val="18"/>
              </w:rPr>
            </w:pPr>
            <w:r w:rsidRPr="009D1595">
              <w:rPr>
                <w:sz w:val="18"/>
              </w:rPr>
              <w:t>Goods and services</w:t>
            </w:r>
          </w:p>
        </w:tc>
        <w:tc>
          <w:tcPr>
            <w:tcW w:w="1170"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c>
          <w:tcPr>
            <w:tcW w:w="1260" w:type="dxa"/>
            <w:gridSpan w:val="3"/>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c>
          <w:tcPr>
            <w:tcW w:w="990"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c>
          <w:tcPr>
            <w:tcW w:w="1260"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c>
          <w:tcPr>
            <w:tcW w:w="1188"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r>
      <w:tr w:rsidR="00C35D71"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C35D71" w:rsidRPr="009D1595" w:rsidRDefault="00C35D71" w:rsidP="00C35D71">
            <w:pPr>
              <w:rPr>
                <w:b w:val="0"/>
                <w:sz w:val="18"/>
              </w:rPr>
            </w:pPr>
            <w:r w:rsidRPr="009D1595">
              <w:rPr>
                <w:b w:val="0"/>
                <w:sz w:val="18"/>
              </w:rPr>
              <w:t>Million Lei</w:t>
            </w:r>
          </w:p>
        </w:tc>
        <w:tc>
          <w:tcPr>
            <w:tcW w:w="1170"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10</w:t>
            </w:r>
          </w:p>
        </w:tc>
        <w:tc>
          <w:tcPr>
            <w:tcW w:w="1260" w:type="dxa"/>
            <w:gridSpan w:val="3"/>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12</w:t>
            </w:r>
          </w:p>
        </w:tc>
        <w:tc>
          <w:tcPr>
            <w:tcW w:w="990"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9</w:t>
            </w:r>
          </w:p>
        </w:tc>
        <w:tc>
          <w:tcPr>
            <w:tcW w:w="1080"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12</w:t>
            </w:r>
          </w:p>
        </w:tc>
        <w:tc>
          <w:tcPr>
            <w:tcW w:w="1260"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10</w:t>
            </w:r>
          </w:p>
        </w:tc>
        <w:tc>
          <w:tcPr>
            <w:tcW w:w="1188"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10</w:t>
            </w:r>
          </w:p>
        </w:tc>
      </w:tr>
      <w:tr w:rsidR="00C35D71"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C35D71" w:rsidRPr="009D1595" w:rsidRDefault="00C35D71" w:rsidP="00C35D71">
            <w:pPr>
              <w:rPr>
                <w:b w:val="0"/>
                <w:sz w:val="18"/>
              </w:rPr>
            </w:pPr>
            <w:r w:rsidRPr="009D1595">
              <w:rPr>
                <w:b w:val="0"/>
                <w:sz w:val="18"/>
              </w:rPr>
              <w:t>% of G.D.P.</w:t>
            </w:r>
          </w:p>
        </w:tc>
        <w:tc>
          <w:tcPr>
            <w:tcW w:w="1170"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c>
          <w:tcPr>
            <w:tcW w:w="1260" w:type="dxa"/>
            <w:gridSpan w:val="3"/>
          </w:tcPr>
          <w:p w:rsidR="00C35D71" w:rsidRDefault="00C35D71" w:rsidP="00C35D71">
            <w:pPr>
              <w:cnfStyle w:val="000000000000" w:firstRow="0" w:lastRow="0" w:firstColumn="0" w:lastColumn="0" w:oddVBand="0" w:evenVBand="0" w:oddHBand="0" w:evenHBand="0" w:firstRowFirstColumn="0" w:firstRowLastColumn="0" w:lastRowFirstColumn="0" w:lastRowLastColumn="0"/>
            </w:pPr>
            <w:r w:rsidRPr="0086445C">
              <w:rPr>
                <w:sz w:val="18"/>
              </w:rPr>
              <w:t>0.00</w:t>
            </w:r>
          </w:p>
        </w:tc>
        <w:tc>
          <w:tcPr>
            <w:tcW w:w="990" w:type="dxa"/>
          </w:tcPr>
          <w:p w:rsidR="00C35D71" w:rsidRDefault="00C35D71" w:rsidP="00C35D71">
            <w:pPr>
              <w:cnfStyle w:val="000000000000" w:firstRow="0" w:lastRow="0" w:firstColumn="0" w:lastColumn="0" w:oddVBand="0" w:evenVBand="0" w:oddHBand="0" w:evenHBand="0" w:firstRowFirstColumn="0" w:firstRowLastColumn="0" w:lastRowFirstColumn="0" w:lastRowLastColumn="0"/>
            </w:pPr>
            <w:r w:rsidRPr="0086445C">
              <w:rPr>
                <w:sz w:val="18"/>
              </w:rPr>
              <w:t>0.00</w:t>
            </w:r>
          </w:p>
        </w:tc>
        <w:tc>
          <w:tcPr>
            <w:tcW w:w="1080" w:type="dxa"/>
          </w:tcPr>
          <w:p w:rsidR="00C35D71" w:rsidRDefault="00C35D71" w:rsidP="00C35D71">
            <w:pPr>
              <w:cnfStyle w:val="000000000000" w:firstRow="0" w:lastRow="0" w:firstColumn="0" w:lastColumn="0" w:oddVBand="0" w:evenVBand="0" w:oddHBand="0" w:evenHBand="0" w:firstRowFirstColumn="0" w:firstRowLastColumn="0" w:lastRowFirstColumn="0" w:lastRowLastColumn="0"/>
            </w:pPr>
            <w:r w:rsidRPr="0086445C">
              <w:rPr>
                <w:sz w:val="18"/>
              </w:rPr>
              <w:t>0.00</w:t>
            </w:r>
          </w:p>
        </w:tc>
        <w:tc>
          <w:tcPr>
            <w:tcW w:w="1260" w:type="dxa"/>
          </w:tcPr>
          <w:p w:rsidR="00C35D71" w:rsidRDefault="00C35D71" w:rsidP="00C35D71">
            <w:pPr>
              <w:cnfStyle w:val="000000000000" w:firstRow="0" w:lastRow="0" w:firstColumn="0" w:lastColumn="0" w:oddVBand="0" w:evenVBand="0" w:oddHBand="0" w:evenHBand="0" w:firstRowFirstColumn="0" w:firstRowLastColumn="0" w:lastRowFirstColumn="0" w:lastRowLastColumn="0"/>
            </w:pPr>
            <w:r w:rsidRPr="0086445C">
              <w:rPr>
                <w:sz w:val="18"/>
              </w:rPr>
              <w:t>0.00</w:t>
            </w:r>
          </w:p>
        </w:tc>
        <w:tc>
          <w:tcPr>
            <w:tcW w:w="1188" w:type="dxa"/>
          </w:tcPr>
          <w:p w:rsidR="00C35D71" w:rsidRDefault="00C35D71" w:rsidP="00C35D71">
            <w:pPr>
              <w:cnfStyle w:val="000000000000" w:firstRow="0" w:lastRow="0" w:firstColumn="0" w:lastColumn="0" w:oddVBand="0" w:evenVBand="0" w:oddHBand="0" w:evenHBand="0" w:firstRowFirstColumn="0" w:firstRowLastColumn="0" w:lastRowFirstColumn="0" w:lastRowLastColumn="0"/>
            </w:pPr>
            <w:r w:rsidRPr="0086445C">
              <w:rPr>
                <w:sz w:val="18"/>
              </w:rPr>
              <w:t>0.00</w:t>
            </w:r>
          </w:p>
        </w:tc>
      </w:tr>
      <w:tr w:rsidR="00C35D71"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C35D71" w:rsidRPr="009D1595" w:rsidRDefault="00C35D71" w:rsidP="00C35D71">
            <w:pPr>
              <w:rPr>
                <w:sz w:val="18"/>
              </w:rPr>
            </w:pPr>
            <w:r w:rsidRPr="009D1595">
              <w:rPr>
                <w:sz w:val="18"/>
              </w:rPr>
              <w:t>Subsidies</w:t>
            </w:r>
          </w:p>
        </w:tc>
        <w:tc>
          <w:tcPr>
            <w:tcW w:w="1170" w:type="dxa"/>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c>
          <w:tcPr>
            <w:tcW w:w="1260" w:type="dxa"/>
            <w:gridSpan w:val="3"/>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c>
          <w:tcPr>
            <w:tcW w:w="990" w:type="dxa"/>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c>
          <w:tcPr>
            <w:tcW w:w="1260" w:type="dxa"/>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c>
          <w:tcPr>
            <w:tcW w:w="1188" w:type="dxa"/>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r>
      <w:tr w:rsidR="00C35D71"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C35D71" w:rsidRPr="009D1595" w:rsidRDefault="00C35D71" w:rsidP="00C35D71">
            <w:pPr>
              <w:rPr>
                <w:b w:val="0"/>
                <w:sz w:val="18"/>
              </w:rPr>
            </w:pPr>
            <w:r w:rsidRPr="009D1595">
              <w:rPr>
                <w:b w:val="0"/>
                <w:sz w:val="18"/>
              </w:rPr>
              <w:t>Million Lei</w:t>
            </w:r>
          </w:p>
        </w:tc>
        <w:tc>
          <w:tcPr>
            <w:tcW w:w="1170"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0</w:t>
            </w:r>
          </w:p>
        </w:tc>
        <w:tc>
          <w:tcPr>
            <w:tcW w:w="1260" w:type="dxa"/>
            <w:gridSpan w:val="3"/>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0</w:t>
            </w:r>
          </w:p>
        </w:tc>
        <w:tc>
          <w:tcPr>
            <w:tcW w:w="990"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0</w:t>
            </w:r>
          </w:p>
        </w:tc>
        <w:tc>
          <w:tcPr>
            <w:tcW w:w="1080"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0</w:t>
            </w:r>
          </w:p>
        </w:tc>
        <w:tc>
          <w:tcPr>
            <w:tcW w:w="1260"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300</w:t>
            </w:r>
          </w:p>
        </w:tc>
        <w:tc>
          <w:tcPr>
            <w:tcW w:w="1188"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300</w:t>
            </w:r>
          </w:p>
        </w:tc>
      </w:tr>
      <w:tr w:rsidR="00C35D71"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C35D71" w:rsidRPr="009D1595" w:rsidRDefault="00C35D71" w:rsidP="00C35D71">
            <w:pPr>
              <w:rPr>
                <w:b w:val="0"/>
                <w:sz w:val="18"/>
              </w:rPr>
            </w:pPr>
            <w:r w:rsidRPr="009D1595">
              <w:rPr>
                <w:b w:val="0"/>
                <w:sz w:val="18"/>
              </w:rPr>
              <w:t>% of G.D.P.</w:t>
            </w:r>
          </w:p>
        </w:tc>
        <w:tc>
          <w:tcPr>
            <w:tcW w:w="1170"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260" w:type="dxa"/>
            <w:gridSpan w:val="3"/>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990"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080"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260"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0.03</w:t>
            </w:r>
          </w:p>
        </w:tc>
        <w:tc>
          <w:tcPr>
            <w:tcW w:w="1188"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0.03</w:t>
            </w:r>
          </w:p>
        </w:tc>
      </w:tr>
      <w:tr w:rsidR="00C35D71" w:rsidRPr="009D1595" w:rsidTr="00C35D71">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C35D71" w:rsidRPr="009D1595" w:rsidRDefault="00C35D71" w:rsidP="00C35D71">
            <w:pPr>
              <w:rPr>
                <w:sz w:val="18"/>
              </w:rPr>
            </w:pPr>
            <w:r w:rsidRPr="009D1595">
              <w:rPr>
                <w:sz w:val="18"/>
              </w:rPr>
              <w:t>Transfers between public administration units</w:t>
            </w:r>
          </w:p>
        </w:tc>
        <w:tc>
          <w:tcPr>
            <w:tcW w:w="1170"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c>
          <w:tcPr>
            <w:tcW w:w="1260" w:type="dxa"/>
            <w:gridSpan w:val="3"/>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c>
          <w:tcPr>
            <w:tcW w:w="990"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c>
          <w:tcPr>
            <w:tcW w:w="1260"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c>
          <w:tcPr>
            <w:tcW w:w="1188"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r>
      <w:tr w:rsidR="00C35D71"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C35D71" w:rsidRPr="009D1595" w:rsidRDefault="00C35D71" w:rsidP="00C35D71">
            <w:pPr>
              <w:rPr>
                <w:b w:val="0"/>
                <w:sz w:val="18"/>
              </w:rPr>
            </w:pPr>
            <w:r w:rsidRPr="009D1595">
              <w:rPr>
                <w:b w:val="0"/>
                <w:sz w:val="18"/>
              </w:rPr>
              <w:t>Million Lei</w:t>
            </w:r>
          </w:p>
        </w:tc>
        <w:tc>
          <w:tcPr>
            <w:tcW w:w="1170"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4,591</w:t>
            </w:r>
          </w:p>
        </w:tc>
        <w:tc>
          <w:tcPr>
            <w:tcW w:w="1260" w:type="dxa"/>
            <w:gridSpan w:val="3"/>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2,712</w:t>
            </w:r>
          </w:p>
        </w:tc>
        <w:tc>
          <w:tcPr>
            <w:tcW w:w="990"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4,689</w:t>
            </w:r>
          </w:p>
        </w:tc>
        <w:tc>
          <w:tcPr>
            <w:tcW w:w="1080"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2,740</w:t>
            </w:r>
          </w:p>
        </w:tc>
        <w:tc>
          <w:tcPr>
            <w:tcW w:w="1260"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3,000</w:t>
            </w:r>
          </w:p>
        </w:tc>
        <w:tc>
          <w:tcPr>
            <w:tcW w:w="1188"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3,100</w:t>
            </w:r>
          </w:p>
        </w:tc>
      </w:tr>
      <w:tr w:rsidR="00C35D71"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C35D71" w:rsidRPr="009D1595" w:rsidRDefault="00C35D71" w:rsidP="00C35D71">
            <w:pPr>
              <w:rPr>
                <w:b w:val="0"/>
                <w:sz w:val="18"/>
              </w:rPr>
            </w:pPr>
            <w:r w:rsidRPr="009D1595">
              <w:rPr>
                <w:b w:val="0"/>
                <w:sz w:val="18"/>
              </w:rPr>
              <w:t>% of G.D.P.</w:t>
            </w:r>
          </w:p>
        </w:tc>
        <w:tc>
          <w:tcPr>
            <w:tcW w:w="1170"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0.60</w:t>
            </w:r>
          </w:p>
        </w:tc>
        <w:tc>
          <w:tcPr>
            <w:tcW w:w="1260" w:type="dxa"/>
            <w:gridSpan w:val="3"/>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0.32</w:t>
            </w:r>
          </w:p>
        </w:tc>
        <w:tc>
          <w:tcPr>
            <w:tcW w:w="990"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0.50</w:t>
            </w:r>
          </w:p>
        </w:tc>
        <w:tc>
          <w:tcPr>
            <w:tcW w:w="1080"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0.12</w:t>
            </w:r>
          </w:p>
        </w:tc>
        <w:tc>
          <w:tcPr>
            <w:tcW w:w="1260"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0.04</w:t>
            </w:r>
          </w:p>
        </w:tc>
        <w:tc>
          <w:tcPr>
            <w:tcW w:w="1188"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0.04</w:t>
            </w:r>
          </w:p>
        </w:tc>
      </w:tr>
      <w:tr w:rsidR="00C35D71"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C35D71" w:rsidRPr="009D1595" w:rsidRDefault="00C35D71" w:rsidP="00C35D71">
            <w:pPr>
              <w:rPr>
                <w:sz w:val="18"/>
              </w:rPr>
            </w:pPr>
            <w:r w:rsidRPr="009D1595">
              <w:rPr>
                <w:sz w:val="18"/>
              </w:rPr>
              <w:t>Projects with financing from external non-reimbursable funds (ENF)</w:t>
            </w:r>
          </w:p>
        </w:tc>
        <w:tc>
          <w:tcPr>
            <w:tcW w:w="1170" w:type="dxa"/>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b/>
                <w:sz w:val="18"/>
              </w:rPr>
            </w:pPr>
          </w:p>
        </w:tc>
        <w:tc>
          <w:tcPr>
            <w:tcW w:w="1260" w:type="dxa"/>
            <w:gridSpan w:val="3"/>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b/>
                <w:sz w:val="18"/>
              </w:rPr>
            </w:pPr>
          </w:p>
        </w:tc>
        <w:tc>
          <w:tcPr>
            <w:tcW w:w="990" w:type="dxa"/>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b/>
                <w:sz w:val="18"/>
              </w:rPr>
            </w:pPr>
          </w:p>
        </w:tc>
        <w:tc>
          <w:tcPr>
            <w:tcW w:w="1080" w:type="dxa"/>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b/>
                <w:sz w:val="18"/>
              </w:rPr>
            </w:pPr>
          </w:p>
        </w:tc>
        <w:tc>
          <w:tcPr>
            <w:tcW w:w="1260" w:type="dxa"/>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b/>
                <w:sz w:val="18"/>
              </w:rPr>
            </w:pPr>
          </w:p>
        </w:tc>
        <w:tc>
          <w:tcPr>
            <w:tcW w:w="1188" w:type="dxa"/>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b/>
                <w:sz w:val="18"/>
              </w:rPr>
            </w:pPr>
          </w:p>
        </w:tc>
      </w:tr>
      <w:tr w:rsidR="00C35D71"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C35D71" w:rsidRPr="009D1595" w:rsidRDefault="00C35D71" w:rsidP="00C35D71">
            <w:pPr>
              <w:rPr>
                <w:b w:val="0"/>
                <w:sz w:val="18"/>
              </w:rPr>
            </w:pPr>
            <w:r w:rsidRPr="009D1595">
              <w:rPr>
                <w:b w:val="0"/>
                <w:sz w:val="18"/>
              </w:rPr>
              <w:t>Million Lei</w:t>
            </w:r>
          </w:p>
        </w:tc>
        <w:tc>
          <w:tcPr>
            <w:tcW w:w="1170"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613</w:t>
            </w:r>
          </w:p>
        </w:tc>
        <w:tc>
          <w:tcPr>
            <w:tcW w:w="1260" w:type="dxa"/>
            <w:gridSpan w:val="3"/>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70</w:t>
            </w:r>
          </w:p>
        </w:tc>
        <w:tc>
          <w:tcPr>
            <w:tcW w:w="990"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20</w:t>
            </w:r>
          </w:p>
        </w:tc>
        <w:tc>
          <w:tcPr>
            <w:tcW w:w="1080"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16</w:t>
            </w:r>
          </w:p>
        </w:tc>
        <w:tc>
          <w:tcPr>
            <w:tcW w:w="1260"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5</w:t>
            </w:r>
          </w:p>
        </w:tc>
        <w:tc>
          <w:tcPr>
            <w:tcW w:w="1188"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5</w:t>
            </w:r>
          </w:p>
        </w:tc>
      </w:tr>
      <w:tr w:rsidR="00C35D71"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C35D71" w:rsidRPr="009D1595" w:rsidRDefault="00C35D71" w:rsidP="00C35D71">
            <w:pPr>
              <w:rPr>
                <w:b w:val="0"/>
                <w:sz w:val="18"/>
              </w:rPr>
            </w:pPr>
            <w:r w:rsidRPr="009D1595">
              <w:rPr>
                <w:b w:val="0"/>
                <w:sz w:val="18"/>
              </w:rPr>
              <w:t>% of G.D.P.</w:t>
            </w:r>
          </w:p>
        </w:tc>
        <w:tc>
          <w:tcPr>
            <w:tcW w:w="1170" w:type="dxa"/>
          </w:tcPr>
          <w:p w:rsidR="00C35D71" w:rsidRPr="00E967FD" w:rsidRDefault="00C35D71" w:rsidP="00C35D71">
            <w:pPr>
              <w:cnfStyle w:val="000000100000" w:firstRow="0" w:lastRow="0" w:firstColumn="0" w:lastColumn="0" w:oddVBand="0" w:evenVBand="0" w:oddHBand="1" w:evenHBand="0" w:firstRowFirstColumn="0" w:firstRowLastColumn="0" w:lastRowFirstColumn="0" w:lastRowLastColumn="0"/>
              <w:rPr>
                <w:sz w:val="18"/>
              </w:rPr>
            </w:pPr>
            <w:r w:rsidRPr="00E967FD">
              <w:rPr>
                <w:sz w:val="18"/>
              </w:rPr>
              <w:t>0.08</w:t>
            </w:r>
          </w:p>
        </w:tc>
        <w:tc>
          <w:tcPr>
            <w:tcW w:w="1260" w:type="dxa"/>
            <w:gridSpan w:val="3"/>
          </w:tcPr>
          <w:p w:rsidR="00C35D71" w:rsidRPr="00E967FD" w:rsidRDefault="00C35D71" w:rsidP="00C35D71">
            <w:pPr>
              <w:cnfStyle w:val="000000100000" w:firstRow="0" w:lastRow="0" w:firstColumn="0" w:lastColumn="0" w:oddVBand="0" w:evenVBand="0" w:oddHBand="1" w:evenHBand="0" w:firstRowFirstColumn="0" w:firstRowLastColumn="0" w:lastRowFirstColumn="0" w:lastRowLastColumn="0"/>
              <w:rPr>
                <w:sz w:val="18"/>
              </w:rPr>
            </w:pPr>
            <w:r w:rsidRPr="00E967FD">
              <w:rPr>
                <w:sz w:val="18"/>
              </w:rPr>
              <w:t>0.01</w:t>
            </w:r>
          </w:p>
        </w:tc>
        <w:tc>
          <w:tcPr>
            <w:tcW w:w="990" w:type="dxa"/>
          </w:tcPr>
          <w:p w:rsidR="00C35D71" w:rsidRPr="00E967FD" w:rsidRDefault="00C35D71" w:rsidP="00C35D71">
            <w:pPr>
              <w:cnfStyle w:val="000000100000" w:firstRow="0" w:lastRow="0" w:firstColumn="0" w:lastColumn="0" w:oddVBand="0" w:evenVBand="0" w:oddHBand="1" w:evenHBand="0" w:firstRowFirstColumn="0" w:firstRowLastColumn="0" w:lastRowFirstColumn="0" w:lastRowLastColumn="0"/>
              <w:rPr>
                <w:sz w:val="18"/>
              </w:rPr>
            </w:pPr>
            <w:r w:rsidRPr="00E967FD">
              <w:rPr>
                <w:sz w:val="18"/>
              </w:rPr>
              <w:t>0.00</w:t>
            </w:r>
          </w:p>
        </w:tc>
        <w:tc>
          <w:tcPr>
            <w:tcW w:w="1080" w:type="dxa"/>
          </w:tcPr>
          <w:p w:rsidR="00C35D71" w:rsidRPr="00E967FD" w:rsidRDefault="00C35D71" w:rsidP="00C35D71">
            <w:pPr>
              <w:cnfStyle w:val="000000100000" w:firstRow="0" w:lastRow="0" w:firstColumn="0" w:lastColumn="0" w:oddVBand="0" w:evenVBand="0" w:oddHBand="1" w:evenHBand="0" w:firstRowFirstColumn="0" w:firstRowLastColumn="0" w:lastRowFirstColumn="0" w:lastRowLastColumn="0"/>
              <w:rPr>
                <w:sz w:val="18"/>
              </w:rPr>
            </w:pPr>
            <w:r w:rsidRPr="00E967FD">
              <w:rPr>
                <w:sz w:val="18"/>
              </w:rPr>
              <w:t>0.00</w:t>
            </w:r>
          </w:p>
        </w:tc>
        <w:tc>
          <w:tcPr>
            <w:tcW w:w="1260" w:type="dxa"/>
          </w:tcPr>
          <w:p w:rsidR="00C35D71" w:rsidRPr="00E967FD" w:rsidRDefault="00C35D71" w:rsidP="00C35D71">
            <w:pPr>
              <w:cnfStyle w:val="000000100000" w:firstRow="0" w:lastRow="0" w:firstColumn="0" w:lastColumn="0" w:oddVBand="0" w:evenVBand="0" w:oddHBand="1" w:evenHBand="0" w:firstRowFirstColumn="0" w:firstRowLastColumn="0" w:lastRowFirstColumn="0" w:lastRowLastColumn="0"/>
              <w:rPr>
                <w:sz w:val="18"/>
              </w:rPr>
            </w:pPr>
            <w:r w:rsidRPr="00E967FD">
              <w:rPr>
                <w:sz w:val="18"/>
              </w:rPr>
              <w:t>0.00</w:t>
            </w:r>
          </w:p>
        </w:tc>
        <w:tc>
          <w:tcPr>
            <w:tcW w:w="1188" w:type="dxa"/>
          </w:tcPr>
          <w:p w:rsidR="00C35D71" w:rsidRPr="00E967FD" w:rsidRDefault="00C35D71" w:rsidP="00C35D71">
            <w:pPr>
              <w:cnfStyle w:val="000000100000" w:firstRow="0" w:lastRow="0" w:firstColumn="0" w:lastColumn="0" w:oddVBand="0" w:evenVBand="0" w:oddHBand="1" w:evenHBand="0" w:firstRowFirstColumn="0" w:firstRowLastColumn="0" w:lastRowFirstColumn="0" w:lastRowLastColumn="0"/>
              <w:rPr>
                <w:sz w:val="18"/>
              </w:rPr>
            </w:pPr>
            <w:r w:rsidRPr="00E967FD">
              <w:rPr>
                <w:sz w:val="18"/>
              </w:rPr>
              <w:t>0.00</w:t>
            </w:r>
          </w:p>
        </w:tc>
      </w:tr>
      <w:tr w:rsidR="00C35D71" w:rsidRPr="009D1595" w:rsidTr="00C35D71">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C35D71" w:rsidRPr="009D1595" w:rsidRDefault="00C35D71" w:rsidP="00C35D71">
            <w:pPr>
              <w:rPr>
                <w:sz w:val="18"/>
              </w:rPr>
            </w:pPr>
            <w:r w:rsidRPr="009D1595">
              <w:rPr>
                <w:sz w:val="18"/>
              </w:rPr>
              <w:t>Projects with financing from external non-reimbursable funds corresponding to the financial framework 2014-2020</w:t>
            </w:r>
          </w:p>
        </w:tc>
        <w:tc>
          <w:tcPr>
            <w:tcW w:w="1170"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c>
          <w:tcPr>
            <w:tcW w:w="1260" w:type="dxa"/>
            <w:gridSpan w:val="3"/>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c>
          <w:tcPr>
            <w:tcW w:w="990"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c>
          <w:tcPr>
            <w:tcW w:w="1260"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c>
          <w:tcPr>
            <w:tcW w:w="1188"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r>
      <w:tr w:rsidR="00C35D71"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C35D71" w:rsidRPr="009D1595" w:rsidRDefault="00C35D71" w:rsidP="00C35D71">
            <w:pPr>
              <w:rPr>
                <w:b w:val="0"/>
                <w:sz w:val="18"/>
              </w:rPr>
            </w:pPr>
            <w:r w:rsidRPr="009D1595">
              <w:rPr>
                <w:b w:val="0"/>
                <w:sz w:val="18"/>
              </w:rPr>
              <w:t>Million Lei</w:t>
            </w:r>
          </w:p>
        </w:tc>
        <w:tc>
          <w:tcPr>
            <w:tcW w:w="1170"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70</w:t>
            </w:r>
          </w:p>
        </w:tc>
        <w:tc>
          <w:tcPr>
            <w:tcW w:w="1260" w:type="dxa"/>
            <w:gridSpan w:val="3"/>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750</w:t>
            </w:r>
          </w:p>
        </w:tc>
        <w:tc>
          <w:tcPr>
            <w:tcW w:w="990"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627</w:t>
            </w:r>
          </w:p>
        </w:tc>
        <w:tc>
          <w:tcPr>
            <w:tcW w:w="1080"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1,131</w:t>
            </w:r>
          </w:p>
        </w:tc>
        <w:tc>
          <w:tcPr>
            <w:tcW w:w="1260"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900</w:t>
            </w:r>
          </w:p>
        </w:tc>
        <w:tc>
          <w:tcPr>
            <w:tcW w:w="1188"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900</w:t>
            </w:r>
          </w:p>
        </w:tc>
      </w:tr>
      <w:tr w:rsidR="00C35D71"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C35D71" w:rsidRPr="009D1595" w:rsidRDefault="00C35D71" w:rsidP="00C35D71">
            <w:pPr>
              <w:rPr>
                <w:b w:val="0"/>
                <w:sz w:val="18"/>
              </w:rPr>
            </w:pPr>
            <w:r w:rsidRPr="009D1595">
              <w:rPr>
                <w:b w:val="0"/>
                <w:sz w:val="18"/>
              </w:rPr>
              <w:t>% of G.D.P.</w:t>
            </w:r>
          </w:p>
        </w:tc>
        <w:tc>
          <w:tcPr>
            <w:tcW w:w="1170" w:type="dxa"/>
          </w:tcPr>
          <w:p w:rsidR="00C35D71" w:rsidRPr="00E967FD" w:rsidRDefault="00C35D71" w:rsidP="00C35D71">
            <w:pPr>
              <w:cnfStyle w:val="000000000000" w:firstRow="0" w:lastRow="0" w:firstColumn="0" w:lastColumn="0" w:oddVBand="0" w:evenVBand="0" w:oddHBand="0" w:evenHBand="0" w:firstRowFirstColumn="0" w:firstRowLastColumn="0" w:lastRowFirstColumn="0" w:lastRowLastColumn="0"/>
              <w:rPr>
                <w:sz w:val="18"/>
              </w:rPr>
            </w:pPr>
            <w:r w:rsidRPr="00E967FD">
              <w:rPr>
                <w:sz w:val="18"/>
              </w:rPr>
              <w:t>0.01</w:t>
            </w:r>
          </w:p>
        </w:tc>
        <w:tc>
          <w:tcPr>
            <w:tcW w:w="1260" w:type="dxa"/>
            <w:gridSpan w:val="3"/>
          </w:tcPr>
          <w:p w:rsidR="00C35D71" w:rsidRPr="00E967FD" w:rsidRDefault="00C35D71" w:rsidP="00C35D71">
            <w:pPr>
              <w:cnfStyle w:val="000000000000" w:firstRow="0" w:lastRow="0" w:firstColumn="0" w:lastColumn="0" w:oddVBand="0" w:evenVBand="0" w:oddHBand="0" w:evenHBand="0" w:firstRowFirstColumn="0" w:firstRowLastColumn="0" w:lastRowFirstColumn="0" w:lastRowLastColumn="0"/>
              <w:rPr>
                <w:sz w:val="18"/>
              </w:rPr>
            </w:pPr>
            <w:r w:rsidRPr="00E967FD">
              <w:rPr>
                <w:sz w:val="18"/>
              </w:rPr>
              <w:t>0.09</w:t>
            </w:r>
          </w:p>
        </w:tc>
        <w:tc>
          <w:tcPr>
            <w:tcW w:w="990" w:type="dxa"/>
          </w:tcPr>
          <w:p w:rsidR="00C35D71" w:rsidRPr="00E967FD" w:rsidRDefault="00C35D71" w:rsidP="00C35D71">
            <w:pPr>
              <w:cnfStyle w:val="000000000000" w:firstRow="0" w:lastRow="0" w:firstColumn="0" w:lastColumn="0" w:oddVBand="0" w:evenVBand="0" w:oddHBand="0" w:evenHBand="0" w:firstRowFirstColumn="0" w:firstRowLastColumn="0" w:lastRowFirstColumn="0" w:lastRowLastColumn="0"/>
              <w:rPr>
                <w:sz w:val="18"/>
              </w:rPr>
            </w:pPr>
            <w:r w:rsidRPr="00E967FD">
              <w:rPr>
                <w:sz w:val="18"/>
              </w:rPr>
              <w:t>0.07</w:t>
            </w:r>
          </w:p>
        </w:tc>
        <w:tc>
          <w:tcPr>
            <w:tcW w:w="1080" w:type="dxa"/>
          </w:tcPr>
          <w:p w:rsidR="00C35D71" w:rsidRPr="00E967FD" w:rsidRDefault="00C35D71" w:rsidP="00C35D71">
            <w:pPr>
              <w:cnfStyle w:val="000000000000" w:firstRow="0" w:lastRow="0" w:firstColumn="0" w:lastColumn="0" w:oddVBand="0" w:evenVBand="0" w:oddHBand="0" w:evenHBand="0" w:firstRowFirstColumn="0" w:firstRowLastColumn="0" w:lastRowFirstColumn="0" w:lastRowLastColumn="0"/>
              <w:rPr>
                <w:sz w:val="18"/>
              </w:rPr>
            </w:pPr>
            <w:r w:rsidRPr="00E967FD">
              <w:rPr>
                <w:sz w:val="18"/>
              </w:rPr>
              <w:t>0.12</w:t>
            </w:r>
          </w:p>
        </w:tc>
        <w:tc>
          <w:tcPr>
            <w:tcW w:w="1260" w:type="dxa"/>
          </w:tcPr>
          <w:p w:rsidR="00C35D71" w:rsidRPr="00E967FD" w:rsidRDefault="00C35D71" w:rsidP="00C35D71">
            <w:pPr>
              <w:cnfStyle w:val="000000000000" w:firstRow="0" w:lastRow="0" w:firstColumn="0" w:lastColumn="0" w:oddVBand="0" w:evenVBand="0" w:oddHBand="0" w:evenHBand="0" w:firstRowFirstColumn="0" w:firstRowLastColumn="0" w:lastRowFirstColumn="0" w:lastRowLastColumn="0"/>
              <w:rPr>
                <w:sz w:val="18"/>
              </w:rPr>
            </w:pPr>
            <w:r w:rsidRPr="00E967FD">
              <w:rPr>
                <w:sz w:val="18"/>
              </w:rPr>
              <w:t>0.09</w:t>
            </w:r>
          </w:p>
        </w:tc>
        <w:tc>
          <w:tcPr>
            <w:tcW w:w="1188" w:type="dxa"/>
          </w:tcPr>
          <w:p w:rsidR="00C35D71" w:rsidRPr="00E967FD" w:rsidRDefault="00C35D71" w:rsidP="00C35D71">
            <w:pPr>
              <w:cnfStyle w:val="000000000000" w:firstRow="0" w:lastRow="0" w:firstColumn="0" w:lastColumn="0" w:oddVBand="0" w:evenVBand="0" w:oddHBand="0" w:evenHBand="0" w:firstRowFirstColumn="0" w:firstRowLastColumn="0" w:lastRowFirstColumn="0" w:lastRowLastColumn="0"/>
              <w:rPr>
                <w:sz w:val="18"/>
              </w:rPr>
            </w:pPr>
            <w:r w:rsidRPr="00E967FD">
              <w:rPr>
                <w:sz w:val="18"/>
              </w:rPr>
              <w:t>0.08</w:t>
            </w:r>
          </w:p>
        </w:tc>
      </w:tr>
      <w:tr w:rsidR="00C35D71"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C35D71" w:rsidRPr="009D1595" w:rsidRDefault="00C35D71" w:rsidP="00C35D71">
            <w:pPr>
              <w:rPr>
                <w:sz w:val="18"/>
              </w:rPr>
            </w:pPr>
            <w:r w:rsidRPr="009D1595">
              <w:rPr>
                <w:sz w:val="18"/>
              </w:rPr>
              <w:t>Other expenditures</w:t>
            </w:r>
          </w:p>
        </w:tc>
        <w:tc>
          <w:tcPr>
            <w:tcW w:w="1170" w:type="dxa"/>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c>
          <w:tcPr>
            <w:tcW w:w="1260" w:type="dxa"/>
            <w:gridSpan w:val="3"/>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c>
          <w:tcPr>
            <w:tcW w:w="990" w:type="dxa"/>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c>
          <w:tcPr>
            <w:tcW w:w="1260" w:type="dxa"/>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c>
          <w:tcPr>
            <w:tcW w:w="1188" w:type="dxa"/>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r>
      <w:tr w:rsidR="00C35D71"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C35D71" w:rsidRPr="009D1595" w:rsidRDefault="00C35D71" w:rsidP="00C35D71">
            <w:pPr>
              <w:rPr>
                <w:b w:val="0"/>
                <w:sz w:val="18"/>
              </w:rPr>
            </w:pPr>
            <w:r w:rsidRPr="009D1595">
              <w:rPr>
                <w:b w:val="0"/>
                <w:sz w:val="18"/>
              </w:rPr>
              <w:t>Million Lei</w:t>
            </w:r>
          </w:p>
        </w:tc>
        <w:tc>
          <w:tcPr>
            <w:tcW w:w="1170"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14</w:t>
            </w:r>
          </w:p>
        </w:tc>
        <w:tc>
          <w:tcPr>
            <w:tcW w:w="1260" w:type="dxa"/>
            <w:gridSpan w:val="3"/>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32</w:t>
            </w:r>
          </w:p>
        </w:tc>
        <w:tc>
          <w:tcPr>
            <w:tcW w:w="990"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1</w:t>
            </w:r>
          </w:p>
        </w:tc>
        <w:tc>
          <w:tcPr>
            <w:tcW w:w="1080"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12</w:t>
            </w:r>
          </w:p>
        </w:tc>
        <w:tc>
          <w:tcPr>
            <w:tcW w:w="1260"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3</w:t>
            </w:r>
          </w:p>
        </w:tc>
        <w:tc>
          <w:tcPr>
            <w:tcW w:w="1188"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3</w:t>
            </w:r>
          </w:p>
        </w:tc>
      </w:tr>
      <w:tr w:rsidR="00C35D71"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C35D71" w:rsidRPr="009D1595" w:rsidRDefault="00C35D71" w:rsidP="00C35D71">
            <w:pPr>
              <w:rPr>
                <w:b w:val="0"/>
                <w:sz w:val="18"/>
              </w:rPr>
            </w:pPr>
            <w:r w:rsidRPr="009D1595">
              <w:rPr>
                <w:b w:val="0"/>
                <w:sz w:val="18"/>
              </w:rPr>
              <w:t>% of G.D.P.</w:t>
            </w:r>
          </w:p>
        </w:tc>
        <w:tc>
          <w:tcPr>
            <w:tcW w:w="1170" w:type="dxa"/>
          </w:tcPr>
          <w:p w:rsidR="00C35D71" w:rsidRPr="00F00F75" w:rsidRDefault="00C35D71" w:rsidP="00C35D71">
            <w:pPr>
              <w:cnfStyle w:val="000000100000" w:firstRow="0" w:lastRow="0" w:firstColumn="0" w:lastColumn="0" w:oddVBand="0" w:evenVBand="0" w:oddHBand="1" w:evenHBand="0" w:firstRowFirstColumn="0" w:firstRowLastColumn="0" w:lastRowFirstColumn="0" w:lastRowLastColumn="0"/>
              <w:rPr>
                <w:sz w:val="20"/>
              </w:rPr>
            </w:pPr>
            <w:r w:rsidRPr="00F00F75">
              <w:rPr>
                <w:sz w:val="20"/>
              </w:rPr>
              <w:t>0.01</w:t>
            </w:r>
          </w:p>
        </w:tc>
        <w:tc>
          <w:tcPr>
            <w:tcW w:w="1260" w:type="dxa"/>
            <w:gridSpan w:val="3"/>
          </w:tcPr>
          <w:p w:rsidR="00C35D71" w:rsidRPr="00F00F75" w:rsidRDefault="00C35D71" w:rsidP="00C35D71">
            <w:pPr>
              <w:cnfStyle w:val="000000100000" w:firstRow="0" w:lastRow="0" w:firstColumn="0" w:lastColumn="0" w:oddVBand="0" w:evenVBand="0" w:oddHBand="1" w:evenHBand="0" w:firstRowFirstColumn="0" w:firstRowLastColumn="0" w:lastRowFirstColumn="0" w:lastRowLastColumn="0"/>
              <w:rPr>
                <w:sz w:val="20"/>
              </w:rPr>
            </w:pPr>
            <w:r w:rsidRPr="00F00F75">
              <w:rPr>
                <w:sz w:val="20"/>
              </w:rPr>
              <w:t>0.00</w:t>
            </w:r>
          </w:p>
        </w:tc>
        <w:tc>
          <w:tcPr>
            <w:tcW w:w="990" w:type="dxa"/>
          </w:tcPr>
          <w:p w:rsidR="00C35D71" w:rsidRPr="00F00F75" w:rsidRDefault="00C35D71" w:rsidP="00C35D71">
            <w:pPr>
              <w:cnfStyle w:val="000000100000" w:firstRow="0" w:lastRow="0" w:firstColumn="0" w:lastColumn="0" w:oddVBand="0" w:evenVBand="0" w:oddHBand="1" w:evenHBand="0" w:firstRowFirstColumn="0" w:firstRowLastColumn="0" w:lastRowFirstColumn="0" w:lastRowLastColumn="0"/>
              <w:rPr>
                <w:sz w:val="20"/>
              </w:rPr>
            </w:pPr>
            <w:r w:rsidRPr="00F00F75">
              <w:rPr>
                <w:sz w:val="20"/>
              </w:rPr>
              <w:t>0.00</w:t>
            </w:r>
          </w:p>
        </w:tc>
        <w:tc>
          <w:tcPr>
            <w:tcW w:w="1080" w:type="dxa"/>
          </w:tcPr>
          <w:p w:rsidR="00C35D71" w:rsidRPr="00F00F75" w:rsidRDefault="00C35D71" w:rsidP="00C35D71">
            <w:pPr>
              <w:cnfStyle w:val="000000100000" w:firstRow="0" w:lastRow="0" w:firstColumn="0" w:lastColumn="0" w:oddVBand="0" w:evenVBand="0" w:oddHBand="1" w:evenHBand="0" w:firstRowFirstColumn="0" w:firstRowLastColumn="0" w:lastRowFirstColumn="0" w:lastRowLastColumn="0"/>
              <w:rPr>
                <w:sz w:val="20"/>
              </w:rPr>
            </w:pPr>
            <w:r w:rsidRPr="00F00F75">
              <w:rPr>
                <w:sz w:val="20"/>
              </w:rPr>
              <w:t>0.01</w:t>
            </w:r>
          </w:p>
        </w:tc>
        <w:tc>
          <w:tcPr>
            <w:tcW w:w="1260" w:type="dxa"/>
          </w:tcPr>
          <w:p w:rsidR="00C35D71" w:rsidRPr="00F00F75" w:rsidRDefault="00C35D71" w:rsidP="00C35D71">
            <w:pPr>
              <w:cnfStyle w:val="000000100000" w:firstRow="0" w:lastRow="0" w:firstColumn="0" w:lastColumn="0" w:oddVBand="0" w:evenVBand="0" w:oddHBand="1" w:evenHBand="0" w:firstRowFirstColumn="0" w:firstRowLastColumn="0" w:lastRowFirstColumn="0" w:lastRowLastColumn="0"/>
              <w:rPr>
                <w:sz w:val="20"/>
              </w:rPr>
            </w:pPr>
            <w:r w:rsidRPr="00F00F75">
              <w:rPr>
                <w:sz w:val="20"/>
              </w:rPr>
              <w:t>0.01</w:t>
            </w:r>
          </w:p>
        </w:tc>
        <w:tc>
          <w:tcPr>
            <w:tcW w:w="1188" w:type="dxa"/>
          </w:tcPr>
          <w:p w:rsidR="00C35D71" w:rsidRPr="00F00F75" w:rsidRDefault="00C35D71" w:rsidP="00C35D71">
            <w:pPr>
              <w:cnfStyle w:val="000000100000" w:firstRow="0" w:lastRow="0" w:firstColumn="0" w:lastColumn="0" w:oddVBand="0" w:evenVBand="0" w:oddHBand="1" w:evenHBand="0" w:firstRowFirstColumn="0" w:firstRowLastColumn="0" w:lastRowFirstColumn="0" w:lastRowLastColumn="0"/>
              <w:rPr>
                <w:sz w:val="20"/>
              </w:rPr>
            </w:pPr>
            <w:r w:rsidRPr="00F00F75">
              <w:rPr>
                <w:sz w:val="20"/>
              </w:rPr>
              <w:t>0.01</w:t>
            </w:r>
          </w:p>
        </w:tc>
      </w:tr>
      <w:tr w:rsidR="00C35D71" w:rsidRPr="009D1595" w:rsidTr="00C35D71">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C35D71" w:rsidRPr="009D1595" w:rsidRDefault="00C35D71" w:rsidP="00C35D71">
            <w:pPr>
              <w:rPr>
                <w:sz w:val="18"/>
              </w:rPr>
            </w:pPr>
            <w:r w:rsidRPr="009D1595">
              <w:rPr>
                <w:sz w:val="18"/>
              </w:rPr>
              <w:t>Non-financial assets</w:t>
            </w:r>
          </w:p>
        </w:tc>
        <w:tc>
          <w:tcPr>
            <w:tcW w:w="1170"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c>
          <w:tcPr>
            <w:tcW w:w="1260" w:type="dxa"/>
            <w:gridSpan w:val="3"/>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c>
          <w:tcPr>
            <w:tcW w:w="990"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c>
          <w:tcPr>
            <w:tcW w:w="1260"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c>
          <w:tcPr>
            <w:tcW w:w="1188"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r>
      <w:tr w:rsidR="00C35D71"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C35D71" w:rsidRPr="009D1595" w:rsidRDefault="00C35D71" w:rsidP="00C35D71">
            <w:pPr>
              <w:rPr>
                <w:b w:val="0"/>
                <w:sz w:val="18"/>
              </w:rPr>
            </w:pPr>
            <w:r w:rsidRPr="009D1595">
              <w:rPr>
                <w:b w:val="0"/>
                <w:sz w:val="18"/>
              </w:rPr>
              <w:t>Million Lei</w:t>
            </w:r>
          </w:p>
        </w:tc>
        <w:tc>
          <w:tcPr>
            <w:tcW w:w="1170"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86</w:t>
            </w:r>
          </w:p>
        </w:tc>
        <w:tc>
          <w:tcPr>
            <w:tcW w:w="1260" w:type="dxa"/>
            <w:gridSpan w:val="3"/>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47</w:t>
            </w:r>
          </w:p>
        </w:tc>
        <w:tc>
          <w:tcPr>
            <w:tcW w:w="990"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34</w:t>
            </w:r>
          </w:p>
        </w:tc>
        <w:tc>
          <w:tcPr>
            <w:tcW w:w="1080"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40</w:t>
            </w:r>
          </w:p>
        </w:tc>
        <w:tc>
          <w:tcPr>
            <w:tcW w:w="1260"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41</w:t>
            </w:r>
          </w:p>
        </w:tc>
        <w:tc>
          <w:tcPr>
            <w:tcW w:w="1188"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41</w:t>
            </w:r>
          </w:p>
        </w:tc>
      </w:tr>
      <w:tr w:rsidR="00C35D71"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C35D71" w:rsidRPr="009D1595" w:rsidRDefault="00C35D71" w:rsidP="00C35D71">
            <w:pPr>
              <w:rPr>
                <w:b w:val="0"/>
                <w:sz w:val="18"/>
              </w:rPr>
            </w:pPr>
            <w:r w:rsidRPr="009D1595">
              <w:rPr>
                <w:b w:val="0"/>
                <w:sz w:val="18"/>
              </w:rPr>
              <w:t>% of G.D.P.</w:t>
            </w:r>
          </w:p>
        </w:tc>
        <w:tc>
          <w:tcPr>
            <w:tcW w:w="1170"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0.01</w:t>
            </w:r>
          </w:p>
        </w:tc>
        <w:tc>
          <w:tcPr>
            <w:tcW w:w="1260" w:type="dxa"/>
            <w:gridSpan w:val="3"/>
          </w:tcPr>
          <w:p w:rsidR="00C35D71" w:rsidRPr="006347D2"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0.01</w:t>
            </w:r>
          </w:p>
        </w:tc>
        <w:tc>
          <w:tcPr>
            <w:tcW w:w="990" w:type="dxa"/>
          </w:tcPr>
          <w:p w:rsidR="00C35D71" w:rsidRPr="006347D2"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c>
          <w:tcPr>
            <w:tcW w:w="1080" w:type="dxa"/>
          </w:tcPr>
          <w:p w:rsidR="00C35D71" w:rsidRPr="006347D2"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c>
          <w:tcPr>
            <w:tcW w:w="1260" w:type="dxa"/>
          </w:tcPr>
          <w:p w:rsidR="00C35D71" w:rsidRPr="006347D2"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c>
          <w:tcPr>
            <w:tcW w:w="1188" w:type="dxa"/>
          </w:tcPr>
          <w:p w:rsidR="00C35D71" w:rsidRPr="006347D2"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r>
      <w:tr w:rsidR="00C35D71"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C35D71" w:rsidRPr="009D1595" w:rsidRDefault="00C35D71" w:rsidP="00C35D71">
            <w:pPr>
              <w:rPr>
                <w:sz w:val="18"/>
              </w:rPr>
            </w:pPr>
            <w:r w:rsidRPr="009D1595">
              <w:rPr>
                <w:sz w:val="18"/>
              </w:rPr>
              <w:t xml:space="preserve">Loans </w:t>
            </w:r>
          </w:p>
        </w:tc>
        <w:tc>
          <w:tcPr>
            <w:tcW w:w="1170" w:type="dxa"/>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c>
          <w:tcPr>
            <w:tcW w:w="1260" w:type="dxa"/>
            <w:gridSpan w:val="3"/>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c>
          <w:tcPr>
            <w:tcW w:w="990" w:type="dxa"/>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c>
          <w:tcPr>
            <w:tcW w:w="1080" w:type="dxa"/>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c>
          <w:tcPr>
            <w:tcW w:w="1260" w:type="dxa"/>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c>
          <w:tcPr>
            <w:tcW w:w="1188" w:type="dxa"/>
            <w:shd w:val="clear" w:color="auto" w:fill="ACB9CA" w:themeFill="text2" w:themeFillTint="66"/>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r>
      <w:tr w:rsidR="00C35D71"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C35D71" w:rsidRPr="009D1595" w:rsidRDefault="00C35D71" w:rsidP="00C35D71">
            <w:pPr>
              <w:rPr>
                <w:b w:val="0"/>
                <w:sz w:val="18"/>
              </w:rPr>
            </w:pPr>
            <w:r w:rsidRPr="009D1595">
              <w:rPr>
                <w:b w:val="0"/>
                <w:sz w:val="18"/>
              </w:rPr>
              <w:t>Million Lei</w:t>
            </w:r>
          </w:p>
        </w:tc>
        <w:tc>
          <w:tcPr>
            <w:tcW w:w="1170"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32.500</w:t>
            </w:r>
          </w:p>
        </w:tc>
        <w:tc>
          <w:tcPr>
            <w:tcW w:w="1260" w:type="dxa"/>
            <w:gridSpan w:val="3"/>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14.719</w:t>
            </w:r>
          </w:p>
        </w:tc>
        <w:tc>
          <w:tcPr>
            <w:tcW w:w="990"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14.719</w:t>
            </w:r>
          </w:p>
        </w:tc>
        <w:tc>
          <w:tcPr>
            <w:tcW w:w="1080"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c>
          <w:tcPr>
            <w:tcW w:w="1260"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c>
          <w:tcPr>
            <w:tcW w:w="1188"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r>
      <w:tr w:rsidR="00C35D71"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C35D71" w:rsidRPr="009D1595" w:rsidRDefault="00C35D71" w:rsidP="00C35D71">
            <w:pPr>
              <w:rPr>
                <w:b w:val="0"/>
                <w:sz w:val="18"/>
              </w:rPr>
            </w:pPr>
            <w:r w:rsidRPr="009D1595">
              <w:rPr>
                <w:b w:val="0"/>
                <w:sz w:val="18"/>
              </w:rPr>
              <w:t>% of G.D.P.</w:t>
            </w:r>
          </w:p>
        </w:tc>
        <w:tc>
          <w:tcPr>
            <w:tcW w:w="1170" w:type="dxa"/>
          </w:tcPr>
          <w:p w:rsidR="00C35D71" w:rsidRPr="00E967FD" w:rsidRDefault="00C35D71" w:rsidP="00C35D71">
            <w:pPr>
              <w:cnfStyle w:val="000000100000" w:firstRow="0" w:lastRow="0" w:firstColumn="0" w:lastColumn="0" w:oddVBand="0" w:evenVBand="0" w:oddHBand="1" w:evenHBand="0" w:firstRowFirstColumn="0" w:firstRowLastColumn="0" w:lastRowFirstColumn="0" w:lastRowLastColumn="0"/>
              <w:rPr>
                <w:sz w:val="18"/>
              </w:rPr>
            </w:pPr>
            <w:r w:rsidRPr="00E967FD">
              <w:rPr>
                <w:sz w:val="18"/>
              </w:rPr>
              <w:t>0.00</w:t>
            </w:r>
          </w:p>
        </w:tc>
        <w:tc>
          <w:tcPr>
            <w:tcW w:w="1260" w:type="dxa"/>
            <w:gridSpan w:val="3"/>
          </w:tcPr>
          <w:p w:rsidR="00C35D71" w:rsidRPr="00E967FD" w:rsidRDefault="00C35D71" w:rsidP="00C35D71">
            <w:pPr>
              <w:cnfStyle w:val="000000100000" w:firstRow="0" w:lastRow="0" w:firstColumn="0" w:lastColumn="0" w:oddVBand="0" w:evenVBand="0" w:oddHBand="1" w:evenHBand="0" w:firstRowFirstColumn="0" w:firstRowLastColumn="0" w:lastRowFirstColumn="0" w:lastRowLastColumn="0"/>
              <w:rPr>
                <w:sz w:val="18"/>
              </w:rPr>
            </w:pPr>
            <w:r w:rsidRPr="00E967FD">
              <w:rPr>
                <w:sz w:val="18"/>
              </w:rPr>
              <w:t>0.00</w:t>
            </w:r>
          </w:p>
        </w:tc>
        <w:tc>
          <w:tcPr>
            <w:tcW w:w="990" w:type="dxa"/>
          </w:tcPr>
          <w:p w:rsidR="00C35D71" w:rsidRPr="00E967FD" w:rsidRDefault="00C35D71" w:rsidP="00C35D71">
            <w:pPr>
              <w:cnfStyle w:val="000000100000" w:firstRow="0" w:lastRow="0" w:firstColumn="0" w:lastColumn="0" w:oddVBand="0" w:evenVBand="0" w:oddHBand="1" w:evenHBand="0" w:firstRowFirstColumn="0" w:firstRowLastColumn="0" w:lastRowFirstColumn="0" w:lastRowLastColumn="0"/>
              <w:rPr>
                <w:sz w:val="18"/>
              </w:rPr>
            </w:pPr>
            <w:r w:rsidRPr="00E967FD">
              <w:rPr>
                <w:sz w:val="18"/>
              </w:rPr>
              <w:t>0.00</w:t>
            </w:r>
          </w:p>
        </w:tc>
        <w:tc>
          <w:tcPr>
            <w:tcW w:w="1080" w:type="dxa"/>
          </w:tcPr>
          <w:p w:rsidR="00C35D71" w:rsidRPr="00E967FD" w:rsidRDefault="00C35D71" w:rsidP="00C35D71">
            <w:pPr>
              <w:cnfStyle w:val="000000100000" w:firstRow="0" w:lastRow="0" w:firstColumn="0" w:lastColumn="0" w:oddVBand="0" w:evenVBand="0" w:oddHBand="1" w:evenHBand="0" w:firstRowFirstColumn="0" w:firstRowLastColumn="0" w:lastRowFirstColumn="0" w:lastRowLastColumn="0"/>
              <w:rPr>
                <w:sz w:val="18"/>
              </w:rPr>
            </w:pPr>
            <w:r w:rsidRPr="00E967FD">
              <w:rPr>
                <w:sz w:val="18"/>
              </w:rPr>
              <w:t>0.00</w:t>
            </w:r>
          </w:p>
        </w:tc>
        <w:tc>
          <w:tcPr>
            <w:tcW w:w="1260" w:type="dxa"/>
          </w:tcPr>
          <w:p w:rsidR="00C35D71" w:rsidRPr="00E967FD" w:rsidRDefault="00C35D71" w:rsidP="00C35D71">
            <w:pPr>
              <w:cnfStyle w:val="000000100000" w:firstRow="0" w:lastRow="0" w:firstColumn="0" w:lastColumn="0" w:oddVBand="0" w:evenVBand="0" w:oddHBand="1" w:evenHBand="0" w:firstRowFirstColumn="0" w:firstRowLastColumn="0" w:lastRowFirstColumn="0" w:lastRowLastColumn="0"/>
              <w:rPr>
                <w:sz w:val="18"/>
              </w:rPr>
            </w:pPr>
            <w:r w:rsidRPr="00E967FD">
              <w:rPr>
                <w:sz w:val="18"/>
              </w:rPr>
              <w:t>0.00</w:t>
            </w:r>
          </w:p>
        </w:tc>
        <w:tc>
          <w:tcPr>
            <w:tcW w:w="1188" w:type="dxa"/>
          </w:tcPr>
          <w:p w:rsidR="00C35D71" w:rsidRPr="00E967FD" w:rsidRDefault="00C35D71" w:rsidP="00C35D71">
            <w:pPr>
              <w:cnfStyle w:val="000000100000" w:firstRow="0" w:lastRow="0" w:firstColumn="0" w:lastColumn="0" w:oddVBand="0" w:evenVBand="0" w:oddHBand="1" w:evenHBand="0" w:firstRowFirstColumn="0" w:firstRowLastColumn="0" w:lastRowFirstColumn="0" w:lastRowLastColumn="0"/>
              <w:rPr>
                <w:sz w:val="18"/>
              </w:rPr>
            </w:pPr>
            <w:r w:rsidRPr="00E967FD">
              <w:rPr>
                <w:sz w:val="18"/>
              </w:rPr>
              <w:t>0.00</w:t>
            </w:r>
          </w:p>
        </w:tc>
      </w:tr>
      <w:tr w:rsidR="00C35D71" w:rsidRPr="009D1595" w:rsidTr="00C35D71">
        <w:tc>
          <w:tcPr>
            <w:cnfStyle w:val="001000000000" w:firstRow="0" w:lastRow="0" w:firstColumn="1" w:lastColumn="0" w:oddVBand="0" w:evenVBand="0" w:oddHBand="0" w:evenHBand="0" w:firstRowFirstColumn="0" w:firstRowLastColumn="0" w:lastRowFirstColumn="0" w:lastRowLastColumn="0"/>
            <w:tcW w:w="2628" w:type="dxa"/>
            <w:shd w:val="clear" w:color="auto" w:fill="ACB9CA" w:themeFill="text2" w:themeFillTint="66"/>
          </w:tcPr>
          <w:p w:rsidR="00C35D71" w:rsidRPr="009D1595" w:rsidRDefault="00C35D71" w:rsidP="00C35D71">
            <w:pPr>
              <w:rPr>
                <w:sz w:val="18"/>
              </w:rPr>
            </w:pPr>
            <w:r w:rsidRPr="009D1595">
              <w:rPr>
                <w:sz w:val="18"/>
              </w:rPr>
              <w:t>Payments made in previous years and recovered in the current year</w:t>
            </w:r>
          </w:p>
        </w:tc>
        <w:tc>
          <w:tcPr>
            <w:tcW w:w="1170"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c>
          <w:tcPr>
            <w:tcW w:w="1260" w:type="dxa"/>
            <w:gridSpan w:val="3"/>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c>
          <w:tcPr>
            <w:tcW w:w="990"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c>
          <w:tcPr>
            <w:tcW w:w="1080"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c>
          <w:tcPr>
            <w:tcW w:w="1260"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c>
          <w:tcPr>
            <w:tcW w:w="1188" w:type="dxa"/>
            <w:shd w:val="clear" w:color="auto" w:fill="ACB9CA" w:themeFill="text2" w:themeFillTint="66"/>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p>
        </w:tc>
      </w:tr>
      <w:tr w:rsidR="00C35D71" w:rsidRPr="009D1595" w:rsidTr="00C3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C35D71" w:rsidRPr="009D1595" w:rsidRDefault="00C35D71" w:rsidP="00C35D71">
            <w:pPr>
              <w:rPr>
                <w:b w:val="0"/>
                <w:sz w:val="18"/>
              </w:rPr>
            </w:pPr>
            <w:r w:rsidRPr="009D1595">
              <w:rPr>
                <w:b w:val="0"/>
                <w:sz w:val="18"/>
              </w:rPr>
              <w:t>Million Lei</w:t>
            </w:r>
          </w:p>
        </w:tc>
        <w:tc>
          <w:tcPr>
            <w:tcW w:w="1170"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c>
          <w:tcPr>
            <w:tcW w:w="1260" w:type="dxa"/>
            <w:gridSpan w:val="3"/>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-293</w:t>
            </w:r>
          </w:p>
        </w:tc>
        <w:tc>
          <w:tcPr>
            <w:tcW w:w="990"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r>
              <w:rPr>
                <w:sz w:val="18"/>
              </w:rPr>
              <w:t>-501</w:t>
            </w:r>
          </w:p>
        </w:tc>
        <w:tc>
          <w:tcPr>
            <w:tcW w:w="1080"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c>
          <w:tcPr>
            <w:tcW w:w="1260"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c>
          <w:tcPr>
            <w:tcW w:w="1188" w:type="dxa"/>
          </w:tcPr>
          <w:p w:rsidR="00C35D71" w:rsidRPr="009D1595" w:rsidRDefault="00C35D71" w:rsidP="00C35D71">
            <w:pPr>
              <w:cnfStyle w:val="000000100000" w:firstRow="0" w:lastRow="0" w:firstColumn="0" w:lastColumn="0" w:oddVBand="0" w:evenVBand="0" w:oddHBand="1" w:evenHBand="0" w:firstRowFirstColumn="0" w:firstRowLastColumn="0" w:lastRowFirstColumn="0" w:lastRowLastColumn="0"/>
              <w:rPr>
                <w:sz w:val="18"/>
              </w:rPr>
            </w:pPr>
          </w:p>
        </w:tc>
      </w:tr>
      <w:tr w:rsidR="00C35D71" w:rsidRPr="009D1595" w:rsidTr="00C35D71">
        <w:tc>
          <w:tcPr>
            <w:cnfStyle w:val="001000000000" w:firstRow="0" w:lastRow="0" w:firstColumn="1" w:lastColumn="0" w:oddVBand="0" w:evenVBand="0" w:oddHBand="0" w:evenHBand="0" w:firstRowFirstColumn="0" w:firstRowLastColumn="0" w:lastRowFirstColumn="0" w:lastRowLastColumn="0"/>
            <w:tcW w:w="2628" w:type="dxa"/>
          </w:tcPr>
          <w:p w:rsidR="00C35D71" w:rsidRPr="009D1595" w:rsidRDefault="00C35D71" w:rsidP="00C35D71">
            <w:pPr>
              <w:rPr>
                <w:b w:val="0"/>
                <w:sz w:val="18"/>
              </w:rPr>
            </w:pPr>
            <w:r w:rsidRPr="009D1595">
              <w:rPr>
                <w:b w:val="0"/>
                <w:sz w:val="18"/>
              </w:rPr>
              <w:t>% of G.D.P.</w:t>
            </w:r>
          </w:p>
        </w:tc>
        <w:tc>
          <w:tcPr>
            <w:tcW w:w="1170"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c>
          <w:tcPr>
            <w:tcW w:w="1260" w:type="dxa"/>
            <w:gridSpan w:val="3"/>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0.03</w:t>
            </w:r>
          </w:p>
        </w:tc>
        <w:tc>
          <w:tcPr>
            <w:tcW w:w="990"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0.05</w:t>
            </w:r>
          </w:p>
        </w:tc>
        <w:tc>
          <w:tcPr>
            <w:tcW w:w="1080"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c>
          <w:tcPr>
            <w:tcW w:w="1260"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c>
          <w:tcPr>
            <w:tcW w:w="1188" w:type="dxa"/>
          </w:tcPr>
          <w:p w:rsidR="00C35D71" w:rsidRPr="009D1595" w:rsidRDefault="00C35D71" w:rsidP="00C35D71">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r>
    </w:tbl>
    <w:p w:rsidR="00C35D71" w:rsidRDefault="00C35D71" w:rsidP="00C21188"/>
    <w:p w:rsidR="00C35D71" w:rsidRPr="00C21188" w:rsidRDefault="00C35D71" w:rsidP="00C21188"/>
    <w:p w:rsidR="00C21188" w:rsidRPr="00C21188" w:rsidRDefault="00C21188" w:rsidP="00C21188"/>
    <w:p w:rsidR="00C21188" w:rsidRPr="00C21188" w:rsidRDefault="00C21188" w:rsidP="00C21188"/>
    <w:p w:rsidR="00C21188" w:rsidRPr="00C21188" w:rsidRDefault="00C21188" w:rsidP="00C21188"/>
    <w:p w:rsidR="00C21188" w:rsidRDefault="00C21188" w:rsidP="00C21188">
      <w:pPr>
        <w:rPr>
          <w:noProof/>
        </w:rPr>
      </w:pPr>
    </w:p>
    <w:p w:rsidR="00F00F75" w:rsidRDefault="00F00F75" w:rsidP="00C21188">
      <w:pPr>
        <w:rPr>
          <w:noProof/>
        </w:rPr>
      </w:pPr>
    </w:p>
    <w:p w:rsidR="00F00F75" w:rsidRDefault="00F00F75" w:rsidP="00C21188">
      <w:pPr>
        <w:rPr>
          <w:noProof/>
        </w:rPr>
      </w:pPr>
    </w:p>
    <w:p w:rsidR="00F00F75" w:rsidRDefault="00F00F75" w:rsidP="00C21188">
      <w:pPr>
        <w:rPr>
          <w:noProof/>
        </w:rPr>
      </w:pPr>
    </w:p>
    <w:p w:rsidR="00F00F75" w:rsidRDefault="00F00F75" w:rsidP="00C21188">
      <w:pPr>
        <w:rPr>
          <w:noProof/>
        </w:rPr>
      </w:pPr>
    </w:p>
    <w:p w:rsidR="00F00F75" w:rsidRDefault="00F00F75" w:rsidP="00C21188">
      <w:pPr>
        <w:rPr>
          <w:noProof/>
        </w:rPr>
      </w:pPr>
    </w:p>
    <w:p w:rsidR="00F00F75" w:rsidRDefault="00F00F75" w:rsidP="00C21188">
      <w:pPr>
        <w:rPr>
          <w:noProof/>
        </w:rPr>
      </w:pPr>
    </w:p>
    <w:tbl>
      <w:tblPr>
        <w:tblStyle w:val="LightList"/>
        <w:tblW w:w="0" w:type="auto"/>
        <w:tblLook w:val="04A0" w:firstRow="1" w:lastRow="0" w:firstColumn="1" w:lastColumn="0" w:noHBand="0" w:noVBand="1"/>
      </w:tblPr>
      <w:tblGrid>
        <w:gridCol w:w="2591"/>
        <w:gridCol w:w="1246"/>
        <w:gridCol w:w="1071"/>
        <w:gridCol w:w="1175"/>
        <w:gridCol w:w="1071"/>
        <w:gridCol w:w="1246"/>
        <w:gridCol w:w="1176"/>
      </w:tblGrid>
      <w:tr w:rsidR="00F00F75" w:rsidRPr="009D1595" w:rsidTr="005063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dxa"/>
            <w:shd w:val="clear" w:color="auto" w:fill="auto"/>
          </w:tcPr>
          <w:p w:rsidR="00F00F75" w:rsidRPr="009D1595" w:rsidRDefault="00F00F75" w:rsidP="005063CB">
            <w:pPr>
              <w:rPr>
                <w:color w:val="auto"/>
                <w:sz w:val="18"/>
              </w:rPr>
            </w:pPr>
          </w:p>
        </w:tc>
        <w:tc>
          <w:tcPr>
            <w:tcW w:w="1246" w:type="dxa"/>
            <w:shd w:val="clear" w:color="auto" w:fill="auto"/>
          </w:tcPr>
          <w:p w:rsidR="00F00F75" w:rsidRPr="009D1595" w:rsidRDefault="00F00F75" w:rsidP="005063CB">
            <w:pPr>
              <w:cnfStyle w:val="100000000000" w:firstRow="1" w:lastRow="0" w:firstColumn="0" w:lastColumn="0" w:oddVBand="0" w:evenVBand="0" w:oddHBand="0" w:evenHBand="0" w:firstRowFirstColumn="0" w:firstRowLastColumn="0" w:lastRowFirstColumn="0" w:lastRowLastColumn="0"/>
              <w:rPr>
                <w:color w:val="auto"/>
                <w:sz w:val="18"/>
              </w:rPr>
            </w:pPr>
          </w:p>
        </w:tc>
        <w:tc>
          <w:tcPr>
            <w:tcW w:w="1071" w:type="dxa"/>
            <w:shd w:val="clear" w:color="auto" w:fill="auto"/>
          </w:tcPr>
          <w:p w:rsidR="00F00F75" w:rsidRPr="009D1595" w:rsidRDefault="00F00F75" w:rsidP="005063CB">
            <w:pPr>
              <w:cnfStyle w:val="100000000000" w:firstRow="1" w:lastRow="0" w:firstColumn="0" w:lastColumn="0" w:oddVBand="0" w:evenVBand="0" w:oddHBand="0" w:evenHBand="0" w:firstRowFirstColumn="0" w:firstRowLastColumn="0" w:lastRowFirstColumn="0" w:lastRowLastColumn="0"/>
              <w:rPr>
                <w:color w:val="auto"/>
                <w:sz w:val="18"/>
              </w:rPr>
            </w:pPr>
          </w:p>
        </w:tc>
        <w:tc>
          <w:tcPr>
            <w:tcW w:w="1175" w:type="dxa"/>
            <w:shd w:val="clear" w:color="auto" w:fill="auto"/>
          </w:tcPr>
          <w:p w:rsidR="00F00F75" w:rsidRPr="009D1595" w:rsidRDefault="00F00F75" w:rsidP="005063CB">
            <w:pPr>
              <w:cnfStyle w:val="100000000000" w:firstRow="1" w:lastRow="0" w:firstColumn="0" w:lastColumn="0" w:oddVBand="0" w:evenVBand="0" w:oddHBand="0" w:evenHBand="0" w:firstRowFirstColumn="0" w:firstRowLastColumn="0" w:lastRowFirstColumn="0" w:lastRowLastColumn="0"/>
              <w:rPr>
                <w:color w:val="auto"/>
                <w:sz w:val="18"/>
              </w:rPr>
            </w:pPr>
          </w:p>
        </w:tc>
        <w:tc>
          <w:tcPr>
            <w:tcW w:w="1071" w:type="dxa"/>
            <w:shd w:val="clear" w:color="auto" w:fill="auto"/>
          </w:tcPr>
          <w:p w:rsidR="00F00F75" w:rsidRPr="009D1595" w:rsidRDefault="00F00F75" w:rsidP="005063CB">
            <w:pPr>
              <w:cnfStyle w:val="100000000000" w:firstRow="1" w:lastRow="0" w:firstColumn="0" w:lastColumn="0" w:oddVBand="0" w:evenVBand="0" w:oddHBand="0" w:evenHBand="0" w:firstRowFirstColumn="0" w:firstRowLastColumn="0" w:lastRowFirstColumn="0" w:lastRowLastColumn="0"/>
              <w:rPr>
                <w:color w:val="auto"/>
                <w:sz w:val="18"/>
              </w:rPr>
            </w:pPr>
          </w:p>
        </w:tc>
        <w:tc>
          <w:tcPr>
            <w:tcW w:w="1246" w:type="dxa"/>
            <w:shd w:val="clear" w:color="auto" w:fill="auto"/>
          </w:tcPr>
          <w:p w:rsidR="00F00F75" w:rsidRPr="009D1595" w:rsidRDefault="00F00F75" w:rsidP="005063CB">
            <w:pPr>
              <w:cnfStyle w:val="100000000000" w:firstRow="1" w:lastRow="0" w:firstColumn="0" w:lastColumn="0" w:oddVBand="0" w:evenVBand="0" w:oddHBand="0" w:evenHBand="0" w:firstRowFirstColumn="0" w:firstRowLastColumn="0" w:lastRowFirstColumn="0" w:lastRowLastColumn="0"/>
              <w:rPr>
                <w:color w:val="auto"/>
                <w:sz w:val="18"/>
              </w:rPr>
            </w:pPr>
          </w:p>
        </w:tc>
        <w:tc>
          <w:tcPr>
            <w:tcW w:w="1176" w:type="dxa"/>
            <w:shd w:val="clear" w:color="auto" w:fill="auto"/>
          </w:tcPr>
          <w:p w:rsidR="00F00F75" w:rsidRPr="009D1595" w:rsidRDefault="00F00F75" w:rsidP="005063CB">
            <w:pPr>
              <w:cnfStyle w:val="100000000000" w:firstRow="1" w:lastRow="0" w:firstColumn="0" w:lastColumn="0" w:oddVBand="0" w:evenVBand="0" w:oddHBand="0" w:evenHBand="0" w:firstRowFirstColumn="0" w:firstRowLastColumn="0" w:lastRowFirstColumn="0" w:lastRowLastColumn="0"/>
              <w:rPr>
                <w:color w:val="auto"/>
                <w:sz w:val="18"/>
              </w:rPr>
            </w:pPr>
            <w:r w:rsidRPr="009D1595">
              <w:rPr>
                <w:color w:val="auto"/>
                <w:sz w:val="18"/>
              </w:rPr>
              <w:t xml:space="preserve">- million Lei - </w:t>
            </w:r>
          </w:p>
        </w:tc>
      </w:tr>
      <w:tr w:rsidR="00F00F75" w:rsidRPr="009D1595" w:rsidTr="00506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7"/>
            <w:shd w:val="clear" w:color="auto" w:fill="auto"/>
          </w:tcPr>
          <w:p w:rsidR="00F00F75" w:rsidRPr="0037389E" w:rsidRDefault="00F00F75" w:rsidP="005063CB">
            <w:pPr>
              <w:jc w:val="center"/>
              <w:rPr>
                <w:sz w:val="18"/>
              </w:rPr>
            </w:pPr>
            <w:r w:rsidRPr="0037389E">
              <w:rPr>
                <w:sz w:val="18"/>
              </w:rPr>
              <w:t>Annex</w:t>
            </w:r>
            <w:r>
              <w:rPr>
                <w:sz w:val="18"/>
              </w:rPr>
              <w:t xml:space="preserve"> 10</w:t>
            </w:r>
            <w:r w:rsidRPr="0037389E">
              <w:rPr>
                <w:sz w:val="18"/>
              </w:rPr>
              <w:t xml:space="preserve"> - Expenditures of the Ministry of </w:t>
            </w:r>
            <w:r>
              <w:rPr>
                <w:sz w:val="18"/>
              </w:rPr>
              <w:t>Justice</w:t>
            </w:r>
            <w:r w:rsidRPr="0037389E">
              <w:rPr>
                <w:sz w:val="18"/>
              </w:rPr>
              <w:t xml:space="preserve"> from the State budget</w:t>
            </w:r>
          </w:p>
          <w:p w:rsidR="00F00F75" w:rsidRPr="009D1595" w:rsidRDefault="00F00F75" w:rsidP="005063CB">
            <w:pPr>
              <w:jc w:val="center"/>
              <w:rPr>
                <w:sz w:val="18"/>
              </w:rPr>
            </w:pPr>
            <w:r w:rsidRPr="0037389E">
              <w:rPr>
                <w:sz w:val="18"/>
              </w:rPr>
              <w:t>between 2016 and 2021</w:t>
            </w:r>
          </w:p>
        </w:tc>
      </w:tr>
      <w:tr w:rsidR="00F00F75" w:rsidRPr="009D1595" w:rsidTr="005063CB">
        <w:tc>
          <w:tcPr>
            <w:cnfStyle w:val="001000000000" w:firstRow="0" w:lastRow="0" w:firstColumn="1" w:lastColumn="0" w:oddVBand="0" w:evenVBand="0" w:oddHBand="0" w:evenHBand="0" w:firstRowFirstColumn="0" w:firstRowLastColumn="0" w:lastRowFirstColumn="0" w:lastRowLastColumn="0"/>
            <w:tcW w:w="2591" w:type="dxa"/>
          </w:tcPr>
          <w:p w:rsidR="00F00F75" w:rsidRPr="009D1595" w:rsidRDefault="00F00F75" w:rsidP="005063CB">
            <w:pPr>
              <w:rPr>
                <w:sz w:val="18"/>
              </w:rPr>
            </w:pPr>
          </w:p>
        </w:tc>
        <w:tc>
          <w:tcPr>
            <w:tcW w:w="1246" w:type="dxa"/>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sidRPr="009D1595">
              <w:rPr>
                <w:sz w:val="18"/>
              </w:rPr>
              <w:t>2016</w:t>
            </w:r>
          </w:p>
        </w:tc>
        <w:tc>
          <w:tcPr>
            <w:tcW w:w="1071" w:type="dxa"/>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sidRPr="009D1595">
              <w:rPr>
                <w:sz w:val="18"/>
              </w:rPr>
              <w:t>2017</w:t>
            </w:r>
          </w:p>
        </w:tc>
        <w:tc>
          <w:tcPr>
            <w:tcW w:w="1175" w:type="dxa"/>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sidRPr="009D1595">
              <w:rPr>
                <w:sz w:val="18"/>
              </w:rPr>
              <w:t>2018</w:t>
            </w:r>
          </w:p>
        </w:tc>
        <w:tc>
          <w:tcPr>
            <w:tcW w:w="1071" w:type="dxa"/>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sidRPr="009D1595">
              <w:rPr>
                <w:sz w:val="18"/>
              </w:rPr>
              <w:t>2019</w:t>
            </w:r>
          </w:p>
        </w:tc>
        <w:tc>
          <w:tcPr>
            <w:tcW w:w="1246" w:type="dxa"/>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sidRPr="009D1595">
              <w:rPr>
                <w:sz w:val="18"/>
              </w:rPr>
              <w:t>2020</w:t>
            </w:r>
          </w:p>
        </w:tc>
        <w:tc>
          <w:tcPr>
            <w:tcW w:w="1176" w:type="dxa"/>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sidRPr="009D1595">
              <w:rPr>
                <w:sz w:val="18"/>
              </w:rPr>
              <w:t>2021</w:t>
            </w:r>
          </w:p>
        </w:tc>
      </w:tr>
      <w:tr w:rsidR="00F00F75" w:rsidRPr="009D1595" w:rsidTr="00506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7"/>
            <w:shd w:val="clear" w:color="auto" w:fill="ACB9CA" w:themeFill="text2" w:themeFillTint="66"/>
          </w:tcPr>
          <w:p w:rsidR="00F00F75" w:rsidRPr="009D1595" w:rsidRDefault="00F00F75" w:rsidP="005063CB">
            <w:pPr>
              <w:rPr>
                <w:sz w:val="18"/>
              </w:rPr>
            </w:pPr>
            <w:r w:rsidRPr="009D1595">
              <w:rPr>
                <w:sz w:val="18"/>
              </w:rPr>
              <w:t>TOTAL EXPENDITURES</w:t>
            </w:r>
          </w:p>
        </w:tc>
      </w:tr>
      <w:tr w:rsidR="00F00F75" w:rsidRPr="009D1595" w:rsidTr="005063CB">
        <w:tc>
          <w:tcPr>
            <w:cnfStyle w:val="001000000000" w:firstRow="0" w:lastRow="0" w:firstColumn="1" w:lastColumn="0" w:oddVBand="0" w:evenVBand="0" w:oddHBand="0" w:evenHBand="0" w:firstRowFirstColumn="0" w:firstRowLastColumn="0" w:lastRowFirstColumn="0" w:lastRowLastColumn="0"/>
            <w:tcW w:w="2591" w:type="dxa"/>
          </w:tcPr>
          <w:p w:rsidR="00F00F75" w:rsidRPr="009D1595" w:rsidRDefault="00F00F75" w:rsidP="005063CB">
            <w:pPr>
              <w:rPr>
                <w:b w:val="0"/>
                <w:sz w:val="18"/>
              </w:rPr>
            </w:pPr>
            <w:r w:rsidRPr="009D1595">
              <w:rPr>
                <w:b w:val="0"/>
                <w:sz w:val="18"/>
              </w:rPr>
              <w:t>Million Lei</w:t>
            </w:r>
          </w:p>
        </w:tc>
        <w:tc>
          <w:tcPr>
            <w:tcW w:w="1246" w:type="dxa"/>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Pr>
                <w:sz w:val="18"/>
              </w:rPr>
              <w:t>3,017</w:t>
            </w:r>
          </w:p>
        </w:tc>
        <w:tc>
          <w:tcPr>
            <w:tcW w:w="1071" w:type="dxa"/>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Pr>
                <w:sz w:val="18"/>
              </w:rPr>
              <w:t>3,713</w:t>
            </w:r>
          </w:p>
        </w:tc>
        <w:tc>
          <w:tcPr>
            <w:tcW w:w="1175" w:type="dxa"/>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Pr>
                <w:sz w:val="18"/>
              </w:rPr>
              <w:t>4,002</w:t>
            </w:r>
          </w:p>
        </w:tc>
        <w:tc>
          <w:tcPr>
            <w:tcW w:w="1071" w:type="dxa"/>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Pr>
                <w:sz w:val="18"/>
              </w:rPr>
              <w:t>4,307</w:t>
            </w:r>
          </w:p>
        </w:tc>
        <w:tc>
          <w:tcPr>
            <w:tcW w:w="1246" w:type="dxa"/>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Pr>
                <w:sz w:val="18"/>
              </w:rPr>
              <w:t>5,044</w:t>
            </w:r>
          </w:p>
        </w:tc>
        <w:tc>
          <w:tcPr>
            <w:tcW w:w="1176" w:type="dxa"/>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Pr>
                <w:sz w:val="18"/>
              </w:rPr>
              <w:t>5,186</w:t>
            </w:r>
          </w:p>
        </w:tc>
      </w:tr>
      <w:tr w:rsidR="00F00F75" w:rsidRPr="009D1595" w:rsidTr="00506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dxa"/>
          </w:tcPr>
          <w:p w:rsidR="00F00F75" w:rsidRPr="009D1595" w:rsidRDefault="00F00F75" w:rsidP="005063CB">
            <w:pPr>
              <w:rPr>
                <w:b w:val="0"/>
                <w:sz w:val="18"/>
              </w:rPr>
            </w:pPr>
            <w:r w:rsidRPr="009D1595">
              <w:rPr>
                <w:b w:val="0"/>
                <w:sz w:val="18"/>
              </w:rPr>
              <w:t>% of G.D.P.</w:t>
            </w:r>
          </w:p>
        </w:tc>
        <w:tc>
          <w:tcPr>
            <w:tcW w:w="1246" w:type="dxa"/>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r>
              <w:rPr>
                <w:sz w:val="18"/>
              </w:rPr>
              <w:t>0.40</w:t>
            </w:r>
          </w:p>
        </w:tc>
        <w:tc>
          <w:tcPr>
            <w:tcW w:w="1071" w:type="dxa"/>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r>
              <w:rPr>
                <w:sz w:val="18"/>
              </w:rPr>
              <w:t>0.44</w:t>
            </w:r>
          </w:p>
        </w:tc>
        <w:tc>
          <w:tcPr>
            <w:tcW w:w="1175" w:type="dxa"/>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r>
              <w:rPr>
                <w:sz w:val="18"/>
              </w:rPr>
              <w:t>0.43</w:t>
            </w:r>
          </w:p>
        </w:tc>
        <w:tc>
          <w:tcPr>
            <w:tcW w:w="1071" w:type="dxa"/>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r>
              <w:rPr>
                <w:sz w:val="18"/>
              </w:rPr>
              <w:t>0.44</w:t>
            </w:r>
          </w:p>
        </w:tc>
        <w:tc>
          <w:tcPr>
            <w:tcW w:w="1246" w:type="dxa"/>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r>
              <w:rPr>
                <w:sz w:val="18"/>
              </w:rPr>
              <w:t>0.48</w:t>
            </w:r>
          </w:p>
        </w:tc>
        <w:tc>
          <w:tcPr>
            <w:tcW w:w="1176" w:type="dxa"/>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r>
              <w:rPr>
                <w:sz w:val="18"/>
              </w:rPr>
              <w:t>0.46</w:t>
            </w:r>
          </w:p>
        </w:tc>
      </w:tr>
      <w:tr w:rsidR="00F00F75" w:rsidRPr="009D1595" w:rsidTr="005063CB">
        <w:tc>
          <w:tcPr>
            <w:cnfStyle w:val="001000000000" w:firstRow="0" w:lastRow="0" w:firstColumn="1" w:lastColumn="0" w:oddVBand="0" w:evenVBand="0" w:oddHBand="0" w:evenHBand="0" w:firstRowFirstColumn="0" w:firstRowLastColumn="0" w:lastRowFirstColumn="0" w:lastRowLastColumn="0"/>
            <w:tcW w:w="2591" w:type="dxa"/>
            <w:shd w:val="clear" w:color="auto" w:fill="ACB9CA" w:themeFill="text2" w:themeFillTint="66"/>
          </w:tcPr>
          <w:p w:rsidR="00F00F75" w:rsidRPr="009D1595" w:rsidRDefault="00F00F75" w:rsidP="005063CB">
            <w:pPr>
              <w:rPr>
                <w:sz w:val="18"/>
              </w:rPr>
            </w:pPr>
            <w:r w:rsidRPr="009D1595">
              <w:rPr>
                <w:sz w:val="18"/>
              </w:rPr>
              <w:t>Personnel expenditures</w:t>
            </w:r>
          </w:p>
        </w:tc>
        <w:tc>
          <w:tcPr>
            <w:tcW w:w="1246" w:type="dxa"/>
            <w:shd w:val="clear" w:color="auto" w:fill="ACB9CA" w:themeFill="text2" w:themeFillTint="66"/>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p>
        </w:tc>
        <w:tc>
          <w:tcPr>
            <w:tcW w:w="1071" w:type="dxa"/>
            <w:shd w:val="clear" w:color="auto" w:fill="ACB9CA" w:themeFill="text2" w:themeFillTint="66"/>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p>
        </w:tc>
        <w:tc>
          <w:tcPr>
            <w:tcW w:w="1175" w:type="dxa"/>
            <w:shd w:val="clear" w:color="auto" w:fill="ACB9CA" w:themeFill="text2" w:themeFillTint="66"/>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p>
        </w:tc>
        <w:tc>
          <w:tcPr>
            <w:tcW w:w="1071" w:type="dxa"/>
            <w:shd w:val="clear" w:color="auto" w:fill="ACB9CA" w:themeFill="text2" w:themeFillTint="66"/>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p>
        </w:tc>
        <w:tc>
          <w:tcPr>
            <w:tcW w:w="1246" w:type="dxa"/>
            <w:shd w:val="clear" w:color="auto" w:fill="ACB9CA" w:themeFill="text2" w:themeFillTint="66"/>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p>
        </w:tc>
        <w:tc>
          <w:tcPr>
            <w:tcW w:w="1176" w:type="dxa"/>
            <w:shd w:val="clear" w:color="auto" w:fill="ACB9CA" w:themeFill="text2" w:themeFillTint="66"/>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p>
        </w:tc>
      </w:tr>
      <w:tr w:rsidR="00F00F75" w:rsidRPr="009D1595" w:rsidTr="00506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dxa"/>
          </w:tcPr>
          <w:p w:rsidR="00F00F75" w:rsidRPr="009D1595" w:rsidRDefault="00F00F75" w:rsidP="005063CB">
            <w:pPr>
              <w:rPr>
                <w:b w:val="0"/>
                <w:sz w:val="18"/>
              </w:rPr>
            </w:pPr>
            <w:r w:rsidRPr="009D1595">
              <w:rPr>
                <w:b w:val="0"/>
                <w:sz w:val="18"/>
              </w:rPr>
              <w:t>Million Lei</w:t>
            </w:r>
          </w:p>
        </w:tc>
        <w:tc>
          <w:tcPr>
            <w:tcW w:w="1246" w:type="dxa"/>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r>
              <w:rPr>
                <w:sz w:val="18"/>
              </w:rPr>
              <w:t>1,602</w:t>
            </w:r>
          </w:p>
        </w:tc>
        <w:tc>
          <w:tcPr>
            <w:tcW w:w="1071" w:type="dxa"/>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r>
              <w:rPr>
                <w:sz w:val="18"/>
              </w:rPr>
              <w:t>2,352</w:t>
            </w:r>
          </w:p>
        </w:tc>
        <w:tc>
          <w:tcPr>
            <w:tcW w:w="1175" w:type="dxa"/>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r>
              <w:rPr>
                <w:sz w:val="18"/>
              </w:rPr>
              <w:t>2,479</w:t>
            </w:r>
          </w:p>
        </w:tc>
        <w:tc>
          <w:tcPr>
            <w:tcW w:w="1071" w:type="dxa"/>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r>
              <w:rPr>
                <w:sz w:val="18"/>
              </w:rPr>
              <w:t>2,628</w:t>
            </w:r>
          </w:p>
        </w:tc>
        <w:tc>
          <w:tcPr>
            <w:tcW w:w="1246" w:type="dxa"/>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r>
              <w:rPr>
                <w:sz w:val="18"/>
              </w:rPr>
              <w:t>3,311</w:t>
            </w:r>
          </w:p>
        </w:tc>
        <w:tc>
          <w:tcPr>
            <w:tcW w:w="1176" w:type="dxa"/>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r>
              <w:rPr>
                <w:sz w:val="18"/>
              </w:rPr>
              <w:t>3,439</w:t>
            </w:r>
          </w:p>
        </w:tc>
      </w:tr>
      <w:tr w:rsidR="00F00F75" w:rsidRPr="009D1595" w:rsidTr="005063CB">
        <w:tc>
          <w:tcPr>
            <w:cnfStyle w:val="001000000000" w:firstRow="0" w:lastRow="0" w:firstColumn="1" w:lastColumn="0" w:oddVBand="0" w:evenVBand="0" w:oddHBand="0" w:evenHBand="0" w:firstRowFirstColumn="0" w:firstRowLastColumn="0" w:lastRowFirstColumn="0" w:lastRowLastColumn="0"/>
            <w:tcW w:w="2591" w:type="dxa"/>
          </w:tcPr>
          <w:p w:rsidR="00F00F75" w:rsidRPr="009D1595" w:rsidRDefault="00F00F75" w:rsidP="005063CB">
            <w:pPr>
              <w:rPr>
                <w:b w:val="0"/>
                <w:sz w:val="18"/>
              </w:rPr>
            </w:pPr>
            <w:r w:rsidRPr="009D1595">
              <w:rPr>
                <w:b w:val="0"/>
                <w:sz w:val="18"/>
              </w:rPr>
              <w:t>% of G.D.P.</w:t>
            </w:r>
          </w:p>
        </w:tc>
        <w:tc>
          <w:tcPr>
            <w:tcW w:w="1246" w:type="dxa"/>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Pr>
                <w:sz w:val="18"/>
              </w:rPr>
              <w:t>0.21</w:t>
            </w:r>
          </w:p>
        </w:tc>
        <w:tc>
          <w:tcPr>
            <w:tcW w:w="1071" w:type="dxa"/>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Pr>
                <w:sz w:val="18"/>
              </w:rPr>
              <w:t>0.28</w:t>
            </w:r>
          </w:p>
        </w:tc>
        <w:tc>
          <w:tcPr>
            <w:tcW w:w="1175" w:type="dxa"/>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Pr>
                <w:sz w:val="18"/>
              </w:rPr>
              <w:t>0.26</w:t>
            </w:r>
          </w:p>
        </w:tc>
        <w:tc>
          <w:tcPr>
            <w:tcW w:w="1071" w:type="dxa"/>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Pr>
                <w:sz w:val="18"/>
              </w:rPr>
              <w:t>0.27</w:t>
            </w:r>
          </w:p>
        </w:tc>
        <w:tc>
          <w:tcPr>
            <w:tcW w:w="1246" w:type="dxa"/>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Pr>
                <w:sz w:val="18"/>
              </w:rPr>
              <w:t>0.31</w:t>
            </w:r>
          </w:p>
        </w:tc>
        <w:tc>
          <w:tcPr>
            <w:tcW w:w="1176" w:type="dxa"/>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Pr>
                <w:sz w:val="18"/>
              </w:rPr>
              <w:t>0.31</w:t>
            </w:r>
          </w:p>
        </w:tc>
      </w:tr>
      <w:tr w:rsidR="00F00F75" w:rsidRPr="009D1595" w:rsidTr="00506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dxa"/>
            <w:shd w:val="clear" w:color="auto" w:fill="ACB9CA" w:themeFill="text2" w:themeFillTint="66"/>
          </w:tcPr>
          <w:p w:rsidR="00F00F75" w:rsidRPr="009D1595" w:rsidRDefault="00F00F75" w:rsidP="005063CB">
            <w:pPr>
              <w:rPr>
                <w:sz w:val="18"/>
              </w:rPr>
            </w:pPr>
            <w:r w:rsidRPr="009D1595">
              <w:rPr>
                <w:sz w:val="18"/>
              </w:rPr>
              <w:t>Goods and services</w:t>
            </w:r>
          </w:p>
        </w:tc>
        <w:tc>
          <w:tcPr>
            <w:tcW w:w="1246" w:type="dxa"/>
            <w:shd w:val="clear" w:color="auto" w:fill="ACB9CA" w:themeFill="text2" w:themeFillTint="66"/>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p>
        </w:tc>
        <w:tc>
          <w:tcPr>
            <w:tcW w:w="1071" w:type="dxa"/>
            <w:shd w:val="clear" w:color="auto" w:fill="ACB9CA" w:themeFill="text2" w:themeFillTint="66"/>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p>
        </w:tc>
        <w:tc>
          <w:tcPr>
            <w:tcW w:w="1175" w:type="dxa"/>
            <w:shd w:val="clear" w:color="auto" w:fill="ACB9CA" w:themeFill="text2" w:themeFillTint="66"/>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p>
        </w:tc>
        <w:tc>
          <w:tcPr>
            <w:tcW w:w="1071" w:type="dxa"/>
            <w:shd w:val="clear" w:color="auto" w:fill="ACB9CA" w:themeFill="text2" w:themeFillTint="66"/>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p>
        </w:tc>
        <w:tc>
          <w:tcPr>
            <w:tcW w:w="1246" w:type="dxa"/>
            <w:shd w:val="clear" w:color="auto" w:fill="ACB9CA" w:themeFill="text2" w:themeFillTint="66"/>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p>
        </w:tc>
        <w:tc>
          <w:tcPr>
            <w:tcW w:w="1176" w:type="dxa"/>
            <w:shd w:val="clear" w:color="auto" w:fill="ACB9CA" w:themeFill="text2" w:themeFillTint="66"/>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p>
        </w:tc>
      </w:tr>
      <w:tr w:rsidR="00F00F75" w:rsidRPr="009D1595" w:rsidTr="005063CB">
        <w:tc>
          <w:tcPr>
            <w:cnfStyle w:val="001000000000" w:firstRow="0" w:lastRow="0" w:firstColumn="1" w:lastColumn="0" w:oddVBand="0" w:evenVBand="0" w:oddHBand="0" w:evenHBand="0" w:firstRowFirstColumn="0" w:firstRowLastColumn="0" w:lastRowFirstColumn="0" w:lastRowLastColumn="0"/>
            <w:tcW w:w="2591" w:type="dxa"/>
          </w:tcPr>
          <w:p w:rsidR="00F00F75" w:rsidRPr="009D1595" w:rsidRDefault="00F00F75" w:rsidP="005063CB">
            <w:pPr>
              <w:rPr>
                <w:b w:val="0"/>
                <w:sz w:val="18"/>
              </w:rPr>
            </w:pPr>
            <w:r w:rsidRPr="009D1595">
              <w:rPr>
                <w:b w:val="0"/>
                <w:sz w:val="18"/>
              </w:rPr>
              <w:t>Million Lei</w:t>
            </w:r>
          </w:p>
        </w:tc>
        <w:tc>
          <w:tcPr>
            <w:tcW w:w="1246" w:type="dxa"/>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Pr>
                <w:sz w:val="18"/>
              </w:rPr>
              <w:t>214</w:t>
            </w:r>
          </w:p>
        </w:tc>
        <w:tc>
          <w:tcPr>
            <w:tcW w:w="1071" w:type="dxa"/>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Pr>
                <w:sz w:val="18"/>
              </w:rPr>
              <w:t>208</w:t>
            </w:r>
          </w:p>
        </w:tc>
        <w:tc>
          <w:tcPr>
            <w:tcW w:w="1175" w:type="dxa"/>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Pr>
                <w:sz w:val="18"/>
              </w:rPr>
              <w:t>203</w:t>
            </w:r>
          </w:p>
        </w:tc>
        <w:tc>
          <w:tcPr>
            <w:tcW w:w="1071" w:type="dxa"/>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Pr>
                <w:sz w:val="18"/>
              </w:rPr>
              <w:t>206</w:t>
            </w:r>
          </w:p>
        </w:tc>
        <w:tc>
          <w:tcPr>
            <w:tcW w:w="1246" w:type="dxa"/>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Pr>
                <w:sz w:val="18"/>
              </w:rPr>
              <w:t>209</w:t>
            </w:r>
          </w:p>
        </w:tc>
        <w:tc>
          <w:tcPr>
            <w:tcW w:w="1176" w:type="dxa"/>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Pr>
                <w:sz w:val="18"/>
              </w:rPr>
              <w:t>218</w:t>
            </w:r>
          </w:p>
        </w:tc>
      </w:tr>
      <w:tr w:rsidR="00F00F75" w:rsidRPr="009D1595" w:rsidTr="00506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dxa"/>
          </w:tcPr>
          <w:p w:rsidR="00F00F75" w:rsidRPr="009D1595" w:rsidRDefault="00F00F75" w:rsidP="005063CB">
            <w:pPr>
              <w:rPr>
                <w:b w:val="0"/>
                <w:sz w:val="18"/>
              </w:rPr>
            </w:pPr>
            <w:r w:rsidRPr="009D1595">
              <w:rPr>
                <w:b w:val="0"/>
                <w:sz w:val="18"/>
              </w:rPr>
              <w:t>% of G.D.P.</w:t>
            </w:r>
          </w:p>
        </w:tc>
        <w:tc>
          <w:tcPr>
            <w:tcW w:w="1246" w:type="dxa"/>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r>
              <w:rPr>
                <w:sz w:val="18"/>
              </w:rPr>
              <w:t>0.03</w:t>
            </w:r>
          </w:p>
        </w:tc>
        <w:tc>
          <w:tcPr>
            <w:tcW w:w="1071" w:type="dxa"/>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r>
              <w:rPr>
                <w:sz w:val="18"/>
              </w:rPr>
              <w:t>0.02</w:t>
            </w:r>
          </w:p>
        </w:tc>
        <w:tc>
          <w:tcPr>
            <w:tcW w:w="1175" w:type="dxa"/>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r>
              <w:rPr>
                <w:sz w:val="18"/>
              </w:rPr>
              <w:t>0.02</w:t>
            </w:r>
          </w:p>
        </w:tc>
        <w:tc>
          <w:tcPr>
            <w:tcW w:w="1071" w:type="dxa"/>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r>
              <w:rPr>
                <w:sz w:val="18"/>
              </w:rPr>
              <w:t>0.02</w:t>
            </w:r>
          </w:p>
        </w:tc>
        <w:tc>
          <w:tcPr>
            <w:tcW w:w="1246" w:type="dxa"/>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r>
              <w:rPr>
                <w:sz w:val="18"/>
              </w:rPr>
              <w:t>0.02</w:t>
            </w:r>
          </w:p>
        </w:tc>
        <w:tc>
          <w:tcPr>
            <w:tcW w:w="1176" w:type="dxa"/>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r>
              <w:rPr>
                <w:sz w:val="18"/>
              </w:rPr>
              <w:t>0.02</w:t>
            </w:r>
          </w:p>
        </w:tc>
      </w:tr>
      <w:tr w:rsidR="00F00F75" w:rsidRPr="009D1595" w:rsidTr="005063CB">
        <w:tc>
          <w:tcPr>
            <w:cnfStyle w:val="001000000000" w:firstRow="0" w:lastRow="0" w:firstColumn="1" w:lastColumn="0" w:oddVBand="0" w:evenVBand="0" w:oddHBand="0" w:evenHBand="0" w:firstRowFirstColumn="0" w:firstRowLastColumn="0" w:lastRowFirstColumn="0" w:lastRowLastColumn="0"/>
            <w:tcW w:w="2591" w:type="dxa"/>
            <w:shd w:val="clear" w:color="auto" w:fill="ACB9CA" w:themeFill="text2" w:themeFillTint="66"/>
          </w:tcPr>
          <w:p w:rsidR="00F00F75" w:rsidRPr="009D1595" w:rsidRDefault="00F00F75" w:rsidP="005063CB">
            <w:pPr>
              <w:rPr>
                <w:sz w:val="18"/>
              </w:rPr>
            </w:pPr>
            <w:r w:rsidRPr="009D1595">
              <w:rPr>
                <w:sz w:val="18"/>
              </w:rPr>
              <w:t>Transfers between public administration units</w:t>
            </w:r>
          </w:p>
        </w:tc>
        <w:tc>
          <w:tcPr>
            <w:tcW w:w="1246" w:type="dxa"/>
            <w:shd w:val="clear" w:color="auto" w:fill="ACB9CA" w:themeFill="text2" w:themeFillTint="66"/>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p>
        </w:tc>
        <w:tc>
          <w:tcPr>
            <w:tcW w:w="1071" w:type="dxa"/>
            <w:shd w:val="clear" w:color="auto" w:fill="ACB9CA" w:themeFill="text2" w:themeFillTint="66"/>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p>
        </w:tc>
        <w:tc>
          <w:tcPr>
            <w:tcW w:w="1175" w:type="dxa"/>
            <w:shd w:val="clear" w:color="auto" w:fill="ACB9CA" w:themeFill="text2" w:themeFillTint="66"/>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p>
        </w:tc>
        <w:tc>
          <w:tcPr>
            <w:tcW w:w="1071" w:type="dxa"/>
            <w:shd w:val="clear" w:color="auto" w:fill="ACB9CA" w:themeFill="text2" w:themeFillTint="66"/>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p>
        </w:tc>
        <w:tc>
          <w:tcPr>
            <w:tcW w:w="1246" w:type="dxa"/>
            <w:shd w:val="clear" w:color="auto" w:fill="ACB9CA" w:themeFill="text2" w:themeFillTint="66"/>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p>
        </w:tc>
        <w:tc>
          <w:tcPr>
            <w:tcW w:w="1176" w:type="dxa"/>
            <w:shd w:val="clear" w:color="auto" w:fill="ACB9CA" w:themeFill="text2" w:themeFillTint="66"/>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p>
        </w:tc>
      </w:tr>
      <w:tr w:rsidR="00F00F75" w:rsidRPr="009D1595" w:rsidTr="00506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dxa"/>
          </w:tcPr>
          <w:p w:rsidR="00F00F75" w:rsidRPr="009D1595" w:rsidRDefault="00F00F75" w:rsidP="005063CB">
            <w:pPr>
              <w:rPr>
                <w:b w:val="0"/>
                <w:sz w:val="18"/>
              </w:rPr>
            </w:pPr>
            <w:r w:rsidRPr="009D1595">
              <w:rPr>
                <w:b w:val="0"/>
                <w:sz w:val="18"/>
              </w:rPr>
              <w:t>Million Lei</w:t>
            </w:r>
          </w:p>
        </w:tc>
        <w:tc>
          <w:tcPr>
            <w:tcW w:w="1246" w:type="dxa"/>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r>
              <w:rPr>
                <w:sz w:val="18"/>
              </w:rPr>
              <w:t>1,055</w:t>
            </w:r>
          </w:p>
        </w:tc>
        <w:tc>
          <w:tcPr>
            <w:tcW w:w="1071" w:type="dxa"/>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r>
              <w:rPr>
                <w:sz w:val="18"/>
              </w:rPr>
              <w:t>1,053</w:t>
            </w:r>
          </w:p>
        </w:tc>
        <w:tc>
          <w:tcPr>
            <w:tcW w:w="1175" w:type="dxa"/>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r>
              <w:rPr>
                <w:sz w:val="18"/>
              </w:rPr>
              <w:t>1,226</w:t>
            </w:r>
          </w:p>
        </w:tc>
        <w:tc>
          <w:tcPr>
            <w:tcW w:w="1071" w:type="dxa"/>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r>
              <w:rPr>
                <w:sz w:val="18"/>
              </w:rPr>
              <w:t>1,326</w:t>
            </w:r>
          </w:p>
        </w:tc>
        <w:tc>
          <w:tcPr>
            <w:tcW w:w="1246" w:type="dxa"/>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r>
              <w:rPr>
                <w:sz w:val="18"/>
              </w:rPr>
              <w:t>1,402</w:t>
            </w:r>
          </w:p>
        </w:tc>
        <w:tc>
          <w:tcPr>
            <w:tcW w:w="1176" w:type="dxa"/>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r>
              <w:rPr>
                <w:sz w:val="18"/>
              </w:rPr>
              <w:t>1,465</w:t>
            </w:r>
          </w:p>
        </w:tc>
      </w:tr>
      <w:tr w:rsidR="00F00F75" w:rsidRPr="009D1595" w:rsidTr="005063CB">
        <w:tc>
          <w:tcPr>
            <w:cnfStyle w:val="001000000000" w:firstRow="0" w:lastRow="0" w:firstColumn="1" w:lastColumn="0" w:oddVBand="0" w:evenVBand="0" w:oddHBand="0" w:evenHBand="0" w:firstRowFirstColumn="0" w:firstRowLastColumn="0" w:lastRowFirstColumn="0" w:lastRowLastColumn="0"/>
            <w:tcW w:w="2591" w:type="dxa"/>
          </w:tcPr>
          <w:p w:rsidR="00F00F75" w:rsidRPr="009D1595" w:rsidRDefault="00F00F75" w:rsidP="005063CB">
            <w:pPr>
              <w:rPr>
                <w:b w:val="0"/>
                <w:sz w:val="18"/>
              </w:rPr>
            </w:pPr>
            <w:r w:rsidRPr="009D1595">
              <w:rPr>
                <w:b w:val="0"/>
                <w:sz w:val="18"/>
              </w:rPr>
              <w:t>% of G.D.P.</w:t>
            </w:r>
          </w:p>
        </w:tc>
        <w:tc>
          <w:tcPr>
            <w:tcW w:w="1246" w:type="dxa"/>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Pr>
                <w:sz w:val="18"/>
              </w:rPr>
              <w:t>0.14</w:t>
            </w:r>
          </w:p>
        </w:tc>
        <w:tc>
          <w:tcPr>
            <w:tcW w:w="1071" w:type="dxa"/>
          </w:tcPr>
          <w:p w:rsidR="00F00F75" w:rsidRPr="002F342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sidRPr="002F3425">
              <w:rPr>
                <w:sz w:val="18"/>
              </w:rPr>
              <w:t>0.12</w:t>
            </w:r>
          </w:p>
        </w:tc>
        <w:tc>
          <w:tcPr>
            <w:tcW w:w="1175" w:type="dxa"/>
          </w:tcPr>
          <w:p w:rsidR="00F00F75" w:rsidRPr="002F342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sidRPr="002F3425">
              <w:rPr>
                <w:sz w:val="18"/>
              </w:rPr>
              <w:t>0.13</w:t>
            </w:r>
          </w:p>
        </w:tc>
        <w:tc>
          <w:tcPr>
            <w:tcW w:w="1071" w:type="dxa"/>
          </w:tcPr>
          <w:p w:rsidR="00F00F75" w:rsidRPr="002F342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sidRPr="002F3425">
              <w:rPr>
                <w:sz w:val="18"/>
              </w:rPr>
              <w:t>0.14</w:t>
            </w:r>
          </w:p>
        </w:tc>
        <w:tc>
          <w:tcPr>
            <w:tcW w:w="1246" w:type="dxa"/>
          </w:tcPr>
          <w:p w:rsidR="00F00F75" w:rsidRPr="002F342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sidRPr="002F3425">
              <w:rPr>
                <w:sz w:val="18"/>
              </w:rPr>
              <w:t>0.13</w:t>
            </w:r>
          </w:p>
        </w:tc>
        <w:tc>
          <w:tcPr>
            <w:tcW w:w="1176" w:type="dxa"/>
          </w:tcPr>
          <w:p w:rsidR="00F00F75" w:rsidRPr="002F342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sidRPr="002F3425">
              <w:rPr>
                <w:sz w:val="18"/>
              </w:rPr>
              <w:t>0.13</w:t>
            </w:r>
          </w:p>
        </w:tc>
      </w:tr>
      <w:tr w:rsidR="00F00F75" w:rsidRPr="009D1595" w:rsidTr="00506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dxa"/>
            <w:shd w:val="clear" w:color="auto" w:fill="ACB9CA" w:themeFill="text2" w:themeFillTint="66"/>
          </w:tcPr>
          <w:p w:rsidR="00F00F75" w:rsidRPr="009D1595" w:rsidRDefault="00F00F75" w:rsidP="005063CB">
            <w:pPr>
              <w:rPr>
                <w:sz w:val="18"/>
              </w:rPr>
            </w:pPr>
            <w:r w:rsidRPr="009D1595">
              <w:rPr>
                <w:sz w:val="18"/>
              </w:rPr>
              <w:t>Other transfers</w:t>
            </w:r>
          </w:p>
        </w:tc>
        <w:tc>
          <w:tcPr>
            <w:tcW w:w="1246" w:type="dxa"/>
            <w:shd w:val="clear" w:color="auto" w:fill="ACB9CA" w:themeFill="text2" w:themeFillTint="66"/>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p>
        </w:tc>
        <w:tc>
          <w:tcPr>
            <w:tcW w:w="1071" w:type="dxa"/>
            <w:shd w:val="clear" w:color="auto" w:fill="ACB9CA" w:themeFill="text2" w:themeFillTint="66"/>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p>
        </w:tc>
        <w:tc>
          <w:tcPr>
            <w:tcW w:w="1175" w:type="dxa"/>
            <w:shd w:val="clear" w:color="auto" w:fill="ACB9CA" w:themeFill="text2" w:themeFillTint="66"/>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p>
        </w:tc>
        <w:tc>
          <w:tcPr>
            <w:tcW w:w="1071" w:type="dxa"/>
            <w:shd w:val="clear" w:color="auto" w:fill="ACB9CA" w:themeFill="text2" w:themeFillTint="66"/>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p>
        </w:tc>
        <w:tc>
          <w:tcPr>
            <w:tcW w:w="1246" w:type="dxa"/>
            <w:shd w:val="clear" w:color="auto" w:fill="ACB9CA" w:themeFill="text2" w:themeFillTint="66"/>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p>
        </w:tc>
        <w:tc>
          <w:tcPr>
            <w:tcW w:w="1176" w:type="dxa"/>
            <w:shd w:val="clear" w:color="auto" w:fill="ACB9CA" w:themeFill="text2" w:themeFillTint="66"/>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p>
        </w:tc>
      </w:tr>
      <w:tr w:rsidR="00F00F75" w:rsidRPr="009D1595" w:rsidTr="005063CB">
        <w:tc>
          <w:tcPr>
            <w:cnfStyle w:val="001000000000" w:firstRow="0" w:lastRow="0" w:firstColumn="1" w:lastColumn="0" w:oddVBand="0" w:evenVBand="0" w:oddHBand="0" w:evenHBand="0" w:firstRowFirstColumn="0" w:firstRowLastColumn="0" w:lastRowFirstColumn="0" w:lastRowLastColumn="0"/>
            <w:tcW w:w="2591" w:type="dxa"/>
          </w:tcPr>
          <w:p w:rsidR="00F00F75" w:rsidRPr="009D1595" w:rsidRDefault="00F00F75" w:rsidP="005063CB">
            <w:pPr>
              <w:rPr>
                <w:b w:val="0"/>
                <w:sz w:val="18"/>
              </w:rPr>
            </w:pPr>
            <w:r w:rsidRPr="009D1595">
              <w:rPr>
                <w:b w:val="0"/>
                <w:sz w:val="18"/>
              </w:rPr>
              <w:t>Million Lei</w:t>
            </w:r>
          </w:p>
        </w:tc>
        <w:tc>
          <w:tcPr>
            <w:tcW w:w="1246" w:type="dxa"/>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Pr>
                <w:sz w:val="18"/>
              </w:rPr>
              <w:t>3</w:t>
            </w:r>
          </w:p>
        </w:tc>
        <w:tc>
          <w:tcPr>
            <w:tcW w:w="1071" w:type="dxa"/>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Pr>
                <w:sz w:val="18"/>
              </w:rPr>
              <w:t>3</w:t>
            </w:r>
          </w:p>
        </w:tc>
        <w:tc>
          <w:tcPr>
            <w:tcW w:w="1175" w:type="dxa"/>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Pr>
                <w:sz w:val="18"/>
              </w:rPr>
              <w:t>3</w:t>
            </w:r>
          </w:p>
        </w:tc>
        <w:tc>
          <w:tcPr>
            <w:tcW w:w="1071" w:type="dxa"/>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Pr>
                <w:sz w:val="18"/>
              </w:rPr>
              <w:t>3</w:t>
            </w:r>
          </w:p>
        </w:tc>
        <w:tc>
          <w:tcPr>
            <w:tcW w:w="1246" w:type="dxa"/>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Pr>
                <w:sz w:val="18"/>
              </w:rPr>
              <w:t>3</w:t>
            </w:r>
          </w:p>
        </w:tc>
        <w:tc>
          <w:tcPr>
            <w:tcW w:w="1176" w:type="dxa"/>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Pr>
                <w:sz w:val="18"/>
              </w:rPr>
              <w:t>3</w:t>
            </w:r>
          </w:p>
        </w:tc>
      </w:tr>
      <w:tr w:rsidR="00F00F75" w:rsidRPr="009D1595" w:rsidTr="00506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dxa"/>
          </w:tcPr>
          <w:p w:rsidR="00F00F75" w:rsidRPr="009D1595" w:rsidRDefault="00F00F75" w:rsidP="005063CB">
            <w:pPr>
              <w:rPr>
                <w:b w:val="0"/>
                <w:sz w:val="18"/>
              </w:rPr>
            </w:pPr>
            <w:r w:rsidRPr="009D1595">
              <w:rPr>
                <w:b w:val="0"/>
                <w:sz w:val="18"/>
              </w:rPr>
              <w:t>% of G.D.P.</w:t>
            </w:r>
          </w:p>
        </w:tc>
        <w:tc>
          <w:tcPr>
            <w:tcW w:w="1246" w:type="dxa"/>
          </w:tcPr>
          <w:p w:rsidR="00F00F75" w:rsidRDefault="00F00F75" w:rsidP="005063CB">
            <w:pPr>
              <w:cnfStyle w:val="000000100000" w:firstRow="0" w:lastRow="0" w:firstColumn="0" w:lastColumn="0" w:oddVBand="0" w:evenVBand="0" w:oddHBand="1" w:evenHBand="0" w:firstRowFirstColumn="0" w:firstRowLastColumn="0" w:lastRowFirstColumn="0" w:lastRowLastColumn="0"/>
            </w:pPr>
            <w:r w:rsidRPr="00681AB7">
              <w:rPr>
                <w:sz w:val="18"/>
              </w:rPr>
              <w:t>0.00</w:t>
            </w:r>
          </w:p>
        </w:tc>
        <w:tc>
          <w:tcPr>
            <w:tcW w:w="1071" w:type="dxa"/>
          </w:tcPr>
          <w:p w:rsidR="00F00F75" w:rsidRDefault="00F00F75" w:rsidP="005063CB">
            <w:pPr>
              <w:cnfStyle w:val="000000100000" w:firstRow="0" w:lastRow="0" w:firstColumn="0" w:lastColumn="0" w:oddVBand="0" w:evenVBand="0" w:oddHBand="1" w:evenHBand="0" w:firstRowFirstColumn="0" w:firstRowLastColumn="0" w:lastRowFirstColumn="0" w:lastRowLastColumn="0"/>
            </w:pPr>
            <w:r w:rsidRPr="00681AB7">
              <w:rPr>
                <w:sz w:val="18"/>
              </w:rPr>
              <w:t>0.00</w:t>
            </w:r>
          </w:p>
        </w:tc>
        <w:tc>
          <w:tcPr>
            <w:tcW w:w="1175" w:type="dxa"/>
          </w:tcPr>
          <w:p w:rsidR="00F00F75" w:rsidRDefault="00F00F75" w:rsidP="005063CB">
            <w:pPr>
              <w:cnfStyle w:val="000000100000" w:firstRow="0" w:lastRow="0" w:firstColumn="0" w:lastColumn="0" w:oddVBand="0" w:evenVBand="0" w:oddHBand="1" w:evenHBand="0" w:firstRowFirstColumn="0" w:firstRowLastColumn="0" w:lastRowFirstColumn="0" w:lastRowLastColumn="0"/>
            </w:pPr>
            <w:r w:rsidRPr="00681AB7">
              <w:rPr>
                <w:sz w:val="18"/>
              </w:rPr>
              <w:t>0.00</w:t>
            </w:r>
          </w:p>
        </w:tc>
        <w:tc>
          <w:tcPr>
            <w:tcW w:w="1071" w:type="dxa"/>
          </w:tcPr>
          <w:p w:rsidR="00F00F75" w:rsidRDefault="00F00F75" w:rsidP="005063CB">
            <w:pPr>
              <w:cnfStyle w:val="000000100000" w:firstRow="0" w:lastRow="0" w:firstColumn="0" w:lastColumn="0" w:oddVBand="0" w:evenVBand="0" w:oddHBand="1" w:evenHBand="0" w:firstRowFirstColumn="0" w:firstRowLastColumn="0" w:lastRowFirstColumn="0" w:lastRowLastColumn="0"/>
            </w:pPr>
            <w:r w:rsidRPr="00681AB7">
              <w:rPr>
                <w:sz w:val="18"/>
              </w:rPr>
              <w:t>0.00</w:t>
            </w:r>
          </w:p>
        </w:tc>
        <w:tc>
          <w:tcPr>
            <w:tcW w:w="1246" w:type="dxa"/>
          </w:tcPr>
          <w:p w:rsidR="00F00F75" w:rsidRDefault="00F00F75" w:rsidP="005063CB">
            <w:pPr>
              <w:cnfStyle w:val="000000100000" w:firstRow="0" w:lastRow="0" w:firstColumn="0" w:lastColumn="0" w:oddVBand="0" w:evenVBand="0" w:oddHBand="1" w:evenHBand="0" w:firstRowFirstColumn="0" w:firstRowLastColumn="0" w:lastRowFirstColumn="0" w:lastRowLastColumn="0"/>
            </w:pPr>
            <w:r w:rsidRPr="00681AB7">
              <w:rPr>
                <w:sz w:val="18"/>
              </w:rPr>
              <w:t>0.00</w:t>
            </w:r>
          </w:p>
        </w:tc>
        <w:tc>
          <w:tcPr>
            <w:tcW w:w="1176" w:type="dxa"/>
          </w:tcPr>
          <w:p w:rsidR="00F00F75" w:rsidRDefault="00F00F75" w:rsidP="005063CB">
            <w:pPr>
              <w:cnfStyle w:val="000000100000" w:firstRow="0" w:lastRow="0" w:firstColumn="0" w:lastColumn="0" w:oddVBand="0" w:evenVBand="0" w:oddHBand="1" w:evenHBand="0" w:firstRowFirstColumn="0" w:firstRowLastColumn="0" w:lastRowFirstColumn="0" w:lastRowLastColumn="0"/>
            </w:pPr>
            <w:r w:rsidRPr="00681AB7">
              <w:rPr>
                <w:sz w:val="18"/>
              </w:rPr>
              <w:t>0.00</w:t>
            </w:r>
          </w:p>
        </w:tc>
      </w:tr>
      <w:tr w:rsidR="00F00F75" w:rsidRPr="009D1595" w:rsidTr="005063CB">
        <w:tc>
          <w:tcPr>
            <w:cnfStyle w:val="001000000000" w:firstRow="0" w:lastRow="0" w:firstColumn="1" w:lastColumn="0" w:oddVBand="0" w:evenVBand="0" w:oddHBand="0" w:evenHBand="0" w:firstRowFirstColumn="0" w:firstRowLastColumn="0" w:lastRowFirstColumn="0" w:lastRowLastColumn="0"/>
            <w:tcW w:w="2591" w:type="dxa"/>
            <w:shd w:val="clear" w:color="auto" w:fill="ACB9CA" w:themeFill="text2" w:themeFillTint="66"/>
          </w:tcPr>
          <w:p w:rsidR="00F00F75" w:rsidRPr="009D1595" w:rsidRDefault="00F00F75" w:rsidP="005063CB">
            <w:pPr>
              <w:rPr>
                <w:sz w:val="18"/>
              </w:rPr>
            </w:pPr>
            <w:r w:rsidRPr="009D1595">
              <w:rPr>
                <w:sz w:val="18"/>
              </w:rPr>
              <w:t>Projects with financing from external non-reimbursable funds (ENF)</w:t>
            </w:r>
          </w:p>
        </w:tc>
        <w:tc>
          <w:tcPr>
            <w:tcW w:w="1246" w:type="dxa"/>
            <w:shd w:val="clear" w:color="auto" w:fill="ACB9CA" w:themeFill="text2" w:themeFillTint="66"/>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b/>
                <w:sz w:val="18"/>
              </w:rPr>
            </w:pPr>
          </w:p>
        </w:tc>
        <w:tc>
          <w:tcPr>
            <w:tcW w:w="1071" w:type="dxa"/>
            <w:shd w:val="clear" w:color="auto" w:fill="ACB9CA" w:themeFill="text2" w:themeFillTint="66"/>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b/>
                <w:sz w:val="18"/>
              </w:rPr>
            </w:pPr>
          </w:p>
        </w:tc>
        <w:tc>
          <w:tcPr>
            <w:tcW w:w="1175" w:type="dxa"/>
            <w:shd w:val="clear" w:color="auto" w:fill="ACB9CA" w:themeFill="text2" w:themeFillTint="66"/>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b/>
                <w:sz w:val="18"/>
              </w:rPr>
            </w:pPr>
          </w:p>
        </w:tc>
        <w:tc>
          <w:tcPr>
            <w:tcW w:w="1071" w:type="dxa"/>
            <w:shd w:val="clear" w:color="auto" w:fill="ACB9CA" w:themeFill="text2" w:themeFillTint="66"/>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b/>
                <w:sz w:val="18"/>
              </w:rPr>
            </w:pPr>
          </w:p>
        </w:tc>
        <w:tc>
          <w:tcPr>
            <w:tcW w:w="1246" w:type="dxa"/>
            <w:shd w:val="clear" w:color="auto" w:fill="ACB9CA" w:themeFill="text2" w:themeFillTint="66"/>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b/>
                <w:sz w:val="18"/>
              </w:rPr>
            </w:pPr>
          </w:p>
        </w:tc>
        <w:tc>
          <w:tcPr>
            <w:tcW w:w="1176" w:type="dxa"/>
            <w:shd w:val="clear" w:color="auto" w:fill="ACB9CA" w:themeFill="text2" w:themeFillTint="66"/>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b/>
                <w:sz w:val="18"/>
              </w:rPr>
            </w:pPr>
          </w:p>
        </w:tc>
      </w:tr>
      <w:tr w:rsidR="00F00F75" w:rsidRPr="009D1595" w:rsidTr="00506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dxa"/>
          </w:tcPr>
          <w:p w:rsidR="00F00F75" w:rsidRPr="009D1595" w:rsidRDefault="00F00F75" w:rsidP="005063CB">
            <w:pPr>
              <w:rPr>
                <w:b w:val="0"/>
                <w:sz w:val="18"/>
              </w:rPr>
            </w:pPr>
            <w:r w:rsidRPr="009D1595">
              <w:rPr>
                <w:b w:val="0"/>
                <w:sz w:val="18"/>
              </w:rPr>
              <w:t>Million Lei</w:t>
            </w:r>
          </w:p>
        </w:tc>
        <w:tc>
          <w:tcPr>
            <w:tcW w:w="1246" w:type="dxa"/>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r>
              <w:rPr>
                <w:sz w:val="18"/>
              </w:rPr>
              <w:t>5</w:t>
            </w:r>
          </w:p>
        </w:tc>
        <w:tc>
          <w:tcPr>
            <w:tcW w:w="1071" w:type="dxa"/>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r>
              <w:rPr>
                <w:sz w:val="18"/>
              </w:rPr>
              <w:t>3</w:t>
            </w:r>
          </w:p>
        </w:tc>
        <w:tc>
          <w:tcPr>
            <w:tcW w:w="1175" w:type="dxa"/>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r>
              <w:rPr>
                <w:sz w:val="18"/>
              </w:rPr>
              <w:t>0</w:t>
            </w:r>
          </w:p>
        </w:tc>
        <w:tc>
          <w:tcPr>
            <w:tcW w:w="1071" w:type="dxa"/>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r>
              <w:rPr>
                <w:sz w:val="18"/>
              </w:rPr>
              <w:t>4</w:t>
            </w:r>
          </w:p>
        </w:tc>
        <w:tc>
          <w:tcPr>
            <w:tcW w:w="1246" w:type="dxa"/>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r>
              <w:rPr>
                <w:sz w:val="18"/>
              </w:rPr>
              <w:t>1</w:t>
            </w:r>
          </w:p>
        </w:tc>
        <w:tc>
          <w:tcPr>
            <w:tcW w:w="1176" w:type="dxa"/>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p>
        </w:tc>
      </w:tr>
      <w:tr w:rsidR="00F00F75" w:rsidRPr="009D1595" w:rsidTr="005063CB">
        <w:tc>
          <w:tcPr>
            <w:cnfStyle w:val="001000000000" w:firstRow="0" w:lastRow="0" w:firstColumn="1" w:lastColumn="0" w:oddVBand="0" w:evenVBand="0" w:oddHBand="0" w:evenHBand="0" w:firstRowFirstColumn="0" w:firstRowLastColumn="0" w:lastRowFirstColumn="0" w:lastRowLastColumn="0"/>
            <w:tcW w:w="2591" w:type="dxa"/>
          </w:tcPr>
          <w:p w:rsidR="00F00F75" w:rsidRPr="009D1595" w:rsidRDefault="00F00F75" w:rsidP="005063CB">
            <w:pPr>
              <w:rPr>
                <w:b w:val="0"/>
                <w:sz w:val="18"/>
              </w:rPr>
            </w:pPr>
            <w:r w:rsidRPr="009D1595">
              <w:rPr>
                <w:b w:val="0"/>
                <w:sz w:val="18"/>
              </w:rPr>
              <w:t>% of G.D.P.</w:t>
            </w:r>
          </w:p>
        </w:tc>
        <w:tc>
          <w:tcPr>
            <w:tcW w:w="1246" w:type="dxa"/>
          </w:tcPr>
          <w:p w:rsidR="00F00F75" w:rsidRDefault="00F00F75" w:rsidP="005063CB">
            <w:pPr>
              <w:cnfStyle w:val="000000000000" w:firstRow="0" w:lastRow="0" w:firstColumn="0" w:lastColumn="0" w:oddVBand="0" w:evenVBand="0" w:oddHBand="0" w:evenHBand="0" w:firstRowFirstColumn="0" w:firstRowLastColumn="0" w:lastRowFirstColumn="0" w:lastRowLastColumn="0"/>
            </w:pPr>
            <w:r w:rsidRPr="009C518F">
              <w:rPr>
                <w:sz w:val="18"/>
              </w:rPr>
              <w:t>0.00</w:t>
            </w:r>
          </w:p>
        </w:tc>
        <w:tc>
          <w:tcPr>
            <w:tcW w:w="1071" w:type="dxa"/>
          </w:tcPr>
          <w:p w:rsidR="00F00F75" w:rsidRDefault="00F00F75" w:rsidP="005063CB">
            <w:pPr>
              <w:cnfStyle w:val="000000000000" w:firstRow="0" w:lastRow="0" w:firstColumn="0" w:lastColumn="0" w:oddVBand="0" w:evenVBand="0" w:oddHBand="0" w:evenHBand="0" w:firstRowFirstColumn="0" w:firstRowLastColumn="0" w:lastRowFirstColumn="0" w:lastRowLastColumn="0"/>
            </w:pPr>
            <w:r w:rsidRPr="009C518F">
              <w:rPr>
                <w:sz w:val="18"/>
              </w:rPr>
              <w:t>0.00</w:t>
            </w:r>
          </w:p>
        </w:tc>
        <w:tc>
          <w:tcPr>
            <w:tcW w:w="1175" w:type="dxa"/>
          </w:tcPr>
          <w:p w:rsidR="00F00F75" w:rsidRDefault="00F00F75" w:rsidP="005063CB">
            <w:pPr>
              <w:cnfStyle w:val="000000000000" w:firstRow="0" w:lastRow="0" w:firstColumn="0" w:lastColumn="0" w:oddVBand="0" w:evenVBand="0" w:oddHBand="0" w:evenHBand="0" w:firstRowFirstColumn="0" w:firstRowLastColumn="0" w:lastRowFirstColumn="0" w:lastRowLastColumn="0"/>
            </w:pPr>
            <w:r w:rsidRPr="009C518F">
              <w:rPr>
                <w:sz w:val="18"/>
              </w:rPr>
              <w:t>0.00</w:t>
            </w:r>
          </w:p>
        </w:tc>
        <w:tc>
          <w:tcPr>
            <w:tcW w:w="1071" w:type="dxa"/>
          </w:tcPr>
          <w:p w:rsidR="00F00F75" w:rsidRDefault="00F00F75" w:rsidP="005063CB">
            <w:pPr>
              <w:cnfStyle w:val="000000000000" w:firstRow="0" w:lastRow="0" w:firstColumn="0" w:lastColumn="0" w:oddVBand="0" w:evenVBand="0" w:oddHBand="0" w:evenHBand="0" w:firstRowFirstColumn="0" w:firstRowLastColumn="0" w:lastRowFirstColumn="0" w:lastRowLastColumn="0"/>
            </w:pPr>
            <w:r w:rsidRPr="009C518F">
              <w:rPr>
                <w:sz w:val="18"/>
              </w:rPr>
              <w:t>0.00</w:t>
            </w:r>
          </w:p>
        </w:tc>
        <w:tc>
          <w:tcPr>
            <w:tcW w:w="1246" w:type="dxa"/>
          </w:tcPr>
          <w:p w:rsidR="00F00F75" w:rsidRDefault="00F00F75" w:rsidP="005063CB">
            <w:pPr>
              <w:cnfStyle w:val="000000000000" w:firstRow="0" w:lastRow="0" w:firstColumn="0" w:lastColumn="0" w:oddVBand="0" w:evenVBand="0" w:oddHBand="0" w:evenHBand="0" w:firstRowFirstColumn="0" w:firstRowLastColumn="0" w:lastRowFirstColumn="0" w:lastRowLastColumn="0"/>
            </w:pPr>
            <w:r w:rsidRPr="009C518F">
              <w:rPr>
                <w:sz w:val="18"/>
              </w:rPr>
              <w:t>0.00</w:t>
            </w:r>
          </w:p>
        </w:tc>
        <w:tc>
          <w:tcPr>
            <w:tcW w:w="1176" w:type="dxa"/>
          </w:tcPr>
          <w:p w:rsidR="00F00F75" w:rsidRDefault="00F00F75" w:rsidP="005063CB">
            <w:pPr>
              <w:cnfStyle w:val="000000000000" w:firstRow="0" w:lastRow="0" w:firstColumn="0" w:lastColumn="0" w:oddVBand="0" w:evenVBand="0" w:oddHBand="0" w:evenHBand="0" w:firstRowFirstColumn="0" w:firstRowLastColumn="0" w:lastRowFirstColumn="0" w:lastRowLastColumn="0"/>
            </w:pPr>
            <w:r w:rsidRPr="009C518F">
              <w:rPr>
                <w:sz w:val="18"/>
              </w:rPr>
              <w:t>0.00</w:t>
            </w:r>
          </w:p>
        </w:tc>
      </w:tr>
      <w:tr w:rsidR="00F00F75" w:rsidRPr="009D1595" w:rsidTr="00506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dxa"/>
            <w:shd w:val="clear" w:color="auto" w:fill="ACB9CA" w:themeFill="text2" w:themeFillTint="66"/>
          </w:tcPr>
          <w:p w:rsidR="00F00F75" w:rsidRPr="009D1595" w:rsidRDefault="00F00F75" w:rsidP="005063CB">
            <w:pPr>
              <w:rPr>
                <w:sz w:val="18"/>
              </w:rPr>
            </w:pPr>
            <w:r w:rsidRPr="009D1595">
              <w:rPr>
                <w:sz w:val="18"/>
              </w:rPr>
              <w:t>Projects with financing from external non-reimbursable funds corresponding to the financial framework 2014-2020</w:t>
            </w:r>
          </w:p>
        </w:tc>
        <w:tc>
          <w:tcPr>
            <w:tcW w:w="1246" w:type="dxa"/>
            <w:shd w:val="clear" w:color="auto" w:fill="ACB9CA" w:themeFill="text2" w:themeFillTint="66"/>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p>
        </w:tc>
        <w:tc>
          <w:tcPr>
            <w:tcW w:w="1071" w:type="dxa"/>
            <w:shd w:val="clear" w:color="auto" w:fill="ACB9CA" w:themeFill="text2" w:themeFillTint="66"/>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p>
        </w:tc>
        <w:tc>
          <w:tcPr>
            <w:tcW w:w="1175" w:type="dxa"/>
            <w:shd w:val="clear" w:color="auto" w:fill="ACB9CA" w:themeFill="text2" w:themeFillTint="66"/>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p>
        </w:tc>
        <w:tc>
          <w:tcPr>
            <w:tcW w:w="1071" w:type="dxa"/>
            <w:shd w:val="clear" w:color="auto" w:fill="ACB9CA" w:themeFill="text2" w:themeFillTint="66"/>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p>
        </w:tc>
        <w:tc>
          <w:tcPr>
            <w:tcW w:w="1246" w:type="dxa"/>
            <w:shd w:val="clear" w:color="auto" w:fill="ACB9CA" w:themeFill="text2" w:themeFillTint="66"/>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p>
        </w:tc>
        <w:tc>
          <w:tcPr>
            <w:tcW w:w="1176" w:type="dxa"/>
            <w:shd w:val="clear" w:color="auto" w:fill="ACB9CA" w:themeFill="text2" w:themeFillTint="66"/>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p>
        </w:tc>
      </w:tr>
      <w:tr w:rsidR="00F00F75" w:rsidRPr="009D1595" w:rsidTr="005063CB">
        <w:tc>
          <w:tcPr>
            <w:cnfStyle w:val="001000000000" w:firstRow="0" w:lastRow="0" w:firstColumn="1" w:lastColumn="0" w:oddVBand="0" w:evenVBand="0" w:oddHBand="0" w:evenHBand="0" w:firstRowFirstColumn="0" w:firstRowLastColumn="0" w:lastRowFirstColumn="0" w:lastRowLastColumn="0"/>
            <w:tcW w:w="2591" w:type="dxa"/>
          </w:tcPr>
          <w:p w:rsidR="00F00F75" w:rsidRPr="009D1595" w:rsidRDefault="00F00F75" w:rsidP="005063CB">
            <w:pPr>
              <w:rPr>
                <w:b w:val="0"/>
                <w:sz w:val="18"/>
              </w:rPr>
            </w:pPr>
            <w:r w:rsidRPr="009D1595">
              <w:rPr>
                <w:b w:val="0"/>
                <w:sz w:val="18"/>
              </w:rPr>
              <w:t>Million Lei</w:t>
            </w:r>
          </w:p>
        </w:tc>
        <w:tc>
          <w:tcPr>
            <w:tcW w:w="1246" w:type="dxa"/>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Pr>
                <w:sz w:val="18"/>
              </w:rPr>
              <w:t>0</w:t>
            </w:r>
          </w:p>
        </w:tc>
        <w:tc>
          <w:tcPr>
            <w:tcW w:w="1071" w:type="dxa"/>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Pr>
                <w:sz w:val="18"/>
              </w:rPr>
              <w:t>1</w:t>
            </w:r>
          </w:p>
        </w:tc>
        <w:tc>
          <w:tcPr>
            <w:tcW w:w="1175" w:type="dxa"/>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Pr>
                <w:sz w:val="18"/>
              </w:rPr>
              <w:t>4</w:t>
            </w:r>
          </w:p>
        </w:tc>
        <w:tc>
          <w:tcPr>
            <w:tcW w:w="1071" w:type="dxa"/>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Pr>
                <w:sz w:val="18"/>
              </w:rPr>
              <w:t>18</w:t>
            </w:r>
          </w:p>
        </w:tc>
        <w:tc>
          <w:tcPr>
            <w:tcW w:w="1246" w:type="dxa"/>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Pr>
                <w:sz w:val="18"/>
              </w:rPr>
              <w:t>14</w:t>
            </w:r>
          </w:p>
        </w:tc>
        <w:tc>
          <w:tcPr>
            <w:tcW w:w="1176" w:type="dxa"/>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Pr>
                <w:sz w:val="18"/>
              </w:rPr>
              <w:t>6</w:t>
            </w:r>
          </w:p>
        </w:tc>
      </w:tr>
      <w:tr w:rsidR="00F00F75" w:rsidRPr="009D1595" w:rsidTr="00506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dxa"/>
          </w:tcPr>
          <w:p w:rsidR="00F00F75" w:rsidRPr="009D1595" w:rsidRDefault="00F00F75" w:rsidP="005063CB">
            <w:pPr>
              <w:rPr>
                <w:b w:val="0"/>
                <w:sz w:val="18"/>
              </w:rPr>
            </w:pPr>
            <w:r w:rsidRPr="009D1595">
              <w:rPr>
                <w:b w:val="0"/>
                <w:sz w:val="18"/>
              </w:rPr>
              <w:t>% of G.D.P.</w:t>
            </w:r>
          </w:p>
        </w:tc>
        <w:tc>
          <w:tcPr>
            <w:tcW w:w="1246" w:type="dxa"/>
          </w:tcPr>
          <w:p w:rsidR="00F00F75" w:rsidRDefault="00F00F75" w:rsidP="005063CB">
            <w:pPr>
              <w:cnfStyle w:val="000000100000" w:firstRow="0" w:lastRow="0" w:firstColumn="0" w:lastColumn="0" w:oddVBand="0" w:evenVBand="0" w:oddHBand="1" w:evenHBand="0" w:firstRowFirstColumn="0" w:firstRowLastColumn="0" w:lastRowFirstColumn="0" w:lastRowLastColumn="0"/>
            </w:pPr>
            <w:r w:rsidRPr="00EE1482">
              <w:rPr>
                <w:sz w:val="18"/>
              </w:rPr>
              <w:t>0.00</w:t>
            </w:r>
          </w:p>
        </w:tc>
        <w:tc>
          <w:tcPr>
            <w:tcW w:w="1071" w:type="dxa"/>
          </w:tcPr>
          <w:p w:rsidR="00F00F75" w:rsidRDefault="00F00F75" w:rsidP="005063CB">
            <w:pPr>
              <w:cnfStyle w:val="000000100000" w:firstRow="0" w:lastRow="0" w:firstColumn="0" w:lastColumn="0" w:oddVBand="0" w:evenVBand="0" w:oddHBand="1" w:evenHBand="0" w:firstRowFirstColumn="0" w:firstRowLastColumn="0" w:lastRowFirstColumn="0" w:lastRowLastColumn="0"/>
            </w:pPr>
            <w:r w:rsidRPr="00EE1482">
              <w:rPr>
                <w:sz w:val="18"/>
              </w:rPr>
              <w:t>0.00</w:t>
            </w:r>
          </w:p>
        </w:tc>
        <w:tc>
          <w:tcPr>
            <w:tcW w:w="1175" w:type="dxa"/>
          </w:tcPr>
          <w:p w:rsidR="00F00F75" w:rsidRDefault="00F00F75" w:rsidP="005063CB">
            <w:pPr>
              <w:cnfStyle w:val="000000100000" w:firstRow="0" w:lastRow="0" w:firstColumn="0" w:lastColumn="0" w:oddVBand="0" w:evenVBand="0" w:oddHBand="1" w:evenHBand="0" w:firstRowFirstColumn="0" w:firstRowLastColumn="0" w:lastRowFirstColumn="0" w:lastRowLastColumn="0"/>
            </w:pPr>
            <w:r w:rsidRPr="00EE1482">
              <w:rPr>
                <w:sz w:val="18"/>
              </w:rPr>
              <w:t>0.00</w:t>
            </w:r>
          </w:p>
        </w:tc>
        <w:tc>
          <w:tcPr>
            <w:tcW w:w="1071" w:type="dxa"/>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246" w:type="dxa"/>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c>
          <w:tcPr>
            <w:tcW w:w="1176" w:type="dxa"/>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r>
              <w:rPr>
                <w:sz w:val="18"/>
              </w:rPr>
              <w:t>0.00</w:t>
            </w:r>
          </w:p>
        </w:tc>
      </w:tr>
      <w:tr w:rsidR="00F00F75" w:rsidRPr="009D1595" w:rsidTr="005063CB">
        <w:tc>
          <w:tcPr>
            <w:cnfStyle w:val="001000000000" w:firstRow="0" w:lastRow="0" w:firstColumn="1" w:lastColumn="0" w:oddVBand="0" w:evenVBand="0" w:oddHBand="0" w:evenHBand="0" w:firstRowFirstColumn="0" w:firstRowLastColumn="0" w:lastRowFirstColumn="0" w:lastRowLastColumn="0"/>
            <w:tcW w:w="2591" w:type="dxa"/>
            <w:shd w:val="clear" w:color="auto" w:fill="ACB9CA" w:themeFill="text2" w:themeFillTint="66"/>
          </w:tcPr>
          <w:p w:rsidR="00F00F75" w:rsidRPr="009D1595" w:rsidRDefault="00F00F75" w:rsidP="005063CB">
            <w:pPr>
              <w:rPr>
                <w:sz w:val="18"/>
              </w:rPr>
            </w:pPr>
            <w:r w:rsidRPr="009D1595">
              <w:rPr>
                <w:sz w:val="18"/>
              </w:rPr>
              <w:t>Other expenditures</w:t>
            </w:r>
          </w:p>
        </w:tc>
        <w:tc>
          <w:tcPr>
            <w:tcW w:w="1246" w:type="dxa"/>
            <w:shd w:val="clear" w:color="auto" w:fill="ACB9CA" w:themeFill="text2" w:themeFillTint="66"/>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p>
        </w:tc>
        <w:tc>
          <w:tcPr>
            <w:tcW w:w="1071" w:type="dxa"/>
            <w:shd w:val="clear" w:color="auto" w:fill="ACB9CA" w:themeFill="text2" w:themeFillTint="66"/>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p>
        </w:tc>
        <w:tc>
          <w:tcPr>
            <w:tcW w:w="1175" w:type="dxa"/>
            <w:shd w:val="clear" w:color="auto" w:fill="ACB9CA" w:themeFill="text2" w:themeFillTint="66"/>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p>
        </w:tc>
        <w:tc>
          <w:tcPr>
            <w:tcW w:w="1071" w:type="dxa"/>
            <w:shd w:val="clear" w:color="auto" w:fill="ACB9CA" w:themeFill="text2" w:themeFillTint="66"/>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p>
        </w:tc>
        <w:tc>
          <w:tcPr>
            <w:tcW w:w="1246" w:type="dxa"/>
            <w:shd w:val="clear" w:color="auto" w:fill="ACB9CA" w:themeFill="text2" w:themeFillTint="66"/>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p>
        </w:tc>
        <w:tc>
          <w:tcPr>
            <w:tcW w:w="1176" w:type="dxa"/>
            <w:shd w:val="clear" w:color="auto" w:fill="ACB9CA" w:themeFill="text2" w:themeFillTint="66"/>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p>
        </w:tc>
      </w:tr>
      <w:tr w:rsidR="00F00F75" w:rsidRPr="009D1595" w:rsidTr="00506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dxa"/>
          </w:tcPr>
          <w:p w:rsidR="00F00F75" w:rsidRPr="009D1595" w:rsidRDefault="00F00F75" w:rsidP="005063CB">
            <w:pPr>
              <w:rPr>
                <w:b w:val="0"/>
                <w:sz w:val="18"/>
              </w:rPr>
            </w:pPr>
            <w:r w:rsidRPr="009D1595">
              <w:rPr>
                <w:b w:val="0"/>
                <w:sz w:val="18"/>
              </w:rPr>
              <w:t>Million Lei</w:t>
            </w:r>
          </w:p>
        </w:tc>
        <w:tc>
          <w:tcPr>
            <w:tcW w:w="1246" w:type="dxa"/>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r>
              <w:rPr>
                <w:sz w:val="18"/>
              </w:rPr>
              <w:t>58</w:t>
            </w:r>
          </w:p>
        </w:tc>
        <w:tc>
          <w:tcPr>
            <w:tcW w:w="1071" w:type="dxa"/>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r>
              <w:rPr>
                <w:sz w:val="18"/>
              </w:rPr>
              <w:t>60</w:t>
            </w:r>
          </w:p>
        </w:tc>
        <w:tc>
          <w:tcPr>
            <w:tcW w:w="1175" w:type="dxa"/>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r>
              <w:rPr>
                <w:sz w:val="18"/>
              </w:rPr>
              <w:t>73</w:t>
            </w:r>
          </w:p>
        </w:tc>
        <w:tc>
          <w:tcPr>
            <w:tcW w:w="1071" w:type="dxa"/>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r>
              <w:rPr>
                <w:sz w:val="18"/>
              </w:rPr>
              <w:t>100</w:t>
            </w:r>
          </w:p>
        </w:tc>
        <w:tc>
          <w:tcPr>
            <w:tcW w:w="1246" w:type="dxa"/>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r>
              <w:rPr>
                <w:sz w:val="18"/>
              </w:rPr>
              <w:t>76</w:t>
            </w:r>
          </w:p>
        </w:tc>
        <w:tc>
          <w:tcPr>
            <w:tcW w:w="1176" w:type="dxa"/>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r>
              <w:rPr>
                <w:sz w:val="18"/>
              </w:rPr>
              <w:t>20</w:t>
            </w:r>
          </w:p>
        </w:tc>
      </w:tr>
      <w:tr w:rsidR="00F00F75" w:rsidRPr="009D1595" w:rsidTr="005063CB">
        <w:tc>
          <w:tcPr>
            <w:cnfStyle w:val="001000000000" w:firstRow="0" w:lastRow="0" w:firstColumn="1" w:lastColumn="0" w:oddVBand="0" w:evenVBand="0" w:oddHBand="0" w:evenHBand="0" w:firstRowFirstColumn="0" w:firstRowLastColumn="0" w:lastRowFirstColumn="0" w:lastRowLastColumn="0"/>
            <w:tcW w:w="2591" w:type="dxa"/>
          </w:tcPr>
          <w:p w:rsidR="00F00F75" w:rsidRPr="009D1595" w:rsidRDefault="00F00F75" w:rsidP="005063CB">
            <w:pPr>
              <w:rPr>
                <w:b w:val="0"/>
                <w:sz w:val="18"/>
              </w:rPr>
            </w:pPr>
            <w:r w:rsidRPr="009D1595">
              <w:rPr>
                <w:b w:val="0"/>
                <w:sz w:val="18"/>
              </w:rPr>
              <w:t>% of G.D.P.</w:t>
            </w:r>
          </w:p>
        </w:tc>
        <w:tc>
          <w:tcPr>
            <w:tcW w:w="1246" w:type="dxa"/>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Pr>
                <w:sz w:val="18"/>
              </w:rPr>
              <w:t>0.01</w:t>
            </w:r>
          </w:p>
        </w:tc>
        <w:tc>
          <w:tcPr>
            <w:tcW w:w="1071" w:type="dxa"/>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Pr>
                <w:sz w:val="18"/>
              </w:rPr>
              <w:t>0.01</w:t>
            </w:r>
          </w:p>
        </w:tc>
        <w:tc>
          <w:tcPr>
            <w:tcW w:w="1175" w:type="dxa"/>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Pr>
                <w:sz w:val="18"/>
              </w:rPr>
              <w:t>0.01</w:t>
            </w:r>
          </w:p>
        </w:tc>
        <w:tc>
          <w:tcPr>
            <w:tcW w:w="1071" w:type="dxa"/>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Pr>
                <w:sz w:val="18"/>
              </w:rPr>
              <w:t>0.01</w:t>
            </w:r>
          </w:p>
        </w:tc>
        <w:tc>
          <w:tcPr>
            <w:tcW w:w="1246" w:type="dxa"/>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Pr>
                <w:sz w:val="18"/>
              </w:rPr>
              <w:t>0.01</w:t>
            </w:r>
          </w:p>
        </w:tc>
        <w:tc>
          <w:tcPr>
            <w:tcW w:w="1176" w:type="dxa"/>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r>
      <w:tr w:rsidR="00F00F75" w:rsidRPr="009D1595" w:rsidTr="00506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dxa"/>
            <w:shd w:val="clear" w:color="auto" w:fill="ACB9CA" w:themeFill="text2" w:themeFillTint="66"/>
          </w:tcPr>
          <w:p w:rsidR="00F00F75" w:rsidRPr="009D1595" w:rsidRDefault="00F00F75" w:rsidP="005063CB">
            <w:pPr>
              <w:rPr>
                <w:sz w:val="18"/>
              </w:rPr>
            </w:pPr>
            <w:r w:rsidRPr="009D1595">
              <w:rPr>
                <w:sz w:val="18"/>
              </w:rPr>
              <w:t>Expenditures corresponding to programs with reimbursable financing</w:t>
            </w:r>
          </w:p>
        </w:tc>
        <w:tc>
          <w:tcPr>
            <w:tcW w:w="1246" w:type="dxa"/>
            <w:shd w:val="clear" w:color="auto" w:fill="ACB9CA" w:themeFill="text2" w:themeFillTint="66"/>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p>
        </w:tc>
        <w:tc>
          <w:tcPr>
            <w:tcW w:w="1071" w:type="dxa"/>
            <w:shd w:val="clear" w:color="auto" w:fill="ACB9CA" w:themeFill="text2" w:themeFillTint="66"/>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p>
        </w:tc>
        <w:tc>
          <w:tcPr>
            <w:tcW w:w="1175" w:type="dxa"/>
            <w:shd w:val="clear" w:color="auto" w:fill="ACB9CA" w:themeFill="text2" w:themeFillTint="66"/>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p>
        </w:tc>
        <w:tc>
          <w:tcPr>
            <w:tcW w:w="1071" w:type="dxa"/>
            <w:shd w:val="clear" w:color="auto" w:fill="ACB9CA" w:themeFill="text2" w:themeFillTint="66"/>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p>
        </w:tc>
        <w:tc>
          <w:tcPr>
            <w:tcW w:w="1246" w:type="dxa"/>
            <w:shd w:val="clear" w:color="auto" w:fill="ACB9CA" w:themeFill="text2" w:themeFillTint="66"/>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p>
        </w:tc>
        <w:tc>
          <w:tcPr>
            <w:tcW w:w="1176" w:type="dxa"/>
            <w:shd w:val="clear" w:color="auto" w:fill="ACB9CA" w:themeFill="text2" w:themeFillTint="66"/>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p>
        </w:tc>
      </w:tr>
      <w:tr w:rsidR="00F00F75" w:rsidRPr="009D1595" w:rsidTr="005063CB">
        <w:tc>
          <w:tcPr>
            <w:cnfStyle w:val="001000000000" w:firstRow="0" w:lastRow="0" w:firstColumn="1" w:lastColumn="0" w:oddVBand="0" w:evenVBand="0" w:oddHBand="0" w:evenHBand="0" w:firstRowFirstColumn="0" w:firstRowLastColumn="0" w:lastRowFirstColumn="0" w:lastRowLastColumn="0"/>
            <w:tcW w:w="2591" w:type="dxa"/>
          </w:tcPr>
          <w:p w:rsidR="00F00F75" w:rsidRPr="009D1595" w:rsidRDefault="00F00F75" w:rsidP="005063CB">
            <w:pPr>
              <w:rPr>
                <w:b w:val="0"/>
                <w:sz w:val="18"/>
              </w:rPr>
            </w:pPr>
            <w:r w:rsidRPr="009D1595">
              <w:rPr>
                <w:b w:val="0"/>
                <w:sz w:val="18"/>
              </w:rPr>
              <w:t>Million Lei</w:t>
            </w:r>
          </w:p>
        </w:tc>
        <w:tc>
          <w:tcPr>
            <w:tcW w:w="1246" w:type="dxa"/>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Pr>
                <w:sz w:val="18"/>
              </w:rPr>
              <w:t>40</w:t>
            </w:r>
          </w:p>
        </w:tc>
        <w:tc>
          <w:tcPr>
            <w:tcW w:w="1071" w:type="dxa"/>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Pr>
                <w:sz w:val="18"/>
              </w:rPr>
              <w:t>15</w:t>
            </w:r>
          </w:p>
        </w:tc>
        <w:tc>
          <w:tcPr>
            <w:tcW w:w="1175" w:type="dxa"/>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Pr>
                <w:sz w:val="18"/>
              </w:rPr>
              <w:t>14</w:t>
            </w:r>
          </w:p>
        </w:tc>
        <w:tc>
          <w:tcPr>
            <w:tcW w:w="1071" w:type="dxa"/>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Pr>
                <w:sz w:val="18"/>
              </w:rPr>
              <w:t>15</w:t>
            </w:r>
          </w:p>
        </w:tc>
        <w:tc>
          <w:tcPr>
            <w:tcW w:w="1246" w:type="dxa"/>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Pr>
                <w:sz w:val="18"/>
              </w:rPr>
              <w:t>21</w:t>
            </w:r>
          </w:p>
        </w:tc>
        <w:tc>
          <w:tcPr>
            <w:tcW w:w="1176" w:type="dxa"/>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Pr>
                <w:sz w:val="18"/>
              </w:rPr>
              <w:t>27</w:t>
            </w:r>
          </w:p>
        </w:tc>
      </w:tr>
      <w:tr w:rsidR="00F00F75" w:rsidRPr="009D1595" w:rsidTr="00506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dxa"/>
          </w:tcPr>
          <w:p w:rsidR="00F00F75" w:rsidRPr="009D1595" w:rsidRDefault="00F00F75" w:rsidP="005063CB">
            <w:pPr>
              <w:rPr>
                <w:b w:val="0"/>
                <w:sz w:val="18"/>
              </w:rPr>
            </w:pPr>
            <w:r w:rsidRPr="009D1595">
              <w:rPr>
                <w:b w:val="0"/>
                <w:sz w:val="18"/>
              </w:rPr>
              <w:t>% of G.D.P.</w:t>
            </w:r>
          </w:p>
        </w:tc>
        <w:tc>
          <w:tcPr>
            <w:tcW w:w="1246" w:type="dxa"/>
          </w:tcPr>
          <w:p w:rsidR="00F00F75" w:rsidRDefault="00F00F75" w:rsidP="005063CB">
            <w:pPr>
              <w:cnfStyle w:val="000000100000" w:firstRow="0" w:lastRow="0" w:firstColumn="0" w:lastColumn="0" w:oddVBand="0" w:evenVBand="0" w:oddHBand="1" w:evenHBand="0" w:firstRowFirstColumn="0" w:firstRowLastColumn="0" w:lastRowFirstColumn="0" w:lastRowLastColumn="0"/>
            </w:pPr>
            <w:r>
              <w:rPr>
                <w:sz w:val="18"/>
              </w:rPr>
              <w:t>0.01</w:t>
            </w:r>
          </w:p>
        </w:tc>
        <w:tc>
          <w:tcPr>
            <w:tcW w:w="1071" w:type="dxa"/>
          </w:tcPr>
          <w:p w:rsidR="00F00F75" w:rsidRDefault="00F00F75" w:rsidP="005063CB">
            <w:pPr>
              <w:cnfStyle w:val="000000100000" w:firstRow="0" w:lastRow="0" w:firstColumn="0" w:lastColumn="0" w:oddVBand="0" w:evenVBand="0" w:oddHBand="1" w:evenHBand="0" w:firstRowFirstColumn="0" w:firstRowLastColumn="0" w:lastRowFirstColumn="0" w:lastRowLastColumn="0"/>
            </w:pPr>
            <w:r w:rsidRPr="00854602">
              <w:rPr>
                <w:sz w:val="18"/>
              </w:rPr>
              <w:t>0.00</w:t>
            </w:r>
          </w:p>
        </w:tc>
        <w:tc>
          <w:tcPr>
            <w:tcW w:w="1175" w:type="dxa"/>
          </w:tcPr>
          <w:p w:rsidR="00F00F75" w:rsidRDefault="00F00F75" w:rsidP="005063CB">
            <w:pPr>
              <w:cnfStyle w:val="000000100000" w:firstRow="0" w:lastRow="0" w:firstColumn="0" w:lastColumn="0" w:oddVBand="0" w:evenVBand="0" w:oddHBand="1" w:evenHBand="0" w:firstRowFirstColumn="0" w:firstRowLastColumn="0" w:lastRowFirstColumn="0" w:lastRowLastColumn="0"/>
            </w:pPr>
            <w:r w:rsidRPr="00854602">
              <w:rPr>
                <w:sz w:val="18"/>
              </w:rPr>
              <w:t>0.00</w:t>
            </w:r>
          </w:p>
        </w:tc>
        <w:tc>
          <w:tcPr>
            <w:tcW w:w="1071" w:type="dxa"/>
          </w:tcPr>
          <w:p w:rsidR="00F00F75" w:rsidRDefault="00F00F75" w:rsidP="005063CB">
            <w:pPr>
              <w:cnfStyle w:val="000000100000" w:firstRow="0" w:lastRow="0" w:firstColumn="0" w:lastColumn="0" w:oddVBand="0" w:evenVBand="0" w:oddHBand="1" w:evenHBand="0" w:firstRowFirstColumn="0" w:firstRowLastColumn="0" w:lastRowFirstColumn="0" w:lastRowLastColumn="0"/>
            </w:pPr>
            <w:r w:rsidRPr="00854602">
              <w:rPr>
                <w:sz w:val="18"/>
              </w:rPr>
              <w:t>0.00</w:t>
            </w:r>
          </w:p>
        </w:tc>
        <w:tc>
          <w:tcPr>
            <w:tcW w:w="1246" w:type="dxa"/>
          </w:tcPr>
          <w:p w:rsidR="00F00F75" w:rsidRDefault="00F00F75" w:rsidP="005063CB">
            <w:pPr>
              <w:cnfStyle w:val="000000100000" w:firstRow="0" w:lastRow="0" w:firstColumn="0" w:lastColumn="0" w:oddVBand="0" w:evenVBand="0" w:oddHBand="1" w:evenHBand="0" w:firstRowFirstColumn="0" w:firstRowLastColumn="0" w:lastRowFirstColumn="0" w:lastRowLastColumn="0"/>
            </w:pPr>
            <w:r w:rsidRPr="00854602">
              <w:rPr>
                <w:sz w:val="18"/>
              </w:rPr>
              <w:t>0.00</w:t>
            </w:r>
          </w:p>
        </w:tc>
        <w:tc>
          <w:tcPr>
            <w:tcW w:w="1176" w:type="dxa"/>
          </w:tcPr>
          <w:p w:rsidR="00F00F75" w:rsidRDefault="00F00F75" w:rsidP="005063CB">
            <w:pPr>
              <w:cnfStyle w:val="000000100000" w:firstRow="0" w:lastRow="0" w:firstColumn="0" w:lastColumn="0" w:oddVBand="0" w:evenVBand="0" w:oddHBand="1" w:evenHBand="0" w:firstRowFirstColumn="0" w:firstRowLastColumn="0" w:lastRowFirstColumn="0" w:lastRowLastColumn="0"/>
            </w:pPr>
            <w:r w:rsidRPr="00854602">
              <w:rPr>
                <w:sz w:val="18"/>
              </w:rPr>
              <w:t>0.00</w:t>
            </w:r>
          </w:p>
        </w:tc>
      </w:tr>
      <w:tr w:rsidR="00F00F75" w:rsidRPr="009D1595" w:rsidTr="005063CB">
        <w:tc>
          <w:tcPr>
            <w:cnfStyle w:val="001000000000" w:firstRow="0" w:lastRow="0" w:firstColumn="1" w:lastColumn="0" w:oddVBand="0" w:evenVBand="0" w:oddHBand="0" w:evenHBand="0" w:firstRowFirstColumn="0" w:firstRowLastColumn="0" w:lastRowFirstColumn="0" w:lastRowLastColumn="0"/>
            <w:tcW w:w="2591" w:type="dxa"/>
            <w:shd w:val="clear" w:color="auto" w:fill="ACB9CA" w:themeFill="text2" w:themeFillTint="66"/>
          </w:tcPr>
          <w:p w:rsidR="00F00F75" w:rsidRPr="009D1595" w:rsidRDefault="00F00F75" w:rsidP="005063CB">
            <w:pPr>
              <w:rPr>
                <w:sz w:val="18"/>
              </w:rPr>
            </w:pPr>
            <w:r w:rsidRPr="009D1595">
              <w:rPr>
                <w:sz w:val="18"/>
              </w:rPr>
              <w:t>Non-financial assets</w:t>
            </w:r>
          </w:p>
        </w:tc>
        <w:tc>
          <w:tcPr>
            <w:tcW w:w="1246" w:type="dxa"/>
            <w:shd w:val="clear" w:color="auto" w:fill="ACB9CA" w:themeFill="text2" w:themeFillTint="66"/>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p>
        </w:tc>
        <w:tc>
          <w:tcPr>
            <w:tcW w:w="1071" w:type="dxa"/>
            <w:shd w:val="clear" w:color="auto" w:fill="ACB9CA" w:themeFill="text2" w:themeFillTint="66"/>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p>
        </w:tc>
        <w:tc>
          <w:tcPr>
            <w:tcW w:w="1175" w:type="dxa"/>
            <w:shd w:val="clear" w:color="auto" w:fill="ACB9CA" w:themeFill="text2" w:themeFillTint="66"/>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p>
        </w:tc>
        <w:tc>
          <w:tcPr>
            <w:tcW w:w="1071" w:type="dxa"/>
            <w:shd w:val="clear" w:color="auto" w:fill="ACB9CA" w:themeFill="text2" w:themeFillTint="66"/>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p>
        </w:tc>
        <w:tc>
          <w:tcPr>
            <w:tcW w:w="1246" w:type="dxa"/>
            <w:shd w:val="clear" w:color="auto" w:fill="ACB9CA" w:themeFill="text2" w:themeFillTint="66"/>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p>
        </w:tc>
        <w:tc>
          <w:tcPr>
            <w:tcW w:w="1176" w:type="dxa"/>
            <w:shd w:val="clear" w:color="auto" w:fill="ACB9CA" w:themeFill="text2" w:themeFillTint="66"/>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p>
        </w:tc>
      </w:tr>
      <w:tr w:rsidR="00F00F75" w:rsidRPr="009D1595" w:rsidTr="00506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dxa"/>
          </w:tcPr>
          <w:p w:rsidR="00F00F75" w:rsidRPr="009D1595" w:rsidRDefault="00F00F75" w:rsidP="005063CB">
            <w:pPr>
              <w:rPr>
                <w:b w:val="0"/>
                <w:sz w:val="18"/>
              </w:rPr>
            </w:pPr>
            <w:r w:rsidRPr="009D1595">
              <w:rPr>
                <w:b w:val="0"/>
                <w:sz w:val="18"/>
              </w:rPr>
              <w:t>Million Lei</w:t>
            </w:r>
          </w:p>
        </w:tc>
        <w:tc>
          <w:tcPr>
            <w:tcW w:w="1246" w:type="dxa"/>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r>
              <w:rPr>
                <w:sz w:val="18"/>
              </w:rPr>
              <w:t>40</w:t>
            </w:r>
          </w:p>
        </w:tc>
        <w:tc>
          <w:tcPr>
            <w:tcW w:w="1071" w:type="dxa"/>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r>
              <w:rPr>
                <w:sz w:val="18"/>
              </w:rPr>
              <w:t>26</w:t>
            </w:r>
          </w:p>
        </w:tc>
        <w:tc>
          <w:tcPr>
            <w:tcW w:w="1175" w:type="dxa"/>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r>
              <w:rPr>
                <w:sz w:val="18"/>
              </w:rPr>
              <w:t>6</w:t>
            </w:r>
          </w:p>
        </w:tc>
        <w:tc>
          <w:tcPr>
            <w:tcW w:w="1071" w:type="dxa"/>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r>
              <w:rPr>
                <w:sz w:val="18"/>
              </w:rPr>
              <w:t>8</w:t>
            </w:r>
          </w:p>
        </w:tc>
        <w:tc>
          <w:tcPr>
            <w:tcW w:w="1246" w:type="dxa"/>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r>
              <w:rPr>
                <w:sz w:val="18"/>
              </w:rPr>
              <w:t>8</w:t>
            </w:r>
          </w:p>
        </w:tc>
        <w:tc>
          <w:tcPr>
            <w:tcW w:w="1176" w:type="dxa"/>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r>
              <w:rPr>
                <w:sz w:val="18"/>
              </w:rPr>
              <w:t>8</w:t>
            </w:r>
          </w:p>
        </w:tc>
      </w:tr>
      <w:tr w:rsidR="00F00F75" w:rsidRPr="009D1595" w:rsidTr="005063CB">
        <w:tc>
          <w:tcPr>
            <w:cnfStyle w:val="001000000000" w:firstRow="0" w:lastRow="0" w:firstColumn="1" w:lastColumn="0" w:oddVBand="0" w:evenVBand="0" w:oddHBand="0" w:evenHBand="0" w:firstRowFirstColumn="0" w:firstRowLastColumn="0" w:lastRowFirstColumn="0" w:lastRowLastColumn="0"/>
            <w:tcW w:w="2591" w:type="dxa"/>
          </w:tcPr>
          <w:p w:rsidR="00F00F75" w:rsidRPr="009D1595" w:rsidRDefault="00F00F75" w:rsidP="005063CB">
            <w:pPr>
              <w:rPr>
                <w:b w:val="0"/>
                <w:sz w:val="18"/>
              </w:rPr>
            </w:pPr>
            <w:r w:rsidRPr="009D1595">
              <w:rPr>
                <w:b w:val="0"/>
                <w:sz w:val="18"/>
              </w:rPr>
              <w:t>% of G.D.P.</w:t>
            </w:r>
          </w:p>
        </w:tc>
        <w:tc>
          <w:tcPr>
            <w:tcW w:w="1246" w:type="dxa"/>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Pr>
                <w:sz w:val="18"/>
              </w:rPr>
              <w:t>0.01</w:t>
            </w:r>
          </w:p>
        </w:tc>
        <w:tc>
          <w:tcPr>
            <w:tcW w:w="1071" w:type="dxa"/>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Pr>
                <w:sz w:val="18"/>
              </w:rPr>
              <w:t>0.00</w:t>
            </w:r>
          </w:p>
        </w:tc>
        <w:tc>
          <w:tcPr>
            <w:tcW w:w="1175" w:type="dxa"/>
          </w:tcPr>
          <w:p w:rsidR="00F00F75" w:rsidRDefault="00F00F75" w:rsidP="005063CB">
            <w:pPr>
              <w:cnfStyle w:val="000000000000" w:firstRow="0" w:lastRow="0" w:firstColumn="0" w:lastColumn="0" w:oddVBand="0" w:evenVBand="0" w:oddHBand="0" w:evenHBand="0" w:firstRowFirstColumn="0" w:firstRowLastColumn="0" w:lastRowFirstColumn="0" w:lastRowLastColumn="0"/>
            </w:pPr>
            <w:r w:rsidRPr="003864E8">
              <w:rPr>
                <w:sz w:val="18"/>
              </w:rPr>
              <w:t>0.00</w:t>
            </w:r>
          </w:p>
        </w:tc>
        <w:tc>
          <w:tcPr>
            <w:tcW w:w="1071" w:type="dxa"/>
          </w:tcPr>
          <w:p w:rsidR="00F00F75" w:rsidRDefault="00F00F75" w:rsidP="005063CB">
            <w:pPr>
              <w:cnfStyle w:val="000000000000" w:firstRow="0" w:lastRow="0" w:firstColumn="0" w:lastColumn="0" w:oddVBand="0" w:evenVBand="0" w:oddHBand="0" w:evenHBand="0" w:firstRowFirstColumn="0" w:firstRowLastColumn="0" w:lastRowFirstColumn="0" w:lastRowLastColumn="0"/>
            </w:pPr>
            <w:r w:rsidRPr="003864E8">
              <w:rPr>
                <w:sz w:val="18"/>
              </w:rPr>
              <w:t>0.00</w:t>
            </w:r>
          </w:p>
        </w:tc>
        <w:tc>
          <w:tcPr>
            <w:tcW w:w="1246" w:type="dxa"/>
          </w:tcPr>
          <w:p w:rsidR="00F00F75" w:rsidRDefault="00F00F75" w:rsidP="005063CB">
            <w:pPr>
              <w:cnfStyle w:val="000000000000" w:firstRow="0" w:lastRow="0" w:firstColumn="0" w:lastColumn="0" w:oddVBand="0" w:evenVBand="0" w:oddHBand="0" w:evenHBand="0" w:firstRowFirstColumn="0" w:firstRowLastColumn="0" w:lastRowFirstColumn="0" w:lastRowLastColumn="0"/>
            </w:pPr>
            <w:r w:rsidRPr="003864E8">
              <w:rPr>
                <w:sz w:val="18"/>
              </w:rPr>
              <w:t>0.00</w:t>
            </w:r>
          </w:p>
        </w:tc>
        <w:tc>
          <w:tcPr>
            <w:tcW w:w="1176" w:type="dxa"/>
          </w:tcPr>
          <w:p w:rsidR="00F00F75" w:rsidRDefault="00F00F75" w:rsidP="005063CB">
            <w:pPr>
              <w:cnfStyle w:val="000000000000" w:firstRow="0" w:lastRow="0" w:firstColumn="0" w:lastColumn="0" w:oddVBand="0" w:evenVBand="0" w:oddHBand="0" w:evenHBand="0" w:firstRowFirstColumn="0" w:firstRowLastColumn="0" w:lastRowFirstColumn="0" w:lastRowLastColumn="0"/>
            </w:pPr>
            <w:r w:rsidRPr="003864E8">
              <w:rPr>
                <w:sz w:val="18"/>
              </w:rPr>
              <w:t>0.00</w:t>
            </w:r>
          </w:p>
        </w:tc>
      </w:tr>
      <w:tr w:rsidR="00F00F75" w:rsidRPr="009D1595" w:rsidTr="00506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dxa"/>
            <w:shd w:val="clear" w:color="auto" w:fill="ACB9CA" w:themeFill="text2" w:themeFillTint="66"/>
          </w:tcPr>
          <w:p w:rsidR="00F00F75" w:rsidRPr="009D1595" w:rsidRDefault="00F00F75" w:rsidP="005063CB">
            <w:pPr>
              <w:rPr>
                <w:sz w:val="18"/>
              </w:rPr>
            </w:pPr>
            <w:r w:rsidRPr="009D1595">
              <w:rPr>
                <w:sz w:val="18"/>
              </w:rPr>
              <w:t>Payments made in previous years and recovered in the current year</w:t>
            </w:r>
          </w:p>
        </w:tc>
        <w:tc>
          <w:tcPr>
            <w:tcW w:w="1246" w:type="dxa"/>
            <w:shd w:val="clear" w:color="auto" w:fill="ACB9CA" w:themeFill="text2" w:themeFillTint="66"/>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p>
        </w:tc>
        <w:tc>
          <w:tcPr>
            <w:tcW w:w="1071" w:type="dxa"/>
            <w:shd w:val="clear" w:color="auto" w:fill="ACB9CA" w:themeFill="text2" w:themeFillTint="66"/>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p>
        </w:tc>
        <w:tc>
          <w:tcPr>
            <w:tcW w:w="1175" w:type="dxa"/>
            <w:shd w:val="clear" w:color="auto" w:fill="ACB9CA" w:themeFill="text2" w:themeFillTint="66"/>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p>
        </w:tc>
        <w:tc>
          <w:tcPr>
            <w:tcW w:w="1071" w:type="dxa"/>
            <w:shd w:val="clear" w:color="auto" w:fill="ACB9CA" w:themeFill="text2" w:themeFillTint="66"/>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p>
        </w:tc>
        <w:tc>
          <w:tcPr>
            <w:tcW w:w="1246" w:type="dxa"/>
            <w:shd w:val="clear" w:color="auto" w:fill="ACB9CA" w:themeFill="text2" w:themeFillTint="66"/>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p>
        </w:tc>
        <w:tc>
          <w:tcPr>
            <w:tcW w:w="1176" w:type="dxa"/>
            <w:shd w:val="clear" w:color="auto" w:fill="ACB9CA" w:themeFill="text2" w:themeFillTint="66"/>
          </w:tcPr>
          <w:p w:rsidR="00F00F75" w:rsidRPr="009D1595" w:rsidRDefault="00F00F75" w:rsidP="005063CB">
            <w:pPr>
              <w:cnfStyle w:val="000000100000" w:firstRow="0" w:lastRow="0" w:firstColumn="0" w:lastColumn="0" w:oddVBand="0" w:evenVBand="0" w:oddHBand="1" w:evenHBand="0" w:firstRowFirstColumn="0" w:firstRowLastColumn="0" w:lastRowFirstColumn="0" w:lastRowLastColumn="0"/>
              <w:rPr>
                <w:sz w:val="18"/>
              </w:rPr>
            </w:pPr>
          </w:p>
        </w:tc>
      </w:tr>
      <w:tr w:rsidR="00F00F75" w:rsidRPr="009D1595" w:rsidTr="005063CB">
        <w:tc>
          <w:tcPr>
            <w:cnfStyle w:val="001000000000" w:firstRow="0" w:lastRow="0" w:firstColumn="1" w:lastColumn="0" w:oddVBand="0" w:evenVBand="0" w:oddHBand="0" w:evenHBand="0" w:firstRowFirstColumn="0" w:firstRowLastColumn="0" w:lastRowFirstColumn="0" w:lastRowLastColumn="0"/>
            <w:tcW w:w="2591" w:type="dxa"/>
          </w:tcPr>
          <w:p w:rsidR="00F00F75" w:rsidRPr="009D1595" w:rsidRDefault="00F00F75" w:rsidP="005063CB">
            <w:pPr>
              <w:rPr>
                <w:b w:val="0"/>
                <w:sz w:val="18"/>
              </w:rPr>
            </w:pPr>
            <w:r w:rsidRPr="009D1595">
              <w:rPr>
                <w:b w:val="0"/>
                <w:sz w:val="18"/>
              </w:rPr>
              <w:t>Million Lei</w:t>
            </w:r>
          </w:p>
        </w:tc>
        <w:tc>
          <w:tcPr>
            <w:tcW w:w="1246" w:type="dxa"/>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p>
        </w:tc>
        <w:tc>
          <w:tcPr>
            <w:tcW w:w="1071" w:type="dxa"/>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Pr>
                <w:sz w:val="18"/>
              </w:rPr>
              <w:t>-5</w:t>
            </w:r>
          </w:p>
        </w:tc>
        <w:tc>
          <w:tcPr>
            <w:tcW w:w="1175" w:type="dxa"/>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r>
              <w:rPr>
                <w:sz w:val="18"/>
              </w:rPr>
              <w:t>-6</w:t>
            </w:r>
          </w:p>
        </w:tc>
        <w:tc>
          <w:tcPr>
            <w:tcW w:w="1071" w:type="dxa"/>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p>
        </w:tc>
        <w:tc>
          <w:tcPr>
            <w:tcW w:w="1246" w:type="dxa"/>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p>
        </w:tc>
        <w:tc>
          <w:tcPr>
            <w:tcW w:w="1176" w:type="dxa"/>
          </w:tcPr>
          <w:p w:rsidR="00F00F75" w:rsidRPr="009D1595" w:rsidRDefault="00F00F75" w:rsidP="005063CB">
            <w:pPr>
              <w:cnfStyle w:val="000000000000" w:firstRow="0" w:lastRow="0" w:firstColumn="0" w:lastColumn="0" w:oddVBand="0" w:evenVBand="0" w:oddHBand="0" w:evenHBand="0" w:firstRowFirstColumn="0" w:firstRowLastColumn="0" w:lastRowFirstColumn="0" w:lastRowLastColumn="0"/>
              <w:rPr>
                <w:sz w:val="18"/>
              </w:rPr>
            </w:pPr>
          </w:p>
        </w:tc>
      </w:tr>
      <w:tr w:rsidR="00F00F75" w:rsidRPr="009D1595" w:rsidTr="00506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1" w:type="dxa"/>
          </w:tcPr>
          <w:p w:rsidR="00F00F75" w:rsidRPr="009D1595" w:rsidRDefault="00F00F75" w:rsidP="005063CB">
            <w:pPr>
              <w:rPr>
                <w:b w:val="0"/>
                <w:sz w:val="18"/>
              </w:rPr>
            </w:pPr>
            <w:r w:rsidRPr="009D1595">
              <w:rPr>
                <w:b w:val="0"/>
                <w:sz w:val="18"/>
              </w:rPr>
              <w:t>% of G.D.P.</w:t>
            </w:r>
          </w:p>
        </w:tc>
        <w:tc>
          <w:tcPr>
            <w:tcW w:w="1246" w:type="dxa"/>
          </w:tcPr>
          <w:p w:rsidR="00F00F75" w:rsidRDefault="00F00F75" w:rsidP="005063CB">
            <w:pPr>
              <w:cnfStyle w:val="000000100000" w:firstRow="0" w:lastRow="0" w:firstColumn="0" w:lastColumn="0" w:oddVBand="0" w:evenVBand="0" w:oddHBand="1" w:evenHBand="0" w:firstRowFirstColumn="0" w:firstRowLastColumn="0" w:lastRowFirstColumn="0" w:lastRowLastColumn="0"/>
            </w:pPr>
            <w:r w:rsidRPr="002117F7">
              <w:rPr>
                <w:sz w:val="18"/>
              </w:rPr>
              <w:t>0.00</w:t>
            </w:r>
          </w:p>
        </w:tc>
        <w:tc>
          <w:tcPr>
            <w:tcW w:w="1071" w:type="dxa"/>
          </w:tcPr>
          <w:p w:rsidR="00F00F75" w:rsidRDefault="00F00F75" w:rsidP="005063CB">
            <w:pPr>
              <w:cnfStyle w:val="000000100000" w:firstRow="0" w:lastRow="0" w:firstColumn="0" w:lastColumn="0" w:oddVBand="0" w:evenVBand="0" w:oddHBand="1" w:evenHBand="0" w:firstRowFirstColumn="0" w:firstRowLastColumn="0" w:lastRowFirstColumn="0" w:lastRowLastColumn="0"/>
            </w:pPr>
            <w:r w:rsidRPr="002117F7">
              <w:rPr>
                <w:sz w:val="18"/>
              </w:rPr>
              <w:t>0.00</w:t>
            </w:r>
          </w:p>
        </w:tc>
        <w:tc>
          <w:tcPr>
            <w:tcW w:w="1175" w:type="dxa"/>
          </w:tcPr>
          <w:p w:rsidR="00F00F75" w:rsidRDefault="00F00F75" w:rsidP="005063CB">
            <w:pPr>
              <w:cnfStyle w:val="000000100000" w:firstRow="0" w:lastRow="0" w:firstColumn="0" w:lastColumn="0" w:oddVBand="0" w:evenVBand="0" w:oddHBand="1" w:evenHBand="0" w:firstRowFirstColumn="0" w:firstRowLastColumn="0" w:lastRowFirstColumn="0" w:lastRowLastColumn="0"/>
            </w:pPr>
            <w:r w:rsidRPr="002117F7">
              <w:rPr>
                <w:sz w:val="18"/>
              </w:rPr>
              <w:t>0.00</w:t>
            </w:r>
          </w:p>
        </w:tc>
        <w:tc>
          <w:tcPr>
            <w:tcW w:w="1071" w:type="dxa"/>
          </w:tcPr>
          <w:p w:rsidR="00F00F75" w:rsidRDefault="00F00F75" w:rsidP="005063CB">
            <w:pPr>
              <w:cnfStyle w:val="000000100000" w:firstRow="0" w:lastRow="0" w:firstColumn="0" w:lastColumn="0" w:oddVBand="0" w:evenVBand="0" w:oddHBand="1" w:evenHBand="0" w:firstRowFirstColumn="0" w:firstRowLastColumn="0" w:lastRowFirstColumn="0" w:lastRowLastColumn="0"/>
            </w:pPr>
            <w:r w:rsidRPr="002117F7">
              <w:rPr>
                <w:sz w:val="18"/>
              </w:rPr>
              <w:t>0.00</w:t>
            </w:r>
          </w:p>
        </w:tc>
        <w:tc>
          <w:tcPr>
            <w:tcW w:w="1246" w:type="dxa"/>
          </w:tcPr>
          <w:p w:rsidR="00F00F75" w:rsidRDefault="00F00F75" w:rsidP="005063CB">
            <w:pPr>
              <w:cnfStyle w:val="000000100000" w:firstRow="0" w:lastRow="0" w:firstColumn="0" w:lastColumn="0" w:oddVBand="0" w:evenVBand="0" w:oddHBand="1" w:evenHBand="0" w:firstRowFirstColumn="0" w:firstRowLastColumn="0" w:lastRowFirstColumn="0" w:lastRowLastColumn="0"/>
            </w:pPr>
            <w:r w:rsidRPr="002117F7">
              <w:rPr>
                <w:sz w:val="18"/>
              </w:rPr>
              <w:t>0.00</w:t>
            </w:r>
          </w:p>
        </w:tc>
        <w:tc>
          <w:tcPr>
            <w:tcW w:w="1176" w:type="dxa"/>
          </w:tcPr>
          <w:p w:rsidR="00F00F75" w:rsidRDefault="00F00F75" w:rsidP="005063CB">
            <w:pPr>
              <w:cnfStyle w:val="000000100000" w:firstRow="0" w:lastRow="0" w:firstColumn="0" w:lastColumn="0" w:oddVBand="0" w:evenVBand="0" w:oddHBand="1" w:evenHBand="0" w:firstRowFirstColumn="0" w:firstRowLastColumn="0" w:lastRowFirstColumn="0" w:lastRowLastColumn="0"/>
            </w:pPr>
            <w:r w:rsidRPr="002117F7">
              <w:rPr>
                <w:sz w:val="18"/>
              </w:rPr>
              <w:t>0.00</w:t>
            </w:r>
          </w:p>
        </w:tc>
      </w:tr>
    </w:tbl>
    <w:p w:rsidR="00F00F75" w:rsidRPr="00C21188" w:rsidRDefault="00F00F75" w:rsidP="00C21188"/>
    <w:p w:rsidR="006C2ED8" w:rsidRPr="006F7475" w:rsidRDefault="006C2ED8" w:rsidP="00C21188">
      <w:pPr>
        <w:keepNext/>
        <w:spacing w:before="120"/>
        <w:jc w:val="both"/>
        <w:rPr>
          <w:rFonts w:ascii="Calibri" w:hAnsi="Calibri"/>
        </w:rPr>
      </w:pPr>
    </w:p>
    <w:sectPr w:rsidR="006C2ED8" w:rsidRPr="006F7475" w:rsidSect="00E73550">
      <w:footerReference w:type="default" r:id="rId57"/>
      <w:pgSz w:w="11907" w:h="16840" w:code="9"/>
      <w:pgMar w:top="851" w:right="987" w:bottom="851" w:left="1083"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63CB" w:rsidRDefault="005063CB">
      <w:r>
        <w:separator/>
      </w:r>
    </w:p>
  </w:endnote>
  <w:endnote w:type="continuationSeparator" w:id="0">
    <w:p w:rsidR="005063CB" w:rsidRDefault="00506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Narrow">
    <w:panose1 w:val="020B05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EE"/>
    <w:family w:val="swiss"/>
    <w:pitch w:val="variable"/>
    <w:sig w:usb0="E00002FF" w:usb1="4000ACFF" w:usb2="00000001" w:usb3="00000000" w:csb0="0000019F" w:csb1="00000000"/>
  </w:font>
  <w:font w:name="Trebuchet MS">
    <w:panose1 w:val="020B0603020202020204"/>
    <w:charset w:val="EE"/>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Noto Sans Symbols">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TimesRomanR">
    <w:altName w:val="Arial"/>
    <w:charset w:val="00"/>
    <w:family w:val="auto"/>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TimesNewRomanPS">
    <w:altName w:val="Times New Roman"/>
    <w:panose1 w:val="00000000000000000000"/>
    <w:charset w:val="00"/>
    <w:family w:val="roman"/>
    <w:notTrueType/>
    <w:pitch w:val="variable"/>
    <w:sig w:usb0="00000003" w:usb1="00000000" w:usb2="00000000" w:usb3="00000000" w:csb0="00000001" w:csb1="00000000"/>
  </w:font>
  <w:font w:name="0HelvR">
    <w:altName w:val="Courier New"/>
    <w:charset w:val="00"/>
    <w:family w:val="swiss"/>
    <w:pitch w:val="variable"/>
  </w:font>
  <w:font w:name="Verdana">
    <w:panose1 w:val="020B0604030504040204"/>
    <w:charset w:val="EE"/>
    <w:family w:val="swiss"/>
    <w:pitch w:val="variable"/>
    <w:sig w:usb0="A10006FF" w:usb1="4000205B" w:usb2="00000010" w:usb3="00000000" w:csb0="0000019F" w:csb1="00000000"/>
  </w:font>
  <w:font w:name="Adobe Garamond Pro">
    <w:altName w:val="Times New Roman"/>
    <w:charset w:val="00"/>
    <w:family w:val="roman"/>
    <w:pitch w:val="variable"/>
    <w:sig w:usb0="00000003" w:usb1="00000000" w:usb2="00000000" w:usb3="00000000" w:csb0="00000001" w:csb1="00000000"/>
  </w:font>
  <w:font w:name="Adobe Garamond Pro Bold">
    <w:altName w:val="Times New Roman"/>
    <w:charset w:val="00"/>
    <w:family w:val="roman"/>
    <w:pitch w:val="variable"/>
    <w:sig w:usb0="00000003" w:usb1="00000000" w:usb2="00000000" w:usb3="00000000" w:csb0="00000001" w:csb1="00000000"/>
  </w:font>
  <w:font w:name="Gabriola">
    <w:panose1 w:val="04040605051002020D02"/>
    <w:charset w:val="EE"/>
    <w:family w:val="decorative"/>
    <w:pitch w:val="variable"/>
    <w:sig w:usb0="E00002EF" w:usb1="5000204B" w:usb2="00000000" w:usb3="00000000" w:csb0="0000009F" w:csb1="00000000"/>
  </w:font>
  <w:font w:name="Legato">
    <w:altName w:val="Arial"/>
    <w:charset w:val="00"/>
    <w:family w:val="swiss"/>
    <w:pitch w:val="default"/>
    <w:sig w:usb0="00000003" w:usb1="00000000" w:usb2="00000000" w:usb3="00000000" w:csb0="00000001" w:csb1="00000000"/>
  </w:font>
  <w:font w:name="TheSans LP7 Bold">
    <w:altName w:val="Arial"/>
    <w:charset w:val="00"/>
    <w:family w:val="swiss"/>
    <w:pitch w:val="default"/>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Times New Roman Rom">
    <w:altName w:val="Times New Roman"/>
    <w:panose1 w:val="00000000000000000000"/>
    <w:charset w:val="00"/>
    <w:family w:val="roman"/>
    <w:notTrueType/>
    <w:pitch w:val="default"/>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Liberation Serif">
    <w:panose1 w:val="02020603050405020304"/>
    <w:charset w:val="EE"/>
    <w:family w:val="roman"/>
    <w:pitch w:val="variable"/>
    <w:sig w:usb0="E0000AFF" w:usb1="500078FF" w:usb2="00000021" w:usb3="00000000" w:csb0="000001BF" w:csb1="00000000"/>
  </w:font>
  <w:font w:name="Calibri Light">
    <w:panose1 w:val="020F0302020204030204"/>
    <w:charset w:val="EE"/>
    <w:family w:val="swiss"/>
    <w:pitch w:val="variable"/>
    <w:sig w:usb0="A00002EF" w:usb1="4000207B"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Arial (W1)">
    <w:altName w:val="Arial"/>
    <w:charset w:val="00"/>
    <w:family w:val="swiss"/>
    <w:pitch w:val="variable"/>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ヒラギノ角ゴ Pro W3">
    <w:altName w:val="MS Mincho"/>
    <w:charset w:val="80"/>
    <w:family w:val="auto"/>
    <w:pitch w:val="variable"/>
    <w:sig w:usb0="00000000" w:usb1="00000000" w:usb2="01000407" w:usb3="00000000" w:csb0="00020000" w:csb1="00000000"/>
  </w:font>
  <w:font w:name="Arial-BoldMT">
    <w:altName w:val="Arial"/>
    <w:panose1 w:val="00000000000000000000"/>
    <w:charset w:val="4D"/>
    <w:family w:val="auto"/>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63CB" w:rsidRDefault="005063CB" w:rsidP="00BD4A3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063CB" w:rsidRDefault="005063CB" w:rsidP="00BD4A3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63CB" w:rsidRDefault="005063CB">
    <w:pPr>
      <w:pStyle w:val="Footer"/>
      <w:jc w:val="right"/>
    </w:pPr>
    <w:r>
      <w:fldChar w:fldCharType="begin"/>
    </w:r>
    <w:r>
      <w:instrText xml:space="preserve"> PAGE   \* MERGEFORMAT </w:instrText>
    </w:r>
    <w:r>
      <w:fldChar w:fldCharType="separate"/>
    </w:r>
    <w:r w:rsidR="006C2568">
      <w:rPr>
        <w:noProof/>
      </w:rPr>
      <w:t>150</w:t>
    </w:r>
    <w:r>
      <w:fldChar w:fldCharType="end"/>
    </w:r>
  </w:p>
  <w:p w:rsidR="005063CB" w:rsidRDefault="005063CB" w:rsidP="00BD4A3E">
    <w:pPr>
      <w:pStyle w:val="Footer"/>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63CB" w:rsidRDefault="005063CB">
    <w:pPr>
      <w:pStyle w:val="Footer"/>
      <w:jc w:val="center"/>
    </w:pPr>
    <w:r>
      <w:rPr>
        <w:sz w:val="20"/>
      </w:rPr>
      <w:t>8</w:t>
    </w:r>
  </w:p>
  <w:p w:rsidR="005063CB" w:rsidRDefault="005063C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63CB" w:rsidRDefault="005063CB" w:rsidP="00BD4A3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063CB" w:rsidRDefault="005063CB" w:rsidP="00BD4A3E">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63CB" w:rsidRDefault="005063CB">
    <w:pPr>
      <w:pStyle w:val="Footer"/>
      <w:jc w:val="right"/>
    </w:pPr>
    <w:r>
      <w:fldChar w:fldCharType="begin"/>
    </w:r>
    <w:r>
      <w:instrText xml:space="preserve"> PAGE   \* MERGEFORMAT </w:instrText>
    </w:r>
    <w:r>
      <w:fldChar w:fldCharType="separate"/>
    </w:r>
    <w:r w:rsidR="00CC05F6">
      <w:rPr>
        <w:noProof/>
      </w:rPr>
      <w:t>151</w:t>
    </w:r>
    <w:r>
      <w:fldChar w:fldCharType="end"/>
    </w:r>
  </w:p>
  <w:p w:rsidR="005063CB" w:rsidRDefault="005063CB" w:rsidP="00BD4A3E">
    <w:pPr>
      <w:pStyle w:val="Footer"/>
      <w:ind w:right="360"/>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63CB" w:rsidRDefault="005063CB">
    <w:pPr>
      <w:pStyle w:val="Footer"/>
      <w:jc w:val="center"/>
    </w:pPr>
    <w:r>
      <w:rPr>
        <w:sz w:val="20"/>
      </w:rPr>
      <w:t>8</w:t>
    </w:r>
  </w:p>
  <w:p w:rsidR="005063CB" w:rsidRDefault="005063C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63CB" w:rsidRDefault="005063CB" w:rsidP="00E278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C05F6">
      <w:rPr>
        <w:rStyle w:val="PageNumber"/>
        <w:noProof/>
      </w:rPr>
      <w:t>214</w:t>
    </w:r>
    <w:r>
      <w:rPr>
        <w:rStyle w:val="PageNumber"/>
      </w:rPr>
      <w:fldChar w:fldCharType="end"/>
    </w:r>
  </w:p>
  <w:p w:rsidR="005063CB" w:rsidRDefault="005063CB" w:rsidP="0007347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63CB" w:rsidRDefault="005063CB">
      <w:r>
        <w:separator/>
      </w:r>
    </w:p>
  </w:footnote>
  <w:footnote w:type="continuationSeparator" w:id="0">
    <w:p w:rsidR="005063CB" w:rsidRDefault="005063CB">
      <w:r>
        <w:continuationSeparator/>
      </w:r>
    </w:p>
  </w:footnote>
  <w:footnote w:id="1">
    <w:p w:rsidR="005063CB" w:rsidRPr="00B60958" w:rsidRDefault="005063CB" w:rsidP="006A425D">
      <w:pPr>
        <w:jc w:val="both"/>
        <w:rPr>
          <w:rFonts w:ascii="Calibri" w:hAnsi="Calibri" w:cs="Calibri"/>
          <w:sz w:val="16"/>
          <w:szCs w:val="16"/>
        </w:rPr>
      </w:pPr>
      <w:r>
        <w:rPr>
          <w:rStyle w:val="FootnoteReference"/>
          <w:sz w:val="16"/>
          <w:szCs w:val="16"/>
        </w:rPr>
        <w:footnoteRef/>
      </w:r>
      <w:r>
        <w:rPr>
          <w:rFonts w:ascii="Calibri" w:hAnsi="Calibri"/>
          <w:sz w:val="16"/>
          <w:szCs w:val="16"/>
        </w:rPr>
        <w:t xml:space="preserve">The current absorption rate represents the ratio between the value of expenditure statements sent to the European Commission and the total allocation that corresponds to the period 2007-2013. </w:t>
      </w:r>
    </w:p>
    <w:p w:rsidR="005063CB" w:rsidRPr="00B60958" w:rsidRDefault="005063CB" w:rsidP="006A425D">
      <w:pPr>
        <w:pStyle w:val="FootnoteText"/>
        <w:rPr>
          <w:sz w:val="16"/>
          <w:szCs w:val="16"/>
          <w:lang w:val="ro-RO"/>
        </w:rPr>
      </w:pPr>
    </w:p>
  </w:footnote>
  <w:footnote w:id="2">
    <w:p w:rsidR="005063CB" w:rsidRPr="00B60958" w:rsidRDefault="005063CB" w:rsidP="006A425D">
      <w:pPr>
        <w:pStyle w:val="FootnoteText"/>
        <w:rPr>
          <w:sz w:val="16"/>
          <w:szCs w:val="16"/>
        </w:rPr>
      </w:pPr>
      <w:r>
        <w:rPr>
          <w:rStyle w:val="FootnoteReference"/>
          <w:sz w:val="16"/>
          <w:szCs w:val="16"/>
        </w:rPr>
        <w:footnoteRef/>
      </w:r>
      <w:r>
        <w:rPr>
          <w:rFonts w:ascii="Calibri" w:hAnsi="Calibri"/>
          <w:sz w:val="16"/>
          <w:szCs w:val="16"/>
        </w:rPr>
        <w:t>The reimbursement rate represents the ratio between the value of the amounts paid by the European Commission and the total allocation corresponding to the operational programs.</w:t>
      </w:r>
    </w:p>
  </w:footnote>
  <w:footnote w:id="3">
    <w:p w:rsidR="005063CB" w:rsidRPr="003964D3" w:rsidRDefault="005063CB" w:rsidP="006A425D">
      <w:pPr>
        <w:pStyle w:val="FootnoteText"/>
        <w:rPr>
          <w:sz w:val="16"/>
          <w:szCs w:val="16"/>
        </w:rPr>
      </w:pPr>
      <w:r>
        <w:rPr>
          <w:rStyle w:val="FootnoteReference"/>
          <w:sz w:val="16"/>
          <w:szCs w:val="16"/>
        </w:rPr>
        <w:footnoteRef/>
      </w:r>
      <w:r>
        <w:rPr>
          <w:sz w:val="16"/>
          <w:szCs w:val="16"/>
        </w:rPr>
        <w:t xml:space="preserve"> The Government program for 2017-2020</w:t>
      </w:r>
    </w:p>
  </w:footnote>
  <w:footnote w:id="4">
    <w:p w:rsidR="005063CB" w:rsidRPr="0020052F" w:rsidRDefault="005063CB" w:rsidP="00912B6C">
      <w:pPr>
        <w:pStyle w:val="FootnoteText"/>
        <w:jc w:val="both"/>
      </w:pPr>
      <w:r>
        <w:rPr>
          <w:rStyle w:val="FootnoteReference"/>
        </w:rPr>
        <w:footnoteRef/>
      </w:r>
      <w:r>
        <w:t xml:space="preserve">the collections from the “Corporate income tax from the economic agents” represents 95.3% of the total collections of “Corporate income tax” </w:t>
      </w:r>
    </w:p>
  </w:footnote>
  <w:footnote w:id="5">
    <w:p w:rsidR="005063CB" w:rsidRPr="001F401A" w:rsidRDefault="005063CB" w:rsidP="00912B6C">
      <w:pPr>
        <w:pStyle w:val="FootnoteText"/>
        <w:jc w:val="both"/>
        <w:rPr>
          <w:rStyle w:val="FootnoteReference"/>
          <w:rFonts w:cs="Arial"/>
        </w:rPr>
      </w:pPr>
      <w:r>
        <w:rPr>
          <w:rFonts w:ascii="Calibri" w:hAnsi="Calibri" w:cs="Arial"/>
          <w:vertAlign w:val="superscript"/>
        </w:rPr>
        <w:footnoteRef/>
      </w:r>
      <w:r>
        <w:rPr>
          <w:rFonts w:ascii="Calibri" w:hAnsi="Calibri"/>
        </w:rPr>
        <w:t>The law entered into force on January 1, 2017.</w:t>
      </w:r>
    </w:p>
  </w:footnote>
  <w:footnote w:id="6">
    <w:p w:rsidR="005063CB" w:rsidRPr="001F401A" w:rsidRDefault="005063CB" w:rsidP="00912B6C">
      <w:pPr>
        <w:pStyle w:val="FootnoteText"/>
        <w:jc w:val="both"/>
        <w:rPr>
          <w:rStyle w:val="FootnoteReference"/>
          <w:rFonts w:cs="Arial"/>
        </w:rPr>
      </w:pPr>
      <w:r>
        <w:rPr>
          <w:rStyle w:val="FootnoteReference"/>
          <w:rFonts w:cs="Arial"/>
          <w:lang w:val="ro-RO"/>
        </w:rPr>
        <w:footnoteRef/>
      </w:r>
      <w:r>
        <w:rPr>
          <w:rFonts w:ascii="Calibri" w:hAnsi="Calibri"/>
        </w:rPr>
        <w:t>TITLE II*)    Corporate income tax</w:t>
      </w:r>
    </w:p>
  </w:footnote>
  <w:footnote w:id="7">
    <w:p w:rsidR="005063CB" w:rsidRPr="001F401A" w:rsidRDefault="005063CB" w:rsidP="00912B6C">
      <w:pPr>
        <w:pStyle w:val="FootnoteText"/>
        <w:jc w:val="both"/>
        <w:rPr>
          <w:rFonts w:ascii="Calibri" w:hAnsi="Calibri"/>
        </w:rPr>
      </w:pPr>
      <w:r>
        <w:rPr>
          <w:rStyle w:val="FootnoteReference"/>
          <w:lang w:val="ro-RO"/>
        </w:rPr>
        <w:footnoteRef/>
      </w:r>
      <w:r>
        <w:rPr>
          <w:rFonts w:ascii="Calibri" w:hAnsi="Calibri"/>
        </w:rPr>
        <w:t>Law no. 227/2015 on the Fiscal Code</w:t>
      </w:r>
    </w:p>
  </w:footnote>
  <w:footnote w:id="8">
    <w:p w:rsidR="005063CB" w:rsidRPr="001F401A" w:rsidRDefault="005063CB" w:rsidP="00912B6C">
      <w:pPr>
        <w:pStyle w:val="FootnoteText"/>
        <w:jc w:val="both"/>
        <w:rPr>
          <w:rFonts w:ascii="Calibri" w:hAnsi="Calibri"/>
        </w:rPr>
      </w:pPr>
      <w:r>
        <w:rPr>
          <w:rStyle w:val="FootnoteReference"/>
          <w:lang w:val="ro-RO"/>
        </w:rPr>
        <w:footnoteRef/>
      </w:r>
      <w:r>
        <w:rPr>
          <w:rFonts w:ascii="Calibri" w:hAnsi="Calibri"/>
        </w:rPr>
        <w:t>Enters into force on the date of publication of GOVERNMENT ORDINANCE No. 3/2017 of January 6, 2017 amending and supplementing Law no. 227/2015 on the Fiscal Code</w:t>
      </w:r>
    </w:p>
  </w:footnote>
  <w:footnote w:id="9">
    <w:p w:rsidR="005063CB" w:rsidRPr="001F401A" w:rsidRDefault="005063CB" w:rsidP="00912B6C">
      <w:pPr>
        <w:pStyle w:val="FootnoteText"/>
        <w:jc w:val="both"/>
        <w:rPr>
          <w:rFonts w:ascii="Calibri" w:hAnsi="Calibri"/>
        </w:rPr>
      </w:pPr>
      <w:r>
        <w:rPr>
          <w:rStyle w:val="FootnoteReference"/>
          <w:lang w:val="ro-RO"/>
        </w:rPr>
        <w:footnoteRef/>
      </w:r>
      <w:r>
        <w:rPr>
          <w:rFonts w:ascii="Calibri" w:hAnsi="Calibri"/>
        </w:rPr>
        <w:t xml:space="preserve"> NIS - Press release no. 41/February 14, 2018</w:t>
      </w:r>
    </w:p>
  </w:footnote>
  <w:footnote w:id="10">
    <w:p w:rsidR="005063CB" w:rsidRPr="001F401A" w:rsidRDefault="005063CB" w:rsidP="00912B6C">
      <w:pPr>
        <w:pStyle w:val="FootnoteText"/>
        <w:jc w:val="both"/>
        <w:rPr>
          <w:rFonts w:ascii="Calibri" w:hAnsi="Calibri"/>
        </w:rPr>
      </w:pPr>
      <w:r>
        <w:rPr>
          <w:rStyle w:val="FootnoteReference"/>
          <w:lang w:val="ro-RO"/>
        </w:rPr>
        <w:footnoteRef/>
      </w:r>
      <w:r>
        <w:rPr>
          <w:rFonts w:ascii="Calibri" w:hAnsi="Calibri"/>
        </w:rPr>
        <w:t xml:space="preserve"> NIS - Press release no. 40/February 14, 2018</w:t>
      </w:r>
    </w:p>
  </w:footnote>
  <w:footnote w:id="11">
    <w:p w:rsidR="005063CB" w:rsidRPr="0020052F" w:rsidRDefault="005063CB" w:rsidP="00912B6C">
      <w:pPr>
        <w:pStyle w:val="FootnoteText"/>
        <w:jc w:val="both"/>
      </w:pPr>
      <w:r>
        <w:rPr>
          <w:rStyle w:val="FootnoteReference"/>
        </w:rPr>
        <w:footnoteRef/>
      </w:r>
      <w:r>
        <w:t>the collections from the “Corporate income tax from commercial banks” represents 4.7% of the total collections of “Corporate income tax” at the State budget</w:t>
      </w:r>
    </w:p>
  </w:footnote>
  <w:footnote w:id="12">
    <w:p w:rsidR="005063CB" w:rsidRPr="0020052F" w:rsidRDefault="005063CB" w:rsidP="00912B6C">
      <w:pPr>
        <w:pStyle w:val="FootnoteText"/>
      </w:pPr>
      <w:r>
        <w:rPr>
          <w:rStyle w:val="FootnoteReference"/>
          <w:lang w:val="ro-RO"/>
        </w:rPr>
        <w:footnoteRef/>
      </w:r>
      <w:r>
        <w:t xml:space="preserve"> In 2017, compared to the previous year, the average number of employees increased by 3.1% and the average gross salary at economy level increased by 14.5%</w:t>
      </w:r>
    </w:p>
  </w:footnote>
  <w:footnote w:id="13">
    <w:p w:rsidR="005063CB" w:rsidRPr="0020052F" w:rsidRDefault="005063CB" w:rsidP="00912B6C">
      <w:pPr>
        <w:pStyle w:val="FootnoteText"/>
      </w:pPr>
      <w:r>
        <w:rPr>
          <w:rStyle w:val="FootnoteReference"/>
          <w:lang w:val="ro-RO"/>
        </w:rPr>
        <w:footnoteRef/>
      </w:r>
      <w:r>
        <w:t xml:space="preserve"> NIS - Press release no. 4/2018 on trade and services</w:t>
      </w:r>
    </w:p>
  </w:footnote>
  <w:footnote w:id="14">
    <w:p w:rsidR="005063CB" w:rsidRPr="0020052F" w:rsidRDefault="005063CB" w:rsidP="00912B6C">
      <w:pPr>
        <w:pStyle w:val="FootnoteText"/>
      </w:pPr>
      <w:r>
        <w:rPr>
          <w:rStyle w:val="FootnoteReference"/>
          <w:lang w:val="ro-RO"/>
        </w:rPr>
        <w:footnoteRef/>
      </w:r>
      <w:r>
        <w:t xml:space="preserve"> NIS - Press release no. 6/2018 on international trade of goods</w:t>
      </w:r>
    </w:p>
  </w:footnote>
  <w:footnote w:id="15">
    <w:p w:rsidR="005063CB" w:rsidRPr="0020052F" w:rsidRDefault="005063CB" w:rsidP="00912B6C">
      <w:pPr>
        <w:pStyle w:val="FootnoteText"/>
      </w:pPr>
      <w:r>
        <w:rPr>
          <w:rStyle w:val="FootnoteReference"/>
        </w:rPr>
        <w:footnoteRef/>
      </w:r>
      <w:r>
        <w:t>According to the provisions of art. XII in Law no. 1/2017</w:t>
      </w:r>
    </w:p>
  </w:footnote>
  <w:footnote w:id="16">
    <w:p w:rsidR="005063CB" w:rsidRPr="0020052F" w:rsidRDefault="005063CB" w:rsidP="00912B6C">
      <w:pPr>
        <w:pStyle w:val="FootnoteText"/>
      </w:pPr>
      <w:r>
        <w:rPr>
          <w:rStyle w:val="FootnoteReference"/>
          <w:lang w:val="ro-RO"/>
        </w:rPr>
        <w:footnoteRef/>
      </w:r>
      <w:r>
        <w:t xml:space="preserve"> NIS - Press release no. 6/2018 on international trade of goods</w:t>
      </w:r>
    </w:p>
  </w:footnote>
  <w:footnote w:id="17">
    <w:p w:rsidR="005063CB" w:rsidRPr="00841EAA" w:rsidRDefault="005063CB" w:rsidP="00912B6C">
      <w:pPr>
        <w:pStyle w:val="FootnoteText"/>
      </w:pPr>
      <w:r>
        <w:rPr>
          <w:rStyle w:val="FootnoteReference"/>
        </w:rPr>
        <w:footnoteRef/>
      </w:r>
      <w:r>
        <w:t xml:space="preserve"> In 2017, compared to the previous year, the average number of employees increased by 3.1% and the average gross salary at economy level increased by 14.5%</w:t>
      </w:r>
    </w:p>
  </w:footnote>
  <w:footnote w:id="18">
    <w:p w:rsidR="005063CB" w:rsidRPr="00BE7BCF" w:rsidRDefault="005063CB">
      <w:pPr>
        <w:pStyle w:val="FootnoteText"/>
        <w:rPr>
          <w:rFonts w:ascii="Calibri" w:hAnsi="Calibri"/>
          <w:sz w:val="18"/>
          <w:szCs w:val="18"/>
        </w:rPr>
      </w:pPr>
      <w:r>
        <w:rPr>
          <w:rStyle w:val="FootnoteReference"/>
        </w:rPr>
        <w:footnoteRef/>
      </w:r>
      <w:r>
        <w:rPr>
          <w:rFonts w:ascii="Calibri" w:hAnsi="Calibri"/>
          <w:sz w:val="18"/>
          <w:szCs w:val="18"/>
        </w:rPr>
        <w:t xml:space="preserve">If not otherwise specified, the indicators presented in this section are calculated in cash methodology. </w:t>
      </w:r>
    </w:p>
  </w:footnote>
  <w:footnote w:id="19">
    <w:p w:rsidR="005063CB" w:rsidRPr="00252DE3" w:rsidRDefault="005063CB" w:rsidP="00FD5488">
      <w:pPr>
        <w:pStyle w:val="FootnoteText"/>
        <w:jc w:val="both"/>
      </w:pPr>
      <w:r>
        <w:rPr>
          <w:rStyle w:val="FootnoteReference"/>
        </w:rPr>
        <w:footnoteRef/>
      </w:r>
      <w:r>
        <w:t xml:space="preserve"> the transfer of the tax burden regarding mandatory social contributions owed by the employee to the employee, in the case of revenues from salaries and assimilated to salaries, the reduction of the shares of the social insurance contribution and of the health insurance contribution, the establishment for the employers of the labor insurance contribution of 2.25% for revenues from salaries and assimilated to salaries</w:t>
      </w:r>
    </w:p>
  </w:footnote>
  <w:footnote w:id="20">
    <w:p w:rsidR="005063CB" w:rsidRPr="00BE7BCF" w:rsidRDefault="005063CB" w:rsidP="002A4FC7">
      <w:pPr>
        <w:pStyle w:val="FootnoteText"/>
        <w:rPr>
          <w:rFonts w:ascii="Calibri" w:hAnsi="Calibri"/>
          <w:sz w:val="18"/>
          <w:szCs w:val="18"/>
        </w:rPr>
      </w:pPr>
      <w:r>
        <w:rPr>
          <w:rStyle w:val="FootnoteReference"/>
          <w:rFonts w:ascii="Calibri" w:hAnsi="Calibri"/>
          <w:sz w:val="18"/>
          <w:szCs w:val="18"/>
        </w:rPr>
        <w:footnoteRef/>
      </w:r>
      <w:r>
        <w:rPr>
          <w:rFonts w:ascii="Calibri" w:hAnsi="Calibri"/>
          <w:sz w:val="18"/>
          <w:szCs w:val="18"/>
        </w:rPr>
        <w:t xml:space="preserve"> If not otherwise specified, the indicators presented in this section are calculated in cash methodology. </w:t>
      </w:r>
    </w:p>
  </w:footnote>
  <w:footnote w:id="21">
    <w:p w:rsidR="005063CB" w:rsidRPr="00A47B25" w:rsidRDefault="005063CB" w:rsidP="00BD4A3E">
      <w:pPr>
        <w:jc w:val="both"/>
        <w:rPr>
          <w:rFonts w:ascii="Calibri" w:hAnsi="Calibri" w:cs="Calibri"/>
          <w:sz w:val="14"/>
          <w:szCs w:val="14"/>
        </w:rPr>
      </w:pPr>
      <w:r>
        <w:rPr>
          <w:rStyle w:val="FootnoteReference"/>
          <w:rFonts w:ascii="Calibri" w:hAnsi="Calibri" w:cs="Calibri"/>
          <w:sz w:val="14"/>
          <w:szCs w:val="14"/>
        </w:rPr>
        <w:footnoteRef/>
      </w:r>
      <w:r>
        <w:rPr>
          <w:rFonts w:ascii="Calibri" w:hAnsi="Calibri"/>
          <w:sz w:val="14"/>
          <w:szCs w:val="14"/>
        </w:rPr>
        <w:t xml:space="preserve">The Regional Operational Program, the Sector Operational Program for Transport, the Sector Operational Program for Environment, the Sector Operational Program of Increasing the Economic Competitiveness, the Sector Operational Program of Human Resources Development, the Operational Program of Development of the Administrative Capacity and the Operational Program of Technical Assistance. </w:t>
      </w:r>
    </w:p>
  </w:footnote>
  <w:footnote w:id="22">
    <w:p w:rsidR="005063CB" w:rsidRPr="00A47B25" w:rsidRDefault="005063CB" w:rsidP="00BD4A3E">
      <w:pPr>
        <w:jc w:val="both"/>
        <w:rPr>
          <w:rFonts w:ascii="Calibri" w:hAnsi="Calibri" w:cs="Calibri"/>
          <w:sz w:val="14"/>
          <w:szCs w:val="14"/>
        </w:rPr>
      </w:pPr>
      <w:r>
        <w:rPr>
          <w:rStyle w:val="FootnoteReference"/>
          <w:rFonts w:ascii="Calibri" w:hAnsi="Calibri" w:cs="Calibri"/>
          <w:sz w:val="14"/>
          <w:szCs w:val="14"/>
        </w:rPr>
        <w:footnoteRef/>
      </w:r>
      <w:r>
        <w:rPr>
          <w:rFonts w:ascii="Calibri" w:hAnsi="Calibri"/>
          <w:sz w:val="14"/>
          <w:szCs w:val="14"/>
        </w:rPr>
        <w:t xml:space="preserve"> The current absorption rate represents the ratio between the value of expenditure statements sent to the European Commission and the total allocation that corresponds to the period 2007-2013. </w:t>
      </w:r>
    </w:p>
  </w:footnote>
  <w:footnote w:id="23">
    <w:p w:rsidR="005063CB" w:rsidRPr="00A47B25" w:rsidRDefault="005063CB" w:rsidP="00BD4A3E">
      <w:pPr>
        <w:jc w:val="both"/>
        <w:rPr>
          <w:rFonts w:ascii="Calibri" w:hAnsi="Calibri" w:cs="Calibri"/>
          <w:sz w:val="14"/>
          <w:szCs w:val="14"/>
        </w:rPr>
      </w:pPr>
      <w:r>
        <w:rPr>
          <w:rStyle w:val="FootnoteReference"/>
          <w:rFonts w:ascii="Calibri" w:hAnsi="Calibri" w:cs="Calibri"/>
          <w:sz w:val="14"/>
          <w:szCs w:val="14"/>
        </w:rPr>
        <w:footnoteRef/>
      </w:r>
      <w:r>
        <w:rPr>
          <w:rFonts w:ascii="Calibri" w:hAnsi="Calibri"/>
          <w:sz w:val="14"/>
          <w:szCs w:val="14"/>
        </w:rPr>
        <w:t xml:space="preserve"> The reimbursement rate represents the ratio between the value of the amounts paid by the European Commission and the total allocation corresponding to the operational programs. </w:t>
      </w:r>
    </w:p>
  </w:footnote>
  <w:footnote w:id="24">
    <w:p w:rsidR="005063CB" w:rsidRPr="00A47B25" w:rsidRDefault="005063CB" w:rsidP="00BD4A3E">
      <w:pPr>
        <w:jc w:val="both"/>
        <w:rPr>
          <w:rFonts w:ascii="Calibri" w:hAnsi="Calibri" w:cs="Calibri"/>
          <w:sz w:val="14"/>
          <w:szCs w:val="14"/>
        </w:rPr>
      </w:pPr>
      <w:r>
        <w:rPr>
          <w:rStyle w:val="FootnoteReference"/>
          <w:rFonts w:ascii="Calibri" w:hAnsi="Calibri" w:cs="Calibri"/>
          <w:sz w:val="14"/>
          <w:szCs w:val="14"/>
        </w:rPr>
        <w:footnoteRef/>
      </w:r>
      <w:r>
        <w:rPr>
          <w:rFonts w:ascii="Calibri" w:hAnsi="Calibri"/>
          <w:sz w:val="14"/>
          <w:szCs w:val="14"/>
        </w:rPr>
        <w:t xml:space="preserve"> European Regional Development Fund</w:t>
      </w:r>
    </w:p>
  </w:footnote>
  <w:footnote w:id="25">
    <w:p w:rsidR="005063CB" w:rsidRPr="00A47B25" w:rsidRDefault="005063CB" w:rsidP="00BD4A3E">
      <w:pPr>
        <w:jc w:val="both"/>
        <w:rPr>
          <w:rFonts w:ascii="Calibri" w:hAnsi="Calibri" w:cs="Calibri"/>
          <w:sz w:val="14"/>
          <w:szCs w:val="14"/>
        </w:rPr>
      </w:pPr>
      <w:r>
        <w:rPr>
          <w:rFonts w:ascii="Calibri" w:hAnsi="Calibri" w:cs="Calibri"/>
          <w:sz w:val="14"/>
          <w:szCs w:val="14"/>
          <w:vertAlign w:val="superscript"/>
          <w:lang w:val="ro-RO"/>
        </w:rPr>
        <w:footnoteRef/>
      </w:r>
      <w:r>
        <w:rPr>
          <w:rFonts w:ascii="Calibri" w:hAnsi="Calibri"/>
          <w:sz w:val="14"/>
          <w:szCs w:val="14"/>
        </w:rPr>
        <w:t>Cohesion Fund</w:t>
      </w:r>
    </w:p>
  </w:footnote>
  <w:footnote w:id="26">
    <w:p w:rsidR="005063CB" w:rsidRPr="00770A1F" w:rsidRDefault="005063CB" w:rsidP="00BD4A3E">
      <w:pPr>
        <w:jc w:val="both"/>
        <w:rPr>
          <w:rFonts w:ascii="Arial Narrow" w:hAnsi="Arial Narrow" w:cs="Calibri"/>
          <w:sz w:val="18"/>
          <w:szCs w:val="18"/>
        </w:rPr>
      </w:pPr>
      <w:r>
        <w:rPr>
          <w:rFonts w:ascii="Calibri" w:hAnsi="Calibri" w:cs="Calibri"/>
          <w:sz w:val="14"/>
          <w:szCs w:val="14"/>
          <w:vertAlign w:val="superscript"/>
          <w:lang w:val="ro-RO"/>
        </w:rPr>
        <w:footnoteRef/>
      </w:r>
      <w:r>
        <w:rPr>
          <w:rFonts w:ascii="Calibri" w:hAnsi="Calibri"/>
          <w:sz w:val="14"/>
          <w:szCs w:val="14"/>
        </w:rPr>
        <w:t>European Social Fund</w:t>
      </w:r>
    </w:p>
  </w:footnote>
  <w:footnote w:id="27">
    <w:p w:rsidR="005063CB" w:rsidRPr="00935CCB" w:rsidRDefault="005063CB" w:rsidP="00BD4A3E">
      <w:pPr>
        <w:jc w:val="both"/>
        <w:rPr>
          <w:rFonts w:ascii="Arial Narrow" w:hAnsi="Arial Narrow" w:cs="Calibri"/>
          <w:sz w:val="18"/>
          <w:szCs w:val="18"/>
        </w:rPr>
      </w:pPr>
      <w:r>
        <w:rPr>
          <w:rStyle w:val="FootnoteReference"/>
          <w:rFonts w:ascii="Arial Narrow" w:hAnsi="Arial Narrow"/>
        </w:rPr>
        <w:footnoteRef/>
      </w:r>
      <w:r>
        <w:rPr>
          <w:rFonts w:ascii="Arial Narrow" w:hAnsi="Arial Narrow"/>
          <w:sz w:val="18"/>
          <w:szCs w:val="18"/>
        </w:rPr>
        <w:t>Ministry of European Funds (MEF) is the Management Authority for these Operational Programs</w:t>
      </w:r>
    </w:p>
  </w:footnote>
  <w:footnote w:id="28">
    <w:p w:rsidR="005063CB" w:rsidRPr="00935CCB" w:rsidRDefault="005063CB" w:rsidP="00BD4A3E">
      <w:pPr>
        <w:jc w:val="both"/>
        <w:rPr>
          <w:rFonts w:ascii="Arial Narrow" w:hAnsi="Arial Narrow" w:cs="Calibri"/>
          <w:sz w:val="18"/>
          <w:szCs w:val="18"/>
        </w:rPr>
      </w:pPr>
      <w:r>
        <w:rPr>
          <w:rFonts w:ascii="Calibri" w:hAnsi="Calibri" w:cs="Calibri"/>
          <w:sz w:val="18"/>
          <w:szCs w:val="18"/>
          <w:vertAlign w:val="superscript"/>
          <w:lang w:val="ro-RO"/>
        </w:rPr>
        <w:footnoteRef/>
      </w:r>
      <w:r>
        <w:rPr>
          <w:rFonts w:ascii="Arial Narrow" w:hAnsi="Arial Narrow"/>
          <w:sz w:val="18"/>
          <w:szCs w:val="18"/>
        </w:rPr>
        <w:t>approved by the EC on July 9, 2015</w:t>
      </w:r>
    </w:p>
  </w:footnote>
  <w:footnote w:id="29">
    <w:p w:rsidR="005063CB" w:rsidRPr="00A47B25" w:rsidRDefault="005063CB" w:rsidP="00BD4A3E">
      <w:pPr>
        <w:jc w:val="both"/>
        <w:rPr>
          <w:rFonts w:ascii="Calibri" w:hAnsi="Calibri" w:cs="Calibri"/>
          <w:sz w:val="18"/>
          <w:szCs w:val="18"/>
        </w:rPr>
      </w:pPr>
      <w:r>
        <w:rPr>
          <w:rStyle w:val="FootnoteReference"/>
          <w:rFonts w:ascii="Calibri" w:hAnsi="Calibri"/>
          <w:sz w:val="18"/>
          <w:szCs w:val="18"/>
        </w:rPr>
        <w:footnoteRef/>
      </w:r>
      <w:r>
        <w:rPr>
          <w:rFonts w:ascii="Calibri" w:hAnsi="Calibri"/>
          <w:sz w:val="18"/>
          <w:szCs w:val="18"/>
        </w:rPr>
        <w:t xml:space="preserve">approved by the EC on February 25, 2015 </w:t>
      </w:r>
    </w:p>
  </w:footnote>
  <w:footnote w:id="30">
    <w:p w:rsidR="005063CB" w:rsidRPr="00935CCB" w:rsidRDefault="005063CB" w:rsidP="00BD4A3E">
      <w:pPr>
        <w:jc w:val="both"/>
        <w:rPr>
          <w:rFonts w:ascii="Arial Narrow" w:hAnsi="Arial Narrow" w:cs="Calibri"/>
          <w:sz w:val="18"/>
          <w:szCs w:val="18"/>
        </w:rPr>
      </w:pPr>
      <w:r>
        <w:rPr>
          <w:rFonts w:ascii="Calibri" w:hAnsi="Calibri" w:cs="Calibri"/>
          <w:sz w:val="18"/>
          <w:szCs w:val="18"/>
          <w:vertAlign w:val="superscript"/>
          <w:lang w:val="ro-RO"/>
        </w:rPr>
        <w:footnoteRef/>
      </w:r>
      <w:r>
        <w:rPr>
          <w:rFonts w:ascii="Calibri" w:hAnsi="Calibri"/>
          <w:sz w:val="18"/>
          <w:szCs w:val="18"/>
        </w:rPr>
        <w:t>approved by the EC on December 19, 2014</w:t>
      </w:r>
    </w:p>
  </w:footnote>
  <w:footnote w:id="31">
    <w:p w:rsidR="005063CB" w:rsidRPr="00A47B25" w:rsidRDefault="005063CB" w:rsidP="00BD4A3E">
      <w:pPr>
        <w:jc w:val="both"/>
        <w:rPr>
          <w:rFonts w:ascii="Calibri" w:hAnsi="Calibri" w:cs="Calibri"/>
        </w:rPr>
      </w:pPr>
      <w:r>
        <w:rPr>
          <w:rFonts w:ascii="Calibri" w:hAnsi="Calibri" w:cs="Calibri"/>
          <w:sz w:val="18"/>
          <w:szCs w:val="18"/>
          <w:vertAlign w:val="superscript"/>
          <w:lang w:val="ro-RO"/>
        </w:rPr>
        <w:footnoteRef/>
      </w:r>
      <w:r>
        <w:rPr>
          <w:rFonts w:ascii="Calibri" w:hAnsi="Calibri"/>
          <w:sz w:val="18"/>
          <w:szCs w:val="18"/>
        </w:rPr>
        <w:t>approved by the EC on December 18, 2014</w:t>
      </w:r>
    </w:p>
  </w:footnote>
  <w:footnote w:id="32">
    <w:p w:rsidR="005063CB" w:rsidRPr="00935CCB" w:rsidRDefault="005063CB" w:rsidP="00BD4A3E">
      <w:pPr>
        <w:jc w:val="both"/>
        <w:rPr>
          <w:rFonts w:ascii="Arial Narrow" w:hAnsi="Arial Narrow" w:cs="Calibri"/>
          <w:sz w:val="18"/>
          <w:szCs w:val="18"/>
        </w:rPr>
      </w:pPr>
      <w:r>
        <w:rPr>
          <w:rStyle w:val="FootnoteReference"/>
          <w:rFonts w:ascii="Arial Narrow" w:hAnsi="Arial Narrow"/>
        </w:rPr>
        <w:footnoteRef/>
      </w:r>
      <w:r>
        <w:rPr>
          <w:rFonts w:ascii="Arial Narrow" w:hAnsi="Arial Narrow"/>
          <w:sz w:val="18"/>
          <w:szCs w:val="18"/>
        </w:rPr>
        <w:t>Ministry of Regional Development and Public Administration (MRDPA) is the Management Authority for these Operational Programs</w:t>
      </w:r>
    </w:p>
  </w:footnote>
  <w:footnote w:id="33">
    <w:p w:rsidR="005063CB" w:rsidRPr="00935CCB" w:rsidRDefault="005063CB" w:rsidP="00BD4A3E">
      <w:pPr>
        <w:jc w:val="both"/>
        <w:rPr>
          <w:rFonts w:ascii="Arial Narrow" w:hAnsi="Arial Narrow" w:cs="Calibri"/>
          <w:sz w:val="18"/>
          <w:szCs w:val="18"/>
        </w:rPr>
      </w:pPr>
      <w:r>
        <w:rPr>
          <w:rFonts w:cs="Calibri"/>
          <w:sz w:val="18"/>
          <w:szCs w:val="18"/>
          <w:lang w:val="ro-RO"/>
        </w:rPr>
        <w:footnoteRef/>
      </w:r>
      <w:r>
        <w:rPr>
          <w:rFonts w:ascii="Arial Narrow" w:hAnsi="Arial Narrow"/>
          <w:sz w:val="18"/>
          <w:szCs w:val="18"/>
        </w:rPr>
        <w:t xml:space="preserve"> approved by the EC on June 23, 2015 </w:t>
      </w:r>
    </w:p>
  </w:footnote>
  <w:footnote w:id="34">
    <w:p w:rsidR="005063CB" w:rsidRPr="00A47B25" w:rsidRDefault="005063CB" w:rsidP="00BD4A3E">
      <w:pPr>
        <w:jc w:val="both"/>
        <w:rPr>
          <w:rFonts w:ascii="Calibri" w:hAnsi="Calibri" w:cs="Calibri"/>
          <w:sz w:val="18"/>
          <w:szCs w:val="18"/>
        </w:rPr>
      </w:pPr>
      <w:r>
        <w:rPr>
          <w:rStyle w:val="FootnoteReference"/>
          <w:rFonts w:ascii="Calibri" w:hAnsi="Calibri"/>
          <w:sz w:val="18"/>
          <w:szCs w:val="18"/>
        </w:rPr>
        <w:footnoteRef/>
      </w:r>
      <w:r>
        <w:rPr>
          <w:rFonts w:ascii="Arial Narrow" w:hAnsi="Arial Narrow"/>
          <w:sz w:val="18"/>
          <w:szCs w:val="18"/>
        </w:rPr>
        <w:t>approved by the EC on February 25, 2015 through Decision C(2015) 1290</w:t>
      </w:r>
    </w:p>
  </w:footnote>
  <w:footnote w:id="35">
    <w:p w:rsidR="005063CB" w:rsidRPr="00A47B25" w:rsidRDefault="005063CB" w:rsidP="00BD4A3E">
      <w:pPr>
        <w:jc w:val="both"/>
        <w:rPr>
          <w:rFonts w:ascii="Calibri" w:hAnsi="Calibri" w:cs="Calibri"/>
          <w:sz w:val="18"/>
          <w:szCs w:val="18"/>
        </w:rPr>
      </w:pPr>
      <w:r>
        <w:rPr>
          <w:rStyle w:val="FootnoteReference"/>
          <w:rFonts w:ascii="Calibri" w:hAnsi="Calibri"/>
          <w:sz w:val="14"/>
          <w:szCs w:val="14"/>
        </w:rPr>
        <w:footnoteRef/>
      </w:r>
      <w:r>
        <w:rPr>
          <w:rFonts w:ascii="Calibri" w:hAnsi="Calibri"/>
          <w:sz w:val="14"/>
          <w:szCs w:val="14"/>
        </w:rPr>
        <w:t>in its capacity as Management Authority.</w:t>
      </w:r>
    </w:p>
  </w:footnote>
  <w:footnote w:id="36">
    <w:p w:rsidR="005063CB" w:rsidRPr="00A47B25" w:rsidRDefault="005063CB" w:rsidP="00BD4A3E">
      <w:pPr>
        <w:jc w:val="both"/>
        <w:rPr>
          <w:rFonts w:ascii="Calibri" w:hAnsi="Calibri" w:cs="Calibri"/>
        </w:rPr>
      </w:pPr>
      <w:r>
        <w:rPr>
          <w:rStyle w:val="FootnoteReference"/>
          <w:rFonts w:ascii="Calibri" w:hAnsi="Calibri"/>
          <w:sz w:val="18"/>
          <w:szCs w:val="18"/>
        </w:rPr>
        <w:footnoteRef/>
      </w:r>
      <w:r>
        <w:rPr>
          <w:rFonts w:ascii="Calibri" w:hAnsi="Calibri"/>
          <w:sz w:val="18"/>
          <w:szCs w:val="18"/>
        </w:rPr>
        <w:t>in its capacity as Management Authority.</w:t>
      </w:r>
    </w:p>
  </w:footnote>
  <w:footnote w:id="37">
    <w:p w:rsidR="005063CB" w:rsidRPr="00A47B25" w:rsidRDefault="005063CB" w:rsidP="00BD4A3E">
      <w:pPr>
        <w:jc w:val="both"/>
        <w:rPr>
          <w:rFonts w:ascii="Calibri" w:hAnsi="Calibri" w:cs="Calibri"/>
          <w:sz w:val="18"/>
          <w:szCs w:val="18"/>
        </w:rPr>
      </w:pPr>
      <w:r>
        <w:rPr>
          <w:rStyle w:val="FootnoteReference"/>
          <w:rFonts w:ascii="Calibri" w:hAnsi="Calibri"/>
          <w:sz w:val="18"/>
          <w:szCs w:val="18"/>
        </w:rPr>
        <w:footnoteRef/>
      </w:r>
      <w:r>
        <w:rPr>
          <w:rFonts w:ascii="Calibri" w:hAnsi="Calibri"/>
          <w:sz w:val="18"/>
          <w:szCs w:val="18"/>
        </w:rPr>
        <w:t xml:space="preserve">in its capacity as National Authority </w:t>
      </w:r>
    </w:p>
  </w:footnote>
  <w:footnote w:id="38">
    <w:p w:rsidR="005063CB" w:rsidRPr="00935CCB" w:rsidRDefault="005063CB" w:rsidP="00BD4A3E">
      <w:pPr>
        <w:jc w:val="both"/>
        <w:rPr>
          <w:rFonts w:ascii="Arial Narrow" w:hAnsi="Arial Narrow" w:cs="Calibri"/>
          <w:sz w:val="18"/>
          <w:szCs w:val="18"/>
        </w:rPr>
      </w:pPr>
      <w:r>
        <w:rPr>
          <w:rStyle w:val="FootnoteReference"/>
          <w:rFonts w:ascii="Calibri" w:hAnsi="Calibri"/>
          <w:sz w:val="18"/>
          <w:szCs w:val="18"/>
        </w:rPr>
        <w:footnoteRef/>
      </w:r>
      <w:r>
        <w:rPr>
          <w:rFonts w:ascii="Calibri" w:hAnsi="Calibri"/>
          <w:sz w:val="18"/>
          <w:szCs w:val="18"/>
        </w:rPr>
        <w:t>in its capacity as National Authority</w:t>
      </w:r>
    </w:p>
  </w:footnote>
  <w:footnote w:id="39">
    <w:p w:rsidR="005063CB" w:rsidRPr="00A47B25" w:rsidRDefault="005063CB" w:rsidP="00BD4A3E">
      <w:pPr>
        <w:jc w:val="both"/>
        <w:rPr>
          <w:rFonts w:ascii="Calibri" w:hAnsi="Calibri" w:cs="Calibri"/>
          <w:sz w:val="18"/>
          <w:szCs w:val="18"/>
        </w:rPr>
      </w:pPr>
      <w:r>
        <w:rPr>
          <w:rStyle w:val="FootnoteReference"/>
          <w:rFonts w:ascii="Calibri" w:hAnsi="Calibri"/>
          <w:sz w:val="18"/>
          <w:szCs w:val="18"/>
        </w:rPr>
        <w:footnoteRef/>
      </w:r>
      <w:r>
        <w:rPr>
          <w:rFonts w:ascii="Calibri" w:hAnsi="Calibri"/>
          <w:sz w:val="18"/>
          <w:szCs w:val="18"/>
        </w:rPr>
        <w:t xml:space="preserve">in its capacity as National Authority </w:t>
      </w:r>
    </w:p>
  </w:footnote>
  <w:footnote w:id="40">
    <w:p w:rsidR="005063CB" w:rsidRPr="00A47B25" w:rsidRDefault="005063CB" w:rsidP="00BD4A3E">
      <w:pPr>
        <w:jc w:val="both"/>
        <w:rPr>
          <w:rFonts w:ascii="Calibri" w:hAnsi="Calibri" w:cs="Calibri"/>
          <w:sz w:val="18"/>
          <w:szCs w:val="18"/>
        </w:rPr>
      </w:pPr>
      <w:r>
        <w:rPr>
          <w:rStyle w:val="FootnoteReference"/>
          <w:rFonts w:ascii="Calibri" w:hAnsi="Calibri"/>
          <w:sz w:val="18"/>
          <w:szCs w:val="18"/>
        </w:rPr>
        <w:footnoteRef/>
      </w:r>
      <w:r>
        <w:rPr>
          <w:rFonts w:ascii="Calibri" w:hAnsi="Calibri"/>
          <w:sz w:val="18"/>
          <w:szCs w:val="18"/>
        </w:rPr>
        <w:t xml:space="preserve">in its capacity as National Authority </w:t>
      </w:r>
    </w:p>
  </w:footnote>
  <w:footnote w:id="41">
    <w:p w:rsidR="005063CB" w:rsidRPr="00A47B25" w:rsidRDefault="005063CB" w:rsidP="00BD4A3E">
      <w:pPr>
        <w:jc w:val="both"/>
        <w:rPr>
          <w:rFonts w:ascii="Calibri" w:hAnsi="Calibri" w:cs="Calibri"/>
          <w:sz w:val="18"/>
          <w:szCs w:val="18"/>
        </w:rPr>
      </w:pPr>
      <w:r>
        <w:rPr>
          <w:rStyle w:val="FootnoteReference"/>
          <w:rFonts w:ascii="Calibri" w:hAnsi="Calibri"/>
          <w:sz w:val="18"/>
          <w:szCs w:val="18"/>
        </w:rPr>
        <w:footnoteRef/>
      </w:r>
      <w:r>
        <w:rPr>
          <w:rFonts w:ascii="Calibri" w:hAnsi="Calibri"/>
          <w:sz w:val="18"/>
          <w:szCs w:val="18"/>
        </w:rPr>
        <w:t>in its capacity as Management Authority.</w:t>
      </w:r>
    </w:p>
  </w:footnote>
  <w:footnote w:id="42">
    <w:p w:rsidR="005063CB" w:rsidRPr="00935CCB" w:rsidRDefault="005063CB" w:rsidP="00BD4A3E">
      <w:pPr>
        <w:jc w:val="both"/>
        <w:rPr>
          <w:rFonts w:ascii="Arial Narrow" w:hAnsi="Arial Narrow" w:cs="Calibri"/>
          <w:sz w:val="18"/>
          <w:szCs w:val="18"/>
        </w:rPr>
      </w:pPr>
      <w:r>
        <w:rPr>
          <w:rStyle w:val="FootnoteReference"/>
          <w:rFonts w:ascii="Calibri" w:hAnsi="Calibri"/>
          <w:sz w:val="18"/>
          <w:szCs w:val="18"/>
        </w:rPr>
        <w:footnoteRef/>
      </w:r>
      <w:r>
        <w:rPr>
          <w:rFonts w:ascii="Calibri" w:hAnsi="Calibri"/>
          <w:sz w:val="18"/>
          <w:szCs w:val="18"/>
        </w:rPr>
        <w:t>in its capacity as Management Authority.</w:t>
      </w:r>
    </w:p>
  </w:footnote>
  <w:footnote w:id="43">
    <w:p w:rsidR="005063CB" w:rsidRPr="00A47B25" w:rsidRDefault="005063CB" w:rsidP="00BD4A3E">
      <w:pPr>
        <w:jc w:val="both"/>
        <w:rPr>
          <w:rFonts w:ascii="Calibri" w:hAnsi="Calibri" w:cs="Calibri"/>
          <w:sz w:val="18"/>
          <w:szCs w:val="18"/>
        </w:rPr>
      </w:pPr>
      <w:r>
        <w:rPr>
          <w:rStyle w:val="FootnoteReference"/>
          <w:rFonts w:ascii="Calibri" w:hAnsi="Calibri"/>
          <w:sz w:val="18"/>
          <w:szCs w:val="18"/>
        </w:rPr>
        <w:footnoteRef/>
      </w:r>
      <w:r>
        <w:rPr>
          <w:rFonts w:ascii="Calibri" w:hAnsi="Calibri"/>
          <w:sz w:val="18"/>
          <w:szCs w:val="18"/>
        </w:rPr>
        <w:t xml:space="preserve">in its capacity as Management Authority </w:t>
      </w:r>
    </w:p>
  </w:footnote>
  <w:footnote w:id="44">
    <w:p w:rsidR="005063CB" w:rsidRPr="00935CCB" w:rsidRDefault="005063CB" w:rsidP="00BD4A3E">
      <w:pPr>
        <w:jc w:val="both"/>
        <w:rPr>
          <w:rFonts w:ascii="Arial Narrow" w:hAnsi="Arial Narrow" w:cs="Calibri"/>
          <w:sz w:val="18"/>
          <w:szCs w:val="18"/>
        </w:rPr>
      </w:pPr>
      <w:r>
        <w:rPr>
          <w:rStyle w:val="FootnoteReference"/>
          <w:rFonts w:ascii="Calibri" w:hAnsi="Calibri"/>
          <w:sz w:val="18"/>
          <w:szCs w:val="18"/>
        </w:rPr>
        <w:footnoteRef/>
      </w:r>
      <w:r>
        <w:rPr>
          <w:rFonts w:ascii="Calibri" w:hAnsi="Calibri"/>
          <w:sz w:val="18"/>
          <w:szCs w:val="18"/>
        </w:rPr>
        <w:t>in its capacity as Management Authority.</w:t>
      </w:r>
    </w:p>
  </w:footnote>
  <w:footnote w:id="45">
    <w:p w:rsidR="005063CB" w:rsidRPr="00482CB3" w:rsidRDefault="005063CB" w:rsidP="005343F1">
      <w:pPr>
        <w:pStyle w:val="FootnoteText"/>
        <w:jc w:val="both"/>
        <w:rPr>
          <w:rFonts w:ascii="Calibri" w:hAnsi="Calibri"/>
          <w:i/>
          <w:sz w:val="16"/>
          <w:szCs w:val="18"/>
        </w:rPr>
      </w:pPr>
      <w:r>
        <w:rPr>
          <w:rStyle w:val="FootnoteReference"/>
          <w:rFonts w:ascii="Calibri" w:hAnsi="Calibri"/>
          <w:i/>
          <w:sz w:val="16"/>
          <w:szCs w:val="18"/>
        </w:rPr>
        <w:footnoteRef/>
      </w:r>
      <w:r>
        <w:rPr>
          <w:rFonts w:ascii="Calibri" w:hAnsi="Calibri"/>
          <w:i/>
          <w:sz w:val="16"/>
          <w:szCs w:val="18"/>
        </w:rPr>
        <w:t xml:space="preserve">the gross Government debt calculated in accordance with the EU methodology, which includes the debt of companies reclassified in the public administration sector. </w:t>
      </w:r>
    </w:p>
  </w:footnote>
  <w:footnote w:id="46">
    <w:p w:rsidR="005063CB" w:rsidRPr="005343F1" w:rsidRDefault="005063CB">
      <w:pPr>
        <w:pStyle w:val="FootnoteText"/>
      </w:pPr>
      <w:r>
        <w:rPr>
          <w:rStyle w:val="FootnoteReference"/>
        </w:rPr>
        <w:footnoteRef/>
      </w:r>
      <w:r>
        <w:t xml:space="preserve"> </w:t>
      </w:r>
      <w:r>
        <w:rPr>
          <w:i/>
          <w:sz w:val="16"/>
          <w:szCs w:val="16"/>
        </w:rPr>
        <w:t>GDP updated according to the NIS communication of March 7, 2019</w:t>
      </w:r>
    </w:p>
  </w:footnote>
  <w:footnote w:id="47">
    <w:p w:rsidR="005063CB" w:rsidRPr="005343F1" w:rsidRDefault="005063CB" w:rsidP="005343F1">
      <w:pPr>
        <w:pStyle w:val="FootnoteText"/>
        <w:jc w:val="both"/>
        <w:rPr>
          <w:rFonts w:ascii="Calibri" w:hAnsi="Calibri"/>
          <w:i/>
          <w:sz w:val="16"/>
          <w:szCs w:val="18"/>
        </w:rPr>
      </w:pPr>
      <w:r>
        <w:rPr>
          <w:rStyle w:val="FootnoteReference"/>
        </w:rPr>
        <w:footnoteRef/>
      </w:r>
      <w:r>
        <w:t xml:space="preserve"> </w:t>
      </w:r>
      <w:r>
        <w:rPr>
          <w:rFonts w:ascii="Calibri" w:hAnsi="Calibri"/>
          <w:i/>
          <w:sz w:val="16"/>
          <w:szCs w:val="18"/>
        </w:rPr>
        <w:t>Financial assets refer to the following instruments: AF1 - gold and DST, AF2 - deposits and cash, AF3 - securities, other than shares,AF5 - shares and other capital participations, if quoted on the stock exchange, including units of mutual funds, according to the methodology for the Convergence Program (April 2018). For the indicator’s calculation was used the value of the liquid financial assets at the end of 2017.</w:t>
      </w:r>
    </w:p>
  </w:footnote>
  <w:footnote w:id="48">
    <w:p w:rsidR="005063CB" w:rsidRPr="003931B2" w:rsidRDefault="005063CB" w:rsidP="00382E21">
      <w:pPr>
        <w:pStyle w:val="FootnoteText"/>
      </w:pPr>
      <w:r>
        <w:rPr>
          <w:rStyle w:val="FootnoteReference"/>
          <w:i/>
        </w:rPr>
        <w:footnoteRef/>
      </w:r>
      <w:r>
        <w:rPr>
          <w:rFonts w:ascii="Arial" w:hAnsi="Arial"/>
          <w:sz w:val="16"/>
          <w:szCs w:val="16"/>
        </w:rPr>
        <w:t>Including State securities dedicated to the population launched through the Tezaur program</w:t>
      </w:r>
    </w:p>
  </w:footnote>
  <w:footnote w:id="49">
    <w:p w:rsidR="005063CB" w:rsidRPr="00C21188" w:rsidRDefault="005063CB" w:rsidP="00C21188">
      <w:r w:rsidRPr="00C21188">
        <w:footnoteRef/>
      </w:r>
      <w:r w:rsidRPr="00C21188">
        <w:t>All indicators are calculated in accordance with the EU methodology</w:t>
      </w:r>
    </w:p>
  </w:footnote>
  <w:footnote w:id="50">
    <w:p w:rsidR="005063CB" w:rsidRPr="00C21188" w:rsidRDefault="005063CB" w:rsidP="00C21188">
      <w:r w:rsidRPr="00C21188">
        <w:footnoteRef/>
      </w:r>
      <w:r w:rsidRPr="00C21188">
        <w:t xml:space="preserve"> The other foreign currencies in which debt is denominated follow the same tendency of appreciation </w:t>
      </w:r>
    </w:p>
  </w:footnote>
  <w:footnote w:id="51">
    <w:p w:rsidR="005063CB" w:rsidRPr="00C21188" w:rsidRDefault="005063CB" w:rsidP="00C21188">
      <w:r w:rsidRPr="00C21188">
        <w:rPr>
          <w:rFonts w:eastAsia="Calibri"/>
        </w:rPr>
        <w:footnoteRef/>
      </w:r>
      <w:r w:rsidRPr="00C21188">
        <w:t xml:space="preserve"> The determination of this indicator took into account the summer forecast of the EC, which estimates for 2019 an ESA2010 deficit of 3.8 of GDP</w:t>
      </w:r>
    </w:p>
  </w:footnote>
  <w:footnote w:id="52">
    <w:p w:rsidR="005063CB" w:rsidRPr="00C21188" w:rsidRDefault="005063CB" w:rsidP="00C21188">
      <w:r w:rsidRPr="00C21188">
        <w:footnoteRef/>
      </w:r>
      <w:r w:rsidRPr="00C21188">
        <w:t xml:space="preserve"> The other foreign currencies in which debt is denominated follow the same tendency of appreciation</w:t>
      </w:r>
      <w:r w:rsidRPr="00C21188">
        <w:tab/>
      </w:r>
    </w:p>
  </w:footnote>
  <w:footnote w:id="53">
    <w:p w:rsidR="005063CB" w:rsidRPr="00C21188" w:rsidRDefault="005063CB" w:rsidP="00C21188">
      <w:r w:rsidRPr="00C21188">
        <w:rPr>
          <w:rFonts w:eastAsia="Calibri"/>
        </w:rPr>
        <w:footnoteRef/>
      </w:r>
      <w:r w:rsidRPr="00C21188">
        <w:t xml:space="preserve"> Eurostat- EUROPOP 2013</w:t>
      </w:r>
    </w:p>
  </w:footnote>
  <w:footnote w:id="54">
    <w:p w:rsidR="005063CB" w:rsidRPr="00C21188" w:rsidRDefault="005063CB" w:rsidP="00C21188">
      <w:r w:rsidRPr="00C21188">
        <w:footnoteRef/>
      </w:r>
      <w:r w:rsidRPr="00C21188">
        <w:t>In accordance with legislative provisions: GD no. 762/2008 on the approval of the National Strategy of Prevention of Emergency Situations; Government Decision no. 557/2016 on the management of types of risk; Emergency Ordinance no. 1/2014 on certain measures in the field of management of emergency situations and amending and supplementing Government Emergency Ordinance no. 21/2004 on the National System of Management for Emergency Situations.</w:t>
      </w:r>
    </w:p>
  </w:footnote>
  <w:footnote w:id="55">
    <w:p w:rsidR="005063CB" w:rsidRPr="00C21188" w:rsidRDefault="005063CB" w:rsidP="00C21188">
      <w:r w:rsidRPr="00C21188">
        <w:footnoteRef/>
      </w:r>
      <w:r w:rsidRPr="00C21188">
        <w:t>Risks selected for Romania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63CB" w:rsidRPr="002D749E" w:rsidRDefault="005063CB" w:rsidP="00BD4A3E">
    <w:pPr>
      <w:pStyle w:val="Header"/>
      <w:jc w:val="right"/>
      <w:rPr>
        <w:i/>
      </w:rPr>
    </w:pPr>
  </w:p>
  <w:p w:rsidR="005063CB" w:rsidRDefault="005063C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63CB" w:rsidRPr="002D749E" w:rsidRDefault="005063CB" w:rsidP="00BD4A3E">
    <w:pPr>
      <w:pStyle w:val="Header"/>
      <w:jc w:val="right"/>
      <w:rPr>
        <w:i/>
      </w:rPr>
    </w:pPr>
  </w:p>
  <w:p w:rsidR="005063CB" w:rsidRDefault="005063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90"/>
      </v:shape>
    </w:pict>
  </w:numPicBullet>
  <w:abstractNum w:abstractNumId="0">
    <w:nsid w:val="FFFFFF82"/>
    <w:multiLevelType w:val="singleLevel"/>
    <w:tmpl w:val="699E732E"/>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3"/>
    <w:multiLevelType w:val="singleLevel"/>
    <w:tmpl w:val="BDA62AD2"/>
    <w:lvl w:ilvl="0">
      <w:start w:val="1"/>
      <w:numFmt w:val="bullet"/>
      <w:pStyle w:val="ListBullet2"/>
      <w:lvlText w:val=""/>
      <w:lvlJc w:val="left"/>
      <w:pPr>
        <w:tabs>
          <w:tab w:val="num" w:pos="720"/>
        </w:tabs>
        <w:ind w:left="720" w:hanging="360"/>
      </w:pPr>
      <w:rPr>
        <w:rFonts w:ascii="Symbol" w:hAnsi="Symbol" w:hint="default"/>
      </w:rPr>
    </w:lvl>
  </w:abstractNum>
  <w:abstractNum w:abstractNumId="2">
    <w:nsid w:val="FFFFFF89"/>
    <w:multiLevelType w:val="singleLevel"/>
    <w:tmpl w:val="CF8E26C2"/>
    <w:lvl w:ilvl="0">
      <w:start w:val="1"/>
      <w:numFmt w:val="bullet"/>
      <w:pStyle w:val="ListBullet"/>
      <w:lvlText w:val=""/>
      <w:lvlJc w:val="left"/>
      <w:pPr>
        <w:tabs>
          <w:tab w:val="num" w:pos="720"/>
        </w:tabs>
        <w:ind w:left="720" w:hanging="720"/>
      </w:pPr>
      <w:rPr>
        <w:rFonts w:ascii="Symbol" w:hAnsi="Symbol" w:hint="default"/>
      </w:rPr>
    </w:lvl>
  </w:abstractNum>
  <w:abstractNum w:abstractNumId="3">
    <w:nsid w:val="FFFFFFFE"/>
    <w:multiLevelType w:val="singleLevel"/>
    <w:tmpl w:val="B374F8FC"/>
    <w:lvl w:ilvl="0">
      <w:numFmt w:val="bullet"/>
      <w:lvlText w:val="*"/>
      <w:lvlJc w:val="left"/>
    </w:lvl>
  </w:abstractNum>
  <w:abstractNum w:abstractNumId="4">
    <w:nsid w:val="00000001"/>
    <w:multiLevelType w:val="singleLevel"/>
    <w:tmpl w:val="00000001"/>
    <w:name w:val="WW8Num1"/>
    <w:lvl w:ilvl="0">
      <w:start w:val="1"/>
      <w:numFmt w:val="decimal"/>
      <w:lvlText w:val="%1."/>
      <w:lvlJc w:val="left"/>
      <w:pPr>
        <w:tabs>
          <w:tab w:val="num" w:pos="366"/>
        </w:tabs>
        <w:ind w:left="366" w:hanging="360"/>
      </w:pPr>
      <w:rPr>
        <w:rFonts w:ascii="Arial Narrow" w:hAnsi="Arial Narrow" w:cs="Arial" w:hint="default"/>
        <w:b/>
        <w:color w:val="000000"/>
        <w:sz w:val="24"/>
        <w:szCs w:val="24"/>
        <w:lang w:val="ro-RO"/>
      </w:rPr>
    </w:lvl>
  </w:abstractNum>
  <w:abstractNum w:abstractNumId="5">
    <w:nsid w:val="00000002"/>
    <w:multiLevelType w:val="multilevel"/>
    <w:tmpl w:val="00000002"/>
    <w:name w:val="WW8Num2"/>
    <w:lvl w:ilvl="0">
      <w:start w:val="1"/>
      <w:numFmt w:val="none"/>
      <w:suff w:val="nothing"/>
      <w:lvlText w:val=""/>
      <w:lvlJc w:val="left"/>
      <w:pPr>
        <w:tabs>
          <w:tab w:val="num" w:pos="0"/>
        </w:tabs>
        <w:ind w:left="432" w:hanging="432"/>
      </w:pPr>
      <w:rPr>
        <w:rFonts w:ascii="Times New Roman" w:eastAsia="Times New Roman" w:hAnsi="Times New Roman" w:cs="Times New Roman"/>
        <w:b/>
        <w:color w:val="000000"/>
        <w:sz w:val="24"/>
        <w:szCs w:val="24"/>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6">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lang w:val="ro-RO"/>
      </w:rPr>
    </w:lvl>
    <w:lvl w:ilvl="1">
      <w:start w:val="1"/>
      <w:numFmt w:val="bullet"/>
      <w:lvlText w:val="o"/>
      <w:lvlJc w:val="left"/>
      <w:pPr>
        <w:tabs>
          <w:tab w:val="num" w:pos="1440"/>
        </w:tabs>
        <w:ind w:left="1440" w:hanging="360"/>
      </w:pPr>
      <w:rPr>
        <w:rFonts w:ascii="Courier New" w:hAnsi="Courier New" w:cs="Courier New"/>
        <w:sz w:val="24"/>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7">
    <w:nsid w:val="00000004"/>
    <w:multiLevelType w:val="singleLevel"/>
    <w:tmpl w:val="00000004"/>
    <w:name w:val="WW8Num4"/>
    <w:lvl w:ilvl="0">
      <w:start w:val="1"/>
      <w:numFmt w:val="bullet"/>
      <w:lvlText w:val=""/>
      <w:lvlJc w:val="left"/>
      <w:pPr>
        <w:tabs>
          <w:tab w:val="num" w:pos="644"/>
        </w:tabs>
        <w:ind w:left="644" w:hanging="360"/>
      </w:pPr>
      <w:rPr>
        <w:rFonts w:ascii="Symbol" w:hAnsi="Symbol" w:cs="Symbol"/>
        <w:color w:val="000000"/>
        <w:sz w:val="24"/>
        <w:szCs w:val="24"/>
      </w:rPr>
    </w:lvl>
  </w:abstractNum>
  <w:abstractNum w:abstractNumId="8">
    <w:nsid w:val="00000005"/>
    <w:multiLevelType w:val="singleLevel"/>
    <w:tmpl w:val="00000005"/>
    <w:name w:val="WW8Num5"/>
    <w:lvl w:ilvl="0">
      <w:start w:val="1"/>
      <w:numFmt w:val="bullet"/>
      <w:lvlText w:val=""/>
      <w:lvlJc w:val="left"/>
      <w:pPr>
        <w:tabs>
          <w:tab w:val="num" w:pos="720"/>
        </w:tabs>
        <w:ind w:left="720" w:hanging="720"/>
      </w:pPr>
      <w:rPr>
        <w:rFonts w:ascii="Symbol" w:hAnsi="Symbol" w:cs="Symbol"/>
        <w:sz w:val="24"/>
        <w:szCs w:val="24"/>
        <w:lang w:eastAsia="zh-CN" w:bidi="ar-SA"/>
      </w:rPr>
    </w:lvl>
  </w:abstractNum>
  <w:abstractNum w:abstractNumId="9">
    <w:nsid w:val="00000006"/>
    <w:multiLevelType w:val="singleLevel"/>
    <w:tmpl w:val="00000006"/>
    <w:name w:val="WW8Num6"/>
    <w:lvl w:ilvl="0">
      <w:start w:val="1"/>
      <w:numFmt w:val="decimal"/>
      <w:lvlText w:val="%1.     "/>
      <w:lvlJc w:val="left"/>
      <w:pPr>
        <w:tabs>
          <w:tab w:val="num" w:pos="1080"/>
        </w:tabs>
        <w:ind w:left="360" w:firstLine="0"/>
      </w:pPr>
      <w:rPr>
        <w:b w:val="0"/>
      </w:rPr>
    </w:lvl>
  </w:abstractNum>
  <w:abstractNum w:abstractNumId="10">
    <w:nsid w:val="00000009"/>
    <w:multiLevelType w:val="multilevel"/>
    <w:tmpl w:val="00000009"/>
    <w:name w:val="WW8Num9"/>
    <w:lvl w:ilvl="0">
      <w:start w:val="3"/>
      <w:numFmt w:val="decimal"/>
      <w:lvlText w:val="%1."/>
      <w:lvlJc w:val="left"/>
      <w:pPr>
        <w:tabs>
          <w:tab w:val="num" w:pos="612"/>
        </w:tabs>
        <w:ind w:left="612" w:hanging="612"/>
      </w:pPr>
    </w:lvl>
    <w:lvl w:ilvl="1">
      <w:start w:val="2"/>
      <w:numFmt w:val="decimal"/>
      <w:lvlText w:val="%1.%2."/>
      <w:lvlJc w:val="left"/>
      <w:pPr>
        <w:tabs>
          <w:tab w:val="num" w:pos="612"/>
        </w:tabs>
        <w:ind w:left="612" w:hanging="612"/>
      </w:pPr>
    </w:lvl>
    <w:lvl w:ilvl="2">
      <w:start w:val="3"/>
      <w:numFmt w:val="decimal"/>
      <w:lvlText w:val="%1.%2.%3."/>
      <w:lvlJc w:val="left"/>
      <w:pPr>
        <w:tabs>
          <w:tab w:val="num" w:pos="720"/>
        </w:tabs>
        <w:ind w:left="720" w:hanging="720"/>
      </w:pPr>
      <w:rPr>
        <w:color w:val="000080"/>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1">
    <w:nsid w:val="0000000A"/>
    <w:multiLevelType w:val="singleLevel"/>
    <w:tmpl w:val="0000000A"/>
    <w:name w:val="WW8Num10"/>
    <w:lvl w:ilvl="0">
      <w:start w:val="1"/>
      <w:numFmt w:val="bullet"/>
      <w:lvlText w:val=""/>
      <w:lvlJc w:val="left"/>
      <w:pPr>
        <w:tabs>
          <w:tab w:val="num" w:pos="0"/>
        </w:tabs>
        <w:ind w:left="720" w:hanging="360"/>
      </w:pPr>
      <w:rPr>
        <w:rFonts w:ascii="Symbol" w:hAnsi="Symbol" w:cs="Symbol"/>
        <w:color w:val="auto"/>
      </w:rPr>
    </w:lvl>
  </w:abstractNum>
  <w:abstractNum w:abstractNumId="12">
    <w:nsid w:val="0000000B"/>
    <w:multiLevelType w:val="singleLevel"/>
    <w:tmpl w:val="B42EF9AC"/>
    <w:name w:val="WW8Num11"/>
    <w:lvl w:ilvl="0">
      <w:start w:val="1"/>
      <w:numFmt w:val="decimal"/>
      <w:lvlText w:val="%1)"/>
      <w:lvlJc w:val="left"/>
      <w:pPr>
        <w:tabs>
          <w:tab w:val="num" w:pos="0"/>
        </w:tabs>
        <w:ind w:left="720" w:hanging="720"/>
      </w:pPr>
      <w:rPr>
        <w:rFonts w:ascii="Arial" w:eastAsia="Times New Roman" w:hAnsi="Arial" w:cs="Times New Roman"/>
        <w:b/>
        <w:i/>
        <w:sz w:val="18"/>
        <w:szCs w:val="24"/>
        <w:lang w:eastAsia="ro-RO"/>
      </w:rPr>
    </w:lvl>
  </w:abstractNum>
  <w:abstractNum w:abstractNumId="13">
    <w:nsid w:val="0000000C"/>
    <w:multiLevelType w:val="singleLevel"/>
    <w:tmpl w:val="0000000C"/>
    <w:name w:val="WW8Num12"/>
    <w:lvl w:ilvl="0">
      <w:start w:val="1"/>
      <w:numFmt w:val="decimal"/>
      <w:lvlText w:val="%1)"/>
      <w:lvlJc w:val="left"/>
      <w:pPr>
        <w:tabs>
          <w:tab w:val="num" w:pos="0"/>
        </w:tabs>
        <w:ind w:left="1080" w:hanging="720"/>
      </w:pPr>
      <w:rPr>
        <w:rFonts w:ascii="Arial Narrow" w:eastAsia="Times New Roman" w:hAnsi="Arial Narrow" w:cs="Times New Roman"/>
        <w:b/>
        <w:bCs/>
        <w:i/>
        <w:color w:val="000000"/>
        <w:szCs w:val="24"/>
      </w:rPr>
    </w:lvl>
  </w:abstractNum>
  <w:abstractNum w:abstractNumId="14">
    <w:nsid w:val="0000000D"/>
    <w:multiLevelType w:val="singleLevel"/>
    <w:tmpl w:val="4A203CCA"/>
    <w:name w:val="WW8Num13"/>
    <w:lvl w:ilvl="0">
      <w:start w:val="1"/>
      <w:numFmt w:val="upperRoman"/>
      <w:lvlText w:val="%1."/>
      <w:lvlJc w:val="left"/>
      <w:pPr>
        <w:tabs>
          <w:tab w:val="num" w:pos="0"/>
        </w:tabs>
        <w:ind w:left="720" w:hanging="720"/>
      </w:pPr>
      <w:rPr>
        <w:rFonts w:ascii="Arial Narrow" w:hAnsi="Arial Narrow" w:cs="Arial Narrow"/>
        <w:b/>
        <w:i w:val="0"/>
      </w:rPr>
    </w:lvl>
  </w:abstractNum>
  <w:abstractNum w:abstractNumId="15">
    <w:nsid w:val="0000000E"/>
    <w:multiLevelType w:val="singleLevel"/>
    <w:tmpl w:val="0000000E"/>
    <w:name w:val="WW8Num14"/>
    <w:lvl w:ilvl="0">
      <w:start w:val="1"/>
      <w:numFmt w:val="upperLetter"/>
      <w:lvlText w:val="%1)"/>
      <w:lvlJc w:val="left"/>
      <w:pPr>
        <w:tabs>
          <w:tab w:val="num" w:pos="0"/>
        </w:tabs>
        <w:ind w:left="720" w:hanging="360"/>
      </w:pPr>
      <w:rPr>
        <w:rFonts w:ascii="Arial Narrow" w:eastAsia="Times New Roman" w:hAnsi="Arial Narrow" w:cs="Arial Narrow"/>
        <w:b/>
        <w:i/>
        <w:szCs w:val="24"/>
      </w:rPr>
    </w:lvl>
  </w:abstractNum>
  <w:abstractNum w:abstractNumId="16">
    <w:nsid w:val="00000010"/>
    <w:multiLevelType w:val="multilevel"/>
    <w:tmpl w:val="00000010"/>
    <w:name w:val="WW8Num16"/>
    <w:lvl w:ilvl="0">
      <w:start w:val="1"/>
      <w:numFmt w:val="bullet"/>
      <w:lvlText w:val=""/>
      <w:lvlJc w:val="left"/>
      <w:pPr>
        <w:tabs>
          <w:tab w:val="num" w:pos="0"/>
        </w:tabs>
        <w:ind w:left="644" w:hanging="360"/>
      </w:pPr>
      <w:rPr>
        <w:rFonts w:ascii="Wingdings" w:hAnsi="Wingdings" w:cs="OpenSymbol"/>
        <w:szCs w:val="24"/>
      </w:rPr>
    </w:lvl>
    <w:lvl w:ilvl="1">
      <w:start w:val="1"/>
      <w:numFmt w:val="bullet"/>
      <w:lvlText w:val="o"/>
      <w:lvlJc w:val="left"/>
      <w:pPr>
        <w:tabs>
          <w:tab w:val="num" w:pos="0"/>
        </w:tabs>
        <w:ind w:left="1440" w:hanging="360"/>
      </w:pPr>
      <w:rPr>
        <w:rFonts w:ascii="Courier New" w:hAnsi="Courier New" w:cs="Courier New"/>
        <w:sz w:val="24"/>
        <w:szCs w:val="24"/>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24"/>
        <w:szCs w:val="24"/>
        <w:shd w:val="clear" w:color="auto" w:fill="auto"/>
      </w:rPr>
    </w:lvl>
    <w:lvl w:ilvl="4">
      <w:start w:val="1"/>
      <w:numFmt w:val="bullet"/>
      <w:lvlText w:val="o"/>
      <w:lvlJc w:val="left"/>
      <w:pPr>
        <w:tabs>
          <w:tab w:val="num" w:pos="0"/>
        </w:tabs>
        <w:ind w:left="3600" w:hanging="360"/>
      </w:pPr>
      <w:rPr>
        <w:rFonts w:ascii="Courier New" w:hAnsi="Courier New" w:cs="Courier New"/>
        <w:sz w:val="24"/>
        <w:szCs w:val="24"/>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24"/>
        <w:szCs w:val="24"/>
        <w:shd w:val="clear" w:color="auto" w:fill="auto"/>
      </w:rPr>
    </w:lvl>
    <w:lvl w:ilvl="7">
      <w:start w:val="1"/>
      <w:numFmt w:val="bullet"/>
      <w:lvlText w:val="o"/>
      <w:lvlJc w:val="left"/>
      <w:pPr>
        <w:tabs>
          <w:tab w:val="num" w:pos="0"/>
        </w:tabs>
        <w:ind w:left="5760" w:hanging="360"/>
      </w:pPr>
      <w:rPr>
        <w:rFonts w:ascii="Courier New" w:hAnsi="Courier New" w:cs="Courier New"/>
        <w:sz w:val="24"/>
        <w:szCs w:val="24"/>
      </w:rPr>
    </w:lvl>
    <w:lvl w:ilvl="8">
      <w:start w:val="1"/>
      <w:numFmt w:val="bullet"/>
      <w:lvlText w:val=""/>
      <w:lvlJc w:val="left"/>
      <w:pPr>
        <w:tabs>
          <w:tab w:val="num" w:pos="0"/>
        </w:tabs>
        <w:ind w:left="6480" w:hanging="360"/>
      </w:pPr>
      <w:rPr>
        <w:rFonts w:ascii="Wingdings" w:hAnsi="Wingdings" w:cs="Wingdings"/>
      </w:rPr>
    </w:lvl>
  </w:abstractNum>
  <w:abstractNum w:abstractNumId="17">
    <w:nsid w:val="00000011"/>
    <w:multiLevelType w:val="multilevel"/>
    <w:tmpl w:val="00000011"/>
    <w:name w:val="WW8Num17"/>
    <w:lvl w:ilvl="0">
      <w:start w:val="1"/>
      <w:numFmt w:val="bullet"/>
      <w:lvlText w:val=""/>
      <w:lvlJc w:val="left"/>
      <w:pPr>
        <w:tabs>
          <w:tab w:val="num" w:pos="360"/>
        </w:tabs>
        <w:ind w:left="1800" w:hanging="360"/>
      </w:pPr>
      <w:rPr>
        <w:rFonts w:ascii="Symbol" w:hAnsi="Symbol" w:cs="OpenSymbol"/>
        <w:sz w:val="24"/>
        <w:szCs w:val="24"/>
        <w:shd w:val="clear" w:color="auto" w:fill="FFFFFF"/>
        <w:lang w:eastAsia="zh-CN" w:bidi="ar-SA"/>
      </w:rPr>
    </w:lvl>
    <w:lvl w:ilvl="1">
      <w:start w:val="1"/>
      <w:numFmt w:val="bullet"/>
      <w:lvlText w:val="o"/>
      <w:lvlJc w:val="left"/>
      <w:pPr>
        <w:tabs>
          <w:tab w:val="num" w:pos="360"/>
        </w:tabs>
        <w:ind w:left="2520" w:hanging="360"/>
      </w:pPr>
      <w:rPr>
        <w:rFonts w:ascii="Courier New" w:hAnsi="Courier New" w:cs="Courier New"/>
      </w:rPr>
    </w:lvl>
    <w:lvl w:ilvl="2">
      <w:start w:val="1"/>
      <w:numFmt w:val="bullet"/>
      <w:lvlText w:val=""/>
      <w:lvlJc w:val="left"/>
      <w:pPr>
        <w:tabs>
          <w:tab w:val="num" w:pos="360"/>
        </w:tabs>
        <w:ind w:left="3240" w:hanging="360"/>
      </w:pPr>
      <w:rPr>
        <w:rFonts w:ascii="Wingdings" w:hAnsi="Wingdings" w:cs="Wingdings"/>
        <w:sz w:val="24"/>
        <w:szCs w:val="24"/>
      </w:rPr>
    </w:lvl>
    <w:lvl w:ilvl="3">
      <w:start w:val="1"/>
      <w:numFmt w:val="bullet"/>
      <w:lvlText w:val=""/>
      <w:lvlJc w:val="left"/>
      <w:pPr>
        <w:tabs>
          <w:tab w:val="num" w:pos="360"/>
        </w:tabs>
        <w:ind w:left="3960" w:hanging="360"/>
      </w:pPr>
      <w:rPr>
        <w:rFonts w:ascii="Symbol" w:hAnsi="Symbol" w:cs="Symbol"/>
      </w:rPr>
    </w:lvl>
    <w:lvl w:ilvl="4">
      <w:start w:val="1"/>
      <w:numFmt w:val="bullet"/>
      <w:lvlText w:val="o"/>
      <w:lvlJc w:val="left"/>
      <w:pPr>
        <w:tabs>
          <w:tab w:val="num" w:pos="360"/>
        </w:tabs>
        <w:ind w:left="4680" w:hanging="360"/>
      </w:pPr>
      <w:rPr>
        <w:rFonts w:ascii="Courier New" w:hAnsi="Courier New" w:cs="Courier New"/>
      </w:rPr>
    </w:lvl>
    <w:lvl w:ilvl="5">
      <w:start w:val="1"/>
      <w:numFmt w:val="bullet"/>
      <w:lvlText w:val=""/>
      <w:lvlJc w:val="left"/>
      <w:pPr>
        <w:tabs>
          <w:tab w:val="num" w:pos="360"/>
        </w:tabs>
        <w:ind w:left="5400" w:hanging="360"/>
      </w:pPr>
      <w:rPr>
        <w:rFonts w:ascii="Wingdings" w:hAnsi="Wingdings" w:cs="Wingdings"/>
        <w:sz w:val="24"/>
        <w:szCs w:val="24"/>
      </w:rPr>
    </w:lvl>
    <w:lvl w:ilvl="6">
      <w:start w:val="1"/>
      <w:numFmt w:val="bullet"/>
      <w:lvlText w:val=""/>
      <w:lvlJc w:val="left"/>
      <w:pPr>
        <w:tabs>
          <w:tab w:val="num" w:pos="360"/>
        </w:tabs>
        <w:ind w:left="6120" w:hanging="360"/>
      </w:pPr>
      <w:rPr>
        <w:rFonts w:ascii="Symbol" w:hAnsi="Symbol" w:cs="Symbol"/>
      </w:rPr>
    </w:lvl>
    <w:lvl w:ilvl="7">
      <w:start w:val="1"/>
      <w:numFmt w:val="bullet"/>
      <w:lvlText w:val="o"/>
      <w:lvlJc w:val="left"/>
      <w:pPr>
        <w:tabs>
          <w:tab w:val="num" w:pos="360"/>
        </w:tabs>
        <w:ind w:left="6840" w:hanging="360"/>
      </w:pPr>
      <w:rPr>
        <w:rFonts w:ascii="Courier New" w:hAnsi="Courier New" w:cs="Courier New"/>
      </w:rPr>
    </w:lvl>
    <w:lvl w:ilvl="8">
      <w:start w:val="1"/>
      <w:numFmt w:val="bullet"/>
      <w:lvlText w:val=""/>
      <w:lvlJc w:val="left"/>
      <w:pPr>
        <w:tabs>
          <w:tab w:val="num" w:pos="360"/>
        </w:tabs>
        <w:ind w:left="7560" w:hanging="360"/>
      </w:pPr>
      <w:rPr>
        <w:rFonts w:ascii="Wingdings" w:hAnsi="Wingdings" w:cs="Wingdings"/>
        <w:sz w:val="24"/>
        <w:szCs w:val="24"/>
      </w:rPr>
    </w:lvl>
  </w:abstractNum>
  <w:abstractNum w:abstractNumId="18">
    <w:nsid w:val="00000012"/>
    <w:multiLevelType w:val="multilevel"/>
    <w:tmpl w:val="2A66CF7E"/>
    <w:name w:val="WW8Num18"/>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nsid w:val="00000013"/>
    <w:multiLevelType w:val="multilevel"/>
    <w:tmpl w:val="C22472F2"/>
    <w:name w:val="WW8Num19"/>
    <w:lvl w:ilvl="0">
      <w:start w:val="1"/>
      <w:numFmt w:val="bullet"/>
      <w:lvlText w:val=""/>
      <w:lvlJc w:val="left"/>
      <w:pPr>
        <w:tabs>
          <w:tab w:val="num" w:pos="765"/>
        </w:tabs>
        <w:ind w:left="765" w:hanging="360"/>
      </w:pPr>
      <w:rPr>
        <w:rFonts w:ascii="Symbol" w:hAnsi="Symbol" w:cs="OpenSymbol"/>
        <w:sz w:val="24"/>
        <w:szCs w:val="24"/>
      </w:rPr>
    </w:lvl>
    <w:lvl w:ilvl="1">
      <w:start w:val="1"/>
      <w:numFmt w:val="bullet"/>
      <w:lvlText w:val="◦"/>
      <w:lvlJc w:val="left"/>
      <w:pPr>
        <w:tabs>
          <w:tab w:val="num" w:pos="1125"/>
        </w:tabs>
        <w:ind w:left="1125" w:hanging="360"/>
      </w:pPr>
      <w:rPr>
        <w:rFonts w:ascii="OpenSymbol" w:hAnsi="OpenSymbol" w:cs="OpenSymbol"/>
      </w:rPr>
    </w:lvl>
    <w:lvl w:ilvl="2">
      <w:start w:val="1"/>
      <w:numFmt w:val="bullet"/>
      <w:lvlText w:val="▪"/>
      <w:lvlJc w:val="left"/>
      <w:pPr>
        <w:tabs>
          <w:tab w:val="num" w:pos="1485"/>
        </w:tabs>
        <w:ind w:left="1485" w:hanging="360"/>
      </w:pPr>
      <w:rPr>
        <w:rFonts w:ascii="OpenSymbol" w:hAnsi="OpenSymbol" w:cs="OpenSymbol"/>
      </w:rPr>
    </w:lvl>
    <w:lvl w:ilvl="3">
      <w:start w:val="1"/>
      <w:numFmt w:val="bullet"/>
      <w:lvlText w:val=""/>
      <w:lvlJc w:val="left"/>
      <w:pPr>
        <w:tabs>
          <w:tab w:val="num" w:pos="1845"/>
        </w:tabs>
        <w:ind w:left="1845" w:hanging="360"/>
      </w:pPr>
      <w:rPr>
        <w:rFonts w:ascii="Symbol" w:hAnsi="Symbol" w:cs="OpenSymbol"/>
        <w:szCs w:val="24"/>
      </w:rPr>
    </w:lvl>
    <w:lvl w:ilvl="4">
      <w:start w:val="1"/>
      <w:numFmt w:val="bullet"/>
      <w:lvlText w:val="◦"/>
      <w:lvlJc w:val="left"/>
      <w:pPr>
        <w:tabs>
          <w:tab w:val="num" w:pos="2205"/>
        </w:tabs>
        <w:ind w:left="2205" w:hanging="360"/>
      </w:pPr>
      <w:rPr>
        <w:rFonts w:ascii="OpenSymbol" w:hAnsi="OpenSymbol" w:cs="OpenSymbol"/>
      </w:rPr>
    </w:lvl>
    <w:lvl w:ilvl="5">
      <w:start w:val="1"/>
      <w:numFmt w:val="bullet"/>
      <w:lvlText w:val="▪"/>
      <w:lvlJc w:val="left"/>
      <w:pPr>
        <w:tabs>
          <w:tab w:val="num" w:pos="2565"/>
        </w:tabs>
        <w:ind w:left="2565" w:hanging="360"/>
      </w:pPr>
      <w:rPr>
        <w:rFonts w:ascii="OpenSymbol" w:hAnsi="OpenSymbol" w:cs="OpenSymbol"/>
      </w:rPr>
    </w:lvl>
    <w:lvl w:ilvl="6">
      <w:start w:val="1"/>
      <w:numFmt w:val="bullet"/>
      <w:lvlText w:val=""/>
      <w:lvlJc w:val="left"/>
      <w:pPr>
        <w:tabs>
          <w:tab w:val="num" w:pos="2925"/>
        </w:tabs>
        <w:ind w:left="2925" w:hanging="360"/>
      </w:pPr>
      <w:rPr>
        <w:rFonts w:ascii="Symbol" w:hAnsi="Symbol" w:cs="OpenSymbol"/>
        <w:szCs w:val="24"/>
      </w:rPr>
    </w:lvl>
    <w:lvl w:ilvl="7">
      <w:start w:val="1"/>
      <w:numFmt w:val="bullet"/>
      <w:lvlText w:val="◦"/>
      <w:lvlJc w:val="left"/>
      <w:pPr>
        <w:tabs>
          <w:tab w:val="num" w:pos="3285"/>
        </w:tabs>
        <w:ind w:left="3285" w:hanging="360"/>
      </w:pPr>
      <w:rPr>
        <w:rFonts w:ascii="OpenSymbol" w:hAnsi="OpenSymbol" w:cs="OpenSymbol"/>
      </w:rPr>
    </w:lvl>
    <w:lvl w:ilvl="8">
      <w:start w:val="1"/>
      <w:numFmt w:val="bullet"/>
      <w:lvlText w:val="▪"/>
      <w:lvlJc w:val="left"/>
      <w:pPr>
        <w:tabs>
          <w:tab w:val="num" w:pos="3645"/>
        </w:tabs>
        <w:ind w:left="3645" w:hanging="360"/>
      </w:pPr>
      <w:rPr>
        <w:rFonts w:ascii="OpenSymbol" w:hAnsi="OpenSymbol" w:cs="OpenSymbol"/>
      </w:rPr>
    </w:lvl>
  </w:abstractNum>
  <w:abstractNum w:abstractNumId="20">
    <w:nsid w:val="00000014"/>
    <w:multiLevelType w:val="multilevel"/>
    <w:tmpl w:val="2AF2F59E"/>
    <w:name w:val="WW8Num20"/>
    <w:lvl w:ilvl="0">
      <w:start w:val="1"/>
      <w:numFmt w:val="bullet"/>
      <w:lvlText w:val=""/>
      <w:lvlJc w:val="left"/>
      <w:pPr>
        <w:tabs>
          <w:tab w:val="num" w:pos="1004"/>
        </w:tabs>
        <w:ind w:left="1004" w:hanging="360"/>
      </w:pPr>
      <w:rPr>
        <w:rFonts w:ascii="Symbol" w:hAnsi="Symbol" w:hint="default"/>
        <w:szCs w:val="24"/>
      </w:rPr>
    </w:lvl>
    <w:lvl w:ilvl="1">
      <w:start w:val="1"/>
      <w:numFmt w:val="bullet"/>
      <w:lvlText w:val="◦"/>
      <w:lvlJc w:val="left"/>
      <w:pPr>
        <w:tabs>
          <w:tab w:val="num" w:pos="1364"/>
        </w:tabs>
        <w:ind w:left="1364" w:hanging="360"/>
      </w:pPr>
      <w:rPr>
        <w:rFonts w:ascii="OpenSymbol" w:hAnsi="OpenSymbol" w:cs="OpenSymbol"/>
      </w:rPr>
    </w:lvl>
    <w:lvl w:ilvl="2">
      <w:start w:val="1"/>
      <w:numFmt w:val="bullet"/>
      <w:lvlText w:val="▪"/>
      <w:lvlJc w:val="left"/>
      <w:pPr>
        <w:tabs>
          <w:tab w:val="num" w:pos="1724"/>
        </w:tabs>
        <w:ind w:left="1724" w:hanging="360"/>
      </w:pPr>
      <w:rPr>
        <w:rFonts w:ascii="OpenSymbol" w:hAnsi="OpenSymbol" w:cs="OpenSymbol"/>
      </w:rPr>
    </w:lvl>
    <w:lvl w:ilvl="3">
      <w:start w:val="1"/>
      <w:numFmt w:val="bullet"/>
      <w:lvlText w:val=""/>
      <w:lvlJc w:val="left"/>
      <w:pPr>
        <w:tabs>
          <w:tab w:val="num" w:pos="2084"/>
        </w:tabs>
        <w:ind w:left="2084" w:hanging="360"/>
      </w:pPr>
      <w:rPr>
        <w:rFonts w:ascii="Symbol" w:hAnsi="Symbol" w:cs="OpenSymbol"/>
        <w:szCs w:val="24"/>
        <w:shd w:val="clear" w:color="auto" w:fill="auto"/>
      </w:rPr>
    </w:lvl>
    <w:lvl w:ilvl="4">
      <w:start w:val="1"/>
      <w:numFmt w:val="bullet"/>
      <w:lvlText w:val="◦"/>
      <w:lvlJc w:val="left"/>
      <w:pPr>
        <w:tabs>
          <w:tab w:val="num" w:pos="2444"/>
        </w:tabs>
        <w:ind w:left="2444" w:hanging="360"/>
      </w:pPr>
      <w:rPr>
        <w:rFonts w:ascii="OpenSymbol" w:hAnsi="OpenSymbol" w:cs="OpenSymbol"/>
      </w:rPr>
    </w:lvl>
    <w:lvl w:ilvl="5">
      <w:start w:val="1"/>
      <w:numFmt w:val="bullet"/>
      <w:lvlText w:val="▪"/>
      <w:lvlJc w:val="left"/>
      <w:pPr>
        <w:tabs>
          <w:tab w:val="num" w:pos="2804"/>
        </w:tabs>
        <w:ind w:left="2804" w:hanging="360"/>
      </w:pPr>
      <w:rPr>
        <w:rFonts w:ascii="OpenSymbol" w:hAnsi="OpenSymbol" w:cs="OpenSymbol"/>
      </w:rPr>
    </w:lvl>
    <w:lvl w:ilvl="6">
      <w:start w:val="1"/>
      <w:numFmt w:val="bullet"/>
      <w:lvlText w:val=""/>
      <w:lvlJc w:val="left"/>
      <w:pPr>
        <w:tabs>
          <w:tab w:val="num" w:pos="3164"/>
        </w:tabs>
        <w:ind w:left="3164" w:hanging="360"/>
      </w:pPr>
      <w:rPr>
        <w:rFonts w:ascii="Symbol" w:hAnsi="Symbol" w:cs="OpenSymbol"/>
        <w:szCs w:val="24"/>
        <w:shd w:val="clear" w:color="auto" w:fill="auto"/>
      </w:rPr>
    </w:lvl>
    <w:lvl w:ilvl="7">
      <w:start w:val="1"/>
      <w:numFmt w:val="bullet"/>
      <w:lvlText w:val="◦"/>
      <w:lvlJc w:val="left"/>
      <w:pPr>
        <w:tabs>
          <w:tab w:val="num" w:pos="3524"/>
        </w:tabs>
        <w:ind w:left="3524" w:hanging="360"/>
      </w:pPr>
      <w:rPr>
        <w:rFonts w:ascii="OpenSymbol" w:hAnsi="OpenSymbol" w:cs="OpenSymbol"/>
      </w:rPr>
    </w:lvl>
    <w:lvl w:ilvl="8">
      <w:start w:val="1"/>
      <w:numFmt w:val="bullet"/>
      <w:lvlText w:val="▪"/>
      <w:lvlJc w:val="left"/>
      <w:pPr>
        <w:tabs>
          <w:tab w:val="num" w:pos="3884"/>
        </w:tabs>
        <w:ind w:left="3884" w:hanging="360"/>
      </w:pPr>
      <w:rPr>
        <w:rFonts w:ascii="OpenSymbol" w:hAnsi="OpenSymbol" w:cs="OpenSymbol"/>
      </w:rPr>
    </w:lvl>
  </w:abstractNum>
  <w:abstractNum w:abstractNumId="21">
    <w:nsid w:val="00000015"/>
    <w:multiLevelType w:val="multilevel"/>
    <w:tmpl w:val="00000015"/>
    <w:name w:val="WW8Num21"/>
    <w:lvl w:ilvl="0">
      <w:start w:val="1"/>
      <w:numFmt w:val="bullet"/>
      <w:lvlText w:val="-"/>
      <w:lvlJc w:val="left"/>
      <w:pPr>
        <w:tabs>
          <w:tab w:val="num" w:pos="0"/>
        </w:tabs>
        <w:ind w:left="1440" w:hanging="360"/>
      </w:pPr>
      <w:rPr>
        <w:rFonts w:ascii="Arial Narrow" w:hAnsi="Arial Narrow" w:cs="Arial Narrow"/>
        <w:color w:val="00000A"/>
        <w:szCs w:val="24"/>
        <w:shd w:val="clear" w:color="auto" w:fill="FFFFFF"/>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Courier New"/>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Courier New"/>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22">
    <w:nsid w:val="00000016"/>
    <w:multiLevelType w:val="multilevel"/>
    <w:tmpl w:val="00000016"/>
    <w:name w:val="WW8Num22"/>
    <w:lvl w:ilvl="0">
      <w:start w:val="1"/>
      <w:numFmt w:val="bullet"/>
      <w:lvlText w:val="-"/>
      <w:lvlJc w:val="left"/>
      <w:pPr>
        <w:tabs>
          <w:tab w:val="num" w:pos="0"/>
        </w:tabs>
        <w:ind w:left="720" w:hanging="360"/>
      </w:pPr>
      <w:rPr>
        <w:rFonts w:ascii="Calibri" w:hAnsi="Calibri"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Courier New"/>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Courier New"/>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3">
    <w:nsid w:val="00000017"/>
    <w:multiLevelType w:val="multilevel"/>
    <w:tmpl w:val="00000017"/>
    <w:name w:val="WW8Num23"/>
    <w:lvl w:ilvl="0">
      <w:start w:val="1"/>
      <w:numFmt w:val="decimal"/>
      <w:lvlText w:val="%1."/>
      <w:lvlJc w:val="left"/>
      <w:pPr>
        <w:tabs>
          <w:tab w:val="num" w:pos="786"/>
        </w:tabs>
        <w:ind w:left="786"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nsid w:val="00000018"/>
    <w:multiLevelType w:val="multilevel"/>
    <w:tmpl w:val="00000018"/>
    <w:name w:val="WW8Num24"/>
    <w:lvl w:ilvl="0">
      <w:start w:val="1"/>
      <w:numFmt w:val="bullet"/>
      <w:lvlText w:val=""/>
      <w:lvlJc w:val="left"/>
      <w:pPr>
        <w:tabs>
          <w:tab w:val="num" w:pos="808"/>
        </w:tabs>
        <w:ind w:left="808" w:hanging="360"/>
      </w:pPr>
      <w:rPr>
        <w:rFonts w:ascii="Wingdings" w:hAnsi="Wingdings" w:cs="OpenSymbol"/>
        <w:shd w:val="clear" w:color="auto" w:fill="auto"/>
      </w:rPr>
    </w:lvl>
    <w:lvl w:ilvl="1">
      <w:start w:val="1"/>
      <w:numFmt w:val="bullet"/>
      <w:lvlText w:val="◦"/>
      <w:lvlJc w:val="left"/>
      <w:pPr>
        <w:tabs>
          <w:tab w:val="num" w:pos="1168"/>
        </w:tabs>
        <w:ind w:left="1168" w:hanging="360"/>
      </w:pPr>
      <w:rPr>
        <w:rFonts w:ascii="OpenSymbol" w:hAnsi="OpenSymbol" w:cs="OpenSymbol"/>
      </w:rPr>
    </w:lvl>
    <w:lvl w:ilvl="2">
      <w:start w:val="1"/>
      <w:numFmt w:val="bullet"/>
      <w:lvlText w:val="▪"/>
      <w:lvlJc w:val="left"/>
      <w:pPr>
        <w:tabs>
          <w:tab w:val="num" w:pos="1528"/>
        </w:tabs>
        <w:ind w:left="1528" w:hanging="360"/>
      </w:pPr>
      <w:rPr>
        <w:rFonts w:ascii="OpenSymbol" w:hAnsi="OpenSymbol" w:cs="OpenSymbol"/>
      </w:rPr>
    </w:lvl>
    <w:lvl w:ilvl="3">
      <w:start w:val="1"/>
      <w:numFmt w:val="bullet"/>
      <w:lvlText w:val=""/>
      <w:lvlJc w:val="left"/>
      <w:pPr>
        <w:tabs>
          <w:tab w:val="num" w:pos="1888"/>
        </w:tabs>
        <w:ind w:left="1888" w:hanging="360"/>
      </w:pPr>
      <w:rPr>
        <w:rFonts w:ascii="Symbol" w:hAnsi="Symbol" w:cs="OpenSymbol"/>
      </w:rPr>
    </w:lvl>
    <w:lvl w:ilvl="4">
      <w:start w:val="1"/>
      <w:numFmt w:val="bullet"/>
      <w:lvlText w:val="◦"/>
      <w:lvlJc w:val="left"/>
      <w:pPr>
        <w:tabs>
          <w:tab w:val="num" w:pos="2248"/>
        </w:tabs>
        <w:ind w:left="2248" w:hanging="360"/>
      </w:pPr>
      <w:rPr>
        <w:rFonts w:ascii="OpenSymbol" w:hAnsi="OpenSymbol" w:cs="OpenSymbol"/>
      </w:rPr>
    </w:lvl>
    <w:lvl w:ilvl="5">
      <w:start w:val="1"/>
      <w:numFmt w:val="bullet"/>
      <w:lvlText w:val="▪"/>
      <w:lvlJc w:val="left"/>
      <w:pPr>
        <w:tabs>
          <w:tab w:val="num" w:pos="2608"/>
        </w:tabs>
        <w:ind w:left="2608" w:hanging="360"/>
      </w:pPr>
      <w:rPr>
        <w:rFonts w:ascii="OpenSymbol" w:hAnsi="OpenSymbol" w:cs="OpenSymbol"/>
      </w:rPr>
    </w:lvl>
    <w:lvl w:ilvl="6">
      <w:start w:val="1"/>
      <w:numFmt w:val="bullet"/>
      <w:lvlText w:val=""/>
      <w:lvlJc w:val="left"/>
      <w:pPr>
        <w:tabs>
          <w:tab w:val="num" w:pos="2968"/>
        </w:tabs>
        <w:ind w:left="2968" w:hanging="360"/>
      </w:pPr>
      <w:rPr>
        <w:rFonts w:ascii="Symbol" w:hAnsi="Symbol" w:cs="OpenSymbol"/>
      </w:rPr>
    </w:lvl>
    <w:lvl w:ilvl="7">
      <w:start w:val="1"/>
      <w:numFmt w:val="bullet"/>
      <w:lvlText w:val="◦"/>
      <w:lvlJc w:val="left"/>
      <w:pPr>
        <w:tabs>
          <w:tab w:val="num" w:pos="3328"/>
        </w:tabs>
        <w:ind w:left="3328" w:hanging="360"/>
      </w:pPr>
      <w:rPr>
        <w:rFonts w:ascii="OpenSymbol" w:hAnsi="OpenSymbol" w:cs="OpenSymbol"/>
      </w:rPr>
    </w:lvl>
    <w:lvl w:ilvl="8">
      <w:start w:val="1"/>
      <w:numFmt w:val="bullet"/>
      <w:lvlText w:val="▪"/>
      <w:lvlJc w:val="left"/>
      <w:pPr>
        <w:tabs>
          <w:tab w:val="num" w:pos="3688"/>
        </w:tabs>
        <w:ind w:left="3688" w:hanging="360"/>
      </w:pPr>
      <w:rPr>
        <w:rFonts w:ascii="OpenSymbol" w:hAnsi="OpenSymbol" w:cs="OpenSymbol"/>
      </w:rPr>
    </w:lvl>
  </w:abstractNum>
  <w:abstractNum w:abstractNumId="25">
    <w:nsid w:val="00000019"/>
    <w:multiLevelType w:val="multilevel"/>
    <w:tmpl w:val="00000019"/>
    <w:name w:val="WW8Num25"/>
    <w:lvl w:ilvl="0">
      <w:start w:val="1"/>
      <w:numFmt w:val="bullet"/>
      <w:lvlText w:val=""/>
      <w:lvlJc w:val="left"/>
      <w:pPr>
        <w:tabs>
          <w:tab w:val="num" w:pos="720"/>
        </w:tabs>
        <w:ind w:left="720" w:hanging="360"/>
      </w:pPr>
      <w:rPr>
        <w:rFonts w:ascii="Wingdings" w:hAnsi="Wingdings" w:cs="OpenSymbol"/>
        <w:sz w:val="24"/>
        <w:szCs w:val="24"/>
        <w:shd w:val="clear" w:color="auto" w:fill="auto"/>
        <w:lang w:val="ro-RO" w:eastAsia="zh-CN" w:bidi="ar-SA"/>
      </w:rPr>
    </w:lvl>
    <w:lvl w:ilvl="1">
      <w:start w:val="1"/>
      <w:numFmt w:val="bullet"/>
      <w:lvlText w:val=""/>
      <w:lvlJc w:val="left"/>
      <w:pPr>
        <w:tabs>
          <w:tab w:val="num" w:pos="1080"/>
        </w:tabs>
        <w:ind w:left="1080" w:hanging="360"/>
      </w:pPr>
      <w:rPr>
        <w:rFonts w:ascii="Wingdings" w:hAnsi="Wingdings" w:cs="OpenSymbol"/>
        <w:sz w:val="24"/>
        <w:szCs w:val="24"/>
        <w:shd w:val="clear" w:color="auto" w:fill="auto"/>
        <w:lang w:val="ro-RO" w:eastAsia="zh-CN" w:bidi="ar-SA"/>
      </w:rPr>
    </w:lvl>
    <w:lvl w:ilvl="2">
      <w:start w:val="1"/>
      <w:numFmt w:val="bullet"/>
      <w:lvlText w:val=""/>
      <w:lvlJc w:val="left"/>
      <w:pPr>
        <w:tabs>
          <w:tab w:val="num" w:pos="1440"/>
        </w:tabs>
        <w:ind w:left="1440" w:hanging="360"/>
      </w:pPr>
      <w:rPr>
        <w:rFonts w:ascii="Wingdings" w:hAnsi="Wingdings" w:cs="OpenSymbol"/>
        <w:sz w:val="24"/>
        <w:szCs w:val="24"/>
        <w:shd w:val="clear" w:color="auto" w:fill="auto"/>
        <w:lang w:val="ro-RO" w:eastAsia="zh-CN" w:bidi="ar-SA"/>
      </w:rPr>
    </w:lvl>
    <w:lvl w:ilvl="3">
      <w:start w:val="1"/>
      <w:numFmt w:val="bullet"/>
      <w:lvlText w:val=""/>
      <w:lvlJc w:val="left"/>
      <w:pPr>
        <w:tabs>
          <w:tab w:val="num" w:pos="1800"/>
        </w:tabs>
        <w:ind w:left="1800" w:hanging="360"/>
      </w:pPr>
      <w:rPr>
        <w:rFonts w:ascii="Wingdings" w:hAnsi="Wingdings" w:cs="OpenSymbol"/>
        <w:sz w:val="24"/>
        <w:szCs w:val="24"/>
        <w:shd w:val="clear" w:color="auto" w:fill="auto"/>
        <w:lang w:val="ro-RO" w:eastAsia="zh-CN" w:bidi="ar-SA"/>
      </w:rPr>
    </w:lvl>
    <w:lvl w:ilvl="4">
      <w:start w:val="1"/>
      <w:numFmt w:val="bullet"/>
      <w:lvlText w:val=""/>
      <w:lvlJc w:val="left"/>
      <w:pPr>
        <w:tabs>
          <w:tab w:val="num" w:pos="2160"/>
        </w:tabs>
        <w:ind w:left="2160" w:hanging="360"/>
      </w:pPr>
      <w:rPr>
        <w:rFonts w:ascii="Wingdings" w:hAnsi="Wingdings" w:cs="OpenSymbol"/>
        <w:sz w:val="24"/>
        <w:szCs w:val="24"/>
        <w:shd w:val="clear" w:color="auto" w:fill="auto"/>
        <w:lang w:val="ro-RO" w:eastAsia="zh-CN" w:bidi="ar-SA"/>
      </w:rPr>
    </w:lvl>
    <w:lvl w:ilvl="5">
      <w:start w:val="1"/>
      <w:numFmt w:val="bullet"/>
      <w:lvlText w:val=""/>
      <w:lvlJc w:val="left"/>
      <w:pPr>
        <w:tabs>
          <w:tab w:val="num" w:pos="2520"/>
        </w:tabs>
        <w:ind w:left="2520" w:hanging="360"/>
      </w:pPr>
      <w:rPr>
        <w:rFonts w:ascii="Wingdings" w:hAnsi="Wingdings" w:cs="OpenSymbol"/>
        <w:sz w:val="24"/>
        <w:szCs w:val="24"/>
        <w:shd w:val="clear" w:color="auto" w:fill="auto"/>
        <w:lang w:val="ro-RO" w:eastAsia="zh-CN" w:bidi="ar-SA"/>
      </w:rPr>
    </w:lvl>
    <w:lvl w:ilvl="6">
      <w:start w:val="1"/>
      <w:numFmt w:val="bullet"/>
      <w:lvlText w:val=""/>
      <w:lvlJc w:val="left"/>
      <w:pPr>
        <w:tabs>
          <w:tab w:val="num" w:pos="2880"/>
        </w:tabs>
        <w:ind w:left="2880" w:hanging="360"/>
      </w:pPr>
      <w:rPr>
        <w:rFonts w:ascii="Wingdings" w:hAnsi="Wingdings" w:cs="OpenSymbol"/>
        <w:sz w:val="24"/>
        <w:szCs w:val="24"/>
        <w:shd w:val="clear" w:color="auto" w:fill="auto"/>
        <w:lang w:val="ro-RO" w:eastAsia="zh-CN" w:bidi="ar-SA"/>
      </w:rPr>
    </w:lvl>
    <w:lvl w:ilvl="7">
      <w:start w:val="1"/>
      <w:numFmt w:val="bullet"/>
      <w:lvlText w:val=""/>
      <w:lvlJc w:val="left"/>
      <w:pPr>
        <w:tabs>
          <w:tab w:val="num" w:pos="3240"/>
        </w:tabs>
        <w:ind w:left="3240" w:hanging="360"/>
      </w:pPr>
      <w:rPr>
        <w:rFonts w:ascii="Wingdings" w:hAnsi="Wingdings" w:cs="OpenSymbol"/>
        <w:sz w:val="24"/>
        <w:szCs w:val="24"/>
        <w:shd w:val="clear" w:color="auto" w:fill="auto"/>
        <w:lang w:val="ro-RO" w:eastAsia="zh-CN" w:bidi="ar-SA"/>
      </w:rPr>
    </w:lvl>
    <w:lvl w:ilvl="8">
      <w:start w:val="1"/>
      <w:numFmt w:val="bullet"/>
      <w:lvlText w:val=""/>
      <w:lvlJc w:val="left"/>
      <w:pPr>
        <w:tabs>
          <w:tab w:val="num" w:pos="3600"/>
        </w:tabs>
        <w:ind w:left="3600" w:hanging="360"/>
      </w:pPr>
      <w:rPr>
        <w:rFonts w:ascii="Wingdings" w:hAnsi="Wingdings" w:cs="OpenSymbol"/>
        <w:sz w:val="24"/>
        <w:szCs w:val="24"/>
        <w:shd w:val="clear" w:color="auto" w:fill="auto"/>
        <w:lang w:val="ro-RO" w:eastAsia="zh-CN" w:bidi="ar-SA"/>
      </w:rPr>
    </w:lvl>
  </w:abstractNum>
  <w:abstractNum w:abstractNumId="26">
    <w:nsid w:val="0000001A"/>
    <w:multiLevelType w:val="multilevel"/>
    <w:tmpl w:val="0000001A"/>
    <w:name w:val="WW8Num26"/>
    <w:lvl w:ilvl="0">
      <w:start w:val="1"/>
      <w:numFmt w:val="bullet"/>
      <w:lvlText w:val=""/>
      <w:lvlJc w:val="left"/>
      <w:pPr>
        <w:tabs>
          <w:tab w:val="num" w:pos="720"/>
        </w:tabs>
        <w:ind w:left="720" w:hanging="360"/>
      </w:pPr>
      <w:rPr>
        <w:rFonts w:ascii="Wingdings" w:hAnsi="Wingdings" w:cs="OpenSymbol"/>
        <w:szCs w:val="24"/>
      </w:rPr>
    </w:lvl>
    <w:lvl w:ilvl="1">
      <w:start w:val="1"/>
      <w:numFmt w:val="bullet"/>
      <w:lvlText w:val=""/>
      <w:lvlJc w:val="left"/>
      <w:pPr>
        <w:tabs>
          <w:tab w:val="num" w:pos="1080"/>
        </w:tabs>
        <w:ind w:left="1080" w:hanging="360"/>
      </w:pPr>
      <w:rPr>
        <w:rFonts w:ascii="Wingdings" w:hAnsi="Wingdings" w:cs="OpenSymbol"/>
        <w:szCs w:val="24"/>
      </w:rPr>
    </w:lvl>
    <w:lvl w:ilvl="2">
      <w:start w:val="1"/>
      <w:numFmt w:val="bullet"/>
      <w:lvlText w:val=""/>
      <w:lvlJc w:val="left"/>
      <w:pPr>
        <w:tabs>
          <w:tab w:val="num" w:pos="1440"/>
        </w:tabs>
        <w:ind w:left="1440" w:hanging="360"/>
      </w:pPr>
      <w:rPr>
        <w:rFonts w:ascii="Wingdings" w:hAnsi="Wingdings" w:cs="OpenSymbol"/>
        <w:szCs w:val="24"/>
      </w:rPr>
    </w:lvl>
    <w:lvl w:ilvl="3">
      <w:start w:val="1"/>
      <w:numFmt w:val="bullet"/>
      <w:lvlText w:val=""/>
      <w:lvlJc w:val="left"/>
      <w:pPr>
        <w:tabs>
          <w:tab w:val="num" w:pos="1800"/>
        </w:tabs>
        <w:ind w:left="1800" w:hanging="360"/>
      </w:pPr>
      <w:rPr>
        <w:rFonts w:ascii="Wingdings" w:hAnsi="Wingdings" w:cs="OpenSymbol"/>
        <w:szCs w:val="24"/>
      </w:rPr>
    </w:lvl>
    <w:lvl w:ilvl="4">
      <w:start w:val="1"/>
      <w:numFmt w:val="bullet"/>
      <w:lvlText w:val=""/>
      <w:lvlJc w:val="left"/>
      <w:pPr>
        <w:tabs>
          <w:tab w:val="num" w:pos="2160"/>
        </w:tabs>
        <w:ind w:left="2160" w:hanging="360"/>
      </w:pPr>
      <w:rPr>
        <w:rFonts w:ascii="Wingdings" w:hAnsi="Wingdings" w:cs="OpenSymbol"/>
        <w:szCs w:val="24"/>
      </w:rPr>
    </w:lvl>
    <w:lvl w:ilvl="5">
      <w:start w:val="1"/>
      <w:numFmt w:val="bullet"/>
      <w:lvlText w:val=""/>
      <w:lvlJc w:val="left"/>
      <w:pPr>
        <w:tabs>
          <w:tab w:val="num" w:pos="2520"/>
        </w:tabs>
        <w:ind w:left="2520" w:hanging="360"/>
      </w:pPr>
      <w:rPr>
        <w:rFonts w:ascii="Wingdings" w:hAnsi="Wingdings" w:cs="OpenSymbol"/>
        <w:szCs w:val="24"/>
      </w:rPr>
    </w:lvl>
    <w:lvl w:ilvl="6">
      <w:start w:val="1"/>
      <w:numFmt w:val="bullet"/>
      <w:lvlText w:val=""/>
      <w:lvlJc w:val="left"/>
      <w:pPr>
        <w:tabs>
          <w:tab w:val="num" w:pos="2880"/>
        </w:tabs>
        <w:ind w:left="2880" w:hanging="360"/>
      </w:pPr>
      <w:rPr>
        <w:rFonts w:ascii="Wingdings" w:hAnsi="Wingdings" w:cs="OpenSymbol"/>
        <w:szCs w:val="24"/>
      </w:rPr>
    </w:lvl>
    <w:lvl w:ilvl="7">
      <w:start w:val="1"/>
      <w:numFmt w:val="bullet"/>
      <w:lvlText w:val=""/>
      <w:lvlJc w:val="left"/>
      <w:pPr>
        <w:tabs>
          <w:tab w:val="num" w:pos="3240"/>
        </w:tabs>
        <w:ind w:left="3240" w:hanging="360"/>
      </w:pPr>
      <w:rPr>
        <w:rFonts w:ascii="Wingdings" w:hAnsi="Wingdings" w:cs="OpenSymbol"/>
        <w:szCs w:val="24"/>
      </w:rPr>
    </w:lvl>
    <w:lvl w:ilvl="8">
      <w:start w:val="1"/>
      <w:numFmt w:val="bullet"/>
      <w:lvlText w:val=""/>
      <w:lvlJc w:val="left"/>
      <w:pPr>
        <w:tabs>
          <w:tab w:val="num" w:pos="3600"/>
        </w:tabs>
        <w:ind w:left="3600" w:hanging="360"/>
      </w:pPr>
      <w:rPr>
        <w:rFonts w:ascii="Wingdings" w:hAnsi="Wingdings" w:cs="OpenSymbol"/>
        <w:szCs w:val="24"/>
      </w:rPr>
    </w:lvl>
  </w:abstractNum>
  <w:abstractNum w:abstractNumId="27">
    <w:nsid w:val="0000001B"/>
    <w:multiLevelType w:val="multilevel"/>
    <w:tmpl w:val="0000001B"/>
    <w:name w:val="WW8Num27"/>
    <w:lvl w:ilvl="0">
      <w:start w:val="1"/>
      <w:numFmt w:val="bullet"/>
      <w:lvlText w:val=""/>
      <w:lvlJc w:val="left"/>
      <w:pPr>
        <w:tabs>
          <w:tab w:val="num" w:pos="720"/>
        </w:tabs>
        <w:ind w:left="720" w:hanging="360"/>
      </w:pPr>
      <w:rPr>
        <w:rFonts w:ascii="Wingdings" w:hAnsi="Wingdings" w:cs="OpenSymbol"/>
        <w:color w:val="333333"/>
        <w:szCs w:val="24"/>
      </w:rPr>
    </w:lvl>
    <w:lvl w:ilvl="1">
      <w:start w:val="1"/>
      <w:numFmt w:val="bullet"/>
      <w:lvlText w:val=""/>
      <w:lvlJc w:val="left"/>
      <w:pPr>
        <w:tabs>
          <w:tab w:val="num" w:pos="1080"/>
        </w:tabs>
        <w:ind w:left="1080" w:hanging="360"/>
      </w:pPr>
      <w:rPr>
        <w:rFonts w:ascii="Wingdings" w:hAnsi="Wingdings" w:cs="OpenSymbol"/>
        <w:color w:val="333333"/>
        <w:szCs w:val="24"/>
      </w:rPr>
    </w:lvl>
    <w:lvl w:ilvl="2">
      <w:start w:val="1"/>
      <w:numFmt w:val="bullet"/>
      <w:lvlText w:val=""/>
      <w:lvlJc w:val="left"/>
      <w:pPr>
        <w:tabs>
          <w:tab w:val="num" w:pos="1440"/>
        </w:tabs>
        <w:ind w:left="1440" w:hanging="360"/>
      </w:pPr>
      <w:rPr>
        <w:rFonts w:ascii="Wingdings" w:hAnsi="Wingdings" w:cs="OpenSymbol"/>
        <w:color w:val="333333"/>
        <w:szCs w:val="24"/>
      </w:rPr>
    </w:lvl>
    <w:lvl w:ilvl="3">
      <w:start w:val="1"/>
      <w:numFmt w:val="bullet"/>
      <w:lvlText w:val=""/>
      <w:lvlJc w:val="left"/>
      <w:pPr>
        <w:tabs>
          <w:tab w:val="num" w:pos="1800"/>
        </w:tabs>
        <w:ind w:left="1800" w:hanging="360"/>
      </w:pPr>
      <w:rPr>
        <w:rFonts w:ascii="Wingdings" w:hAnsi="Wingdings" w:cs="OpenSymbol"/>
        <w:color w:val="333333"/>
        <w:szCs w:val="24"/>
      </w:rPr>
    </w:lvl>
    <w:lvl w:ilvl="4">
      <w:start w:val="1"/>
      <w:numFmt w:val="bullet"/>
      <w:lvlText w:val=""/>
      <w:lvlJc w:val="left"/>
      <w:pPr>
        <w:tabs>
          <w:tab w:val="num" w:pos="2160"/>
        </w:tabs>
        <w:ind w:left="2160" w:hanging="360"/>
      </w:pPr>
      <w:rPr>
        <w:rFonts w:ascii="Wingdings" w:hAnsi="Wingdings" w:cs="OpenSymbol"/>
        <w:color w:val="333333"/>
        <w:szCs w:val="24"/>
      </w:rPr>
    </w:lvl>
    <w:lvl w:ilvl="5">
      <w:start w:val="1"/>
      <w:numFmt w:val="bullet"/>
      <w:lvlText w:val=""/>
      <w:lvlJc w:val="left"/>
      <w:pPr>
        <w:tabs>
          <w:tab w:val="num" w:pos="2520"/>
        </w:tabs>
        <w:ind w:left="2520" w:hanging="360"/>
      </w:pPr>
      <w:rPr>
        <w:rFonts w:ascii="Wingdings" w:hAnsi="Wingdings" w:cs="OpenSymbol"/>
        <w:color w:val="333333"/>
        <w:szCs w:val="24"/>
      </w:rPr>
    </w:lvl>
    <w:lvl w:ilvl="6">
      <w:start w:val="1"/>
      <w:numFmt w:val="bullet"/>
      <w:lvlText w:val=""/>
      <w:lvlJc w:val="left"/>
      <w:pPr>
        <w:tabs>
          <w:tab w:val="num" w:pos="2880"/>
        </w:tabs>
        <w:ind w:left="2880" w:hanging="360"/>
      </w:pPr>
      <w:rPr>
        <w:rFonts w:ascii="Wingdings" w:hAnsi="Wingdings" w:cs="OpenSymbol"/>
        <w:color w:val="333333"/>
        <w:szCs w:val="24"/>
      </w:rPr>
    </w:lvl>
    <w:lvl w:ilvl="7">
      <w:start w:val="1"/>
      <w:numFmt w:val="bullet"/>
      <w:lvlText w:val=""/>
      <w:lvlJc w:val="left"/>
      <w:pPr>
        <w:tabs>
          <w:tab w:val="num" w:pos="3240"/>
        </w:tabs>
        <w:ind w:left="3240" w:hanging="360"/>
      </w:pPr>
      <w:rPr>
        <w:rFonts w:ascii="Wingdings" w:hAnsi="Wingdings" w:cs="OpenSymbol"/>
        <w:color w:val="333333"/>
        <w:szCs w:val="24"/>
      </w:rPr>
    </w:lvl>
    <w:lvl w:ilvl="8">
      <w:start w:val="1"/>
      <w:numFmt w:val="bullet"/>
      <w:lvlText w:val=""/>
      <w:lvlJc w:val="left"/>
      <w:pPr>
        <w:tabs>
          <w:tab w:val="num" w:pos="3600"/>
        </w:tabs>
        <w:ind w:left="3600" w:hanging="360"/>
      </w:pPr>
      <w:rPr>
        <w:rFonts w:ascii="Wingdings" w:hAnsi="Wingdings" w:cs="OpenSymbol"/>
        <w:color w:val="333333"/>
        <w:szCs w:val="24"/>
      </w:rPr>
    </w:lvl>
  </w:abstractNum>
  <w:abstractNum w:abstractNumId="28">
    <w:nsid w:val="0000001C"/>
    <w:multiLevelType w:val="multilevel"/>
    <w:tmpl w:val="0000001C"/>
    <w:name w:val="WW8Num28"/>
    <w:lvl w:ilvl="0">
      <w:start w:val="1"/>
      <w:numFmt w:val="bullet"/>
      <w:lvlText w:val=""/>
      <w:lvlJc w:val="left"/>
      <w:pPr>
        <w:tabs>
          <w:tab w:val="num" w:pos="720"/>
        </w:tabs>
        <w:ind w:left="720" w:hanging="360"/>
      </w:pPr>
      <w:rPr>
        <w:rFonts w:ascii="Symbol" w:hAnsi="Symbol" w:cs="OpenSymbol"/>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9">
    <w:nsid w:val="0000001D"/>
    <w:multiLevelType w:val="multilevel"/>
    <w:tmpl w:val="0000001D"/>
    <w:name w:val="WW8Num29"/>
    <w:lvl w:ilvl="0">
      <w:start w:val="1"/>
      <w:numFmt w:val="bullet"/>
      <w:lvlText w:val=""/>
      <w:lvlJc w:val="left"/>
      <w:pPr>
        <w:tabs>
          <w:tab w:val="num" w:pos="648"/>
        </w:tabs>
        <w:ind w:left="648" w:hanging="360"/>
      </w:pPr>
      <w:rPr>
        <w:rFonts w:ascii="Symbol" w:hAnsi="Symbol" w:cs="OpenSymbol"/>
        <w:color w:val="000000"/>
        <w:lang w:bidi="ar-SA"/>
      </w:rPr>
    </w:lvl>
    <w:lvl w:ilvl="1">
      <w:start w:val="1"/>
      <w:numFmt w:val="bullet"/>
      <w:lvlText w:val="◦"/>
      <w:lvlJc w:val="left"/>
      <w:pPr>
        <w:tabs>
          <w:tab w:val="num" w:pos="1008"/>
        </w:tabs>
        <w:ind w:left="1008" w:hanging="360"/>
      </w:pPr>
      <w:rPr>
        <w:rFonts w:ascii="OpenSymbol" w:hAnsi="OpenSymbol" w:cs="OpenSymbol"/>
      </w:rPr>
    </w:lvl>
    <w:lvl w:ilvl="2">
      <w:start w:val="1"/>
      <w:numFmt w:val="bullet"/>
      <w:lvlText w:val="▪"/>
      <w:lvlJc w:val="left"/>
      <w:pPr>
        <w:tabs>
          <w:tab w:val="num" w:pos="1368"/>
        </w:tabs>
        <w:ind w:left="1368" w:hanging="360"/>
      </w:pPr>
      <w:rPr>
        <w:rFonts w:ascii="OpenSymbol" w:hAnsi="OpenSymbol" w:cs="OpenSymbol"/>
      </w:rPr>
    </w:lvl>
    <w:lvl w:ilvl="3">
      <w:start w:val="1"/>
      <w:numFmt w:val="bullet"/>
      <w:lvlText w:val=""/>
      <w:lvlJc w:val="left"/>
      <w:pPr>
        <w:tabs>
          <w:tab w:val="num" w:pos="1728"/>
        </w:tabs>
        <w:ind w:left="1728" w:hanging="360"/>
      </w:pPr>
      <w:rPr>
        <w:rFonts w:ascii="Symbol" w:hAnsi="Symbol" w:cs="OpenSymbol"/>
        <w:color w:val="000000"/>
        <w:lang w:bidi="ar-SA"/>
      </w:rPr>
    </w:lvl>
    <w:lvl w:ilvl="4">
      <w:start w:val="1"/>
      <w:numFmt w:val="bullet"/>
      <w:lvlText w:val="◦"/>
      <w:lvlJc w:val="left"/>
      <w:pPr>
        <w:tabs>
          <w:tab w:val="num" w:pos="2088"/>
        </w:tabs>
        <w:ind w:left="2088" w:hanging="360"/>
      </w:pPr>
      <w:rPr>
        <w:rFonts w:ascii="OpenSymbol" w:hAnsi="OpenSymbol" w:cs="OpenSymbol"/>
      </w:rPr>
    </w:lvl>
    <w:lvl w:ilvl="5">
      <w:start w:val="1"/>
      <w:numFmt w:val="bullet"/>
      <w:lvlText w:val="▪"/>
      <w:lvlJc w:val="left"/>
      <w:pPr>
        <w:tabs>
          <w:tab w:val="num" w:pos="2448"/>
        </w:tabs>
        <w:ind w:left="2448" w:hanging="360"/>
      </w:pPr>
      <w:rPr>
        <w:rFonts w:ascii="OpenSymbol" w:hAnsi="OpenSymbol" w:cs="OpenSymbol"/>
      </w:rPr>
    </w:lvl>
    <w:lvl w:ilvl="6">
      <w:start w:val="1"/>
      <w:numFmt w:val="bullet"/>
      <w:lvlText w:val=""/>
      <w:lvlJc w:val="left"/>
      <w:pPr>
        <w:tabs>
          <w:tab w:val="num" w:pos="2808"/>
        </w:tabs>
        <w:ind w:left="2808" w:hanging="360"/>
      </w:pPr>
      <w:rPr>
        <w:rFonts w:ascii="Symbol" w:hAnsi="Symbol" w:cs="OpenSymbol"/>
        <w:color w:val="000000"/>
        <w:lang w:bidi="ar-SA"/>
      </w:rPr>
    </w:lvl>
    <w:lvl w:ilvl="7">
      <w:start w:val="1"/>
      <w:numFmt w:val="bullet"/>
      <w:lvlText w:val="◦"/>
      <w:lvlJc w:val="left"/>
      <w:pPr>
        <w:tabs>
          <w:tab w:val="num" w:pos="3168"/>
        </w:tabs>
        <w:ind w:left="3168" w:hanging="360"/>
      </w:pPr>
      <w:rPr>
        <w:rFonts w:ascii="OpenSymbol" w:hAnsi="OpenSymbol" w:cs="OpenSymbol"/>
      </w:rPr>
    </w:lvl>
    <w:lvl w:ilvl="8">
      <w:start w:val="1"/>
      <w:numFmt w:val="bullet"/>
      <w:lvlText w:val="▪"/>
      <w:lvlJc w:val="left"/>
      <w:pPr>
        <w:tabs>
          <w:tab w:val="num" w:pos="3528"/>
        </w:tabs>
        <w:ind w:left="3528" w:hanging="360"/>
      </w:pPr>
      <w:rPr>
        <w:rFonts w:ascii="OpenSymbol" w:hAnsi="OpenSymbol" w:cs="OpenSymbol"/>
      </w:rPr>
    </w:lvl>
  </w:abstractNum>
  <w:abstractNum w:abstractNumId="30">
    <w:nsid w:val="00973E74"/>
    <w:multiLevelType w:val="hybridMultilevel"/>
    <w:tmpl w:val="07CC995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nsid w:val="00B67F27"/>
    <w:multiLevelType w:val="hybridMultilevel"/>
    <w:tmpl w:val="E56C22C4"/>
    <w:lvl w:ilvl="0" w:tplc="23E8C792">
      <w:start w:val="1"/>
      <w:numFmt w:val="decimal"/>
      <w:lvlText w:val="%1."/>
      <w:lvlJc w:val="left"/>
      <w:pPr>
        <w:ind w:left="1635" w:hanging="360"/>
      </w:pPr>
      <w:rPr>
        <w:rFonts w:hint="default"/>
        <w:b w:val="0"/>
      </w:rPr>
    </w:lvl>
    <w:lvl w:ilvl="1" w:tplc="C9B609C2">
      <w:numFmt w:val="bullet"/>
      <w:lvlText w:val="•"/>
      <w:lvlJc w:val="left"/>
      <w:pPr>
        <w:ind w:left="2355" w:hanging="360"/>
      </w:pPr>
      <w:rPr>
        <w:rFonts w:ascii="Trebuchet MS" w:eastAsiaTheme="minorHAnsi" w:hAnsi="Trebuchet MS" w:cstheme="minorBidi" w:hint="default"/>
      </w:rPr>
    </w:lvl>
    <w:lvl w:ilvl="2" w:tplc="04180005" w:tentative="1">
      <w:start w:val="1"/>
      <w:numFmt w:val="bullet"/>
      <w:lvlText w:val=""/>
      <w:lvlJc w:val="left"/>
      <w:pPr>
        <w:ind w:left="3075" w:hanging="360"/>
      </w:pPr>
      <w:rPr>
        <w:rFonts w:ascii="Wingdings" w:hAnsi="Wingdings" w:hint="default"/>
      </w:rPr>
    </w:lvl>
    <w:lvl w:ilvl="3" w:tplc="04180001" w:tentative="1">
      <w:start w:val="1"/>
      <w:numFmt w:val="bullet"/>
      <w:lvlText w:val=""/>
      <w:lvlJc w:val="left"/>
      <w:pPr>
        <w:ind w:left="3795" w:hanging="360"/>
      </w:pPr>
      <w:rPr>
        <w:rFonts w:ascii="Symbol" w:hAnsi="Symbol" w:hint="default"/>
      </w:rPr>
    </w:lvl>
    <w:lvl w:ilvl="4" w:tplc="04180003" w:tentative="1">
      <w:start w:val="1"/>
      <w:numFmt w:val="bullet"/>
      <w:lvlText w:val="o"/>
      <w:lvlJc w:val="left"/>
      <w:pPr>
        <w:ind w:left="4515" w:hanging="360"/>
      </w:pPr>
      <w:rPr>
        <w:rFonts w:ascii="Courier New" w:hAnsi="Courier New" w:cs="Courier New" w:hint="default"/>
      </w:rPr>
    </w:lvl>
    <w:lvl w:ilvl="5" w:tplc="04180005" w:tentative="1">
      <w:start w:val="1"/>
      <w:numFmt w:val="bullet"/>
      <w:lvlText w:val=""/>
      <w:lvlJc w:val="left"/>
      <w:pPr>
        <w:ind w:left="5235" w:hanging="360"/>
      </w:pPr>
      <w:rPr>
        <w:rFonts w:ascii="Wingdings" w:hAnsi="Wingdings" w:hint="default"/>
      </w:rPr>
    </w:lvl>
    <w:lvl w:ilvl="6" w:tplc="04180001" w:tentative="1">
      <w:start w:val="1"/>
      <w:numFmt w:val="bullet"/>
      <w:lvlText w:val=""/>
      <w:lvlJc w:val="left"/>
      <w:pPr>
        <w:ind w:left="5955" w:hanging="360"/>
      </w:pPr>
      <w:rPr>
        <w:rFonts w:ascii="Symbol" w:hAnsi="Symbol" w:hint="default"/>
      </w:rPr>
    </w:lvl>
    <w:lvl w:ilvl="7" w:tplc="04180003" w:tentative="1">
      <w:start w:val="1"/>
      <w:numFmt w:val="bullet"/>
      <w:lvlText w:val="o"/>
      <w:lvlJc w:val="left"/>
      <w:pPr>
        <w:ind w:left="6675" w:hanging="360"/>
      </w:pPr>
      <w:rPr>
        <w:rFonts w:ascii="Courier New" w:hAnsi="Courier New" w:cs="Courier New" w:hint="default"/>
      </w:rPr>
    </w:lvl>
    <w:lvl w:ilvl="8" w:tplc="04180005" w:tentative="1">
      <w:start w:val="1"/>
      <w:numFmt w:val="bullet"/>
      <w:lvlText w:val=""/>
      <w:lvlJc w:val="left"/>
      <w:pPr>
        <w:ind w:left="7395" w:hanging="360"/>
      </w:pPr>
      <w:rPr>
        <w:rFonts w:ascii="Wingdings" w:hAnsi="Wingdings" w:hint="default"/>
      </w:rPr>
    </w:lvl>
  </w:abstractNum>
  <w:abstractNum w:abstractNumId="32">
    <w:nsid w:val="00CC429D"/>
    <w:multiLevelType w:val="hybridMultilevel"/>
    <w:tmpl w:val="37320632"/>
    <w:lvl w:ilvl="0" w:tplc="1278D8BC">
      <w:start w:val="1"/>
      <w:numFmt w:val="bullet"/>
      <w:lvlText w:val=""/>
      <w:lvlJc w:val="left"/>
      <w:pPr>
        <w:ind w:left="1440" w:hanging="360"/>
      </w:pPr>
      <w:rPr>
        <w:rFonts w:ascii="Symbol" w:hAnsi="Symbol" w:hint="default"/>
        <w:b/>
        <w:color w:val="000080"/>
        <w:sz w:val="24"/>
        <w:szCs w:val="24"/>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3">
    <w:nsid w:val="01C17B77"/>
    <w:multiLevelType w:val="hybridMultilevel"/>
    <w:tmpl w:val="15606DA6"/>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nsid w:val="022E5AFE"/>
    <w:multiLevelType w:val="hybridMultilevel"/>
    <w:tmpl w:val="1E065588"/>
    <w:lvl w:ilvl="0" w:tplc="CFD0E6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2622249"/>
    <w:multiLevelType w:val="hybridMultilevel"/>
    <w:tmpl w:val="5C4C3D1A"/>
    <w:lvl w:ilvl="0" w:tplc="0418000D">
      <w:start w:val="1"/>
      <w:numFmt w:val="bullet"/>
      <w:lvlText w:val=""/>
      <w:lvlJc w:val="left"/>
      <w:pPr>
        <w:ind w:left="770" w:hanging="360"/>
      </w:pPr>
      <w:rPr>
        <w:rFonts w:ascii="Wingdings" w:hAnsi="Wingdings" w:hint="default"/>
      </w:rPr>
    </w:lvl>
    <w:lvl w:ilvl="1" w:tplc="04180003" w:tentative="1">
      <w:start w:val="1"/>
      <w:numFmt w:val="bullet"/>
      <w:lvlText w:val="o"/>
      <w:lvlJc w:val="left"/>
      <w:pPr>
        <w:ind w:left="1490" w:hanging="360"/>
      </w:pPr>
      <w:rPr>
        <w:rFonts w:ascii="Courier New" w:hAnsi="Courier New" w:cs="Courier New" w:hint="default"/>
      </w:rPr>
    </w:lvl>
    <w:lvl w:ilvl="2" w:tplc="04180005" w:tentative="1">
      <w:start w:val="1"/>
      <w:numFmt w:val="bullet"/>
      <w:lvlText w:val=""/>
      <w:lvlJc w:val="left"/>
      <w:pPr>
        <w:ind w:left="2210" w:hanging="360"/>
      </w:pPr>
      <w:rPr>
        <w:rFonts w:ascii="Wingdings" w:hAnsi="Wingdings" w:hint="default"/>
      </w:rPr>
    </w:lvl>
    <w:lvl w:ilvl="3" w:tplc="04180001" w:tentative="1">
      <w:start w:val="1"/>
      <w:numFmt w:val="bullet"/>
      <w:lvlText w:val=""/>
      <w:lvlJc w:val="left"/>
      <w:pPr>
        <w:ind w:left="2930" w:hanging="360"/>
      </w:pPr>
      <w:rPr>
        <w:rFonts w:ascii="Symbol" w:hAnsi="Symbol" w:hint="default"/>
      </w:rPr>
    </w:lvl>
    <w:lvl w:ilvl="4" w:tplc="04180003" w:tentative="1">
      <w:start w:val="1"/>
      <w:numFmt w:val="bullet"/>
      <w:lvlText w:val="o"/>
      <w:lvlJc w:val="left"/>
      <w:pPr>
        <w:ind w:left="3650" w:hanging="360"/>
      </w:pPr>
      <w:rPr>
        <w:rFonts w:ascii="Courier New" w:hAnsi="Courier New" w:cs="Courier New" w:hint="default"/>
      </w:rPr>
    </w:lvl>
    <w:lvl w:ilvl="5" w:tplc="04180005" w:tentative="1">
      <w:start w:val="1"/>
      <w:numFmt w:val="bullet"/>
      <w:lvlText w:val=""/>
      <w:lvlJc w:val="left"/>
      <w:pPr>
        <w:ind w:left="4370" w:hanging="360"/>
      </w:pPr>
      <w:rPr>
        <w:rFonts w:ascii="Wingdings" w:hAnsi="Wingdings" w:hint="default"/>
      </w:rPr>
    </w:lvl>
    <w:lvl w:ilvl="6" w:tplc="04180001" w:tentative="1">
      <w:start w:val="1"/>
      <w:numFmt w:val="bullet"/>
      <w:lvlText w:val=""/>
      <w:lvlJc w:val="left"/>
      <w:pPr>
        <w:ind w:left="5090" w:hanging="360"/>
      </w:pPr>
      <w:rPr>
        <w:rFonts w:ascii="Symbol" w:hAnsi="Symbol" w:hint="default"/>
      </w:rPr>
    </w:lvl>
    <w:lvl w:ilvl="7" w:tplc="04180003" w:tentative="1">
      <w:start w:val="1"/>
      <w:numFmt w:val="bullet"/>
      <w:lvlText w:val="o"/>
      <w:lvlJc w:val="left"/>
      <w:pPr>
        <w:ind w:left="5810" w:hanging="360"/>
      </w:pPr>
      <w:rPr>
        <w:rFonts w:ascii="Courier New" w:hAnsi="Courier New" w:cs="Courier New" w:hint="default"/>
      </w:rPr>
    </w:lvl>
    <w:lvl w:ilvl="8" w:tplc="04180005" w:tentative="1">
      <w:start w:val="1"/>
      <w:numFmt w:val="bullet"/>
      <w:lvlText w:val=""/>
      <w:lvlJc w:val="left"/>
      <w:pPr>
        <w:ind w:left="6530" w:hanging="360"/>
      </w:pPr>
      <w:rPr>
        <w:rFonts w:ascii="Wingdings" w:hAnsi="Wingdings" w:hint="default"/>
      </w:rPr>
    </w:lvl>
  </w:abstractNum>
  <w:abstractNum w:abstractNumId="36">
    <w:nsid w:val="02645819"/>
    <w:multiLevelType w:val="hybridMultilevel"/>
    <w:tmpl w:val="120E03DA"/>
    <w:lvl w:ilvl="0" w:tplc="F1F4A6F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nsid w:val="03201AE6"/>
    <w:multiLevelType w:val="multilevel"/>
    <w:tmpl w:val="51266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032E2442"/>
    <w:multiLevelType w:val="hybridMultilevel"/>
    <w:tmpl w:val="B2E6BB70"/>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39">
    <w:nsid w:val="034D49BC"/>
    <w:multiLevelType w:val="multilevel"/>
    <w:tmpl w:val="0298BCB0"/>
    <w:lvl w:ilvl="0">
      <w:start w:val="1"/>
      <w:numFmt w:val="decimal"/>
      <w:lvlText w:val="%1."/>
      <w:lvlJc w:val="left"/>
      <w:pPr>
        <w:ind w:left="720" w:hanging="360"/>
      </w:pPr>
      <w:rPr>
        <w:rFonts w:hint="default"/>
      </w:rPr>
    </w:lvl>
    <w:lvl w:ilvl="1">
      <w:start w:val="4"/>
      <w:numFmt w:val="decimal"/>
      <w:isLgl/>
      <w:lvlText w:val="%1.%2."/>
      <w:lvlJc w:val="left"/>
      <w:pPr>
        <w:ind w:left="975" w:hanging="615"/>
      </w:pPr>
      <w:rPr>
        <w:rFonts w:ascii="Times New Roman" w:hAnsi="Times New Roman" w:cs="Times New Roman" w:hint="default"/>
        <w:color w:val="auto"/>
      </w:rPr>
    </w:lvl>
    <w:lvl w:ilvl="2">
      <w:start w:val="1"/>
      <w:numFmt w:val="decimal"/>
      <w:isLgl/>
      <w:lvlText w:val="%1.%2.%3."/>
      <w:lvlJc w:val="left"/>
      <w:pPr>
        <w:ind w:left="1080" w:hanging="720"/>
      </w:pPr>
      <w:rPr>
        <w:rFonts w:ascii="Times New Roman" w:hAnsi="Times New Roman" w:cs="Times New Roman" w:hint="default"/>
        <w:color w:val="auto"/>
      </w:rPr>
    </w:lvl>
    <w:lvl w:ilvl="3">
      <w:start w:val="1"/>
      <w:numFmt w:val="decimal"/>
      <w:isLgl/>
      <w:lvlText w:val="%1.%2.%3.%4."/>
      <w:lvlJc w:val="left"/>
      <w:pPr>
        <w:ind w:left="1080" w:hanging="720"/>
      </w:pPr>
      <w:rPr>
        <w:rFonts w:ascii="Times New Roman" w:hAnsi="Times New Roman" w:cs="Times New Roman" w:hint="default"/>
        <w:color w:val="auto"/>
      </w:rPr>
    </w:lvl>
    <w:lvl w:ilvl="4">
      <w:start w:val="1"/>
      <w:numFmt w:val="decimal"/>
      <w:isLgl/>
      <w:lvlText w:val="%1.%2.%3.%4.%5."/>
      <w:lvlJc w:val="left"/>
      <w:pPr>
        <w:ind w:left="1440" w:hanging="1080"/>
      </w:pPr>
      <w:rPr>
        <w:rFonts w:ascii="Times New Roman" w:hAnsi="Times New Roman" w:cs="Times New Roman" w:hint="default"/>
        <w:color w:val="auto"/>
      </w:rPr>
    </w:lvl>
    <w:lvl w:ilvl="5">
      <w:start w:val="1"/>
      <w:numFmt w:val="decimal"/>
      <w:isLgl/>
      <w:lvlText w:val="%1.%2.%3.%4.%5.%6."/>
      <w:lvlJc w:val="left"/>
      <w:pPr>
        <w:ind w:left="1440" w:hanging="1080"/>
      </w:pPr>
      <w:rPr>
        <w:rFonts w:ascii="Times New Roman" w:hAnsi="Times New Roman" w:cs="Times New Roman" w:hint="default"/>
        <w:color w:val="auto"/>
      </w:rPr>
    </w:lvl>
    <w:lvl w:ilvl="6">
      <w:start w:val="1"/>
      <w:numFmt w:val="decimal"/>
      <w:isLgl/>
      <w:lvlText w:val="%1.%2.%3.%4.%5.%6.%7."/>
      <w:lvlJc w:val="left"/>
      <w:pPr>
        <w:ind w:left="1800" w:hanging="1440"/>
      </w:pPr>
      <w:rPr>
        <w:rFonts w:ascii="Times New Roman" w:hAnsi="Times New Roman" w:cs="Times New Roman" w:hint="default"/>
        <w:color w:val="auto"/>
      </w:rPr>
    </w:lvl>
    <w:lvl w:ilvl="7">
      <w:start w:val="1"/>
      <w:numFmt w:val="decimal"/>
      <w:isLgl/>
      <w:lvlText w:val="%1.%2.%3.%4.%5.%6.%7.%8."/>
      <w:lvlJc w:val="left"/>
      <w:pPr>
        <w:ind w:left="1800" w:hanging="1440"/>
      </w:pPr>
      <w:rPr>
        <w:rFonts w:ascii="Times New Roman" w:hAnsi="Times New Roman" w:cs="Times New Roman" w:hint="default"/>
        <w:color w:val="auto"/>
      </w:rPr>
    </w:lvl>
    <w:lvl w:ilvl="8">
      <w:start w:val="1"/>
      <w:numFmt w:val="decimal"/>
      <w:isLgl/>
      <w:lvlText w:val="%1.%2.%3.%4.%5.%6.%7.%8.%9."/>
      <w:lvlJc w:val="left"/>
      <w:pPr>
        <w:ind w:left="2160" w:hanging="1800"/>
      </w:pPr>
      <w:rPr>
        <w:rFonts w:ascii="Times New Roman" w:hAnsi="Times New Roman" w:cs="Times New Roman" w:hint="default"/>
        <w:color w:val="auto"/>
      </w:rPr>
    </w:lvl>
  </w:abstractNum>
  <w:abstractNum w:abstractNumId="40">
    <w:nsid w:val="035E6029"/>
    <w:multiLevelType w:val="hybridMultilevel"/>
    <w:tmpl w:val="7EF8649C"/>
    <w:lvl w:ilvl="0" w:tplc="C4A4653A">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1">
    <w:nsid w:val="04D33E12"/>
    <w:multiLevelType w:val="hybridMultilevel"/>
    <w:tmpl w:val="026A0360"/>
    <w:lvl w:ilvl="0" w:tplc="0418000B">
      <w:start w:val="1"/>
      <w:numFmt w:val="bullet"/>
      <w:lvlText w:val=""/>
      <w:lvlJc w:val="left"/>
      <w:pPr>
        <w:ind w:left="644"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nsid w:val="04EE4864"/>
    <w:multiLevelType w:val="hybridMultilevel"/>
    <w:tmpl w:val="C0B44AA4"/>
    <w:lvl w:ilvl="0" w:tplc="17103556">
      <w:numFmt w:val="bullet"/>
      <w:lvlText w:val="-"/>
      <w:lvlJc w:val="left"/>
      <w:pPr>
        <w:ind w:left="1080" w:hanging="360"/>
      </w:pPr>
      <w:rPr>
        <w:rFonts w:ascii="Arial" w:eastAsia="MS Mincho"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04F02A80"/>
    <w:multiLevelType w:val="hybridMultilevel"/>
    <w:tmpl w:val="37BECDB8"/>
    <w:lvl w:ilvl="0" w:tplc="2544FE0C">
      <w:start w:val="5"/>
      <w:numFmt w:val="bullet"/>
      <w:lvlText w:val="-"/>
      <w:lvlJc w:val="left"/>
      <w:pPr>
        <w:ind w:left="1428" w:hanging="360"/>
      </w:pPr>
      <w:rPr>
        <w:rFonts w:ascii="Arial" w:eastAsia="Times New Roman" w:hAnsi="Arial" w:cs="Arial" w:hint="default"/>
      </w:rPr>
    </w:lvl>
    <w:lvl w:ilvl="1" w:tplc="04090003">
      <w:start w:val="1"/>
      <w:numFmt w:val="bullet"/>
      <w:lvlText w:val="o"/>
      <w:lvlJc w:val="left"/>
      <w:pPr>
        <w:ind w:left="3339"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4">
    <w:nsid w:val="06604CBD"/>
    <w:multiLevelType w:val="multilevel"/>
    <w:tmpl w:val="666E20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067E2FD4"/>
    <w:multiLevelType w:val="hybridMultilevel"/>
    <w:tmpl w:val="3DD0C560"/>
    <w:lvl w:ilvl="0" w:tplc="1F72B0DA">
      <w:numFmt w:val="bullet"/>
      <w:lvlText w:val="-"/>
      <w:lvlJc w:val="left"/>
      <w:pPr>
        <w:ind w:left="1437" w:hanging="360"/>
      </w:pPr>
      <w:rPr>
        <w:rFonts w:ascii="Calibri" w:eastAsiaTheme="minorEastAsia" w:hAnsi="Calibri" w:cstheme="minorBidi" w:hint="default"/>
      </w:rPr>
    </w:lvl>
    <w:lvl w:ilvl="1" w:tplc="04090003" w:tentative="1">
      <w:start w:val="1"/>
      <w:numFmt w:val="bullet"/>
      <w:lvlText w:val="o"/>
      <w:lvlJc w:val="left"/>
      <w:pPr>
        <w:ind w:left="2157" w:hanging="360"/>
      </w:pPr>
      <w:rPr>
        <w:rFonts w:ascii="Courier New" w:hAnsi="Courier New" w:cs="Courier New" w:hint="default"/>
      </w:rPr>
    </w:lvl>
    <w:lvl w:ilvl="2" w:tplc="04090005" w:tentative="1">
      <w:start w:val="1"/>
      <w:numFmt w:val="bullet"/>
      <w:lvlText w:val=""/>
      <w:lvlJc w:val="left"/>
      <w:pPr>
        <w:ind w:left="2877" w:hanging="360"/>
      </w:pPr>
      <w:rPr>
        <w:rFonts w:ascii="Wingdings" w:hAnsi="Wingdings" w:hint="default"/>
      </w:rPr>
    </w:lvl>
    <w:lvl w:ilvl="3" w:tplc="04090001" w:tentative="1">
      <w:start w:val="1"/>
      <w:numFmt w:val="bullet"/>
      <w:lvlText w:val=""/>
      <w:lvlJc w:val="left"/>
      <w:pPr>
        <w:ind w:left="3597" w:hanging="360"/>
      </w:pPr>
      <w:rPr>
        <w:rFonts w:ascii="Symbol" w:hAnsi="Symbol" w:hint="default"/>
      </w:rPr>
    </w:lvl>
    <w:lvl w:ilvl="4" w:tplc="04090003" w:tentative="1">
      <w:start w:val="1"/>
      <w:numFmt w:val="bullet"/>
      <w:lvlText w:val="o"/>
      <w:lvlJc w:val="left"/>
      <w:pPr>
        <w:ind w:left="4317" w:hanging="360"/>
      </w:pPr>
      <w:rPr>
        <w:rFonts w:ascii="Courier New" w:hAnsi="Courier New" w:cs="Courier New" w:hint="default"/>
      </w:rPr>
    </w:lvl>
    <w:lvl w:ilvl="5" w:tplc="04090005" w:tentative="1">
      <w:start w:val="1"/>
      <w:numFmt w:val="bullet"/>
      <w:lvlText w:val=""/>
      <w:lvlJc w:val="left"/>
      <w:pPr>
        <w:ind w:left="5037" w:hanging="360"/>
      </w:pPr>
      <w:rPr>
        <w:rFonts w:ascii="Wingdings" w:hAnsi="Wingdings" w:hint="default"/>
      </w:rPr>
    </w:lvl>
    <w:lvl w:ilvl="6" w:tplc="04090001" w:tentative="1">
      <w:start w:val="1"/>
      <w:numFmt w:val="bullet"/>
      <w:lvlText w:val=""/>
      <w:lvlJc w:val="left"/>
      <w:pPr>
        <w:ind w:left="5757" w:hanging="360"/>
      </w:pPr>
      <w:rPr>
        <w:rFonts w:ascii="Symbol" w:hAnsi="Symbol" w:hint="default"/>
      </w:rPr>
    </w:lvl>
    <w:lvl w:ilvl="7" w:tplc="04090003" w:tentative="1">
      <w:start w:val="1"/>
      <w:numFmt w:val="bullet"/>
      <w:lvlText w:val="o"/>
      <w:lvlJc w:val="left"/>
      <w:pPr>
        <w:ind w:left="6477" w:hanging="360"/>
      </w:pPr>
      <w:rPr>
        <w:rFonts w:ascii="Courier New" w:hAnsi="Courier New" w:cs="Courier New" w:hint="default"/>
      </w:rPr>
    </w:lvl>
    <w:lvl w:ilvl="8" w:tplc="04090005" w:tentative="1">
      <w:start w:val="1"/>
      <w:numFmt w:val="bullet"/>
      <w:lvlText w:val=""/>
      <w:lvlJc w:val="left"/>
      <w:pPr>
        <w:ind w:left="7197" w:hanging="360"/>
      </w:pPr>
      <w:rPr>
        <w:rFonts w:ascii="Wingdings" w:hAnsi="Wingdings" w:hint="default"/>
      </w:rPr>
    </w:lvl>
  </w:abstractNum>
  <w:abstractNum w:abstractNumId="46">
    <w:nsid w:val="072C5791"/>
    <w:multiLevelType w:val="hybridMultilevel"/>
    <w:tmpl w:val="32FC574E"/>
    <w:lvl w:ilvl="0" w:tplc="8EF4BEB0">
      <w:numFmt w:val="bullet"/>
      <w:lvlText w:val=""/>
      <w:lvlJc w:val="left"/>
      <w:pPr>
        <w:ind w:left="1800" w:hanging="360"/>
      </w:pPr>
      <w:rPr>
        <w:rFonts w:ascii="Wingdings" w:hAnsi="Wingdings" w:hint="default"/>
        <w:b w:val="0"/>
        <w:color w:val="0E015F"/>
        <w:sz w:val="24"/>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47">
    <w:nsid w:val="074F1181"/>
    <w:multiLevelType w:val="hybridMultilevel"/>
    <w:tmpl w:val="202EF398"/>
    <w:lvl w:ilvl="0" w:tplc="04180001">
      <w:start w:val="1"/>
      <w:numFmt w:val="bullet"/>
      <w:lvlText w:val=""/>
      <w:lvlJc w:val="left"/>
      <w:pPr>
        <w:ind w:left="502" w:hanging="360"/>
      </w:pPr>
      <w:rPr>
        <w:rFonts w:ascii="Symbol" w:hAnsi="Symbol" w:hint="default"/>
      </w:rPr>
    </w:lvl>
    <w:lvl w:ilvl="1" w:tplc="04180003" w:tentative="1">
      <w:start w:val="1"/>
      <w:numFmt w:val="bullet"/>
      <w:lvlText w:val="o"/>
      <w:lvlJc w:val="left"/>
      <w:pPr>
        <w:ind w:left="1222" w:hanging="360"/>
      </w:pPr>
      <w:rPr>
        <w:rFonts w:ascii="Courier New" w:hAnsi="Courier New" w:cs="Courier New" w:hint="default"/>
      </w:rPr>
    </w:lvl>
    <w:lvl w:ilvl="2" w:tplc="04180005" w:tentative="1">
      <w:start w:val="1"/>
      <w:numFmt w:val="bullet"/>
      <w:lvlText w:val=""/>
      <w:lvlJc w:val="left"/>
      <w:pPr>
        <w:ind w:left="1942" w:hanging="360"/>
      </w:pPr>
      <w:rPr>
        <w:rFonts w:ascii="Wingdings" w:hAnsi="Wingdings" w:hint="default"/>
      </w:rPr>
    </w:lvl>
    <w:lvl w:ilvl="3" w:tplc="04180001" w:tentative="1">
      <w:start w:val="1"/>
      <w:numFmt w:val="bullet"/>
      <w:lvlText w:val=""/>
      <w:lvlJc w:val="left"/>
      <w:pPr>
        <w:ind w:left="2662" w:hanging="360"/>
      </w:pPr>
      <w:rPr>
        <w:rFonts w:ascii="Symbol" w:hAnsi="Symbol" w:hint="default"/>
      </w:rPr>
    </w:lvl>
    <w:lvl w:ilvl="4" w:tplc="04180003" w:tentative="1">
      <w:start w:val="1"/>
      <w:numFmt w:val="bullet"/>
      <w:lvlText w:val="o"/>
      <w:lvlJc w:val="left"/>
      <w:pPr>
        <w:ind w:left="3382" w:hanging="360"/>
      </w:pPr>
      <w:rPr>
        <w:rFonts w:ascii="Courier New" w:hAnsi="Courier New" w:cs="Courier New" w:hint="default"/>
      </w:rPr>
    </w:lvl>
    <w:lvl w:ilvl="5" w:tplc="04180005" w:tentative="1">
      <w:start w:val="1"/>
      <w:numFmt w:val="bullet"/>
      <w:lvlText w:val=""/>
      <w:lvlJc w:val="left"/>
      <w:pPr>
        <w:ind w:left="4102" w:hanging="360"/>
      </w:pPr>
      <w:rPr>
        <w:rFonts w:ascii="Wingdings" w:hAnsi="Wingdings" w:hint="default"/>
      </w:rPr>
    </w:lvl>
    <w:lvl w:ilvl="6" w:tplc="04180001" w:tentative="1">
      <w:start w:val="1"/>
      <w:numFmt w:val="bullet"/>
      <w:lvlText w:val=""/>
      <w:lvlJc w:val="left"/>
      <w:pPr>
        <w:ind w:left="4822" w:hanging="360"/>
      </w:pPr>
      <w:rPr>
        <w:rFonts w:ascii="Symbol" w:hAnsi="Symbol" w:hint="default"/>
      </w:rPr>
    </w:lvl>
    <w:lvl w:ilvl="7" w:tplc="04180003" w:tentative="1">
      <w:start w:val="1"/>
      <w:numFmt w:val="bullet"/>
      <w:lvlText w:val="o"/>
      <w:lvlJc w:val="left"/>
      <w:pPr>
        <w:ind w:left="5542" w:hanging="360"/>
      </w:pPr>
      <w:rPr>
        <w:rFonts w:ascii="Courier New" w:hAnsi="Courier New" w:cs="Courier New" w:hint="default"/>
      </w:rPr>
    </w:lvl>
    <w:lvl w:ilvl="8" w:tplc="04180005" w:tentative="1">
      <w:start w:val="1"/>
      <w:numFmt w:val="bullet"/>
      <w:lvlText w:val=""/>
      <w:lvlJc w:val="left"/>
      <w:pPr>
        <w:ind w:left="6262" w:hanging="360"/>
      </w:pPr>
      <w:rPr>
        <w:rFonts w:ascii="Wingdings" w:hAnsi="Wingdings" w:hint="default"/>
      </w:rPr>
    </w:lvl>
  </w:abstractNum>
  <w:abstractNum w:abstractNumId="48">
    <w:nsid w:val="075F772D"/>
    <w:multiLevelType w:val="hybridMultilevel"/>
    <w:tmpl w:val="A622E910"/>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9">
    <w:nsid w:val="07865083"/>
    <w:multiLevelType w:val="hybridMultilevel"/>
    <w:tmpl w:val="E572F92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0">
    <w:nsid w:val="08612EE2"/>
    <w:multiLevelType w:val="hybridMultilevel"/>
    <w:tmpl w:val="87540CF6"/>
    <w:lvl w:ilvl="0" w:tplc="302691A6">
      <w:numFmt w:val="bullet"/>
      <w:lvlText w:val="-"/>
      <w:lvlJc w:val="left"/>
      <w:pPr>
        <w:ind w:left="360" w:hanging="360"/>
      </w:pPr>
      <w:rPr>
        <w:rFonts w:ascii="Calibri" w:eastAsia="Times New Roman"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08B82BE7"/>
    <w:multiLevelType w:val="hybridMultilevel"/>
    <w:tmpl w:val="F5205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nsid w:val="08CB0CD7"/>
    <w:multiLevelType w:val="hybridMultilevel"/>
    <w:tmpl w:val="9AD67CB0"/>
    <w:lvl w:ilvl="0" w:tplc="D79C3B3A">
      <w:start w:val="1"/>
      <w:numFmt w:val="bullet"/>
      <w:lvlText w:val="•"/>
      <w:lvlJc w:val="left"/>
      <w:pPr>
        <w:tabs>
          <w:tab w:val="num" w:pos="1069"/>
        </w:tabs>
        <w:ind w:left="1069" w:hanging="360"/>
      </w:pPr>
      <w:rPr>
        <w:rFonts w:ascii="Times New Roman" w:hAnsi="Times New Roman" w:hint="default"/>
      </w:rPr>
    </w:lvl>
    <w:lvl w:ilvl="1" w:tplc="A2901630" w:tentative="1">
      <w:start w:val="1"/>
      <w:numFmt w:val="bullet"/>
      <w:lvlText w:val="•"/>
      <w:lvlJc w:val="left"/>
      <w:pPr>
        <w:tabs>
          <w:tab w:val="num" w:pos="1789"/>
        </w:tabs>
        <w:ind w:left="1789" w:hanging="360"/>
      </w:pPr>
      <w:rPr>
        <w:rFonts w:ascii="Times New Roman" w:hAnsi="Times New Roman" w:hint="default"/>
      </w:rPr>
    </w:lvl>
    <w:lvl w:ilvl="2" w:tplc="8D86CA3E" w:tentative="1">
      <w:start w:val="1"/>
      <w:numFmt w:val="bullet"/>
      <w:lvlText w:val="•"/>
      <w:lvlJc w:val="left"/>
      <w:pPr>
        <w:tabs>
          <w:tab w:val="num" w:pos="2509"/>
        </w:tabs>
        <w:ind w:left="2509" w:hanging="360"/>
      </w:pPr>
      <w:rPr>
        <w:rFonts w:ascii="Times New Roman" w:hAnsi="Times New Roman" w:hint="default"/>
      </w:rPr>
    </w:lvl>
    <w:lvl w:ilvl="3" w:tplc="4CC6D246" w:tentative="1">
      <w:start w:val="1"/>
      <w:numFmt w:val="bullet"/>
      <w:lvlText w:val="•"/>
      <w:lvlJc w:val="left"/>
      <w:pPr>
        <w:tabs>
          <w:tab w:val="num" w:pos="3229"/>
        </w:tabs>
        <w:ind w:left="3229" w:hanging="360"/>
      </w:pPr>
      <w:rPr>
        <w:rFonts w:ascii="Times New Roman" w:hAnsi="Times New Roman" w:hint="default"/>
      </w:rPr>
    </w:lvl>
    <w:lvl w:ilvl="4" w:tplc="6694CF3E" w:tentative="1">
      <w:start w:val="1"/>
      <w:numFmt w:val="bullet"/>
      <w:lvlText w:val="•"/>
      <w:lvlJc w:val="left"/>
      <w:pPr>
        <w:tabs>
          <w:tab w:val="num" w:pos="3949"/>
        </w:tabs>
        <w:ind w:left="3949" w:hanging="360"/>
      </w:pPr>
      <w:rPr>
        <w:rFonts w:ascii="Times New Roman" w:hAnsi="Times New Roman" w:hint="default"/>
      </w:rPr>
    </w:lvl>
    <w:lvl w:ilvl="5" w:tplc="15C4579A" w:tentative="1">
      <w:start w:val="1"/>
      <w:numFmt w:val="bullet"/>
      <w:lvlText w:val="•"/>
      <w:lvlJc w:val="left"/>
      <w:pPr>
        <w:tabs>
          <w:tab w:val="num" w:pos="4669"/>
        </w:tabs>
        <w:ind w:left="4669" w:hanging="360"/>
      </w:pPr>
      <w:rPr>
        <w:rFonts w:ascii="Times New Roman" w:hAnsi="Times New Roman" w:hint="default"/>
      </w:rPr>
    </w:lvl>
    <w:lvl w:ilvl="6" w:tplc="3E161E8E" w:tentative="1">
      <w:start w:val="1"/>
      <w:numFmt w:val="bullet"/>
      <w:lvlText w:val="•"/>
      <w:lvlJc w:val="left"/>
      <w:pPr>
        <w:tabs>
          <w:tab w:val="num" w:pos="5389"/>
        </w:tabs>
        <w:ind w:left="5389" w:hanging="360"/>
      </w:pPr>
      <w:rPr>
        <w:rFonts w:ascii="Times New Roman" w:hAnsi="Times New Roman" w:hint="default"/>
      </w:rPr>
    </w:lvl>
    <w:lvl w:ilvl="7" w:tplc="ABB6052C" w:tentative="1">
      <w:start w:val="1"/>
      <w:numFmt w:val="bullet"/>
      <w:lvlText w:val="•"/>
      <w:lvlJc w:val="left"/>
      <w:pPr>
        <w:tabs>
          <w:tab w:val="num" w:pos="6109"/>
        </w:tabs>
        <w:ind w:left="6109" w:hanging="360"/>
      </w:pPr>
      <w:rPr>
        <w:rFonts w:ascii="Times New Roman" w:hAnsi="Times New Roman" w:hint="default"/>
      </w:rPr>
    </w:lvl>
    <w:lvl w:ilvl="8" w:tplc="A1467C7C" w:tentative="1">
      <w:start w:val="1"/>
      <w:numFmt w:val="bullet"/>
      <w:lvlText w:val="•"/>
      <w:lvlJc w:val="left"/>
      <w:pPr>
        <w:tabs>
          <w:tab w:val="num" w:pos="6829"/>
        </w:tabs>
        <w:ind w:left="6829" w:hanging="360"/>
      </w:pPr>
      <w:rPr>
        <w:rFonts w:ascii="Times New Roman" w:hAnsi="Times New Roman" w:hint="default"/>
      </w:rPr>
    </w:lvl>
  </w:abstractNum>
  <w:abstractNum w:abstractNumId="53">
    <w:nsid w:val="08DE5837"/>
    <w:multiLevelType w:val="hybridMultilevel"/>
    <w:tmpl w:val="E05CA8A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4">
    <w:nsid w:val="08F83015"/>
    <w:multiLevelType w:val="multilevel"/>
    <w:tmpl w:val="31C748D0"/>
    <w:lvl w:ilvl="0">
      <w:numFmt w:val="bullet"/>
      <w:lvlText w:val="-"/>
      <w:lvlJc w:val="left"/>
      <w:pPr>
        <w:tabs>
          <w:tab w:val="num" w:pos="720"/>
        </w:tabs>
        <w:ind w:left="720" w:hanging="360"/>
      </w:pPr>
      <w:rPr>
        <w:rFonts w:ascii="Calibri" w:hAnsi="Calibri" w:cs="Calibri"/>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55">
    <w:nsid w:val="095F3950"/>
    <w:multiLevelType w:val="multilevel"/>
    <w:tmpl w:val="EA6A6F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09DB57AA"/>
    <w:multiLevelType w:val="hybridMultilevel"/>
    <w:tmpl w:val="DB98F03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7">
    <w:nsid w:val="0A127A20"/>
    <w:multiLevelType w:val="multilevel"/>
    <w:tmpl w:val="DB644ED0"/>
    <w:lvl w:ilvl="0">
      <w:start w:val="1"/>
      <w:numFmt w:val="bullet"/>
      <w:lvlText w:val="➢"/>
      <w:lvlJc w:val="left"/>
      <w:pPr>
        <w:ind w:left="36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8">
    <w:nsid w:val="0ADA732C"/>
    <w:multiLevelType w:val="multilevel"/>
    <w:tmpl w:val="439E7A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0BB66E6D"/>
    <w:multiLevelType w:val="multilevel"/>
    <w:tmpl w:val="291A504E"/>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60">
    <w:nsid w:val="0BCF45C0"/>
    <w:multiLevelType w:val="hybridMultilevel"/>
    <w:tmpl w:val="16A2AF1E"/>
    <w:lvl w:ilvl="0" w:tplc="04180005">
      <w:start w:val="1"/>
      <w:numFmt w:val="bullet"/>
      <w:lvlText w:val=""/>
      <w:lvlJc w:val="left"/>
      <w:pPr>
        <w:ind w:left="1881" w:hanging="360"/>
      </w:pPr>
      <w:rPr>
        <w:rFonts w:ascii="Wingdings" w:hAnsi="Wingdings" w:hint="default"/>
      </w:rPr>
    </w:lvl>
    <w:lvl w:ilvl="1" w:tplc="04180003" w:tentative="1">
      <w:start w:val="1"/>
      <w:numFmt w:val="bullet"/>
      <w:lvlText w:val="o"/>
      <w:lvlJc w:val="left"/>
      <w:pPr>
        <w:ind w:left="2601" w:hanging="360"/>
      </w:pPr>
      <w:rPr>
        <w:rFonts w:ascii="Courier New" w:hAnsi="Courier New" w:cs="Courier New" w:hint="default"/>
      </w:rPr>
    </w:lvl>
    <w:lvl w:ilvl="2" w:tplc="04180005" w:tentative="1">
      <w:start w:val="1"/>
      <w:numFmt w:val="bullet"/>
      <w:lvlText w:val=""/>
      <w:lvlJc w:val="left"/>
      <w:pPr>
        <w:ind w:left="3321" w:hanging="360"/>
      </w:pPr>
      <w:rPr>
        <w:rFonts w:ascii="Wingdings" w:hAnsi="Wingdings" w:hint="default"/>
      </w:rPr>
    </w:lvl>
    <w:lvl w:ilvl="3" w:tplc="04180001" w:tentative="1">
      <w:start w:val="1"/>
      <w:numFmt w:val="bullet"/>
      <w:lvlText w:val=""/>
      <w:lvlJc w:val="left"/>
      <w:pPr>
        <w:ind w:left="4041" w:hanging="360"/>
      </w:pPr>
      <w:rPr>
        <w:rFonts w:ascii="Symbol" w:hAnsi="Symbol" w:hint="default"/>
      </w:rPr>
    </w:lvl>
    <w:lvl w:ilvl="4" w:tplc="04180003" w:tentative="1">
      <w:start w:val="1"/>
      <w:numFmt w:val="bullet"/>
      <w:lvlText w:val="o"/>
      <w:lvlJc w:val="left"/>
      <w:pPr>
        <w:ind w:left="4761" w:hanging="360"/>
      </w:pPr>
      <w:rPr>
        <w:rFonts w:ascii="Courier New" w:hAnsi="Courier New" w:cs="Courier New" w:hint="default"/>
      </w:rPr>
    </w:lvl>
    <w:lvl w:ilvl="5" w:tplc="04180005" w:tentative="1">
      <w:start w:val="1"/>
      <w:numFmt w:val="bullet"/>
      <w:lvlText w:val=""/>
      <w:lvlJc w:val="left"/>
      <w:pPr>
        <w:ind w:left="5481" w:hanging="360"/>
      </w:pPr>
      <w:rPr>
        <w:rFonts w:ascii="Wingdings" w:hAnsi="Wingdings" w:hint="default"/>
      </w:rPr>
    </w:lvl>
    <w:lvl w:ilvl="6" w:tplc="04180001" w:tentative="1">
      <w:start w:val="1"/>
      <w:numFmt w:val="bullet"/>
      <w:lvlText w:val=""/>
      <w:lvlJc w:val="left"/>
      <w:pPr>
        <w:ind w:left="6201" w:hanging="360"/>
      </w:pPr>
      <w:rPr>
        <w:rFonts w:ascii="Symbol" w:hAnsi="Symbol" w:hint="default"/>
      </w:rPr>
    </w:lvl>
    <w:lvl w:ilvl="7" w:tplc="04180003" w:tentative="1">
      <w:start w:val="1"/>
      <w:numFmt w:val="bullet"/>
      <w:lvlText w:val="o"/>
      <w:lvlJc w:val="left"/>
      <w:pPr>
        <w:ind w:left="6921" w:hanging="360"/>
      </w:pPr>
      <w:rPr>
        <w:rFonts w:ascii="Courier New" w:hAnsi="Courier New" w:cs="Courier New" w:hint="default"/>
      </w:rPr>
    </w:lvl>
    <w:lvl w:ilvl="8" w:tplc="04180005" w:tentative="1">
      <w:start w:val="1"/>
      <w:numFmt w:val="bullet"/>
      <w:lvlText w:val=""/>
      <w:lvlJc w:val="left"/>
      <w:pPr>
        <w:ind w:left="7641" w:hanging="360"/>
      </w:pPr>
      <w:rPr>
        <w:rFonts w:ascii="Wingdings" w:hAnsi="Wingdings" w:hint="default"/>
      </w:rPr>
    </w:lvl>
  </w:abstractNum>
  <w:abstractNum w:abstractNumId="61">
    <w:nsid w:val="0C0673DC"/>
    <w:multiLevelType w:val="multilevel"/>
    <w:tmpl w:val="35289392"/>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62">
    <w:nsid w:val="0C8F00DF"/>
    <w:multiLevelType w:val="hybridMultilevel"/>
    <w:tmpl w:val="F54055B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3">
    <w:nsid w:val="0DAE70D8"/>
    <w:multiLevelType w:val="multilevel"/>
    <w:tmpl w:val="C98EFBE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4">
    <w:nsid w:val="0EC71968"/>
    <w:multiLevelType w:val="multilevel"/>
    <w:tmpl w:val="C3BA5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nsid w:val="0FF27A9B"/>
    <w:multiLevelType w:val="hybridMultilevel"/>
    <w:tmpl w:val="C28E6AE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6">
    <w:nsid w:val="10995DB2"/>
    <w:multiLevelType w:val="hybridMultilevel"/>
    <w:tmpl w:val="04A8FBC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7">
    <w:nsid w:val="126F57AB"/>
    <w:multiLevelType w:val="hybridMultilevel"/>
    <w:tmpl w:val="626C59B8"/>
    <w:lvl w:ilvl="0" w:tplc="B7F4AE18">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nsid w:val="12880EF6"/>
    <w:multiLevelType w:val="hybridMultilevel"/>
    <w:tmpl w:val="30E6734C"/>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9">
    <w:nsid w:val="13F37729"/>
    <w:multiLevelType w:val="multilevel"/>
    <w:tmpl w:val="3F805C7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0">
    <w:nsid w:val="14105CA9"/>
    <w:multiLevelType w:val="hybridMultilevel"/>
    <w:tmpl w:val="460A68F0"/>
    <w:lvl w:ilvl="0" w:tplc="DE3E80D0">
      <w:start w:val="1"/>
      <w:numFmt w:val="decimal"/>
      <w:pStyle w:val="ParagraphNumbering"/>
      <w:lvlText w:val="%1.     "/>
      <w:lvlJc w:val="left"/>
      <w:pPr>
        <w:tabs>
          <w:tab w:val="num" w:pos="1080"/>
        </w:tabs>
        <w:ind w:left="360" w:firstLine="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16BC4C81"/>
    <w:multiLevelType w:val="hybridMultilevel"/>
    <w:tmpl w:val="45C858F2"/>
    <w:lvl w:ilvl="0" w:tplc="04180001">
      <w:start w:val="1"/>
      <w:numFmt w:val="bullet"/>
      <w:lvlText w:val=""/>
      <w:lvlJc w:val="left"/>
      <w:pPr>
        <w:ind w:left="720" w:hanging="360"/>
      </w:pPr>
      <w:rPr>
        <w:rFonts w:ascii="Symbol" w:hAnsi="Symbol" w:hint="default"/>
      </w:rPr>
    </w:lvl>
    <w:lvl w:ilvl="1" w:tplc="04180001">
      <w:start w:val="1"/>
      <w:numFmt w:val="bullet"/>
      <w:lvlText w:val=""/>
      <w:lvlJc w:val="left"/>
      <w:pPr>
        <w:ind w:left="1440" w:hanging="360"/>
      </w:pPr>
      <w:rPr>
        <w:rFonts w:ascii="Symbol" w:hAnsi="Symbo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2">
    <w:nsid w:val="179E3F49"/>
    <w:multiLevelType w:val="hybridMultilevel"/>
    <w:tmpl w:val="749AB328"/>
    <w:lvl w:ilvl="0" w:tplc="40686B36">
      <w:start w:val="2014"/>
      <w:numFmt w:val="bullet"/>
      <w:lvlText w:val="-"/>
      <w:lvlJc w:val="left"/>
      <w:pPr>
        <w:ind w:left="720" w:hanging="360"/>
      </w:pPr>
      <w:rPr>
        <w:rFonts w:ascii="Calibri" w:eastAsia="Times New Roman"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3">
    <w:nsid w:val="17EB4ED1"/>
    <w:multiLevelType w:val="hybridMultilevel"/>
    <w:tmpl w:val="0EDC77F2"/>
    <w:lvl w:ilvl="0" w:tplc="8ADA3BFE">
      <w:start w:val="1"/>
      <w:numFmt w:val="decimal"/>
      <w:lvlText w:val="%1."/>
      <w:lvlJc w:val="left"/>
      <w:pPr>
        <w:ind w:left="644" w:hanging="360"/>
      </w:pPr>
      <w:rPr>
        <w:rFonts w:hint="default"/>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74">
    <w:nsid w:val="185D66C6"/>
    <w:multiLevelType w:val="multilevel"/>
    <w:tmpl w:val="F30E212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75">
    <w:nsid w:val="186879E0"/>
    <w:multiLevelType w:val="hybridMultilevel"/>
    <w:tmpl w:val="C86C7DC2"/>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6">
    <w:nsid w:val="18762539"/>
    <w:multiLevelType w:val="hybridMultilevel"/>
    <w:tmpl w:val="3DC88CF6"/>
    <w:lvl w:ilvl="0" w:tplc="201C5442">
      <w:start w:val="1"/>
      <w:numFmt w:val="decimal"/>
      <w:lvlText w:val="%1."/>
      <w:lvlJc w:val="left"/>
      <w:pPr>
        <w:tabs>
          <w:tab w:val="num" w:pos="870"/>
        </w:tabs>
        <w:ind w:left="870" w:hanging="360"/>
      </w:pPr>
      <w:rPr>
        <w:rFonts w:cs="Times New Roman"/>
      </w:rPr>
    </w:lvl>
    <w:lvl w:ilvl="1" w:tplc="E962E206">
      <w:numFmt w:val="none"/>
      <w:lvlText w:val=""/>
      <w:lvlJc w:val="left"/>
      <w:pPr>
        <w:tabs>
          <w:tab w:val="num" w:pos="360"/>
        </w:tabs>
      </w:pPr>
      <w:rPr>
        <w:rFonts w:cs="Times New Roman"/>
      </w:rPr>
    </w:lvl>
    <w:lvl w:ilvl="2" w:tplc="B5367312">
      <w:numFmt w:val="none"/>
      <w:lvlText w:val=""/>
      <w:lvlJc w:val="left"/>
      <w:pPr>
        <w:tabs>
          <w:tab w:val="num" w:pos="360"/>
        </w:tabs>
      </w:pPr>
      <w:rPr>
        <w:rFonts w:cs="Times New Roman"/>
      </w:rPr>
    </w:lvl>
    <w:lvl w:ilvl="3" w:tplc="DE6A16E4">
      <w:numFmt w:val="none"/>
      <w:lvlText w:val=""/>
      <w:lvlJc w:val="left"/>
      <w:pPr>
        <w:tabs>
          <w:tab w:val="num" w:pos="360"/>
        </w:tabs>
      </w:pPr>
      <w:rPr>
        <w:rFonts w:cs="Times New Roman"/>
      </w:rPr>
    </w:lvl>
    <w:lvl w:ilvl="4" w:tplc="96001DC0">
      <w:numFmt w:val="none"/>
      <w:lvlText w:val=""/>
      <w:lvlJc w:val="left"/>
      <w:pPr>
        <w:tabs>
          <w:tab w:val="num" w:pos="360"/>
        </w:tabs>
      </w:pPr>
      <w:rPr>
        <w:rFonts w:cs="Times New Roman"/>
      </w:rPr>
    </w:lvl>
    <w:lvl w:ilvl="5" w:tplc="CD5CD644">
      <w:numFmt w:val="none"/>
      <w:lvlText w:val=""/>
      <w:lvlJc w:val="left"/>
      <w:pPr>
        <w:tabs>
          <w:tab w:val="num" w:pos="360"/>
        </w:tabs>
      </w:pPr>
      <w:rPr>
        <w:rFonts w:cs="Times New Roman"/>
      </w:rPr>
    </w:lvl>
    <w:lvl w:ilvl="6" w:tplc="9B0E0684">
      <w:numFmt w:val="none"/>
      <w:lvlText w:val=""/>
      <w:lvlJc w:val="left"/>
      <w:pPr>
        <w:tabs>
          <w:tab w:val="num" w:pos="360"/>
        </w:tabs>
      </w:pPr>
      <w:rPr>
        <w:rFonts w:cs="Times New Roman"/>
      </w:rPr>
    </w:lvl>
    <w:lvl w:ilvl="7" w:tplc="46FECC90">
      <w:numFmt w:val="none"/>
      <w:lvlText w:val=""/>
      <w:lvlJc w:val="left"/>
      <w:pPr>
        <w:tabs>
          <w:tab w:val="num" w:pos="360"/>
        </w:tabs>
      </w:pPr>
      <w:rPr>
        <w:rFonts w:cs="Times New Roman"/>
      </w:rPr>
    </w:lvl>
    <w:lvl w:ilvl="8" w:tplc="69BCD940">
      <w:numFmt w:val="none"/>
      <w:lvlText w:val=""/>
      <w:lvlJc w:val="left"/>
      <w:pPr>
        <w:tabs>
          <w:tab w:val="num" w:pos="360"/>
        </w:tabs>
      </w:pPr>
      <w:rPr>
        <w:rFonts w:cs="Times New Roman"/>
      </w:rPr>
    </w:lvl>
  </w:abstractNum>
  <w:abstractNum w:abstractNumId="77">
    <w:nsid w:val="18C3235D"/>
    <w:multiLevelType w:val="hybridMultilevel"/>
    <w:tmpl w:val="8EAAB9B8"/>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8">
    <w:nsid w:val="19F9089B"/>
    <w:multiLevelType w:val="hybridMultilevel"/>
    <w:tmpl w:val="99EEBC5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79">
    <w:nsid w:val="1B4A09CB"/>
    <w:multiLevelType w:val="hybridMultilevel"/>
    <w:tmpl w:val="C1B24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1B693D3E"/>
    <w:multiLevelType w:val="hybridMultilevel"/>
    <w:tmpl w:val="71A403EC"/>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1">
    <w:nsid w:val="1BA24006"/>
    <w:multiLevelType w:val="hybridMultilevel"/>
    <w:tmpl w:val="4582216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2">
    <w:nsid w:val="1BE71EC5"/>
    <w:multiLevelType w:val="hybridMultilevel"/>
    <w:tmpl w:val="64C0AA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3">
    <w:nsid w:val="1C4713C5"/>
    <w:multiLevelType w:val="hybridMultilevel"/>
    <w:tmpl w:val="2A044BA8"/>
    <w:lvl w:ilvl="0" w:tplc="302691A6">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4">
    <w:nsid w:val="1C6330E6"/>
    <w:multiLevelType w:val="hybridMultilevel"/>
    <w:tmpl w:val="2D6C02C6"/>
    <w:lvl w:ilvl="0" w:tplc="04180007">
      <w:start w:val="1"/>
      <w:numFmt w:val="bullet"/>
      <w:lvlText w:val=""/>
      <w:lvlPicBulletId w:val="0"/>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85">
    <w:nsid w:val="1D493119"/>
    <w:multiLevelType w:val="multilevel"/>
    <w:tmpl w:val="AA40D08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6">
    <w:nsid w:val="1E6B141B"/>
    <w:multiLevelType w:val="hybridMultilevel"/>
    <w:tmpl w:val="F6F4B064"/>
    <w:lvl w:ilvl="0" w:tplc="302691A6">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nsid w:val="1FC62401"/>
    <w:multiLevelType w:val="hybridMultilevel"/>
    <w:tmpl w:val="CE9844AA"/>
    <w:lvl w:ilvl="0" w:tplc="73B4236E">
      <w:start w:val="1"/>
      <w:numFmt w:val="bullet"/>
      <w:lvlText w:val=""/>
      <w:lvlJc w:val="left"/>
      <w:pPr>
        <w:ind w:left="720" w:hanging="360"/>
      </w:pPr>
      <w:rPr>
        <w:rFonts w:ascii="Symbol" w:hAnsi="Symbol" w:hint="default"/>
        <w:sz w:val="24"/>
        <w:szCs w:val="24"/>
      </w:rPr>
    </w:lvl>
    <w:lvl w:ilvl="1" w:tplc="04180001">
      <w:start w:val="1"/>
      <w:numFmt w:val="bullet"/>
      <w:lvlText w:val=""/>
      <w:lvlJc w:val="left"/>
      <w:pPr>
        <w:ind w:left="1440" w:hanging="360"/>
      </w:pPr>
      <w:rPr>
        <w:rFonts w:ascii="Symbol" w:hAnsi="Symbo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8">
    <w:nsid w:val="206D1E4D"/>
    <w:multiLevelType w:val="multilevel"/>
    <w:tmpl w:val="4E044BEC"/>
    <w:lvl w:ilvl="0">
      <w:start w:val="4"/>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9">
    <w:nsid w:val="21057D95"/>
    <w:multiLevelType w:val="hybridMultilevel"/>
    <w:tmpl w:val="3D58D872"/>
    <w:lvl w:ilvl="0" w:tplc="041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23A77982"/>
    <w:multiLevelType w:val="hybridMultilevel"/>
    <w:tmpl w:val="84E84E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1">
    <w:nsid w:val="241D3669"/>
    <w:multiLevelType w:val="hybridMultilevel"/>
    <w:tmpl w:val="52A2A7C2"/>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92">
    <w:nsid w:val="24AA4E42"/>
    <w:multiLevelType w:val="hybridMultilevel"/>
    <w:tmpl w:val="23361974"/>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3">
    <w:nsid w:val="25155D39"/>
    <w:multiLevelType w:val="hybridMultilevel"/>
    <w:tmpl w:val="4BAC8F34"/>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4">
    <w:nsid w:val="251E2375"/>
    <w:multiLevelType w:val="hybridMultilevel"/>
    <w:tmpl w:val="DD300BF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5">
    <w:nsid w:val="253C356E"/>
    <w:multiLevelType w:val="hybridMultilevel"/>
    <w:tmpl w:val="AB100B12"/>
    <w:lvl w:ilvl="0" w:tplc="5F2A4C90">
      <w:start w:val="1"/>
      <w:numFmt w:val="upperRoman"/>
      <w:lvlText w:val="%1."/>
      <w:lvlJc w:val="left"/>
      <w:pPr>
        <w:ind w:left="1080" w:hanging="720"/>
      </w:pPr>
      <w:rPr>
        <w:rFonts w:cs="Calibri" w:hint="default"/>
        <w:b/>
        <w:color w:val="00206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6">
    <w:nsid w:val="259214B6"/>
    <w:multiLevelType w:val="hybridMultilevel"/>
    <w:tmpl w:val="5D34F3A2"/>
    <w:lvl w:ilvl="0" w:tplc="302691A6">
      <w:numFmt w:val="bullet"/>
      <w:lvlText w:val="-"/>
      <w:lvlJc w:val="left"/>
      <w:pPr>
        <w:ind w:left="1069" w:hanging="360"/>
      </w:pPr>
      <w:rPr>
        <w:rFonts w:ascii="Calibri" w:eastAsia="Times New Roman" w:hAnsi="Calibri" w:cs="Calibri"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97">
    <w:nsid w:val="266C3273"/>
    <w:multiLevelType w:val="hybridMultilevel"/>
    <w:tmpl w:val="D4A43B88"/>
    <w:lvl w:ilvl="0" w:tplc="17103556">
      <w:numFmt w:val="bullet"/>
      <w:lvlText w:val="-"/>
      <w:lvlJc w:val="left"/>
      <w:pPr>
        <w:ind w:left="1440" w:hanging="360"/>
      </w:pPr>
      <w:rPr>
        <w:rFonts w:ascii="Arial" w:eastAsia="MS Mincho"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nsid w:val="27400193"/>
    <w:multiLevelType w:val="multilevel"/>
    <w:tmpl w:val="0D3AC28C"/>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99">
    <w:nsid w:val="2AA8395F"/>
    <w:multiLevelType w:val="hybridMultilevel"/>
    <w:tmpl w:val="693228D8"/>
    <w:lvl w:ilvl="0" w:tplc="2CE6DE6E">
      <w:start w:val="1"/>
      <w:numFmt w:val="bullet"/>
      <w:lvlText w:val=""/>
      <w:lvlJc w:val="left"/>
      <w:pPr>
        <w:ind w:left="1492" w:hanging="360"/>
      </w:pPr>
      <w:rPr>
        <w:rFonts w:ascii="Symbol" w:hAnsi="Symbol" w:hint="default"/>
        <w:sz w:val="22"/>
      </w:rPr>
    </w:lvl>
    <w:lvl w:ilvl="1" w:tplc="04180003">
      <w:start w:val="1"/>
      <w:numFmt w:val="bullet"/>
      <w:lvlText w:val="o"/>
      <w:lvlJc w:val="left"/>
      <w:pPr>
        <w:ind w:left="2212" w:hanging="360"/>
      </w:pPr>
      <w:rPr>
        <w:rFonts w:ascii="Courier New" w:hAnsi="Courier New" w:cs="Courier New" w:hint="default"/>
      </w:rPr>
    </w:lvl>
    <w:lvl w:ilvl="2" w:tplc="04180005" w:tentative="1">
      <w:start w:val="1"/>
      <w:numFmt w:val="bullet"/>
      <w:lvlText w:val=""/>
      <w:lvlJc w:val="left"/>
      <w:pPr>
        <w:ind w:left="2932" w:hanging="360"/>
      </w:pPr>
      <w:rPr>
        <w:rFonts w:ascii="Wingdings" w:hAnsi="Wingdings" w:hint="default"/>
      </w:rPr>
    </w:lvl>
    <w:lvl w:ilvl="3" w:tplc="04180001" w:tentative="1">
      <w:start w:val="1"/>
      <w:numFmt w:val="bullet"/>
      <w:lvlText w:val=""/>
      <w:lvlJc w:val="left"/>
      <w:pPr>
        <w:ind w:left="3652" w:hanging="360"/>
      </w:pPr>
      <w:rPr>
        <w:rFonts w:ascii="Symbol" w:hAnsi="Symbol" w:hint="default"/>
      </w:rPr>
    </w:lvl>
    <w:lvl w:ilvl="4" w:tplc="04180003" w:tentative="1">
      <w:start w:val="1"/>
      <w:numFmt w:val="bullet"/>
      <w:lvlText w:val="o"/>
      <w:lvlJc w:val="left"/>
      <w:pPr>
        <w:ind w:left="4372" w:hanging="360"/>
      </w:pPr>
      <w:rPr>
        <w:rFonts w:ascii="Courier New" w:hAnsi="Courier New" w:cs="Courier New" w:hint="default"/>
      </w:rPr>
    </w:lvl>
    <w:lvl w:ilvl="5" w:tplc="04180005" w:tentative="1">
      <w:start w:val="1"/>
      <w:numFmt w:val="bullet"/>
      <w:lvlText w:val=""/>
      <w:lvlJc w:val="left"/>
      <w:pPr>
        <w:ind w:left="5092" w:hanging="360"/>
      </w:pPr>
      <w:rPr>
        <w:rFonts w:ascii="Wingdings" w:hAnsi="Wingdings" w:hint="default"/>
      </w:rPr>
    </w:lvl>
    <w:lvl w:ilvl="6" w:tplc="04180001" w:tentative="1">
      <w:start w:val="1"/>
      <w:numFmt w:val="bullet"/>
      <w:lvlText w:val=""/>
      <w:lvlJc w:val="left"/>
      <w:pPr>
        <w:ind w:left="5812" w:hanging="360"/>
      </w:pPr>
      <w:rPr>
        <w:rFonts w:ascii="Symbol" w:hAnsi="Symbol" w:hint="default"/>
      </w:rPr>
    </w:lvl>
    <w:lvl w:ilvl="7" w:tplc="04180003" w:tentative="1">
      <w:start w:val="1"/>
      <w:numFmt w:val="bullet"/>
      <w:lvlText w:val="o"/>
      <w:lvlJc w:val="left"/>
      <w:pPr>
        <w:ind w:left="6532" w:hanging="360"/>
      </w:pPr>
      <w:rPr>
        <w:rFonts w:ascii="Courier New" w:hAnsi="Courier New" w:cs="Courier New" w:hint="default"/>
      </w:rPr>
    </w:lvl>
    <w:lvl w:ilvl="8" w:tplc="04180005" w:tentative="1">
      <w:start w:val="1"/>
      <w:numFmt w:val="bullet"/>
      <w:lvlText w:val=""/>
      <w:lvlJc w:val="left"/>
      <w:pPr>
        <w:ind w:left="7252" w:hanging="360"/>
      </w:pPr>
      <w:rPr>
        <w:rFonts w:ascii="Wingdings" w:hAnsi="Wingdings" w:hint="default"/>
      </w:rPr>
    </w:lvl>
  </w:abstractNum>
  <w:abstractNum w:abstractNumId="100">
    <w:nsid w:val="2AC62D4B"/>
    <w:multiLevelType w:val="multilevel"/>
    <w:tmpl w:val="A8FC52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2B7B55D4"/>
    <w:multiLevelType w:val="hybridMultilevel"/>
    <w:tmpl w:val="CB5074B4"/>
    <w:lvl w:ilvl="0" w:tplc="E09C70E8">
      <w:start w:val="1"/>
      <w:numFmt w:val="bullet"/>
      <w:pStyle w:val="WW-ListBullet2"/>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2">
    <w:nsid w:val="2B964AEF"/>
    <w:multiLevelType w:val="hybridMultilevel"/>
    <w:tmpl w:val="091E3A4E"/>
    <w:lvl w:ilvl="0" w:tplc="302691A6">
      <w:numFmt w:val="bullet"/>
      <w:lvlText w:val="-"/>
      <w:lvlJc w:val="left"/>
      <w:pPr>
        <w:ind w:left="360" w:hanging="360"/>
      </w:pPr>
      <w:rPr>
        <w:rFonts w:ascii="Calibri" w:eastAsia="Times New Roman"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3">
    <w:nsid w:val="2B9E014D"/>
    <w:multiLevelType w:val="multilevel"/>
    <w:tmpl w:val="4BDE18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2E164715"/>
    <w:multiLevelType w:val="hybridMultilevel"/>
    <w:tmpl w:val="4D16BDA6"/>
    <w:lvl w:ilvl="0" w:tplc="0409000D">
      <w:start w:val="1"/>
      <w:numFmt w:val="bullet"/>
      <w:lvlText w:val=""/>
      <w:lvlJc w:val="left"/>
      <w:pPr>
        <w:ind w:left="720" w:hanging="360"/>
      </w:pPr>
      <w:rPr>
        <w:rFonts w:ascii="Wingdings" w:hAnsi="Wingdings" w:hint="default"/>
      </w:rPr>
    </w:lvl>
    <w:lvl w:ilvl="1" w:tplc="7084DA62">
      <w:start w:val="1"/>
      <w:numFmt w:val="bullet"/>
      <w:lvlText w:val="o"/>
      <w:lvlJc w:val="left"/>
      <w:pPr>
        <w:tabs>
          <w:tab w:val="num" w:pos="1440"/>
        </w:tabs>
        <w:ind w:left="1440" w:hanging="360"/>
      </w:pPr>
      <w:rPr>
        <w:rFonts w:ascii="Courier New" w:hAnsi="Courier New"/>
      </w:rPr>
    </w:lvl>
    <w:lvl w:ilvl="2" w:tplc="9FAE4FF0">
      <w:start w:val="1"/>
      <w:numFmt w:val="bullet"/>
      <w:lvlText w:val=""/>
      <w:lvlJc w:val="left"/>
      <w:pPr>
        <w:tabs>
          <w:tab w:val="num" w:pos="2160"/>
        </w:tabs>
        <w:ind w:left="2160" w:hanging="360"/>
      </w:pPr>
      <w:rPr>
        <w:rFonts w:ascii="Wingdings" w:hAnsi="Wingdings"/>
      </w:rPr>
    </w:lvl>
    <w:lvl w:ilvl="3" w:tplc="24D21738">
      <w:start w:val="1"/>
      <w:numFmt w:val="bullet"/>
      <w:lvlText w:val=""/>
      <w:lvlJc w:val="left"/>
      <w:pPr>
        <w:tabs>
          <w:tab w:val="num" w:pos="2880"/>
        </w:tabs>
        <w:ind w:left="2880" w:hanging="360"/>
      </w:pPr>
      <w:rPr>
        <w:rFonts w:ascii="Symbol" w:hAnsi="Symbol"/>
      </w:rPr>
    </w:lvl>
    <w:lvl w:ilvl="4" w:tplc="00DA0796">
      <w:start w:val="1"/>
      <w:numFmt w:val="bullet"/>
      <w:lvlText w:val="o"/>
      <w:lvlJc w:val="left"/>
      <w:pPr>
        <w:tabs>
          <w:tab w:val="num" w:pos="3600"/>
        </w:tabs>
        <w:ind w:left="3600" w:hanging="360"/>
      </w:pPr>
      <w:rPr>
        <w:rFonts w:ascii="Courier New" w:hAnsi="Courier New"/>
      </w:rPr>
    </w:lvl>
    <w:lvl w:ilvl="5" w:tplc="5C127D3C">
      <w:start w:val="1"/>
      <w:numFmt w:val="bullet"/>
      <w:lvlText w:val=""/>
      <w:lvlJc w:val="left"/>
      <w:pPr>
        <w:tabs>
          <w:tab w:val="num" w:pos="4320"/>
        </w:tabs>
        <w:ind w:left="4320" w:hanging="360"/>
      </w:pPr>
      <w:rPr>
        <w:rFonts w:ascii="Wingdings" w:hAnsi="Wingdings"/>
      </w:rPr>
    </w:lvl>
    <w:lvl w:ilvl="6" w:tplc="F5A8AF1A">
      <w:start w:val="1"/>
      <w:numFmt w:val="bullet"/>
      <w:lvlText w:val=""/>
      <w:lvlJc w:val="left"/>
      <w:pPr>
        <w:tabs>
          <w:tab w:val="num" w:pos="5040"/>
        </w:tabs>
        <w:ind w:left="5040" w:hanging="360"/>
      </w:pPr>
      <w:rPr>
        <w:rFonts w:ascii="Symbol" w:hAnsi="Symbol"/>
      </w:rPr>
    </w:lvl>
    <w:lvl w:ilvl="7" w:tplc="EE480840">
      <w:start w:val="1"/>
      <w:numFmt w:val="bullet"/>
      <w:lvlText w:val="o"/>
      <w:lvlJc w:val="left"/>
      <w:pPr>
        <w:tabs>
          <w:tab w:val="num" w:pos="5760"/>
        </w:tabs>
        <w:ind w:left="5760" w:hanging="360"/>
      </w:pPr>
      <w:rPr>
        <w:rFonts w:ascii="Courier New" w:hAnsi="Courier New"/>
      </w:rPr>
    </w:lvl>
    <w:lvl w:ilvl="8" w:tplc="C18A3DD2">
      <w:start w:val="1"/>
      <w:numFmt w:val="bullet"/>
      <w:lvlText w:val=""/>
      <w:lvlJc w:val="left"/>
      <w:pPr>
        <w:tabs>
          <w:tab w:val="num" w:pos="6480"/>
        </w:tabs>
        <w:ind w:left="6480" w:hanging="360"/>
      </w:pPr>
      <w:rPr>
        <w:rFonts w:ascii="Wingdings" w:hAnsi="Wingdings"/>
      </w:rPr>
    </w:lvl>
  </w:abstractNum>
  <w:abstractNum w:abstractNumId="105">
    <w:nsid w:val="2E465F09"/>
    <w:multiLevelType w:val="multilevel"/>
    <w:tmpl w:val="63C26C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2E552D35"/>
    <w:multiLevelType w:val="multilevel"/>
    <w:tmpl w:val="084A4C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2F4F186D"/>
    <w:multiLevelType w:val="multilevel"/>
    <w:tmpl w:val="7CE0FD36"/>
    <w:lvl w:ilvl="0">
      <w:numFmt w:val="bullet"/>
      <w:lvlText w:val="-"/>
      <w:lvlJc w:val="left"/>
      <w:pPr>
        <w:ind w:left="1440" w:hanging="360"/>
      </w:pPr>
      <w:rPr>
        <w:rFonts w:ascii="Arial" w:eastAsia="Arial" w:hAnsi="Arial" w:cs="Arial"/>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08">
    <w:nsid w:val="2F6C7010"/>
    <w:multiLevelType w:val="multilevel"/>
    <w:tmpl w:val="D3807A5E"/>
    <w:lvl w:ilvl="0">
      <w:start w:val="1"/>
      <w:numFmt w:val="decimal"/>
      <w:lvlText w:val="%1"/>
      <w:lvlJc w:val="left"/>
      <w:pPr>
        <w:ind w:left="384" w:hanging="384"/>
      </w:pPr>
      <w:rPr>
        <w:rFonts w:hint="default"/>
        <w:b/>
        <w:i w:val="0"/>
      </w:rPr>
    </w:lvl>
    <w:lvl w:ilvl="1">
      <w:start w:val="1"/>
      <w:numFmt w:val="decimal"/>
      <w:lvlText w:val="%1.%2"/>
      <w:lvlJc w:val="left"/>
      <w:pPr>
        <w:ind w:left="384" w:hanging="384"/>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109">
    <w:nsid w:val="2FF15E2C"/>
    <w:multiLevelType w:val="multilevel"/>
    <w:tmpl w:val="216C86DE"/>
    <w:lvl w:ilvl="0">
      <w:start w:val="4"/>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0">
    <w:nsid w:val="30AB59ED"/>
    <w:multiLevelType w:val="hybridMultilevel"/>
    <w:tmpl w:val="346C8994"/>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11">
    <w:nsid w:val="30D50C63"/>
    <w:multiLevelType w:val="hybridMultilevel"/>
    <w:tmpl w:val="5462AA9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2">
    <w:nsid w:val="30FC780B"/>
    <w:multiLevelType w:val="multilevel"/>
    <w:tmpl w:val="29F0672E"/>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13">
    <w:nsid w:val="317104ED"/>
    <w:multiLevelType w:val="multilevel"/>
    <w:tmpl w:val="3BB27FCC"/>
    <w:lvl w:ilvl="0">
      <w:start w:val="1"/>
      <w:numFmt w:val="decimal"/>
      <w:lvlText w:val="%1."/>
      <w:lvlJc w:val="left"/>
      <w:pPr>
        <w:ind w:left="72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4">
    <w:nsid w:val="32010973"/>
    <w:multiLevelType w:val="hybridMultilevel"/>
    <w:tmpl w:val="ED66EE0E"/>
    <w:lvl w:ilvl="0" w:tplc="04090019">
      <w:start w:val="1"/>
      <w:numFmt w:val="lowerLetter"/>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15">
    <w:nsid w:val="325B04D2"/>
    <w:multiLevelType w:val="hybridMultilevel"/>
    <w:tmpl w:val="EE6C2CB0"/>
    <w:lvl w:ilvl="0" w:tplc="C226D6C6">
      <w:start w:val="3"/>
      <w:numFmt w:val="bullet"/>
      <w:lvlText w:val="-"/>
      <w:lvlJc w:val="left"/>
      <w:pPr>
        <w:ind w:left="-207" w:hanging="360"/>
      </w:pPr>
      <w:rPr>
        <w:rFonts w:ascii="Calibri" w:eastAsia="SimSun" w:hAnsi="Calibri" w:cs="Mangal" w:hint="default"/>
      </w:rPr>
    </w:lvl>
    <w:lvl w:ilvl="1" w:tplc="04180003" w:tentative="1">
      <w:start w:val="1"/>
      <w:numFmt w:val="bullet"/>
      <w:lvlText w:val="o"/>
      <w:lvlJc w:val="left"/>
      <w:pPr>
        <w:ind w:left="513" w:hanging="360"/>
      </w:pPr>
      <w:rPr>
        <w:rFonts w:ascii="Courier New" w:hAnsi="Courier New" w:cs="Courier New" w:hint="default"/>
      </w:rPr>
    </w:lvl>
    <w:lvl w:ilvl="2" w:tplc="04180005" w:tentative="1">
      <w:start w:val="1"/>
      <w:numFmt w:val="bullet"/>
      <w:lvlText w:val=""/>
      <w:lvlJc w:val="left"/>
      <w:pPr>
        <w:ind w:left="1233" w:hanging="360"/>
      </w:pPr>
      <w:rPr>
        <w:rFonts w:ascii="Wingdings" w:hAnsi="Wingdings" w:hint="default"/>
      </w:rPr>
    </w:lvl>
    <w:lvl w:ilvl="3" w:tplc="04180001" w:tentative="1">
      <w:start w:val="1"/>
      <w:numFmt w:val="bullet"/>
      <w:lvlText w:val=""/>
      <w:lvlJc w:val="left"/>
      <w:pPr>
        <w:ind w:left="1953" w:hanging="360"/>
      </w:pPr>
      <w:rPr>
        <w:rFonts w:ascii="Symbol" w:hAnsi="Symbol" w:hint="default"/>
      </w:rPr>
    </w:lvl>
    <w:lvl w:ilvl="4" w:tplc="04180003" w:tentative="1">
      <w:start w:val="1"/>
      <w:numFmt w:val="bullet"/>
      <w:lvlText w:val="o"/>
      <w:lvlJc w:val="left"/>
      <w:pPr>
        <w:ind w:left="2673" w:hanging="360"/>
      </w:pPr>
      <w:rPr>
        <w:rFonts w:ascii="Courier New" w:hAnsi="Courier New" w:cs="Courier New" w:hint="default"/>
      </w:rPr>
    </w:lvl>
    <w:lvl w:ilvl="5" w:tplc="04180005" w:tentative="1">
      <w:start w:val="1"/>
      <w:numFmt w:val="bullet"/>
      <w:lvlText w:val=""/>
      <w:lvlJc w:val="left"/>
      <w:pPr>
        <w:ind w:left="3393" w:hanging="360"/>
      </w:pPr>
      <w:rPr>
        <w:rFonts w:ascii="Wingdings" w:hAnsi="Wingdings" w:hint="default"/>
      </w:rPr>
    </w:lvl>
    <w:lvl w:ilvl="6" w:tplc="04180001" w:tentative="1">
      <w:start w:val="1"/>
      <w:numFmt w:val="bullet"/>
      <w:lvlText w:val=""/>
      <w:lvlJc w:val="left"/>
      <w:pPr>
        <w:ind w:left="4113" w:hanging="360"/>
      </w:pPr>
      <w:rPr>
        <w:rFonts w:ascii="Symbol" w:hAnsi="Symbol" w:hint="default"/>
      </w:rPr>
    </w:lvl>
    <w:lvl w:ilvl="7" w:tplc="04180003" w:tentative="1">
      <w:start w:val="1"/>
      <w:numFmt w:val="bullet"/>
      <w:lvlText w:val="o"/>
      <w:lvlJc w:val="left"/>
      <w:pPr>
        <w:ind w:left="4833" w:hanging="360"/>
      </w:pPr>
      <w:rPr>
        <w:rFonts w:ascii="Courier New" w:hAnsi="Courier New" w:cs="Courier New" w:hint="default"/>
      </w:rPr>
    </w:lvl>
    <w:lvl w:ilvl="8" w:tplc="04180005" w:tentative="1">
      <w:start w:val="1"/>
      <w:numFmt w:val="bullet"/>
      <w:lvlText w:val=""/>
      <w:lvlJc w:val="left"/>
      <w:pPr>
        <w:ind w:left="5553" w:hanging="360"/>
      </w:pPr>
      <w:rPr>
        <w:rFonts w:ascii="Wingdings" w:hAnsi="Wingdings" w:hint="default"/>
      </w:rPr>
    </w:lvl>
  </w:abstractNum>
  <w:abstractNum w:abstractNumId="116">
    <w:nsid w:val="328F472F"/>
    <w:multiLevelType w:val="hybridMultilevel"/>
    <w:tmpl w:val="342A766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7">
    <w:nsid w:val="334F2B13"/>
    <w:multiLevelType w:val="hybridMultilevel"/>
    <w:tmpl w:val="569E661C"/>
    <w:lvl w:ilvl="0" w:tplc="041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3388217B"/>
    <w:multiLevelType w:val="hybridMultilevel"/>
    <w:tmpl w:val="29FAD59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9">
    <w:nsid w:val="33951124"/>
    <w:multiLevelType w:val="hybridMultilevel"/>
    <w:tmpl w:val="7E68E6A4"/>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20">
    <w:nsid w:val="33975838"/>
    <w:multiLevelType w:val="hybridMultilevel"/>
    <w:tmpl w:val="B35A1A88"/>
    <w:lvl w:ilvl="0" w:tplc="5C7C6E8E">
      <w:start w:val="1"/>
      <w:numFmt w:val="decimal"/>
      <w:lvlText w:val="%1."/>
      <w:lvlJc w:val="left"/>
      <w:pPr>
        <w:ind w:left="720" w:hanging="360"/>
      </w:pPr>
      <w:rPr>
        <w:rFonts w:asciiTheme="minorHAnsi" w:hAnsiTheme="minorHAnsi" w:hint="default"/>
        <w:b/>
        <w:sz w:val="24"/>
        <w:szCs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1">
    <w:nsid w:val="33EE75F2"/>
    <w:multiLevelType w:val="hybridMultilevel"/>
    <w:tmpl w:val="18108D4A"/>
    <w:lvl w:ilvl="0" w:tplc="2544FE0C">
      <w:start w:val="5"/>
      <w:numFmt w:val="bullet"/>
      <w:lvlText w:val="-"/>
      <w:lvlJc w:val="left"/>
      <w:pPr>
        <w:ind w:left="360" w:hanging="360"/>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2">
    <w:nsid w:val="3522211B"/>
    <w:multiLevelType w:val="hybridMultilevel"/>
    <w:tmpl w:val="A15E0710"/>
    <w:lvl w:ilvl="0" w:tplc="0418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nsid w:val="354A1FB7"/>
    <w:multiLevelType w:val="hybridMultilevel"/>
    <w:tmpl w:val="BB3C91A8"/>
    <w:lvl w:ilvl="0" w:tplc="0418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35775082"/>
    <w:multiLevelType w:val="hybridMultilevel"/>
    <w:tmpl w:val="1B5A9914"/>
    <w:lvl w:ilvl="0" w:tplc="0418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nsid w:val="35914955"/>
    <w:multiLevelType w:val="hybridMultilevel"/>
    <w:tmpl w:val="4184D99E"/>
    <w:lvl w:ilvl="0" w:tplc="04180007">
      <w:start w:val="1"/>
      <w:numFmt w:val="bullet"/>
      <w:lvlText w:val=""/>
      <w:lvlPicBulletId w:val="0"/>
      <w:lvlJc w:val="left"/>
      <w:pPr>
        <w:ind w:left="720" w:hanging="360"/>
      </w:pPr>
      <w:rPr>
        <w:rFonts w:ascii="Symbol" w:hAnsi="Symbol" w:hint="default"/>
      </w:rPr>
    </w:lvl>
    <w:lvl w:ilvl="1" w:tplc="04180007">
      <w:start w:val="1"/>
      <w:numFmt w:val="bullet"/>
      <w:lvlText w:val=""/>
      <w:lvlPicBulletId w:val="0"/>
      <w:lvlJc w:val="left"/>
      <w:pPr>
        <w:ind w:left="1440" w:hanging="360"/>
      </w:pPr>
      <w:rPr>
        <w:rFonts w:ascii="Symbol" w:hAnsi="Symbo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7">
      <w:start w:val="1"/>
      <w:numFmt w:val="bullet"/>
      <w:lvlText w:val=""/>
      <w:lvlPicBulletId w:val="0"/>
      <w:lvlJc w:val="left"/>
      <w:pPr>
        <w:ind w:left="3600" w:hanging="360"/>
      </w:pPr>
      <w:rPr>
        <w:rFonts w:ascii="Symbol" w:hAnsi="Symbol"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6">
    <w:nsid w:val="35DC7F67"/>
    <w:multiLevelType w:val="hybridMultilevel"/>
    <w:tmpl w:val="CEF080E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7">
    <w:nsid w:val="37189989"/>
    <w:multiLevelType w:val="multilevel"/>
    <w:tmpl w:val="45BBDAB4"/>
    <w:lvl w:ilvl="0">
      <w:start w:val="1"/>
      <w:numFmt w:val="decimal"/>
      <w:lvlText w:val="%1."/>
      <w:lvlJc w:val="left"/>
      <w:pPr>
        <w:tabs>
          <w:tab w:val="num" w:pos="525"/>
        </w:tabs>
        <w:ind w:left="30" w:firstLine="135"/>
      </w:pPr>
      <w:rPr>
        <w:rFonts w:ascii="Times New Roman" w:hAnsi="Times New Roman" w:cs="Times New Roman"/>
        <w:i/>
        <w:iCs/>
        <w:color w:val="000080"/>
        <w:sz w:val="24"/>
        <w:szCs w:val="24"/>
      </w:rPr>
    </w:lvl>
    <w:lvl w:ilvl="1">
      <w:start w:val="1"/>
      <w:numFmt w:val="lowerLetter"/>
      <w:lvlText w:val="%2."/>
      <w:lvlJc w:val="left"/>
      <w:pPr>
        <w:tabs>
          <w:tab w:val="num" w:pos="1110"/>
        </w:tabs>
        <w:ind w:left="1110" w:hanging="360"/>
      </w:pPr>
      <w:rPr>
        <w:rFonts w:ascii="Times New Roman" w:hAnsi="Times New Roman" w:cs="Times New Roman"/>
        <w:sz w:val="24"/>
        <w:szCs w:val="24"/>
      </w:rPr>
    </w:lvl>
    <w:lvl w:ilvl="2">
      <w:start w:val="1"/>
      <w:numFmt w:val="lowerRoman"/>
      <w:lvlText w:val="%3."/>
      <w:lvlJc w:val="right"/>
      <w:pPr>
        <w:tabs>
          <w:tab w:val="num" w:pos="1830"/>
        </w:tabs>
        <w:ind w:left="1830" w:hanging="180"/>
      </w:pPr>
      <w:rPr>
        <w:rFonts w:ascii="Times New Roman" w:hAnsi="Times New Roman" w:cs="Times New Roman"/>
        <w:sz w:val="24"/>
        <w:szCs w:val="24"/>
      </w:rPr>
    </w:lvl>
    <w:lvl w:ilvl="3">
      <w:start w:val="1"/>
      <w:numFmt w:val="decimal"/>
      <w:lvlText w:val="%4."/>
      <w:lvlJc w:val="left"/>
      <w:pPr>
        <w:tabs>
          <w:tab w:val="num" w:pos="2550"/>
        </w:tabs>
        <w:ind w:left="2550" w:hanging="360"/>
      </w:pPr>
      <w:rPr>
        <w:rFonts w:ascii="Times New Roman" w:hAnsi="Times New Roman" w:cs="Times New Roman"/>
        <w:sz w:val="24"/>
        <w:szCs w:val="24"/>
      </w:rPr>
    </w:lvl>
    <w:lvl w:ilvl="4">
      <w:start w:val="1"/>
      <w:numFmt w:val="lowerLetter"/>
      <w:lvlText w:val="%5."/>
      <w:lvlJc w:val="left"/>
      <w:pPr>
        <w:tabs>
          <w:tab w:val="num" w:pos="3270"/>
        </w:tabs>
        <w:ind w:left="3270" w:hanging="360"/>
      </w:pPr>
      <w:rPr>
        <w:rFonts w:ascii="Times New Roman" w:hAnsi="Times New Roman" w:cs="Times New Roman"/>
        <w:sz w:val="24"/>
        <w:szCs w:val="24"/>
      </w:rPr>
    </w:lvl>
    <w:lvl w:ilvl="5">
      <w:start w:val="1"/>
      <w:numFmt w:val="lowerRoman"/>
      <w:lvlText w:val="%6."/>
      <w:lvlJc w:val="right"/>
      <w:pPr>
        <w:tabs>
          <w:tab w:val="num" w:pos="3990"/>
        </w:tabs>
        <w:ind w:left="3990" w:hanging="180"/>
      </w:pPr>
      <w:rPr>
        <w:rFonts w:ascii="Times New Roman" w:hAnsi="Times New Roman" w:cs="Times New Roman"/>
        <w:sz w:val="24"/>
        <w:szCs w:val="24"/>
      </w:rPr>
    </w:lvl>
    <w:lvl w:ilvl="6">
      <w:start w:val="1"/>
      <w:numFmt w:val="decimal"/>
      <w:lvlText w:val="%7."/>
      <w:lvlJc w:val="left"/>
      <w:pPr>
        <w:tabs>
          <w:tab w:val="num" w:pos="4710"/>
        </w:tabs>
        <w:ind w:left="4710" w:hanging="360"/>
      </w:pPr>
      <w:rPr>
        <w:rFonts w:ascii="Times New Roman" w:hAnsi="Times New Roman" w:cs="Times New Roman"/>
        <w:sz w:val="24"/>
        <w:szCs w:val="24"/>
      </w:rPr>
    </w:lvl>
    <w:lvl w:ilvl="7">
      <w:start w:val="1"/>
      <w:numFmt w:val="lowerLetter"/>
      <w:lvlText w:val="%8."/>
      <w:lvlJc w:val="left"/>
      <w:pPr>
        <w:tabs>
          <w:tab w:val="num" w:pos="5430"/>
        </w:tabs>
        <w:ind w:left="5430" w:hanging="360"/>
      </w:pPr>
      <w:rPr>
        <w:rFonts w:ascii="Times New Roman" w:hAnsi="Times New Roman" w:cs="Times New Roman"/>
        <w:sz w:val="24"/>
        <w:szCs w:val="24"/>
      </w:rPr>
    </w:lvl>
    <w:lvl w:ilvl="8">
      <w:start w:val="1"/>
      <w:numFmt w:val="lowerRoman"/>
      <w:lvlText w:val="%9."/>
      <w:lvlJc w:val="right"/>
      <w:pPr>
        <w:tabs>
          <w:tab w:val="num" w:pos="6150"/>
        </w:tabs>
        <w:ind w:left="6150" w:hanging="180"/>
      </w:pPr>
      <w:rPr>
        <w:rFonts w:ascii="Times New Roman" w:hAnsi="Times New Roman" w:cs="Times New Roman"/>
        <w:sz w:val="24"/>
        <w:szCs w:val="24"/>
      </w:rPr>
    </w:lvl>
  </w:abstractNum>
  <w:abstractNum w:abstractNumId="128">
    <w:nsid w:val="383F0291"/>
    <w:multiLevelType w:val="hybridMultilevel"/>
    <w:tmpl w:val="5D24BFE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18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29">
    <w:nsid w:val="387807AC"/>
    <w:multiLevelType w:val="hybridMultilevel"/>
    <w:tmpl w:val="1348023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0">
    <w:nsid w:val="38A715F4"/>
    <w:multiLevelType w:val="hybridMultilevel"/>
    <w:tmpl w:val="AC34BBEA"/>
    <w:lvl w:ilvl="0" w:tplc="041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395E0750"/>
    <w:multiLevelType w:val="hybridMultilevel"/>
    <w:tmpl w:val="816C6F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39792415"/>
    <w:multiLevelType w:val="hybridMultilevel"/>
    <w:tmpl w:val="F82650F4"/>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33">
    <w:nsid w:val="3A146187"/>
    <w:multiLevelType w:val="hybridMultilevel"/>
    <w:tmpl w:val="1A4C5434"/>
    <w:lvl w:ilvl="0" w:tplc="1E786110">
      <w:start w:val="1"/>
      <w:numFmt w:val="bullet"/>
      <w:lvlText w:val="-"/>
      <w:lvlJc w:val="left"/>
      <w:pPr>
        <w:ind w:left="720" w:hanging="360"/>
      </w:pPr>
      <w:rPr>
        <w:rFonts w:ascii="Times New Roman" w:eastAsia="SimSu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4">
    <w:nsid w:val="3A4E0809"/>
    <w:multiLevelType w:val="hybridMultilevel"/>
    <w:tmpl w:val="C034061A"/>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5">
    <w:nsid w:val="3AB31539"/>
    <w:multiLevelType w:val="hybridMultilevel"/>
    <w:tmpl w:val="CE0ACC26"/>
    <w:lvl w:ilvl="0" w:tplc="2EA4BD4E">
      <w:start w:val="1"/>
      <w:numFmt w:val="bullet"/>
      <w:lvlText w:val="•"/>
      <w:lvlJc w:val="left"/>
      <w:pPr>
        <w:tabs>
          <w:tab w:val="num" w:pos="720"/>
        </w:tabs>
        <w:ind w:left="720" w:hanging="360"/>
      </w:pPr>
      <w:rPr>
        <w:rFonts w:ascii="Arial" w:hAnsi="Arial" w:cs="Times New Roman" w:hint="default"/>
      </w:rPr>
    </w:lvl>
    <w:lvl w:ilvl="1" w:tplc="6E74D21A">
      <w:numFmt w:val="bullet"/>
      <w:lvlText w:val="–"/>
      <w:lvlJc w:val="left"/>
      <w:pPr>
        <w:ind w:left="1440" w:hanging="360"/>
      </w:pPr>
      <w:rPr>
        <w:rFonts w:ascii="Arial Narrow" w:eastAsia="Calibri" w:hAnsi="Arial Narrow" w:cs="Times New Roman" w:hint="default"/>
      </w:rPr>
    </w:lvl>
    <w:lvl w:ilvl="2" w:tplc="CF046B80">
      <w:start w:val="1"/>
      <w:numFmt w:val="bullet"/>
      <w:lvlText w:val="•"/>
      <w:lvlJc w:val="left"/>
      <w:pPr>
        <w:tabs>
          <w:tab w:val="num" w:pos="2160"/>
        </w:tabs>
        <w:ind w:left="2160" w:hanging="360"/>
      </w:pPr>
      <w:rPr>
        <w:rFonts w:ascii="Arial" w:hAnsi="Arial" w:cs="Times New Roman" w:hint="default"/>
      </w:rPr>
    </w:lvl>
    <w:lvl w:ilvl="3" w:tplc="83B0969A">
      <w:start w:val="1"/>
      <w:numFmt w:val="bullet"/>
      <w:lvlText w:val="•"/>
      <w:lvlJc w:val="left"/>
      <w:pPr>
        <w:tabs>
          <w:tab w:val="num" w:pos="2880"/>
        </w:tabs>
        <w:ind w:left="2880" w:hanging="360"/>
      </w:pPr>
      <w:rPr>
        <w:rFonts w:ascii="Arial" w:hAnsi="Arial" w:cs="Times New Roman" w:hint="default"/>
      </w:rPr>
    </w:lvl>
    <w:lvl w:ilvl="4" w:tplc="1692377C">
      <w:start w:val="1"/>
      <w:numFmt w:val="bullet"/>
      <w:lvlText w:val="•"/>
      <w:lvlJc w:val="left"/>
      <w:pPr>
        <w:tabs>
          <w:tab w:val="num" w:pos="3600"/>
        </w:tabs>
        <w:ind w:left="3600" w:hanging="360"/>
      </w:pPr>
      <w:rPr>
        <w:rFonts w:ascii="Arial" w:hAnsi="Arial" w:cs="Times New Roman" w:hint="default"/>
      </w:rPr>
    </w:lvl>
    <w:lvl w:ilvl="5" w:tplc="FEA00572">
      <w:start w:val="1"/>
      <w:numFmt w:val="bullet"/>
      <w:lvlText w:val="•"/>
      <w:lvlJc w:val="left"/>
      <w:pPr>
        <w:tabs>
          <w:tab w:val="num" w:pos="4320"/>
        </w:tabs>
        <w:ind w:left="4320" w:hanging="360"/>
      </w:pPr>
      <w:rPr>
        <w:rFonts w:ascii="Arial" w:hAnsi="Arial" w:cs="Times New Roman" w:hint="default"/>
      </w:rPr>
    </w:lvl>
    <w:lvl w:ilvl="6" w:tplc="5992BC30">
      <w:start w:val="1"/>
      <w:numFmt w:val="bullet"/>
      <w:lvlText w:val="•"/>
      <w:lvlJc w:val="left"/>
      <w:pPr>
        <w:tabs>
          <w:tab w:val="num" w:pos="5040"/>
        </w:tabs>
        <w:ind w:left="5040" w:hanging="360"/>
      </w:pPr>
      <w:rPr>
        <w:rFonts w:ascii="Arial" w:hAnsi="Arial" w:cs="Times New Roman" w:hint="default"/>
      </w:rPr>
    </w:lvl>
    <w:lvl w:ilvl="7" w:tplc="1F9C07B2">
      <w:start w:val="1"/>
      <w:numFmt w:val="bullet"/>
      <w:lvlText w:val="•"/>
      <w:lvlJc w:val="left"/>
      <w:pPr>
        <w:tabs>
          <w:tab w:val="num" w:pos="5760"/>
        </w:tabs>
        <w:ind w:left="5760" w:hanging="360"/>
      </w:pPr>
      <w:rPr>
        <w:rFonts w:ascii="Arial" w:hAnsi="Arial" w:cs="Times New Roman" w:hint="default"/>
      </w:rPr>
    </w:lvl>
    <w:lvl w:ilvl="8" w:tplc="9502F6A4">
      <w:start w:val="1"/>
      <w:numFmt w:val="bullet"/>
      <w:lvlText w:val="•"/>
      <w:lvlJc w:val="left"/>
      <w:pPr>
        <w:tabs>
          <w:tab w:val="num" w:pos="6480"/>
        </w:tabs>
        <w:ind w:left="6480" w:hanging="360"/>
      </w:pPr>
      <w:rPr>
        <w:rFonts w:ascii="Arial" w:hAnsi="Arial" w:cs="Times New Roman" w:hint="default"/>
      </w:rPr>
    </w:lvl>
  </w:abstractNum>
  <w:abstractNum w:abstractNumId="136">
    <w:nsid w:val="3AB561AD"/>
    <w:multiLevelType w:val="hybridMultilevel"/>
    <w:tmpl w:val="0C90341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7">
    <w:nsid w:val="3B130A86"/>
    <w:multiLevelType w:val="hybridMultilevel"/>
    <w:tmpl w:val="C158E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3BA60035"/>
    <w:multiLevelType w:val="hybridMultilevel"/>
    <w:tmpl w:val="8F6CA22E"/>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39">
    <w:nsid w:val="3C832E56"/>
    <w:multiLevelType w:val="hybridMultilevel"/>
    <w:tmpl w:val="0DDC1A0A"/>
    <w:lvl w:ilvl="0" w:tplc="0418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4F9A1740">
      <w:start w:val="55"/>
      <w:numFmt w:val="bullet"/>
      <w:lvlText w:val="–"/>
      <w:lvlJc w:val="left"/>
      <w:pPr>
        <w:ind w:left="2160" w:hanging="360"/>
      </w:pPr>
      <w:rPr>
        <w:rFonts w:ascii="Calibri" w:eastAsia="Times New Roman" w:hAnsi="Calibri" w:cs="Calibri"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0">
    <w:nsid w:val="3DBF0F00"/>
    <w:multiLevelType w:val="multilevel"/>
    <w:tmpl w:val="299C8FA8"/>
    <w:lvl w:ilvl="0">
      <w:start w:val="1"/>
      <w:numFmt w:val="bullet"/>
      <w:lvlText w:val="●"/>
      <w:lvlJc w:val="left"/>
      <w:pPr>
        <w:ind w:left="2421" w:hanging="360"/>
      </w:pPr>
      <w:rPr>
        <w:rFonts w:ascii="Noto Sans Symbols" w:eastAsia="Noto Sans Symbols" w:hAnsi="Noto Sans Symbols" w:cs="Noto Sans Symbols"/>
        <w:vertAlign w:val="baseline"/>
      </w:rPr>
    </w:lvl>
    <w:lvl w:ilvl="1">
      <w:start w:val="1"/>
      <w:numFmt w:val="bullet"/>
      <w:lvlText w:val="o"/>
      <w:lvlJc w:val="left"/>
      <w:pPr>
        <w:ind w:left="3141" w:hanging="360"/>
      </w:pPr>
      <w:rPr>
        <w:rFonts w:ascii="Courier New" w:eastAsia="Courier New" w:hAnsi="Courier New" w:cs="Courier New"/>
        <w:vertAlign w:val="baseline"/>
      </w:rPr>
    </w:lvl>
    <w:lvl w:ilvl="2">
      <w:start w:val="1"/>
      <w:numFmt w:val="bullet"/>
      <w:lvlText w:val="▪"/>
      <w:lvlJc w:val="left"/>
      <w:pPr>
        <w:ind w:left="3861" w:hanging="360"/>
      </w:pPr>
      <w:rPr>
        <w:rFonts w:ascii="Noto Sans Symbols" w:eastAsia="Noto Sans Symbols" w:hAnsi="Noto Sans Symbols" w:cs="Noto Sans Symbols"/>
        <w:vertAlign w:val="baseline"/>
      </w:rPr>
    </w:lvl>
    <w:lvl w:ilvl="3">
      <w:start w:val="1"/>
      <w:numFmt w:val="bullet"/>
      <w:lvlText w:val="●"/>
      <w:lvlJc w:val="left"/>
      <w:pPr>
        <w:ind w:left="4581" w:hanging="360"/>
      </w:pPr>
      <w:rPr>
        <w:rFonts w:ascii="Noto Sans Symbols" w:eastAsia="Noto Sans Symbols" w:hAnsi="Noto Sans Symbols" w:cs="Noto Sans Symbols"/>
        <w:vertAlign w:val="baseline"/>
      </w:rPr>
    </w:lvl>
    <w:lvl w:ilvl="4">
      <w:start w:val="1"/>
      <w:numFmt w:val="bullet"/>
      <w:lvlText w:val="o"/>
      <w:lvlJc w:val="left"/>
      <w:pPr>
        <w:ind w:left="5301" w:hanging="360"/>
      </w:pPr>
      <w:rPr>
        <w:rFonts w:ascii="Courier New" w:eastAsia="Courier New" w:hAnsi="Courier New" w:cs="Courier New"/>
        <w:vertAlign w:val="baseline"/>
      </w:rPr>
    </w:lvl>
    <w:lvl w:ilvl="5">
      <w:start w:val="1"/>
      <w:numFmt w:val="bullet"/>
      <w:lvlText w:val="▪"/>
      <w:lvlJc w:val="left"/>
      <w:pPr>
        <w:ind w:left="6021" w:hanging="360"/>
      </w:pPr>
      <w:rPr>
        <w:rFonts w:ascii="Noto Sans Symbols" w:eastAsia="Noto Sans Symbols" w:hAnsi="Noto Sans Symbols" w:cs="Noto Sans Symbols"/>
        <w:vertAlign w:val="baseline"/>
      </w:rPr>
    </w:lvl>
    <w:lvl w:ilvl="6">
      <w:start w:val="1"/>
      <w:numFmt w:val="bullet"/>
      <w:lvlText w:val="●"/>
      <w:lvlJc w:val="left"/>
      <w:pPr>
        <w:ind w:left="6741" w:hanging="360"/>
      </w:pPr>
      <w:rPr>
        <w:rFonts w:ascii="Noto Sans Symbols" w:eastAsia="Noto Sans Symbols" w:hAnsi="Noto Sans Symbols" w:cs="Noto Sans Symbols"/>
        <w:vertAlign w:val="baseline"/>
      </w:rPr>
    </w:lvl>
    <w:lvl w:ilvl="7">
      <w:start w:val="1"/>
      <w:numFmt w:val="bullet"/>
      <w:lvlText w:val="o"/>
      <w:lvlJc w:val="left"/>
      <w:pPr>
        <w:ind w:left="7461" w:hanging="360"/>
      </w:pPr>
      <w:rPr>
        <w:rFonts w:ascii="Courier New" w:eastAsia="Courier New" w:hAnsi="Courier New" w:cs="Courier New"/>
        <w:vertAlign w:val="baseline"/>
      </w:rPr>
    </w:lvl>
    <w:lvl w:ilvl="8">
      <w:start w:val="1"/>
      <w:numFmt w:val="bullet"/>
      <w:lvlText w:val="▪"/>
      <w:lvlJc w:val="left"/>
      <w:pPr>
        <w:ind w:left="8181" w:hanging="360"/>
      </w:pPr>
      <w:rPr>
        <w:rFonts w:ascii="Noto Sans Symbols" w:eastAsia="Noto Sans Symbols" w:hAnsi="Noto Sans Symbols" w:cs="Noto Sans Symbols"/>
        <w:vertAlign w:val="baseline"/>
      </w:rPr>
    </w:lvl>
  </w:abstractNum>
  <w:abstractNum w:abstractNumId="141">
    <w:nsid w:val="3E2F619D"/>
    <w:multiLevelType w:val="hybridMultilevel"/>
    <w:tmpl w:val="3ECEBACC"/>
    <w:lvl w:ilvl="0" w:tplc="9460B8AE">
      <w:start w:val="1"/>
      <w:numFmt w:val="bullet"/>
      <w:lvlText w:val=""/>
      <w:lvlJc w:val="left"/>
      <w:pPr>
        <w:tabs>
          <w:tab w:val="num" w:pos="720"/>
        </w:tabs>
        <w:ind w:left="720" w:hanging="360"/>
      </w:pPr>
      <w:rPr>
        <w:rFonts w:ascii="Wingdings" w:hAnsi="Wingdings" w:hint="default"/>
      </w:rPr>
    </w:lvl>
    <w:lvl w:ilvl="1" w:tplc="9F1A4248" w:tentative="1">
      <w:start w:val="1"/>
      <w:numFmt w:val="bullet"/>
      <w:lvlText w:val=""/>
      <w:lvlJc w:val="left"/>
      <w:pPr>
        <w:tabs>
          <w:tab w:val="num" w:pos="1440"/>
        </w:tabs>
        <w:ind w:left="1440" w:hanging="360"/>
      </w:pPr>
      <w:rPr>
        <w:rFonts w:ascii="Wingdings" w:hAnsi="Wingdings" w:hint="default"/>
      </w:rPr>
    </w:lvl>
    <w:lvl w:ilvl="2" w:tplc="467C79BA" w:tentative="1">
      <w:start w:val="1"/>
      <w:numFmt w:val="bullet"/>
      <w:lvlText w:val=""/>
      <w:lvlJc w:val="left"/>
      <w:pPr>
        <w:tabs>
          <w:tab w:val="num" w:pos="2160"/>
        </w:tabs>
        <w:ind w:left="2160" w:hanging="360"/>
      </w:pPr>
      <w:rPr>
        <w:rFonts w:ascii="Wingdings" w:hAnsi="Wingdings" w:hint="default"/>
      </w:rPr>
    </w:lvl>
    <w:lvl w:ilvl="3" w:tplc="6A780A6C" w:tentative="1">
      <w:start w:val="1"/>
      <w:numFmt w:val="bullet"/>
      <w:lvlText w:val=""/>
      <w:lvlJc w:val="left"/>
      <w:pPr>
        <w:tabs>
          <w:tab w:val="num" w:pos="2880"/>
        </w:tabs>
        <w:ind w:left="2880" w:hanging="360"/>
      </w:pPr>
      <w:rPr>
        <w:rFonts w:ascii="Wingdings" w:hAnsi="Wingdings" w:hint="default"/>
      </w:rPr>
    </w:lvl>
    <w:lvl w:ilvl="4" w:tplc="4B067388" w:tentative="1">
      <w:start w:val="1"/>
      <w:numFmt w:val="bullet"/>
      <w:lvlText w:val=""/>
      <w:lvlJc w:val="left"/>
      <w:pPr>
        <w:tabs>
          <w:tab w:val="num" w:pos="3600"/>
        </w:tabs>
        <w:ind w:left="3600" w:hanging="360"/>
      </w:pPr>
      <w:rPr>
        <w:rFonts w:ascii="Wingdings" w:hAnsi="Wingdings" w:hint="default"/>
      </w:rPr>
    </w:lvl>
    <w:lvl w:ilvl="5" w:tplc="B82C0E22" w:tentative="1">
      <w:start w:val="1"/>
      <w:numFmt w:val="bullet"/>
      <w:lvlText w:val=""/>
      <w:lvlJc w:val="left"/>
      <w:pPr>
        <w:tabs>
          <w:tab w:val="num" w:pos="4320"/>
        </w:tabs>
        <w:ind w:left="4320" w:hanging="360"/>
      </w:pPr>
      <w:rPr>
        <w:rFonts w:ascii="Wingdings" w:hAnsi="Wingdings" w:hint="default"/>
      </w:rPr>
    </w:lvl>
    <w:lvl w:ilvl="6" w:tplc="A96ADDF2" w:tentative="1">
      <w:start w:val="1"/>
      <w:numFmt w:val="bullet"/>
      <w:lvlText w:val=""/>
      <w:lvlJc w:val="left"/>
      <w:pPr>
        <w:tabs>
          <w:tab w:val="num" w:pos="5040"/>
        </w:tabs>
        <w:ind w:left="5040" w:hanging="360"/>
      </w:pPr>
      <w:rPr>
        <w:rFonts w:ascii="Wingdings" w:hAnsi="Wingdings" w:hint="default"/>
      </w:rPr>
    </w:lvl>
    <w:lvl w:ilvl="7" w:tplc="46327B88" w:tentative="1">
      <w:start w:val="1"/>
      <w:numFmt w:val="bullet"/>
      <w:lvlText w:val=""/>
      <w:lvlJc w:val="left"/>
      <w:pPr>
        <w:tabs>
          <w:tab w:val="num" w:pos="5760"/>
        </w:tabs>
        <w:ind w:left="5760" w:hanging="360"/>
      </w:pPr>
      <w:rPr>
        <w:rFonts w:ascii="Wingdings" w:hAnsi="Wingdings" w:hint="default"/>
      </w:rPr>
    </w:lvl>
    <w:lvl w:ilvl="8" w:tplc="834C58D2" w:tentative="1">
      <w:start w:val="1"/>
      <w:numFmt w:val="bullet"/>
      <w:lvlText w:val=""/>
      <w:lvlJc w:val="left"/>
      <w:pPr>
        <w:tabs>
          <w:tab w:val="num" w:pos="6480"/>
        </w:tabs>
        <w:ind w:left="6480" w:hanging="360"/>
      </w:pPr>
      <w:rPr>
        <w:rFonts w:ascii="Wingdings" w:hAnsi="Wingdings" w:hint="default"/>
      </w:rPr>
    </w:lvl>
  </w:abstractNum>
  <w:abstractNum w:abstractNumId="142">
    <w:nsid w:val="3EB5644C"/>
    <w:multiLevelType w:val="hybridMultilevel"/>
    <w:tmpl w:val="683667B2"/>
    <w:lvl w:ilvl="0" w:tplc="04180001">
      <w:start w:val="1"/>
      <w:numFmt w:val="bullet"/>
      <w:lvlText w:val=""/>
      <w:lvlJc w:val="left"/>
      <w:pPr>
        <w:ind w:left="1068" w:hanging="360"/>
      </w:pPr>
      <w:rPr>
        <w:rFonts w:ascii="Symbol" w:hAnsi="Symbol" w:hint="default"/>
        <w:strike w:val="0"/>
      </w:rPr>
    </w:lvl>
    <w:lvl w:ilvl="1" w:tplc="04180003" w:tentative="1">
      <w:start w:val="1"/>
      <w:numFmt w:val="bullet"/>
      <w:lvlText w:val="o"/>
      <w:lvlJc w:val="left"/>
      <w:pPr>
        <w:ind w:left="2063" w:hanging="360"/>
      </w:pPr>
      <w:rPr>
        <w:rFonts w:ascii="Courier New" w:hAnsi="Courier New" w:cs="Courier New" w:hint="default"/>
      </w:rPr>
    </w:lvl>
    <w:lvl w:ilvl="2" w:tplc="04180005" w:tentative="1">
      <w:start w:val="1"/>
      <w:numFmt w:val="bullet"/>
      <w:lvlText w:val=""/>
      <w:lvlJc w:val="left"/>
      <w:pPr>
        <w:ind w:left="2783" w:hanging="360"/>
      </w:pPr>
      <w:rPr>
        <w:rFonts w:ascii="Wingdings" w:hAnsi="Wingdings" w:hint="default"/>
      </w:rPr>
    </w:lvl>
    <w:lvl w:ilvl="3" w:tplc="04180001" w:tentative="1">
      <w:start w:val="1"/>
      <w:numFmt w:val="bullet"/>
      <w:lvlText w:val=""/>
      <w:lvlJc w:val="left"/>
      <w:pPr>
        <w:ind w:left="3503" w:hanging="360"/>
      </w:pPr>
      <w:rPr>
        <w:rFonts w:ascii="Symbol" w:hAnsi="Symbol" w:hint="default"/>
      </w:rPr>
    </w:lvl>
    <w:lvl w:ilvl="4" w:tplc="04180003" w:tentative="1">
      <w:start w:val="1"/>
      <w:numFmt w:val="bullet"/>
      <w:lvlText w:val="o"/>
      <w:lvlJc w:val="left"/>
      <w:pPr>
        <w:ind w:left="4223" w:hanging="360"/>
      </w:pPr>
      <w:rPr>
        <w:rFonts w:ascii="Courier New" w:hAnsi="Courier New" w:cs="Courier New" w:hint="default"/>
      </w:rPr>
    </w:lvl>
    <w:lvl w:ilvl="5" w:tplc="04180005" w:tentative="1">
      <w:start w:val="1"/>
      <w:numFmt w:val="bullet"/>
      <w:lvlText w:val=""/>
      <w:lvlJc w:val="left"/>
      <w:pPr>
        <w:ind w:left="4943" w:hanging="360"/>
      </w:pPr>
      <w:rPr>
        <w:rFonts w:ascii="Wingdings" w:hAnsi="Wingdings" w:hint="default"/>
      </w:rPr>
    </w:lvl>
    <w:lvl w:ilvl="6" w:tplc="04180001" w:tentative="1">
      <w:start w:val="1"/>
      <w:numFmt w:val="bullet"/>
      <w:lvlText w:val=""/>
      <w:lvlJc w:val="left"/>
      <w:pPr>
        <w:ind w:left="5663" w:hanging="360"/>
      </w:pPr>
      <w:rPr>
        <w:rFonts w:ascii="Symbol" w:hAnsi="Symbol" w:hint="default"/>
      </w:rPr>
    </w:lvl>
    <w:lvl w:ilvl="7" w:tplc="04180003" w:tentative="1">
      <w:start w:val="1"/>
      <w:numFmt w:val="bullet"/>
      <w:lvlText w:val="o"/>
      <w:lvlJc w:val="left"/>
      <w:pPr>
        <w:ind w:left="6383" w:hanging="360"/>
      </w:pPr>
      <w:rPr>
        <w:rFonts w:ascii="Courier New" w:hAnsi="Courier New" w:cs="Courier New" w:hint="default"/>
      </w:rPr>
    </w:lvl>
    <w:lvl w:ilvl="8" w:tplc="04180005" w:tentative="1">
      <w:start w:val="1"/>
      <w:numFmt w:val="bullet"/>
      <w:lvlText w:val=""/>
      <w:lvlJc w:val="left"/>
      <w:pPr>
        <w:ind w:left="7103" w:hanging="360"/>
      </w:pPr>
      <w:rPr>
        <w:rFonts w:ascii="Wingdings" w:hAnsi="Wingdings" w:hint="default"/>
      </w:rPr>
    </w:lvl>
  </w:abstractNum>
  <w:abstractNum w:abstractNumId="143">
    <w:nsid w:val="3ECA11A5"/>
    <w:multiLevelType w:val="hybridMultilevel"/>
    <w:tmpl w:val="1BCCD3B4"/>
    <w:lvl w:ilvl="0" w:tplc="04180001">
      <w:start w:val="1"/>
      <w:numFmt w:val="bullet"/>
      <w:lvlText w:val=""/>
      <w:lvlJc w:val="left"/>
      <w:pPr>
        <w:ind w:left="1495" w:hanging="360"/>
      </w:pPr>
      <w:rPr>
        <w:rFonts w:ascii="Symbol" w:hAnsi="Symbol" w:hint="default"/>
        <w:sz w:val="24"/>
      </w:rPr>
    </w:lvl>
    <w:lvl w:ilvl="1" w:tplc="04180003">
      <w:start w:val="1"/>
      <w:numFmt w:val="bullet"/>
      <w:lvlText w:val="o"/>
      <w:lvlJc w:val="left"/>
      <w:pPr>
        <w:ind w:left="2215" w:hanging="360"/>
      </w:pPr>
      <w:rPr>
        <w:rFonts w:ascii="Courier New" w:hAnsi="Courier New" w:cs="Courier New" w:hint="default"/>
      </w:rPr>
    </w:lvl>
    <w:lvl w:ilvl="2" w:tplc="04180005" w:tentative="1">
      <w:start w:val="1"/>
      <w:numFmt w:val="bullet"/>
      <w:lvlText w:val=""/>
      <w:lvlJc w:val="left"/>
      <w:pPr>
        <w:ind w:left="2935" w:hanging="360"/>
      </w:pPr>
      <w:rPr>
        <w:rFonts w:ascii="Wingdings" w:hAnsi="Wingdings" w:hint="default"/>
      </w:rPr>
    </w:lvl>
    <w:lvl w:ilvl="3" w:tplc="04180001" w:tentative="1">
      <w:start w:val="1"/>
      <w:numFmt w:val="bullet"/>
      <w:lvlText w:val=""/>
      <w:lvlJc w:val="left"/>
      <w:pPr>
        <w:ind w:left="3655" w:hanging="360"/>
      </w:pPr>
      <w:rPr>
        <w:rFonts w:ascii="Symbol" w:hAnsi="Symbol" w:hint="default"/>
      </w:rPr>
    </w:lvl>
    <w:lvl w:ilvl="4" w:tplc="04180003" w:tentative="1">
      <w:start w:val="1"/>
      <w:numFmt w:val="bullet"/>
      <w:lvlText w:val="o"/>
      <w:lvlJc w:val="left"/>
      <w:pPr>
        <w:ind w:left="4375" w:hanging="360"/>
      </w:pPr>
      <w:rPr>
        <w:rFonts w:ascii="Courier New" w:hAnsi="Courier New" w:cs="Courier New" w:hint="default"/>
      </w:rPr>
    </w:lvl>
    <w:lvl w:ilvl="5" w:tplc="04180005" w:tentative="1">
      <w:start w:val="1"/>
      <w:numFmt w:val="bullet"/>
      <w:lvlText w:val=""/>
      <w:lvlJc w:val="left"/>
      <w:pPr>
        <w:ind w:left="5095" w:hanging="360"/>
      </w:pPr>
      <w:rPr>
        <w:rFonts w:ascii="Wingdings" w:hAnsi="Wingdings" w:hint="default"/>
      </w:rPr>
    </w:lvl>
    <w:lvl w:ilvl="6" w:tplc="04180001" w:tentative="1">
      <w:start w:val="1"/>
      <w:numFmt w:val="bullet"/>
      <w:lvlText w:val=""/>
      <w:lvlJc w:val="left"/>
      <w:pPr>
        <w:ind w:left="5815" w:hanging="360"/>
      </w:pPr>
      <w:rPr>
        <w:rFonts w:ascii="Symbol" w:hAnsi="Symbol" w:hint="default"/>
      </w:rPr>
    </w:lvl>
    <w:lvl w:ilvl="7" w:tplc="04180003" w:tentative="1">
      <w:start w:val="1"/>
      <w:numFmt w:val="bullet"/>
      <w:lvlText w:val="o"/>
      <w:lvlJc w:val="left"/>
      <w:pPr>
        <w:ind w:left="6535" w:hanging="360"/>
      </w:pPr>
      <w:rPr>
        <w:rFonts w:ascii="Courier New" w:hAnsi="Courier New" w:cs="Courier New" w:hint="default"/>
      </w:rPr>
    </w:lvl>
    <w:lvl w:ilvl="8" w:tplc="04180005" w:tentative="1">
      <w:start w:val="1"/>
      <w:numFmt w:val="bullet"/>
      <w:lvlText w:val=""/>
      <w:lvlJc w:val="left"/>
      <w:pPr>
        <w:ind w:left="7255" w:hanging="360"/>
      </w:pPr>
      <w:rPr>
        <w:rFonts w:ascii="Wingdings" w:hAnsi="Wingdings" w:hint="default"/>
      </w:rPr>
    </w:lvl>
  </w:abstractNum>
  <w:abstractNum w:abstractNumId="144">
    <w:nsid w:val="3F491B0F"/>
    <w:multiLevelType w:val="hybridMultilevel"/>
    <w:tmpl w:val="6A5A9C8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5">
    <w:nsid w:val="40053E09"/>
    <w:multiLevelType w:val="hybridMultilevel"/>
    <w:tmpl w:val="A3964AC4"/>
    <w:lvl w:ilvl="0" w:tplc="04180001">
      <w:start w:val="1"/>
      <w:numFmt w:val="bullet"/>
      <w:lvlText w:val=""/>
      <w:lvlJc w:val="left"/>
      <w:pPr>
        <w:ind w:left="2201" w:hanging="360"/>
      </w:pPr>
      <w:rPr>
        <w:rFonts w:ascii="Symbol" w:hAnsi="Symbol" w:hint="default"/>
      </w:rPr>
    </w:lvl>
    <w:lvl w:ilvl="1" w:tplc="04180003" w:tentative="1">
      <w:start w:val="1"/>
      <w:numFmt w:val="bullet"/>
      <w:lvlText w:val="o"/>
      <w:lvlJc w:val="left"/>
      <w:pPr>
        <w:ind w:left="2921" w:hanging="360"/>
      </w:pPr>
      <w:rPr>
        <w:rFonts w:ascii="Courier New" w:hAnsi="Courier New" w:cs="Courier New" w:hint="default"/>
      </w:rPr>
    </w:lvl>
    <w:lvl w:ilvl="2" w:tplc="04180005" w:tentative="1">
      <w:start w:val="1"/>
      <w:numFmt w:val="bullet"/>
      <w:lvlText w:val=""/>
      <w:lvlJc w:val="left"/>
      <w:pPr>
        <w:ind w:left="3641" w:hanging="360"/>
      </w:pPr>
      <w:rPr>
        <w:rFonts w:ascii="Wingdings" w:hAnsi="Wingdings" w:hint="default"/>
      </w:rPr>
    </w:lvl>
    <w:lvl w:ilvl="3" w:tplc="04180001" w:tentative="1">
      <w:start w:val="1"/>
      <w:numFmt w:val="bullet"/>
      <w:lvlText w:val=""/>
      <w:lvlJc w:val="left"/>
      <w:pPr>
        <w:ind w:left="4361" w:hanging="360"/>
      </w:pPr>
      <w:rPr>
        <w:rFonts w:ascii="Symbol" w:hAnsi="Symbol" w:hint="default"/>
      </w:rPr>
    </w:lvl>
    <w:lvl w:ilvl="4" w:tplc="04180003" w:tentative="1">
      <w:start w:val="1"/>
      <w:numFmt w:val="bullet"/>
      <w:lvlText w:val="o"/>
      <w:lvlJc w:val="left"/>
      <w:pPr>
        <w:ind w:left="5081" w:hanging="360"/>
      </w:pPr>
      <w:rPr>
        <w:rFonts w:ascii="Courier New" w:hAnsi="Courier New" w:cs="Courier New" w:hint="default"/>
      </w:rPr>
    </w:lvl>
    <w:lvl w:ilvl="5" w:tplc="04180005" w:tentative="1">
      <w:start w:val="1"/>
      <w:numFmt w:val="bullet"/>
      <w:lvlText w:val=""/>
      <w:lvlJc w:val="left"/>
      <w:pPr>
        <w:ind w:left="5801" w:hanging="360"/>
      </w:pPr>
      <w:rPr>
        <w:rFonts w:ascii="Wingdings" w:hAnsi="Wingdings" w:hint="default"/>
      </w:rPr>
    </w:lvl>
    <w:lvl w:ilvl="6" w:tplc="04180001" w:tentative="1">
      <w:start w:val="1"/>
      <w:numFmt w:val="bullet"/>
      <w:lvlText w:val=""/>
      <w:lvlJc w:val="left"/>
      <w:pPr>
        <w:ind w:left="6521" w:hanging="360"/>
      </w:pPr>
      <w:rPr>
        <w:rFonts w:ascii="Symbol" w:hAnsi="Symbol" w:hint="default"/>
      </w:rPr>
    </w:lvl>
    <w:lvl w:ilvl="7" w:tplc="04180003" w:tentative="1">
      <w:start w:val="1"/>
      <w:numFmt w:val="bullet"/>
      <w:lvlText w:val="o"/>
      <w:lvlJc w:val="left"/>
      <w:pPr>
        <w:ind w:left="7241" w:hanging="360"/>
      </w:pPr>
      <w:rPr>
        <w:rFonts w:ascii="Courier New" w:hAnsi="Courier New" w:cs="Courier New" w:hint="default"/>
      </w:rPr>
    </w:lvl>
    <w:lvl w:ilvl="8" w:tplc="04180005" w:tentative="1">
      <w:start w:val="1"/>
      <w:numFmt w:val="bullet"/>
      <w:lvlText w:val=""/>
      <w:lvlJc w:val="left"/>
      <w:pPr>
        <w:ind w:left="7961" w:hanging="360"/>
      </w:pPr>
      <w:rPr>
        <w:rFonts w:ascii="Wingdings" w:hAnsi="Wingdings" w:hint="default"/>
      </w:rPr>
    </w:lvl>
  </w:abstractNum>
  <w:abstractNum w:abstractNumId="146">
    <w:nsid w:val="408F6378"/>
    <w:multiLevelType w:val="hybridMultilevel"/>
    <w:tmpl w:val="70CA8916"/>
    <w:lvl w:ilvl="0" w:tplc="302691A6">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7">
    <w:nsid w:val="42113632"/>
    <w:multiLevelType w:val="hybridMultilevel"/>
    <w:tmpl w:val="3EFA4682"/>
    <w:lvl w:ilvl="0" w:tplc="8EF4BEB0">
      <w:numFmt w:val="bullet"/>
      <w:lvlText w:val=""/>
      <w:lvlJc w:val="left"/>
      <w:pPr>
        <w:ind w:left="720" w:hanging="360"/>
      </w:pPr>
      <w:rPr>
        <w:rFonts w:ascii="Wingdings" w:hAnsi="Wingdings" w:hint="default"/>
        <w:b w:val="0"/>
        <w:color w:val="0E015F"/>
        <w:sz w:val="24"/>
      </w:rPr>
    </w:lvl>
    <w:lvl w:ilvl="1" w:tplc="8EF4BEB0">
      <w:numFmt w:val="bullet"/>
      <w:lvlText w:val=""/>
      <w:lvlJc w:val="left"/>
      <w:pPr>
        <w:ind w:left="1440" w:hanging="360"/>
      </w:pPr>
      <w:rPr>
        <w:rFonts w:ascii="Wingdings" w:hAnsi="Wingdings" w:hint="default"/>
        <w:b w:val="0"/>
        <w:color w:val="0E015F"/>
        <w:sz w:val="24"/>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8">
    <w:nsid w:val="42FC701C"/>
    <w:multiLevelType w:val="hybridMultilevel"/>
    <w:tmpl w:val="8396953A"/>
    <w:lvl w:ilvl="0" w:tplc="041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4360003F"/>
    <w:multiLevelType w:val="multilevel"/>
    <w:tmpl w:val="5D48F0A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0">
    <w:nsid w:val="436947A4"/>
    <w:multiLevelType w:val="hybridMultilevel"/>
    <w:tmpl w:val="E9505690"/>
    <w:lvl w:ilvl="0" w:tplc="22B28C40">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1">
    <w:nsid w:val="43AF6526"/>
    <w:multiLevelType w:val="hybridMultilevel"/>
    <w:tmpl w:val="39EC68C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2">
    <w:nsid w:val="443F65B3"/>
    <w:multiLevelType w:val="multilevel"/>
    <w:tmpl w:val="896A36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44DD1100"/>
    <w:multiLevelType w:val="hybridMultilevel"/>
    <w:tmpl w:val="DC58B69A"/>
    <w:lvl w:ilvl="0" w:tplc="302691A6">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4">
    <w:nsid w:val="4525704F"/>
    <w:multiLevelType w:val="hybridMultilevel"/>
    <w:tmpl w:val="93DA7C06"/>
    <w:lvl w:ilvl="0" w:tplc="8EF4BEB0">
      <w:numFmt w:val="bullet"/>
      <w:lvlText w:val=""/>
      <w:lvlPicBulletId w:val="0"/>
      <w:lvlJc w:val="left"/>
      <w:pPr>
        <w:ind w:left="720" w:hanging="360"/>
      </w:pPr>
      <w:rPr>
        <w:rFonts w:ascii="Wingdings" w:hAnsi="Wingdings" w:hint="default"/>
        <w:b w:val="0"/>
        <w:color w:val="0E015F"/>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5">
    <w:nsid w:val="45797700"/>
    <w:multiLevelType w:val="hybridMultilevel"/>
    <w:tmpl w:val="0B6A456A"/>
    <w:lvl w:ilvl="0" w:tplc="7B0C12EA">
      <w:start w:val="1"/>
      <w:numFmt w:val="upperRoman"/>
      <w:lvlText w:val="%1."/>
      <w:lvlJc w:val="left"/>
      <w:pPr>
        <w:ind w:left="1710" w:hanging="720"/>
      </w:pPr>
      <w:rPr>
        <w:rFonts w:ascii="Arial" w:hAnsi="Arial" w:cs="Arial" w:hint="default"/>
        <w:b/>
      </w:rPr>
    </w:lvl>
    <w:lvl w:ilvl="1" w:tplc="04180019" w:tentative="1">
      <w:start w:val="1"/>
      <w:numFmt w:val="lowerLetter"/>
      <w:lvlText w:val="%2."/>
      <w:lvlJc w:val="left"/>
      <w:pPr>
        <w:ind w:left="2070" w:hanging="360"/>
      </w:pPr>
    </w:lvl>
    <w:lvl w:ilvl="2" w:tplc="0418001B" w:tentative="1">
      <w:start w:val="1"/>
      <w:numFmt w:val="lowerRoman"/>
      <w:lvlText w:val="%3."/>
      <w:lvlJc w:val="right"/>
      <w:pPr>
        <w:ind w:left="2790" w:hanging="180"/>
      </w:pPr>
    </w:lvl>
    <w:lvl w:ilvl="3" w:tplc="0418000F" w:tentative="1">
      <w:start w:val="1"/>
      <w:numFmt w:val="decimal"/>
      <w:lvlText w:val="%4."/>
      <w:lvlJc w:val="left"/>
      <w:pPr>
        <w:ind w:left="3510" w:hanging="360"/>
      </w:pPr>
    </w:lvl>
    <w:lvl w:ilvl="4" w:tplc="04180019" w:tentative="1">
      <w:start w:val="1"/>
      <w:numFmt w:val="lowerLetter"/>
      <w:lvlText w:val="%5."/>
      <w:lvlJc w:val="left"/>
      <w:pPr>
        <w:ind w:left="4230" w:hanging="360"/>
      </w:pPr>
    </w:lvl>
    <w:lvl w:ilvl="5" w:tplc="0418001B" w:tentative="1">
      <w:start w:val="1"/>
      <w:numFmt w:val="lowerRoman"/>
      <w:lvlText w:val="%6."/>
      <w:lvlJc w:val="right"/>
      <w:pPr>
        <w:ind w:left="4950" w:hanging="180"/>
      </w:pPr>
    </w:lvl>
    <w:lvl w:ilvl="6" w:tplc="0418000F" w:tentative="1">
      <w:start w:val="1"/>
      <w:numFmt w:val="decimal"/>
      <w:lvlText w:val="%7."/>
      <w:lvlJc w:val="left"/>
      <w:pPr>
        <w:ind w:left="5670" w:hanging="360"/>
      </w:pPr>
    </w:lvl>
    <w:lvl w:ilvl="7" w:tplc="04180019" w:tentative="1">
      <w:start w:val="1"/>
      <w:numFmt w:val="lowerLetter"/>
      <w:lvlText w:val="%8."/>
      <w:lvlJc w:val="left"/>
      <w:pPr>
        <w:ind w:left="6390" w:hanging="360"/>
      </w:pPr>
    </w:lvl>
    <w:lvl w:ilvl="8" w:tplc="0418001B" w:tentative="1">
      <w:start w:val="1"/>
      <w:numFmt w:val="lowerRoman"/>
      <w:lvlText w:val="%9."/>
      <w:lvlJc w:val="right"/>
      <w:pPr>
        <w:ind w:left="7110" w:hanging="180"/>
      </w:pPr>
    </w:lvl>
  </w:abstractNum>
  <w:abstractNum w:abstractNumId="156">
    <w:nsid w:val="458E1B59"/>
    <w:multiLevelType w:val="hybridMultilevel"/>
    <w:tmpl w:val="8FEA8C0A"/>
    <w:lvl w:ilvl="0" w:tplc="DF2C4C70">
      <w:start w:val="1"/>
      <w:numFmt w:val="bullet"/>
      <w:pStyle w:val="NormalBulletSquare"/>
      <w:lvlText w:val=""/>
      <w:lvlJc w:val="left"/>
      <w:pPr>
        <w:ind w:left="720" w:hanging="360"/>
      </w:pPr>
      <w:rPr>
        <w:rFonts w:ascii="Wingdings" w:hAnsi="Wingdings" w:cs="Wingdings" w:hint="default"/>
      </w:rPr>
    </w:lvl>
    <w:lvl w:ilvl="1" w:tplc="04090005">
      <w:start w:val="1"/>
      <w:numFmt w:val="bullet"/>
      <w:lvlText w:val=""/>
      <w:lvlJc w:val="left"/>
      <w:pPr>
        <w:ind w:left="1440" w:hanging="360"/>
      </w:pPr>
      <w:rPr>
        <w:rFonts w:ascii="Wingdings" w:hAnsi="Wingdings" w:cs="Wingdings" w:hint="default"/>
      </w:rPr>
    </w:lvl>
    <w:lvl w:ilvl="2" w:tplc="04090005">
      <w:start w:val="1"/>
      <w:numFmt w:val="bullet"/>
      <w:lvlText w:val=""/>
      <w:lvlJc w:val="left"/>
      <w:pPr>
        <w:ind w:left="2160" w:hanging="180"/>
      </w:pPr>
      <w:rPr>
        <w:rFonts w:ascii="Wingdings" w:hAnsi="Wingdings" w:cs="Wingding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7">
    <w:nsid w:val="45B43B1D"/>
    <w:multiLevelType w:val="hybridMultilevel"/>
    <w:tmpl w:val="01C2B338"/>
    <w:lvl w:ilvl="0" w:tplc="302691A6">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8">
    <w:nsid w:val="45CB3329"/>
    <w:multiLevelType w:val="hybridMultilevel"/>
    <w:tmpl w:val="F2287F4C"/>
    <w:lvl w:ilvl="0" w:tplc="17103556">
      <w:numFmt w:val="bullet"/>
      <w:lvlText w:val="-"/>
      <w:lvlJc w:val="left"/>
      <w:pPr>
        <w:ind w:left="1440" w:hanging="360"/>
      </w:pPr>
      <w:rPr>
        <w:rFonts w:ascii="Arial" w:eastAsia="MS Mincho"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9">
    <w:nsid w:val="45D41796"/>
    <w:multiLevelType w:val="hybridMultilevel"/>
    <w:tmpl w:val="D32CC46C"/>
    <w:lvl w:ilvl="0" w:tplc="E10E8090">
      <w:numFmt w:val="bullet"/>
      <w:lvlText w:val=""/>
      <w:lvlJc w:val="left"/>
      <w:pPr>
        <w:tabs>
          <w:tab w:val="num" w:pos="360"/>
        </w:tabs>
        <w:ind w:left="360" w:hanging="360"/>
      </w:pPr>
      <w:rPr>
        <w:rFonts w:ascii="Wingdings" w:hAnsi="Wingdings" w:hint="default"/>
        <w:strike w:val="0"/>
        <w:color w:val="auto"/>
      </w:rPr>
    </w:lvl>
    <w:lvl w:ilvl="1" w:tplc="04180003" w:tentative="1">
      <w:start w:val="1"/>
      <w:numFmt w:val="bullet"/>
      <w:lvlText w:val="o"/>
      <w:lvlJc w:val="left"/>
      <w:pPr>
        <w:tabs>
          <w:tab w:val="num" w:pos="720"/>
        </w:tabs>
        <w:ind w:left="720" w:hanging="360"/>
      </w:pPr>
      <w:rPr>
        <w:rFonts w:ascii="Courier New" w:hAnsi="Courier New" w:cs="Courier New" w:hint="default"/>
      </w:rPr>
    </w:lvl>
    <w:lvl w:ilvl="2" w:tplc="04180005" w:tentative="1">
      <w:start w:val="1"/>
      <w:numFmt w:val="bullet"/>
      <w:lvlText w:val=""/>
      <w:lvlJc w:val="left"/>
      <w:pPr>
        <w:tabs>
          <w:tab w:val="num" w:pos="1440"/>
        </w:tabs>
        <w:ind w:left="1440" w:hanging="360"/>
      </w:pPr>
      <w:rPr>
        <w:rFonts w:ascii="Wingdings" w:hAnsi="Wingdings" w:hint="default"/>
      </w:rPr>
    </w:lvl>
    <w:lvl w:ilvl="3" w:tplc="04180001" w:tentative="1">
      <w:start w:val="1"/>
      <w:numFmt w:val="bullet"/>
      <w:lvlText w:val=""/>
      <w:lvlJc w:val="left"/>
      <w:pPr>
        <w:tabs>
          <w:tab w:val="num" w:pos="2160"/>
        </w:tabs>
        <w:ind w:left="2160" w:hanging="360"/>
      </w:pPr>
      <w:rPr>
        <w:rFonts w:ascii="Symbol" w:hAnsi="Symbol" w:hint="default"/>
      </w:rPr>
    </w:lvl>
    <w:lvl w:ilvl="4" w:tplc="04180003" w:tentative="1">
      <w:start w:val="1"/>
      <w:numFmt w:val="bullet"/>
      <w:lvlText w:val="o"/>
      <w:lvlJc w:val="left"/>
      <w:pPr>
        <w:tabs>
          <w:tab w:val="num" w:pos="2880"/>
        </w:tabs>
        <w:ind w:left="2880" w:hanging="360"/>
      </w:pPr>
      <w:rPr>
        <w:rFonts w:ascii="Courier New" w:hAnsi="Courier New" w:cs="Courier New" w:hint="default"/>
      </w:rPr>
    </w:lvl>
    <w:lvl w:ilvl="5" w:tplc="04180005" w:tentative="1">
      <w:start w:val="1"/>
      <w:numFmt w:val="bullet"/>
      <w:lvlText w:val=""/>
      <w:lvlJc w:val="left"/>
      <w:pPr>
        <w:tabs>
          <w:tab w:val="num" w:pos="3600"/>
        </w:tabs>
        <w:ind w:left="3600" w:hanging="360"/>
      </w:pPr>
      <w:rPr>
        <w:rFonts w:ascii="Wingdings" w:hAnsi="Wingdings" w:hint="default"/>
      </w:rPr>
    </w:lvl>
    <w:lvl w:ilvl="6" w:tplc="04180001" w:tentative="1">
      <w:start w:val="1"/>
      <w:numFmt w:val="bullet"/>
      <w:lvlText w:val=""/>
      <w:lvlJc w:val="left"/>
      <w:pPr>
        <w:tabs>
          <w:tab w:val="num" w:pos="4320"/>
        </w:tabs>
        <w:ind w:left="4320" w:hanging="360"/>
      </w:pPr>
      <w:rPr>
        <w:rFonts w:ascii="Symbol" w:hAnsi="Symbol" w:hint="default"/>
      </w:rPr>
    </w:lvl>
    <w:lvl w:ilvl="7" w:tplc="04180003" w:tentative="1">
      <w:start w:val="1"/>
      <w:numFmt w:val="bullet"/>
      <w:lvlText w:val="o"/>
      <w:lvlJc w:val="left"/>
      <w:pPr>
        <w:tabs>
          <w:tab w:val="num" w:pos="5040"/>
        </w:tabs>
        <w:ind w:left="5040" w:hanging="360"/>
      </w:pPr>
      <w:rPr>
        <w:rFonts w:ascii="Courier New" w:hAnsi="Courier New" w:cs="Courier New" w:hint="default"/>
      </w:rPr>
    </w:lvl>
    <w:lvl w:ilvl="8" w:tplc="04180005" w:tentative="1">
      <w:start w:val="1"/>
      <w:numFmt w:val="bullet"/>
      <w:lvlText w:val=""/>
      <w:lvlJc w:val="left"/>
      <w:pPr>
        <w:tabs>
          <w:tab w:val="num" w:pos="5760"/>
        </w:tabs>
        <w:ind w:left="5760" w:hanging="360"/>
      </w:pPr>
      <w:rPr>
        <w:rFonts w:ascii="Wingdings" w:hAnsi="Wingdings" w:hint="default"/>
      </w:rPr>
    </w:lvl>
  </w:abstractNum>
  <w:abstractNum w:abstractNumId="160">
    <w:nsid w:val="471B23CF"/>
    <w:multiLevelType w:val="hybridMultilevel"/>
    <w:tmpl w:val="45FEB6C2"/>
    <w:lvl w:ilvl="0" w:tplc="8EF4BEB0">
      <w:numFmt w:val="bullet"/>
      <w:lvlText w:val=""/>
      <w:lvlJc w:val="left"/>
      <w:pPr>
        <w:ind w:left="1440" w:hanging="360"/>
      </w:pPr>
      <w:rPr>
        <w:rFonts w:ascii="Wingdings" w:hAnsi="Wingdings" w:hint="default"/>
        <w:b w:val="0"/>
        <w:color w:val="0E015F"/>
        <w:sz w:val="24"/>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61">
    <w:nsid w:val="478D25D9"/>
    <w:multiLevelType w:val="hybridMultilevel"/>
    <w:tmpl w:val="7C369068"/>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62">
    <w:nsid w:val="4952156B"/>
    <w:multiLevelType w:val="hybridMultilevel"/>
    <w:tmpl w:val="C0028166"/>
    <w:lvl w:ilvl="0" w:tplc="0418000D">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63">
    <w:nsid w:val="498C3149"/>
    <w:multiLevelType w:val="multilevel"/>
    <w:tmpl w:val="1414AA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nsid w:val="49F03C49"/>
    <w:multiLevelType w:val="hybridMultilevel"/>
    <w:tmpl w:val="D42EAA0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5">
    <w:nsid w:val="4A44596A"/>
    <w:multiLevelType w:val="hybridMultilevel"/>
    <w:tmpl w:val="F2D8E866"/>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66">
    <w:nsid w:val="4AF26918"/>
    <w:multiLevelType w:val="hybridMultilevel"/>
    <w:tmpl w:val="F20AED28"/>
    <w:lvl w:ilvl="0" w:tplc="041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4BDB5EF6"/>
    <w:multiLevelType w:val="hybridMultilevel"/>
    <w:tmpl w:val="86FE41E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8">
    <w:nsid w:val="4BE13346"/>
    <w:multiLevelType w:val="hybridMultilevel"/>
    <w:tmpl w:val="7152FB02"/>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9">
    <w:nsid w:val="4BEA26C7"/>
    <w:multiLevelType w:val="hybridMultilevel"/>
    <w:tmpl w:val="F468F696"/>
    <w:lvl w:ilvl="0" w:tplc="CF50E4B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4C7F63EF"/>
    <w:multiLevelType w:val="hybridMultilevel"/>
    <w:tmpl w:val="23DE5C88"/>
    <w:lvl w:ilvl="0" w:tplc="041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4C966E2F"/>
    <w:multiLevelType w:val="multilevel"/>
    <w:tmpl w:val="C700BE7E"/>
    <w:lvl w:ilvl="0">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2">
    <w:nsid w:val="4E695F7E"/>
    <w:multiLevelType w:val="hybridMultilevel"/>
    <w:tmpl w:val="3A5C419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3">
    <w:nsid w:val="4EAD037A"/>
    <w:multiLevelType w:val="hybridMultilevel"/>
    <w:tmpl w:val="E4727CB4"/>
    <w:lvl w:ilvl="0" w:tplc="C58ADC7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4EC80E6D"/>
    <w:multiLevelType w:val="multilevel"/>
    <w:tmpl w:val="409861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4F0B1C84"/>
    <w:multiLevelType w:val="hybridMultilevel"/>
    <w:tmpl w:val="4E382770"/>
    <w:lvl w:ilvl="0" w:tplc="2544FE0C">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4F0B1E7D"/>
    <w:multiLevelType w:val="hybridMultilevel"/>
    <w:tmpl w:val="8BC6C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7">
    <w:nsid w:val="4F27641D"/>
    <w:multiLevelType w:val="hybridMultilevel"/>
    <w:tmpl w:val="EA069EA4"/>
    <w:lvl w:ilvl="0" w:tplc="8EF4BEB0">
      <w:numFmt w:val="bullet"/>
      <w:lvlText w:val=""/>
      <w:lvlJc w:val="left"/>
      <w:pPr>
        <w:ind w:left="1428" w:hanging="360"/>
      </w:pPr>
      <w:rPr>
        <w:rFonts w:ascii="Wingdings" w:hAnsi="Wingdings" w:hint="default"/>
        <w:b w:val="0"/>
        <w:color w:val="0E015F"/>
        <w:sz w:val="24"/>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78">
    <w:nsid w:val="4F8E4F9F"/>
    <w:multiLevelType w:val="hybridMultilevel"/>
    <w:tmpl w:val="92DEF09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9">
    <w:nsid w:val="50191174"/>
    <w:multiLevelType w:val="hybridMultilevel"/>
    <w:tmpl w:val="6E02E590"/>
    <w:lvl w:ilvl="0" w:tplc="1F72B0DA">
      <w:numFmt w:val="bullet"/>
      <w:lvlText w:val="-"/>
      <w:lvlJc w:val="left"/>
      <w:pPr>
        <w:ind w:left="1437" w:hanging="360"/>
      </w:pPr>
      <w:rPr>
        <w:rFonts w:ascii="Calibri" w:eastAsiaTheme="minorEastAsia" w:hAnsi="Calibri" w:cstheme="minorBidi" w:hint="default"/>
      </w:rPr>
    </w:lvl>
    <w:lvl w:ilvl="1" w:tplc="04090003" w:tentative="1">
      <w:start w:val="1"/>
      <w:numFmt w:val="bullet"/>
      <w:lvlText w:val="o"/>
      <w:lvlJc w:val="left"/>
      <w:pPr>
        <w:ind w:left="2157" w:hanging="360"/>
      </w:pPr>
      <w:rPr>
        <w:rFonts w:ascii="Courier New" w:hAnsi="Courier New" w:cs="Courier New" w:hint="default"/>
      </w:rPr>
    </w:lvl>
    <w:lvl w:ilvl="2" w:tplc="04090005" w:tentative="1">
      <w:start w:val="1"/>
      <w:numFmt w:val="bullet"/>
      <w:lvlText w:val=""/>
      <w:lvlJc w:val="left"/>
      <w:pPr>
        <w:ind w:left="2877" w:hanging="360"/>
      </w:pPr>
      <w:rPr>
        <w:rFonts w:ascii="Wingdings" w:hAnsi="Wingdings" w:hint="default"/>
      </w:rPr>
    </w:lvl>
    <w:lvl w:ilvl="3" w:tplc="04090001" w:tentative="1">
      <w:start w:val="1"/>
      <w:numFmt w:val="bullet"/>
      <w:lvlText w:val=""/>
      <w:lvlJc w:val="left"/>
      <w:pPr>
        <w:ind w:left="3597" w:hanging="360"/>
      </w:pPr>
      <w:rPr>
        <w:rFonts w:ascii="Symbol" w:hAnsi="Symbol" w:hint="default"/>
      </w:rPr>
    </w:lvl>
    <w:lvl w:ilvl="4" w:tplc="04090003" w:tentative="1">
      <w:start w:val="1"/>
      <w:numFmt w:val="bullet"/>
      <w:lvlText w:val="o"/>
      <w:lvlJc w:val="left"/>
      <w:pPr>
        <w:ind w:left="4317" w:hanging="360"/>
      </w:pPr>
      <w:rPr>
        <w:rFonts w:ascii="Courier New" w:hAnsi="Courier New" w:cs="Courier New" w:hint="default"/>
      </w:rPr>
    </w:lvl>
    <w:lvl w:ilvl="5" w:tplc="04090005" w:tentative="1">
      <w:start w:val="1"/>
      <w:numFmt w:val="bullet"/>
      <w:lvlText w:val=""/>
      <w:lvlJc w:val="left"/>
      <w:pPr>
        <w:ind w:left="5037" w:hanging="360"/>
      </w:pPr>
      <w:rPr>
        <w:rFonts w:ascii="Wingdings" w:hAnsi="Wingdings" w:hint="default"/>
      </w:rPr>
    </w:lvl>
    <w:lvl w:ilvl="6" w:tplc="04090001" w:tentative="1">
      <w:start w:val="1"/>
      <w:numFmt w:val="bullet"/>
      <w:lvlText w:val=""/>
      <w:lvlJc w:val="left"/>
      <w:pPr>
        <w:ind w:left="5757" w:hanging="360"/>
      </w:pPr>
      <w:rPr>
        <w:rFonts w:ascii="Symbol" w:hAnsi="Symbol" w:hint="default"/>
      </w:rPr>
    </w:lvl>
    <w:lvl w:ilvl="7" w:tplc="04090003" w:tentative="1">
      <w:start w:val="1"/>
      <w:numFmt w:val="bullet"/>
      <w:lvlText w:val="o"/>
      <w:lvlJc w:val="left"/>
      <w:pPr>
        <w:ind w:left="6477" w:hanging="360"/>
      </w:pPr>
      <w:rPr>
        <w:rFonts w:ascii="Courier New" w:hAnsi="Courier New" w:cs="Courier New" w:hint="default"/>
      </w:rPr>
    </w:lvl>
    <w:lvl w:ilvl="8" w:tplc="04090005" w:tentative="1">
      <w:start w:val="1"/>
      <w:numFmt w:val="bullet"/>
      <w:lvlText w:val=""/>
      <w:lvlJc w:val="left"/>
      <w:pPr>
        <w:ind w:left="7197" w:hanging="360"/>
      </w:pPr>
      <w:rPr>
        <w:rFonts w:ascii="Wingdings" w:hAnsi="Wingdings" w:hint="default"/>
      </w:rPr>
    </w:lvl>
  </w:abstractNum>
  <w:abstractNum w:abstractNumId="180">
    <w:nsid w:val="50A87CEA"/>
    <w:multiLevelType w:val="hybridMultilevel"/>
    <w:tmpl w:val="89D40E8A"/>
    <w:lvl w:ilvl="0" w:tplc="04180001">
      <w:start w:val="1"/>
      <w:numFmt w:val="bullet"/>
      <w:lvlText w:val=""/>
      <w:lvlJc w:val="left"/>
      <w:pPr>
        <w:ind w:left="1485" w:hanging="360"/>
      </w:pPr>
      <w:rPr>
        <w:rFonts w:ascii="Symbol" w:hAnsi="Symbol" w:hint="default"/>
      </w:rPr>
    </w:lvl>
    <w:lvl w:ilvl="1" w:tplc="04180003" w:tentative="1">
      <w:start w:val="1"/>
      <w:numFmt w:val="bullet"/>
      <w:lvlText w:val="o"/>
      <w:lvlJc w:val="left"/>
      <w:pPr>
        <w:ind w:left="2205" w:hanging="360"/>
      </w:pPr>
      <w:rPr>
        <w:rFonts w:ascii="Courier New" w:hAnsi="Courier New" w:cs="Courier New" w:hint="default"/>
      </w:rPr>
    </w:lvl>
    <w:lvl w:ilvl="2" w:tplc="04180005" w:tentative="1">
      <w:start w:val="1"/>
      <w:numFmt w:val="bullet"/>
      <w:lvlText w:val=""/>
      <w:lvlJc w:val="left"/>
      <w:pPr>
        <w:ind w:left="2925" w:hanging="360"/>
      </w:pPr>
      <w:rPr>
        <w:rFonts w:ascii="Wingdings" w:hAnsi="Wingdings" w:hint="default"/>
      </w:rPr>
    </w:lvl>
    <w:lvl w:ilvl="3" w:tplc="04180001" w:tentative="1">
      <w:start w:val="1"/>
      <w:numFmt w:val="bullet"/>
      <w:lvlText w:val=""/>
      <w:lvlJc w:val="left"/>
      <w:pPr>
        <w:ind w:left="3645" w:hanging="360"/>
      </w:pPr>
      <w:rPr>
        <w:rFonts w:ascii="Symbol" w:hAnsi="Symbol" w:hint="default"/>
      </w:rPr>
    </w:lvl>
    <w:lvl w:ilvl="4" w:tplc="04180003" w:tentative="1">
      <w:start w:val="1"/>
      <w:numFmt w:val="bullet"/>
      <w:lvlText w:val="o"/>
      <w:lvlJc w:val="left"/>
      <w:pPr>
        <w:ind w:left="4365" w:hanging="360"/>
      </w:pPr>
      <w:rPr>
        <w:rFonts w:ascii="Courier New" w:hAnsi="Courier New" w:cs="Courier New" w:hint="default"/>
      </w:rPr>
    </w:lvl>
    <w:lvl w:ilvl="5" w:tplc="04180005" w:tentative="1">
      <w:start w:val="1"/>
      <w:numFmt w:val="bullet"/>
      <w:lvlText w:val=""/>
      <w:lvlJc w:val="left"/>
      <w:pPr>
        <w:ind w:left="5085" w:hanging="360"/>
      </w:pPr>
      <w:rPr>
        <w:rFonts w:ascii="Wingdings" w:hAnsi="Wingdings" w:hint="default"/>
      </w:rPr>
    </w:lvl>
    <w:lvl w:ilvl="6" w:tplc="04180001" w:tentative="1">
      <w:start w:val="1"/>
      <w:numFmt w:val="bullet"/>
      <w:lvlText w:val=""/>
      <w:lvlJc w:val="left"/>
      <w:pPr>
        <w:ind w:left="5805" w:hanging="360"/>
      </w:pPr>
      <w:rPr>
        <w:rFonts w:ascii="Symbol" w:hAnsi="Symbol" w:hint="default"/>
      </w:rPr>
    </w:lvl>
    <w:lvl w:ilvl="7" w:tplc="04180003" w:tentative="1">
      <w:start w:val="1"/>
      <w:numFmt w:val="bullet"/>
      <w:lvlText w:val="o"/>
      <w:lvlJc w:val="left"/>
      <w:pPr>
        <w:ind w:left="6525" w:hanging="360"/>
      </w:pPr>
      <w:rPr>
        <w:rFonts w:ascii="Courier New" w:hAnsi="Courier New" w:cs="Courier New" w:hint="default"/>
      </w:rPr>
    </w:lvl>
    <w:lvl w:ilvl="8" w:tplc="04180005" w:tentative="1">
      <w:start w:val="1"/>
      <w:numFmt w:val="bullet"/>
      <w:lvlText w:val=""/>
      <w:lvlJc w:val="left"/>
      <w:pPr>
        <w:ind w:left="7245" w:hanging="360"/>
      </w:pPr>
      <w:rPr>
        <w:rFonts w:ascii="Wingdings" w:hAnsi="Wingdings" w:hint="default"/>
      </w:rPr>
    </w:lvl>
  </w:abstractNum>
  <w:abstractNum w:abstractNumId="181">
    <w:nsid w:val="50DC5C57"/>
    <w:multiLevelType w:val="hybridMultilevel"/>
    <w:tmpl w:val="7BB2CA54"/>
    <w:lvl w:ilvl="0" w:tplc="B7F4AE18">
      <w:numFmt w:val="bullet"/>
      <w:lvlText w:val="-"/>
      <w:lvlJc w:val="left"/>
      <w:pPr>
        <w:ind w:left="720" w:hanging="360"/>
      </w:pPr>
      <w:rPr>
        <w:rFonts w:ascii="Calibri" w:eastAsia="Calibri" w:hAnsi="Calibri" w:cs="Times New Roman"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2">
    <w:nsid w:val="51B9737B"/>
    <w:multiLevelType w:val="hybridMultilevel"/>
    <w:tmpl w:val="FEAEDD7E"/>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3">
    <w:nsid w:val="52413FBB"/>
    <w:multiLevelType w:val="hybridMultilevel"/>
    <w:tmpl w:val="670827E0"/>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84">
    <w:nsid w:val="525C4DF5"/>
    <w:multiLevelType w:val="hybridMultilevel"/>
    <w:tmpl w:val="0E90FDA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5">
    <w:nsid w:val="52DD3711"/>
    <w:multiLevelType w:val="multilevel"/>
    <w:tmpl w:val="7D7ECB92"/>
    <w:lvl w:ilvl="0">
      <w:start w:val="1"/>
      <w:numFmt w:val="bullet"/>
      <w:lvlText w:val="●"/>
      <w:lvlJc w:val="left"/>
      <w:pPr>
        <w:ind w:left="2421" w:hanging="360"/>
      </w:pPr>
      <w:rPr>
        <w:rFonts w:ascii="Noto Sans Symbols" w:eastAsia="Noto Sans Symbols" w:hAnsi="Noto Sans Symbols" w:cs="Noto Sans Symbols"/>
        <w:vertAlign w:val="baseline"/>
      </w:rPr>
    </w:lvl>
    <w:lvl w:ilvl="1">
      <w:start w:val="1"/>
      <w:numFmt w:val="bullet"/>
      <w:lvlText w:val="o"/>
      <w:lvlJc w:val="left"/>
      <w:pPr>
        <w:ind w:left="3141" w:hanging="360"/>
      </w:pPr>
      <w:rPr>
        <w:rFonts w:ascii="Courier New" w:eastAsia="Courier New" w:hAnsi="Courier New" w:cs="Courier New"/>
        <w:vertAlign w:val="baseline"/>
      </w:rPr>
    </w:lvl>
    <w:lvl w:ilvl="2">
      <w:start w:val="1"/>
      <w:numFmt w:val="bullet"/>
      <w:lvlText w:val="▪"/>
      <w:lvlJc w:val="left"/>
      <w:pPr>
        <w:ind w:left="3861" w:hanging="360"/>
      </w:pPr>
      <w:rPr>
        <w:rFonts w:ascii="Noto Sans Symbols" w:eastAsia="Noto Sans Symbols" w:hAnsi="Noto Sans Symbols" w:cs="Noto Sans Symbols"/>
        <w:vertAlign w:val="baseline"/>
      </w:rPr>
    </w:lvl>
    <w:lvl w:ilvl="3">
      <w:start w:val="1"/>
      <w:numFmt w:val="bullet"/>
      <w:lvlText w:val="●"/>
      <w:lvlJc w:val="left"/>
      <w:pPr>
        <w:ind w:left="4581" w:hanging="360"/>
      </w:pPr>
      <w:rPr>
        <w:rFonts w:ascii="Noto Sans Symbols" w:eastAsia="Noto Sans Symbols" w:hAnsi="Noto Sans Symbols" w:cs="Noto Sans Symbols"/>
        <w:vertAlign w:val="baseline"/>
      </w:rPr>
    </w:lvl>
    <w:lvl w:ilvl="4">
      <w:start w:val="1"/>
      <w:numFmt w:val="bullet"/>
      <w:lvlText w:val="o"/>
      <w:lvlJc w:val="left"/>
      <w:pPr>
        <w:ind w:left="5301" w:hanging="360"/>
      </w:pPr>
      <w:rPr>
        <w:rFonts w:ascii="Courier New" w:eastAsia="Courier New" w:hAnsi="Courier New" w:cs="Courier New"/>
        <w:vertAlign w:val="baseline"/>
      </w:rPr>
    </w:lvl>
    <w:lvl w:ilvl="5">
      <w:start w:val="1"/>
      <w:numFmt w:val="bullet"/>
      <w:lvlText w:val="▪"/>
      <w:lvlJc w:val="left"/>
      <w:pPr>
        <w:ind w:left="6021" w:hanging="360"/>
      </w:pPr>
      <w:rPr>
        <w:rFonts w:ascii="Noto Sans Symbols" w:eastAsia="Noto Sans Symbols" w:hAnsi="Noto Sans Symbols" w:cs="Noto Sans Symbols"/>
        <w:vertAlign w:val="baseline"/>
      </w:rPr>
    </w:lvl>
    <w:lvl w:ilvl="6">
      <w:start w:val="1"/>
      <w:numFmt w:val="bullet"/>
      <w:lvlText w:val="●"/>
      <w:lvlJc w:val="left"/>
      <w:pPr>
        <w:ind w:left="6741" w:hanging="360"/>
      </w:pPr>
      <w:rPr>
        <w:rFonts w:ascii="Noto Sans Symbols" w:eastAsia="Noto Sans Symbols" w:hAnsi="Noto Sans Symbols" w:cs="Noto Sans Symbols"/>
        <w:vertAlign w:val="baseline"/>
      </w:rPr>
    </w:lvl>
    <w:lvl w:ilvl="7">
      <w:start w:val="1"/>
      <w:numFmt w:val="bullet"/>
      <w:lvlText w:val="o"/>
      <w:lvlJc w:val="left"/>
      <w:pPr>
        <w:ind w:left="7461" w:hanging="360"/>
      </w:pPr>
      <w:rPr>
        <w:rFonts w:ascii="Courier New" w:eastAsia="Courier New" w:hAnsi="Courier New" w:cs="Courier New"/>
        <w:vertAlign w:val="baseline"/>
      </w:rPr>
    </w:lvl>
    <w:lvl w:ilvl="8">
      <w:start w:val="1"/>
      <w:numFmt w:val="bullet"/>
      <w:lvlText w:val="▪"/>
      <w:lvlJc w:val="left"/>
      <w:pPr>
        <w:ind w:left="8181" w:hanging="360"/>
      </w:pPr>
      <w:rPr>
        <w:rFonts w:ascii="Noto Sans Symbols" w:eastAsia="Noto Sans Symbols" w:hAnsi="Noto Sans Symbols" w:cs="Noto Sans Symbols"/>
        <w:vertAlign w:val="baseline"/>
      </w:rPr>
    </w:lvl>
  </w:abstractNum>
  <w:abstractNum w:abstractNumId="186">
    <w:nsid w:val="52F42AD2"/>
    <w:multiLevelType w:val="hybridMultilevel"/>
    <w:tmpl w:val="6052BFCC"/>
    <w:lvl w:ilvl="0" w:tplc="F9FE4D9A">
      <w:start w:val="1"/>
      <w:numFmt w:val="lowerRoman"/>
      <w:lvlText w:val="(%1)"/>
      <w:lvlJc w:val="left"/>
      <w:pPr>
        <w:ind w:left="1288" w:hanging="72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87">
    <w:nsid w:val="53B64226"/>
    <w:multiLevelType w:val="hybridMultilevel"/>
    <w:tmpl w:val="F064DAD4"/>
    <w:lvl w:ilvl="0" w:tplc="70644274">
      <w:numFmt w:val="bullet"/>
      <w:lvlText w:val=""/>
      <w:lvlJc w:val="left"/>
      <w:pPr>
        <w:ind w:left="1117" w:hanging="360"/>
      </w:pPr>
      <w:rPr>
        <w:rFonts w:ascii="Wingdings" w:hAnsi="Wingdings" w:hint="default"/>
        <w:color w:val="000080"/>
      </w:rPr>
    </w:lvl>
    <w:lvl w:ilvl="1" w:tplc="04180003" w:tentative="1">
      <w:start w:val="1"/>
      <w:numFmt w:val="bullet"/>
      <w:lvlText w:val="o"/>
      <w:lvlJc w:val="left"/>
      <w:pPr>
        <w:ind w:left="1837" w:hanging="360"/>
      </w:pPr>
      <w:rPr>
        <w:rFonts w:ascii="Courier New" w:hAnsi="Courier New" w:cs="Courier New" w:hint="default"/>
      </w:rPr>
    </w:lvl>
    <w:lvl w:ilvl="2" w:tplc="04180005" w:tentative="1">
      <w:start w:val="1"/>
      <w:numFmt w:val="bullet"/>
      <w:lvlText w:val=""/>
      <w:lvlJc w:val="left"/>
      <w:pPr>
        <w:ind w:left="2557" w:hanging="360"/>
      </w:pPr>
      <w:rPr>
        <w:rFonts w:ascii="Wingdings" w:hAnsi="Wingdings" w:hint="default"/>
      </w:rPr>
    </w:lvl>
    <w:lvl w:ilvl="3" w:tplc="04180001" w:tentative="1">
      <w:start w:val="1"/>
      <w:numFmt w:val="bullet"/>
      <w:lvlText w:val=""/>
      <w:lvlJc w:val="left"/>
      <w:pPr>
        <w:ind w:left="3277" w:hanging="360"/>
      </w:pPr>
      <w:rPr>
        <w:rFonts w:ascii="Symbol" w:hAnsi="Symbol" w:hint="default"/>
      </w:rPr>
    </w:lvl>
    <w:lvl w:ilvl="4" w:tplc="04180003" w:tentative="1">
      <w:start w:val="1"/>
      <w:numFmt w:val="bullet"/>
      <w:lvlText w:val="o"/>
      <w:lvlJc w:val="left"/>
      <w:pPr>
        <w:ind w:left="3997" w:hanging="360"/>
      </w:pPr>
      <w:rPr>
        <w:rFonts w:ascii="Courier New" w:hAnsi="Courier New" w:cs="Courier New" w:hint="default"/>
      </w:rPr>
    </w:lvl>
    <w:lvl w:ilvl="5" w:tplc="04180005" w:tentative="1">
      <w:start w:val="1"/>
      <w:numFmt w:val="bullet"/>
      <w:lvlText w:val=""/>
      <w:lvlJc w:val="left"/>
      <w:pPr>
        <w:ind w:left="4717" w:hanging="360"/>
      </w:pPr>
      <w:rPr>
        <w:rFonts w:ascii="Wingdings" w:hAnsi="Wingdings" w:hint="default"/>
      </w:rPr>
    </w:lvl>
    <w:lvl w:ilvl="6" w:tplc="04180001" w:tentative="1">
      <w:start w:val="1"/>
      <w:numFmt w:val="bullet"/>
      <w:lvlText w:val=""/>
      <w:lvlJc w:val="left"/>
      <w:pPr>
        <w:ind w:left="5437" w:hanging="360"/>
      </w:pPr>
      <w:rPr>
        <w:rFonts w:ascii="Symbol" w:hAnsi="Symbol" w:hint="default"/>
      </w:rPr>
    </w:lvl>
    <w:lvl w:ilvl="7" w:tplc="04180003" w:tentative="1">
      <w:start w:val="1"/>
      <w:numFmt w:val="bullet"/>
      <w:lvlText w:val="o"/>
      <w:lvlJc w:val="left"/>
      <w:pPr>
        <w:ind w:left="6157" w:hanging="360"/>
      </w:pPr>
      <w:rPr>
        <w:rFonts w:ascii="Courier New" w:hAnsi="Courier New" w:cs="Courier New" w:hint="default"/>
      </w:rPr>
    </w:lvl>
    <w:lvl w:ilvl="8" w:tplc="04180005" w:tentative="1">
      <w:start w:val="1"/>
      <w:numFmt w:val="bullet"/>
      <w:lvlText w:val=""/>
      <w:lvlJc w:val="left"/>
      <w:pPr>
        <w:ind w:left="6877" w:hanging="360"/>
      </w:pPr>
      <w:rPr>
        <w:rFonts w:ascii="Wingdings" w:hAnsi="Wingdings" w:hint="default"/>
      </w:rPr>
    </w:lvl>
  </w:abstractNum>
  <w:abstractNum w:abstractNumId="188">
    <w:nsid w:val="54767BF6"/>
    <w:multiLevelType w:val="multilevel"/>
    <w:tmpl w:val="B20C253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89">
    <w:nsid w:val="552A7960"/>
    <w:multiLevelType w:val="hybridMultilevel"/>
    <w:tmpl w:val="6572425E"/>
    <w:lvl w:ilvl="0" w:tplc="04180001">
      <w:start w:val="1"/>
      <w:numFmt w:val="bullet"/>
      <w:lvlText w:val=""/>
      <w:lvlJc w:val="left"/>
      <w:pPr>
        <w:ind w:left="1440" w:hanging="360"/>
      </w:pPr>
      <w:rPr>
        <w:rFonts w:ascii="Symbol" w:hAnsi="Symbol" w:hint="default"/>
      </w:rPr>
    </w:lvl>
    <w:lvl w:ilvl="1" w:tplc="04180003">
      <w:start w:val="1"/>
      <w:numFmt w:val="bullet"/>
      <w:lvlText w:val="o"/>
      <w:lvlJc w:val="left"/>
      <w:pPr>
        <w:ind w:left="2160" w:hanging="360"/>
      </w:pPr>
      <w:rPr>
        <w:rFonts w:ascii="Courier New" w:hAnsi="Courier New" w:hint="default"/>
      </w:rPr>
    </w:lvl>
    <w:lvl w:ilvl="2" w:tplc="04180005">
      <w:start w:val="1"/>
      <w:numFmt w:val="bullet"/>
      <w:lvlText w:val=""/>
      <w:lvlJc w:val="left"/>
      <w:pPr>
        <w:ind w:left="2880" w:hanging="360"/>
      </w:pPr>
      <w:rPr>
        <w:rFonts w:ascii="Wingdings" w:hAnsi="Wingdings" w:hint="default"/>
      </w:rPr>
    </w:lvl>
    <w:lvl w:ilvl="3" w:tplc="04180001">
      <w:start w:val="1"/>
      <w:numFmt w:val="bullet"/>
      <w:lvlText w:val=""/>
      <w:lvlJc w:val="left"/>
      <w:pPr>
        <w:ind w:left="3600" w:hanging="360"/>
      </w:pPr>
      <w:rPr>
        <w:rFonts w:ascii="Symbol" w:hAnsi="Symbol" w:hint="default"/>
      </w:rPr>
    </w:lvl>
    <w:lvl w:ilvl="4" w:tplc="04180003">
      <w:start w:val="1"/>
      <w:numFmt w:val="bullet"/>
      <w:lvlText w:val="o"/>
      <w:lvlJc w:val="left"/>
      <w:pPr>
        <w:ind w:left="4320" w:hanging="360"/>
      </w:pPr>
      <w:rPr>
        <w:rFonts w:ascii="Courier New" w:hAnsi="Courier New" w:hint="default"/>
      </w:rPr>
    </w:lvl>
    <w:lvl w:ilvl="5" w:tplc="04180005">
      <w:start w:val="1"/>
      <w:numFmt w:val="bullet"/>
      <w:lvlText w:val=""/>
      <w:lvlJc w:val="left"/>
      <w:pPr>
        <w:ind w:left="5040" w:hanging="360"/>
      </w:pPr>
      <w:rPr>
        <w:rFonts w:ascii="Wingdings" w:hAnsi="Wingdings" w:hint="default"/>
      </w:rPr>
    </w:lvl>
    <w:lvl w:ilvl="6" w:tplc="04180001">
      <w:start w:val="1"/>
      <w:numFmt w:val="bullet"/>
      <w:lvlText w:val=""/>
      <w:lvlJc w:val="left"/>
      <w:pPr>
        <w:ind w:left="5760" w:hanging="360"/>
      </w:pPr>
      <w:rPr>
        <w:rFonts w:ascii="Symbol" w:hAnsi="Symbol" w:hint="default"/>
      </w:rPr>
    </w:lvl>
    <w:lvl w:ilvl="7" w:tplc="04180003">
      <w:start w:val="1"/>
      <w:numFmt w:val="bullet"/>
      <w:lvlText w:val="o"/>
      <w:lvlJc w:val="left"/>
      <w:pPr>
        <w:ind w:left="6480" w:hanging="360"/>
      </w:pPr>
      <w:rPr>
        <w:rFonts w:ascii="Courier New" w:hAnsi="Courier New" w:hint="default"/>
      </w:rPr>
    </w:lvl>
    <w:lvl w:ilvl="8" w:tplc="04180005">
      <w:start w:val="1"/>
      <w:numFmt w:val="bullet"/>
      <w:lvlText w:val=""/>
      <w:lvlJc w:val="left"/>
      <w:pPr>
        <w:ind w:left="7200" w:hanging="360"/>
      </w:pPr>
      <w:rPr>
        <w:rFonts w:ascii="Wingdings" w:hAnsi="Wingdings" w:hint="default"/>
      </w:rPr>
    </w:lvl>
  </w:abstractNum>
  <w:abstractNum w:abstractNumId="190">
    <w:nsid w:val="56CA57D5"/>
    <w:multiLevelType w:val="hybridMultilevel"/>
    <w:tmpl w:val="B82849CE"/>
    <w:lvl w:ilvl="0" w:tplc="7236DA48">
      <w:start w:val="1"/>
      <w:numFmt w:val="decimal"/>
      <w:lvlText w:val="%1."/>
      <w:lvlJc w:val="left"/>
      <w:pPr>
        <w:ind w:left="1068" w:hanging="360"/>
      </w:pPr>
      <w:rPr>
        <w:rFonts w:hint="default"/>
        <w:b/>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91">
    <w:nsid w:val="56FC38A8"/>
    <w:multiLevelType w:val="hybridMultilevel"/>
    <w:tmpl w:val="3782D02C"/>
    <w:lvl w:ilvl="0" w:tplc="F4FC09C6">
      <w:start w:val="5"/>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2">
    <w:nsid w:val="571D4090"/>
    <w:multiLevelType w:val="hybridMultilevel"/>
    <w:tmpl w:val="619E4294"/>
    <w:lvl w:ilvl="0" w:tplc="559486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576E5A55"/>
    <w:multiLevelType w:val="hybridMultilevel"/>
    <w:tmpl w:val="27D6B96E"/>
    <w:lvl w:ilvl="0" w:tplc="04180001">
      <w:start w:val="1"/>
      <w:numFmt w:val="bullet"/>
      <w:lvlText w:val=""/>
      <w:lvlJc w:val="left"/>
      <w:pPr>
        <w:ind w:left="720" w:hanging="360"/>
      </w:pPr>
      <w:rPr>
        <w:rFonts w:ascii="Symbol" w:hAnsi="Symbol" w:hint="default"/>
      </w:rPr>
    </w:lvl>
    <w:lvl w:ilvl="1" w:tplc="405C64D6">
      <w:start w:val="1"/>
      <w:numFmt w:val="bullet"/>
      <w:lvlText w:val=""/>
      <w:lvlJc w:val="left"/>
      <w:pPr>
        <w:ind w:left="1440" w:hanging="360"/>
      </w:pPr>
      <w:rPr>
        <w:rFonts w:ascii="Symbol" w:hAnsi="Symbol" w:hint="default"/>
        <w:b/>
        <w:color w:val="000080"/>
        <w:sz w:val="24"/>
        <w:szCs w:val="24"/>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4">
    <w:nsid w:val="57D84DD3"/>
    <w:multiLevelType w:val="hybridMultilevel"/>
    <w:tmpl w:val="DE8A09B4"/>
    <w:lvl w:ilvl="0" w:tplc="371EECAE">
      <w:start w:val="1"/>
      <w:numFmt w:val="bullet"/>
      <w:lvlText w:val="-"/>
      <w:lvlJc w:val="left"/>
      <w:pPr>
        <w:tabs>
          <w:tab w:val="num" w:pos="360"/>
        </w:tabs>
        <w:ind w:left="360" w:hanging="360"/>
      </w:pPr>
      <w:rPr>
        <w:rFonts w:ascii="Times New Roman" w:eastAsia="Times New Roman" w:hAnsi="Times New Roman"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95">
    <w:nsid w:val="58092928"/>
    <w:multiLevelType w:val="hybridMultilevel"/>
    <w:tmpl w:val="163E9D20"/>
    <w:lvl w:ilvl="0" w:tplc="0409000D">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6">
    <w:nsid w:val="5868619D"/>
    <w:multiLevelType w:val="multilevel"/>
    <w:tmpl w:val="224883E8"/>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97">
    <w:nsid w:val="58B43C86"/>
    <w:multiLevelType w:val="hybridMultilevel"/>
    <w:tmpl w:val="654A5396"/>
    <w:lvl w:ilvl="0" w:tplc="0409000B">
      <w:start w:val="1"/>
      <w:numFmt w:val="bullet"/>
      <w:lvlText w:val=""/>
      <w:lvlJc w:val="left"/>
      <w:pPr>
        <w:ind w:left="720" w:hanging="360"/>
      </w:pPr>
      <w:rPr>
        <w:rFonts w:ascii="Wingdings" w:hAnsi="Wingdings"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58EA4F25"/>
    <w:multiLevelType w:val="hybridMultilevel"/>
    <w:tmpl w:val="ED1CFA3E"/>
    <w:lvl w:ilvl="0" w:tplc="041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59235149"/>
    <w:multiLevelType w:val="hybridMultilevel"/>
    <w:tmpl w:val="5F744C02"/>
    <w:lvl w:ilvl="0" w:tplc="04180007">
      <w:start w:val="1"/>
      <w:numFmt w:val="bullet"/>
      <w:lvlText w:val=""/>
      <w:lvlPicBulletId w:val="0"/>
      <w:lvlJc w:val="left"/>
      <w:pPr>
        <w:ind w:left="720" w:hanging="360"/>
      </w:pPr>
      <w:rPr>
        <w:rFonts w:ascii="Symbol" w:hAnsi="Symbol" w:hint="default"/>
      </w:rPr>
    </w:lvl>
    <w:lvl w:ilvl="1" w:tplc="04180001">
      <w:start w:val="1"/>
      <w:numFmt w:val="bullet"/>
      <w:lvlText w:val=""/>
      <w:lvlJc w:val="left"/>
      <w:pPr>
        <w:ind w:left="1440" w:hanging="360"/>
      </w:pPr>
      <w:rPr>
        <w:rFonts w:ascii="Symbol" w:hAnsi="Symbo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0">
    <w:nsid w:val="5935A2F5"/>
    <w:multiLevelType w:val="multilevel"/>
    <w:tmpl w:val="72CEEEFD"/>
    <w:lvl w:ilvl="0">
      <w:numFmt w:val="bullet"/>
      <w:lvlText w:val="·"/>
      <w:lvlJc w:val="left"/>
      <w:pPr>
        <w:tabs>
          <w:tab w:val="num" w:pos="360"/>
        </w:tabs>
        <w:ind w:left="360" w:hanging="360"/>
      </w:pPr>
      <w:rPr>
        <w:rFonts w:ascii="Symbol" w:hAnsi="Symbol" w:cs="Symbol"/>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01">
    <w:nsid w:val="59E14EDD"/>
    <w:multiLevelType w:val="hybridMultilevel"/>
    <w:tmpl w:val="81369558"/>
    <w:lvl w:ilvl="0" w:tplc="0409000D">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02">
    <w:nsid w:val="5A0003BD"/>
    <w:multiLevelType w:val="multilevel"/>
    <w:tmpl w:val="408C88F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03">
    <w:nsid w:val="5B580D84"/>
    <w:multiLevelType w:val="hybridMultilevel"/>
    <w:tmpl w:val="589E083A"/>
    <w:lvl w:ilvl="0" w:tplc="302691A6">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4">
    <w:nsid w:val="5B591C89"/>
    <w:multiLevelType w:val="hybridMultilevel"/>
    <w:tmpl w:val="C49E634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5">
    <w:nsid w:val="5B907CC7"/>
    <w:multiLevelType w:val="hybridMultilevel"/>
    <w:tmpl w:val="E17A9528"/>
    <w:lvl w:ilvl="0" w:tplc="0409000F">
      <w:start w:val="1"/>
      <w:numFmt w:val="decimal"/>
      <w:lvlText w:val="%1."/>
      <w:lvlJc w:val="left"/>
      <w:pPr>
        <w:ind w:left="360" w:hanging="360"/>
      </w:pPr>
      <w:rPr>
        <w:rFonts w:hint="default"/>
        <w:b/>
      </w:rPr>
    </w:lvl>
    <w:lvl w:ilvl="1" w:tplc="0418000F">
      <w:start w:val="1"/>
      <w:numFmt w:val="decimal"/>
      <w:lvlText w:val="%2."/>
      <w:lvlJc w:val="left"/>
      <w:pPr>
        <w:ind w:left="1080" w:hanging="360"/>
      </w:pPr>
      <w:rPr>
        <w:rFonts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06">
    <w:nsid w:val="5B9D5AF4"/>
    <w:multiLevelType w:val="hybridMultilevel"/>
    <w:tmpl w:val="1BC49C10"/>
    <w:lvl w:ilvl="0" w:tplc="17103556">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nsid w:val="5BB73879"/>
    <w:multiLevelType w:val="hybridMultilevel"/>
    <w:tmpl w:val="736C98BE"/>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08">
    <w:nsid w:val="5C0449B2"/>
    <w:multiLevelType w:val="hybridMultilevel"/>
    <w:tmpl w:val="CAA6BC4C"/>
    <w:lvl w:ilvl="0" w:tplc="302691A6">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9">
    <w:nsid w:val="5C612DDE"/>
    <w:multiLevelType w:val="hybridMultilevel"/>
    <w:tmpl w:val="92CE5874"/>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10">
    <w:nsid w:val="5CC36255"/>
    <w:multiLevelType w:val="hybridMultilevel"/>
    <w:tmpl w:val="4DE819DC"/>
    <w:lvl w:ilvl="0" w:tplc="1F72B0DA">
      <w:numFmt w:val="bullet"/>
      <w:lvlText w:val="-"/>
      <w:lvlJc w:val="left"/>
      <w:pPr>
        <w:ind w:left="1437" w:hanging="360"/>
      </w:pPr>
      <w:rPr>
        <w:rFonts w:ascii="Calibri" w:eastAsiaTheme="minorEastAsia" w:hAnsi="Calibri" w:cstheme="minorBidi" w:hint="default"/>
      </w:rPr>
    </w:lvl>
    <w:lvl w:ilvl="1" w:tplc="04090003" w:tentative="1">
      <w:start w:val="1"/>
      <w:numFmt w:val="bullet"/>
      <w:lvlText w:val="o"/>
      <w:lvlJc w:val="left"/>
      <w:pPr>
        <w:ind w:left="2157" w:hanging="360"/>
      </w:pPr>
      <w:rPr>
        <w:rFonts w:ascii="Courier New" w:hAnsi="Courier New" w:cs="Courier New" w:hint="default"/>
      </w:rPr>
    </w:lvl>
    <w:lvl w:ilvl="2" w:tplc="04090005" w:tentative="1">
      <w:start w:val="1"/>
      <w:numFmt w:val="bullet"/>
      <w:lvlText w:val=""/>
      <w:lvlJc w:val="left"/>
      <w:pPr>
        <w:ind w:left="2877" w:hanging="360"/>
      </w:pPr>
      <w:rPr>
        <w:rFonts w:ascii="Wingdings" w:hAnsi="Wingdings" w:hint="default"/>
      </w:rPr>
    </w:lvl>
    <w:lvl w:ilvl="3" w:tplc="04090001" w:tentative="1">
      <w:start w:val="1"/>
      <w:numFmt w:val="bullet"/>
      <w:lvlText w:val=""/>
      <w:lvlJc w:val="left"/>
      <w:pPr>
        <w:ind w:left="3597" w:hanging="360"/>
      </w:pPr>
      <w:rPr>
        <w:rFonts w:ascii="Symbol" w:hAnsi="Symbol" w:hint="default"/>
      </w:rPr>
    </w:lvl>
    <w:lvl w:ilvl="4" w:tplc="04090003" w:tentative="1">
      <w:start w:val="1"/>
      <w:numFmt w:val="bullet"/>
      <w:lvlText w:val="o"/>
      <w:lvlJc w:val="left"/>
      <w:pPr>
        <w:ind w:left="4317" w:hanging="360"/>
      </w:pPr>
      <w:rPr>
        <w:rFonts w:ascii="Courier New" w:hAnsi="Courier New" w:cs="Courier New" w:hint="default"/>
      </w:rPr>
    </w:lvl>
    <w:lvl w:ilvl="5" w:tplc="04090005" w:tentative="1">
      <w:start w:val="1"/>
      <w:numFmt w:val="bullet"/>
      <w:lvlText w:val=""/>
      <w:lvlJc w:val="left"/>
      <w:pPr>
        <w:ind w:left="5037" w:hanging="360"/>
      </w:pPr>
      <w:rPr>
        <w:rFonts w:ascii="Wingdings" w:hAnsi="Wingdings" w:hint="default"/>
      </w:rPr>
    </w:lvl>
    <w:lvl w:ilvl="6" w:tplc="04090001" w:tentative="1">
      <w:start w:val="1"/>
      <w:numFmt w:val="bullet"/>
      <w:lvlText w:val=""/>
      <w:lvlJc w:val="left"/>
      <w:pPr>
        <w:ind w:left="5757" w:hanging="360"/>
      </w:pPr>
      <w:rPr>
        <w:rFonts w:ascii="Symbol" w:hAnsi="Symbol" w:hint="default"/>
      </w:rPr>
    </w:lvl>
    <w:lvl w:ilvl="7" w:tplc="04090003" w:tentative="1">
      <w:start w:val="1"/>
      <w:numFmt w:val="bullet"/>
      <w:lvlText w:val="o"/>
      <w:lvlJc w:val="left"/>
      <w:pPr>
        <w:ind w:left="6477" w:hanging="360"/>
      </w:pPr>
      <w:rPr>
        <w:rFonts w:ascii="Courier New" w:hAnsi="Courier New" w:cs="Courier New" w:hint="default"/>
      </w:rPr>
    </w:lvl>
    <w:lvl w:ilvl="8" w:tplc="04090005" w:tentative="1">
      <w:start w:val="1"/>
      <w:numFmt w:val="bullet"/>
      <w:lvlText w:val=""/>
      <w:lvlJc w:val="left"/>
      <w:pPr>
        <w:ind w:left="7197" w:hanging="360"/>
      </w:pPr>
      <w:rPr>
        <w:rFonts w:ascii="Wingdings" w:hAnsi="Wingdings" w:hint="default"/>
      </w:rPr>
    </w:lvl>
  </w:abstractNum>
  <w:abstractNum w:abstractNumId="211">
    <w:nsid w:val="5D67153C"/>
    <w:multiLevelType w:val="multilevel"/>
    <w:tmpl w:val="BF9EA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2">
    <w:nsid w:val="5DCE7EEF"/>
    <w:multiLevelType w:val="hybridMultilevel"/>
    <w:tmpl w:val="E3B40532"/>
    <w:lvl w:ilvl="0" w:tplc="98F67DB4">
      <w:start w:val="1"/>
      <w:numFmt w:val="bullet"/>
      <w:lvlText w:val="•"/>
      <w:lvlJc w:val="left"/>
      <w:pPr>
        <w:tabs>
          <w:tab w:val="num" w:pos="1260"/>
        </w:tabs>
        <w:ind w:left="1260" w:hanging="360"/>
      </w:pPr>
      <w:rPr>
        <w:rFonts w:ascii="Times New Roman" w:hAnsi="Times New Roman" w:hint="default"/>
      </w:rPr>
    </w:lvl>
    <w:lvl w:ilvl="1" w:tplc="D1EA9E70" w:tentative="1">
      <w:start w:val="1"/>
      <w:numFmt w:val="bullet"/>
      <w:lvlText w:val="•"/>
      <w:lvlJc w:val="left"/>
      <w:pPr>
        <w:tabs>
          <w:tab w:val="num" w:pos="1980"/>
        </w:tabs>
        <w:ind w:left="1980" w:hanging="360"/>
      </w:pPr>
      <w:rPr>
        <w:rFonts w:ascii="Times New Roman" w:hAnsi="Times New Roman" w:hint="default"/>
      </w:rPr>
    </w:lvl>
    <w:lvl w:ilvl="2" w:tplc="B3D451CA" w:tentative="1">
      <w:start w:val="1"/>
      <w:numFmt w:val="bullet"/>
      <w:lvlText w:val="•"/>
      <w:lvlJc w:val="left"/>
      <w:pPr>
        <w:tabs>
          <w:tab w:val="num" w:pos="2700"/>
        </w:tabs>
        <w:ind w:left="2700" w:hanging="360"/>
      </w:pPr>
      <w:rPr>
        <w:rFonts w:ascii="Times New Roman" w:hAnsi="Times New Roman" w:hint="default"/>
      </w:rPr>
    </w:lvl>
    <w:lvl w:ilvl="3" w:tplc="12C0BC74" w:tentative="1">
      <w:start w:val="1"/>
      <w:numFmt w:val="bullet"/>
      <w:lvlText w:val="•"/>
      <w:lvlJc w:val="left"/>
      <w:pPr>
        <w:tabs>
          <w:tab w:val="num" w:pos="3420"/>
        </w:tabs>
        <w:ind w:left="3420" w:hanging="360"/>
      </w:pPr>
      <w:rPr>
        <w:rFonts w:ascii="Times New Roman" w:hAnsi="Times New Roman" w:hint="default"/>
      </w:rPr>
    </w:lvl>
    <w:lvl w:ilvl="4" w:tplc="3A8804D6" w:tentative="1">
      <w:start w:val="1"/>
      <w:numFmt w:val="bullet"/>
      <w:lvlText w:val="•"/>
      <w:lvlJc w:val="left"/>
      <w:pPr>
        <w:tabs>
          <w:tab w:val="num" w:pos="4140"/>
        </w:tabs>
        <w:ind w:left="4140" w:hanging="360"/>
      </w:pPr>
      <w:rPr>
        <w:rFonts w:ascii="Times New Roman" w:hAnsi="Times New Roman" w:hint="default"/>
      </w:rPr>
    </w:lvl>
    <w:lvl w:ilvl="5" w:tplc="C0D64A38" w:tentative="1">
      <w:start w:val="1"/>
      <w:numFmt w:val="bullet"/>
      <w:lvlText w:val="•"/>
      <w:lvlJc w:val="left"/>
      <w:pPr>
        <w:tabs>
          <w:tab w:val="num" w:pos="4860"/>
        </w:tabs>
        <w:ind w:left="4860" w:hanging="360"/>
      </w:pPr>
      <w:rPr>
        <w:rFonts w:ascii="Times New Roman" w:hAnsi="Times New Roman" w:hint="default"/>
      </w:rPr>
    </w:lvl>
    <w:lvl w:ilvl="6" w:tplc="CF92D26C" w:tentative="1">
      <w:start w:val="1"/>
      <w:numFmt w:val="bullet"/>
      <w:lvlText w:val="•"/>
      <w:lvlJc w:val="left"/>
      <w:pPr>
        <w:tabs>
          <w:tab w:val="num" w:pos="5580"/>
        </w:tabs>
        <w:ind w:left="5580" w:hanging="360"/>
      </w:pPr>
      <w:rPr>
        <w:rFonts w:ascii="Times New Roman" w:hAnsi="Times New Roman" w:hint="default"/>
      </w:rPr>
    </w:lvl>
    <w:lvl w:ilvl="7" w:tplc="0BEEEA7E" w:tentative="1">
      <w:start w:val="1"/>
      <w:numFmt w:val="bullet"/>
      <w:lvlText w:val="•"/>
      <w:lvlJc w:val="left"/>
      <w:pPr>
        <w:tabs>
          <w:tab w:val="num" w:pos="6300"/>
        </w:tabs>
        <w:ind w:left="6300" w:hanging="360"/>
      </w:pPr>
      <w:rPr>
        <w:rFonts w:ascii="Times New Roman" w:hAnsi="Times New Roman" w:hint="default"/>
      </w:rPr>
    </w:lvl>
    <w:lvl w:ilvl="8" w:tplc="A95CCB84" w:tentative="1">
      <w:start w:val="1"/>
      <w:numFmt w:val="bullet"/>
      <w:lvlText w:val="•"/>
      <w:lvlJc w:val="left"/>
      <w:pPr>
        <w:tabs>
          <w:tab w:val="num" w:pos="7020"/>
        </w:tabs>
        <w:ind w:left="7020" w:hanging="360"/>
      </w:pPr>
      <w:rPr>
        <w:rFonts w:ascii="Times New Roman" w:hAnsi="Times New Roman" w:hint="default"/>
      </w:rPr>
    </w:lvl>
  </w:abstractNum>
  <w:abstractNum w:abstractNumId="213">
    <w:nsid w:val="5E0A787A"/>
    <w:multiLevelType w:val="hybridMultilevel"/>
    <w:tmpl w:val="63ECB26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4">
    <w:nsid w:val="5F492EDD"/>
    <w:multiLevelType w:val="multilevel"/>
    <w:tmpl w:val="723CFC78"/>
    <w:lvl w:ilvl="0">
      <w:start w:val="1"/>
      <w:numFmt w:val="bullet"/>
      <w:lvlText w:val=""/>
      <w:lvlJc w:val="left"/>
      <w:pPr>
        <w:ind w:left="384" w:hanging="384"/>
      </w:pPr>
      <w:rPr>
        <w:rFonts w:ascii="Symbol" w:hAnsi="Symbol" w:hint="default"/>
        <w:b/>
        <w:i w:val="0"/>
      </w:rPr>
    </w:lvl>
    <w:lvl w:ilvl="1">
      <w:start w:val="1"/>
      <w:numFmt w:val="decimal"/>
      <w:lvlText w:val="%1.%2"/>
      <w:lvlJc w:val="left"/>
      <w:pPr>
        <w:ind w:left="384" w:hanging="384"/>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15">
    <w:nsid w:val="61815B88"/>
    <w:multiLevelType w:val="multilevel"/>
    <w:tmpl w:val="930CDFC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16">
    <w:nsid w:val="6305706E"/>
    <w:multiLevelType w:val="hybridMultilevel"/>
    <w:tmpl w:val="D428B33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7">
    <w:nsid w:val="635E6259"/>
    <w:multiLevelType w:val="multilevel"/>
    <w:tmpl w:val="548E65E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18">
    <w:nsid w:val="63BF5645"/>
    <w:multiLevelType w:val="hybridMultilevel"/>
    <w:tmpl w:val="08723EC6"/>
    <w:lvl w:ilvl="0" w:tplc="0409000B">
      <w:start w:val="1"/>
      <w:numFmt w:val="bullet"/>
      <w:lvlText w:val=""/>
      <w:lvlJc w:val="left"/>
      <w:pPr>
        <w:ind w:left="357" w:hanging="360"/>
      </w:pPr>
      <w:rPr>
        <w:rFonts w:ascii="Wingdings" w:hAnsi="Wingdings" w:hint="default"/>
      </w:rPr>
    </w:lvl>
    <w:lvl w:ilvl="1" w:tplc="04090003" w:tentative="1">
      <w:start w:val="1"/>
      <w:numFmt w:val="bullet"/>
      <w:lvlText w:val="o"/>
      <w:lvlJc w:val="left"/>
      <w:pPr>
        <w:ind w:left="1077" w:hanging="360"/>
      </w:pPr>
      <w:rPr>
        <w:rFonts w:ascii="Courier New" w:hAnsi="Courier New" w:cs="Courier New" w:hint="default"/>
      </w:rPr>
    </w:lvl>
    <w:lvl w:ilvl="2" w:tplc="04090005" w:tentative="1">
      <w:start w:val="1"/>
      <w:numFmt w:val="bullet"/>
      <w:lvlText w:val=""/>
      <w:lvlJc w:val="left"/>
      <w:pPr>
        <w:ind w:left="1797" w:hanging="360"/>
      </w:pPr>
      <w:rPr>
        <w:rFonts w:ascii="Wingdings" w:hAnsi="Wingdings" w:hint="default"/>
      </w:rPr>
    </w:lvl>
    <w:lvl w:ilvl="3" w:tplc="04090001" w:tentative="1">
      <w:start w:val="1"/>
      <w:numFmt w:val="bullet"/>
      <w:lvlText w:val=""/>
      <w:lvlJc w:val="left"/>
      <w:pPr>
        <w:ind w:left="2517" w:hanging="360"/>
      </w:pPr>
      <w:rPr>
        <w:rFonts w:ascii="Symbol" w:hAnsi="Symbol" w:hint="default"/>
      </w:rPr>
    </w:lvl>
    <w:lvl w:ilvl="4" w:tplc="04090003" w:tentative="1">
      <w:start w:val="1"/>
      <w:numFmt w:val="bullet"/>
      <w:lvlText w:val="o"/>
      <w:lvlJc w:val="left"/>
      <w:pPr>
        <w:ind w:left="3237" w:hanging="360"/>
      </w:pPr>
      <w:rPr>
        <w:rFonts w:ascii="Courier New" w:hAnsi="Courier New" w:cs="Courier New" w:hint="default"/>
      </w:rPr>
    </w:lvl>
    <w:lvl w:ilvl="5" w:tplc="04090005" w:tentative="1">
      <w:start w:val="1"/>
      <w:numFmt w:val="bullet"/>
      <w:lvlText w:val=""/>
      <w:lvlJc w:val="left"/>
      <w:pPr>
        <w:ind w:left="3957" w:hanging="360"/>
      </w:pPr>
      <w:rPr>
        <w:rFonts w:ascii="Wingdings" w:hAnsi="Wingdings" w:hint="default"/>
      </w:rPr>
    </w:lvl>
    <w:lvl w:ilvl="6" w:tplc="04090001" w:tentative="1">
      <w:start w:val="1"/>
      <w:numFmt w:val="bullet"/>
      <w:lvlText w:val=""/>
      <w:lvlJc w:val="left"/>
      <w:pPr>
        <w:ind w:left="4677" w:hanging="360"/>
      </w:pPr>
      <w:rPr>
        <w:rFonts w:ascii="Symbol" w:hAnsi="Symbol" w:hint="default"/>
      </w:rPr>
    </w:lvl>
    <w:lvl w:ilvl="7" w:tplc="04090003" w:tentative="1">
      <w:start w:val="1"/>
      <w:numFmt w:val="bullet"/>
      <w:lvlText w:val="o"/>
      <w:lvlJc w:val="left"/>
      <w:pPr>
        <w:ind w:left="5397" w:hanging="360"/>
      </w:pPr>
      <w:rPr>
        <w:rFonts w:ascii="Courier New" w:hAnsi="Courier New" w:cs="Courier New" w:hint="default"/>
      </w:rPr>
    </w:lvl>
    <w:lvl w:ilvl="8" w:tplc="04090005" w:tentative="1">
      <w:start w:val="1"/>
      <w:numFmt w:val="bullet"/>
      <w:lvlText w:val=""/>
      <w:lvlJc w:val="left"/>
      <w:pPr>
        <w:ind w:left="6117" w:hanging="360"/>
      </w:pPr>
      <w:rPr>
        <w:rFonts w:ascii="Wingdings" w:hAnsi="Wingdings" w:hint="default"/>
      </w:rPr>
    </w:lvl>
  </w:abstractNum>
  <w:abstractNum w:abstractNumId="219">
    <w:nsid w:val="645C6C60"/>
    <w:multiLevelType w:val="hybridMultilevel"/>
    <w:tmpl w:val="BB36BACE"/>
    <w:lvl w:ilvl="0" w:tplc="603EB578">
      <w:start w:val="81"/>
      <w:numFmt w:val="bullet"/>
      <w:lvlText w:val="-"/>
      <w:lvlJc w:val="left"/>
      <w:pPr>
        <w:ind w:left="5039" w:hanging="360"/>
      </w:pPr>
      <w:rPr>
        <w:rFonts w:ascii="Calibri" w:eastAsia="Times New Roman" w:hAnsi="Calibri" w:cs="Times New Roman" w:hint="default"/>
      </w:rPr>
    </w:lvl>
    <w:lvl w:ilvl="1" w:tplc="04180003" w:tentative="1">
      <w:start w:val="1"/>
      <w:numFmt w:val="bullet"/>
      <w:lvlText w:val="o"/>
      <w:lvlJc w:val="left"/>
      <w:pPr>
        <w:ind w:left="5759" w:hanging="360"/>
      </w:pPr>
      <w:rPr>
        <w:rFonts w:ascii="Courier New" w:hAnsi="Courier New" w:cs="Courier New" w:hint="default"/>
      </w:rPr>
    </w:lvl>
    <w:lvl w:ilvl="2" w:tplc="04180005" w:tentative="1">
      <w:start w:val="1"/>
      <w:numFmt w:val="bullet"/>
      <w:lvlText w:val=""/>
      <w:lvlJc w:val="left"/>
      <w:pPr>
        <w:ind w:left="6479" w:hanging="360"/>
      </w:pPr>
      <w:rPr>
        <w:rFonts w:ascii="Wingdings" w:hAnsi="Wingdings" w:hint="default"/>
      </w:rPr>
    </w:lvl>
    <w:lvl w:ilvl="3" w:tplc="04180001" w:tentative="1">
      <w:start w:val="1"/>
      <w:numFmt w:val="bullet"/>
      <w:lvlText w:val=""/>
      <w:lvlJc w:val="left"/>
      <w:pPr>
        <w:ind w:left="7199" w:hanging="360"/>
      </w:pPr>
      <w:rPr>
        <w:rFonts w:ascii="Symbol" w:hAnsi="Symbol" w:hint="default"/>
      </w:rPr>
    </w:lvl>
    <w:lvl w:ilvl="4" w:tplc="04180003" w:tentative="1">
      <w:start w:val="1"/>
      <w:numFmt w:val="bullet"/>
      <w:lvlText w:val="o"/>
      <w:lvlJc w:val="left"/>
      <w:pPr>
        <w:ind w:left="7919" w:hanging="360"/>
      </w:pPr>
      <w:rPr>
        <w:rFonts w:ascii="Courier New" w:hAnsi="Courier New" w:cs="Courier New" w:hint="default"/>
      </w:rPr>
    </w:lvl>
    <w:lvl w:ilvl="5" w:tplc="04180005" w:tentative="1">
      <w:start w:val="1"/>
      <w:numFmt w:val="bullet"/>
      <w:lvlText w:val=""/>
      <w:lvlJc w:val="left"/>
      <w:pPr>
        <w:ind w:left="8639" w:hanging="360"/>
      </w:pPr>
      <w:rPr>
        <w:rFonts w:ascii="Wingdings" w:hAnsi="Wingdings" w:hint="default"/>
      </w:rPr>
    </w:lvl>
    <w:lvl w:ilvl="6" w:tplc="04180001" w:tentative="1">
      <w:start w:val="1"/>
      <w:numFmt w:val="bullet"/>
      <w:lvlText w:val=""/>
      <w:lvlJc w:val="left"/>
      <w:pPr>
        <w:ind w:left="9359" w:hanging="360"/>
      </w:pPr>
      <w:rPr>
        <w:rFonts w:ascii="Symbol" w:hAnsi="Symbol" w:hint="default"/>
      </w:rPr>
    </w:lvl>
    <w:lvl w:ilvl="7" w:tplc="04180003" w:tentative="1">
      <w:start w:val="1"/>
      <w:numFmt w:val="bullet"/>
      <w:lvlText w:val="o"/>
      <w:lvlJc w:val="left"/>
      <w:pPr>
        <w:ind w:left="10079" w:hanging="360"/>
      </w:pPr>
      <w:rPr>
        <w:rFonts w:ascii="Courier New" w:hAnsi="Courier New" w:cs="Courier New" w:hint="default"/>
      </w:rPr>
    </w:lvl>
    <w:lvl w:ilvl="8" w:tplc="04180005" w:tentative="1">
      <w:start w:val="1"/>
      <w:numFmt w:val="bullet"/>
      <w:lvlText w:val=""/>
      <w:lvlJc w:val="left"/>
      <w:pPr>
        <w:ind w:left="10799" w:hanging="360"/>
      </w:pPr>
      <w:rPr>
        <w:rFonts w:ascii="Wingdings" w:hAnsi="Wingdings" w:hint="default"/>
      </w:rPr>
    </w:lvl>
  </w:abstractNum>
  <w:abstractNum w:abstractNumId="220">
    <w:nsid w:val="645D7E1E"/>
    <w:multiLevelType w:val="hybridMultilevel"/>
    <w:tmpl w:val="0EBEF0C0"/>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1">
    <w:nsid w:val="64D33A30"/>
    <w:multiLevelType w:val="hybridMultilevel"/>
    <w:tmpl w:val="F65CF222"/>
    <w:lvl w:ilvl="0" w:tplc="8EF4BEB0">
      <w:numFmt w:val="bullet"/>
      <w:lvlText w:val=""/>
      <w:lvlJc w:val="left"/>
      <w:pPr>
        <w:ind w:left="720" w:hanging="360"/>
      </w:pPr>
      <w:rPr>
        <w:rFonts w:ascii="Wingdings" w:hAnsi="Wingdings" w:hint="default"/>
        <w:b w:val="0"/>
        <w:color w:val="0E015F"/>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2">
    <w:nsid w:val="66533C74"/>
    <w:multiLevelType w:val="multilevel"/>
    <w:tmpl w:val="BD90C0DE"/>
    <w:lvl w:ilvl="0">
      <w:start w:val="5"/>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3">
    <w:nsid w:val="674343BD"/>
    <w:multiLevelType w:val="hybridMultilevel"/>
    <w:tmpl w:val="D7AECAD0"/>
    <w:name w:val="WW8Num112"/>
    <w:lvl w:ilvl="0" w:tplc="2326D146">
      <w:start w:val="1"/>
      <w:numFmt w:val="decimal"/>
      <w:lvlText w:val="%1)"/>
      <w:lvlJc w:val="left"/>
      <w:pPr>
        <w:tabs>
          <w:tab w:val="num" w:pos="0"/>
        </w:tabs>
        <w:ind w:left="720" w:hanging="720"/>
      </w:pPr>
      <w:rPr>
        <w:rFonts w:ascii="Calibri" w:eastAsia="Times New Roman" w:hAnsi="Calibri" w:cs="Times New Roman" w:hint="default"/>
        <w:b/>
        <w:i w:val="0"/>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4">
    <w:nsid w:val="674D4C19"/>
    <w:multiLevelType w:val="multilevel"/>
    <w:tmpl w:val="6656506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5">
    <w:nsid w:val="678B055F"/>
    <w:multiLevelType w:val="hybridMultilevel"/>
    <w:tmpl w:val="6B6475F2"/>
    <w:lvl w:ilvl="0" w:tplc="17103556">
      <w:numFmt w:val="bullet"/>
      <w:lvlText w:val="-"/>
      <w:lvlJc w:val="left"/>
      <w:pPr>
        <w:ind w:left="1440" w:hanging="360"/>
      </w:pPr>
      <w:rPr>
        <w:rFonts w:ascii="Arial" w:eastAsia="MS Mincho"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6">
    <w:nsid w:val="681533E4"/>
    <w:multiLevelType w:val="hybridMultilevel"/>
    <w:tmpl w:val="4AD8A59E"/>
    <w:lvl w:ilvl="0" w:tplc="DFBEFA94">
      <w:start w:val="1"/>
      <w:numFmt w:val="bullet"/>
      <w:lvlText w:val=""/>
      <w:lvlJc w:val="left"/>
      <w:pPr>
        <w:tabs>
          <w:tab w:val="num" w:pos="720"/>
        </w:tabs>
        <w:ind w:left="720" w:hanging="360"/>
      </w:pPr>
      <w:rPr>
        <w:rFonts w:ascii="Wingdings 2" w:hAnsi="Wingdings 2" w:hint="default"/>
      </w:rPr>
    </w:lvl>
    <w:lvl w:ilvl="1" w:tplc="96BE612E">
      <w:start w:val="1"/>
      <w:numFmt w:val="bullet"/>
      <w:lvlText w:val=""/>
      <w:lvlJc w:val="left"/>
      <w:pPr>
        <w:tabs>
          <w:tab w:val="num" w:pos="1440"/>
        </w:tabs>
        <w:ind w:left="1440" w:hanging="360"/>
      </w:pPr>
      <w:rPr>
        <w:rFonts w:ascii="Wingdings 2" w:hAnsi="Wingdings 2" w:hint="default"/>
      </w:rPr>
    </w:lvl>
    <w:lvl w:ilvl="2" w:tplc="AC360F56">
      <w:start w:val="1"/>
      <w:numFmt w:val="bullet"/>
      <w:lvlText w:val=""/>
      <w:lvlJc w:val="left"/>
      <w:pPr>
        <w:tabs>
          <w:tab w:val="num" w:pos="2160"/>
        </w:tabs>
        <w:ind w:left="2160" w:hanging="360"/>
      </w:pPr>
      <w:rPr>
        <w:rFonts w:ascii="Wingdings 2" w:hAnsi="Wingdings 2" w:hint="default"/>
      </w:rPr>
    </w:lvl>
    <w:lvl w:ilvl="3" w:tplc="9F16993E">
      <w:start w:val="1"/>
      <w:numFmt w:val="bullet"/>
      <w:lvlText w:val=""/>
      <w:lvlJc w:val="left"/>
      <w:pPr>
        <w:tabs>
          <w:tab w:val="num" w:pos="2880"/>
        </w:tabs>
        <w:ind w:left="2880" w:hanging="360"/>
      </w:pPr>
      <w:rPr>
        <w:rFonts w:ascii="Wingdings 2" w:hAnsi="Wingdings 2" w:hint="default"/>
      </w:rPr>
    </w:lvl>
    <w:lvl w:ilvl="4" w:tplc="5D202F22">
      <w:start w:val="1"/>
      <w:numFmt w:val="bullet"/>
      <w:lvlText w:val=""/>
      <w:lvlJc w:val="left"/>
      <w:pPr>
        <w:tabs>
          <w:tab w:val="num" w:pos="3600"/>
        </w:tabs>
        <w:ind w:left="3600" w:hanging="360"/>
      </w:pPr>
      <w:rPr>
        <w:rFonts w:ascii="Wingdings 2" w:hAnsi="Wingdings 2" w:hint="default"/>
      </w:rPr>
    </w:lvl>
    <w:lvl w:ilvl="5" w:tplc="94DADC20">
      <w:start w:val="1"/>
      <w:numFmt w:val="bullet"/>
      <w:lvlText w:val=""/>
      <w:lvlJc w:val="left"/>
      <w:pPr>
        <w:tabs>
          <w:tab w:val="num" w:pos="4320"/>
        </w:tabs>
        <w:ind w:left="4320" w:hanging="360"/>
      </w:pPr>
      <w:rPr>
        <w:rFonts w:ascii="Wingdings 2" w:hAnsi="Wingdings 2" w:hint="default"/>
      </w:rPr>
    </w:lvl>
    <w:lvl w:ilvl="6" w:tplc="5B868868">
      <w:start w:val="1"/>
      <w:numFmt w:val="bullet"/>
      <w:lvlText w:val=""/>
      <w:lvlJc w:val="left"/>
      <w:pPr>
        <w:tabs>
          <w:tab w:val="num" w:pos="5040"/>
        </w:tabs>
        <w:ind w:left="5040" w:hanging="360"/>
      </w:pPr>
      <w:rPr>
        <w:rFonts w:ascii="Wingdings 2" w:hAnsi="Wingdings 2" w:hint="default"/>
      </w:rPr>
    </w:lvl>
    <w:lvl w:ilvl="7" w:tplc="5E2E877C">
      <w:start w:val="1"/>
      <w:numFmt w:val="bullet"/>
      <w:lvlText w:val=""/>
      <w:lvlJc w:val="left"/>
      <w:pPr>
        <w:tabs>
          <w:tab w:val="num" w:pos="5760"/>
        </w:tabs>
        <w:ind w:left="5760" w:hanging="360"/>
      </w:pPr>
      <w:rPr>
        <w:rFonts w:ascii="Wingdings 2" w:hAnsi="Wingdings 2" w:hint="default"/>
      </w:rPr>
    </w:lvl>
    <w:lvl w:ilvl="8" w:tplc="2B40C056">
      <w:start w:val="1"/>
      <w:numFmt w:val="bullet"/>
      <w:lvlText w:val=""/>
      <w:lvlJc w:val="left"/>
      <w:pPr>
        <w:tabs>
          <w:tab w:val="num" w:pos="6480"/>
        </w:tabs>
        <w:ind w:left="6480" w:hanging="360"/>
      </w:pPr>
      <w:rPr>
        <w:rFonts w:ascii="Wingdings 2" w:hAnsi="Wingdings 2" w:hint="default"/>
      </w:rPr>
    </w:lvl>
  </w:abstractNum>
  <w:abstractNum w:abstractNumId="227">
    <w:nsid w:val="68AA17D4"/>
    <w:multiLevelType w:val="hybridMultilevel"/>
    <w:tmpl w:val="AE8A5620"/>
    <w:lvl w:ilvl="0" w:tplc="75C22320">
      <w:start w:val="1"/>
      <w:numFmt w:val="bullet"/>
      <w:lvlText w:val="•"/>
      <w:lvlJc w:val="left"/>
      <w:pPr>
        <w:tabs>
          <w:tab w:val="num" w:pos="1260"/>
        </w:tabs>
        <w:ind w:left="1260" w:hanging="360"/>
      </w:pPr>
      <w:rPr>
        <w:rFonts w:ascii="Times New Roman" w:hAnsi="Times New Roman" w:hint="default"/>
      </w:rPr>
    </w:lvl>
    <w:lvl w:ilvl="1" w:tplc="DE4CABD2" w:tentative="1">
      <w:start w:val="1"/>
      <w:numFmt w:val="bullet"/>
      <w:lvlText w:val="•"/>
      <w:lvlJc w:val="left"/>
      <w:pPr>
        <w:tabs>
          <w:tab w:val="num" w:pos="1980"/>
        </w:tabs>
        <w:ind w:left="1980" w:hanging="360"/>
      </w:pPr>
      <w:rPr>
        <w:rFonts w:ascii="Times New Roman" w:hAnsi="Times New Roman" w:hint="default"/>
      </w:rPr>
    </w:lvl>
    <w:lvl w:ilvl="2" w:tplc="4008CC60" w:tentative="1">
      <w:start w:val="1"/>
      <w:numFmt w:val="bullet"/>
      <w:lvlText w:val="•"/>
      <w:lvlJc w:val="left"/>
      <w:pPr>
        <w:tabs>
          <w:tab w:val="num" w:pos="2700"/>
        </w:tabs>
        <w:ind w:left="2700" w:hanging="360"/>
      </w:pPr>
      <w:rPr>
        <w:rFonts w:ascii="Times New Roman" w:hAnsi="Times New Roman" w:hint="default"/>
      </w:rPr>
    </w:lvl>
    <w:lvl w:ilvl="3" w:tplc="F342D49A" w:tentative="1">
      <w:start w:val="1"/>
      <w:numFmt w:val="bullet"/>
      <w:lvlText w:val="•"/>
      <w:lvlJc w:val="left"/>
      <w:pPr>
        <w:tabs>
          <w:tab w:val="num" w:pos="3420"/>
        </w:tabs>
        <w:ind w:left="3420" w:hanging="360"/>
      </w:pPr>
      <w:rPr>
        <w:rFonts w:ascii="Times New Roman" w:hAnsi="Times New Roman" w:hint="default"/>
      </w:rPr>
    </w:lvl>
    <w:lvl w:ilvl="4" w:tplc="B7DC211C" w:tentative="1">
      <w:start w:val="1"/>
      <w:numFmt w:val="bullet"/>
      <w:lvlText w:val="•"/>
      <w:lvlJc w:val="left"/>
      <w:pPr>
        <w:tabs>
          <w:tab w:val="num" w:pos="4140"/>
        </w:tabs>
        <w:ind w:left="4140" w:hanging="360"/>
      </w:pPr>
      <w:rPr>
        <w:rFonts w:ascii="Times New Roman" w:hAnsi="Times New Roman" w:hint="default"/>
      </w:rPr>
    </w:lvl>
    <w:lvl w:ilvl="5" w:tplc="8DFEF61C" w:tentative="1">
      <w:start w:val="1"/>
      <w:numFmt w:val="bullet"/>
      <w:lvlText w:val="•"/>
      <w:lvlJc w:val="left"/>
      <w:pPr>
        <w:tabs>
          <w:tab w:val="num" w:pos="4860"/>
        </w:tabs>
        <w:ind w:left="4860" w:hanging="360"/>
      </w:pPr>
      <w:rPr>
        <w:rFonts w:ascii="Times New Roman" w:hAnsi="Times New Roman" w:hint="default"/>
      </w:rPr>
    </w:lvl>
    <w:lvl w:ilvl="6" w:tplc="2A543998" w:tentative="1">
      <w:start w:val="1"/>
      <w:numFmt w:val="bullet"/>
      <w:lvlText w:val="•"/>
      <w:lvlJc w:val="left"/>
      <w:pPr>
        <w:tabs>
          <w:tab w:val="num" w:pos="5580"/>
        </w:tabs>
        <w:ind w:left="5580" w:hanging="360"/>
      </w:pPr>
      <w:rPr>
        <w:rFonts w:ascii="Times New Roman" w:hAnsi="Times New Roman" w:hint="default"/>
      </w:rPr>
    </w:lvl>
    <w:lvl w:ilvl="7" w:tplc="F18E56A4" w:tentative="1">
      <w:start w:val="1"/>
      <w:numFmt w:val="bullet"/>
      <w:lvlText w:val="•"/>
      <w:lvlJc w:val="left"/>
      <w:pPr>
        <w:tabs>
          <w:tab w:val="num" w:pos="6300"/>
        </w:tabs>
        <w:ind w:left="6300" w:hanging="360"/>
      </w:pPr>
      <w:rPr>
        <w:rFonts w:ascii="Times New Roman" w:hAnsi="Times New Roman" w:hint="default"/>
      </w:rPr>
    </w:lvl>
    <w:lvl w:ilvl="8" w:tplc="46D4815E" w:tentative="1">
      <w:start w:val="1"/>
      <w:numFmt w:val="bullet"/>
      <w:lvlText w:val="•"/>
      <w:lvlJc w:val="left"/>
      <w:pPr>
        <w:tabs>
          <w:tab w:val="num" w:pos="7020"/>
        </w:tabs>
        <w:ind w:left="7020" w:hanging="360"/>
      </w:pPr>
      <w:rPr>
        <w:rFonts w:ascii="Times New Roman" w:hAnsi="Times New Roman" w:hint="default"/>
      </w:rPr>
    </w:lvl>
  </w:abstractNum>
  <w:abstractNum w:abstractNumId="228">
    <w:nsid w:val="6C635D1C"/>
    <w:multiLevelType w:val="multilevel"/>
    <w:tmpl w:val="EAA42C3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9">
    <w:nsid w:val="6CDD2E17"/>
    <w:multiLevelType w:val="hybridMultilevel"/>
    <w:tmpl w:val="5E9E2FDC"/>
    <w:lvl w:ilvl="0" w:tplc="73B4236E">
      <w:start w:val="1"/>
      <w:numFmt w:val="bullet"/>
      <w:lvlText w:val=""/>
      <w:lvlJc w:val="left"/>
      <w:pPr>
        <w:ind w:left="720" w:hanging="360"/>
      </w:pPr>
      <w:rPr>
        <w:rFonts w:ascii="Symbol" w:hAnsi="Symbol" w:hint="default"/>
        <w:sz w:val="24"/>
        <w:szCs w:val="24"/>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0">
    <w:nsid w:val="6D372C70"/>
    <w:multiLevelType w:val="multilevel"/>
    <w:tmpl w:val="E042F07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31">
    <w:nsid w:val="6D87227B"/>
    <w:multiLevelType w:val="multilevel"/>
    <w:tmpl w:val="045A28B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360" w:hanging="360"/>
      </w:pPr>
      <w:rPr>
        <w:rFonts w:ascii="Courier New" w:eastAsia="Courier New" w:hAnsi="Courier New" w:cs="Courier New"/>
        <w:vertAlign w:val="baseline"/>
      </w:rPr>
    </w:lvl>
    <w:lvl w:ilvl="2">
      <w:start w:val="1"/>
      <w:numFmt w:val="bullet"/>
      <w:lvlText w:val="▪"/>
      <w:lvlJc w:val="left"/>
      <w:pPr>
        <w:ind w:left="108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o"/>
      <w:lvlJc w:val="left"/>
      <w:pPr>
        <w:ind w:left="2520" w:hanging="360"/>
      </w:pPr>
      <w:rPr>
        <w:rFonts w:ascii="Courier New" w:eastAsia="Courier New" w:hAnsi="Courier New" w:cs="Courier New"/>
        <w:vertAlign w:val="baseline"/>
      </w:rPr>
    </w:lvl>
    <w:lvl w:ilvl="5">
      <w:start w:val="1"/>
      <w:numFmt w:val="bullet"/>
      <w:lvlText w:val="▪"/>
      <w:lvlJc w:val="left"/>
      <w:pPr>
        <w:ind w:left="3240" w:hanging="360"/>
      </w:pPr>
      <w:rPr>
        <w:rFonts w:ascii="Noto Sans Symbols" w:eastAsia="Noto Sans Symbols" w:hAnsi="Noto Sans Symbols" w:cs="Noto Sans Symbols"/>
        <w:vertAlign w:val="baseline"/>
      </w:rPr>
    </w:lvl>
    <w:lvl w:ilvl="6">
      <w:start w:val="1"/>
      <w:numFmt w:val="bullet"/>
      <w:lvlText w:val="●"/>
      <w:lvlJc w:val="left"/>
      <w:pPr>
        <w:ind w:left="3960" w:hanging="360"/>
      </w:pPr>
      <w:rPr>
        <w:rFonts w:ascii="Noto Sans Symbols" w:eastAsia="Noto Sans Symbols" w:hAnsi="Noto Sans Symbols" w:cs="Noto Sans Symbols"/>
        <w:vertAlign w:val="baseline"/>
      </w:rPr>
    </w:lvl>
    <w:lvl w:ilvl="7">
      <w:start w:val="1"/>
      <w:numFmt w:val="bullet"/>
      <w:lvlText w:val="o"/>
      <w:lvlJc w:val="left"/>
      <w:pPr>
        <w:ind w:left="4680" w:hanging="360"/>
      </w:pPr>
      <w:rPr>
        <w:rFonts w:ascii="Courier New" w:eastAsia="Courier New" w:hAnsi="Courier New" w:cs="Courier New"/>
        <w:vertAlign w:val="baseline"/>
      </w:rPr>
    </w:lvl>
    <w:lvl w:ilvl="8">
      <w:start w:val="1"/>
      <w:numFmt w:val="bullet"/>
      <w:lvlText w:val="▪"/>
      <w:lvlJc w:val="left"/>
      <w:pPr>
        <w:ind w:left="5400" w:hanging="360"/>
      </w:pPr>
      <w:rPr>
        <w:rFonts w:ascii="Noto Sans Symbols" w:eastAsia="Noto Sans Symbols" w:hAnsi="Noto Sans Symbols" w:cs="Noto Sans Symbols"/>
        <w:vertAlign w:val="baseline"/>
      </w:rPr>
    </w:lvl>
  </w:abstractNum>
  <w:abstractNum w:abstractNumId="232">
    <w:nsid w:val="6DAF1DEA"/>
    <w:multiLevelType w:val="multilevel"/>
    <w:tmpl w:val="86E2F8D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33">
    <w:nsid w:val="6E586C8E"/>
    <w:multiLevelType w:val="hybridMultilevel"/>
    <w:tmpl w:val="154ED9D4"/>
    <w:lvl w:ilvl="0" w:tplc="0409000B">
      <w:start w:val="1"/>
      <w:numFmt w:val="bullet"/>
      <w:lvlText w:val=""/>
      <w:lvlJc w:val="left"/>
      <w:pPr>
        <w:ind w:left="720" w:hanging="360"/>
      </w:pPr>
      <w:rPr>
        <w:rFonts w:ascii="Wingdings" w:hAnsi="Wingdings"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nsid w:val="6F142B5E"/>
    <w:multiLevelType w:val="hybridMultilevel"/>
    <w:tmpl w:val="AB64C5FA"/>
    <w:lvl w:ilvl="0" w:tplc="5E041BD8">
      <w:numFmt w:val="bullet"/>
      <w:lvlText w:val="-"/>
      <w:lvlJc w:val="left"/>
      <w:pPr>
        <w:tabs>
          <w:tab w:val="num" w:pos="720"/>
        </w:tabs>
        <w:ind w:left="720" w:hanging="360"/>
      </w:pPr>
      <w:rPr>
        <w:rFonts w:ascii="Calibri" w:eastAsia="Times New Roman" w:hAnsi="Calibri"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35">
    <w:nsid w:val="6FE450B2"/>
    <w:multiLevelType w:val="hybridMultilevel"/>
    <w:tmpl w:val="5290E9BC"/>
    <w:lvl w:ilvl="0" w:tplc="70644274">
      <w:numFmt w:val="bullet"/>
      <w:lvlText w:val=""/>
      <w:lvlJc w:val="left"/>
      <w:pPr>
        <w:ind w:left="720" w:hanging="360"/>
      </w:pPr>
      <w:rPr>
        <w:rFonts w:ascii="Wingdings" w:hAnsi="Wingdings" w:hint="default"/>
        <w:b w:val="0"/>
        <w:color w:val="00008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6">
    <w:nsid w:val="701A5C81"/>
    <w:multiLevelType w:val="hybridMultilevel"/>
    <w:tmpl w:val="1A3E23B0"/>
    <w:lvl w:ilvl="0" w:tplc="04180001">
      <w:start w:val="1"/>
      <w:numFmt w:val="bullet"/>
      <w:lvlText w:val=""/>
      <w:lvlJc w:val="left"/>
      <w:pPr>
        <w:ind w:left="1146" w:hanging="360"/>
      </w:pPr>
      <w:rPr>
        <w:rFonts w:ascii="Symbol" w:hAnsi="Symbol" w:hint="default"/>
        <w:color w:val="000080"/>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237">
    <w:nsid w:val="70320EF5"/>
    <w:multiLevelType w:val="hybridMultilevel"/>
    <w:tmpl w:val="E5580776"/>
    <w:lvl w:ilvl="0" w:tplc="C4A4653A">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38">
    <w:nsid w:val="704F4EF2"/>
    <w:multiLevelType w:val="hybridMultilevel"/>
    <w:tmpl w:val="D1DEB52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9">
    <w:nsid w:val="70A23F17"/>
    <w:multiLevelType w:val="multilevel"/>
    <w:tmpl w:val="4C4EBC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0">
    <w:nsid w:val="711929D5"/>
    <w:multiLevelType w:val="hybridMultilevel"/>
    <w:tmpl w:val="44A87286"/>
    <w:lvl w:ilvl="0" w:tplc="04090001">
      <w:start w:val="1"/>
      <w:numFmt w:val="bullet"/>
      <w:lvlText w:val=""/>
      <w:lvlJc w:val="left"/>
      <w:pPr>
        <w:ind w:left="1020" w:hanging="360"/>
      </w:pPr>
      <w:rPr>
        <w:rFonts w:ascii="Symbol" w:hAnsi="Symbol" w:cs="Symbol" w:hint="default"/>
      </w:rPr>
    </w:lvl>
    <w:lvl w:ilvl="1" w:tplc="04090003">
      <w:start w:val="1"/>
      <w:numFmt w:val="bullet"/>
      <w:lvlText w:val="o"/>
      <w:lvlJc w:val="left"/>
      <w:pPr>
        <w:ind w:left="1740" w:hanging="360"/>
      </w:pPr>
      <w:rPr>
        <w:rFonts w:ascii="Courier New" w:hAnsi="Courier New" w:cs="Courier New" w:hint="default"/>
      </w:rPr>
    </w:lvl>
    <w:lvl w:ilvl="2" w:tplc="04090005">
      <w:start w:val="1"/>
      <w:numFmt w:val="bullet"/>
      <w:lvlText w:val=""/>
      <w:lvlJc w:val="left"/>
      <w:pPr>
        <w:ind w:left="2460" w:hanging="360"/>
      </w:pPr>
      <w:rPr>
        <w:rFonts w:ascii="Wingdings" w:hAnsi="Wingdings" w:cs="Wingdings" w:hint="default"/>
      </w:rPr>
    </w:lvl>
    <w:lvl w:ilvl="3" w:tplc="04090001">
      <w:start w:val="1"/>
      <w:numFmt w:val="bullet"/>
      <w:lvlText w:val=""/>
      <w:lvlJc w:val="left"/>
      <w:pPr>
        <w:ind w:left="3180" w:hanging="360"/>
      </w:pPr>
      <w:rPr>
        <w:rFonts w:ascii="Symbol" w:hAnsi="Symbol" w:cs="Symbol" w:hint="default"/>
      </w:rPr>
    </w:lvl>
    <w:lvl w:ilvl="4" w:tplc="04090003">
      <w:start w:val="1"/>
      <w:numFmt w:val="bullet"/>
      <w:lvlText w:val="o"/>
      <w:lvlJc w:val="left"/>
      <w:pPr>
        <w:ind w:left="3900" w:hanging="360"/>
      </w:pPr>
      <w:rPr>
        <w:rFonts w:ascii="Courier New" w:hAnsi="Courier New" w:cs="Courier New" w:hint="default"/>
      </w:rPr>
    </w:lvl>
    <w:lvl w:ilvl="5" w:tplc="04090005">
      <w:start w:val="1"/>
      <w:numFmt w:val="bullet"/>
      <w:lvlText w:val=""/>
      <w:lvlJc w:val="left"/>
      <w:pPr>
        <w:ind w:left="4620" w:hanging="360"/>
      </w:pPr>
      <w:rPr>
        <w:rFonts w:ascii="Wingdings" w:hAnsi="Wingdings" w:cs="Wingdings" w:hint="default"/>
      </w:rPr>
    </w:lvl>
    <w:lvl w:ilvl="6" w:tplc="04090001">
      <w:start w:val="1"/>
      <w:numFmt w:val="bullet"/>
      <w:lvlText w:val=""/>
      <w:lvlJc w:val="left"/>
      <w:pPr>
        <w:ind w:left="5340" w:hanging="360"/>
      </w:pPr>
      <w:rPr>
        <w:rFonts w:ascii="Symbol" w:hAnsi="Symbol" w:cs="Symbol" w:hint="default"/>
      </w:rPr>
    </w:lvl>
    <w:lvl w:ilvl="7" w:tplc="04090003">
      <w:start w:val="1"/>
      <w:numFmt w:val="bullet"/>
      <w:lvlText w:val="o"/>
      <w:lvlJc w:val="left"/>
      <w:pPr>
        <w:ind w:left="6060" w:hanging="360"/>
      </w:pPr>
      <w:rPr>
        <w:rFonts w:ascii="Courier New" w:hAnsi="Courier New" w:cs="Courier New" w:hint="default"/>
      </w:rPr>
    </w:lvl>
    <w:lvl w:ilvl="8" w:tplc="04090005">
      <w:start w:val="1"/>
      <w:numFmt w:val="bullet"/>
      <w:lvlText w:val=""/>
      <w:lvlJc w:val="left"/>
      <w:pPr>
        <w:ind w:left="6780" w:hanging="360"/>
      </w:pPr>
      <w:rPr>
        <w:rFonts w:ascii="Wingdings" w:hAnsi="Wingdings" w:cs="Wingdings" w:hint="default"/>
      </w:rPr>
    </w:lvl>
  </w:abstractNum>
  <w:abstractNum w:abstractNumId="241">
    <w:nsid w:val="729338E4"/>
    <w:multiLevelType w:val="multilevel"/>
    <w:tmpl w:val="77BCF11A"/>
    <w:lvl w:ilvl="0">
      <w:start w:val="5"/>
      <w:numFmt w:val="decimal"/>
      <w:lvlText w:val="%1"/>
      <w:lvlJc w:val="left"/>
      <w:pPr>
        <w:ind w:left="360" w:hanging="360"/>
      </w:pPr>
      <w:rPr>
        <w:rFonts w:hint="default"/>
        <w:b/>
        <w:i w:val="0"/>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42">
    <w:nsid w:val="72C836EB"/>
    <w:multiLevelType w:val="hybridMultilevel"/>
    <w:tmpl w:val="4C12B65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3">
    <w:nsid w:val="72EA5BB1"/>
    <w:multiLevelType w:val="hybridMultilevel"/>
    <w:tmpl w:val="A1025BD6"/>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44">
    <w:nsid w:val="72ED333C"/>
    <w:multiLevelType w:val="hybridMultilevel"/>
    <w:tmpl w:val="DF160476"/>
    <w:lvl w:ilvl="0" w:tplc="08090001">
      <w:start w:val="1"/>
      <w:numFmt w:val="bullet"/>
      <w:lvlText w:val=""/>
      <w:lvlJc w:val="left"/>
      <w:pPr>
        <w:tabs>
          <w:tab w:val="num" w:pos="720"/>
        </w:tabs>
        <w:ind w:left="720" w:hanging="360"/>
      </w:pPr>
      <w:rPr>
        <w:rFonts w:ascii="Symbol" w:hAnsi="Symbol" w:hint="default"/>
      </w:rPr>
    </w:lvl>
    <w:lvl w:ilvl="1" w:tplc="7CDA3C48">
      <w:numFmt w:val="bullet"/>
      <w:lvlText w:val="-"/>
      <w:lvlJc w:val="left"/>
      <w:pPr>
        <w:tabs>
          <w:tab w:val="num" w:pos="1440"/>
        </w:tabs>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5">
    <w:nsid w:val="736660C5"/>
    <w:multiLevelType w:val="hybridMultilevel"/>
    <w:tmpl w:val="84320D62"/>
    <w:lvl w:ilvl="0" w:tplc="04180001">
      <w:start w:val="1"/>
      <w:numFmt w:val="bullet"/>
      <w:lvlText w:val=""/>
      <w:lvlJc w:val="left"/>
      <w:pPr>
        <w:ind w:left="720" w:hanging="360"/>
      </w:pPr>
      <w:rPr>
        <w:rFonts w:ascii="Symbol" w:hAnsi="Symbol" w:hint="default"/>
      </w:rPr>
    </w:lvl>
    <w:lvl w:ilvl="1" w:tplc="04180001">
      <w:start w:val="1"/>
      <w:numFmt w:val="bullet"/>
      <w:lvlText w:val=""/>
      <w:lvlJc w:val="left"/>
      <w:pPr>
        <w:ind w:left="1440" w:hanging="360"/>
      </w:pPr>
      <w:rPr>
        <w:rFonts w:ascii="Symbol" w:hAnsi="Symbo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6">
    <w:nsid w:val="73D222FF"/>
    <w:multiLevelType w:val="hybridMultilevel"/>
    <w:tmpl w:val="943A0796"/>
    <w:lvl w:ilvl="0" w:tplc="764A93FE">
      <w:start w:val="1"/>
      <w:numFmt w:val="bullet"/>
      <w:lvlText w:val=""/>
      <w:lvlJc w:val="left"/>
      <w:pPr>
        <w:ind w:left="502" w:hanging="360"/>
      </w:pPr>
      <w:rPr>
        <w:rFonts w:ascii="Wingdings" w:hAnsi="Wingdings" w:hint="default"/>
        <w:strike w:val="0"/>
        <w:color w:val="000000" w:themeColor="text1"/>
      </w:rPr>
    </w:lvl>
    <w:lvl w:ilvl="1" w:tplc="04180003" w:tentative="1">
      <w:start w:val="1"/>
      <w:numFmt w:val="bullet"/>
      <w:lvlText w:val="o"/>
      <w:lvlJc w:val="left"/>
      <w:pPr>
        <w:ind w:left="1497" w:hanging="360"/>
      </w:pPr>
      <w:rPr>
        <w:rFonts w:ascii="Courier New" w:hAnsi="Courier New" w:cs="Courier New" w:hint="default"/>
      </w:rPr>
    </w:lvl>
    <w:lvl w:ilvl="2" w:tplc="04180005" w:tentative="1">
      <w:start w:val="1"/>
      <w:numFmt w:val="bullet"/>
      <w:lvlText w:val=""/>
      <w:lvlJc w:val="left"/>
      <w:pPr>
        <w:ind w:left="2217" w:hanging="360"/>
      </w:pPr>
      <w:rPr>
        <w:rFonts w:ascii="Wingdings" w:hAnsi="Wingdings" w:hint="default"/>
      </w:rPr>
    </w:lvl>
    <w:lvl w:ilvl="3" w:tplc="04180001" w:tentative="1">
      <w:start w:val="1"/>
      <w:numFmt w:val="bullet"/>
      <w:lvlText w:val=""/>
      <w:lvlJc w:val="left"/>
      <w:pPr>
        <w:ind w:left="2937" w:hanging="360"/>
      </w:pPr>
      <w:rPr>
        <w:rFonts w:ascii="Symbol" w:hAnsi="Symbol" w:hint="default"/>
      </w:rPr>
    </w:lvl>
    <w:lvl w:ilvl="4" w:tplc="04180003" w:tentative="1">
      <w:start w:val="1"/>
      <w:numFmt w:val="bullet"/>
      <w:lvlText w:val="o"/>
      <w:lvlJc w:val="left"/>
      <w:pPr>
        <w:ind w:left="3657" w:hanging="360"/>
      </w:pPr>
      <w:rPr>
        <w:rFonts w:ascii="Courier New" w:hAnsi="Courier New" w:cs="Courier New" w:hint="default"/>
      </w:rPr>
    </w:lvl>
    <w:lvl w:ilvl="5" w:tplc="04180005" w:tentative="1">
      <w:start w:val="1"/>
      <w:numFmt w:val="bullet"/>
      <w:lvlText w:val=""/>
      <w:lvlJc w:val="left"/>
      <w:pPr>
        <w:ind w:left="4377" w:hanging="360"/>
      </w:pPr>
      <w:rPr>
        <w:rFonts w:ascii="Wingdings" w:hAnsi="Wingdings" w:hint="default"/>
      </w:rPr>
    </w:lvl>
    <w:lvl w:ilvl="6" w:tplc="04180001" w:tentative="1">
      <w:start w:val="1"/>
      <w:numFmt w:val="bullet"/>
      <w:lvlText w:val=""/>
      <w:lvlJc w:val="left"/>
      <w:pPr>
        <w:ind w:left="5097" w:hanging="360"/>
      </w:pPr>
      <w:rPr>
        <w:rFonts w:ascii="Symbol" w:hAnsi="Symbol" w:hint="default"/>
      </w:rPr>
    </w:lvl>
    <w:lvl w:ilvl="7" w:tplc="04180003" w:tentative="1">
      <w:start w:val="1"/>
      <w:numFmt w:val="bullet"/>
      <w:lvlText w:val="o"/>
      <w:lvlJc w:val="left"/>
      <w:pPr>
        <w:ind w:left="5817" w:hanging="360"/>
      </w:pPr>
      <w:rPr>
        <w:rFonts w:ascii="Courier New" w:hAnsi="Courier New" w:cs="Courier New" w:hint="default"/>
      </w:rPr>
    </w:lvl>
    <w:lvl w:ilvl="8" w:tplc="04180005" w:tentative="1">
      <w:start w:val="1"/>
      <w:numFmt w:val="bullet"/>
      <w:lvlText w:val=""/>
      <w:lvlJc w:val="left"/>
      <w:pPr>
        <w:ind w:left="6537" w:hanging="360"/>
      </w:pPr>
      <w:rPr>
        <w:rFonts w:ascii="Wingdings" w:hAnsi="Wingdings" w:hint="default"/>
      </w:rPr>
    </w:lvl>
  </w:abstractNum>
  <w:abstractNum w:abstractNumId="247">
    <w:nsid w:val="741B0FB9"/>
    <w:multiLevelType w:val="hybridMultilevel"/>
    <w:tmpl w:val="D7D49BF6"/>
    <w:lvl w:ilvl="0" w:tplc="4E7A03B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nsid w:val="748431FD"/>
    <w:multiLevelType w:val="hybridMultilevel"/>
    <w:tmpl w:val="FDFEBE0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9">
    <w:nsid w:val="755A3EEF"/>
    <w:multiLevelType w:val="hybridMultilevel"/>
    <w:tmpl w:val="A3D4A6E8"/>
    <w:lvl w:ilvl="0" w:tplc="04180007">
      <w:start w:val="1"/>
      <w:numFmt w:val="bullet"/>
      <w:lvlText w:val=""/>
      <w:lvlPicBulletId w:val="0"/>
      <w:lvlJc w:val="left"/>
      <w:pPr>
        <w:ind w:left="1146" w:hanging="360"/>
      </w:pPr>
      <w:rPr>
        <w:rFonts w:ascii="Symbol" w:hAnsi="Symbol" w:hint="default"/>
        <w:color w:val="000080"/>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250">
    <w:nsid w:val="757C64E7"/>
    <w:multiLevelType w:val="hybridMultilevel"/>
    <w:tmpl w:val="98F46750"/>
    <w:lvl w:ilvl="0" w:tplc="31FE5D08">
      <w:numFmt w:val="bullet"/>
      <w:lvlText w:val="-"/>
      <w:lvlJc w:val="left"/>
      <w:pPr>
        <w:ind w:left="1068" w:hanging="360"/>
      </w:pPr>
      <w:rPr>
        <w:rFonts w:ascii="Calibri" w:eastAsia="Calibri" w:hAnsi="Calibri" w:cs="Calibri" w:hint="default"/>
      </w:rPr>
    </w:lvl>
    <w:lvl w:ilvl="1" w:tplc="04180003">
      <w:start w:val="1"/>
      <w:numFmt w:val="bullet"/>
      <w:lvlText w:val="o"/>
      <w:lvlJc w:val="left"/>
      <w:pPr>
        <w:ind w:left="1788" w:hanging="360"/>
      </w:pPr>
      <w:rPr>
        <w:rFonts w:ascii="Courier New" w:hAnsi="Courier New" w:cs="Courier New" w:hint="default"/>
      </w:rPr>
    </w:lvl>
    <w:lvl w:ilvl="2" w:tplc="04180005">
      <w:start w:val="1"/>
      <w:numFmt w:val="bullet"/>
      <w:lvlText w:val=""/>
      <w:lvlJc w:val="left"/>
      <w:pPr>
        <w:ind w:left="2508" w:hanging="360"/>
      </w:pPr>
      <w:rPr>
        <w:rFonts w:ascii="Wingdings" w:hAnsi="Wingdings" w:hint="default"/>
      </w:rPr>
    </w:lvl>
    <w:lvl w:ilvl="3" w:tplc="04180001">
      <w:start w:val="1"/>
      <w:numFmt w:val="bullet"/>
      <w:lvlText w:val=""/>
      <w:lvlJc w:val="left"/>
      <w:pPr>
        <w:ind w:left="3228" w:hanging="360"/>
      </w:pPr>
      <w:rPr>
        <w:rFonts w:ascii="Symbol" w:hAnsi="Symbol" w:hint="default"/>
      </w:rPr>
    </w:lvl>
    <w:lvl w:ilvl="4" w:tplc="04180003">
      <w:start w:val="1"/>
      <w:numFmt w:val="bullet"/>
      <w:lvlText w:val="o"/>
      <w:lvlJc w:val="left"/>
      <w:pPr>
        <w:ind w:left="3948" w:hanging="360"/>
      </w:pPr>
      <w:rPr>
        <w:rFonts w:ascii="Courier New" w:hAnsi="Courier New" w:cs="Courier New" w:hint="default"/>
      </w:rPr>
    </w:lvl>
    <w:lvl w:ilvl="5" w:tplc="04180005">
      <w:start w:val="1"/>
      <w:numFmt w:val="bullet"/>
      <w:lvlText w:val=""/>
      <w:lvlJc w:val="left"/>
      <w:pPr>
        <w:ind w:left="4668" w:hanging="360"/>
      </w:pPr>
      <w:rPr>
        <w:rFonts w:ascii="Wingdings" w:hAnsi="Wingdings" w:hint="default"/>
      </w:rPr>
    </w:lvl>
    <w:lvl w:ilvl="6" w:tplc="04180001">
      <w:start w:val="1"/>
      <w:numFmt w:val="bullet"/>
      <w:lvlText w:val=""/>
      <w:lvlJc w:val="left"/>
      <w:pPr>
        <w:ind w:left="5388" w:hanging="360"/>
      </w:pPr>
      <w:rPr>
        <w:rFonts w:ascii="Symbol" w:hAnsi="Symbol" w:hint="default"/>
      </w:rPr>
    </w:lvl>
    <w:lvl w:ilvl="7" w:tplc="04180003">
      <w:start w:val="1"/>
      <w:numFmt w:val="bullet"/>
      <w:lvlText w:val="o"/>
      <w:lvlJc w:val="left"/>
      <w:pPr>
        <w:ind w:left="6108" w:hanging="360"/>
      </w:pPr>
      <w:rPr>
        <w:rFonts w:ascii="Courier New" w:hAnsi="Courier New" w:cs="Courier New" w:hint="default"/>
      </w:rPr>
    </w:lvl>
    <w:lvl w:ilvl="8" w:tplc="04180005">
      <w:start w:val="1"/>
      <w:numFmt w:val="bullet"/>
      <w:lvlText w:val=""/>
      <w:lvlJc w:val="left"/>
      <w:pPr>
        <w:ind w:left="6828" w:hanging="360"/>
      </w:pPr>
      <w:rPr>
        <w:rFonts w:ascii="Wingdings" w:hAnsi="Wingdings" w:hint="default"/>
      </w:rPr>
    </w:lvl>
  </w:abstractNum>
  <w:abstractNum w:abstractNumId="251">
    <w:nsid w:val="75D116F9"/>
    <w:multiLevelType w:val="hybridMultilevel"/>
    <w:tmpl w:val="2CAE8A64"/>
    <w:lvl w:ilvl="0" w:tplc="041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nsid w:val="76B97A07"/>
    <w:multiLevelType w:val="hybridMultilevel"/>
    <w:tmpl w:val="7640F472"/>
    <w:lvl w:ilvl="0" w:tplc="2544FE0C">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nsid w:val="76BE28CF"/>
    <w:multiLevelType w:val="hybridMultilevel"/>
    <w:tmpl w:val="0B785620"/>
    <w:lvl w:ilvl="0" w:tplc="7FFC55D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nsid w:val="77856C80"/>
    <w:multiLevelType w:val="hybridMultilevel"/>
    <w:tmpl w:val="4FC460B0"/>
    <w:lvl w:ilvl="0" w:tplc="D922742C">
      <w:start w:val="1"/>
      <w:numFmt w:val="bullet"/>
      <w:lvlText w:val="•"/>
      <w:lvlJc w:val="left"/>
      <w:pPr>
        <w:tabs>
          <w:tab w:val="num" w:pos="720"/>
        </w:tabs>
        <w:ind w:left="720" w:hanging="360"/>
      </w:pPr>
      <w:rPr>
        <w:rFonts w:ascii="Times New Roman" w:hAnsi="Times New Roman" w:hint="default"/>
      </w:rPr>
    </w:lvl>
    <w:lvl w:ilvl="1" w:tplc="5D4A39E2" w:tentative="1">
      <w:start w:val="1"/>
      <w:numFmt w:val="bullet"/>
      <w:lvlText w:val="•"/>
      <w:lvlJc w:val="left"/>
      <w:pPr>
        <w:tabs>
          <w:tab w:val="num" w:pos="1440"/>
        </w:tabs>
        <w:ind w:left="1440" w:hanging="360"/>
      </w:pPr>
      <w:rPr>
        <w:rFonts w:ascii="Times New Roman" w:hAnsi="Times New Roman" w:hint="default"/>
      </w:rPr>
    </w:lvl>
    <w:lvl w:ilvl="2" w:tplc="EB8857B6" w:tentative="1">
      <w:start w:val="1"/>
      <w:numFmt w:val="bullet"/>
      <w:lvlText w:val="•"/>
      <w:lvlJc w:val="left"/>
      <w:pPr>
        <w:tabs>
          <w:tab w:val="num" w:pos="2160"/>
        </w:tabs>
        <w:ind w:left="2160" w:hanging="360"/>
      </w:pPr>
      <w:rPr>
        <w:rFonts w:ascii="Times New Roman" w:hAnsi="Times New Roman" w:hint="default"/>
      </w:rPr>
    </w:lvl>
    <w:lvl w:ilvl="3" w:tplc="5C780506" w:tentative="1">
      <w:start w:val="1"/>
      <w:numFmt w:val="bullet"/>
      <w:lvlText w:val="•"/>
      <w:lvlJc w:val="left"/>
      <w:pPr>
        <w:tabs>
          <w:tab w:val="num" w:pos="2880"/>
        </w:tabs>
        <w:ind w:left="2880" w:hanging="360"/>
      </w:pPr>
      <w:rPr>
        <w:rFonts w:ascii="Times New Roman" w:hAnsi="Times New Roman" w:hint="default"/>
      </w:rPr>
    </w:lvl>
    <w:lvl w:ilvl="4" w:tplc="F2565880" w:tentative="1">
      <w:start w:val="1"/>
      <w:numFmt w:val="bullet"/>
      <w:lvlText w:val="•"/>
      <w:lvlJc w:val="left"/>
      <w:pPr>
        <w:tabs>
          <w:tab w:val="num" w:pos="3600"/>
        </w:tabs>
        <w:ind w:left="3600" w:hanging="360"/>
      </w:pPr>
      <w:rPr>
        <w:rFonts w:ascii="Times New Roman" w:hAnsi="Times New Roman" w:hint="default"/>
      </w:rPr>
    </w:lvl>
    <w:lvl w:ilvl="5" w:tplc="947619EE" w:tentative="1">
      <w:start w:val="1"/>
      <w:numFmt w:val="bullet"/>
      <w:lvlText w:val="•"/>
      <w:lvlJc w:val="left"/>
      <w:pPr>
        <w:tabs>
          <w:tab w:val="num" w:pos="4320"/>
        </w:tabs>
        <w:ind w:left="4320" w:hanging="360"/>
      </w:pPr>
      <w:rPr>
        <w:rFonts w:ascii="Times New Roman" w:hAnsi="Times New Roman" w:hint="default"/>
      </w:rPr>
    </w:lvl>
    <w:lvl w:ilvl="6" w:tplc="054EEE78" w:tentative="1">
      <w:start w:val="1"/>
      <w:numFmt w:val="bullet"/>
      <w:lvlText w:val="•"/>
      <w:lvlJc w:val="left"/>
      <w:pPr>
        <w:tabs>
          <w:tab w:val="num" w:pos="5040"/>
        </w:tabs>
        <w:ind w:left="5040" w:hanging="360"/>
      </w:pPr>
      <w:rPr>
        <w:rFonts w:ascii="Times New Roman" w:hAnsi="Times New Roman" w:hint="default"/>
      </w:rPr>
    </w:lvl>
    <w:lvl w:ilvl="7" w:tplc="0726BA36" w:tentative="1">
      <w:start w:val="1"/>
      <w:numFmt w:val="bullet"/>
      <w:lvlText w:val="•"/>
      <w:lvlJc w:val="left"/>
      <w:pPr>
        <w:tabs>
          <w:tab w:val="num" w:pos="5760"/>
        </w:tabs>
        <w:ind w:left="5760" w:hanging="360"/>
      </w:pPr>
      <w:rPr>
        <w:rFonts w:ascii="Times New Roman" w:hAnsi="Times New Roman" w:hint="default"/>
      </w:rPr>
    </w:lvl>
    <w:lvl w:ilvl="8" w:tplc="4A308790" w:tentative="1">
      <w:start w:val="1"/>
      <w:numFmt w:val="bullet"/>
      <w:lvlText w:val="•"/>
      <w:lvlJc w:val="left"/>
      <w:pPr>
        <w:tabs>
          <w:tab w:val="num" w:pos="6480"/>
        </w:tabs>
        <w:ind w:left="6480" w:hanging="360"/>
      </w:pPr>
      <w:rPr>
        <w:rFonts w:ascii="Times New Roman" w:hAnsi="Times New Roman" w:hint="default"/>
      </w:rPr>
    </w:lvl>
  </w:abstractNum>
  <w:abstractNum w:abstractNumId="255">
    <w:nsid w:val="79951EE1"/>
    <w:multiLevelType w:val="hybridMultilevel"/>
    <w:tmpl w:val="92589DAA"/>
    <w:lvl w:ilvl="0" w:tplc="04180001">
      <w:start w:val="1"/>
      <w:numFmt w:val="bullet"/>
      <w:lvlText w:val=""/>
      <w:lvlJc w:val="left"/>
      <w:pPr>
        <w:ind w:left="1440" w:hanging="360"/>
      </w:pPr>
      <w:rPr>
        <w:rFonts w:ascii="Symbol" w:hAnsi="Symbol" w:hint="default"/>
        <w:b w:val="0"/>
        <w:color w:val="000080"/>
        <w:sz w:val="24"/>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56">
    <w:nsid w:val="7A735F00"/>
    <w:multiLevelType w:val="hybridMultilevel"/>
    <w:tmpl w:val="DFF8BE5C"/>
    <w:lvl w:ilvl="0" w:tplc="04180001">
      <w:start w:val="1"/>
      <w:numFmt w:val="bullet"/>
      <w:lvlText w:val=""/>
      <w:lvlJc w:val="left"/>
      <w:pPr>
        <w:ind w:left="786" w:hanging="360"/>
      </w:pPr>
      <w:rPr>
        <w:rFonts w:ascii="Symbol" w:hAnsi="Symbol" w:hint="default"/>
        <w:b w:val="0"/>
        <w:color w:val="000080"/>
        <w:sz w:val="24"/>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57">
    <w:nsid w:val="7A7C4798"/>
    <w:multiLevelType w:val="hybridMultilevel"/>
    <w:tmpl w:val="A7DE944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58">
    <w:nsid w:val="7A957F4F"/>
    <w:multiLevelType w:val="hybridMultilevel"/>
    <w:tmpl w:val="81FAD04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9">
    <w:nsid w:val="7B136D01"/>
    <w:multiLevelType w:val="hybridMultilevel"/>
    <w:tmpl w:val="25325686"/>
    <w:lvl w:ilvl="0" w:tplc="0E3C60BC">
      <w:start w:val="1"/>
      <w:numFmt w:val="bullet"/>
      <w:pStyle w:val="WW-ListBullet3"/>
      <w:lvlText w:val="-"/>
      <w:lvlJc w:val="left"/>
      <w:pPr>
        <w:ind w:left="1440" w:hanging="360"/>
      </w:pPr>
      <w:rPr>
        <w:rFonts w:ascii="Arial Narrow" w:eastAsia="Times New Roman" w:hAnsi="Arial Narrow" w:hint="default"/>
        <w:color w:val="auto"/>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260">
    <w:nsid w:val="7BD321E6"/>
    <w:multiLevelType w:val="hybridMultilevel"/>
    <w:tmpl w:val="7D42F428"/>
    <w:lvl w:ilvl="0" w:tplc="041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nsid w:val="7C290720"/>
    <w:multiLevelType w:val="multilevel"/>
    <w:tmpl w:val="1D58FD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7C6C2007"/>
    <w:multiLevelType w:val="hybridMultilevel"/>
    <w:tmpl w:val="E7FA1692"/>
    <w:lvl w:ilvl="0" w:tplc="C4A4653A">
      <w:start w:val="1"/>
      <w:numFmt w:val="bullet"/>
      <w:lvlText w:val=""/>
      <w:lvlJc w:val="left"/>
      <w:pPr>
        <w:ind w:left="360" w:hanging="360"/>
      </w:pPr>
      <w:rPr>
        <w:rFonts w:ascii="Symbol" w:hAnsi="Symbol" w:hint="default"/>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63">
    <w:nsid w:val="7CFC2757"/>
    <w:multiLevelType w:val="hybridMultilevel"/>
    <w:tmpl w:val="88E2D354"/>
    <w:lvl w:ilvl="0" w:tplc="FC96D2A4">
      <w:numFmt w:val="bullet"/>
      <w:lvlText w:val="-"/>
      <w:lvlJc w:val="left"/>
      <w:pPr>
        <w:ind w:left="-207" w:hanging="360"/>
      </w:pPr>
      <w:rPr>
        <w:rFonts w:ascii="Calibri" w:eastAsia="SimSun" w:hAnsi="Calibri" w:cs="Mangal" w:hint="default"/>
      </w:rPr>
    </w:lvl>
    <w:lvl w:ilvl="1" w:tplc="04180003" w:tentative="1">
      <w:start w:val="1"/>
      <w:numFmt w:val="bullet"/>
      <w:lvlText w:val="o"/>
      <w:lvlJc w:val="left"/>
      <w:pPr>
        <w:ind w:left="513" w:hanging="360"/>
      </w:pPr>
      <w:rPr>
        <w:rFonts w:ascii="Courier New" w:hAnsi="Courier New" w:cs="Courier New" w:hint="default"/>
      </w:rPr>
    </w:lvl>
    <w:lvl w:ilvl="2" w:tplc="04180005" w:tentative="1">
      <w:start w:val="1"/>
      <w:numFmt w:val="bullet"/>
      <w:lvlText w:val=""/>
      <w:lvlJc w:val="left"/>
      <w:pPr>
        <w:ind w:left="1233" w:hanging="360"/>
      </w:pPr>
      <w:rPr>
        <w:rFonts w:ascii="Wingdings" w:hAnsi="Wingdings" w:hint="default"/>
      </w:rPr>
    </w:lvl>
    <w:lvl w:ilvl="3" w:tplc="04180001" w:tentative="1">
      <w:start w:val="1"/>
      <w:numFmt w:val="bullet"/>
      <w:lvlText w:val=""/>
      <w:lvlJc w:val="left"/>
      <w:pPr>
        <w:ind w:left="1953" w:hanging="360"/>
      </w:pPr>
      <w:rPr>
        <w:rFonts w:ascii="Symbol" w:hAnsi="Symbol" w:hint="default"/>
      </w:rPr>
    </w:lvl>
    <w:lvl w:ilvl="4" w:tplc="04180003" w:tentative="1">
      <w:start w:val="1"/>
      <w:numFmt w:val="bullet"/>
      <w:lvlText w:val="o"/>
      <w:lvlJc w:val="left"/>
      <w:pPr>
        <w:ind w:left="2673" w:hanging="360"/>
      </w:pPr>
      <w:rPr>
        <w:rFonts w:ascii="Courier New" w:hAnsi="Courier New" w:cs="Courier New" w:hint="default"/>
      </w:rPr>
    </w:lvl>
    <w:lvl w:ilvl="5" w:tplc="04180005" w:tentative="1">
      <w:start w:val="1"/>
      <w:numFmt w:val="bullet"/>
      <w:lvlText w:val=""/>
      <w:lvlJc w:val="left"/>
      <w:pPr>
        <w:ind w:left="3393" w:hanging="360"/>
      </w:pPr>
      <w:rPr>
        <w:rFonts w:ascii="Wingdings" w:hAnsi="Wingdings" w:hint="default"/>
      </w:rPr>
    </w:lvl>
    <w:lvl w:ilvl="6" w:tplc="04180001" w:tentative="1">
      <w:start w:val="1"/>
      <w:numFmt w:val="bullet"/>
      <w:lvlText w:val=""/>
      <w:lvlJc w:val="left"/>
      <w:pPr>
        <w:ind w:left="4113" w:hanging="360"/>
      </w:pPr>
      <w:rPr>
        <w:rFonts w:ascii="Symbol" w:hAnsi="Symbol" w:hint="default"/>
      </w:rPr>
    </w:lvl>
    <w:lvl w:ilvl="7" w:tplc="04180003" w:tentative="1">
      <w:start w:val="1"/>
      <w:numFmt w:val="bullet"/>
      <w:lvlText w:val="o"/>
      <w:lvlJc w:val="left"/>
      <w:pPr>
        <w:ind w:left="4833" w:hanging="360"/>
      </w:pPr>
      <w:rPr>
        <w:rFonts w:ascii="Courier New" w:hAnsi="Courier New" w:cs="Courier New" w:hint="default"/>
      </w:rPr>
    </w:lvl>
    <w:lvl w:ilvl="8" w:tplc="04180005" w:tentative="1">
      <w:start w:val="1"/>
      <w:numFmt w:val="bullet"/>
      <w:lvlText w:val=""/>
      <w:lvlJc w:val="left"/>
      <w:pPr>
        <w:ind w:left="5553" w:hanging="360"/>
      </w:pPr>
      <w:rPr>
        <w:rFonts w:ascii="Wingdings" w:hAnsi="Wingdings" w:hint="default"/>
      </w:rPr>
    </w:lvl>
  </w:abstractNum>
  <w:abstractNum w:abstractNumId="264">
    <w:nsid w:val="7D684B37"/>
    <w:multiLevelType w:val="hybridMultilevel"/>
    <w:tmpl w:val="293A1382"/>
    <w:lvl w:ilvl="0" w:tplc="4BF2F75C">
      <w:numFmt w:val="bullet"/>
      <w:lvlText w:val="-"/>
      <w:lvlJc w:val="left"/>
      <w:pPr>
        <w:ind w:left="1068" w:hanging="360"/>
      </w:pPr>
      <w:rPr>
        <w:rFonts w:ascii="Arial" w:eastAsia="Calibri" w:hAnsi="Arial" w:cs="Aria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265">
    <w:nsid w:val="7D8525FE"/>
    <w:multiLevelType w:val="hybridMultilevel"/>
    <w:tmpl w:val="652484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70"/>
  </w:num>
  <w:num w:numId="2">
    <w:abstractNumId w:val="2"/>
  </w:num>
  <w:num w:numId="3">
    <w:abstractNumId w:val="259"/>
  </w:num>
  <w:num w:numId="4">
    <w:abstractNumId w:val="101"/>
  </w:num>
  <w:num w:numId="5">
    <w:abstractNumId w:val="1"/>
  </w:num>
  <w:num w:numId="6">
    <w:abstractNumId w:val="0"/>
  </w:num>
  <w:num w:numId="7">
    <w:abstractNumId w:val="102"/>
  </w:num>
  <w:num w:numId="8">
    <w:abstractNumId w:val="226"/>
  </w:num>
  <w:num w:numId="9">
    <w:abstractNumId w:val="135"/>
  </w:num>
  <w:num w:numId="10">
    <w:abstractNumId w:val="51"/>
  </w:num>
  <w:num w:numId="11">
    <w:abstractNumId w:val="161"/>
  </w:num>
  <w:num w:numId="12">
    <w:abstractNumId w:val="156"/>
  </w:num>
  <w:num w:numId="13">
    <w:abstractNumId w:val="65"/>
  </w:num>
  <w:num w:numId="14">
    <w:abstractNumId w:val="220"/>
  </w:num>
  <w:num w:numId="15">
    <w:abstractNumId w:val="96"/>
  </w:num>
  <w:num w:numId="16">
    <w:abstractNumId w:val="75"/>
  </w:num>
  <w:num w:numId="17">
    <w:abstractNumId w:val="157"/>
  </w:num>
  <w:num w:numId="18">
    <w:abstractNumId w:val="208"/>
  </w:num>
  <w:num w:numId="19">
    <w:abstractNumId w:val="83"/>
  </w:num>
  <w:num w:numId="20">
    <w:abstractNumId w:val="113"/>
  </w:num>
  <w:num w:numId="21">
    <w:abstractNumId w:val="49"/>
  </w:num>
  <w:num w:numId="22">
    <w:abstractNumId w:val="183"/>
  </w:num>
  <w:num w:numId="23">
    <w:abstractNumId w:val="41"/>
  </w:num>
  <w:num w:numId="24">
    <w:abstractNumId w:val="68"/>
  </w:num>
  <w:num w:numId="25">
    <w:abstractNumId w:val="82"/>
  </w:num>
  <w:num w:numId="26">
    <w:abstractNumId w:val="265"/>
  </w:num>
  <w:num w:numId="27">
    <w:abstractNumId w:val="176"/>
  </w:num>
  <w:num w:numId="28">
    <w:abstractNumId w:val="144"/>
  </w:num>
  <w:num w:numId="29">
    <w:abstractNumId w:val="155"/>
  </w:num>
  <w:num w:numId="30">
    <w:abstractNumId w:val="244"/>
  </w:num>
  <w:num w:numId="31">
    <w:abstractNumId w:val="77"/>
  </w:num>
  <w:num w:numId="32">
    <w:abstractNumId w:val="114"/>
  </w:num>
  <w:num w:numId="33">
    <w:abstractNumId w:val="127"/>
  </w:num>
  <w:num w:numId="34">
    <w:abstractNumId w:val="200"/>
  </w:num>
  <w:num w:numId="35">
    <w:abstractNumId w:val="54"/>
  </w:num>
  <w:num w:numId="36">
    <w:abstractNumId w:val="39"/>
  </w:num>
  <w:num w:numId="37">
    <w:abstractNumId w:val="73"/>
  </w:num>
  <w:num w:numId="38">
    <w:abstractNumId w:val="76"/>
  </w:num>
  <w:num w:numId="39">
    <w:abstractNumId w:val="31"/>
  </w:num>
  <w:num w:numId="40">
    <w:abstractNumId w:val="40"/>
  </w:num>
  <w:num w:numId="41">
    <w:abstractNumId w:val="205"/>
  </w:num>
  <w:num w:numId="42">
    <w:abstractNumId w:val="237"/>
  </w:num>
  <w:num w:numId="43">
    <w:abstractNumId w:val="262"/>
  </w:num>
  <w:num w:numId="44">
    <w:abstractNumId w:val="115"/>
  </w:num>
  <w:num w:numId="45">
    <w:abstractNumId w:val="53"/>
  </w:num>
  <w:num w:numId="46">
    <w:abstractNumId w:val="60"/>
  </w:num>
  <w:num w:numId="47">
    <w:abstractNumId w:val="108"/>
  </w:num>
  <w:num w:numId="48">
    <w:abstractNumId w:val="228"/>
  </w:num>
  <w:num w:numId="49">
    <w:abstractNumId w:val="88"/>
  </w:num>
  <w:num w:numId="50">
    <w:abstractNumId w:val="241"/>
  </w:num>
  <w:num w:numId="51">
    <w:abstractNumId w:val="250"/>
  </w:num>
  <w:num w:numId="52">
    <w:abstractNumId w:val="214"/>
  </w:num>
  <w:num w:numId="53">
    <w:abstractNumId w:val="248"/>
  </w:num>
  <w:num w:numId="54">
    <w:abstractNumId w:val="258"/>
  </w:num>
  <w:num w:numId="55">
    <w:abstractNumId w:val="90"/>
  </w:num>
  <w:num w:numId="56">
    <w:abstractNumId w:val="129"/>
  </w:num>
  <w:num w:numId="57">
    <w:abstractNumId w:val="164"/>
  </w:num>
  <w:num w:numId="58">
    <w:abstractNumId w:val="238"/>
  </w:num>
  <w:num w:numId="59">
    <w:abstractNumId w:val="242"/>
  </w:num>
  <w:num w:numId="60">
    <w:abstractNumId w:val="167"/>
  </w:num>
  <w:num w:numId="61">
    <w:abstractNumId w:val="116"/>
  </w:num>
  <w:num w:numId="62">
    <w:abstractNumId w:val="190"/>
  </w:num>
  <w:num w:numId="63">
    <w:abstractNumId w:val="263"/>
  </w:num>
  <w:num w:numId="64">
    <w:abstractNumId w:val="79"/>
  </w:num>
  <w:num w:numId="65">
    <w:abstractNumId w:val="191"/>
  </w:num>
  <w:num w:numId="66">
    <w:abstractNumId w:val="95"/>
  </w:num>
  <w:num w:numId="67">
    <w:abstractNumId w:val="150"/>
  </w:num>
  <w:num w:numId="68">
    <w:abstractNumId w:val="141"/>
  </w:num>
  <w:num w:numId="69">
    <w:abstractNumId w:val="72"/>
  </w:num>
  <w:num w:numId="70">
    <w:abstractNumId w:val="48"/>
  </w:num>
  <w:num w:numId="71">
    <w:abstractNumId w:val="131"/>
  </w:num>
  <w:num w:numId="72">
    <w:abstractNumId w:val="209"/>
  </w:num>
  <w:num w:numId="73">
    <w:abstractNumId w:val="243"/>
  </w:num>
  <w:num w:numId="74">
    <w:abstractNumId w:val="119"/>
  </w:num>
  <w:num w:numId="75">
    <w:abstractNumId w:val="182"/>
  </w:num>
  <w:num w:numId="76">
    <w:abstractNumId w:val="240"/>
  </w:num>
  <w:num w:numId="77">
    <w:abstractNumId w:val="151"/>
  </w:num>
  <w:num w:numId="78">
    <w:abstractNumId w:val="216"/>
  </w:num>
  <w:num w:numId="79">
    <w:abstractNumId w:val="172"/>
  </w:num>
  <w:num w:numId="80">
    <w:abstractNumId w:val="62"/>
  </w:num>
  <w:num w:numId="81">
    <w:abstractNumId w:val="189"/>
  </w:num>
  <w:num w:numId="82">
    <w:abstractNumId w:val="145"/>
  </w:num>
  <w:num w:numId="83">
    <w:abstractNumId w:val="35"/>
  </w:num>
  <w:num w:numId="84">
    <w:abstractNumId w:val="219"/>
  </w:num>
  <w:num w:numId="85">
    <w:abstractNumId w:val="4"/>
  </w:num>
  <w:num w:numId="86">
    <w:abstractNumId w:val="261"/>
  </w:num>
  <w:num w:numId="87">
    <w:abstractNumId w:val="37"/>
  </w:num>
  <w:num w:numId="88">
    <w:abstractNumId w:val="55"/>
  </w:num>
  <w:num w:numId="89">
    <w:abstractNumId w:val="106"/>
  </w:num>
  <w:num w:numId="90">
    <w:abstractNumId w:val="58"/>
  </w:num>
  <w:num w:numId="91">
    <w:abstractNumId w:val="174"/>
  </w:num>
  <w:num w:numId="92">
    <w:abstractNumId w:val="100"/>
  </w:num>
  <w:num w:numId="93">
    <w:abstractNumId w:val="105"/>
  </w:num>
  <w:num w:numId="94">
    <w:abstractNumId w:val="103"/>
  </w:num>
  <w:num w:numId="95">
    <w:abstractNumId w:val="152"/>
  </w:num>
  <w:num w:numId="96">
    <w:abstractNumId w:val="201"/>
  </w:num>
  <w:num w:numId="97">
    <w:abstractNumId w:val="52"/>
  </w:num>
  <w:num w:numId="98">
    <w:abstractNumId w:val="254"/>
  </w:num>
  <w:num w:numId="99">
    <w:abstractNumId w:val="212"/>
  </w:num>
  <w:num w:numId="100">
    <w:abstractNumId w:val="227"/>
  </w:num>
  <w:num w:numId="101">
    <w:abstractNumId w:val="264"/>
  </w:num>
  <w:num w:numId="102">
    <w:abstractNumId w:val="197"/>
  </w:num>
  <w:num w:numId="103">
    <w:abstractNumId w:val="233"/>
  </w:num>
  <w:num w:numId="104">
    <w:abstractNumId w:val="44"/>
  </w:num>
  <w:num w:numId="105">
    <w:abstractNumId w:val="81"/>
  </w:num>
  <w:num w:numId="106">
    <w:abstractNumId w:val="67"/>
  </w:num>
  <w:num w:numId="107">
    <w:abstractNumId w:val="207"/>
  </w:num>
  <w:num w:numId="108">
    <w:abstractNumId w:val="143"/>
  </w:num>
  <w:num w:numId="109">
    <w:abstractNumId w:val="111"/>
  </w:num>
  <w:num w:numId="110">
    <w:abstractNumId w:val="168"/>
  </w:num>
  <w:num w:numId="111">
    <w:abstractNumId w:val="178"/>
  </w:num>
  <w:num w:numId="112">
    <w:abstractNumId w:val="162"/>
  </w:num>
  <w:num w:numId="113">
    <w:abstractNumId w:val="165"/>
  </w:num>
  <w:num w:numId="114">
    <w:abstractNumId w:val="204"/>
  </w:num>
  <w:num w:numId="115">
    <w:abstractNumId w:val="99"/>
  </w:num>
  <w:num w:numId="116">
    <w:abstractNumId w:val="257"/>
  </w:num>
  <w:num w:numId="117">
    <w:abstractNumId w:val="93"/>
  </w:num>
  <w:num w:numId="118">
    <w:abstractNumId w:val="181"/>
  </w:num>
  <w:num w:numId="119">
    <w:abstractNumId w:val="43"/>
  </w:num>
  <w:num w:numId="120">
    <w:abstractNumId w:val="252"/>
  </w:num>
  <w:num w:numId="121">
    <w:abstractNumId w:val="121"/>
  </w:num>
  <w:num w:numId="122">
    <w:abstractNumId w:val="50"/>
  </w:num>
  <w:num w:numId="123">
    <w:abstractNumId w:val="146"/>
  </w:num>
  <w:num w:numId="124">
    <w:abstractNumId w:val="203"/>
  </w:num>
  <w:num w:numId="125">
    <w:abstractNumId w:val="153"/>
  </w:num>
  <w:num w:numId="126">
    <w:abstractNumId w:val="86"/>
  </w:num>
  <w:num w:numId="127">
    <w:abstractNumId w:val="175"/>
  </w:num>
  <w:num w:numId="128">
    <w:abstractNumId w:val="139"/>
  </w:num>
  <w:num w:numId="129">
    <w:abstractNumId w:val="104"/>
  </w:num>
  <w:num w:numId="130">
    <w:abstractNumId w:val="234"/>
  </w:num>
  <w:num w:numId="131">
    <w:abstractNumId w:val="57"/>
  </w:num>
  <w:num w:numId="132">
    <w:abstractNumId w:val="59"/>
  </w:num>
  <w:num w:numId="133">
    <w:abstractNumId w:val="98"/>
  </w:num>
  <w:num w:numId="134">
    <w:abstractNumId w:val="63"/>
  </w:num>
  <w:num w:numId="135">
    <w:abstractNumId w:val="188"/>
  </w:num>
  <w:num w:numId="136">
    <w:abstractNumId w:val="149"/>
  </w:num>
  <w:num w:numId="137">
    <w:abstractNumId w:val="112"/>
  </w:num>
  <w:num w:numId="138">
    <w:abstractNumId w:val="196"/>
  </w:num>
  <w:num w:numId="139">
    <w:abstractNumId w:val="215"/>
  </w:num>
  <w:num w:numId="140">
    <w:abstractNumId w:val="74"/>
  </w:num>
  <w:num w:numId="141">
    <w:abstractNumId w:val="202"/>
  </w:num>
  <w:num w:numId="142">
    <w:abstractNumId w:val="64"/>
  </w:num>
  <w:num w:numId="143">
    <w:abstractNumId w:val="239"/>
  </w:num>
  <w:num w:numId="144">
    <w:abstractNumId w:val="61"/>
  </w:num>
  <w:num w:numId="145">
    <w:abstractNumId w:val="230"/>
  </w:num>
  <w:num w:numId="146">
    <w:abstractNumId w:val="232"/>
  </w:num>
  <w:num w:numId="147">
    <w:abstractNumId w:val="231"/>
  </w:num>
  <w:num w:numId="148">
    <w:abstractNumId w:val="224"/>
  </w:num>
  <w:num w:numId="149">
    <w:abstractNumId w:val="217"/>
  </w:num>
  <w:num w:numId="150">
    <w:abstractNumId w:val="107"/>
  </w:num>
  <w:num w:numId="151">
    <w:abstractNumId w:val="185"/>
  </w:num>
  <w:num w:numId="152">
    <w:abstractNumId w:val="69"/>
  </w:num>
  <w:num w:numId="153">
    <w:abstractNumId w:val="171"/>
  </w:num>
  <w:num w:numId="154">
    <w:abstractNumId w:val="140"/>
  </w:num>
  <w:num w:numId="155">
    <w:abstractNumId w:val="163"/>
  </w:num>
  <w:num w:numId="156">
    <w:abstractNumId w:val="85"/>
  </w:num>
  <w:num w:numId="157">
    <w:abstractNumId w:val="222"/>
  </w:num>
  <w:num w:numId="158">
    <w:abstractNumId w:val="211"/>
  </w:num>
  <w:num w:numId="159">
    <w:abstractNumId w:val="109"/>
  </w:num>
  <w:num w:numId="160">
    <w:abstractNumId w:val="133"/>
  </w:num>
  <w:num w:numId="161">
    <w:abstractNumId w:val="36"/>
  </w:num>
  <w:num w:numId="162">
    <w:abstractNumId w:val="218"/>
  </w:num>
  <w:num w:numId="163">
    <w:abstractNumId w:val="138"/>
  </w:num>
  <w:num w:numId="164">
    <w:abstractNumId w:val="210"/>
  </w:num>
  <w:num w:numId="165">
    <w:abstractNumId w:val="179"/>
  </w:num>
  <w:num w:numId="166">
    <w:abstractNumId w:val="45"/>
  </w:num>
  <w:num w:numId="167">
    <w:abstractNumId w:val="120"/>
  </w:num>
  <w:num w:numId="168">
    <w:abstractNumId w:val="256"/>
  </w:num>
  <w:num w:numId="169">
    <w:abstractNumId w:val="66"/>
  </w:num>
  <w:num w:numId="170">
    <w:abstractNumId w:val="229"/>
  </w:num>
  <w:num w:numId="171">
    <w:abstractNumId w:val="47"/>
  </w:num>
  <w:num w:numId="172">
    <w:abstractNumId w:val="246"/>
  </w:num>
  <w:num w:numId="173">
    <w:abstractNumId w:val="236"/>
  </w:num>
  <w:num w:numId="174">
    <w:abstractNumId w:val="187"/>
  </w:num>
  <w:num w:numId="175">
    <w:abstractNumId w:val="235"/>
  </w:num>
  <w:num w:numId="176">
    <w:abstractNumId w:val="142"/>
  </w:num>
  <w:num w:numId="177">
    <w:abstractNumId w:val="124"/>
  </w:num>
  <w:num w:numId="178">
    <w:abstractNumId w:val="94"/>
  </w:num>
  <w:num w:numId="179">
    <w:abstractNumId w:val="118"/>
  </w:num>
  <w:num w:numId="180">
    <w:abstractNumId w:val="84"/>
  </w:num>
  <w:num w:numId="181">
    <w:abstractNumId w:val="125"/>
  </w:num>
  <w:num w:numId="182">
    <w:abstractNumId w:val="134"/>
  </w:num>
  <w:num w:numId="183">
    <w:abstractNumId w:val="80"/>
  </w:num>
  <w:num w:numId="184">
    <w:abstractNumId w:val="92"/>
  </w:num>
  <w:num w:numId="185">
    <w:abstractNumId w:val="126"/>
  </w:num>
  <w:num w:numId="186">
    <w:abstractNumId w:val="136"/>
  </w:num>
  <w:num w:numId="187">
    <w:abstractNumId w:val="249"/>
  </w:num>
  <w:num w:numId="188">
    <w:abstractNumId w:val="199"/>
  </w:num>
  <w:num w:numId="189">
    <w:abstractNumId w:val="71"/>
  </w:num>
  <w:num w:numId="190">
    <w:abstractNumId w:val="154"/>
  </w:num>
  <w:num w:numId="191">
    <w:abstractNumId w:val="147"/>
  </w:num>
  <w:num w:numId="192">
    <w:abstractNumId w:val="177"/>
  </w:num>
  <w:num w:numId="193">
    <w:abstractNumId w:val="221"/>
  </w:num>
  <w:num w:numId="194">
    <w:abstractNumId w:val="46"/>
  </w:num>
  <w:num w:numId="195">
    <w:abstractNumId w:val="160"/>
  </w:num>
  <w:num w:numId="196">
    <w:abstractNumId w:val="245"/>
  </w:num>
  <w:num w:numId="197">
    <w:abstractNumId w:val="193"/>
  </w:num>
  <w:num w:numId="198">
    <w:abstractNumId w:val="32"/>
  </w:num>
  <w:num w:numId="199">
    <w:abstractNumId w:val="194"/>
  </w:num>
  <w:num w:numId="200">
    <w:abstractNumId w:val="159"/>
  </w:num>
  <w:num w:numId="201">
    <w:abstractNumId w:val="3"/>
    <w:lvlOverride w:ilvl="0">
      <w:lvl w:ilvl="0">
        <w:numFmt w:val="bullet"/>
        <w:lvlText w:val=""/>
        <w:legacy w:legacy="1" w:legacySpace="0" w:legacyIndent="360"/>
        <w:lvlJc w:val="left"/>
        <w:rPr>
          <w:rFonts w:ascii="Symbol" w:hAnsi="Symbol" w:hint="default"/>
        </w:rPr>
      </w:lvl>
    </w:lvlOverride>
  </w:num>
  <w:num w:numId="202">
    <w:abstractNumId w:val="128"/>
  </w:num>
  <w:num w:numId="203">
    <w:abstractNumId w:val="122"/>
  </w:num>
  <w:num w:numId="204">
    <w:abstractNumId w:val="56"/>
  </w:num>
  <w:num w:numId="205">
    <w:abstractNumId w:val="132"/>
  </w:num>
  <w:num w:numId="206">
    <w:abstractNumId w:val="78"/>
  </w:num>
  <w:num w:numId="207">
    <w:abstractNumId w:val="33"/>
  </w:num>
  <w:num w:numId="208">
    <w:abstractNumId w:val="110"/>
  </w:num>
  <w:num w:numId="209">
    <w:abstractNumId w:val="213"/>
  </w:num>
  <w:num w:numId="210">
    <w:abstractNumId w:val="91"/>
  </w:num>
  <w:num w:numId="211">
    <w:abstractNumId w:val="137"/>
  </w:num>
  <w:num w:numId="212">
    <w:abstractNumId w:val="6"/>
  </w:num>
  <w:num w:numId="213">
    <w:abstractNumId w:val="195"/>
  </w:num>
  <w:num w:numId="214">
    <w:abstractNumId w:val="255"/>
  </w:num>
  <w:num w:numId="215">
    <w:abstractNumId w:val="186"/>
  </w:num>
  <w:num w:numId="216">
    <w:abstractNumId w:val="260"/>
  </w:num>
  <w:num w:numId="217">
    <w:abstractNumId w:val="170"/>
  </w:num>
  <w:num w:numId="218">
    <w:abstractNumId w:val="225"/>
  </w:num>
  <w:num w:numId="219">
    <w:abstractNumId w:val="148"/>
  </w:num>
  <w:num w:numId="220">
    <w:abstractNumId w:val="123"/>
  </w:num>
  <w:num w:numId="221">
    <w:abstractNumId w:val="158"/>
  </w:num>
  <w:num w:numId="222">
    <w:abstractNumId w:val="97"/>
  </w:num>
  <w:num w:numId="223">
    <w:abstractNumId w:val="206"/>
  </w:num>
  <w:num w:numId="224">
    <w:abstractNumId w:val="117"/>
  </w:num>
  <w:num w:numId="225">
    <w:abstractNumId w:val="89"/>
  </w:num>
  <w:num w:numId="226">
    <w:abstractNumId w:val="251"/>
  </w:num>
  <w:num w:numId="227">
    <w:abstractNumId w:val="130"/>
  </w:num>
  <w:num w:numId="228">
    <w:abstractNumId w:val="42"/>
  </w:num>
  <w:num w:numId="229">
    <w:abstractNumId w:val="166"/>
  </w:num>
  <w:num w:numId="230">
    <w:abstractNumId w:val="198"/>
  </w:num>
  <w:num w:numId="231">
    <w:abstractNumId w:val="87"/>
  </w:num>
  <w:num w:numId="232">
    <w:abstractNumId w:val="180"/>
  </w:num>
  <w:num w:numId="233">
    <w:abstractNumId w:val="30"/>
  </w:num>
  <w:num w:numId="234">
    <w:abstractNumId w:val="38"/>
  </w:num>
  <w:num w:numId="235">
    <w:abstractNumId w:val="34"/>
  </w:num>
  <w:num w:numId="236">
    <w:abstractNumId w:val="184"/>
  </w:num>
  <w:num w:numId="237">
    <w:abstractNumId w:val="253"/>
  </w:num>
  <w:num w:numId="238">
    <w:abstractNumId w:val="169"/>
  </w:num>
  <w:num w:numId="239">
    <w:abstractNumId w:val="247"/>
  </w:num>
  <w:num w:numId="240">
    <w:abstractNumId w:val="192"/>
  </w:num>
  <w:num w:numId="241">
    <w:abstractNumId w:val="173"/>
  </w:num>
  <w:numIdMacAtCleanup w:val="2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477"/>
    <w:rsid w:val="00000130"/>
    <w:rsid w:val="000004A4"/>
    <w:rsid w:val="00000514"/>
    <w:rsid w:val="00000BAF"/>
    <w:rsid w:val="00000C83"/>
    <w:rsid w:val="00000E9F"/>
    <w:rsid w:val="0000132A"/>
    <w:rsid w:val="000013CC"/>
    <w:rsid w:val="000016A8"/>
    <w:rsid w:val="00001B72"/>
    <w:rsid w:val="00001DAA"/>
    <w:rsid w:val="00002AC0"/>
    <w:rsid w:val="00002BCA"/>
    <w:rsid w:val="00002BCD"/>
    <w:rsid w:val="00002DAB"/>
    <w:rsid w:val="00002E19"/>
    <w:rsid w:val="000035E4"/>
    <w:rsid w:val="000036BB"/>
    <w:rsid w:val="0000398A"/>
    <w:rsid w:val="00003F1F"/>
    <w:rsid w:val="000045C4"/>
    <w:rsid w:val="00004E30"/>
    <w:rsid w:val="000050E5"/>
    <w:rsid w:val="000058BD"/>
    <w:rsid w:val="00005BAF"/>
    <w:rsid w:val="00005FD0"/>
    <w:rsid w:val="00006439"/>
    <w:rsid w:val="00006827"/>
    <w:rsid w:val="00006FAB"/>
    <w:rsid w:val="0000729C"/>
    <w:rsid w:val="00007960"/>
    <w:rsid w:val="00007989"/>
    <w:rsid w:val="000079D0"/>
    <w:rsid w:val="00007D3A"/>
    <w:rsid w:val="00010401"/>
    <w:rsid w:val="0001050A"/>
    <w:rsid w:val="00010602"/>
    <w:rsid w:val="00010B2A"/>
    <w:rsid w:val="000118AF"/>
    <w:rsid w:val="00011E93"/>
    <w:rsid w:val="0001200E"/>
    <w:rsid w:val="00012045"/>
    <w:rsid w:val="00012103"/>
    <w:rsid w:val="000128D3"/>
    <w:rsid w:val="00012CCD"/>
    <w:rsid w:val="00012D34"/>
    <w:rsid w:val="00012DB8"/>
    <w:rsid w:val="00012F67"/>
    <w:rsid w:val="00013264"/>
    <w:rsid w:val="00013359"/>
    <w:rsid w:val="00013360"/>
    <w:rsid w:val="000135A1"/>
    <w:rsid w:val="0001367E"/>
    <w:rsid w:val="00013A83"/>
    <w:rsid w:val="00013AED"/>
    <w:rsid w:val="000146ED"/>
    <w:rsid w:val="000148EA"/>
    <w:rsid w:val="0001492B"/>
    <w:rsid w:val="00014D3F"/>
    <w:rsid w:val="000153AB"/>
    <w:rsid w:val="00015515"/>
    <w:rsid w:val="00015EB9"/>
    <w:rsid w:val="00016116"/>
    <w:rsid w:val="0001619B"/>
    <w:rsid w:val="000161F9"/>
    <w:rsid w:val="00016358"/>
    <w:rsid w:val="00016435"/>
    <w:rsid w:val="0001645F"/>
    <w:rsid w:val="00016550"/>
    <w:rsid w:val="00016BB7"/>
    <w:rsid w:val="00016F69"/>
    <w:rsid w:val="000176B8"/>
    <w:rsid w:val="00017A4D"/>
    <w:rsid w:val="00017C35"/>
    <w:rsid w:val="000200AF"/>
    <w:rsid w:val="00020274"/>
    <w:rsid w:val="000202FF"/>
    <w:rsid w:val="000203C7"/>
    <w:rsid w:val="00020444"/>
    <w:rsid w:val="00020596"/>
    <w:rsid w:val="000207A9"/>
    <w:rsid w:val="0002095F"/>
    <w:rsid w:val="00020B45"/>
    <w:rsid w:val="00020BB1"/>
    <w:rsid w:val="000212E3"/>
    <w:rsid w:val="00021698"/>
    <w:rsid w:val="000219DE"/>
    <w:rsid w:val="0002237B"/>
    <w:rsid w:val="000226D2"/>
    <w:rsid w:val="00023FA7"/>
    <w:rsid w:val="0002401E"/>
    <w:rsid w:val="0002440C"/>
    <w:rsid w:val="00024A3B"/>
    <w:rsid w:val="00024D60"/>
    <w:rsid w:val="00024DC6"/>
    <w:rsid w:val="00025566"/>
    <w:rsid w:val="00025802"/>
    <w:rsid w:val="0002580B"/>
    <w:rsid w:val="00025BC4"/>
    <w:rsid w:val="00026214"/>
    <w:rsid w:val="00026443"/>
    <w:rsid w:val="000266C3"/>
    <w:rsid w:val="000267FB"/>
    <w:rsid w:val="0002690B"/>
    <w:rsid w:val="000271CE"/>
    <w:rsid w:val="000276D3"/>
    <w:rsid w:val="00027913"/>
    <w:rsid w:val="00030876"/>
    <w:rsid w:val="00030ED3"/>
    <w:rsid w:val="0003119B"/>
    <w:rsid w:val="00031426"/>
    <w:rsid w:val="0003154E"/>
    <w:rsid w:val="0003170E"/>
    <w:rsid w:val="00031863"/>
    <w:rsid w:val="0003189D"/>
    <w:rsid w:val="00031B79"/>
    <w:rsid w:val="000321A4"/>
    <w:rsid w:val="00032723"/>
    <w:rsid w:val="00033480"/>
    <w:rsid w:val="00033799"/>
    <w:rsid w:val="00033965"/>
    <w:rsid w:val="00033A87"/>
    <w:rsid w:val="00033C0E"/>
    <w:rsid w:val="000340E2"/>
    <w:rsid w:val="0003426A"/>
    <w:rsid w:val="000357B3"/>
    <w:rsid w:val="000360F0"/>
    <w:rsid w:val="0003614F"/>
    <w:rsid w:val="000365E6"/>
    <w:rsid w:val="000367E7"/>
    <w:rsid w:val="00036A71"/>
    <w:rsid w:val="00037594"/>
    <w:rsid w:val="000376ED"/>
    <w:rsid w:val="0003775C"/>
    <w:rsid w:val="00037A17"/>
    <w:rsid w:val="00037A20"/>
    <w:rsid w:val="00037DD6"/>
    <w:rsid w:val="00040790"/>
    <w:rsid w:val="00040924"/>
    <w:rsid w:val="0004124D"/>
    <w:rsid w:val="000419AF"/>
    <w:rsid w:val="00042D88"/>
    <w:rsid w:val="00042E6D"/>
    <w:rsid w:val="00044421"/>
    <w:rsid w:val="00044B96"/>
    <w:rsid w:val="00044F48"/>
    <w:rsid w:val="000455F6"/>
    <w:rsid w:val="00045D63"/>
    <w:rsid w:val="00046108"/>
    <w:rsid w:val="00046150"/>
    <w:rsid w:val="00046247"/>
    <w:rsid w:val="00046381"/>
    <w:rsid w:val="00046D01"/>
    <w:rsid w:val="00046D77"/>
    <w:rsid w:val="0004740B"/>
    <w:rsid w:val="000478D0"/>
    <w:rsid w:val="00047CCE"/>
    <w:rsid w:val="00047F18"/>
    <w:rsid w:val="00050AAD"/>
    <w:rsid w:val="00050B3C"/>
    <w:rsid w:val="00051862"/>
    <w:rsid w:val="000518E9"/>
    <w:rsid w:val="00051A43"/>
    <w:rsid w:val="00051D7B"/>
    <w:rsid w:val="00051FBE"/>
    <w:rsid w:val="0005254A"/>
    <w:rsid w:val="000531F0"/>
    <w:rsid w:val="00053446"/>
    <w:rsid w:val="00053C1C"/>
    <w:rsid w:val="00054010"/>
    <w:rsid w:val="0005407E"/>
    <w:rsid w:val="000543F2"/>
    <w:rsid w:val="00054991"/>
    <w:rsid w:val="00054C65"/>
    <w:rsid w:val="00054EF5"/>
    <w:rsid w:val="00055154"/>
    <w:rsid w:val="0005537C"/>
    <w:rsid w:val="000553D3"/>
    <w:rsid w:val="00055677"/>
    <w:rsid w:val="000558BB"/>
    <w:rsid w:val="00055BDE"/>
    <w:rsid w:val="00055CC4"/>
    <w:rsid w:val="00055E4F"/>
    <w:rsid w:val="0005612C"/>
    <w:rsid w:val="00056415"/>
    <w:rsid w:val="000565C6"/>
    <w:rsid w:val="00056862"/>
    <w:rsid w:val="00056B82"/>
    <w:rsid w:val="00056F03"/>
    <w:rsid w:val="000571D8"/>
    <w:rsid w:val="00057B15"/>
    <w:rsid w:val="000609E3"/>
    <w:rsid w:val="00060B2F"/>
    <w:rsid w:val="0006123D"/>
    <w:rsid w:val="00061A9D"/>
    <w:rsid w:val="00061C89"/>
    <w:rsid w:val="00061DE7"/>
    <w:rsid w:val="0006212D"/>
    <w:rsid w:val="0006322B"/>
    <w:rsid w:val="00063279"/>
    <w:rsid w:val="00063292"/>
    <w:rsid w:val="0006338B"/>
    <w:rsid w:val="00063D30"/>
    <w:rsid w:val="000644FC"/>
    <w:rsid w:val="000650A0"/>
    <w:rsid w:val="000653FB"/>
    <w:rsid w:val="00065705"/>
    <w:rsid w:val="00065CFC"/>
    <w:rsid w:val="0006603B"/>
    <w:rsid w:val="0006672D"/>
    <w:rsid w:val="00066834"/>
    <w:rsid w:val="00066A32"/>
    <w:rsid w:val="00067139"/>
    <w:rsid w:val="00067244"/>
    <w:rsid w:val="000673B4"/>
    <w:rsid w:val="000677C3"/>
    <w:rsid w:val="000679BB"/>
    <w:rsid w:val="00067B38"/>
    <w:rsid w:val="0007030D"/>
    <w:rsid w:val="00070B6E"/>
    <w:rsid w:val="00070EFF"/>
    <w:rsid w:val="0007183C"/>
    <w:rsid w:val="000719DE"/>
    <w:rsid w:val="000719DF"/>
    <w:rsid w:val="00071A85"/>
    <w:rsid w:val="00071D31"/>
    <w:rsid w:val="00072266"/>
    <w:rsid w:val="00072537"/>
    <w:rsid w:val="00072947"/>
    <w:rsid w:val="00072E48"/>
    <w:rsid w:val="00073134"/>
    <w:rsid w:val="00073477"/>
    <w:rsid w:val="000736BC"/>
    <w:rsid w:val="0007376C"/>
    <w:rsid w:val="000737BB"/>
    <w:rsid w:val="00073D42"/>
    <w:rsid w:val="000746D1"/>
    <w:rsid w:val="0007480D"/>
    <w:rsid w:val="00074C29"/>
    <w:rsid w:val="00074F3C"/>
    <w:rsid w:val="000752FE"/>
    <w:rsid w:val="00075715"/>
    <w:rsid w:val="00075C3C"/>
    <w:rsid w:val="00076162"/>
    <w:rsid w:val="00076554"/>
    <w:rsid w:val="00076840"/>
    <w:rsid w:val="00076C1C"/>
    <w:rsid w:val="00077624"/>
    <w:rsid w:val="00077679"/>
    <w:rsid w:val="00077748"/>
    <w:rsid w:val="00077E4F"/>
    <w:rsid w:val="00080088"/>
    <w:rsid w:val="00080481"/>
    <w:rsid w:val="00080593"/>
    <w:rsid w:val="00080A69"/>
    <w:rsid w:val="00080C4B"/>
    <w:rsid w:val="000820B6"/>
    <w:rsid w:val="000828FE"/>
    <w:rsid w:val="00082AC9"/>
    <w:rsid w:val="00082B5F"/>
    <w:rsid w:val="00082BAA"/>
    <w:rsid w:val="00082D66"/>
    <w:rsid w:val="00083573"/>
    <w:rsid w:val="0008369C"/>
    <w:rsid w:val="00083A6D"/>
    <w:rsid w:val="00083DD7"/>
    <w:rsid w:val="00083E39"/>
    <w:rsid w:val="000840F4"/>
    <w:rsid w:val="00084737"/>
    <w:rsid w:val="000850D7"/>
    <w:rsid w:val="0008512A"/>
    <w:rsid w:val="00085565"/>
    <w:rsid w:val="0008574F"/>
    <w:rsid w:val="00086202"/>
    <w:rsid w:val="0008652F"/>
    <w:rsid w:val="0008665E"/>
    <w:rsid w:val="00086909"/>
    <w:rsid w:val="00086942"/>
    <w:rsid w:val="00086AEF"/>
    <w:rsid w:val="000871AD"/>
    <w:rsid w:val="0008735C"/>
    <w:rsid w:val="00087A6C"/>
    <w:rsid w:val="00087A76"/>
    <w:rsid w:val="00087F2F"/>
    <w:rsid w:val="0009007F"/>
    <w:rsid w:val="000901CD"/>
    <w:rsid w:val="00090275"/>
    <w:rsid w:val="000902D9"/>
    <w:rsid w:val="00090EE5"/>
    <w:rsid w:val="00091029"/>
    <w:rsid w:val="00091674"/>
    <w:rsid w:val="00092C61"/>
    <w:rsid w:val="00092D35"/>
    <w:rsid w:val="00092E15"/>
    <w:rsid w:val="000938FC"/>
    <w:rsid w:val="00093D60"/>
    <w:rsid w:val="000940ED"/>
    <w:rsid w:val="00094580"/>
    <w:rsid w:val="000947A4"/>
    <w:rsid w:val="00094E10"/>
    <w:rsid w:val="00095EE5"/>
    <w:rsid w:val="00096203"/>
    <w:rsid w:val="000962B2"/>
    <w:rsid w:val="00096314"/>
    <w:rsid w:val="00096762"/>
    <w:rsid w:val="00096D35"/>
    <w:rsid w:val="00096F5D"/>
    <w:rsid w:val="00097416"/>
    <w:rsid w:val="00097B6C"/>
    <w:rsid w:val="00097EE2"/>
    <w:rsid w:val="000A02EA"/>
    <w:rsid w:val="000A0465"/>
    <w:rsid w:val="000A0C80"/>
    <w:rsid w:val="000A1059"/>
    <w:rsid w:val="000A15A5"/>
    <w:rsid w:val="000A160D"/>
    <w:rsid w:val="000A162C"/>
    <w:rsid w:val="000A1F2F"/>
    <w:rsid w:val="000A1FEC"/>
    <w:rsid w:val="000A2260"/>
    <w:rsid w:val="000A249D"/>
    <w:rsid w:val="000A2527"/>
    <w:rsid w:val="000A27E0"/>
    <w:rsid w:val="000A2958"/>
    <w:rsid w:val="000A2998"/>
    <w:rsid w:val="000A2B70"/>
    <w:rsid w:val="000A2BD6"/>
    <w:rsid w:val="000A2D1F"/>
    <w:rsid w:val="000A2D34"/>
    <w:rsid w:val="000A33BE"/>
    <w:rsid w:val="000A3BB5"/>
    <w:rsid w:val="000A3E7B"/>
    <w:rsid w:val="000A4228"/>
    <w:rsid w:val="000A437D"/>
    <w:rsid w:val="000A4617"/>
    <w:rsid w:val="000A4A4E"/>
    <w:rsid w:val="000A4C6D"/>
    <w:rsid w:val="000A4CE5"/>
    <w:rsid w:val="000A4FD4"/>
    <w:rsid w:val="000A55EA"/>
    <w:rsid w:val="000A5877"/>
    <w:rsid w:val="000A5D2F"/>
    <w:rsid w:val="000A66C2"/>
    <w:rsid w:val="000A681B"/>
    <w:rsid w:val="000A6850"/>
    <w:rsid w:val="000A6BF9"/>
    <w:rsid w:val="000A6DAB"/>
    <w:rsid w:val="000A7282"/>
    <w:rsid w:val="000A7292"/>
    <w:rsid w:val="000A7472"/>
    <w:rsid w:val="000A7686"/>
    <w:rsid w:val="000A7FC8"/>
    <w:rsid w:val="000B075F"/>
    <w:rsid w:val="000B0CE2"/>
    <w:rsid w:val="000B0EAB"/>
    <w:rsid w:val="000B0F9B"/>
    <w:rsid w:val="000B11EE"/>
    <w:rsid w:val="000B147E"/>
    <w:rsid w:val="000B16BD"/>
    <w:rsid w:val="000B1713"/>
    <w:rsid w:val="000B18BE"/>
    <w:rsid w:val="000B1E8C"/>
    <w:rsid w:val="000B2138"/>
    <w:rsid w:val="000B23F5"/>
    <w:rsid w:val="000B23FA"/>
    <w:rsid w:val="000B261C"/>
    <w:rsid w:val="000B27D8"/>
    <w:rsid w:val="000B287D"/>
    <w:rsid w:val="000B2DAB"/>
    <w:rsid w:val="000B4403"/>
    <w:rsid w:val="000B4F0D"/>
    <w:rsid w:val="000B5015"/>
    <w:rsid w:val="000B5349"/>
    <w:rsid w:val="000B566D"/>
    <w:rsid w:val="000B5B01"/>
    <w:rsid w:val="000B5FE9"/>
    <w:rsid w:val="000B6B97"/>
    <w:rsid w:val="000B6C31"/>
    <w:rsid w:val="000B6C7D"/>
    <w:rsid w:val="000B6F8C"/>
    <w:rsid w:val="000B7213"/>
    <w:rsid w:val="000B7A8D"/>
    <w:rsid w:val="000B7C03"/>
    <w:rsid w:val="000C115C"/>
    <w:rsid w:val="000C11C7"/>
    <w:rsid w:val="000C1336"/>
    <w:rsid w:val="000C18B4"/>
    <w:rsid w:val="000C1B5F"/>
    <w:rsid w:val="000C2010"/>
    <w:rsid w:val="000C28C1"/>
    <w:rsid w:val="000C28E8"/>
    <w:rsid w:val="000C2E7D"/>
    <w:rsid w:val="000C383D"/>
    <w:rsid w:val="000C4053"/>
    <w:rsid w:val="000C4680"/>
    <w:rsid w:val="000C4DA5"/>
    <w:rsid w:val="000C4F29"/>
    <w:rsid w:val="000C4F95"/>
    <w:rsid w:val="000C550A"/>
    <w:rsid w:val="000C5EAD"/>
    <w:rsid w:val="000C5F2D"/>
    <w:rsid w:val="000C6035"/>
    <w:rsid w:val="000C6377"/>
    <w:rsid w:val="000C6542"/>
    <w:rsid w:val="000C7893"/>
    <w:rsid w:val="000C7C26"/>
    <w:rsid w:val="000D006F"/>
    <w:rsid w:val="000D02D6"/>
    <w:rsid w:val="000D034F"/>
    <w:rsid w:val="000D044B"/>
    <w:rsid w:val="000D0B2B"/>
    <w:rsid w:val="000D14A5"/>
    <w:rsid w:val="000D155C"/>
    <w:rsid w:val="000D15E3"/>
    <w:rsid w:val="000D186A"/>
    <w:rsid w:val="000D1946"/>
    <w:rsid w:val="000D21BA"/>
    <w:rsid w:val="000D2207"/>
    <w:rsid w:val="000D2B1B"/>
    <w:rsid w:val="000D2DB9"/>
    <w:rsid w:val="000D309A"/>
    <w:rsid w:val="000D32AF"/>
    <w:rsid w:val="000D361A"/>
    <w:rsid w:val="000D44A7"/>
    <w:rsid w:val="000D4C41"/>
    <w:rsid w:val="000D4FEE"/>
    <w:rsid w:val="000D517F"/>
    <w:rsid w:val="000D53B8"/>
    <w:rsid w:val="000D5CEA"/>
    <w:rsid w:val="000D61C3"/>
    <w:rsid w:val="000D69C5"/>
    <w:rsid w:val="000D6DC6"/>
    <w:rsid w:val="000D708A"/>
    <w:rsid w:val="000D73B5"/>
    <w:rsid w:val="000D73C8"/>
    <w:rsid w:val="000D77E1"/>
    <w:rsid w:val="000D78AA"/>
    <w:rsid w:val="000D7E0B"/>
    <w:rsid w:val="000D7FC7"/>
    <w:rsid w:val="000E0129"/>
    <w:rsid w:val="000E0619"/>
    <w:rsid w:val="000E0FB3"/>
    <w:rsid w:val="000E1177"/>
    <w:rsid w:val="000E1535"/>
    <w:rsid w:val="000E15EA"/>
    <w:rsid w:val="000E16C3"/>
    <w:rsid w:val="000E2327"/>
    <w:rsid w:val="000E34AA"/>
    <w:rsid w:val="000E3722"/>
    <w:rsid w:val="000E4101"/>
    <w:rsid w:val="000E41A7"/>
    <w:rsid w:val="000E4280"/>
    <w:rsid w:val="000E44C9"/>
    <w:rsid w:val="000E47CA"/>
    <w:rsid w:val="000E51CF"/>
    <w:rsid w:val="000E54B3"/>
    <w:rsid w:val="000E5990"/>
    <w:rsid w:val="000E5C0F"/>
    <w:rsid w:val="000E5DB8"/>
    <w:rsid w:val="000E61A1"/>
    <w:rsid w:val="000E676C"/>
    <w:rsid w:val="000E6E0A"/>
    <w:rsid w:val="000E7643"/>
    <w:rsid w:val="000E764C"/>
    <w:rsid w:val="000E7E25"/>
    <w:rsid w:val="000F0031"/>
    <w:rsid w:val="000F13D4"/>
    <w:rsid w:val="000F186B"/>
    <w:rsid w:val="000F1C9A"/>
    <w:rsid w:val="000F1D17"/>
    <w:rsid w:val="000F20A9"/>
    <w:rsid w:val="000F2948"/>
    <w:rsid w:val="000F2C8A"/>
    <w:rsid w:val="000F2E4F"/>
    <w:rsid w:val="000F3B21"/>
    <w:rsid w:val="000F3B8B"/>
    <w:rsid w:val="000F42B2"/>
    <w:rsid w:val="000F443B"/>
    <w:rsid w:val="000F4A4B"/>
    <w:rsid w:val="000F4CF8"/>
    <w:rsid w:val="000F59BD"/>
    <w:rsid w:val="000F5BD9"/>
    <w:rsid w:val="000F665F"/>
    <w:rsid w:val="000F66DC"/>
    <w:rsid w:val="000F6B4C"/>
    <w:rsid w:val="000F75DA"/>
    <w:rsid w:val="000F75FD"/>
    <w:rsid w:val="000F7718"/>
    <w:rsid w:val="000F77B6"/>
    <w:rsid w:val="000F7BFE"/>
    <w:rsid w:val="000F7E54"/>
    <w:rsid w:val="00100345"/>
    <w:rsid w:val="001005AE"/>
    <w:rsid w:val="001005EC"/>
    <w:rsid w:val="001009E8"/>
    <w:rsid w:val="00100AF2"/>
    <w:rsid w:val="00100B63"/>
    <w:rsid w:val="00100E1F"/>
    <w:rsid w:val="0010109D"/>
    <w:rsid w:val="00101C4A"/>
    <w:rsid w:val="00102175"/>
    <w:rsid w:val="00102FBD"/>
    <w:rsid w:val="001031DF"/>
    <w:rsid w:val="00103E48"/>
    <w:rsid w:val="00104202"/>
    <w:rsid w:val="0010425E"/>
    <w:rsid w:val="001042AE"/>
    <w:rsid w:val="001049B7"/>
    <w:rsid w:val="00104FC0"/>
    <w:rsid w:val="00105669"/>
    <w:rsid w:val="00105963"/>
    <w:rsid w:val="00106B8D"/>
    <w:rsid w:val="00106F26"/>
    <w:rsid w:val="0010788A"/>
    <w:rsid w:val="00107DA5"/>
    <w:rsid w:val="0011052F"/>
    <w:rsid w:val="00110990"/>
    <w:rsid w:val="00110A22"/>
    <w:rsid w:val="00110AEE"/>
    <w:rsid w:val="00110C03"/>
    <w:rsid w:val="00111047"/>
    <w:rsid w:val="001110A9"/>
    <w:rsid w:val="0011139C"/>
    <w:rsid w:val="00111765"/>
    <w:rsid w:val="001118F2"/>
    <w:rsid w:val="001124FA"/>
    <w:rsid w:val="0011286C"/>
    <w:rsid w:val="001128CD"/>
    <w:rsid w:val="00112BBE"/>
    <w:rsid w:val="00112EF8"/>
    <w:rsid w:val="001136F3"/>
    <w:rsid w:val="00113A03"/>
    <w:rsid w:val="00113C28"/>
    <w:rsid w:val="00114032"/>
    <w:rsid w:val="0011411B"/>
    <w:rsid w:val="00114382"/>
    <w:rsid w:val="001145A8"/>
    <w:rsid w:val="00114687"/>
    <w:rsid w:val="00114693"/>
    <w:rsid w:val="001146CB"/>
    <w:rsid w:val="00115B9C"/>
    <w:rsid w:val="0011607D"/>
    <w:rsid w:val="00116815"/>
    <w:rsid w:val="00116BD3"/>
    <w:rsid w:val="00116D47"/>
    <w:rsid w:val="00116F20"/>
    <w:rsid w:val="0011737B"/>
    <w:rsid w:val="001174B1"/>
    <w:rsid w:val="001174B4"/>
    <w:rsid w:val="00120187"/>
    <w:rsid w:val="00120F77"/>
    <w:rsid w:val="001222E1"/>
    <w:rsid w:val="0012297C"/>
    <w:rsid w:val="00123159"/>
    <w:rsid w:val="00123217"/>
    <w:rsid w:val="00123390"/>
    <w:rsid w:val="00123447"/>
    <w:rsid w:val="0012365F"/>
    <w:rsid w:val="00123992"/>
    <w:rsid w:val="00123C11"/>
    <w:rsid w:val="00123F1D"/>
    <w:rsid w:val="001244DB"/>
    <w:rsid w:val="001249C0"/>
    <w:rsid w:val="001249E6"/>
    <w:rsid w:val="00124CE1"/>
    <w:rsid w:val="0012537E"/>
    <w:rsid w:val="001257CC"/>
    <w:rsid w:val="001258C5"/>
    <w:rsid w:val="00125D4F"/>
    <w:rsid w:val="00125E1A"/>
    <w:rsid w:val="00126C5F"/>
    <w:rsid w:val="00126F09"/>
    <w:rsid w:val="00126F5E"/>
    <w:rsid w:val="001270CF"/>
    <w:rsid w:val="00127E86"/>
    <w:rsid w:val="00127F29"/>
    <w:rsid w:val="00127FDF"/>
    <w:rsid w:val="0013021E"/>
    <w:rsid w:val="00130368"/>
    <w:rsid w:val="00130393"/>
    <w:rsid w:val="001303A9"/>
    <w:rsid w:val="00130613"/>
    <w:rsid w:val="00130F34"/>
    <w:rsid w:val="0013110D"/>
    <w:rsid w:val="001312B3"/>
    <w:rsid w:val="001314A0"/>
    <w:rsid w:val="001315AD"/>
    <w:rsid w:val="00131688"/>
    <w:rsid w:val="00131A07"/>
    <w:rsid w:val="00131B42"/>
    <w:rsid w:val="00131CB9"/>
    <w:rsid w:val="00132FF0"/>
    <w:rsid w:val="0013364D"/>
    <w:rsid w:val="001336D0"/>
    <w:rsid w:val="001337BC"/>
    <w:rsid w:val="001337C2"/>
    <w:rsid w:val="001339BE"/>
    <w:rsid w:val="00133A8D"/>
    <w:rsid w:val="00135031"/>
    <w:rsid w:val="0013505F"/>
    <w:rsid w:val="00135233"/>
    <w:rsid w:val="0013599B"/>
    <w:rsid w:val="00135CA3"/>
    <w:rsid w:val="00136293"/>
    <w:rsid w:val="00136569"/>
    <w:rsid w:val="001366C1"/>
    <w:rsid w:val="001366F3"/>
    <w:rsid w:val="00136822"/>
    <w:rsid w:val="00136996"/>
    <w:rsid w:val="00136ACD"/>
    <w:rsid w:val="00136F11"/>
    <w:rsid w:val="001374AA"/>
    <w:rsid w:val="0013772B"/>
    <w:rsid w:val="0013784E"/>
    <w:rsid w:val="001379E8"/>
    <w:rsid w:val="00137FC4"/>
    <w:rsid w:val="00140039"/>
    <w:rsid w:val="001400E2"/>
    <w:rsid w:val="001401F4"/>
    <w:rsid w:val="001406A8"/>
    <w:rsid w:val="001409D1"/>
    <w:rsid w:val="001409D2"/>
    <w:rsid w:val="00140F75"/>
    <w:rsid w:val="00141226"/>
    <w:rsid w:val="001412B8"/>
    <w:rsid w:val="00141CEC"/>
    <w:rsid w:val="00141ED1"/>
    <w:rsid w:val="00142569"/>
    <w:rsid w:val="00142588"/>
    <w:rsid w:val="0014259B"/>
    <w:rsid w:val="0014283B"/>
    <w:rsid w:val="0014286B"/>
    <w:rsid w:val="00142BA9"/>
    <w:rsid w:val="00142BB5"/>
    <w:rsid w:val="00142C3C"/>
    <w:rsid w:val="00142FA1"/>
    <w:rsid w:val="0014307B"/>
    <w:rsid w:val="001430B4"/>
    <w:rsid w:val="00143291"/>
    <w:rsid w:val="00143392"/>
    <w:rsid w:val="001435F1"/>
    <w:rsid w:val="00144435"/>
    <w:rsid w:val="00144C50"/>
    <w:rsid w:val="001451C8"/>
    <w:rsid w:val="001451D0"/>
    <w:rsid w:val="00145858"/>
    <w:rsid w:val="00145A8B"/>
    <w:rsid w:val="00145BC1"/>
    <w:rsid w:val="0014658F"/>
    <w:rsid w:val="00146AD2"/>
    <w:rsid w:val="00146DCD"/>
    <w:rsid w:val="00146E94"/>
    <w:rsid w:val="001475AA"/>
    <w:rsid w:val="001475F2"/>
    <w:rsid w:val="00150998"/>
    <w:rsid w:val="00150A36"/>
    <w:rsid w:val="00150AA8"/>
    <w:rsid w:val="00150BB7"/>
    <w:rsid w:val="00150F49"/>
    <w:rsid w:val="00150FC0"/>
    <w:rsid w:val="0015113F"/>
    <w:rsid w:val="001511E1"/>
    <w:rsid w:val="001517C1"/>
    <w:rsid w:val="00151AFD"/>
    <w:rsid w:val="00151CF4"/>
    <w:rsid w:val="00152726"/>
    <w:rsid w:val="00152DF0"/>
    <w:rsid w:val="00153552"/>
    <w:rsid w:val="00153615"/>
    <w:rsid w:val="001536B6"/>
    <w:rsid w:val="001539F4"/>
    <w:rsid w:val="00153FD7"/>
    <w:rsid w:val="00153FE5"/>
    <w:rsid w:val="00154272"/>
    <w:rsid w:val="001548E4"/>
    <w:rsid w:val="00154A79"/>
    <w:rsid w:val="00154A9B"/>
    <w:rsid w:val="0015505C"/>
    <w:rsid w:val="0015577D"/>
    <w:rsid w:val="00155967"/>
    <w:rsid w:val="00155ADA"/>
    <w:rsid w:val="00155BE1"/>
    <w:rsid w:val="00155E01"/>
    <w:rsid w:val="00156055"/>
    <w:rsid w:val="00156984"/>
    <w:rsid w:val="00156F4E"/>
    <w:rsid w:val="0015763F"/>
    <w:rsid w:val="00157652"/>
    <w:rsid w:val="00157845"/>
    <w:rsid w:val="00160479"/>
    <w:rsid w:val="001604D6"/>
    <w:rsid w:val="00160857"/>
    <w:rsid w:val="00160953"/>
    <w:rsid w:val="00160B41"/>
    <w:rsid w:val="0016111D"/>
    <w:rsid w:val="00161A9A"/>
    <w:rsid w:val="00161CBA"/>
    <w:rsid w:val="00162317"/>
    <w:rsid w:val="00162632"/>
    <w:rsid w:val="00162652"/>
    <w:rsid w:val="00162F6D"/>
    <w:rsid w:val="001630B1"/>
    <w:rsid w:val="00163489"/>
    <w:rsid w:val="00163600"/>
    <w:rsid w:val="00163862"/>
    <w:rsid w:val="00163909"/>
    <w:rsid w:val="00163D6B"/>
    <w:rsid w:val="00164899"/>
    <w:rsid w:val="00164E8F"/>
    <w:rsid w:val="001650BB"/>
    <w:rsid w:val="00165268"/>
    <w:rsid w:val="001655BB"/>
    <w:rsid w:val="0016576B"/>
    <w:rsid w:val="00165BBB"/>
    <w:rsid w:val="00165C63"/>
    <w:rsid w:val="00165D02"/>
    <w:rsid w:val="00165D5E"/>
    <w:rsid w:val="00165E19"/>
    <w:rsid w:val="00165FE3"/>
    <w:rsid w:val="00166597"/>
    <w:rsid w:val="00166DA5"/>
    <w:rsid w:val="00166F1F"/>
    <w:rsid w:val="001670B7"/>
    <w:rsid w:val="0016728C"/>
    <w:rsid w:val="00167594"/>
    <w:rsid w:val="0016767E"/>
    <w:rsid w:val="0016794C"/>
    <w:rsid w:val="00167CF2"/>
    <w:rsid w:val="00167D30"/>
    <w:rsid w:val="00167F78"/>
    <w:rsid w:val="00167FA5"/>
    <w:rsid w:val="001704F1"/>
    <w:rsid w:val="00170906"/>
    <w:rsid w:val="00170AB5"/>
    <w:rsid w:val="00170C3C"/>
    <w:rsid w:val="00170F21"/>
    <w:rsid w:val="00171696"/>
    <w:rsid w:val="00171A13"/>
    <w:rsid w:val="00171C3A"/>
    <w:rsid w:val="0017208B"/>
    <w:rsid w:val="0017209A"/>
    <w:rsid w:val="0017221A"/>
    <w:rsid w:val="00172394"/>
    <w:rsid w:val="00172890"/>
    <w:rsid w:val="001728BB"/>
    <w:rsid w:val="0017293C"/>
    <w:rsid w:val="00172C0D"/>
    <w:rsid w:val="00172C9C"/>
    <w:rsid w:val="00172CB7"/>
    <w:rsid w:val="0017365C"/>
    <w:rsid w:val="0017389C"/>
    <w:rsid w:val="00173F24"/>
    <w:rsid w:val="00174FEC"/>
    <w:rsid w:val="00175230"/>
    <w:rsid w:val="00175A99"/>
    <w:rsid w:val="001760AA"/>
    <w:rsid w:val="001760B2"/>
    <w:rsid w:val="00176282"/>
    <w:rsid w:val="001762B5"/>
    <w:rsid w:val="00176688"/>
    <w:rsid w:val="001766BD"/>
    <w:rsid w:val="0017780B"/>
    <w:rsid w:val="0017796D"/>
    <w:rsid w:val="00177B82"/>
    <w:rsid w:val="00177C49"/>
    <w:rsid w:val="00177D33"/>
    <w:rsid w:val="00177F5E"/>
    <w:rsid w:val="001806AC"/>
    <w:rsid w:val="00180F22"/>
    <w:rsid w:val="001814DC"/>
    <w:rsid w:val="00181757"/>
    <w:rsid w:val="0018179F"/>
    <w:rsid w:val="001817E1"/>
    <w:rsid w:val="00181D49"/>
    <w:rsid w:val="00181EBE"/>
    <w:rsid w:val="00182088"/>
    <w:rsid w:val="0018228E"/>
    <w:rsid w:val="001823BC"/>
    <w:rsid w:val="001824B1"/>
    <w:rsid w:val="00182704"/>
    <w:rsid w:val="00182D34"/>
    <w:rsid w:val="00182EF2"/>
    <w:rsid w:val="00183323"/>
    <w:rsid w:val="00183789"/>
    <w:rsid w:val="00183967"/>
    <w:rsid w:val="00183B16"/>
    <w:rsid w:val="00183E23"/>
    <w:rsid w:val="001844CC"/>
    <w:rsid w:val="001844FB"/>
    <w:rsid w:val="00184797"/>
    <w:rsid w:val="00185125"/>
    <w:rsid w:val="001858F4"/>
    <w:rsid w:val="001859EA"/>
    <w:rsid w:val="00185BE1"/>
    <w:rsid w:val="00186D80"/>
    <w:rsid w:val="0018701A"/>
    <w:rsid w:val="00187024"/>
    <w:rsid w:val="0018702C"/>
    <w:rsid w:val="001871EE"/>
    <w:rsid w:val="00187B7B"/>
    <w:rsid w:val="00187C9C"/>
    <w:rsid w:val="00187D55"/>
    <w:rsid w:val="00190AB4"/>
    <w:rsid w:val="00190DDE"/>
    <w:rsid w:val="001910D7"/>
    <w:rsid w:val="00191182"/>
    <w:rsid w:val="0019127F"/>
    <w:rsid w:val="001918D5"/>
    <w:rsid w:val="00191D97"/>
    <w:rsid w:val="0019217D"/>
    <w:rsid w:val="001922AD"/>
    <w:rsid w:val="0019295A"/>
    <w:rsid w:val="00193033"/>
    <w:rsid w:val="001930D6"/>
    <w:rsid w:val="0019327B"/>
    <w:rsid w:val="00193608"/>
    <w:rsid w:val="00193900"/>
    <w:rsid w:val="00193AD0"/>
    <w:rsid w:val="001941B2"/>
    <w:rsid w:val="00194245"/>
    <w:rsid w:val="001946CD"/>
    <w:rsid w:val="001947BE"/>
    <w:rsid w:val="00194818"/>
    <w:rsid w:val="00194D65"/>
    <w:rsid w:val="0019528E"/>
    <w:rsid w:val="00195488"/>
    <w:rsid w:val="00195D8B"/>
    <w:rsid w:val="00195F9C"/>
    <w:rsid w:val="0019660B"/>
    <w:rsid w:val="00196DDD"/>
    <w:rsid w:val="0019713C"/>
    <w:rsid w:val="001973A1"/>
    <w:rsid w:val="001975A7"/>
    <w:rsid w:val="00197865"/>
    <w:rsid w:val="00197EF4"/>
    <w:rsid w:val="001A00A1"/>
    <w:rsid w:val="001A043D"/>
    <w:rsid w:val="001A0CAD"/>
    <w:rsid w:val="001A0E89"/>
    <w:rsid w:val="001A0E8F"/>
    <w:rsid w:val="001A14E0"/>
    <w:rsid w:val="001A19DF"/>
    <w:rsid w:val="001A1A21"/>
    <w:rsid w:val="001A1CDD"/>
    <w:rsid w:val="001A1FB5"/>
    <w:rsid w:val="001A2373"/>
    <w:rsid w:val="001A29A9"/>
    <w:rsid w:val="001A29CE"/>
    <w:rsid w:val="001A2D4F"/>
    <w:rsid w:val="001A2F08"/>
    <w:rsid w:val="001A31CE"/>
    <w:rsid w:val="001A3302"/>
    <w:rsid w:val="001A3633"/>
    <w:rsid w:val="001A385B"/>
    <w:rsid w:val="001A3B01"/>
    <w:rsid w:val="001A3C7E"/>
    <w:rsid w:val="001A4887"/>
    <w:rsid w:val="001A48F5"/>
    <w:rsid w:val="001A4A44"/>
    <w:rsid w:val="001A4A9F"/>
    <w:rsid w:val="001A4ADC"/>
    <w:rsid w:val="001A4D09"/>
    <w:rsid w:val="001A4FA0"/>
    <w:rsid w:val="001A5342"/>
    <w:rsid w:val="001A57E1"/>
    <w:rsid w:val="001A5E9B"/>
    <w:rsid w:val="001A67E5"/>
    <w:rsid w:val="001A6962"/>
    <w:rsid w:val="001A722E"/>
    <w:rsid w:val="001A734B"/>
    <w:rsid w:val="001A7614"/>
    <w:rsid w:val="001A776B"/>
    <w:rsid w:val="001A7785"/>
    <w:rsid w:val="001A7D2C"/>
    <w:rsid w:val="001B053B"/>
    <w:rsid w:val="001B05B4"/>
    <w:rsid w:val="001B0844"/>
    <w:rsid w:val="001B0ECF"/>
    <w:rsid w:val="001B174E"/>
    <w:rsid w:val="001B1961"/>
    <w:rsid w:val="001B1E22"/>
    <w:rsid w:val="001B1FA1"/>
    <w:rsid w:val="001B1FCC"/>
    <w:rsid w:val="001B20DC"/>
    <w:rsid w:val="001B2458"/>
    <w:rsid w:val="001B246A"/>
    <w:rsid w:val="001B253C"/>
    <w:rsid w:val="001B283C"/>
    <w:rsid w:val="001B2A31"/>
    <w:rsid w:val="001B2BE0"/>
    <w:rsid w:val="001B2DE7"/>
    <w:rsid w:val="001B2FAC"/>
    <w:rsid w:val="001B30D9"/>
    <w:rsid w:val="001B31BC"/>
    <w:rsid w:val="001B38AA"/>
    <w:rsid w:val="001B3EF7"/>
    <w:rsid w:val="001B4108"/>
    <w:rsid w:val="001B48AC"/>
    <w:rsid w:val="001B4B41"/>
    <w:rsid w:val="001B4F95"/>
    <w:rsid w:val="001B57CE"/>
    <w:rsid w:val="001B5948"/>
    <w:rsid w:val="001B650F"/>
    <w:rsid w:val="001B6AD8"/>
    <w:rsid w:val="001B6DA0"/>
    <w:rsid w:val="001B6FB4"/>
    <w:rsid w:val="001B72DD"/>
    <w:rsid w:val="001B72F1"/>
    <w:rsid w:val="001B736B"/>
    <w:rsid w:val="001B7EB7"/>
    <w:rsid w:val="001B7F30"/>
    <w:rsid w:val="001C00CE"/>
    <w:rsid w:val="001C02D4"/>
    <w:rsid w:val="001C02E1"/>
    <w:rsid w:val="001C04B5"/>
    <w:rsid w:val="001C154D"/>
    <w:rsid w:val="001C19AF"/>
    <w:rsid w:val="001C1D55"/>
    <w:rsid w:val="001C1F53"/>
    <w:rsid w:val="001C2373"/>
    <w:rsid w:val="001C2878"/>
    <w:rsid w:val="001C2E12"/>
    <w:rsid w:val="001C3097"/>
    <w:rsid w:val="001C31E9"/>
    <w:rsid w:val="001C380C"/>
    <w:rsid w:val="001C3F8B"/>
    <w:rsid w:val="001C4F89"/>
    <w:rsid w:val="001C4FE7"/>
    <w:rsid w:val="001C500C"/>
    <w:rsid w:val="001C53CE"/>
    <w:rsid w:val="001C551E"/>
    <w:rsid w:val="001C559A"/>
    <w:rsid w:val="001C559B"/>
    <w:rsid w:val="001C5797"/>
    <w:rsid w:val="001C683B"/>
    <w:rsid w:val="001C7118"/>
    <w:rsid w:val="001C768B"/>
    <w:rsid w:val="001C772F"/>
    <w:rsid w:val="001C7FB1"/>
    <w:rsid w:val="001D012C"/>
    <w:rsid w:val="001D01B2"/>
    <w:rsid w:val="001D01BA"/>
    <w:rsid w:val="001D02E2"/>
    <w:rsid w:val="001D0671"/>
    <w:rsid w:val="001D06AF"/>
    <w:rsid w:val="001D0B3A"/>
    <w:rsid w:val="001D1771"/>
    <w:rsid w:val="001D1A2A"/>
    <w:rsid w:val="001D1F8B"/>
    <w:rsid w:val="001D21E1"/>
    <w:rsid w:val="001D2282"/>
    <w:rsid w:val="001D268D"/>
    <w:rsid w:val="001D2831"/>
    <w:rsid w:val="001D29BA"/>
    <w:rsid w:val="001D2CF3"/>
    <w:rsid w:val="001D3686"/>
    <w:rsid w:val="001D37FE"/>
    <w:rsid w:val="001D4068"/>
    <w:rsid w:val="001D4DAC"/>
    <w:rsid w:val="001D4E51"/>
    <w:rsid w:val="001D5C02"/>
    <w:rsid w:val="001D5EB6"/>
    <w:rsid w:val="001D6A04"/>
    <w:rsid w:val="001D6DF4"/>
    <w:rsid w:val="001D7352"/>
    <w:rsid w:val="001D785D"/>
    <w:rsid w:val="001D7887"/>
    <w:rsid w:val="001E0012"/>
    <w:rsid w:val="001E03C9"/>
    <w:rsid w:val="001E092B"/>
    <w:rsid w:val="001E0AAD"/>
    <w:rsid w:val="001E0BEF"/>
    <w:rsid w:val="001E0CD8"/>
    <w:rsid w:val="001E0D47"/>
    <w:rsid w:val="001E0FA9"/>
    <w:rsid w:val="001E1118"/>
    <w:rsid w:val="001E1218"/>
    <w:rsid w:val="001E1773"/>
    <w:rsid w:val="001E232C"/>
    <w:rsid w:val="001E2477"/>
    <w:rsid w:val="001E2648"/>
    <w:rsid w:val="001E280D"/>
    <w:rsid w:val="001E2EF7"/>
    <w:rsid w:val="001E2F84"/>
    <w:rsid w:val="001E2F8B"/>
    <w:rsid w:val="001E3273"/>
    <w:rsid w:val="001E333D"/>
    <w:rsid w:val="001E3586"/>
    <w:rsid w:val="001E3729"/>
    <w:rsid w:val="001E3BC7"/>
    <w:rsid w:val="001E3F56"/>
    <w:rsid w:val="001E480C"/>
    <w:rsid w:val="001E4A9A"/>
    <w:rsid w:val="001E4BAE"/>
    <w:rsid w:val="001E4D75"/>
    <w:rsid w:val="001E5219"/>
    <w:rsid w:val="001E52EF"/>
    <w:rsid w:val="001E5380"/>
    <w:rsid w:val="001E56CD"/>
    <w:rsid w:val="001E571E"/>
    <w:rsid w:val="001E5FEC"/>
    <w:rsid w:val="001E6F1A"/>
    <w:rsid w:val="001E7197"/>
    <w:rsid w:val="001E7646"/>
    <w:rsid w:val="001E7A46"/>
    <w:rsid w:val="001F00E3"/>
    <w:rsid w:val="001F03AC"/>
    <w:rsid w:val="001F0694"/>
    <w:rsid w:val="001F07DF"/>
    <w:rsid w:val="001F0F08"/>
    <w:rsid w:val="001F14CE"/>
    <w:rsid w:val="001F14D1"/>
    <w:rsid w:val="001F154F"/>
    <w:rsid w:val="001F1885"/>
    <w:rsid w:val="001F1AE5"/>
    <w:rsid w:val="001F1D51"/>
    <w:rsid w:val="001F2253"/>
    <w:rsid w:val="001F26E5"/>
    <w:rsid w:val="001F2853"/>
    <w:rsid w:val="001F35A8"/>
    <w:rsid w:val="001F376B"/>
    <w:rsid w:val="001F3A7D"/>
    <w:rsid w:val="001F3A99"/>
    <w:rsid w:val="001F3FEC"/>
    <w:rsid w:val="001F4166"/>
    <w:rsid w:val="001F42D2"/>
    <w:rsid w:val="001F42D7"/>
    <w:rsid w:val="001F4350"/>
    <w:rsid w:val="001F4477"/>
    <w:rsid w:val="001F478D"/>
    <w:rsid w:val="001F47D5"/>
    <w:rsid w:val="001F4AEA"/>
    <w:rsid w:val="001F5723"/>
    <w:rsid w:val="001F58C5"/>
    <w:rsid w:val="001F636D"/>
    <w:rsid w:val="001F6430"/>
    <w:rsid w:val="001F6751"/>
    <w:rsid w:val="001F6771"/>
    <w:rsid w:val="001F6A36"/>
    <w:rsid w:val="001F717D"/>
    <w:rsid w:val="001F7825"/>
    <w:rsid w:val="001F7B24"/>
    <w:rsid w:val="001F7B61"/>
    <w:rsid w:val="001F7CA9"/>
    <w:rsid w:val="001F7D87"/>
    <w:rsid w:val="001F7EDD"/>
    <w:rsid w:val="0020062F"/>
    <w:rsid w:val="00201478"/>
    <w:rsid w:val="002015E3"/>
    <w:rsid w:val="00201684"/>
    <w:rsid w:val="00201C12"/>
    <w:rsid w:val="00203579"/>
    <w:rsid w:val="00203685"/>
    <w:rsid w:val="002038E0"/>
    <w:rsid w:val="00203E79"/>
    <w:rsid w:val="002041BA"/>
    <w:rsid w:val="002041BD"/>
    <w:rsid w:val="002042DD"/>
    <w:rsid w:val="002047D3"/>
    <w:rsid w:val="00204E72"/>
    <w:rsid w:val="00205428"/>
    <w:rsid w:val="00205A26"/>
    <w:rsid w:val="00205D39"/>
    <w:rsid w:val="002064B2"/>
    <w:rsid w:val="00206B65"/>
    <w:rsid w:val="0021042D"/>
    <w:rsid w:val="002104E3"/>
    <w:rsid w:val="00210B8A"/>
    <w:rsid w:val="00210DAA"/>
    <w:rsid w:val="00210E5F"/>
    <w:rsid w:val="00210F5A"/>
    <w:rsid w:val="00211B4B"/>
    <w:rsid w:val="00211E56"/>
    <w:rsid w:val="0021224D"/>
    <w:rsid w:val="00212897"/>
    <w:rsid w:val="00213A3E"/>
    <w:rsid w:val="0021402A"/>
    <w:rsid w:val="00214032"/>
    <w:rsid w:val="002141C2"/>
    <w:rsid w:val="0021468D"/>
    <w:rsid w:val="002151D2"/>
    <w:rsid w:val="00215ADF"/>
    <w:rsid w:val="00215E90"/>
    <w:rsid w:val="002164A8"/>
    <w:rsid w:val="002165A2"/>
    <w:rsid w:val="00216C32"/>
    <w:rsid w:val="00217009"/>
    <w:rsid w:val="00217043"/>
    <w:rsid w:val="002174F0"/>
    <w:rsid w:val="00217C25"/>
    <w:rsid w:val="00217D49"/>
    <w:rsid w:val="00220C3B"/>
    <w:rsid w:val="002210B4"/>
    <w:rsid w:val="002211DF"/>
    <w:rsid w:val="00221454"/>
    <w:rsid w:val="002217DC"/>
    <w:rsid w:val="00221922"/>
    <w:rsid w:val="00221B8C"/>
    <w:rsid w:val="00221D36"/>
    <w:rsid w:val="0022238E"/>
    <w:rsid w:val="002223D1"/>
    <w:rsid w:val="0022240C"/>
    <w:rsid w:val="0022244E"/>
    <w:rsid w:val="0022270D"/>
    <w:rsid w:val="002228B6"/>
    <w:rsid w:val="00222C11"/>
    <w:rsid w:val="0022462F"/>
    <w:rsid w:val="00224710"/>
    <w:rsid w:val="00224C59"/>
    <w:rsid w:val="00224D08"/>
    <w:rsid w:val="0022500E"/>
    <w:rsid w:val="00225068"/>
    <w:rsid w:val="002251A4"/>
    <w:rsid w:val="0022523C"/>
    <w:rsid w:val="00225737"/>
    <w:rsid w:val="00225738"/>
    <w:rsid w:val="002259D5"/>
    <w:rsid w:val="00225DD4"/>
    <w:rsid w:val="002260A7"/>
    <w:rsid w:val="002261D5"/>
    <w:rsid w:val="002268DD"/>
    <w:rsid w:val="00226FB7"/>
    <w:rsid w:val="00227033"/>
    <w:rsid w:val="002271B4"/>
    <w:rsid w:val="002275EF"/>
    <w:rsid w:val="00230104"/>
    <w:rsid w:val="0023028A"/>
    <w:rsid w:val="00230380"/>
    <w:rsid w:val="002303F6"/>
    <w:rsid w:val="002306AE"/>
    <w:rsid w:val="002313B2"/>
    <w:rsid w:val="00231EEC"/>
    <w:rsid w:val="00232104"/>
    <w:rsid w:val="002322E9"/>
    <w:rsid w:val="00232420"/>
    <w:rsid w:val="00232AE0"/>
    <w:rsid w:val="00233163"/>
    <w:rsid w:val="002334A4"/>
    <w:rsid w:val="002336C9"/>
    <w:rsid w:val="0023401F"/>
    <w:rsid w:val="00234239"/>
    <w:rsid w:val="002346E7"/>
    <w:rsid w:val="00234FF0"/>
    <w:rsid w:val="0023577C"/>
    <w:rsid w:val="00235D98"/>
    <w:rsid w:val="00235F48"/>
    <w:rsid w:val="00236AA3"/>
    <w:rsid w:val="00236D84"/>
    <w:rsid w:val="00236EB8"/>
    <w:rsid w:val="0023723A"/>
    <w:rsid w:val="0023798A"/>
    <w:rsid w:val="00240C34"/>
    <w:rsid w:val="00241310"/>
    <w:rsid w:val="002414C9"/>
    <w:rsid w:val="0024152B"/>
    <w:rsid w:val="002417FC"/>
    <w:rsid w:val="00241B37"/>
    <w:rsid w:val="00242176"/>
    <w:rsid w:val="002422D2"/>
    <w:rsid w:val="00242372"/>
    <w:rsid w:val="00242447"/>
    <w:rsid w:val="0024279A"/>
    <w:rsid w:val="00242B8E"/>
    <w:rsid w:val="00242CB3"/>
    <w:rsid w:val="00242D77"/>
    <w:rsid w:val="00242DBB"/>
    <w:rsid w:val="00242E1F"/>
    <w:rsid w:val="00242E73"/>
    <w:rsid w:val="0024351A"/>
    <w:rsid w:val="00243545"/>
    <w:rsid w:val="002436B5"/>
    <w:rsid w:val="00244591"/>
    <w:rsid w:val="002445C9"/>
    <w:rsid w:val="002448F7"/>
    <w:rsid w:val="00244C6F"/>
    <w:rsid w:val="00245002"/>
    <w:rsid w:val="002452A5"/>
    <w:rsid w:val="0024537E"/>
    <w:rsid w:val="00245645"/>
    <w:rsid w:val="0024594D"/>
    <w:rsid w:val="00245DFF"/>
    <w:rsid w:val="00245F9F"/>
    <w:rsid w:val="00245FA7"/>
    <w:rsid w:val="002469F7"/>
    <w:rsid w:val="0024716F"/>
    <w:rsid w:val="00247D20"/>
    <w:rsid w:val="0025053B"/>
    <w:rsid w:val="0025091C"/>
    <w:rsid w:val="002516D3"/>
    <w:rsid w:val="00251FCE"/>
    <w:rsid w:val="00252E2F"/>
    <w:rsid w:val="00253385"/>
    <w:rsid w:val="00253486"/>
    <w:rsid w:val="00253811"/>
    <w:rsid w:val="00253856"/>
    <w:rsid w:val="00253B7A"/>
    <w:rsid w:val="00254265"/>
    <w:rsid w:val="002543A2"/>
    <w:rsid w:val="0025454C"/>
    <w:rsid w:val="002547EA"/>
    <w:rsid w:val="002548D5"/>
    <w:rsid w:val="002549C3"/>
    <w:rsid w:val="00254B07"/>
    <w:rsid w:val="00254BAB"/>
    <w:rsid w:val="00255153"/>
    <w:rsid w:val="00255536"/>
    <w:rsid w:val="00256725"/>
    <w:rsid w:val="00256DCF"/>
    <w:rsid w:val="00256F44"/>
    <w:rsid w:val="00257035"/>
    <w:rsid w:val="00257238"/>
    <w:rsid w:val="00260002"/>
    <w:rsid w:val="00260EE7"/>
    <w:rsid w:val="00261431"/>
    <w:rsid w:val="002616EC"/>
    <w:rsid w:val="00261ABF"/>
    <w:rsid w:val="00261BE5"/>
    <w:rsid w:val="00261F37"/>
    <w:rsid w:val="00261F83"/>
    <w:rsid w:val="002624C1"/>
    <w:rsid w:val="002628EC"/>
    <w:rsid w:val="00263241"/>
    <w:rsid w:val="0026339F"/>
    <w:rsid w:val="002634C3"/>
    <w:rsid w:val="0026356E"/>
    <w:rsid w:val="002636EB"/>
    <w:rsid w:val="00263A16"/>
    <w:rsid w:val="00263C5C"/>
    <w:rsid w:val="00264004"/>
    <w:rsid w:val="0026474E"/>
    <w:rsid w:val="00264FAD"/>
    <w:rsid w:val="002651C9"/>
    <w:rsid w:val="0026534E"/>
    <w:rsid w:val="00265BA6"/>
    <w:rsid w:val="00265FD6"/>
    <w:rsid w:val="0026614D"/>
    <w:rsid w:val="0026622F"/>
    <w:rsid w:val="0026667A"/>
    <w:rsid w:val="0026674B"/>
    <w:rsid w:val="00266812"/>
    <w:rsid w:val="0026687B"/>
    <w:rsid w:val="00266B31"/>
    <w:rsid w:val="00266E90"/>
    <w:rsid w:val="0026710C"/>
    <w:rsid w:val="00267358"/>
    <w:rsid w:val="0026769D"/>
    <w:rsid w:val="00267881"/>
    <w:rsid w:val="0026791F"/>
    <w:rsid w:val="00267CF6"/>
    <w:rsid w:val="0027033C"/>
    <w:rsid w:val="0027036A"/>
    <w:rsid w:val="00270839"/>
    <w:rsid w:val="0027087D"/>
    <w:rsid w:val="002712EB"/>
    <w:rsid w:val="00271AE1"/>
    <w:rsid w:val="00271FCC"/>
    <w:rsid w:val="002720DC"/>
    <w:rsid w:val="002725FB"/>
    <w:rsid w:val="00272F06"/>
    <w:rsid w:val="002730A5"/>
    <w:rsid w:val="00273911"/>
    <w:rsid w:val="002748F1"/>
    <w:rsid w:val="00274A3A"/>
    <w:rsid w:val="00274B73"/>
    <w:rsid w:val="002751AC"/>
    <w:rsid w:val="002754A1"/>
    <w:rsid w:val="00275C2D"/>
    <w:rsid w:val="00276206"/>
    <w:rsid w:val="00276F04"/>
    <w:rsid w:val="0027732E"/>
    <w:rsid w:val="0027735A"/>
    <w:rsid w:val="002774A6"/>
    <w:rsid w:val="0027753D"/>
    <w:rsid w:val="00277BEF"/>
    <w:rsid w:val="00280F89"/>
    <w:rsid w:val="002813AE"/>
    <w:rsid w:val="00281ADD"/>
    <w:rsid w:val="0028214A"/>
    <w:rsid w:val="0028241A"/>
    <w:rsid w:val="0028247C"/>
    <w:rsid w:val="002825BB"/>
    <w:rsid w:val="0028267D"/>
    <w:rsid w:val="0028284D"/>
    <w:rsid w:val="00282BBC"/>
    <w:rsid w:val="00282DDC"/>
    <w:rsid w:val="0028399F"/>
    <w:rsid w:val="00283E0E"/>
    <w:rsid w:val="00284260"/>
    <w:rsid w:val="00284763"/>
    <w:rsid w:val="0028478F"/>
    <w:rsid w:val="00284AD3"/>
    <w:rsid w:val="00284D11"/>
    <w:rsid w:val="00284D5C"/>
    <w:rsid w:val="00284EFE"/>
    <w:rsid w:val="0028521C"/>
    <w:rsid w:val="00285649"/>
    <w:rsid w:val="00285AB9"/>
    <w:rsid w:val="00285E18"/>
    <w:rsid w:val="00285FD5"/>
    <w:rsid w:val="0028639D"/>
    <w:rsid w:val="00286500"/>
    <w:rsid w:val="00286CC1"/>
    <w:rsid w:val="00286D5A"/>
    <w:rsid w:val="00287471"/>
    <w:rsid w:val="00287A35"/>
    <w:rsid w:val="00287B8C"/>
    <w:rsid w:val="002901F1"/>
    <w:rsid w:val="0029051B"/>
    <w:rsid w:val="002909FA"/>
    <w:rsid w:val="00290D8F"/>
    <w:rsid w:val="00290F04"/>
    <w:rsid w:val="002919CE"/>
    <w:rsid w:val="00291ABF"/>
    <w:rsid w:val="00291AD4"/>
    <w:rsid w:val="00291D11"/>
    <w:rsid w:val="00291EF8"/>
    <w:rsid w:val="00291FB1"/>
    <w:rsid w:val="00292217"/>
    <w:rsid w:val="00292425"/>
    <w:rsid w:val="00292DCF"/>
    <w:rsid w:val="0029318E"/>
    <w:rsid w:val="00293606"/>
    <w:rsid w:val="00293ED1"/>
    <w:rsid w:val="002942EE"/>
    <w:rsid w:val="00294929"/>
    <w:rsid w:val="00294F6A"/>
    <w:rsid w:val="00294F92"/>
    <w:rsid w:val="00295027"/>
    <w:rsid w:val="00295059"/>
    <w:rsid w:val="00295BC5"/>
    <w:rsid w:val="002963EA"/>
    <w:rsid w:val="00296551"/>
    <w:rsid w:val="00296920"/>
    <w:rsid w:val="002975B1"/>
    <w:rsid w:val="00297B67"/>
    <w:rsid w:val="002A0381"/>
    <w:rsid w:val="002A0E9B"/>
    <w:rsid w:val="002A0FFF"/>
    <w:rsid w:val="002A124A"/>
    <w:rsid w:val="002A1494"/>
    <w:rsid w:val="002A18CE"/>
    <w:rsid w:val="002A2D0B"/>
    <w:rsid w:val="002A301E"/>
    <w:rsid w:val="002A35DB"/>
    <w:rsid w:val="002A3963"/>
    <w:rsid w:val="002A4090"/>
    <w:rsid w:val="002A4A30"/>
    <w:rsid w:val="002A4FC7"/>
    <w:rsid w:val="002A52FC"/>
    <w:rsid w:val="002A569E"/>
    <w:rsid w:val="002A5EA0"/>
    <w:rsid w:val="002A5EA3"/>
    <w:rsid w:val="002A618B"/>
    <w:rsid w:val="002A63DF"/>
    <w:rsid w:val="002A6433"/>
    <w:rsid w:val="002A66A2"/>
    <w:rsid w:val="002A6948"/>
    <w:rsid w:val="002A6AFF"/>
    <w:rsid w:val="002A6DC5"/>
    <w:rsid w:val="002A7761"/>
    <w:rsid w:val="002A7A3F"/>
    <w:rsid w:val="002B042C"/>
    <w:rsid w:val="002B06AA"/>
    <w:rsid w:val="002B0BF6"/>
    <w:rsid w:val="002B0D4F"/>
    <w:rsid w:val="002B1A0B"/>
    <w:rsid w:val="002B1A14"/>
    <w:rsid w:val="002B1B5C"/>
    <w:rsid w:val="002B24EA"/>
    <w:rsid w:val="002B2799"/>
    <w:rsid w:val="002B2AB9"/>
    <w:rsid w:val="002B2C79"/>
    <w:rsid w:val="002B2CCC"/>
    <w:rsid w:val="002B30A2"/>
    <w:rsid w:val="002B3192"/>
    <w:rsid w:val="002B31A9"/>
    <w:rsid w:val="002B3540"/>
    <w:rsid w:val="002B3830"/>
    <w:rsid w:val="002B39C3"/>
    <w:rsid w:val="002B39FD"/>
    <w:rsid w:val="002B3A6A"/>
    <w:rsid w:val="002B3F34"/>
    <w:rsid w:val="002B4512"/>
    <w:rsid w:val="002B464D"/>
    <w:rsid w:val="002B522D"/>
    <w:rsid w:val="002B54E1"/>
    <w:rsid w:val="002B5C21"/>
    <w:rsid w:val="002B6840"/>
    <w:rsid w:val="002B71D9"/>
    <w:rsid w:val="002B7FB4"/>
    <w:rsid w:val="002C0646"/>
    <w:rsid w:val="002C0C93"/>
    <w:rsid w:val="002C142C"/>
    <w:rsid w:val="002C1741"/>
    <w:rsid w:val="002C1C5F"/>
    <w:rsid w:val="002C21DD"/>
    <w:rsid w:val="002C24FE"/>
    <w:rsid w:val="002C25B8"/>
    <w:rsid w:val="002C2630"/>
    <w:rsid w:val="002C2C04"/>
    <w:rsid w:val="002C3567"/>
    <w:rsid w:val="002C398D"/>
    <w:rsid w:val="002C3E8C"/>
    <w:rsid w:val="002C40A4"/>
    <w:rsid w:val="002C487B"/>
    <w:rsid w:val="002C4B23"/>
    <w:rsid w:val="002C4CBA"/>
    <w:rsid w:val="002C4DA7"/>
    <w:rsid w:val="002C5173"/>
    <w:rsid w:val="002C5320"/>
    <w:rsid w:val="002C659D"/>
    <w:rsid w:val="002C6EFC"/>
    <w:rsid w:val="002C72E4"/>
    <w:rsid w:val="002C7619"/>
    <w:rsid w:val="002C786C"/>
    <w:rsid w:val="002C78BB"/>
    <w:rsid w:val="002C7B3E"/>
    <w:rsid w:val="002C7BE3"/>
    <w:rsid w:val="002D059E"/>
    <w:rsid w:val="002D0687"/>
    <w:rsid w:val="002D09C2"/>
    <w:rsid w:val="002D0C89"/>
    <w:rsid w:val="002D1269"/>
    <w:rsid w:val="002D1E66"/>
    <w:rsid w:val="002D2996"/>
    <w:rsid w:val="002D2A28"/>
    <w:rsid w:val="002D2F3B"/>
    <w:rsid w:val="002D3425"/>
    <w:rsid w:val="002D40DE"/>
    <w:rsid w:val="002D41B7"/>
    <w:rsid w:val="002D41FA"/>
    <w:rsid w:val="002D4281"/>
    <w:rsid w:val="002D4796"/>
    <w:rsid w:val="002D4974"/>
    <w:rsid w:val="002D49B0"/>
    <w:rsid w:val="002D4A19"/>
    <w:rsid w:val="002D4DFC"/>
    <w:rsid w:val="002D502E"/>
    <w:rsid w:val="002D50F7"/>
    <w:rsid w:val="002D5411"/>
    <w:rsid w:val="002D555A"/>
    <w:rsid w:val="002D6C69"/>
    <w:rsid w:val="002D6CEC"/>
    <w:rsid w:val="002D71A9"/>
    <w:rsid w:val="002D71AF"/>
    <w:rsid w:val="002D724C"/>
    <w:rsid w:val="002D7398"/>
    <w:rsid w:val="002E0442"/>
    <w:rsid w:val="002E0C19"/>
    <w:rsid w:val="002E0D5A"/>
    <w:rsid w:val="002E0F3D"/>
    <w:rsid w:val="002E13DF"/>
    <w:rsid w:val="002E14B6"/>
    <w:rsid w:val="002E150A"/>
    <w:rsid w:val="002E1B52"/>
    <w:rsid w:val="002E24B8"/>
    <w:rsid w:val="002E28C0"/>
    <w:rsid w:val="002E29A3"/>
    <w:rsid w:val="002E2F5E"/>
    <w:rsid w:val="002E30FD"/>
    <w:rsid w:val="002E3537"/>
    <w:rsid w:val="002E3DAF"/>
    <w:rsid w:val="002E4098"/>
    <w:rsid w:val="002E41A5"/>
    <w:rsid w:val="002E4710"/>
    <w:rsid w:val="002E4765"/>
    <w:rsid w:val="002E5A03"/>
    <w:rsid w:val="002E5CD2"/>
    <w:rsid w:val="002E66E3"/>
    <w:rsid w:val="002E6DDA"/>
    <w:rsid w:val="002E6E93"/>
    <w:rsid w:val="002E7805"/>
    <w:rsid w:val="002E7A9B"/>
    <w:rsid w:val="002E7C3A"/>
    <w:rsid w:val="002F050A"/>
    <w:rsid w:val="002F054C"/>
    <w:rsid w:val="002F0CAF"/>
    <w:rsid w:val="002F129C"/>
    <w:rsid w:val="002F1AFB"/>
    <w:rsid w:val="002F1F99"/>
    <w:rsid w:val="002F238B"/>
    <w:rsid w:val="002F241F"/>
    <w:rsid w:val="002F28D5"/>
    <w:rsid w:val="002F2C5E"/>
    <w:rsid w:val="002F2DB2"/>
    <w:rsid w:val="002F309E"/>
    <w:rsid w:val="002F32FF"/>
    <w:rsid w:val="002F3654"/>
    <w:rsid w:val="002F3A73"/>
    <w:rsid w:val="002F3A9C"/>
    <w:rsid w:val="002F3B72"/>
    <w:rsid w:val="002F3CDA"/>
    <w:rsid w:val="002F3FDC"/>
    <w:rsid w:val="002F4004"/>
    <w:rsid w:val="002F4065"/>
    <w:rsid w:val="002F40A2"/>
    <w:rsid w:val="002F41B7"/>
    <w:rsid w:val="002F45AD"/>
    <w:rsid w:val="002F4F99"/>
    <w:rsid w:val="002F5159"/>
    <w:rsid w:val="002F51C6"/>
    <w:rsid w:val="002F5C9F"/>
    <w:rsid w:val="002F5DED"/>
    <w:rsid w:val="002F5EAD"/>
    <w:rsid w:val="002F5F00"/>
    <w:rsid w:val="002F6127"/>
    <w:rsid w:val="002F6153"/>
    <w:rsid w:val="002F632F"/>
    <w:rsid w:val="002F64C6"/>
    <w:rsid w:val="002F6581"/>
    <w:rsid w:val="002F6AF8"/>
    <w:rsid w:val="002F6E86"/>
    <w:rsid w:val="002F6EE2"/>
    <w:rsid w:val="002F7180"/>
    <w:rsid w:val="002F739B"/>
    <w:rsid w:val="002F7977"/>
    <w:rsid w:val="002F7982"/>
    <w:rsid w:val="003000AC"/>
    <w:rsid w:val="0030014C"/>
    <w:rsid w:val="00300393"/>
    <w:rsid w:val="00300602"/>
    <w:rsid w:val="0030138F"/>
    <w:rsid w:val="0030142E"/>
    <w:rsid w:val="00301ADF"/>
    <w:rsid w:val="00301BE7"/>
    <w:rsid w:val="00302451"/>
    <w:rsid w:val="00302D2B"/>
    <w:rsid w:val="00302D91"/>
    <w:rsid w:val="003030BA"/>
    <w:rsid w:val="00303627"/>
    <w:rsid w:val="003037EA"/>
    <w:rsid w:val="00303D11"/>
    <w:rsid w:val="003045C9"/>
    <w:rsid w:val="0030468A"/>
    <w:rsid w:val="00304E82"/>
    <w:rsid w:val="00304F1C"/>
    <w:rsid w:val="00305224"/>
    <w:rsid w:val="0030537B"/>
    <w:rsid w:val="00305666"/>
    <w:rsid w:val="003056A2"/>
    <w:rsid w:val="00305C63"/>
    <w:rsid w:val="00306210"/>
    <w:rsid w:val="00306637"/>
    <w:rsid w:val="00306CD7"/>
    <w:rsid w:val="0030757A"/>
    <w:rsid w:val="003077BE"/>
    <w:rsid w:val="00307D70"/>
    <w:rsid w:val="003105F6"/>
    <w:rsid w:val="0031085E"/>
    <w:rsid w:val="00311403"/>
    <w:rsid w:val="0031192C"/>
    <w:rsid w:val="00311D99"/>
    <w:rsid w:val="00312617"/>
    <w:rsid w:val="00312CCC"/>
    <w:rsid w:val="00312D83"/>
    <w:rsid w:val="0031347F"/>
    <w:rsid w:val="003138D1"/>
    <w:rsid w:val="00313B85"/>
    <w:rsid w:val="00314669"/>
    <w:rsid w:val="00314CEA"/>
    <w:rsid w:val="00315051"/>
    <w:rsid w:val="00315411"/>
    <w:rsid w:val="0031560A"/>
    <w:rsid w:val="003159A9"/>
    <w:rsid w:val="00315C10"/>
    <w:rsid w:val="00315D95"/>
    <w:rsid w:val="00315DB3"/>
    <w:rsid w:val="003162BF"/>
    <w:rsid w:val="003164C6"/>
    <w:rsid w:val="0031673F"/>
    <w:rsid w:val="0031679E"/>
    <w:rsid w:val="00316824"/>
    <w:rsid w:val="0031731A"/>
    <w:rsid w:val="00320196"/>
    <w:rsid w:val="00320207"/>
    <w:rsid w:val="003209F0"/>
    <w:rsid w:val="00320CA3"/>
    <w:rsid w:val="00320D36"/>
    <w:rsid w:val="00320E8A"/>
    <w:rsid w:val="0032124B"/>
    <w:rsid w:val="00321456"/>
    <w:rsid w:val="0032161E"/>
    <w:rsid w:val="003216DE"/>
    <w:rsid w:val="00321F7D"/>
    <w:rsid w:val="003220F1"/>
    <w:rsid w:val="003221FD"/>
    <w:rsid w:val="0032229F"/>
    <w:rsid w:val="00322391"/>
    <w:rsid w:val="003224CA"/>
    <w:rsid w:val="0032289E"/>
    <w:rsid w:val="00322BCC"/>
    <w:rsid w:val="00322D1A"/>
    <w:rsid w:val="0032451B"/>
    <w:rsid w:val="003247C7"/>
    <w:rsid w:val="00324B1D"/>
    <w:rsid w:val="00324FB0"/>
    <w:rsid w:val="00325177"/>
    <w:rsid w:val="0032532F"/>
    <w:rsid w:val="003254D0"/>
    <w:rsid w:val="003259D3"/>
    <w:rsid w:val="00325E70"/>
    <w:rsid w:val="003261D4"/>
    <w:rsid w:val="0032665D"/>
    <w:rsid w:val="00326961"/>
    <w:rsid w:val="00326AC3"/>
    <w:rsid w:val="003277D7"/>
    <w:rsid w:val="00327983"/>
    <w:rsid w:val="00327FC5"/>
    <w:rsid w:val="003300E7"/>
    <w:rsid w:val="003304F3"/>
    <w:rsid w:val="003305F2"/>
    <w:rsid w:val="00330726"/>
    <w:rsid w:val="00330C68"/>
    <w:rsid w:val="00331293"/>
    <w:rsid w:val="00331503"/>
    <w:rsid w:val="0033251E"/>
    <w:rsid w:val="003329F0"/>
    <w:rsid w:val="003329F7"/>
    <w:rsid w:val="00332B7A"/>
    <w:rsid w:val="00332BDF"/>
    <w:rsid w:val="00332C09"/>
    <w:rsid w:val="0033317B"/>
    <w:rsid w:val="003332AB"/>
    <w:rsid w:val="00333BA8"/>
    <w:rsid w:val="00333C3D"/>
    <w:rsid w:val="00333F84"/>
    <w:rsid w:val="00334916"/>
    <w:rsid w:val="00334ADB"/>
    <w:rsid w:val="003350EC"/>
    <w:rsid w:val="003352C1"/>
    <w:rsid w:val="0033568F"/>
    <w:rsid w:val="00335747"/>
    <w:rsid w:val="003359ED"/>
    <w:rsid w:val="00335B80"/>
    <w:rsid w:val="00335EA5"/>
    <w:rsid w:val="00335F22"/>
    <w:rsid w:val="00335FD9"/>
    <w:rsid w:val="00336312"/>
    <w:rsid w:val="00336541"/>
    <w:rsid w:val="00336FE8"/>
    <w:rsid w:val="003370B3"/>
    <w:rsid w:val="003371AE"/>
    <w:rsid w:val="003373C8"/>
    <w:rsid w:val="0034073B"/>
    <w:rsid w:val="00340E32"/>
    <w:rsid w:val="00340F52"/>
    <w:rsid w:val="00341620"/>
    <w:rsid w:val="0034169E"/>
    <w:rsid w:val="00341FCE"/>
    <w:rsid w:val="003420F5"/>
    <w:rsid w:val="00342389"/>
    <w:rsid w:val="0034249A"/>
    <w:rsid w:val="003426CA"/>
    <w:rsid w:val="00342C05"/>
    <w:rsid w:val="003431E3"/>
    <w:rsid w:val="0034327C"/>
    <w:rsid w:val="00343969"/>
    <w:rsid w:val="00343CD2"/>
    <w:rsid w:val="00344EB9"/>
    <w:rsid w:val="00344EFA"/>
    <w:rsid w:val="0034570F"/>
    <w:rsid w:val="00345BC2"/>
    <w:rsid w:val="00346460"/>
    <w:rsid w:val="00346675"/>
    <w:rsid w:val="003468F0"/>
    <w:rsid w:val="00346E90"/>
    <w:rsid w:val="003470D9"/>
    <w:rsid w:val="003472B3"/>
    <w:rsid w:val="003476B4"/>
    <w:rsid w:val="0034794F"/>
    <w:rsid w:val="00350320"/>
    <w:rsid w:val="003504DA"/>
    <w:rsid w:val="003505E0"/>
    <w:rsid w:val="00350CD5"/>
    <w:rsid w:val="00350DAD"/>
    <w:rsid w:val="00350FE1"/>
    <w:rsid w:val="0035218A"/>
    <w:rsid w:val="0035246A"/>
    <w:rsid w:val="003528CC"/>
    <w:rsid w:val="00352A0B"/>
    <w:rsid w:val="00352B52"/>
    <w:rsid w:val="00352DF7"/>
    <w:rsid w:val="003534AF"/>
    <w:rsid w:val="003537B1"/>
    <w:rsid w:val="003538B3"/>
    <w:rsid w:val="00353930"/>
    <w:rsid w:val="003541B3"/>
    <w:rsid w:val="00354347"/>
    <w:rsid w:val="00354754"/>
    <w:rsid w:val="00355015"/>
    <w:rsid w:val="00355265"/>
    <w:rsid w:val="003554A4"/>
    <w:rsid w:val="0035592E"/>
    <w:rsid w:val="0035593E"/>
    <w:rsid w:val="0035604D"/>
    <w:rsid w:val="00356901"/>
    <w:rsid w:val="0035693D"/>
    <w:rsid w:val="0035699A"/>
    <w:rsid w:val="003569CF"/>
    <w:rsid w:val="00356EFE"/>
    <w:rsid w:val="00357058"/>
    <w:rsid w:val="003570E2"/>
    <w:rsid w:val="00357EB4"/>
    <w:rsid w:val="0036023E"/>
    <w:rsid w:val="00360A56"/>
    <w:rsid w:val="00360A8C"/>
    <w:rsid w:val="00360C26"/>
    <w:rsid w:val="00360F34"/>
    <w:rsid w:val="0036124D"/>
    <w:rsid w:val="0036130D"/>
    <w:rsid w:val="00361464"/>
    <w:rsid w:val="00361621"/>
    <w:rsid w:val="003617E2"/>
    <w:rsid w:val="0036190B"/>
    <w:rsid w:val="00361E1A"/>
    <w:rsid w:val="00361E82"/>
    <w:rsid w:val="0036243F"/>
    <w:rsid w:val="003626CA"/>
    <w:rsid w:val="00362FEE"/>
    <w:rsid w:val="0036307A"/>
    <w:rsid w:val="00363088"/>
    <w:rsid w:val="003635E6"/>
    <w:rsid w:val="00364073"/>
    <w:rsid w:val="0036436A"/>
    <w:rsid w:val="0036453A"/>
    <w:rsid w:val="00364743"/>
    <w:rsid w:val="00364968"/>
    <w:rsid w:val="00364B63"/>
    <w:rsid w:val="00364C26"/>
    <w:rsid w:val="00364D11"/>
    <w:rsid w:val="00365159"/>
    <w:rsid w:val="0036525D"/>
    <w:rsid w:val="0036551D"/>
    <w:rsid w:val="003656D8"/>
    <w:rsid w:val="003657A0"/>
    <w:rsid w:val="003658A7"/>
    <w:rsid w:val="003658DE"/>
    <w:rsid w:val="00365BAA"/>
    <w:rsid w:val="0036637A"/>
    <w:rsid w:val="0036659E"/>
    <w:rsid w:val="0036681F"/>
    <w:rsid w:val="0036689B"/>
    <w:rsid w:val="003669FB"/>
    <w:rsid w:val="00366B20"/>
    <w:rsid w:val="00366C2D"/>
    <w:rsid w:val="00367893"/>
    <w:rsid w:val="00370565"/>
    <w:rsid w:val="00370675"/>
    <w:rsid w:val="003706B9"/>
    <w:rsid w:val="00370C90"/>
    <w:rsid w:val="003713CF"/>
    <w:rsid w:val="00371C8A"/>
    <w:rsid w:val="00371F7C"/>
    <w:rsid w:val="003722F9"/>
    <w:rsid w:val="003724F6"/>
    <w:rsid w:val="00372BA6"/>
    <w:rsid w:val="00373776"/>
    <w:rsid w:val="003737B6"/>
    <w:rsid w:val="00373B35"/>
    <w:rsid w:val="00373CCE"/>
    <w:rsid w:val="00373FC2"/>
    <w:rsid w:val="00374A98"/>
    <w:rsid w:val="00374C18"/>
    <w:rsid w:val="00375103"/>
    <w:rsid w:val="0037528A"/>
    <w:rsid w:val="003753B9"/>
    <w:rsid w:val="00375628"/>
    <w:rsid w:val="0037565A"/>
    <w:rsid w:val="00375C83"/>
    <w:rsid w:val="00375E9B"/>
    <w:rsid w:val="003762E7"/>
    <w:rsid w:val="00376365"/>
    <w:rsid w:val="00376496"/>
    <w:rsid w:val="00376728"/>
    <w:rsid w:val="00376AE9"/>
    <w:rsid w:val="00376FDB"/>
    <w:rsid w:val="0037738B"/>
    <w:rsid w:val="003801F3"/>
    <w:rsid w:val="00380220"/>
    <w:rsid w:val="00380259"/>
    <w:rsid w:val="00380910"/>
    <w:rsid w:val="0038104C"/>
    <w:rsid w:val="0038187A"/>
    <w:rsid w:val="00381C57"/>
    <w:rsid w:val="00381FFA"/>
    <w:rsid w:val="00382113"/>
    <w:rsid w:val="003823B1"/>
    <w:rsid w:val="00382752"/>
    <w:rsid w:val="00382C28"/>
    <w:rsid w:val="00382E21"/>
    <w:rsid w:val="00383959"/>
    <w:rsid w:val="003841CF"/>
    <w:rsid w:val="003843D5"/>
    <w:rsid w:val="003846E2"/>
    <w:rsid w:val="003848AB"/>
    <w:rsid w:val="003850C5"/>
    <w:rsid w:val="003856DB"/>
    <w:rsid w:val="00385C06"/>
    <w:rsid w:val="00385F12"/>
    <w:rsid w:val="003862D9"/>
    <w:rsid w:val="00386E53"/>
    <w:rsid w:val="003871C0"/>
    <w:rsid w:val="00387672"/>
    <w:rsid w:val="00387A1E"/>
    <w:rsid w:val="00387B6F"/>
    <w:rsid w:val="00387DE8"/>
    <w:rsid w:val="0039032D"/>
    <w:rsid w:val="003904E0"/>
    <w:rsid w:val="0039094C"/>
    <w:rsid w:val="00390D74"/>
    <w:rsid w:val="00391322"/>
    <w:rsid w:val="0039175F"/>
    <w:rsid w:val="003926BA"/>
    <w:rsid w:val="00392817"/>
    <w:rsid w:val="00392A11"/>
    <w:rsid w:val="00392CD6"/>
    <w:rsid w:val="00392D95"/>
    <w:rsid w:val="00392F65"/>
    <w:rsid w:val="00393151"/>
    <w:rsid w:val="00393C4C"/>
    <w:rsid w:val="00394224"/>
    <w:rsid w:val="0039441A"/>
    <w:rsid w:val="00394517"/>
    <w:rsid w:val="00394E4D"/>
    <w:rsid w:val="0039508B"/>
    <w:rsid w:val="00395741"/>
    <w:rsid w:val="00395AF4"/>
    <w:rsid w:val="0039605F"/>
    <w:rsid w:val="003962B5"/>
    <w:rsid w:val="003964D3"/>
    <w:rsid w:val="00396BAC"/>
    <w:rsid w:val="003972C8"/>
    <w:rsid w:val="003974EE"/>
    <w:rsid w:val="003A0A2E"/>
    <w:rsid w:val="003A0F8E"/>
    <w:rsid w:val="003A1595"/>
    <w:rsid w:val="003A1C3F"/>
    <w:rsid w:val="003A1CDA"/>
    <w:rsid w:val="003A2538"/>
    <w:rsid w:val="003A26B2"/>
    <w:rsid w:val="003A2B14"/>
    <w:rsid w:val="003A2C21"/>
    <w:rsid w:val="003A2D39"/>
    <w:rsid w:val="003A3471"/>
    <w:rsid w:val="003A3AB9"/>
    <w:rsid w:val="003A45BF"/>
    <w:rsid w:val="003A49A2"/>
    <w:rsid w:val="003A49AE"/>
    <w:rsid w:val="003A4CDB"/>
    <w:rsid w:val="003A5183"/>
    <w:rsid w:val="003A5964"/>
    <w:rsid w:val="003A6735"/>
    <w:rsid w:val="003A68F9"/>
    <w:rsid w:val="003A6ACD"/>
    <w:rsid w:val="003A6C57"/>
    <w:rsid w:val="003A6E15"/>
    <w:rsid w:val="003A7750"/>
    <w:rsid w:val="003A7AA6"/>
    <w:rsid w:val="003A7EE3"/>
    <w:rsid w:val="003B01D1"/>
    <w:rsid w:val="003B0682"/>
    <w:rsid w:val="003B07B4"/>
    <w:rsid w:val="003B083D"/>
    <w:rsid w:val="003B0981"/>
    <w:rsid w:val="003B17AE"/>
    <w:rsid w:val="003B1E40"/>
    <w:rsid w:val="003B1FD9"/>
    <w:rsid w:val="003B21B1"/>
    <w:rsid w:val="003B22A9"/>
    <w:rsid w:val="003B2357"/>
    <w:rsid w:val="003B2865"/>
    <w:rsid w:val="003B2ECE"/>
    <w:rsid w:val="003B32B6"/>
    <w:rsid w:val="003B33D8"/>
    <w:rsid w:val="003B3A4E"/>
    <w:rsid w:val="003B4010"/>
    <w:rsid w:val="003B40AA"/>
    <w:rsid w:val="003B4CD2"/>
    <w:rsid w:val="003B5714"/>
    <w:rsid w:val="003B5E92"/>
    <w:rsid w:val="003B6549"/>
    <w:rsid w:val="003B66F2"/>
    <w:rsid w:val="003B6F3A"/>
    <w:rsid w:val="003B7352"/>
    <w:rsid w:val="003B7564"/>
    <w:rsid w:val="003B776A"/>
    <w:rsid w:val="003B7D13"/>
    <w:rsid w:val="003B7F87"/>
    <w:rsid w:val="003B7F88"/>
    <w:rsid w:val="003C0975"/>
    <w:rsid w:val="003C0BA0"/>
    <w:rsid w:val="003C15BF"/>
    <w:rsid w:val="003C1D62"/>
    <w:rsid w:val="003C2988"/>
    <w:rsid w:val="003C2E35"/>
    <w:rsid w:val="003C2E7C"/>
    <w:rsid w:val="003C30DC"/>
    <w:rsid w:val="003C33EF"/>
    <w:rsid w:val="003C3535"/>
    <w:rsid w:val="003C3AB0"/>
    <w:rsid w:val="003C3CBB"/>
    <w:rsid w:val="003C4194"/>
    <w:rsid w:val="003C41D2"/>
    <w:rsid w:val="003C4238"/>
    <w:rsid w:val="003C4397"/>
    <w:rsid w:val="003C4D8A"/>
    <w:rsid w:val="003C4E60"/>
    <w:rsid w:val="003C5034"/>
    <w:rsid w:val="003C5135"/>
    <w:rsid w:val="003C5513"/>
    <w:rsid w:val="003C55EE"/>
    <w:rsid w:val="003C5A50"/>
    <w:rsid w:val="003C5DCD"/>
    <w:rsid w:val="003C5F67"/>
    <w:rsid w:val="003C624E"/>
    <w:rsid w:val="003C6617"/>
    <w:rsid w:val="003C6835"/>
    <w:rsid w:val="003C6B10"/>
    <w:rsid w:val="003C6EAA"/>
    <w:rsid w:val="003C6F21"/>
    <w:rsid w:val="003C6F71"/>
    <w:rsid w:val="003C7725"/>
    <w:rsid w:val="003C772A"/>
    <w:rsid w:val="003C7743"/>
    <w:rsid w:val="003D00CD"/>
    <w:rsid w:val="003D06D4"/>
    <w:rsid w:val="003D0972"/>
    <w:rsid w:val="003D09AE"/>
    <w:rsid w:val="003D0C10"/>
    <w:rsid w:val="003D0F6A"/>
    <w:rsid w:val="003D14FE"/>
    <w:rsid w:val="003D162C"/>
    <w:rsid w:val="003D1801"/>
    <w:rsid w:val="003D1910"/>
    <w:rsid w:val="003D1BE8"/>
    <w:rsid w:val="003D1D56"/>
    <w:rsid w:val="003D20E3"/>
    <w:rsid w:val="003D22F9"/>
    <w:rsid w:val="003D2534"/>
    <w:rsid w:val="003D2E5C"/>
    <w:rsid w:val="003D37D9"/>
    <w:rsid w:val="003D3A6E"/>
    <w:rsid w:val="003D3BF6"/>
    <w:rsid w:val="003D4666"/>
    <w:rsid w:val="003D4A3B"/>
    <w:rsid w:val="003D4AE3"/>
    <w:rsid w:val="003D4C99"/>
    <w:rsid w:val="003D58F4"/>
    <w:rsid w:val="003D5F68"/>
    <w:rsid w:val="003D6094"/>
    <w:rsid w:val="003D6261"/>
    <w:rsid w:val="003D62E0"/>
    <w:rsid w:val="003D6952"/>
    <w:rsid w:val="003D6AB9"/>
    <w:rsid w:val="003D70F0"/>
    <w:rsid w:val="003D7121"/>
    <w:rsid w:val="003D73F4"/>
    <w:rsid w:val="003D73FE"/>
    <w:rsid w:val="003D789A"/>
    <w:rsid w:val="003D7FBA"/>
    <w:rsid w:val="003E06D8"/>
    <w:rsid w:val="003E0969"/>
    <w:rsid w:val="003E1211"/>
    <w:rsid w:val="003E176B"/>
    <w:rsid w:val="003E26CB"/>
    <w:rsid w:val="003E2FD0"/>
    <w:rsid w:val="003E315C"/>
    <w:rsid w:val="003E32AD"/>
    <w:rsid w:val="003E34A0"/>
    <w:rsid w:val="003E495F"/>
    <w:rsid w:val="003E561A"/>
    <w:rsid w:val="003E5BE7"/>
    <w:rsid w:val="003E5D38"/>
    <w:rsid w:val="003E5DB8"/>
    <w:rsid w:val="003E722B"/>
    <w:rsid w:val="003E76BF"/>
    <w:rsid w:val="003E7B23"/>
    <w:rsid w:val="003E7B2A"/>
    <w:rsid w:val="003E7E69"/>
    <w:rsid w:val="003F1AFA"/>
    <w:rsid w:val="003F1B84"/>
    <w:rsid w:val="003F1D79"/>
    <w:rsid w:val="003F2355"/>
    <w:rsid w:val="003F262A"/>
    <w:rsid w:val="003F2B59"/>
    <w:rsid w:val="003F2C0C"/>
    <w:rsid w:val="003F2DE2"/>
    <w:rsid w:val="003F3415"/>
    <w:rsid w:val="003F3525"/>
    <w:rsid w:val="003F3A9C"/>
    <w:rsid w:val="003F3B10"/>
    <w:rsid w:val="003F3B1B"/>
    <w:rsid w:val="003F3FAD"/>
    <w:rsid w:val="003F405F"/>
    <w:rsid w:val="003F4B97"/>
    <w:rsid w:val="003F4D42"/>
    <w:rsid w:val="003F5050"/>
    <w:rsid w:val="003F52AD"/>
    <w:rsid w:val="003F547D"/>
    <w:rsid w:val="003F615A"/>
    <w:rsid w:val="003F6552"/>
    <w:rsid w:val="003F7C4D"/>
    <w:rsid w:val="00400A12"/>
    <w:rsid w:val="00400D17"/>
    <w:rsid w:val="004010C8"/>
    <w:rsid w:val="004012BA"/>
    <w:rsid w:val="004013C4"/>
    <w:rsid w:val="00402308"/>
    <w:rsid w:val="004031FB"/>
    <w:rsid w:val="00403247"/>
    <w:rsid w:val="00403752"/>
    <w:rsid w:val="00403A9D"/>
    <w:rsid w:val="004040C6"/>
    <w:rsid w:val="00404325"/>
    <w:rsid w:val="00404776"/>
    <w:rsid w:val="00404CA0"/>
    <w:rsid w:val="00404F42"/>
    <w:rsid w:val="00405060"/>
    <w:rsid w:val="00405212"/>
    <w:rsid w:val="00405A31"/>
    <w:rsid w:val="00405D92"/>
    <w:rsid w:val="004061C1"/>
    <w:rsid w:val="0040622C"/>
    <w:rsid w:val="004069F1"/>
    <w:rsid w:val="00406E8C"/>
    <w:rsid w:val="004074D5"/>
    <w:rsid w:val="00407D3A"/>
    <w:rsid w:val="00407E27"/>
    <w:rsid w:val="00410235"/>
    <w:rsid w:val="004104AA"/>
    <w:rsid w:val="00410547"/>
    <w:rsid w:val="00410912"/>
    <w:rsid w:val="004114DC"/>
    <w:rsid w:val="0041169A"/>
    <w:rsid w:val="00411858"/>
    <w:rsid w:val="00411E95"/>
    <w:rsid w:val="0041236D"/>
    <w:rsid w:val="00412395"/>
    <w:rsid w:val="0041244C"/>
    <w:rsid w:val="004124B9"/>
    <w:rsid w:val="00413247"/>
    <w:rsid w:val="00413333"/>
    <w:rsid w:val="00413499"/>
    <w:rsid w:val="00414014"/>
    <w:rsid w:val="00414206"/>
    <w:rsid w:val="00414D4C"/>
    <w:rsid w:val="00414DBC"/>
    <w:rsid w:val="0041503E"/>
    <w:rsid w:val="00415EF7"/>
    <w:rsid w:val="004165E2"/>
    <w:rsid w:val="00416678"/>
    <w:rsid w:val="00416DFD"/>
    <w:rsid w:val="00416E8C"/>
    <w:rsid w:val="00416F8F"/>
    <w:rsid w:val="00417056"/>
    <w:rsid w:val="00417171"/>
    <w:rsid w:val="004171DA"/>
    <w:rsid w:val="004179FC"/>
    <w:rsid w:val="00420070"/>
    <w:rsid w:val="0042020D"/>
    <w:rsid w:val="004202E6"/>
    <w:rsid w:val="0042063E"/>
    <w:rsid w:val="00420765"/>
    <w:rsid w:val="004210FC"/>
    <w:rsid w:val="00421C8C"/>
    <w:rsid w:val="00421DF8"/>
    <w:rsid w:val="004226AC"/>
    <w:rsid w:val="00422E64"/>
    <w:rsid w:val="00423A81"/>
    <w:rsid w:val="00424766"/>
    <w:rsid w:val="0042487D"/>
    <w:rsid w:val="0042519B"/>
    <w:rsid w:val="00425245"/>
    <w:rsid w:val="00425449"/>
    <w:rsid w:val="00425593"/>
    <w:rsid w:val="00425778"/>
    <w:rsid w:val="00425CD8"/>
    <w:rsid w:val="00425D8F"/>
    <w:rsid w:val="00425DE3"/>
    <w:rsid w:val="00425E7C"/>
    <w:rsid w:val="004263C5"/>
    <w:rsid w:val="0042679A"/>
    <w:rsid w:val="0042708F"/>
    <w:rsid w:val="00427160"/>
    <w:rsid w:val="004273D0"/>
    <w:rsid w:val="00427810"/>
    <w:rsid w:val="004279A4"/>
    <w:rsid w:val="00427F97"/>
    <w:rsid w:val="004305FB"/>
    <w:rsid w:val="004306D6"/>
    <w:rsid w:val="00430AFC"/>
    <w:rsid w:val="00430E6A"/>
    <w:rsid w:val="00431176"/>
    <w:rsid w:val="004314D5"/>
    <w:rsid w:val="00431700"/>
    <w:rsid w:val="00431C01"/>
    <w:rsid w:val="00431C8B"/>
    <w:rsid w:val="00431E36"/>
    <w:rsid w:val="00431FA6"/>
    <w:rsid w:val="0043203B"/>
    <w:rsid w:val="00432096"/>
    <w:rsid w:val="0043237C"/>
    <w:rsid w:val="00432445"/>
    <w:rsid w:val="0043288D"/>
    <w:rsid w:val="00432FFE"/>
    <w:rsid w:val="00433074"/>
    <w:rsid w:val="00433160"/>
    <w:rsid w:val="00433213"/>
    <w:rsid w:val="0043345E"/>
    <w:rsid w:val="00434104"/>
    <w:rsid w:val="0043432A"/>
    <w:rsid w:val="004344E9"/>
    <w:rsid w:val="00434612"/>
    <w:rsid w:val="00434DC3"/>
    <w:rsid w:val="00435298"/>
    <w:rsid w:val="004353D7"/>
    <w:rsid w:val="00435599"/>
    <w:rsid w:val="00435AC8"/>
    <w:rsid w:val="00435CA3"/>
    <w:rsid w:val="00435CD5"/>
    <w:rsid w:val="00435D37"/>
    <w:rsid w:val="004362AE"/>
    <w:rsid w:val="004363FB"/>
    <w:rsid w:val="00436BC6"/>
    <w:rsid w:val="00437A5A"/>
    <w:rsid w:val="00440630"/>
    <w:rsid w:val="00440BC0"/>
    <w:rsid w:val="00440E7E"/>
    <w:rsid w:val="004410F9"/>
    <w:rsid w:val="00441174"/>
    <w:rsid w:val="00441245"/>
    <w:rsid w:val="004415F1"/>
    <w:rsid w:val="0044186A"/>
    <w:rsid w:val="00441E8A"/>
    <w:rsid w:val="00441EF8"/>
    <w:rsid w:val="004421D6"/>
    <w:rsid w:val="00442617"/>
    <w:rsid w:val="004426DE"/>
    <w:rsid w:val="00442B06"/>
    <w:rsid w:val="004432AC"/>
    <w:rsid w:val="0044430E"/>
    <w:rsid w:val="00444635"/>
    <w:rsid w:val="00444688"/>
    <w:rsid w:val="00444A4F"/>
    <w:rsid w:val="00444DE9"/>
    <w:rsid w:val="00445127"/>
    <w:rsid w:val="00445191"/>
    <w:rsid w:val="00445634"/>
    <w:rsid w:val="00445868"/>
    <w:rsid w:val="00445C0D"/>
    <w:rsid w:val="00446160"/>
    <w:rsid w:val="00446360"/>
    <w:rsid w:val="00446538"/>
    <w:rsid w:val="004466BB"/>
    <w:rsid w:val="004467B6"/>
    <w:rsid w:val="00446926"/>
    <w:rsid w:val="0044697F"/>
    <w:rsid w:val="0044748D"/>
    <w:rsid w:val="00447661"/>
    <w:rsid w:val="004477AA"/>
    <w:rsid w:val="004477E1"/>
    <w:rsid w:val="00447B2B"/>
    <w:rsid w:val="004501AD"/>
    <w:rsid w:val="00450877"/>
    <w:rsid w:val="004509C4"/>
    <w:rsid w:val="00450BDE"/>
    <w:rsid w:val="00450DE9"/>
    <w:rsid w:val="004516E8"/>
    <w:rsid w:val="00451E3C"/>
    <w:rsid w:val="00451F65"/>
    <w:rsid w:val="00452093"/>
    <w:rsid w:val="00452C76"/>
    <w:rsid w:val="00453080"/>
    <w:rsid w:val="0045393A"/>
    <w:rsid w:val="00454149"/>
    <w:rsid w:val="004544AE"/>
    <w:rsid w:val="00454622"/>
    <w:rsid w:val="004546EB"/>
    <w:rsid w:val="004548F2"/>
    <w:rsid w:val="00454DFD"/>
    <w:rsid w:val="00454FF5"/>
    <w:rsid w:val="00455393"/>
    <w:rsid w:val="00455406"/>
    <w:rsid w:val="00455BCB"/>
    <w:rsid w:val="00455F20"/>
    <w:rsid w:val="00455F5A"/>
    <w:rsid w:val="00456070"/>
    <w:rsid w:val="00456328"/>
    <w:rsid w:val="00456377"/>
    <w:rsid w:val="004563E4"/>
    <w:rsid w:val="00456D87"/>
    <w:rsid w:val="00456E44"/>
    <w:rsid w:val="0045745D"/>
    <w:rsid w:val="004577B7"/>
    <w:rsid w:val="00457B5F"/>
    <w:rsid w:val="00457C47"/>
    <w:rsid w:val="00457FD5"/>
    <w:rsid w:val="0046032D"/>
    <w:rsid w:val="0046068E"/>
    <w:rsid w:val="00460A3E"/>
    <w:rsid w:val="00462615"/>
    <w:rsid w:val="004629B3"/>
    <w:rsid w:val="00462E2C"/>
    <w:rsid w:val="00462F2B"/>
    <w:rsid w:val="00462FC6"/>
    <w:rsid w:val="00463179"/>
    <w:rsid w:val="004631BC"/>
    <w:rsid w:val="004637A3"/>
    <w:rsid w:val="0046439B"/>
    <w:rsid w:val="0046495B"/>
    <w:rsid w:val="00464C12"/>
    <w:rsid w:val="00464D5B"/>
    <w:rsid w:val="00465474"/>
    <w:rsid w:val="0046586D"/>
    <w:rsid w:val="00466208"/>
    <w:rsid w:val="004662D7"/>
    <w:rsid w:val="00466319"/>
    <w:rsid w:val="00466366"/>
    <w:rsid w:val="0046681C"/>
    <w:rsid w:val="00466A47"/>
    <w:rsid w:val="00466DE8"/>
    <w:rsid w:val="00467597"/>
    <w:rsid w:val="00467A6B"/>
    <w:rsid w:val="0047015B"/>
    <w:rsid w:val="00470347"/>
    <w:rsid w:val="00470488"/>
    <w:rsid w:val="00471482"/>
    <w:rsid w:val="00471C31"/>
    <w:rsid w:val="00471FCC"/>
    <w:rsid w:val="004724F8"/>
    <w:rsid w:val="00472A63"/>
    <w:rsid w:val="00473379"/>
    <w:rsid w:val="0047458E"/>
    <w:rsid w:val="00474DAE"/>
    <w:rsid w:val="00474FB7"/>
    <w:rsid w:val="00475292"/>
    <w:rsid w:val="00475740"/>
    <w:rsid w:val="004757F3"/>
    <w:rsid w:val="00475813"/>
    <w:rsid w:val="00475D8B"/>
    <w:rsid w:val="00476631"/>
    <w:rsid w:val="0047681E"/>
    <w:rsid w:val="0047683F"/>
    <w:rsid w:val="0047693A"/>
    <w:rsid w:val="00476AD1"/>
    <w:rsid w:val="004772E4"/>
    <w:rsid w:val="00477803"/>
    <w:rsid w:val="00477A35"/>
    <w:rsid w:val="00477F21"/>
    <w:rsid w:val="00477FFE"/>
    <w:rsid w:val="004802A7"/>
    <w:rsid w:val="00480475"/>
    <w:rsid w:val="0048073F"/>
    <w:rsid w:val="004808DC"/>
    <w:rsid w:val="00481239"/>
    <w:rsid w:val="004814B5"/>
    <w:rsid w:val="00481F33"/>
    <w:rsid w:val="004820C1"/>
    <w:rsid w:val="004822DA"/>
    <w:rsid w:val="004824AE"/>
    <w:rsid w:val="0048269F"/>
    <w:rsid w:val="00482E47"/>
    <w:rsid w:val="004832BF"/>
    <w:rsid w:val="004832D0"/>
    <w:rsid w:val="004833DF"/>
    <w:rsid w:val="0048362C"/>
    <w:rsid w:val="00483E5A"/>
    <w:rsid w:val="00484023"/>
    <w:rsid w:val="004840B9"/>
    <w:rsid w:val="004845BE"/>
    <w:rsid w:val="00484AE8"/>
    <w:rsid w:val="00484C0B"/>
    <w:rsid w:val="004851F4"/>
    <w:rsid w:val="00485809"/>
    <w:rsid w:val="00485DB0"/>
    <w:rsid w:val="00485DC5"/>
    <w:rsid w:val="00485E25"/>
    <w:rsid w:val="00485F88"/>
    <w:rsid w:val="0048634D"/>
    <w:rsid w:val="004863D6"/>
    <w:rsid w:val="004865AC"/>
    <w:rsid w:val="00486B8B"/>
    <w:rsid w:val="00487612"/>
    <w:rsid w:val="004907D9"/>
    <w:rsid w:val="004907FE"/>
    <w:rsid w:val="00490935"/>
    <w:rsid w:val="00490956"/>
    <w:rsid w:val="004909DE"/>
    <w:rsid w:val="00490A3C"/>
    <w:rsid w:val="00490E9A"/>
    <w:rsid w:val="0049141C"/>
    <w:rsid w:val="00491BC8"/>
    <w:rsid w:val="00491C75"/>
    <w:rsid w:val="00493C0F"/>
    <w:rsid w:val="00493DFA"/>
    <w:rsid w:val="00493F79"/>
    <w:rsid w:val="0049400C"/>
    <w:rsid w:val="00494AA0"/>
    <w:rsid w:val="00494EFE"/>
    <w:rsid w:val="0049502C"/>
    <w:rsid w:val="004950B2"/>
    <w:rsid w:val="004950C0"/>
    <w:rsid w:val="004952DF"/>
    <w:rsid w:val="0049542F"/>
    <w:rsid w:val="00495626"/>
    <w:rsid w:val="00495958"/>
    <w:rsid w:val="00495F02"/>
    <w:rsid w:val="00496307"/>
    <w:rsid w:val="004963E7"/>
    <w:rsid w:val="00496656"/>
    <w:rsid w:val="004967FA"/>
    <w:rsid w:val="004968AC"/>
    <w:rsid w:val="00496D9E"/>
    <w:rsid w:val="00496E9B"/>
    <w:rsid w:val="00497535"/>
    <w:rsid w:val="00497669"/>
    <w:rsid w:val="004977D3"/>
    <w:rsid w:val="004A017F"/>
    <w:rsid w:val="004A0267"/>
    <w:rsid w:val="004A0379"/>
    <w:rsid w:val="004A069A"/>
    <w:rsid w:val="004A10B1"/>
    <w:rsid w:val="004A1296"/>
    <w:rsid w:val="004A1673"/>
    <w:rsid w:val="004A17E9"/>
    <w:rsid w:val="004A19DD"/>
    <w:rsid w:val="004A1D21"/>
    <w:rsid w:val="004A20BB"/>
    <w:rsid w:val="004A2CFC"/>
    <w:rsid w:val="004A35C8"/>
    <w:rsid w:val="004A37C9"/>
    <w:rsid w:val="004A37F1"/>
    <w:rsid w:val="004A3873"/>
    <w:rsid w:val="004A3908"/>
    <w:rsid w:val="004A3AA6"/>
    <w:rsid w:val="004A3CEE"/>
    <w:rsid w:val="004A3D52"/>
    <w:rsid w:val="004A3EDF"/>
    <w:rsid w:val="004A42BB"/>
    <w:rsid w:val="004A46C1"/>
    <w:rsid w:val="004A472A"/>
    <w:rsid w:val="004A4EBF"/>
    <w:rsid w:val="004A4F6C"/>
    <w:rsid w:val="004A5936"/>
    <w:rsid w:val="004A5BD5"/>
    <w:rsid w:val="004A656F"/>
    <w:rsid w:val="004A6658"/>
    <w:rsid w:val="004A68AC"/>
    <w:rsid w:val="004A6CF4"/>
    <w:rsid w:val="004A707D"/>
    <w:rsid w:val="004A71C5"/>
    <w:rsid w:val="004A768F"/>
    <w:rsid w:val="004A787C"/>
    <w:rsid w:val="004A7E39"/>
    <w:rsid w:val="004B00FB"/>
    <w:rsid w:val="004B01ED"/>
    <w:rsid w:val="004B0288"/>
    <w:rsid w:val="004B082B"/>
    <w:rsid w:val="004B14BB"/>
    <w:rsid w:val="004B1848"/>
    <w:rsid w:val="004B190B"/>
    <w:rsid w:val="004B1B7E"/>
    <w:rsid w:val="004B1FBF"/>
    <w:rsid w:val="004B25C1"/>
    <w:rsid w:val="004B29B0"/>
    <w:rsid w:val="004B2A1D"/>
    <w:rsid w:val="004B2B58"/>
    <w:rsid w:val="004B301F"/>
    <w:rsid w:val="004B30BF"/>
    <w:rsid w:val="004B3CC9"/>
    <w:rsid w:val="004B4257"/>
    <w:rsid w:val="004B430F"/>
    <w:rsid w:val="004B47F8"/>
    <w:rsid w:val="004B4834"/>
    <w:rsid w:val="004B4ADB"/>
    <w:rsid w:val="004B4B05"/>
    <w:rsid w:val="004B4B82"/>
    <w:rsid w:val="004B4C43"/>
    <w:rsid w:val="004B4CD0"/>
    <w:rsid w:val="004B4FA1"/>
    <w:rsid w:val="004B5A1D"/>
    <w:rsid w:val="004B5C64"/>
    <w:rsid w:val="004B64A6"/>
    <w:rsid w:val="004B66DE"/>
    <w:rsid w:val="004B6E17"/>
    <w:rsid w:val="004B718C"/>
    <w:rsid w:val="004B71F3"/>
    <w:rsid w:val="004B7224"/>
    <w:rsid w:val="004B7731"/>
    <w:rsid w:val="004C03C6"/>
    <w:rsid w:val="004C056A"/>
    <w:rsid w:val="004C0F4D"/>
    <w:rsid w:val="004C0FC5"/>
    <w:rsid w:val="004C16B5"/>
    <w:rsid w:val="004C1895"/>
    <w:rsid w:val="004C1D32"/>
    <w:rsid w:val="004C1E7B"/>
    <w:rsid w:val="004C205F"/>
    <w:rsid w:val="004C20A3"/>
    <w:rsid w:val="004C2215"/>
    <w:rsid w:val="004C30DA"/>
    <w:rsid w:val="004C3766"/>
    <w:rsid w:val="004C393C"/>
    <w:rsid w:val="004C4740"/>
    <w:rsid w:val="004C478F"/>
    <w:rsid w:val="004C4C87"/>
    <w:rsid w:val="004C4F68"/>
    <w:rsid w:val="004C552F"/>
    <w:rsid w:val="004C580E"/>
    <w:rsid w:val="004C5A14"/>
    <w:rsid w:val="004C5AFA"/>
    <w:rsid w:val="004C6127"/>
    <w:rsid w:val="004C6367"/>
    <w:rsid w:val="004C6BCD"/>
    <w:rsid w:val="004C7F23"/>
    <w:rsid w:val="004C7F3E"/>
    <w:rsid w:val="004C7F49"/>
    <w:rsid w:val="004D01D3"/>
    <w:rsid w:val="004D0744"/>
    <w:rsid w:val="004D0FB9"/>
    <w:rsid w:val="004D1069"/>
    <w:rsid w:val="004D2099"/>
    <w:rsid w:val="004D2338"/>
    <w:rsid w:val="004D310C"/>
    <w:rsid w:val="004D3578"/>
    <w:rsid w:val="004D357D"/>
    <w:rsid w:val="004D39D3"/>
    <w:rsid w:val="004D3B4D"/>
    <w:rsid w:val="004D3F68"/>
    <w:rsid w:val="004D3FD4"/>
    <w:rsid w:val="004D4631"/>
    <w:rsid w:val="004D4E42"/>
    <w:rsid w:val="004D4EB9"/>
    <w:rsid w:val="004D5AC1"/>
    <w:rsid w:val="004D5D04"/>
    <w:rsid w:val="004D5E49"/>
    <w:rsid w:val="004D5E4F"/>
    <w:rsid w:val="004D6416"/>
    <w:rsid w:val="004D64C9"/>
    <w:rsid w:val="004D69C4"/>
    <w:rsid w:val="004D6B28"/>
    <w:rsid w:val="004D6BA5"/>
    <w:rsid w:val="004D6D4A"/>
    <w:rsid w:val="004D7405"/>
    <w:rsid w:val="004D756F"/>
    <w:rsid w:val="004D787B"/>
    <w:rsid w:val="004D793C"/>
    <w:rsid w:val="004D7CC0"/>
    <w:rsid w:val="004E04F7"/>
    <w:rsid w:val="004E192C"/>
    <w:rsid w:val="004E2088"/>
    <w:rsid w:val="004E26A7"/>
    <w:rsid w:val="004E284E"/>
    <w:rsid w:val="004E286C"/>
    <w:rsid w:val="004E332F"/>
    <w:rsid w:val="004E3F4A"/>
    <w:rsid w:val="004E4328"/>
    <w:rsid w:val="004E5593"/>
    <w:rsid w:val="004E57B3"/>
    <w:rsid w:val="004E5A0D"/>
    <w:rsid w:val="004E5B97"/>
    <w:rsid w:val="004E5E10"/>
    <w:rsid w:val="004E6768"/>
    <w:rsid w:val="004E6B5E"/>
    <w:rsid w:val="004E7158"/>
    <w:rsid w:val="004E71B0"/>
    <w:rsid w:val="004E71C9"/>
    <w:rsid w:val="004E74F1"/>
    <w:rsid w:val="004E74FF"/>
    <w:rsid w:val="004E77C7"/>
    <w:rsid w:val="004E7C2B"/>
    <w:rsid w:val="004E7C66"/>
    <w:rsid w:val="004F0474"/>
    <w:rsid w:val="004F074A"/>
    <w:rsid w:val="004F07A7"/>
    <w:rsid w:val="004F0B25"/>
    <w:rsid w:val="004F16E9"/>
    <w:rsid w:val="004F19BC"/>
    <w:rsid w:val="004F1C63"/>
    <w:rsid w:val="004F2172"/>
    <w:rsid w:val="004F232B"/>
    <w:rsid w:val="004F29E3"/>
    <w:rsid w:val="004F316E"/>
    <w:rsid w:val="004F37CF"/>
    <w:rsid w:val="004F3C2D"/>
    <w:rsid w:val="004F3E7F"/>
    <w:rsid w:val="004F42DA"/>
    <w:rsid w:val="004F44B8"/>
    <w:rsid w:val="004F45D5"/>
    <w:rsid w:val="004F4662"/>
    <w:rsid w:val="004F46A7"/>
    <w:rsid w:val="004F4C77"/>
    <w:rsid w:val="004F4F0A"/>
    <w:rsid w:val="004F51D0"/>
    <w:rsid w:val="004F5BFD"/>
    <w:rsid w:val="004F690E"/>
    <w:rsid w:val="004F69C5"/>
    <w:rsid w:val="004F6A99"/>
    <w:rsid w:val="004F6AEC"/>
    <w:rsid w:val="004F6C35"/>
    <w:rsid w:val="004F6C47"/>
    <w:rsid w:val="004F6D24"/>
    <w:rsid w:val="004F6E23"/>
    <w:rsid w:val="004F7100"/>
    <w:rsid w:val="004F77B1"/>
    <w:rsid w:val="005000AE"/>
    <w:rsid w:val="00500428"/>
    <w:rsid w:val="005007DC"/>
    <w:rsid w:val="005008C1"/>
    <w:rsid w:val="00500C5D"/>
    <w:rsid w:val="00500D5A"/>
    <w:rsid w:val="0050132A"/>
    <w:rsid w:val="0050147A"/>
    <w:rsid w:val="00501696"/>
    <w:rsid w:val="00501A3D"/>
    <w:rsid w:val="00501BF1"/>
    <w:rsid w:val="00501DC7"/>
    <w:rsid w:val="00502632"/>
    <w:rsid w:val="005026DB"/>
    <w:rsid w:val="00502A6D"/>
    <w:rsid w:val="00502E32"/>
    <w:rsid w:val="0050340E"/>
    <w:rsid w:val="00503420"/>
    <w:rsid w:val="00503642"/>
    <w:rsid w:val="005036E8"/>
    <w:rsid w:val="00503D1A"/>
    <w:rsid w:val="0050403A"/>
    <w:rsid w:val="00505204"/>
    <w:rsid w:val="005063CB"/>
    <w:rsid w:val="005064A6"/>
    <w:rsid w:val="00506991"/>
    <w:rsid w:val="00506A3F"/>
    <w:rsid w:val="00506CBB"/>
    <w:rsid w:val="0050704B"/>
    <w:rsid w:val="00507094"/>
    <w:rsid w:val="0050713D"/>
    <w:rsid w:val="005071B5"/>
    <w:rsid w:val="00507687"/>
    <w:rsid w:val="005077C3"/>
    <w:rsid w:val="00507E72"/>
    <w:rsid w:val="00510917"/>
    <w:rsid w:val="0051095E"/>
    <w:rsid w:val="00510D60"/>
    <w:rsid w:val="00511839"/>
    <w:rsid w:val="00511893"/>
    <w:rsid w:val="00511F7A"/>
    <w:rsid w:val="005122FD"/>
    <w:rsid w:val="0051254B"/>
    <w:rsid w:val="005128DD"/>
    <w:rsid w:val="005129D1"/>
    <w:rsid w:val="00513386"/>
    <w:rsid w:val="00513570"/>
    <w:rsid w:val="005135DD"/>
    <w:rsid w:val="00513735"/>
    <w:rsid w:val="00513949"/>
    <w:rsid w:val="00513CD3"/>
    <w:rsid w:val="00513D8F"/>
    <w:rsid w:val="00513FAB"/>
    <w:rsid w:val="00514DDA"/>
    <w:rsid w:val="005154FC"/>
    <w:rsid w:val="00515622"/>
    <w:rsid w:val="005157F9"/>
    <w:rsid w:val="00515AC3"/>
    <w:rsid w:val="0051688B"/>
    <w:rsid w:val="00516DB8"/>
    <w:rsid w:val="00516F39"/>
    <w:rsid w:val="005178E7"/>
    <w:rsid w:val="00517A26"/>
    <w:rsid w:val="00517B72"/>
    <w:rsid w:val="00517F20"/>
    <w:rsid w:val="00517FEE"/>
    <w:rsid w:val="0052025C"/>
    <w:rsid w:val="005202D7"/>
    <w:rsid w:val="00520483"/>
    <w:rsid w:val="005207DF"/>
    <w:rsid w:val="005207F3"/>
    <w:rsid w:val="00520ABA"/>
    <w:rsid w:val="00520C21"/>
    <w:rsid w:val="005212BB"/>
    <w:rsid w:val="005213E5"/>
    <w:rsid w:val="0052172B"/>
    <w:rsid w:val="00521A8B"/>
    <w:rsid w:val="00521A9C"/>
    <w:rsid w:val="00521AE2"/>
    <w:rsid w:val="00521B7A"/>
    <w:rsid w:val="00521E70"/>
    <w:rsid w:val="00522183"/>
    <w:rsid w:val="005224A9"/>
    <w:rsid w:val="00522572"/>
    <w:rsid w:val="00522803"/>
    <w:rsid w:val="00522AAF"/>
    <w:rsid w:val="005230A9"/>
    <w:rsid w:val="005231B4"/>
    <w:rsid w:val="00523354"/>
    <w:rsid w:val="005233FD"/>
    <w:rsid w:val="005236FB"/>
    <w:rsid w:val="005237C5"/>
    <w:rsid w:val="005238EB"/>
    <w:rsid w:val="00523D12"/>
    <w:rsid w:val="0052402C"/>
    <w:rsid w:val="00524564"/>
    <w:rsid w:val="005247E0"/>
    <w:rsid w:val="00524A3B"/>
    <w:rsid w:val="00524BB0"/>
    <w:rsid w:val="00525119"/>
    <w:rsid w:val="00525144"/>
    <w:rsid w:val="0052522D"/>
    <w:rsid w:val="00525322"/>
    <w:rsid w:val="005253AA"/>
    <w:rsid w:val="005255C0"/>
    <w:rsid w:val="00525677"/>
    <w:rsid w:val="005258B2"/>
    <w:rsid w:val="00525ACF"/>
    <w:rsid w:val="005265BA"/>
    <w:rsid w:val="00526BD0"/>
    <w:rsid w:val="005273C3"/>
    <w:rsid w:val="0052758C"/>
    <w:rsid w:val="005276B6"/>
    <w:rsid w:val="005276D1"/>
    <w:rsid w:val="005278D0"/>
    <w:rsid w:val="00527AA0"/>
    <w:rsid w:val="00527CCF"/>
    <w:rsid w:val="005305CC"/>
    <w:rsid w:val="00530932"/>
    <w:rsid w:val="0053107F"/>
    <w:rsid w:val="005310CC"/>
    <w:rsid w:val="00531347"/>
    <w:rsid w:val="005318A1"/>
    <w:rsid w:val="005319E9"/>
    <w:rsid w:val="00531AB1"/>
    <w:rsid w:val="00531E6A"/>
    <w:rsid w:val="00531EB4"/>
    <w:rsid w:val="005339D5"/>
    <w:rsid w:val="00533D05"/>
    <w:rsid w:val="005343F1"/>
    <w:rsid w:val="00534C3D"/>
    <w:rsid w:val="00534D3D"/>
    <w:rsid w:val="00534F45"/>
    <w:rsid w:val="00535133"/>
    <w:rsid w:val="005353D3"/>
    <w:rsid w:val="00535C95"/>
    <w:rsid w:val="00535F04"/>
    <w:rsid w:val="00535FE5"/>
    <w:rsid w:val="00536297"/>
    <w:rsid w:val="0053646B"/>
    <w:rsid w:val="005366CC"/>
    <w:rsid w:val="00536BA2"/>
    <w:rsid w:val="00536C5D"/>
    <w:rsid w:val="00536E8F"/>
    <w:rsid w:val="00536FDA"/>
    <w:rsid w:val="00536FE3"/>
    <w:rsid w:val="00537326"/>
    <w:rsid w:val="00537539"/>
    <w:rsid w:val="00537B33"/>
    <w:rsid w:val="00537C32"/>
    <w:rsid w:val="00537C77"/>
    <w:rsid w:val="00537E09"/>
    <w:rsid w:val="005404AF"/>
    <w:rsid w:val="00540964"/>
    <w:rsid w:val="0054100E"/>
    <w:rsid w:val="00541390"/>
    <w:rsid w:val="00541529"/>
    <w:rsid w:val="00541630"/>
    <w:rsid w:val="005420A2"/>
    <w:rsid w:val="005423FA"/>
    <w:rsid w:val="00542773"/>
    <w:rsid w:val="00542F89"/>
    <w:rsid w:val="00543216"/>
    <w:rsid w:val="005436EE"/>
    <w:rsid w:val="00543B0D"/>
    <w:rsid w:val="00543C6B"/>
    <w:rsid w:val="00543E5F"/>
    <w:rsid w:val="00544146"/>
    <w:rsid w:val="00544392"/>
    <w:rsid w:val="00544D6B"/>
    <w:rsid w:val="0054500C"/>
    <w:rsid w:val="005450C8"/>
    <w:rsid w:val="0054555B"/>
    <w:rsid w:val="005455C1"/>
    <w:rsid w:val="0054591A"/>
    <w:rsid w:val="00545CFD"/>
    <w:rsid w:val="00545F95"/>
    <w:rsid w:val="005464FD"/>
    <w:rsid w:val="00546698"/>
    <w:rsid w:val="0054685A"/>
    <w:rsid w:val="00547406"/>
    <w:rsid w:val="005478EF"/>
    <w:rsid w:val="00547963"/>
    <w:rsid w:val="00547B0B"/>
    <w:rsid w:val="00547EBC"/>
    <w:rsid w:val="00550832"/>
    <w:rsid w:val="0055091D"/>
    <w:rsid w:val="00550C0A"/>
    <w:rsid w:val="00550C9F"/>
    <w:rsid w:val="00550F1F"/>
    <w:rsid w:val="00551221"/>
    <w:rsid w:val="00551CB0"/>
    <w:rsid w:val="005520B6"/>
    <w:rsid w:val="0055261B"/>
    <w:rsid w:val="00552882"/>
    <w:rsid w:val="00552C23"/>
    <w:rsid w:val="0055350E"/>
    <w:rsid w:val="0055382B"/>
    <w:rsid w:val="00553932"/>
    <w:rsid w:val="00554263"/>
    <w:rsid w:val="0055462C"/>
    <w:rsid w:val="00554B20"/>
    <w:rsid w:val="00554FE0"/>
    <w:rsid w:val="00555057"/>
    <w:rsid w:val="005551C3"/>
    <w:rsid w:val="005553EE"/>
    <w:rsid w:val="00555524"/>
    <w:rsid w:val="00555798"/>
    <w:rsid w:val="00555B58"/>
    <w:rsid w:val="00556E1D"/>
    <w:rsid w:val="00557550"/>
    <w:rsid w:val="00557585"/>
    <w:rsid w:val="00557981"/>
    <w:rsid w:val="0056040F"/>
    <w:rsid w:val="00560878"/>
    <w:rsid w:val="005608F8"/>
    <w:rsid w:val="005609F7"/>
    <w:rsid w:val="005613CE"/>
    <w:rsid w:val="00561FF3"/>
    <w:rsid w:val="005620D8"/>
    <w:rsid w:val="005624FE"/>
    <w:rsid w:val="005627A3"/>
    <w:rsid w:val="0056287E"/>
    <w:rsid w:val="00562BC1"/>
    <w:rsid w:val="00563147"/>
    <w:rsid w:val="00563492"/>
    <w:rsid w:val="00563C3B"/>
    <w:rsid w:val="00563F67"/>
    <w:rsid w:val="0056424F"/>
    <w:rsid w:val="005646E8"/>
    <w:rsid w:val="00565476"/>
    <w:rsid w:val="005657B0"/>
    <w:rsid w:val="00565CD1"/>
    <w:rsid w:val="00565FDC"/>
    <w:rsid w:val="005661E0"/>
    <w:rsid w:val="00566790"/>
    <w:rsid w:val="005669E0"/>
    <w:rsid w:val="00566FDD"/>
    <w:rsid w:val="00567069"/>
    <w:rsid w:val="0056747E"/>
    <w:rsid w:val="005674E9"/>
    <w:rsid w:val="0056771B"/>
    <w:rsid w:val="00567A27"/>
    <w:rsid w:val="00567D3B"/>
    <w:rsid w:val="00567DFD"/>
    <w:rsid w:val="00567E4E"/>
    <w:rsid w:val="0057030B"/>
    <w:rsid w:val="00570512"/>
    <w:rsid w:val="00570FFD"/>
    <w:rsid w:val="0057131A"/>
    <w:rsid w:val="0057137A"/>
    <w:rsid w:val="0057140E"/>
    <w:rsid w:val="00571581"/>
    <w:rsid w:val="00571B42"/>
    <w:rsid w:val="005723B0"/>
    <w:rsid w:val="005729E7"/>
    <w:rsid w:val="0057300F"/>
    <w:rsid w:val="00573232"/>
    <w:rsid w:val="00573B86"/>
    <w:rsid w:val="00574007"/>
    <w:rsid w:val="0057478C"/>
    <w:rsid w:val="00574B07"/>
    <w:rsid w:val="00574C5B"/>
    <w:rsid w:val="0057624A"/>
    <w:rsid w:val="005764FD"/>
    <w:rsid w:val="00576767"/>
    <w:rsid w:val="0057676F"/>
    <w:rsid w:val="00576DEA"/>
    <w:rsid w:val="00577B04"/>
    <w:rsid w:val="00577E18"/>
    <w:rsid w:val="005804AA"/>
    <w:rsid w:val="00580604"/>
    <w:rsid w:val="0058064E"/>
    <w:rsid w:val="00580874"/>
    <w:rsid w:val="00580CC1"/>
    <w:rsid w:val="005810D1"/>
    <w:rsid w:val="00581124"/>
    <w:rsid w:val="00581340"/>
    <w:rsid w:val="005814D7"/>
    <w:rsid w:val="00581960"/>
    <w:rsid w:val="00581A64"/>
    <w:rsid w:val="00581DA7"/>
    <w:rsid w:val="00581E4D"/>
    <w:rsid w:val="00581F2C"/>
    <w:rsid w:val="0058286C"/>
    <w:rsid w:val="00583157"/>
    <w:rsid w:val="00583304"/>
    <w:rsid w:val="00583BCD"/>
    <w:rsid w:val="005840F1"/>
    <w:rsid w:val="00584614"/>
    <w:rsid w:val="005848E7"/>
    <w:rsid w:val="00584C07"/>
    <w:rsid w:val="00584F83"/>
    <w:rsid w:val="00584FDF"/>
    <w:rsid w:val="005851D4"/>
    <w:rsid w:val="00585292"/>
    <w:rsid w:val="00585941"/>
    <w:rsid w:val="005859F0"/>
    <w:rsid w:val="00586465"/>
    <w:rsid w:val="005866DA"/>
    <w:rsid w:val="00586904"/>
    <w:rsid w:val="00586D65"/>
    <w:rsid w:val="00586E8C"/>
    <w:rsid w:val="005875A0"/>
    <w:rsid w:val="005876A0"/>
    <w:rsid w:val="00587A02"/>
    <w:rsid w:val="00587C27"/>
    <w:rsid w:val="00587EC8"/>
    <w:rsid w:val="0059071F"/>
    <w:rsid w:val="00591464"/>
    <w:rsid w:val="005914BB"/>
    <w:rsid w:val="00591549"/>
    <w:rsid w:val="005916DB"/>
    <w:rsid w:val="005917E2"/>
    <w:rsid w:val="00592084"/>
    <w:rsid w:val="00593685"/>
    <w:rsid w:val="0059374E"/>
    <w:rsid w:val="0059380C"/>
    <w:rsid w:val="00593AE5"/>
    <w:rsid w:val="00593C4C"/>
    <w:rsid w:val="00593EC7"/>
    <w:rsid w:val="005941C8"/>
    <w:rsid w:val="005944C2"/>
    <w:rsid w:val="0059457D"/>
    <w:rsid w:val="0059477D"/>
    <w:rsid w:val="005950E4"/>
    <w:rsid w:val="005951D6"/>
    <w:rsid w:val="00595905"/>
    <w:rsid w:val="00595BDF"/>
    <w:rsid w:val="00595C70"/>
    <w:rsid w:val="00595E00"/>
    <w:rsid w:val="00595FC1"/>
    <w:rsid w:val="005964DF"/>
    <w:rsid w:val="0059755B"/>
    <w:rsid w:val="00597C03"/>
    <w:rsid w:val="00597EFB"/>
    <w:rsid w:val="005A02C8"/>
    <w:rsid w:val="005A0D0C"/>
    <w:rsid w:val="005A0FB6"/>
    <w:rsid w:val="005A1364"/>
    <w:rsid w:val="005A1A77"/>
    <w:rsid w:val="005A1BDB"/>
    <w:rsid w:val="005A1EDA"/>
    <w:rsid w:val="005A20FD"/>
    <w:rsid w:val="005A2261"/>
    <w:rsid w:val="005A26B4"/>
    <w:rsid w:val="005A2BD9"/>
    <w:rsid w:val="005A3472"/>
    <w:rsid w:val="005A3618"/>
    <w:rsid w:val="005A3632"/>
    <w:rsid w:val="005A3BCC"/>
    <w:rsid w:val="005A3F08"/>
    <w:rsid w:val="005A43DC"/>
    <w:rsid w:val="005A48CF"/>
    <w:rsid w:val="005A49F0"/>
    <w:rsid w:val="005A4E06"/>
    <w:rsid w:val="005A4F17"/>
    <w:rsid w:val="005A5211"/>
    <w:rsid w:val="005A5523"/>
    <w:rsid w:val="005A5F2D"/>
    <w:rsid w:val="005A600B"/>
    <w:rsid w:val="005A6674"/>
    <w:rsid w:val="005A6C12"/>
    <w:rsid w:val="005A6D32"/>
    <w:rsid w:val="005A748E"/>
    <w:rsid w:val="005A7E0A"/>
    <w:rsid w:val="005B111C"/>
    <w:rsid w:val="005B16EC"/>
    <w:rsid w:val="005B1E2D"/>
    <w:rsid w:val="005B1F0A"/>
    <w:rsid w:val="005B2258"/>
    <w:rsid w:val="005B2424"/>
    <w:rsid w:val="005B26DE"/>
    <w:rsid w:val="005B2FEB"/>
    <w:rsid w:val="005B3021"/>
    <w:rsid w:val="005B3185"/>
    <w:rsid w:val="005B4235"/>
    <w:rsid w:val="005B4BD9"/>
    <w:rsid w:val="005B5187"/>
    <w:rsid w:val="005B519F"/>
    <w:rsid w:val="005B54DD"/>
    <w:rsid w:val="005B5D6D"/>
    <w:rsid w:val="005B63AA"/>
    <w:rsid w:val="005B6A7C"/>
    <w:rsid w:val="005B6A9B"/>
    <w:rsid w:val="005B6D62"/>
    <w:rsid w:val="005B6EAA"/>
    <w:rsid w:val="005B75D7"/>
    <w:rsid w:val="005B7603"/>
    <w:rsid w:val="005C0626"/>
    <w:rsid w:val="005C0A87"/>
    <w:rsid w:val="005C0C64"/>
    <w:rsid w:val="005C130A"/>
    <w:rsid w:val="005C15D6"/>
    <w:rsid w:val="005C15DB"/>
    <w:rsid w:val="005C1C1F"/>
    <w:rsid w:val="005C1D76"/>
    <w:rsid w:val="005C2C93"/>
    <w:rsid w:val="005C2FCF"/>
    <w:rsid w:val="005C3048"/>
    <w:rsid w:val="005C36E4"/>
    <w:rsid w:val="005C380A"/>
    <w:rsid w:val="005C3B3B"/>
    <w:rsid w:val="005C4364"/>
    <w:rsid w:val="005C4560"/>
    <w:rsid w:val="005C486D"/>
    <w:rsid w:val="005C4CEB"/>
    <w:rsid w:val="005C4F30"/>
    <w:rsid w:val="005C50DB"/>
    <w:rsid w:val="005C54ED"/>
    <w:rsid w:val="005C54EE"/>
    <w:rsid w:val="005C58E4"/>
    <w:rsid w:val="005C59CC"/>
    <w:rsid w:val="005C68CE"/>
    <w:rsid w:val="005C6B18"/>
    <w:rsid w:val="005C7829"/>
    <w:rsid w:val="005C782D"/>
    <w:rsid w:val="005C78DC"/>
    <w:rsid w:val="005C7A7D"/>
    <w:rsid w:val="005C7A92"/>
    <w:rsid w:val="005C7FE1"/>
    <w:rsid w:val="005D0019"/>
    <w:rsid w:val="005D02CA"/>
    <w:rsid w:val="005D0333"/>
    <w:rsid w:val="005D05C4"/>
    <w:rsid w:val="005D060E"/>
    <w:rsid w:val="005D09A1"/>
    <w:rsid w:val="005D09B5"/>
    <w:rsid w:val="005D0F14"/>
    <w:rsid w:val="005D159E"/>
    <w:rsid w:val="005D1A53"/>
    <w:rsid w:val="005D1B97"/>
    <w:rsid w:val="005D1E97"/>
    <w:rsid w:val="005D253B"/>
    <w:rsid w:val="005D2BB7"/>
    <w:rsid w:val="005D2C7B"/>
    <w:rsid w:val="005D2CCA"/>
    <w:rsid w:val="005D373F"/>
    <w:rsid w:val="005D3C9C"/>
    <w:rsid w:val="005D4282"/>
    <w:rsid w:val="005D4360"/>
    <w:rsid w:val="005D442D"/>
    <w:rsid w:val="005D483C"/>
    <w:rsid w:val="005D4DA2"/>
    <w:rsid w:val="005D4E0E"/>
    <w:rsid w:val="005D4F92"/>
    <w:rsid w:val="005D4FCD"/>
    <w:rsid w:val="005D5372"/>
    <w:rsid w:val="005D5A11"/>
    <w:rsid w:val="005D5C28"/>
    <w:rsid w:val="005D5ED1"/>
    <w:rsid w:val="005D60E5"/>
    <w:rsid w:val="005D66FE"/>
    <w:rsid w:val="005D6718"/>
    <w:rsid w:val="005D6984"/>
    <w:rsid w:val="005D6A0A"/>
    <w:rsid w:val="005D6FA0"/>
    <w:rsid w:val="005D736A"/>
    <w:rsid w:val="005D7C64"/>
    <w:rsid w:val="005D7CC9"/>
    <w:rsid w:val="005D7ED5"/>
    <w:rsid w:val="005D7F85"/>
    <w:rsid w:val="005E0085"/>
    <w:rsid w:val="005E0802"/>
    <w:rsid w:val="005E0A90"/>
    <w:rsid w:val="005E1AA1"/>
    <w:rsid w:val="005E1ABB"/>
    <w:rsid w:val="005E1E13"/>
    <w:rsid w:val="005E1EF9"/>
    <w:rsid w:val="005E1FE6"/>
    <w:rsid w:val="005E22B3"/>
    <w:rsid w:val="005E236C"/>
    <w:rsid w:val="005E28AF"/>
    <w:rsid w:val="005E28F2"/>
    <w:rsid w:val="005E299B"/>
    <w:rsid w:val="005E37D1"/>
    <w:rsid w:val="005E3F92"/>
    <w:rsid w:val="005E403D"/>
    <w:rsid w:val="005E42C5"/>
    <w:rsid w:val="005E4922"/>
    <w:rsid w:val="005E4AB1"/>
    <w:rsid w:val="005E4BD2"/>
    <w:rsid w:val="005E523E"/>
    <w:rsid w:val="005E5547"/>
    <w:rsid w:val="005E571A"/>
    <w:rsid w:val="005E59A7"/>
    <w:rsid w:val="005E5AAF"/>
    <w:rsid w:val="005E608A"/>
    <w:rsid w:val="005E64C0"/>
    <w:rsid w:val="005E68E6"/>
    <w:rsid w:val="005E720C"/>
    <w:rsid w:val="005E74DD"/>
    <w:rsid w:val="005E74E2"/>
    <w:rsid w:val="005E7639"/>
    <w:rsid w:val="005F0197"/>
    <w:rsid w:val="005F11A4"/>
    <w:rsid w:val="005F1342"/>
    <w:rsid w:val="005F14F4"/>
    <w:rsid w:val="005F15B5"/>
    <w:rsid w:val="005F1640"/>
    <w:rsid w:val="005F19DA"/>
    <w:rsid w:val="005F1C84"/>
    <w:rsid w:val="005F1D08"/>
    <w:rsid w:val="005F1D72"/>
    <w:rsid w:val="005F2413"/>
    <w:rsid w:val="005F2914"/>
    <w:rsid w:val="005F2A70"/>
    <w:rsid w:val="005F2BD3"/>
    <w:rsid w:val="005F3851"/>
    <w:rsid w:val="005F3859"/>
    <w:rsid w:val="005F38D8"/>
    <w:rsid w:val="005F4365"/>
    <w:rsid w:val="005F4371"/>
    <w:rsid w:val="005F4615"/>
    <w:rsid w:val="005F49BA"/>
    <w:rsid w:val="005F4D13"/>
    <w:rsid w:val="005F5238"/>
    <w:rsid w:val="005F569F"/>
    <w:rsid w:val="005F56A3"/>
    <w:rsid w:val="005F573E"/>
    <w:rsid w:val="005F5965"/>
    <w:rsid w:val="005F5C89"/>
    <w:rsid w:val="005F63F6"/>
    <w:rsid w:val="005F64BB"/>
    <w:rsid w:val="005F6BC2"/>
    <w:rsid w:val="005F6D5D"/>
    <w:rsid w:val="005F6E1D"/>
    <w:rsid w:val="005F7222"/>
    <w:rsid w:val="005F7629"/>
    <w:rsid w:val="005F7670"/>
    <w:rsid w:val="005F7891"/>
    <w:rsid w:val="006009CB"/>
    <w:rsid w:val="006009FE"/>
    <w:rsid w:val="00600EAB"/>
    <w:rsid w:val="00601316"/>
    <w:rsid w:val="00601601"/>
    <w:rsid w:val="00601CCA"/>
    <w:rsid w:val="00601E72"/>
    <w:rsid w:val="00602200"/>
    <w:rsid w:val="00602766"/>
    <w:rsid w:val="006033D1"/>
    <w:rsid w:val="006034BF"/>
    <w:rsid w:val="00603542"/>
    <w:rsid w:val="006039C2"/>
    <w:rsid w:val="00603CE2"/>
    <w:rsid w:val="006042BF"/>
    <w:rsid w:val="00604806"/>
    <w:rsid w:val="00604864"/>
    <w:rsid w:val="00604B14"/>
    <w:rsid w:val="00604D67"/>
    <w:rsid w:val="00604E15"/>
    <w:rsid w:val="00605353"/>
    <w:rsid w:val="006054AB"/>
    <w:rsid w:val="006055CF"/>
    <w:rsid w:val="00605B35"/>
    <w:rsid w:val="00605DE9"/>
    <w:rsid w:val="00606258"/>
    <w:rsid w:val="006067AA"/>
    <w:rsid w:val="00607012"/>
    <w:rsid w:val="006075D5"/>
    <w:rsid w:val="00607669"/>
    <w:rsid w:val="00607DBA"/>
    <w:rsid w:val="00607E90"/>
    <w:rsid w:val="00610341"/>
    <w:rsid w:val="006105C4"/>
    <w:rsid w:val="0061092B"/>
    <w:rsid w:val="0061120E"/>
    <w:rsid w:val="006119F7"/>
    <w:rsid w:val="006121CB"/>
    <w:rsid w:val="006123F4"/>
    <w:rsid w:val="00612641"/>
    <w:rsid w:val="00612F07"/>
    <w:rsid w:val="00613056"/>
    <w:rsid w:val="0061318F"/>
    <w:rsid w:val="00613304"/>
    <w:rsid w:val="0061352B"/>
    <w:rsid w:val="00613C85"/>
    <w:rsid w:val="00613EFB"/>
    <w:rsid w:val="00613F01"/>
    <w:rsid w:val="00613F32"/>
    <w:rsid w:val="0061577C"/>
    <w:rsid w:val="00615ED2"/>
    <w:rsid w:val="006163E0"/>
    <w:rsid w:val="0061663B"/>
    <w:rsid w:val="006168DF"/>
    <w:rsid w:val="00617152"/>
    <w:rsid w:val="00620EA1"/>
    <w:rsid w:val="0062131C"/>
    <w:rsid w:val="00621750"/>
    <w:rsid w:val="00621A1F"/>
    <w:rsid w:val="00622047"/>
    <w:rsid w:val="00622392"/>
    <w:rsid w:val="006223DE"/>
    <w:rsid w:val="00622DAC"/>
    <w:rsid w:val="006237CD"/>
    <w:rsid w:val="00623835"/>
    <w:rsid w:val="006238BB"/>
    <w:rsid w:val="00623A0F"/>
    <w:rsid w:val="00623A55"/>
    <w:rsid w:val="0062468D"/>
    <w:rsid w:val="00624934"/>
    <w:rsid w:val="00625136"/>
    <w:rsid w:val="00626591"/>
    <w:rsid w:val="0062675D"/>
    <w:rsid w:val="00626A8D"/>
    <w:rsid w:val="0062771C"/>
    <w:rsid w:val="00627993"/>
    <w:rsid w:val="00627B0A"/>
    <w:rsid w:val="00630194"/>
    <w:rsid w:val="006303FE"/>
    <w:rsid w:val="0063046E"/>
    <w:rsid w:val="00630743"/>
    <w:rsid w:val="00630B2C"/>
    <w:rsid w:val="00630B43"/>
    <w:rsid w:val="00630CCB"/>
    <w:rsid w:val="00630DD7"/>
    <w:rsid w:val="00630F21"/>
    <w:rsid w:val="00630FA8"/>
    <w:rsid w:val="00631365"/>
    <w:rsid w:val="00631B8E"/>
    <w:rsid w:val="00631E48"/>
    <w:rsid w:val="006323F3"/>
    <w:rsid w:val="0063254E"/>
    <w:rsid w:val="00632765"/>
    <w:rsid w:val="00632F6C"/>
    <w:rsid w:val="00633129"/>
    <w:rsid w:val="00633261"/>
    <w:rsid w:val="00633318"/>
    <w:rsid w:val="006333C7"/>
    <w:rsid w:val="006337AE"/>
    <w:rsid w:val="00634331"/>
    <w:rsid w:val="00634650"/>
    <w:rsid w:val="006346A7"/>
    <w:rsid w:val="0063479F"/>
    <w:rsid w:val="0063482E"/>
    <w:rsid w:val="006349E3"/>
    <w:rsid w:val="00634A3E"/>
    <w:rsid w:val="00634D7E"/>
    <w:rsid w:val="0063533D"/>
    <w:rsid w:val="00635BC0"/>
    <w:rsid w:val="006368DF"/>
    <w:rsid w:val="006369E2"/>
    <w:rsid w:val="00636AF7"/>
    <w:rsid w:val="00636C0D"/>
    <w:rsid w:val="00636D70"/>
    <w:rsid w:val="00637991"/>
    <w:rsid w:val="00637B87"/>
    <w:rsid w:val="006403B6"/>
    <w:rsid w:val="00640CF9"/>
    <w:rsid w:val="00640DC2"/>
    <w:rsid w:val="006412FA"/>
    <w:rsid w:val="00641563"/>
    <w:rsid w:val="006418F7"/>
    <w:rsid w:val="00641BA7"/>
    <w:rsid w:val="00641F4D"/>
    <w:rsid w:val="00641FEB"/>
    <w:rsid w:val="0064280F"/>
    <w:rsid w:val="00642C21"/>
    <w:rsid w:val="00642D3F"/>
    <w:rsid w:val="00642F68"/>
    <w:rsid w:val="006430AA"/>
    <w:rsid w:val="00643269"/>
    <w:rsid w:val="006434DC"/>
    <w:rsid w:val="00643633"/>
    <w:rsid w:val="0064436A"/>
    <w:rsid w:val="006446CE"/>
    <w:rsid w:val="006449CE"/>
    <w:rsid w:val="006456F6"/>
    <w:rsid w:val="00645726"/>
    <w:rsid w:val="00645865"/>
    <w:rsid w:val="0064598A"/>
    <w:rsid w:val="00645A26"/>
    <w:rsid w:val="00645C17"/>
    <w:rsid w:val="00646077"/>
    <w:rsid w:val="00646D38"/>
    <w:rsid w:val="00646F6F"/>
    <w:rsid w:val="006474F3"/>
    <w:rsid w:val="00647521"/>
    <w:rsid w:val="00647880"/>
    <w:rsid w:val="00647E3C"/>
    <w:rsid w:val="00647F75"/>
    <w:rsid w:val="006500A0"/>
    <w:rsid w:val="006505A4"/>
    <w:rsid w:val="0065094D"/>
    <w:rsid w:val="00650AEA"/>
    <w:rsid w:val="00650AF5"/>
    <w:rsid w:val="00650C6F"/>
    <w:rsid w:val="00650E2C"/>
    <w:rsid w:val="006511CB"/>
    <w:rsid w:val="0065122F"/>
    <w:rsid w:val="00651482"/>
    <w:rsid w:val="006517A5"/>
    <w:rsid w:val="00651811"/>
    <w:rsid w:val="00651897"/>
    <w:rsid w:val="006518CD"/>
    <w:rsid w:val="00651DC7"/>
    <w:rsid w:val="00651E7B"/>
    <w:rsid w:val="00652435"/>
    <w:rsid w:val="0065276A"/>
    <w:rsid w:val="00652DB8"/>
    <w:rsid w:val="00653111"/>
    <w:rsid w:val="00653294"/>
    <w:rsid w:val="00653520"/>
    <w:rsid w:val="00653616"/>
    <w:rsid w:val="0065365D"/>
    <w:rsid w:val="00654573"/>
    <w:rsid w:val="00654C3D"/>
    <w:rsid w:val="00654CB2"/>
    <w:rsid w:val="00654F8C"/>
    <w:rsid w:val="00655289"/>
    <w:rsid w:val="00655603"/>
    <w:rsid w:val="00656D2B"/>
    <w:rsid w:val="00657054"/>
    <w:rsid w:val="0065734B"/>
    <w:rsid w:val="00657DFB"/>
    <w:rsid w:val="00660A81"/>
    <w:rsid w:val="00660B04"/>
    <w:rsid w:val="00660C70"/>
    <w:rsid w:val="00660DD2"/>
    <w:rsid w:val="00660FAF"/>
    <w:rsid w:val="0066107D"/>
    <w:rsid w:val="006613DE"/>
    <w:rsid w:val="00661407"/>
    <w:rsid w:val="0066173B"/>
    <w:rsid w:val="00661A6E"/>
    <w:rsid w:val="00661C4A"/>
    <w:rsid w:val="00662670"/>
    <w:rsid w:val="00662DE5"/>
    <w:rsid w:val="00662F7C"/>
    <w:rsid w:val="00663747"/>
    <w:rsid w:val="00663BA4"/>
    <w:rsid w:val="006641ED"/>
    <w:rsid w:val="00664527"/>
    <w:rsid w:val="00664C5A"/>
    <w:rsid w:val="00664E13"/>
    <w:rsid w:val="00664FDA"/>
    <w:rsid w:val="006650FB"/>
    <w:rsid w:val="00665AFF"/>
    <w:rsid w:val="00666105"/>
    <w:rsid w:val="006661A2"/>
    <w:rsid w:val="006664F1"/>
    <w:rsid w:val="0066654E"/>
    <w:rsid w:val="00666B0E"/>
    <w:rsid w:val="006677AB"/>
    <w:rsid w:val="00667B44"/>
    <w:rsid w:val="0067041D"/>
    <w:rsid w:val="00670592"/>
    <w:rsid w:val="006713F5"/>
    <w:rsid w:val="00671542"/>
    <w:rsid w:val="00671710"/>
    <w:rsid w:val="00671717"/>
    <w:rsid w:val="00671B7E"/>
    <w:rsid w:val="00671C5C"/>
    <w:rsid w:val="00671CC3"/>
    <w:rsid w:val="00672001"/>
    <w:rsid w:val="006720DC"/>
    <w:rsid w:val="00672206"/>
    <w:rsid w:val="00672272"/>
    <w:rsid w:val="00672916"/>
    <w:rsid w:val="006733B7"/>
    <w:rsid w:val="006734B3"/>
    <w:rsid w:val="00674083"/>
    <w:rsid w:val="0067461D"/>
    <w:rsid w:val="00675087"/>
    <w:rsid w:val="0067552C"/>
    <w:rsid w:val="00675918"/>
    <w:rsid w:val="00675F44"/>
    <w:rsid w:val="00676235"/>
    <w:rsid w:val="0067662B"/>
    <w:rsid w:val="006766E3"/>
    <w:rsid w:val="00676B5F"/>
    <w:rsid w:val="00676F16"/>
    <w:rsid w:val="006770FF"/>
    <w:rsid w:val="006771D1"/>
    <w:rsid w:val="00677777"/>
    <w:rsid w:val="0067779A"/>
    <w:rsid w:val="006778AE"/>
    <w:rsid w:val="00677DC1"/>
    <w:rsid w:val="0068003A"/>
    <w:rsid w:val="0068049E"/>
    <w:rsid w:val="00680662"/>
    <w:rsid w:val="00680D7A"/>
    <w:rsid w:val="00680F1D"/>
    <w:rsid w:val="00681278"/>
    <w:rsid w:val="0068143F"/>
    <w:rsid w:val="00681B9E"/>
    <w:rsid w:val="00681D40"/>
    <w:rsid w:val="00682045"/>
    <w:rsid w:val="00682AA0"/>
    <w:rsid w:val="00682F42"/>
    <w:rsid w:val="00682F47"/>
    <w:rsid w:val="006830D3"/>
    <w:rsid w:val="0068357A"/>
    <w:rsid w:val="0068360D"/>
    <w:rsid w:val="00683CC4"/>
    <w:rsid w:val="0068406C"/>
    <w:rsid w:val="00684230"/>
    <w:rsid w:val="006844DA"/>
    <w:rsid w:val="00684725"/>
    <w:rsid w:val="006847ED"/>
    <w:rsid w:val="00684886"/>
    <w:rsid w:val="00685269"/>
    <w:rsid w:val="00685469"/>
    <w:rsid w:val="006856A7"/>
    <w:rsid w:val="00685F91"/>
    <w:rsid w:val="0068677C"/>
    <w:rsid w:val="00686C69"/>
    <w:rsid w:val="00686E1D"/>
    <w:rsid w:val="006872BA"/>
    <w:rsid w:val="00687BD4"/>
    <w:rsid w:val="00687F4A"/>
    <w:rsid w:val="006903C3"/>
    <w:rsid w:val="00690FC0"/>
    <w:rsid w:val="0069120B"/>
    <w:rsid w:val="006918A9"/>
    <w:rsid w:val="006919D9"/>
    <w:rsid w:val="00691E74"/>
    <w:rsid w:val="0069212D"/>
    <w:rsid w:val="006924C6"/>
    <w:rsid w:val="006927FE"/>
    <w:rsid w:val="00692E7B"/>
    <w:rsid w:val="0069313D"/>
    <w:rsid w:val="006935E9"/>
    <w:rsid w:val="00693D93"/>
    <w:rsid w:val="0069443B"/>
    <w:rsid w:val="006944C6"/>
    <w:rsid w:val="00694710"/>
    <w:rsid w:val="00694F36"/>
    <w:rsid w:val="00695E38"/>
    <w:rsid w:val="00695E53"/>
    <w:rsid w:val="006960D0"/>
    <w:rsid w:val="006961D8"/>
    <w:rsid w:val="006969EC"/>
    <w:rsid w:val="00696F84"/>
    <w:rsid w:val="00697192"/>
    <w:rsid w:val="006971FB"/>
    <w:rsid w:val="00697EE6"/>
    <w:rsid w:val="006A0684"/>
    <w:rsid w:val="006A0CD8"/>
    <w:rsid w:val="006A0CFA"/>
    <w:rsid w:val="006A1075"/>
    <w:rsid w:val="006A148D"/>
    <w:rsid w:val="006A1947"/>
    <w:rsid w:val="006A1980"/>
    <w:rsid w:val="006A198E"/>
    <w:rsid w:val="006A1B14"/>
    <w:rsid w:val="006A214C"/>
    <w:rsid w:val="006A268C"/>
    <w:rsid w:val="006A29B7"/>
    <w:rsid w:val="006A3233"/>
    <w:rsid w:val="006A3611"/>
    <w:rsid w:val="006A37F2"/>
    <w:rsid w:val="006A3E49"/>
    <w:rsid w:val="006A425D"/>
    <w:rsid w:val="006A473C"/>
    <w:rsid w:val="006A51C4"/>
    <w:rsid w:val="006A51CF"/>
    <w:rsid w:val="006A5598"/>
    <w:rsid w:val="006A55A1"/>
    <w:rsid w:val="006A5F28"/>
    <w:rsid w:val="006A634F"/>
    <w:rsid w:val="006A6707"/>
    <w:rsid w:val="006A6794"/>
    <w:rsid w:val="006A684F"/>
    <w:rsid w:val="006A6895"/>
    <w:rsid w:val="006A69F5"/>
    <w:rsid w:val="006A6B20"/>
    <w:rsid w:val="006A6D8C"/>
    <w:rsid w:val="006A6E05"/>
    <w:rsid w:val="006A702D"/>
    <w:rsid w:val="006A7874"/>
    <w:rsid w:val="006A78C7"/>
    <w:rsid w:val="006A7C61"/>
    <w:rsid w:val="006A7DC5"/>
    <w:rsid w:val="006B0254"/>
    <w:rsid w:val="006B0873"/>
    <w:rsid w:val="006B0BFB"/>
    <w:rsid w:val="006B17A0"/>
    <w:rsid w:val="006B1832"/>
    <w:rsid w:val="006B1C5D"/>
    <w:rsid w:val="006B2062"/>
    <w:rsid w:val="006B2484"/>
    <w:rsid w:val="006B260D"/>
    <w:rsid w:val="006B2644"/>
    <w:rsid w:val="006B2776"/>
    <w:rsid w:val="006B2BCC"/>
    <w:rsid w:val="006B3446"/>
    <w:rsid w:val="006B3832"/>
    <w:rsid w:val="006B3D9C"/>
    <w:rsid w:val="006B4344"/>
    <w:rsid w:val="006B4443"/>
    <w:rsid w:val="006B4AB5"/>
    <w:rsid w:val="006B4B97"/>
    <w:rsid w:val="006B53B2"/>
    <w:rsid w:val="006B559D"/>
    <w:rsid w:val="006B60A2"/>
    <w:rsid w:val="006B6238"/>
    <w:rsid w:val="006B6B72"/>
    <w:rsid w:val="006B6CD8"/>
    <w:rsid w:val="006B6E52"/>
    <w:rsid w:val="006B6E77"/>
    <w:rsid w:val="006B6FA8"/>
    <w:rsid w:val="006B7C3C"/>
    <w:rsid w:val="006C102D"/>
    <w:rsid w:val="006C1279"/>
    <w:rsid w:val="006C14E4"/>
    <w:rsid w:val="006C1980"/>
    <w:rsid w:val="006C1A05"/>
    <w:rsid w:val="006C1A87"/>
    <w:rsid w:val="006C1A8F"/>
    <w:rsid w:val="006C2568"/>
    <w:rsid w:val="006C2784"/>
    <w:rsid w:val="006C2AC1"/>
    <w:rsid w:val="006C2C4E"/>
    <w:rsid w:val="006C2ED8"/>
    <w:rsid w:val="006C3510"/>
    <w:rsid w:val="006C380B"/>
    <w:rsid w:val="006C40AF"/>
    <w:rsid w:val="006C42A1"/>
    <w:rsid w:val="006C4555"/>
    <w:rsid w:val="006C467E"/>
    <w:rsid w:val="006C4811"/>
    <w:rsid w:val="006C48EA"/>
    <w:rsid w:val="006C4B31"/>
    <w:rsid w:val="006C5324"/>
    <w:rsid w:val="006C5682"/>
    <w:rsid w:val="006C5B6B"/>
    <w:rsid w:val="006C5E1D"/>
    <w:rsid w:val="006C60FF"/>
    <w:rsid w:val="006C66BF"/>
    <w:rsid w:val="006C6C8A"/>
    <w:rsid w:val="006C6DB2"/>
    <w:rsid w:val="006C6F6B"/>
    <w:rsid w:val="006C753F"/>
    <w:rsid w:val="006C790A"/>
    <w:rsid w:val="006C7DB5"/>
    <w:rsid w:val="006D040B"/>
    <w:rsid w:val="006D16D2"/>
    <w:rsid w:val="006D1F8D"/>
    <w:rsid w:val="006D2260"/>
    <w:rsid w:val="006D290C"/>
    <w:rsid w:val="006D29C9"/>
    <w:rsid w:val="006D2CA4"/>
    <w:rsid w:val="006D2FCF"/>
    <w:rsid w:val="006D2FF4"/>
    <w:rsid w:val="006D3221"/>
    <w:rsid w:val="006D3893"/>
    <w:rsid w:val="006D3C19"/>
    <w:rsid w:val="006D44DA"/>
    <w:rsid w:val="006D4509"/>
    <w:rsid w:val="006D45FB"/>
    <w:rsid w:val="006D4699"/>
    <w:rsid w:val="006D49BC"/>
    <w:rsid w:val="006D4A53"/>
    <w:rsid w:val="006D5091"/>
    <w:rsid w:val="006D53FF"/>
    <w:rsid w:val="006D5528"/>
    <w:rsid w:val="006D5C5C"/>
    <w:rsid w:val="006D6399"/>
    <w:rsid w:val="006D66D4"/>
    <w:rsid w:val="006D6884"/>
    <w:rsid w:val="006D6D05"/>
    <w:rsid w:val="006D71F7"/>
    <w:rsid w:val="006D796D"/>
    <w:rsid w:val="006D7AF4"/>
    <w:rsid w:val="006D7F52"/>
    <w:rsid w:val="006D7F99"/>
    <w:rsid w:val="006D7FC8"/>
    <w:rsid w:val="006E016C"/>
    <w:rsid w:val="006E0310"/>
    <w:rsid w:val="006E0AB3"/>
    <w:rsid w:val="006E1153"/>
    <w:rsid w:val="006E16A1"/>
    <w:rsid w:val="006E1B69"/>
    <w:rsid w:val="006E1C9F"/>
    <w:rsid w:val="006E1DF1"/>
    <w:rsid w:val="006E1EEE"/>
    <w:rsid w:val="006E1FBD"/>
    <w:rsid w:val="006E22D6"/>
    <w:rsid w:val="006E2381"/>
    <w:rsid w:val="006E2712"/>
    <w:rsid w:val="006E2C66"/>
    <w:rsid w:val="006E30F6"/>
    <w:rsid w:val="006E337E"/>
    <w:rsid w:val="006E3481"/>
    <w:rsid w:val="006E365C"/>
    <w:rsid w:val="006E368C"/>
    <w:rsid w:val="006E3D97"/>
    <w:rsid w:val="006E3FF1"/>
    <w:rsid w:val="006E4723"/>
    <w:rsid w:val="006E51E1"/>
    <w:rsid w:val="006E53F5"/>
    <w:rsid w:val="006E5495"/>
    <w:rsid w:val="006E5576"/>
    <w:rsid w:val="006E572E"/>
    <w:rsid w:val="006E5C02"/>
    <w:rsid w:val="006E5F72"/>
    <w:rsid w:val="006E63D1"/>
    <w:rsid w:val="006E64B8"/>
    <w:rsid w:val="006E6EA8"/>
    <w:rsid w:val="006E6ED1"/>
    <w:rsid w:val="006E75EF"/>
    <w:rsid w:val="006E7C65"/>
    <w:rsid w:val="006E7C82"/>
    <w:rsid w:val="006E7E3C"/>
    <w:rsid w:val="006E7E6E"/>
    <w:rsid w:val="006F03CF"/>
    <w:rsid w:val="006F07F8"/>
    <w:rsid w:val="006F0A50"/>
    <w:rsid w:val="006F11A3"/>
    <w:rsid w:val="006F1B31"/>
    <w:rsid w:val="006F1F3A"/>
    <w:rsid w:val="006F2343"/>
    <w:rsid w:val="006F2EDA"/>
    <w:rsid w:val="006F30A4"/>
    <w:rsid w:val="006F315E"/>
    <w:rsid w:val="006F3A5A"/>
    <w:rsid w:val="006F411B"/>
    <w:rsid w:val="006F453A"/>
    <w:rsid w:val="006F45A9"/>
    <w:rsid w:val="006F49D3"/>
    <w:rsid w:val="006F4DE9"/>
    <w:rsid w:val="006F4F68"/>
    <w:rsid w:val="006F5628"/>
    <w:rsid w:val="006F5A1D"/>
    <w:rsid w:val="006F5BBC"/>
    <w:rsid w:val="006F5FBF"/>
    <w:rsid w:val="006F648D"/>
    <w:rsid w:val="006F675E"/>
    <w:rsid w:val="006F67DD"/>
    <w:rsid w:val="006F6B94"/>
    <w:rsid w:val="006F6E0C"/>
    <w:rsid w:val="006F6EF1"/>
    <w:rsid w:val="006F7475"/>
    <w:rsid w:val="00700140"/>
    <w:rsid w:val="00700248"/>
    <w:rsid w:val="007006A7"/>
    <w:rsid w:val="0070076C"/>
    <w:rsid w:val="0070117F"/>
    <w:rsid w:val="00701E0B"/>
    <w:rsid w:val="00701E11"/>
    <w:rsid w:val="00702417"/>
    <w:rsid w:val="00702471"/>
    <w:rsid w:val="0070343D"/>
    <w:rsid w:val="00703449"/>
    <w:rsid w:val="00704254"/>
    <w:rsid w:val="007044D0"/>
    <w:rsid w:val="00704873"/>
    <w:rsid w:val="007049E8"/>
    <w:rsid w:val="00704A25"/>
    <w:rsid w:val="00704A2A"/>
    <w:rsid w:val="00704FEB"/>
    <w:rsid w:val="007050FD"/>
    <w:rsid w:val="00705688"/>
    <w:rsid w:val="00705B64"/>
    <w:rsid w:val="0070612D"/>
    <w:rsid w:val="007067C1"/>
    <w:rsid w:val="00706D3D"/>
    <w:rsid w:val="00706F25"/>
    <w:rsid w:val="007073D9"/>
    <w:rsid w:val="0070767E"/>
    <w:rsid w:val="0070795A"/>
    <w:rsid w:val="00707A68"/>
    <w:rsid w:val="00710350"/>
    <w:rsid w:val="007104AE"/>
    <w:rsid w:val="00710588"/>
    <w:rsid w:val="00710891"/>
    <w:rsid w:val="00711694"/>
    <w:rsid w:val="00711769"/>
    <w:rsid w:val="00711A4E"/>
    <w:rsid w:val="0071213A"/>
    <w:rsid w:val="007121A7"/>
    <w:rsid w:val="00712913"/>
    <w:rsid w:val="00712A8B"/>
    <w:rsid w:val="00712E06"/>
    <w:rsid w:val="00712FD2"/>
    <w:rsid w:val="007133E2"/>
    <w:rsid w:val="00713AA8"/>
    <w:rsid w:val="00713D09"/>
    <w:rsid w:val="007144C9"/>
    <w:rsid w:val="00714870"/>
    <w:rsid w:val="0071513D"/>
    <w:rsid w:val="007151B2"/>
    <w:rsid w:val="00715536"/>
    <w:rsid w:val="00715791"/>
    <w:rsid w:val="00715992"/>
    <w:rsid w:val="007159C4"/>
    <w:rsid w:val="00716448"/>
    <w:rsid w:val="00716F7C"/>
    <w:rsid w:val="007176D5"/>
    <w:rsid w:val="007179C1"/>
    <w:rsid w:val="00717ADB"/>
    <w:rsid w:val="00720360"/>
    <w:rsid w:val="00720A2E"/>
    <w:rsid w:val="00720A36"/>
    <w:rsid w:val="00720D33"/>
    <w:rsid w:val="007218F3"/>
    <w:rsid w:val="00721C6D"/>
    <w:rsid w:val="00722207"/>
    <w:rsid w:val="00722290"/>
    <w:rsid w:val="00722ECC"/>
    <w:rsid w:val="00723169"/>
    <w:rsid w:val="00723171"/>
    <w:rsid w:val="007238C9"/>
    <w:rsid w:val="00723902"/>
    <w:rsid w:val="00723920"/>
    <w:rsid w:val="00723B3D"/>
    <w:rsid w:val="00723EFC"/>
    <w:rsid w:val="00723F54"/>
    <w:rsid w:val="007240D3"/>
    <w:rsid w:val="007247A5"/>
    <w:rsid w:val="0072492B"/>
    <w:rsid w:val="00724B53"/>
    <w:rsid w:val="00724BA2"/>
    <w:rsid w:val="00725109"/>
    <w:rsid w:val="00725BBE"/>
    <w:rsid w:val="00725CF8"/>
    <w:rsid w:val="00725F12"/>
    <w:rsid w:val="0072604D"/>
    <w:rsid w:val="00726CCD"/>
    <w:rsid w:val="00726D32"/>
    <w:rsid w:val="00726E03"/>
    <w:rsid w:val="007304B5"/>
    <w:rsid w:val="00730519"/>
    <w:rsid w:val="00730C56"/>
    <w:rsid w:val="00730E74"/>
    <w:rsid w:val="0073138F"/>
    <w:rsid w:val="00731F6C"/>
    <w:rsid w:val="007323C3"/>
    <w:rsid w:val="0073253C"/>
    <w:rsid w:val="007329D7"/>
    <w:rsid w:val="00732FA7"/>
    <w:rsid w:val="00733311"/>
    <w:rsid w:val="00733827"/>
    <w:rsid w:val="0073397C"/>
    <w:rsid w:val="00733A55"/>
    <w:rsid w:val="0073436F"/>
    <w:rsid w:val="00734456"/>
    <w:rsid w:val="00734A7A"/>
    <w:rsid w:val="00734B2E"/>
    <w:rsid w:val="007352A3"/>
    <w:rsid w:val="0073557B"/>
    <w:rsid w:val="007356CB"/>
    <w:rsid w:val="007356EF"/>
    <w:rsid w:val="00735E5A"/>
    <w:rsid w:val="007361CA"/>
    <w:rsid w:val="0073669E"/>
    <w:rsid w:val="00736BD2"/>
    <w:rsid w:val="00736E44"/>
    <w:rsid w:val="00736FD2"/>
    <w:rsid w:val="00737501"/>
    <w:rsid w:val="00737AA7"/>
    <w:rsid w:val="007403AC"/>
    <w:rsid w:val="00740421"/>
    <w:rsid w:val="007406F2"/>
    <w:rsid w:val="00740E94"/>
    <w:rsid w:val="00740F94"/>
    <w:rsid w:val="007419F2"/>
    <w:rsid w:val="00741B76"/>
    <w:rsid w:val="007422C4"/>
    <w:rsid w:val="0074359B"/>
    <w:rsid w:val="007438CE"/>
    <w:rsid w:val="00743BC3"/>
    <w:rsid w:val="00743C97"/>
    <w:rsid w:val="00744189"/>
    <w:rsid w:val="007441EF"/>
    <w:rsid w:val="00744616"/>
    <w:rsid w:val="00745085"/>
    <w:rsid w:val="007454A4"/>
    <w:rsid w:val="00745BF0"/>
    <w:rsid w:val="00745CCC"/>
    <w:rsid w:val="00745D55"/>
    <w:rsid w:val="0074608E"/>
    <w:rsid w:val="007465EA"/>
    <w:rsid w:val="00746A3F"/>
    <w:rsid w:val="00746A53"/>
    <w:rsid w:val="007472AE"/>
    <w:rsid w:val="007472B6"/>
    <w:rsid w:val="00747477"/>
    <w:rsid w:val="00747958"/>
    <w:rsid w:val="007503F4"/>
    <w:rsid w:val="00750AEE"/>
    <w:rsid w:val="00751489"/>
    <w:rsid w:val="00751754"/>
    <w:rsid w:val="007517A7"/>
    <w:rsid w:val="00751CEE"/>
    <w:rsid w:val="00752006"/>
    <w:rsid w:val="00752D32"/>
    <w:rsid w:val="00752E9D"/>
    <w:rsid w:val="00752F1C"/>
    <w:rsid w:val="007532A3"/>
    <w:rsid w:val="007541B6"/>
    <w:rsid w:val="0075472C"/>
    <w:rsid w:val="007547A5"/>
    <w:rsid w:val="007553CF"/>
    <w:rsid w:val="0075597C"/>
    <w:rsid w:val="00755F59"/>
    <w:rsid w:val="00756135"/>
    <w:rsid w:val="007566DD"/>
    <w:rsid w:val="00756701"/>
    <w:rsid w:val="00756A41"/>
    <w:rsid w:val="00756F37"/>
    <w:rsid w:val="0075720F"/>
    <w:rsid w:val="00757248"/>
    <w:rsid w:val="0075727A"/>
    <w:rsid w:val="00757296"/>
    <w:rsid w:val="007579C6"/>
    <w:rsid w:val="00757A20"/>
    <w:rsid w:val="00757E5A"/>
    <w:rsid w:val="00757E75"/>
    <w:rsid w:val="00757F47"/>
    <w:rsid w:val="00760049"/>
    <w:rsid w:val="00760A3B"/>
    <w:rsid w:val="007614B3"/>
    <w:rsid w:val="00761ADB"/>
    <w:rsid w:val="0076207E"/>
    <w:rsid w:val="00762259"/>
    <w:rsid w:val="00763206"/>
    <w:rsid w:val="007638CE"/>
    <w:rsid w:val="00763CE9"/>
    <w:rsid w:val="00763CF3"/>
    <w:rsid w:val="00763DD2"/>
    <w:rsid w:val="00763FD7"/>
    <w:rsid w:val="007641E4"/>
    <w:rsid w:val="00764583"/>
    <w:rsid w:val="007645BC"/>
    <w:rsid w:val="00764976"/>
    <w:rsid w:val="00764CE0"/>
    <w:rsid w:val="00765123"/>
    <w:rsid w:val="00765204"/>
    <w:rsid w:val="007655C3"/>
    <w:rsid w:val="00765D13"/>
    <w:rsid w:val="00765ED5"/>
    <w:rsid w:val="00766344"/>
    <w:rsid w:val="00766556"/>
    <w:rsid w:val="007665FD"/>
    <w:rsid w:val="00766DE9"/>
    <w:rsid w:val="00767480"/>
    <w:rsid w:val="0076752D"/>
    <w:rsid w:val="00767F66"/>
    <w:rsid w:val="0077007E"/>
    <w:rsid w:val="00770556"/>
    <w:rsid w:val="00771334"/>
    <w:rsid w:val="007713B8"/>
    <w:rsid w:val="00771D82"/>
    <w:rsid w:val="0077266C"/>
    <w:rsid w:val="0077291F"/>
    <w:rsid w:val="007733CB"/>
    <w:rsid w:val="007735FD"/>
    <w:rsid w:val="00773657"/>
    <w:rsid w:val="00773BF5"/>
    <w:rsid w:val="00773D02"/>
    <w:rsid w:val="00773D9A"/>
    <w:rsid w:val="00774947"/>
    <w:rsid w:val="00774D76"/>
    <w:rsid w:val="00774E06"/>
    <w:rsid w:val="00775115"/>
    <w:rsid w:val="00775314"/>
    <w:rsid w:val="00775B1F"/>
    <w:rsid w:val="00775C06"/>
    <w:rsid w:val="007765D1"/>
    <w:rsid w:val="00776CED"/>
    <w:rsid w:val="0077724C"/>
    <w:rsid w:val="00777348"/>
    <w:rsid w:val="00777E51"/>
    <w:rsid w:val="00780612"/>
    <w:rsid w:val="00780BD2"/>
    <w:rsid w:val="00780DF3"/>
    <w:rsid w:val="00780E07"/>
    <w:rsid w:val="00781F71"/>
    <w:rsid w:val="007822A5"/>
    <w:rsid w:val="00782439"/>
    <w:rsid w:val="00782598"/>
    <w:rsid w:val="007825A9"/>
    <w:rsid w:val="007826CA"/>
    <w:rsid w:val="00783312"/>
    <w:rsid w:val="00783448"/>
    <w:rsid w:val="00783504"/>
    <w:rsid w:val="00783BA7"/>
    <w:rsid w:val="0078426E"/>
    <w:rsid w:val="00784AC1"/>
    <w:rsid w:val="00784FF7"/>
    <w:rsid w:val="00785524"/>
    <w:rsid w:val="007855BC"/>
    <w:rsid w:val="007856B6"/>
    <w:rsid w:val="007858EA"/>
    <w:rsid w:val="00785BF7"/>
    <w:rsid w:val="00786A3F"/>
    <w:rsid w:val="00786C63"/>
    <w:rsid w:val="00786FEF"/>
    <w:rsid w:val="00787323"/>
    <w:rsid w:val="007874D1"/>
    <w:rsid w:val="00787D59"/>
    <w:rsid w:val="00790070"/>
    <w:rsid w:val="007902A9"/>
    <w:rsid w:val="007904F6"/>
    <w:rsid w:val="007905BB"/>
    <w:rsid w:val="00790D0B"/>
    <w:rsid w:val="00790F58"/>
    <w:rsid w:val="00790FEF"/>
    <w:rsid w:val="00791014"/>
    <w:rsid w:val="0079128E"/>
    <w:rsid w:val="0079170F"/>
    <w:rsid w:val="00791BB0"/>
    <w:rsid w:val="00792149"/>
    <w:rsid w:val="00792FBD"/>
    <w:rsid w:val="00793CB0"/>
    <w:rsid w:val="00793E75"/>
    <w:rsid w:val="0079425C"/>
    <w:rsid w:val="007942CF"/>
    <w:rsid w:val="007944FB"/>
    <w:rsid w:val="00794DEB"/>
    <w:rsid w:val="007953AE"/>
    <w:rsid w:val="007959DE"/>
    <w:rsid w:val="00795B97"/>
    <w:rsid w:val="0079781F"/>
    <w:rsid w:val="0079782C"/>
    <w:rsid w:val="00797912"/>
    <w:rsid w:val="00797A21"/>
    <w:rsid w:val="007A07C0"/>
    <w:rsid w:val="007A0946"/>
    <w:rsid w:val="007A107E"/>
    <w:rsid w:val="007A14A7"/>
    <w:rsid w:val="007A2259"/>
    <w:rsid w:val="007A27EF"/>
    <w:rsid w:val="007A2818"/>
    <w:rsid w:val="007A2B9F"/>
    <w:rsid w:val="007A2DB4"/>
    <w:rsid w:val="007A3437"/>
    <w:rsid w:val="007A359C"/>
    <w:rsid w:val="007A35DA"/>
    <w:rsid w:val="007A388F"/>
    <w:rsid w:val="007A38E2"/>
    <w:rsid w:val="007A3BAF"/>
    <w:rsid w:val="007A3C22"/>
    <w:rsid w:val="007A3F29"/>
    <w:rsid w:val="007A424D"/>
    <w:rsid w:val="007A49F6"/>
    <w:rsid w:val="007A4A11"/>
    <w:rsid w:val="007A4E2C"/>
    <w:rsid w:val="007A4F68"/>
    <w:rsid w:val="007A522A"/>
    <w:rsid w:val="007A53F4"/>
    <w:rsid w:val="007A573E"/>
    <w:rsid w:val="007A5A4A"/>
    <w:rsid w:val="007A5CF0"/>
    <w:rsid w:val="007A5DDB"/>
    <w:rsid w:val="007A67B2"/>
    <w:rsid w:val="007A6990"/>
    <w:rsid w:val="007A703D"/>
    <w:rsid w:val="007A7502"/>
    <w:rsid w:val="007A75D5"/>
    <w:rsid w:val="007A7705"/>
    <w:rsid w:val="007A7C2A"/>
    <w:rsid w:val="007A7DB1"/>
    <w:rsid w:val="007B02E4"/>
    <w:rsid w:val="007B04C6"/>
    <w:rsid w:val="007B0F29"/>
    <w:rsid w:val="007B12AC"/>
    <w:rsid w:val="007B15FC"/>
    <w:rsid w:val="007B17F8"/>
    <w:rsid w:val="007B1AEE"/>
    <w:rsid w:val="007B1B2A"/>
    <w:rsid w:val="007B1C0E"/>
    <w:rsid w:val="007B1D0D"/>
    <w:rsid w:val="007B2D82"/>
    <w:rsid w:val="007B30E6"/>
    <w:rsid w:val="007B3355"/>
    <w:rsid w:val="007B3867"/>
    <w:rsid w:val="007B4D8F"/>
    <w:rsid w:val="007B4F21"/>
    <w:rsid w:val="007B5746"/>
    <w:rsid w:val="007B5C7D"/>
    <w:rsid w:val="007B5FB8"/>
    <w:rsid w:val="007B6023"/>
    <w:rsid w:val="007B64D8"/>
    <w:rsid w:val="007B6555"/>
    <w:rsid w:val="007B6572"/>
    <w:rsid w:val="007B6B3B"/>
    <w:rsid w:val="007B6DAF"/>
    <w:rsid w:val="007B73D9"/>
    <w:rsid w:val="007B7908"/>
    <w:rsid w:val="007C0509"/>
    <w:rsid w:val="007C09D8"/>
    <w:rsid w:val="007C0EED"/>
    <w:rsid w:val="007C150E"/>
    <w:rsid w:val="007C15A6"/>
    <w:rsid w:val="007C15AB"/>
    <w:rsid w:val="007C1705"/>
    <w:rsid w:val="007C1842"/>
    <w:rsid w:val="007C1970"/>
    <w:rsid w:val="007C199B"/>
    <w:rsid w:val="007C1D96"/>
    <w:rsid w:val="007C25B3"/>
    <w:rsid w:val="007C27AB"/>
    <w:rsid w:val="007C2EDA"/>
    <w:rsid w:val="007C2FF7"/>
    <w:rsid w:val="007C300F"/>
    <w:rsid w:val="007C426B"/>
    <w:rsid w:val="007C439E"/>
    <w:rsid w:val="007C4A6D"/>
    <w:rsid w:val="007C4B39"/>
    <w:rsid w:val="007C4DBE"/>
    <w:rsid w:val="007C5474"/>
    <w:rsid w:val="007C5698"/>
    <w:rsid w:val="007C575A"/>
    <w:rsid w:val="007C5DB8"/>
    <w:rsid w:val="007C5FF9"/>
    <w:rsid w:val="007C63C9"/>
    <w:rsid w:val="007C6764"/>
    <w:rsid w:val="007C694D"/>
    <w:rsid w:val="007C7156"/>
    <w:rsid w:val="007C7203"/>
    <w:rsid w:val="007C73A5"/>
    <w:rsid w:val="007C7541"/>
    <w:rsid w:val="007C7B3A"/>
    <w:rsid w:val="007C7F5A"/>
    <w:rsid w:val="007C7FE8"/>
    <w:rsid w:val="007D0C5E"/>
    <w:rsid w:val="007D0CFA"/>
    <w:rsid w:val="007D0E63"/>
    <w:rsid w:val="007D0FA5"/>
    <w:rsid w:val="007D1051"/>
    <w:rsid w:val="007D18CB"/>
    <w:rsid w:val="007D19DC"/>
    <w:rsid w:val="007D1BC5"/>
    <w:rsid w:val="007D1E60"/>
    <w:rsid w:val="007D20D4"/>
    <w:rsid w:val="007D23F8"/>
    <w:rsid w:val="007D2567"/>
    <w:rsid w:val="007D28C0"/>
    <w:rsid w:val="007D29B3"/>
    <w:rsid w:val="007D341C"/>
    <w:rsid w:val="007D350B"/>
    <w:rsid w:val="007D35C2"/>
    <w:rsid w:val="007D36EA"/>
    <w:rsid w:val="007D38FF"/>
    <w:rsid w:val="007D3927"/>
    <w:rsid w:val="007D39BA"/>
    <w:rsid w:val="007D3B10"/>
    <w:rsid w:val="007D3E9E"/>
    <w:rsid w:val="007D3F2A"/>
    <w:rsid w:val="007D414F"/>
    <w:rsid w:val="007D4A09"/>
    <w:rsid w:val="007D4DC2"/>
    <w:rsid w:val="007D5368"/>
    <w:rsid w:val="007D537E"/>
    <w:rsid w:val="007D53D9"/>
    <w:rsid w:val="007D580A"/>
    <w:rsid w:val="007D6012"/>
    <w:rsid w:val="007D60EA"/>
    <w:rsid w:val="007D6452"/>
    <w:rsid w:val="007D6500"/>
    <w:rsid w:val="007D694D"/>
    <w:rsid w:val="007D7DAF"/>
    <w:rsid w:val="007E0310"/>
    <w:rsid w:val="007E060A"/>
    <w:rsid w:val="007E07EA"/>
    <w:rsid w:val="007E0AD0"/>
    <w:rsid w:val="007E0CA1"/>
    <w:rsid w:val="007E124D"/>
    <w:rsid w:val="007E1BA4"/>
    <w:rsid w:val="007E1C2F"/>
    <w:rsid w:val="007E1CBA"/>
    <w:rsid w:val="007E1F3A"/>
    <w:rsid w:val="007E1F75"/>
    <w:rsid w:val="007E1F8A"/>
    <w:rsid w:val="007E288E"/>
    <w:rsid w:val="007E2F2B"/>
    <w:rsid w:val="007E2FE2"/>
    <w:rsid w:val="007E321C"/>
    <w:rsid w:val="007E3A81"/>
    <w:rsid w:val="007E3B73"/>
    <w:rsid w:val="007E4007"/>
    <w:rsid w:val="007E405D"/>
    <w:rsid w:val="007E41F0"/>
    <w:rsid w:val="007E431B"/>
    <w:rsid w:val="007E4BA7"/>
    <w:rsid w:val="007E516A"/>
    <w:rsid w:val="007E5905"/>
    <w:rsid w:val="007E5B58"/>
    <w:rsid w:val="007E5E5F"/>
    <w:rsid w:val="007E6D71"/>
    <w:rsid w:val="007E7C0A"/>
    <w:rsid w:val="007E7CAE"/>
    <w:rsid w:val="007F0008"/>
    <w:rsid w:val="007F0854"/>
    <w:rsid w:val="007F0872"/>
    <w:rsid w:val="007F1860"/>
    <w:rsid w:val="007F1BAC"/>
    <w:rsid w:val="007F1E31"/>
    <w:rsid w:val="007F20D3"/>
    <w:rsid w:val="007F218F"/>
    <w:rsid w:val="007F2AB6"/>
    <w:rsid w:val="007F2B0D"/>
    <w:rsid w:val="007F2D38"/>
    <w:rsid w:val="007F36D8"/>
    <w:rsid w:val="007F41CB"/>
    <w:rsid w:val="007F43AE"/>
    <w:rsid w:val="007F4D54"/>
    <w:rsid w:val="007F5129"/>
    <w:rsid w:val="007F59AC"/>
    <w:rsid w:val="007F5C19"/>
    <w:rsid w:val="007F5EC7"/>
    <w:rsid w:val="007F62D6"/>
    <w:rsid w:val="007F67C2"/>
    <w:rsid w:val="007F6CEF"/>
    <w:rsid w:val="007F6E45"/>
    <w:rsid w:val="0080009A"/>
    <w:rsid w:val="00800195"/>
    <w:rsid w:val="008003EB"/>
    <w:rsid w:val="00800720"/>
    <w:rsid w:val="008008DF"/>
    <w:rsid w:val="00800BAE"/>
    <w:rsid w:val="00800CEA"/>
    <w:rsid w:val="008015A8"/>
    <w:rsid w:val="008017E7"/>
    <w:rsid w:val="00801D44"/>
    <w:rsid w:val="00802132"/>
    <w:rsid w:val="00802245"/>
    <w:rsid w:val="00802288"/>
    <w:rsid w:val="008031AA"/>
    <w:rsid w:val="008032E2"/>
    <w:rsid w:val="0080377D"/>
    <w:rsid w:val="0080398A"/>
    <w:rsid w:val="0080475C"/>
    <w:rsid w:val="00804A70"/>
    <w:rsid w:val="00804C9F"/>
    <w:rsid w:val="0080501F"/>
    <w:rsid w:val="008053DC"/>
    <w:rsid w:val="00805AE1"/>
    <w:rsid w:val="00805D14"/>
    <w:rsid w:val="0080610B"/>
    <w:rsid w:val="008062E3"/>
    <w:rsid w:val="00806A64"/>
    <w:rsid w:val="00806BD6"/>
    <w:rsid w:val="00806DC1"/>
    <w:rsid w:val="0080723A"/>
    <w:rsid w:val="00807A2B"/>
    <w:rsid w:val="00807A33"/>
    <w:rsid w:val="00810076"/>
    <w:rsid w:val="0081028A"/>
    <w:rsid w:val="008105A6"/>
    <w:rsid w:val="008106B3"/>
    <w:rsid w:val="008107F9"/>
    <w:rsid w:val="00811C7A"/>
    <w:rsid w:val="00811F77"/>
    <w:rsid w:val="00812F5F"/>
    <w:rsid w:val="0081310E"/>
    <w:rsid w:val="008132A1"/>
    <w:rsid w:val="008135D8"/>
    <w:rsid w:val="008138BD"/>
    <w:rsid w:val="00813D67"/>
    <w:rsid w:val="00814292"/>
    <w:rsid w:val="0081479F"/>
    <w:rsid w:val="00814DE5"/>
    <w:rsid w:val="008151D3"/>
    <w:rsid w:val="008152D6"/>
    <w:rsid w:val="0081578C"/>
    <w:rsid w:val="00815B45"/>
    <w:rsid w:val="00816145"/>
    <w:rsid w:val="00816163"/>
    <w:rsid w:val="00816B12"/>
    <w:rsid w:val="00816B93"/>
    <w:rsid w:val="00816E8B"/>
    <w:rsid w:val="00816EA7"/>
    <w:rsid w:val="008171E6"/>
    <w:rsid w:val="0081749B"/>
    <w:rsid w:val="00817619"/>
    <w:rsid w:val="00817C32"/>
    <w:rsid w:val="00820028"/>
    <w:rsid w:val="008207B4"/>
    <w:rsid w:val="00820BAA"/>
    <w:rsid w:val="00820FAA"/>
    <w:rsid w:val="00821234"/>
    <w:rsid w:val="008212A5"/>
    <w:rsid w:val="0082159F"/>
    <w:rsid w:val="0082202A"/>
    <w:rsid w:val="00822675"/>
    <w:rsid w:val="008228D9"/>
    <w:rsid w:val="008231E7"/>
    <w:rsid w:val="0082384B"/>
    <w:rsid w:val="00823BB1"/>
    <w:rsid w:val="00824058"/>
    <w:rsid w:val="0082412C"/>
    <w:rsid w:val="00824CE3"/>
    <w:rsid w:val="00824D82"/>
    <w:rsid w:val="00825000"/>
    <w:rsid w:val="008250E1"/>
    <w:rsid w:val="0082510C"/>
    <w:rsid w:val="00825299"/>
    <w:rsid w:val="0082569B"/>
    <w:rsid w:val="00825AFA"/>
    <w:rsid w:val="00825CEE"/>
    <w:rsid w:val="00825D33"/>
    <w:rsid w:val="00825D6B"/>
    <w:rsid w:val="008260B5"/>
    <w:rsid w:val="00826115"/>
    <w:rsid w:val="008263FB"/>
    <w:rsid w:val="00826A95"/>
    <w:rsid w:val="00826BFE"/>
    <w:rsid w:val="00826F49"/>
    <w:rsid w:val="00827046"/>
    <w:rsid w:val="008270CD"/>
    <w:rsid w:val="008276C2"/>
    <w:rsid w:val="008277B3"/>
    <w:rsid w:val="008279F2"/>
    <w:rsid w:val="00827D5B"/>
    <w:rsid w:val="00827DCB"/>
    <w:rsid w:val="00830B97"/>
    <w:rsid w:val="00830CD3"/>
    <w:rsid w:val="0083116D"/>
    <w:rsid w:val="00831179"/>
    <w:rsid w:val="008313EE"/>
    <w:rsid w:val="0083279A"/>
    <w:rsid w:val="008327D7"/>
    <w:rsid w:val="00832B63"/>
    <w:rsid w:val="00832CD6"/>
    <w:rsid w:val="00832CED"/>
    <w:rsid w:val="00832FBE"/>
    <w:rsid w:val="0083326E"/>
    <w:rsid w:val="0083343B"/>
    <w:rsid w:val="00833B93"/>
    <w:rsid w:val="0083417D"/>
    <w:rsid w:val="00834811"/>
    <w:rsid w:val="0083519E"/>
    <w:rsid w:val="0083567E"/>
    <w:rsid w:val="008358BB"/>
    <w:rsid w:val="00836591"/>
    <w:rsid w:val="008368B9"/>
    <w:rsid w:val="008368C4"/>
    <w:rsid w:val="00836F42"/>
    <w:rsid w:val="008370CC"/>
    <w:rsid w:val="008372BD"/>
    <w:rsid w:val="008374DD"/>
    <w:rsid w:val="00837BAE"/>
    <w:rsid w:val="00837D2C"/>
    <w:rsid w:val="00840D59"/>
    <w:rsid w:val="0084135A"/>
    <w:rsid w:val="008418F3"/>
    <w:rsid w:val="00841B1C"/>
    <w:rsid w:val="00842604"/>
    <w:rsid w:val="00842917"/>
    <w:rsid w:val="00842BC9"/>
    <w:rsid w:val="00842CD1"/>
    <w:rsid w:val="00842DD1"/>
    <w:rsid w:val="00842E46"/>
    <w:rsid w:val="00844271"/>
    <w:rsid w:val="008442F1"/>
    <w:rsid w:val="00844352"/>
    <w:rsid w:val="00844556"/>
    <w:rsid w:val="00844D12"/>
    <w:rsid w:val="00845050"/>
    <w:rsid w:val="0084506D"/>
    <w:rsid w:val="00845A99"/>
    <w:rsid w:val="00846473"/>
    <w:rsid w:val="0084651E"/>
    <w:rsid w:val="0084660D"/>
    <w:rsid w:val="00846670"/>
    <w:rsid w:val="0084669F"/>
    <w:rsid w:val="00846D58"/>
    <w:rsid w:val="00847267"/>
    <w:rsid w:val="008472A9"/>
    <w:rsid w:val="008473BE"/>
    <w:rsid w:val="00847FE5"/>
    <w:rsid w:val="00850464"/>
    <w:rsid w:val="0085063B"/>
    <w:rsid w:val="00850924"/>
    <w:rsid w:val="008509A8"/>
    <w:rsid w:val="00850B93"/>
    <w:rsid w:val="00850E6B"/>
    <w:rsid w:val="00851027"/>
    <w:rsid w:val="00851178"/>
    <w:rsid w:val="008514DF"/>
    <w:rsid w:val="008517C4"/>
    <w:rsid w:val="008517F8"/>
    <w:rsid w:val="008518AC"/>
    <w:rsid w:val="00851CBD"/>
    <w:rsid w:val="008522F8"/>
    <w:rsid w:val="0085261D"/>
    <w:rsid w:val="00852726"/>
    <w:rsid w:val="00852EE8"/>
    <w:rsid w:val="0085322F"/>
    <w:rsid w:val="008532FC"/>
    <w:rsid w:val="00853780"/>
    <w:rsid w:val="00854DC0"/>
    <w:rsid w:val="008559C1"/>
    <w:rsid w:val="008562EF"/>
    <w:rsid w:val="0085671C"/>
    <w:rsid w:val="00856D23"/>
    <w:rsid w:val="0085700B"/>
    <w:rsid w:val="0086114E"/>
    <w:rsid w:val="00861151"/>
    <w:rsid w:val="008614DE"/>
    <w:rsid w:val="0086155B"/>
    <w:rsid w:val="008616A6"/>
    <w:rsid w:val="00861BE6"/>
    <w:rsid w:val="0086201F"/>
    <w:rsid w:val="00862177"/>
    <w:rsid w:val="00862679"/>
    <w:rsid w:val="00863322"/>
    <w:rsid w:val="00863329"/>
    <w:rsid w:val="008634B5"/>
    <w:rsid w:val="008634C0"/>
    <w:rsid w:val="0086361C"/>
    <w:rsid w:val="00863CDA"/>
    <w:rsid w:val="00864033"/>
    <w:rsid w:val="00864734"/>
    <w:rsid w:val="0086484D"/>
    <w:rsid w:val="00864D75"/>
    <w:rsid w:val="00864DF0"/>
    <w:rsid w:val="00865038"/>
    <w:rsid w:val="0086543E"/>
    <w:rsid w:val="008658BB"/>
    <w:rsid w:val="0086711C"/>
    <w:rsid w:val="008671EB"/>
    <w:rsid w:val="00870170"/>
    <w:rsid w:val="0087023D"/>
    <w:rsid w:val="00870BF2"/>
    <w:rsid w:val="00870F20"/>
    <w:rsid w:val="00870F9B"/>
    <w:rsid w:val="0087132C"/>
    <w:rsid w:val="008713FF"/>
    <w:rsid w:val="008715A2"/>
    <w:rsid w:val="0087175E"/>
    <w:rsid w:val="00871A48"/>
    <w:rsid w:val="00871CCF"/>
    <w:rsid w:val="00872172"/>
    <w:rsid w:val="008721F3"/>
    <w:rsid w:val="00872465"/>
    <w:rsid w:val="00872D3A"/>
    <w:rsid w:val="00872E17"/>
    <w:rsid w:val="00873E09"/>
    <w:rsid w:val="00873FD6"/>
    <w:rsid w:val="00874022"/>
    <w:rsid w:val="008740E9"/>
    <w:rsid w:val="00874317"/>
    <w:rsid w:val="008743D3"/>
    <w:rsid w:val="008745F3"/>
    <w:rsid w:val="00874E41"/>
    <w:rsid w:val="00874EDE"/>
    <w:rsid w:val="00874EDF"/>
    <w:rsid w:val="00875585"/>
    <w:rsid w:val="00875C1A"/>
    <w:rsid w:val="00875C81"/>
    <w:rsid w:val="0087627D"/>
    <w:rsid w:val="0087633A"/>
    <w:rsid w:val="00876888"/>
    <w:rsid w:val="00876D40"/>
    <w:rsid w:val="008774AE"/>
    <w:rsid w:val="00877D7C"/>
    <w:rsid w:val="008800EA"/>
    <w:rsid w:val="0088021C"/>
    <w:rsid w:val="00880BEC"/>
    <w:rsid w:val="00880F51"/>
    <w:rsid w:val="008811A7"/>
    <w:rsid w:val="008819EA"/>
    <w:rsid w:val="00881CA1"/>
    <w:rsid w:val="00881D48"/>
    <w:rsid w:val="00881FC0"/>
    <w:rsid w:val="00882264"/>
    <w:rsid w:val="008825EB"/>
    <w:rsid w:val="00882CD4"/>
    <w:rsid w:val="00882F02"/>
    <w:rsid w:val="00882FAE"/>
    <w:rsid w:val="00883B8D"/>
    <w:rsid w:val="008840E0"/>
    <w:rsid w:val="00884504"/>
    <w:rsid w:val="00884E46"/>
    <w:rsid w:val="0088509E"/>
    <w:rsid w:val="008858C1"/>
    <w:rsid w:val="0088660B"/>
    <w:rsid w:val="008866AE"/>
    <w:rsid w:val="008875BD"/>
    <w:rsid w:val="00887B78"/>
    <w:rsid w:val="00890877"/>
    <w:rsid w:val="00890925"/>
    <w:rsid w:val="00890C5D"/>
    <w:rsid w:val="00891279"/>
    <w:rsid w:val="008917ED"/>
    <w:rsid w:val="00891918"/>
    <w:rsid w:val="0089262F"/>
    <w:rsid w:val="0089273E"/>
    <w:rsid w:val="00892940"/>
    <w:rsid w:val="0089299E"/>
    <w:rsid w:val="00893242"/>
    <w:rsid w:val="0089386D"/>
    <w:rsid w:val="00893C37"/>
    <w:rsid w:val="00894307"/>
    <w:rsid w:val="00894724"/>
    <w:rsid w:val="00894C35"/>
    <w:rsid w:val="0089505A"/>
    <w:rsid w:val="0089521C"/>
    <w:rsid w:val="00895273"/>
    <w:rsid w:val="008952C7"/>
    <w:rsid w:val="0089531D"/>
    <w:rsid w:val="00895577"/>
    <w:rsid w:val="008955EF"/>
    <w:rsid w:val="008958B2"/>
    <w:rsid w:val="00895A8A"/>
    <w:rsid w:val="00895B84"/>
    <w:rsid w:val="00896150"/>
    <w:rsid w:val="00896379"/>
    <w:rsid w:val="00896D1E"/>
    <w:rsid w:val="00896D53"/>
    <w:rsid w:val="00896F63"/>
    <w:rsid w:val="00897185"/>
    <w:rsid w:val="00897396"/>
    <w:rsid w:val="008975D1"/>
    <w:rsid w:val="00897619"/>
    <w:rsid w:val="008976FB"/>
    <w:rsid w:val="00897800"/>
    <w:rsid w:val="0089784E"/>
    <w:rsid w:val="00897EFC"/>
    <w:rsid w:val="008A0140"/>
    <w:rsid w:val="008A040A"/>
    <w:rsid w:val="008A0776"/>
    <w:rsid w:val="008A09D7"/>
    <w:rsid w:val="008A159B"/>
    <w:rsid w:val="008A1610"/>
    <w:rsid w:val="008A1622"/>
    <w:rsid w:val="008A19E4"/>
    <w:rsid w:val="008A1FA4"/>
    <w:rsid w:val="008A25A2"/>
    <w:rsid w:val="008A2CCC"/>
    <w:rsid w:val="008A2DCB"/>
    <w:rsid w:val="008A2E78"/>
    <w:rsid w:val="008A2FF7"/>
    <w:rsid w:val="008A3073"/>
    <w:rsid w:val="008A3211"/>
    <w:rsid w:val="008A3681"/>
    <w:rsid w:val="008A36FA"/>
    <w:rsid w:val="008A3E8E"/>
    <w:rsid w:val="008A3F91"/>
    <w:rsid w:val="008A4146"/>
    <w:rsid w:val="008A4196"/>
    <w:rsid w:val="008A499E"/>
    <w:rsid w:val="008A4CA2"/>
    <w:rsid w:val="008A5251"/>
    <w:rsid w:val="008A53CB"/>
    <w:rsid w:val="008A5634"/>
    <w:rsid w:val="008A5676"/>
    <w:rsid w:val="008A56F1"/>
    <w:rsid w:val="008A5BDB"/>
    <w:rsid w:val="008A62C9"/>
    <w:rsid w:val="008A6373"/>
    <w:rsid w:val="008A656A"/>
    <w:rsid w:val="008A671F"/>
    <w:rsid w:val="008A71DF"/>
    <w:rsid w:val="008B038B"/>
    <w:rsid w:val="008B042E"/>
    <w:rsid w:val="008B0930"/>
    <w:rsid w:val="008B0A8B"/>
    <w:rsid w:val="008B12E3"/>
    <w:rsid w:val="008B1478"/>
    <w:rsid w:val="008B1548"/>
    <w:rsid w:val="008B19C8"/>
    <w:rsid w:val="008B2766"/>
    <w:rsid w:val="008B2C4F"/>
    <w:rsid w:val="008B34A9"/>
    <w:rsid w:val="008B3607"/>
    <w:rsid w:val="008B37E0"/>
    <w:rsid w:val="008B3B21"/>
    <w:rsid w:val="008B420C"/>
    <w:rsid w:val="008B46EF"/>
    <w:rsid w:val="008B4C78"/>
    <w:rsid w:val="008B4C96"/>
    <w:rsid w:val="008B4CA4"/>
    <w:rsid w:val="008B59EA"/>
    <w:rsid w:val="008B5C15"/>
    <w:rsid w:val="008B61B3"/>
    <w:rsid w:val="008B6236"/>
    <w:rsid w:val="008B64AC"/>
    <w:rsid w:val="008B698F"/>
    <w:rsid w:val="008B69CC"/>
    <w:rsid w:val="008B6F2A"/>
    <w:rsid w:val="008B7244"/>
    <w:rsid w:val="008B73CD"/>
    <w:rsid w:val="008B73D1"/>
    <w:rsid w:val="008B784A"/>
    <w:rsid w:val="008B79C2"/>
    <w:rsid w:val="008C0C6A"/>
    <w:rsid w:val="008C125E"/>
    <w:rsid w:val="008C176A"/>
    <w:rsid w:val="008C1B3A"/>
    <w:rsid w:val="008C1C3F"/>
    <w:rsid w:val="008C2090"/>
    <w:rsid w:val="008C2598"/>
    <w:rsid w:val="008C2605"/>
    <w:rsid w:val="008C2BBA"/>
    <w:rsid w:val="008C2BCA"/>
    <w:rsid w:val="008C2D81"/>
    <w:rsid w:val="008C3D0B"/>
    <w:rsid w:val="008C3D23"/>
    <w:rsid w:val="008C40DE"/>
    <w:rsid w:val="008C4116"/>
    <w:rsid w:val="008C4234"/>
    <w:rsid w:val="008C43ED"/>
    <w:rsid w:val="008C458E"/>
    <w:rsid w:val="008C462B"/>
    <w:rsid w:val="008C5172"/>
    <w:rsid w:val="008C55FE"/>
    <w:rsid w:val="008C5A43"/>
    <w:rsid w:val="008C5BFE"/>
    <w:rsid w:val="008C5D65"/>
    <w:rsid w:val="008C5EF6"/>
    <w:rsid w:val="008C627B"/>
    <w:rsid w:val="008C653F"/>
    <w:rsid w:val="008C65A5"/>
    <w:rsid w:val="008C68B8"/>
    <w:rsid w:val="008C7133"/>
    <w:rsid w:val="008C7157"/>
    <w:rsid w:val="008C73B6"/>
    <w:rsid w:val="008C77C2"/>
    <w:rsid w:val="008D03BA"/>
    <w:rsid w:val="008D06FF"/>
    <w:rsid w:val="008D0FC5"/>
    <w:rsid w:val="008D13FA"/>
    <w:rsid w:val="008D14FD"/>
    <w:rsid w:val="008D18ED"/>
    <w:rsid w:val="008D1A3C"/>
    <w:rsid w:val="008D1C7C"/>
    <w:rsid w:val="008D1E2A"/>
    <w:rsid w:val="008D1FE8"/>
    <w:rsid w:val="008D24DA"/>
    <w:rsid w:val="008D253C"/>
    <w:rsid w:val="008D2B41"/>
    <w:rsid w:val="008D32EF"/>
    <w:rsid w:val="008D33AE"/>
    <w:rsid w:val="008D35A7"/>
    <w:rsid w:val="008D3635"/>
    <w:rsid w:val="008D3821"/>
    <w:rsid w:val="008D3DE4"/>
    <w:rsid w:val="008D3E3D"/>
    <w:rsid w:val="008D4013"/>
    <w:rsid w:val="008D4570"/>
    <w:rsid w:val="008D4589"/>
    <w:rsid w:val="008D47BA"/>
    <w:rsid w:val="008D4828"/>
    <w:rsid w:val="008D4CBC"/>
    <w:rsid w:val="008D4E10"/>
    <w:rsid w:val="008D58F8"/>
    <w:rsid w:val="008D5C93"/>
    <w:rsid w:val="008D6451"/>
    <w:rsid w:val="008D68A1"/>
    <w:rsid w:val="008D6D88"/>
    <w:rsid w:val="008D72FA"/>
    <w:rsid w:val="008D7853"/>
    <w:rsid w:val="008E0174"/>
    <w:rsid w:val="008E0234"/>
    <w:rsid w:val="008E04A9"/>
    <w:rsid w:val="008E052E"/>
    <w:rsid w:val="008E07D0"/>
    <w:rsid w:val="008E0EE9"/>
    <w:rsid w:val="008E10B0"/>
    <w:rsid w:val="008E1231"/>
    <w:rsid w:val="008E163D"/>
    <w:rsid w:val="008E1A8D"/>
    <w:rsid w:val="008E1B86"/>
    <w:rsid w:val="008E1BD2"/>
    <w:rsid w:val="008E1F44"/>
    <w:rsid w:val="008E2484"/>
    <w:rsid w:val="008E2B55"/>
    <w:rsid w:val="008E42F9"/>
    <w:rsid w:val="008E433E"/>
    <w:rsid w:val="008E4449"/>
    <w:rsid w:val="008E4467"/>
    <w:rsid w:val="008E4710"/>
    <w:rsid w:val="008E4B85"/>
    <w:rsid w:val="008E5246"/>
    <w:rsid w:val="008E5265"/>
    <w:rsid w:val="008E543F"/>
    <w:rsid w:val="008E54BD"/>
    <w:rsid w:val="008E5635"/>
    <w:rsid w:val="008E570B"/>
    <w:rsid w:val="008E59A7"/>
    <w:rsid w:val="008E5B6D"/>
    <w:rsid w:val="008E5D1E"/>
    <w:rsid w:val="008E661C"/>
    <w:rsid w:val="008E7501"/>
    <w:rsid w:val="008E7742"/>
    <w:rsid w:val="008E78C0"/>
    <w:rsid w:val="008E7955"/>
    <w:rsid w:val="008E7974"/>
    <w:rsid w:val="008E7CFD"/>
    <w:rsid w:val="008E7FEF"/>
    <w:rsid w:val="008F0357"/>
    <w:rsid w:val="008F03FA"/>
    <w:rsid w:val="008F109D"/>
    <w:rsid w:val="008F1374"/>
    <w:rsid w:val="008F15C6"/>
    <w:rsid w:val="008F15D8"/>
    <w:rsid w:val="008F16F6"/>
    <w:rsid w:val="008F2420"/>
    <w:rsid w:val="008F25F1"/>
    <w:rsid w:val="008F27ED"/>
    <w:rsid w:val="008F29FB"/>
    <w:rsid w:val="008F2D99"/>
    <w:rsid w:val="008F2DD9"/>
    <w:rsid w:val="008F2E12"/>
    <w:rsid w:val="008F30C4"/>
    <w:rsid w:val="008F3257"/>
    <w:rsid w:val="008F32F7"/>
    <w:rsid w:val="008F334D"/>
    <w:rsid w:val="008F3374"/>
    <w:rsid w:val="008F3CB1"/>
    <w:rsid w:val="008F3E10"/>
    <w:rsid w:val="008F3E8F"/>
    <w:rsid w:val="008F4785"/>
    <w:rsid w:val="008F4C4E"/>
    <w:rsid w:val="008F4E9E"/>
    <w:rsid w:val="008F4EE8"/>
    <w:rsid w:val="008F5392"/>
    <w:rsid w:val="008F552C"/>
    <w:rsid w:val="008F5B3C"/>
    <w:rsid w:val="008F5EF7"/>
    <w:rsid w:val="008F5FBA"/>
    <w:rsid w:val="008F60F2"/>
    <w:rsid w:val="008F67E4"/>
    <w:rsid w:val="008F6BFE"/>
    <w:rsid w:val="008F6C56"/>
    <w:rsid w:val="008F73CE"/>
    <w:rsid w:val="008F7ABC"/>
    <w:rsid w:val="008F7D34"/>
    <w:rsid w:val="009003AF"/>
    <w:rsid w:val="0090049C"/>
    <w:rsid w:val="00901102"/>
    <w:rsid w:val="0090114B"/>
    <w:rsid w:val="009011AA"/>
    <w:rsid w:val="00901489"/>
    <w:rsid w:val="00901B83"/>
    <w:rsid w:val="009021C3"/>
    <w:rsid w:val="00902298"/>
    <w:rsid w:val="00902951"/>
    <w:rsid w:val="009032E9"/>
    <w:rsid w:val="00903767"/>
    <w:rsid w:val="009039C0"/>
    <w:rsid w:val="00904AF1"/>
    <w:rsid w:val="00904D8B"/>
    <w:rsid w:val="00906809"/>
    <w:rsid w:val="00906A89"/>
    <w:rsid w:val="00906B3F"/>
    <w:rsid w:val="0090716D"/>
    <w:rsid w:val="00907DB2"/>
    <w:rsid w:val="00910FF8"/>
    <w:rsid w:val="0091130B"/>
    <w:rsid w:val="0091147B"/>
    <w:rsid w:val="009116E4"/>
    <w:rsid w:val="00911763"/>
    <w:rsid w:val="00911793"/>
    <w:rsid w:val="00911834"/>
    <w:rsid w:val="0091188B"/>
    <w:rsid w:val="00911D30"/>
    <w:rsid w:val="00911DA7"/>
    <w:rsid w:val="00912299"/>
    <w:rsid w:val="00912584"/>
    <w:rsid w:val="00912AC5"/>
    <w:rsid w:val="00912B6C"/>
    <w:rsid w:val="00912C00"/>
    <w:rsid w:val="00912CC0"/>
    <w:rsid w:val="00912D18"/>
    <w:rsid w:val="009132F7"/>
    <w:rsid w:val="009138BC"/>
    <w:rsid w:val="009139F7"/>
    <w:rsid w:val="00913AB7"/>
    <w:rsid w:val="00913E19"/>
    <w:rsid w:val="009142F9"/>
    <w:rsid w:val="00914FF7"/>
    <w:rsid w:val="009151BF"/>
    <w:rsid w:val="00915668"/>
    <w:rsid w:val="00915C8B"/>
    <w:rsid w:val="00915D3F"/>
    <w:rsid w:val="00916735"/>
    <w:rsid w:val="009167F8"/>
    <w:rsid w:val="0091684D"/>
    <w:rsid w:val="00916FF8"/>
    <w:rsid w:val="0091779E"/>
    <w:rsid w:val="0091786D"/>
    <w:rsid w:val="00917B1F"/>
    <w:rsid w:val="009203D0"/>
    <w:rsid w:val="009216E5"/>
    <w:rsid w:val="00922093"/>
    <w:rsid w:val="009222A3"/>
    <w:rsid w:val="00922395"/>
    <w:rsid w:val="009227BB"/>
    <w:rsid w:val="00922AE7"/>
    <w:rsid w:val="00922B08"/>
    <w:rsid w:val="0092309B"/>
    <w:rsid w:val="00923BA3"/>
    <w:rsid w:val="00923C4D"/>
    <w:rsid w:val="00923FAC"/>
    <w:rsid w:val="00924641"/>
    <w:rsid w:val="0092475B"/>
    <w:rsid w:val="00924A94"/>
    <w:rsid w:val="00924D42"/>
    <w:rsid w:val="00924F0A"/>
    <w:rsid w:val="00925396"/>
    <w:rsid w:val="0092572B"/>
    <w:rsid w:val="009258EA"/>
    <w:rsid w:val="00925DDE"/>
    <w:rsid w:val="00925E32"/>
    <w:rsid w:val="009265F8"/>
    <w:rsid w:val="0092683E"/>
    <w:rsid w:val="009268A9"/>
    <w:rsid w:val="009268AE"/>
    <w:rsid w:val="009269A4"/>
    <w:rsid w:val="00926B0E"/>
    <w:rsid w:val="00926D23"/>
    <w:rsid w:val="00927683"/>
    <w:rsid w:val="0092774C"/>
    <w:rsid w:val="00927BB3"/>
    <w:rsid w:val="00927DB7"/>
    <w:rsid w:val="00930EA9"/>
    <w:rsid w:val="0093122F"/>
    <w:rsid w:val="009314B0"/>
    <w:rsid w:val="009317F6"/>
    <w:rsid w:val="00932017"/>
    <w:rsid w:val="00932083"/>
    <w:rsid w:val="0093221B"/>
    <w:rsid w:val="00932BF5"/>
    <w:rsid w:val="009330A6"/>
    <w:rsid w:val="00933489"/>
    <w:rsid w:val="0093358B"/>
    <w:rsid w:val="00933696"/>
    <w:rsid w:val="009336F5"/>
    <w:rsid w:val="0093375F"/>
    <w:rsid w:val="00933A5F"/>
    <w:rsid w:val="00933CBB"/>
    <w:rsid w:val="00933FB9"/>
    <w:rsid w:val="009342F1"/>
    <w:rsid w:val="0093432B"/>
    <w:rsid w:val="009349E8"/>
    <w:rsid w:val="009353B9"/>
    <w:rsid w:val="009354AE"/>
    <w:rsid w:val="00935F8F"/>
    <w:rsid w:val="00935FD8"/>
    <w:rsid w:val="00936410"/>
    <w:rsid w:val="0093692B"/>
    <w:rsid w:val="00936930"/>
    <w:rsid w:val="00936E23"/>
    <w:rsid w:val="00936E65"/>
    <w:rsid w:val="009372C5"/>
    <w:rsid w:val="00937370"/>
    <w:rsid w:val="00937678"/>
    <w:rsid w:val="00937699"/>
    <w:rsid w:val="00937E3F"/>
    <w:rsid w:val="00937FC3"/>
    <w:rsid w:val="00940318"/>
    <w:rsid w:val="00940901"/>
    <w:rsid w:val="00940930"/>
    <w:rsid w:val="00941048"/>
    <w:rsid w:val="0094122E"/>
    <w:rsid w:val="009416C1"/>
    <w:rsid w:val="009420B4"/>
    <w:rsid w:val="00942405"/>
    <w:rsid w:val="00942E16"/>
    <w:rsid w:val="0094327D"/>
    <w:rsid w:val="00944171"/>
    <w:rsid w:val="009451B2"/>
    <w:rsid w:val="0094536C"/>
    <w:rsid w:val="00945AFE"/>
    <w:rsid w:val="00945B16"/>
    <w:rsid w:val="00945F73"/>
    <w:rsid w:val="00945F9F"/>
    <w:rsid w:val="00946320"/>
    <w:rsid w:val="009470BE"/>
    <w:rsid w:val="00947259"/>
    <w:rsid w:val="0094759D"/>
    <w:rsid w:val="00947AF9"/>
    <w:rsid w:val="009505AE"/>
    <w:rsid w:val="009508E6"/>
    <w:rsid w:val="00950B35"/>
    <w:rsid w:val="0095132D"/>
    <w:rsid w:val="0095135F"/>
    <w:rsid w:val="00951540"/>
    <w:rsid w:val="00951544"/>
    <w:rsid w:val="00951766"/>
    <w:rsid w:val="00951FBA"/>
    <w:rsid w:val="0095201D"/>
    <w:rsid w:val="0095213F"/>
    <w:rsid w:val="00952BD0"/>
    <w:rsid w:val="0095300C"/>
    <w:rsid w:val="00953826"/>
    <w:rsid w:val="00953B80"/>
    <w:rsid w:val="00953CEA"/>
    <w:rsid w:val="00954642"/>
    <w:rsid w:val="00954745"/>
    <w:rsid w:val="00954ABF"/>
    <w:rsid w:val="00954DB2"/>
    <w:rsid w:val="00954E78"/>
    <w:rsid w:val="009552EF"/>
    <w:rsid w:val="009554E8"/>
    <w:rsid w:val="00955726"/>
    <w:rsid w:val="0095594A"/>
    <w:rsid w:val="00955B43"/>
    <w:rsid w:val="00955D6D"/>
    <w:rsid w:val="009565F9"/>
    <w:rsid w:val="009567F3"/>
    <w:rsid w:val="00956CFB"/>
    <w:rsid w:val="00956DAE"/>
    <w:rsid w:val="00956EE8"/>
    <w:rsid w:val="009570CF"/>
    <w:rsid w:val="00957CD5"/>
    <w:rsid w:val="00957FE2"/>
    <w:rsid w:val="0096028A"/>
    <w:rsid w:val="009602A1"/>
    <w:rsid w:val="00960475"/>
    <w:rsid w:val="009607FE"/>
    <w:rsid w:val="009609B0"/>
    <w:rsid w:val="00960BA6"/>
    <w:rsid w:val="00960CB4"/>
    <w:rsid w:val="00960FF7"/>
    <w:rsid w:val="00961187"/>
    <w:rsid w:val="009612D4"/>
    <w:rsid w:val="00961553"/>
    <w:rsid w:val="00961C8F"/>
    <w:rsid w:val="00961E06"/>
    <w:rsid w:val="009620D7"/>
    <w:rsid w:val="009623E4"/>
    <w:rsid w:val="009627A6"/>
    <w:rsid w:val="009629F5"/>
    <w:rsid w:val="00962D7C"/>
    <w:rsid w:val="00963345"/>
    <w:rsid w:val="0096354E"/>
    <w:rsid w:val="0096383A"/>
    <w:rsid w:val="00963B7B"/>
    <w:rsid w:val="00963D5D"/>
    <w:rsid w:val="009643B6"/>
    <w:rsid w:val="0096462E"/>
    <w:rsid w:val="00964700"/>
    <w:rsid w:val="00965212"/>
    <w:rsid w:val="00965CCC"/>
    <w:rsid w:val="00966FF9"/>
    <w:rsid w:val="0096743D"/>
    <w:rsid w:val="00970216"/>
    <w:rsid w:val="00970485"/>
    <w:rsid w:val="009709BB"/>
    <w:rsid w:val="00970C82"/>
    <w:rsid w:val="00970DA3"/>
    <w:rsid w:val="009714E7"/>
    <w:rsid w:val="00971594"/>
    <w:rsid w:val="009715D4"/>
    <w:rsid w:val="00971F35"/>
    <w:rsid w:val="009723B2"/>
    <w:rsid w:val="009724A0"/>
    <w:rsid w:val="009725DE"/>
    <w:rsid w:val="009725E6"/>
    <w:rsid w:val="00973256"/>
    <w:rsid w:val="0097345A"/>
    <w:rsid w:val="00973677"/>
    <w:rsid w:val="0097399B"/>
    <w:rsid w:val="009741BC"/>
    <w:rsid w:val="009741C3"/>
    <w:rsid w:val="00974234"/>
    <w:rsid w:val="0097494D"/>
    <w:rsid w:val="009749A4"/>
    <w:rsid w:val="00974AB3"/>
    <w:rsid w:val="00974B8E"/>
    <w:rsid w:val="00974C8B"/>
    <w:rsid w:val="009757E0"/>
    <w:rsid w:val="00975CD1"/>
    <w:rsid w:val="009763A0"/>
    <w:rsid w:val="00976566"/>
    <w:rsid w:val="0097668C"/>
    <w:rsid w:val="0097747A"/>
    <w:rsid w:val="00977C71"/>
    <w:rsid w:val="009808D5"/>
    <w:rsid w:val="00980BA1"/>
    <w:rsid w:val="00981262"/>
    <w:rsid w:val="009825A1"/>
    <w:rsid w:val="00982FA8"/>
    <w:rsid w:val="009830D8"/>
    <w:rsid w:val="0098311B"/>
    <w:rsid w:val="0098365A"/>
    <w:rsid w:val="00983DEE"/>
    <w:rsid w:val="00983DF3"/>
    <w:rsid w:val="0098431E"/>
    <w:rsid w:val="00984594"/>
    <w:rsid w:val="00984956"/>
    <w:rsid w:val="009849D8"/>
    <w:rsid w:val="009850A1"/>
    <w:rsid w:val="00985134"/>
    <w:rsid w:val="0098536B"/>
    <w:rsid w:val="0098567F"/>
    <w:rsid w:val="0098574E"/>
    <w:rsid w:val="00985A91"/>
    <w:rsid w:val="00985B05"/>
    <w:rsid w:val="00985D83"/>
    <w:rsid w:val="009860FD"/>
    <w:rsid w:val="00986195"/>
    <w:rsid w:val="00986222"/>
    <w:rsid w:val="009862F7"/>
    <w:rsid w:val="0098660D"/>
    <w:rsid w:val="00986CFB"/>
    <w:rsid w:val="00987391"/>
    <w:rsid w:val="00987990"/>
    <w:rsid w:val="0099060E"/>
    <w:rsid w:val="00991374"/>
    <w:rsid w:val="0099150C"/>
    <w:rsid w:val="00991B77"/>
    <w:rsid w:val="00991D3C"/>
    <w:rsid w:val="00992324"/>
    <w:rsid w:val="009924D5"/>
    <w:rsid w:val="00992624"/>
    <w:rsid w:val="0099278B"/>
    <w:rsid w:val="009929E7"/>
    <w:rsid w:val="00993123"/>
    <w:rsid w:val="009934F4"/>
    <w:rsid w:val="0099393B"/>
    <w:rsid w:val="00993B96"/>
    <w:rsid w:val="009943AB"/>
    <w:rsid w:val="009945C6"/>
    <w:rsid w:val="00994629"/>
    <w:rsid w:val="00994B88"/>
    <w:rsid w:val="00994C60"/>
    <w:rsid w:val="00994C66"/>
    <w:rsid w:val="00995345"/>
    <w:rsid w:val="009958D5"/>
    <w:rsid w:val="0099597E"/>
    <w:rsid w:val="00995B71"/>
    <w:rsid w:val="00995D4D"/>
    <w:rsid w:val="0099666F"/>
    <w:rsid w:val="009966F6"/>
    <w:rsid w:val="00996832"/>
    <w:rsid w:val="00996C58"/>
    <w:rsid w:val="00996CBA"/>
    <w:rsid w:val="00996D0B"/>
    <w:rsid w:val="00996F89"/>
    <w:rsid w:val="009973AE"/>
    <w:rsid w:val="009973C8"/>
    <w:rsid w:val="00997441"/>
    <w:rsid w:val="009975C3"/>
    <w:rsid w:val="00997970"/>
    <w:rsid w:val="00997C20"/>
    <w:rsid w:val="009A07A5"/>
    <w:rsid w:val="009A11F4"/>
    <w:rsid w:val="009A15F1"/>
    <w:rsid w:val="009A19AF"/>
    <w:rsid w:val="009A1BAF"/>
    <w:rsid w:val="009A1C22"/>
    <w:rsid w:val="009A1DB2"/>
    <w:rsid w:val="009A27A7"/>
    <w:rsid w:val="009A3891"/>
    <w:rsid w:val="009A393C"/>
    <w:rsid w:val="009A3AB7"/>
    <w:rsid w:val="009A3E32"/>
    <w:rsid w:val="009A42BA"/>
    <w:rsid w:val="009A4683"/>
    <w:rsid w:val="009A46E8"/>
    <w:rsid w:val="009A49F9"/>
    <w:rsid w:val="009A4F61"/>
    <w:rsid w:val="009A542C"/>
    <w:rsid w:val="009A5839"/>
    <w:rsid w:val="009A5D21"/>
    <w:rsid w:val="009A609E"/>
    <w:rsid w:val="009A685D"/>
    <w:rsid w:val="009A6916"/>
    <w:rsid w:val="009A6C49"/>
    <w:rsid w:val="009A7078"/>
    <w:rsid w:val="009A710F"/>
    <w:rsid w:val="009A776E"/>
    <w:rsid w:val="009A7AAC"/>
    <w:rsid w:val="009B0319"/>
    <w:rsid w:val="009B037A"/>
    <w:rsid w:val="009B06B0"/>
    <w:rsid w:val="009B11E1"/>
    <w:rsid w:val="009B1ED5"/>
    <w:rsid w:val="009B2E55"/>
    <w:rsid w:val="009B36B8"/>
    <w:rsid w:val="009B39F8"/>
    <w:rsid w:val="009B3D36"/>
    <w:rsid w:val="009B4140"/>
    <w:rsid w:val="009B4653"/>
    <w:rsid w:val="009B47E0"/>
    <w:rsid w:val="009B494A"/>
    <w:rsid w:val="009B4AAB"/>
    <w:rsid w:val="009B4B09"/>
    <w:rsid w:val="009B4E7E"/>
    <w:rsid w:val="009B5256"/>
    <w:rsid w:val="009B5393"/>
    <w:rsid w:val="009B5494"/>
    <w:rsid w:val="009B58F2"/>
    <w:rsid w:val="009B62BA"/>
    <w:rsid w:val="009B646E"/>
    <w:rsid w:val="009B68E9"/>
    <w:rsid w:val="009B69E8"/>
    <w:rsid w:val="009B6C6B"/>
    <w:rsid w:val="009B6C72"/>
    <w:rsid w:val="009B6DB5"/>
    <w:rsid w:val="009B74B9"/>
    <w:rsid w:val="009B79B7"/>
    <w:rsid w:val="009C040F"/>
    <w:rsid w:val="009C0D88"/>
    <w:rsid w:val="009C1A1C"/>
    <w:rsid w:val="009C1B4C"/>
    <w:rsid w:val="009C1F57"/>
    <w:rsid w:val="009C234D"/>
    <w:rsid w:val="009C2912"/>
    <w:rsid w:val="009C2F7C"/>
    <w:rsid w:val="009C30BE"/>
    <w:rsid w:val="009C333E"/>
    <w:rsid w:val="009C34D6"/>
    <w:rsid w:val="009C38D3"/>
    <w:rsid w:val="009C3A5E"/>
    <w:rsid w:val="009C4453"/>
    <w:rsid w:val="009C48EE"/>
    <w:rsid w:val="009C48F2"/>
    <w:rsid w:val="009C4AAB"/>
    <w:rsid w:val="009C4C72"/>
    <w:rsid w:val="009C5246"/>
    <w:rsid w:val="009C52F3"/>
    <w:rsid w:val="009C5A01"/>
    <w:rsid w:val="009C6C15"/>
    <w:rsid w:val="009C7111"/>
    <w:rsid w:val="009C7CFA"/>
    <w:rsid w:val="009D0228"/>
    <w:rsid w:val="009D0464"/>
    <w:rsid w:val="009D090F"/>
    <w:rsid w:val="009D0C48"/>
    <w:rsid w:val="009D11EF"/>
    <w:rsid w:val="009D124D"/>
    <w:rsid w:val="009D1BD7"/>
    <w:rsid w:val="009D1C3F"/>
    <w:rsid w:val="009D1E62"/>
    <w:rsid w:val="009D24A2"/>
    <w:rsid w:val="009D2907"/>
    <w:rsid w:val="009D2BB3"/>
    <w:rsid w:val="009D2BDC"/>
    <w:rsid w:val="009D2CE4"/>
    <w:rsid w:val="009D3123"/>
    <w:rsid w:val="009D3BDF"/>
    <w:rsid w:val="009D3D8F"/>
    <w:rsid w:val="009D4281"/>
    <w:rsid w:val="009D439B"/>
    <w:rsid w:val="009D441E"/>
    <w:rsid w:val="009D4444"/>
    <w:rsid w:val="009D47FA"/>
    <w:rsid w:val="009D5583"/>
    <w:rsid w:val="009D5C60"/>
    <w:rsid w:val="009D705D"/>
    <w:rsid w:val="009D70B2"/>
    <w:rsid w:val="009D70EE"/>
    <w:rsid w:val="009D7759"/>
    <w:rsid w:val="009D77FC"/>
    <w:rsid w:val="009D7C32"/>
    <w:rsid w:val="009E0220"/>
    <w:rsid w:val="009E039F"/>
    <w:rsid w:val="009E043A"/>
    <w:rsid w:val="009E04DB"/>
    <w:rsid w:val="009E0509"/>
    <w:rsid w:val="009E0E3D"/>
    <w:rsid w:val="009E17AF"/>
    <w:rsid w:val="009E19A9"/>
    <w:rsid w:val="009E1F33"/>
    <w:rsid w:val="009E2311"/>
    <w:rsid w:val="009E2AFA"/>
    <w:rsid w:val="009E2C4F"/>
    <w:rsid w:val="009E31E4"/>
    <w:rsid w:val="009E35DE"/>
    <w:rsid w:val="009E3D84"/>
    <w:rsid w:val="009E3F75"/>
    <w:rsid w:val="009E49BE"/>
    <w:rsid w:val="009E4D16"/>
    <w:rsid w:val="009E5032"/>
    <w:rsid w:val="009E5746"/>
    <w:rsid w:val="009E6338"/>
    <w:rsid w:val="009E6501"/>
    <w:rsid w:val="009E6F4F"/>
    <w:rsid w:val="009E7104"/>
    <w:rsid w:val="009E7207"/>
    <w:rsid w:val="009E73DE"/>
    <w:rsid w:val="009E7763"/>
    <w:rsid w:val="009E79D3"/>
    <w:rsid w:val="009E7B0B"/>
    <w:rsid w:val="009E7F4C"/>
    <w:rsid w:val="009F0D53"/>
    <w:rsid w:val="009F0D83"/>
    <w:rsid w:val="009F0EC0"/>
    <w:rsid w:val="009F1368"/>
    <w:rsid w:val="009F176C"/>
    <w:rsid w:val="009F1A9C"/>
    <w:rsid w:val="009F20AF"/>
    <w:rsid w:val="009F2688"/>
    <w:rsid w:val="009F2BBE"/>
    <w:rsid w:val="009F3828"/>
    <w:rsid w:val="009F3CF0"/>
    <w:rsid w:val="009F4543"/>
    <w:rsid w:val="009F4B52"/>
    <w:rsid w:val="009F4FCB"/>
    <w:rsid w:val="009F5A6C"/>
    <w:rsid w:val="009F5C6C"/>
    <w:rsid w:val="009F6266"/>
    <w:rsid w:val="009F64CE"/>
    <w:rsid w:val="009F6766"/>
    <w:rsid w:val="009F6A8E"/>
    <w:rsid w:val="009F705D"/>
    <w:rsid w:val="009F7237"/>
    <w:rsid w:val="009F724B"/>
    <w:rsid w:val="009F7D38"/>
    <w:rsid w:val="009F7F27"/>
    <w:rsid w:val="00A001C7"/>
    <w:rsid w:val="00A00235"/>
    <w:rsid w:val="00A011AB"/>
    <w:rsid w:val="00A01449"/>
    <w:rsid w:val="00A0151B"/>
    <w:rsid w:val="00A01606"/>
    <w:rsid w:val="00A01CB1"/>
    <w:rsid w:val="00A01E81"/>
    <w:rsid w:val="00A0208B"/>
    <w:rsid w:val="00A02609"/>
    <w:rsid w:val="00A02A80"/>
    <w:rsid w:val="00A03221"/>
    <w:rsid w:val="00A032C0"/>
    <w:rsid w:val="00A03502"/>
    <w:rsid w:val="00A03AF7"/>
    <w:rsid w:val="00A04481"/>
    <w:rsid w:val="00A04AF1"/>
    <w:rsid w:val="00A0526B"/>
    <w:rsid w:val="00A05696"/>
    <w:rsid w:val="00A0573D"/>
    <w:rsid w:val="00A05FB4"/>
    <w:rsid w:val="00A064B6"/>
    <w:rsid w:val="00A06A92"/>
    <w:rsid w:val="00A06C49"/>
    <w:rsid w:val="00A06E51"/>
    <w:rsid w:val="00A072E8"/>
    <w:rsid w:val="00A0778B"/>
    <w:rsid w:val="00A07C0A"/>
    <w:rsid w:val="00A1054E"/>
    <w:rsid w:val="00A10719"/>
    <w:rsid w:val="00A10D12"/>
    <w:rsid w:val="00A10F44"/>
    <w:rsid w:val="00A10FD0"/>
    <w:rsid w:val="00A11256"/>
    <w:rsid w:val="00A117E5"/>
    <w:rsid w:val="00A11B69"/>
    <w:rsid w:val="00A11BFF"/>
    <w:rsid w:val="00A1245B"/>
    <w:rsid w:val="00A12923"/>
    <w:rsid w:val="00A12AE5"/>
    <w:rsid w:val="00A12B4B"/>
    <w:rsid w:val="00A12BBA"/>
    <w:rsid w:val="00A13630"/>
    <w:rsid w:val="00A13AB9"/>
    <w:rsid w:val="00A13F0F"/>
    <w:rsid w:val="00A141C9"/>
    <w:rsid w:val="00A14835"/>
    <w:rsid w:val="00A149DD"/>
    <w:rsid w:val="00A16228"/>
    <w:rsid w:val="00A16C94"/>
    <w:rsid w:val="00A17961"/>
    <w:rsid w:val="00A2054F"/>
    <w:rsid w:val="00A20991"/>
    <w:rsid w:val="00A20A07"/>
    <w:rsid w:val="00A20BEC"/>
    <w:rsid w:val="00A20EF2"/>
    <w:rsid w:val="00A21165"/>
    <w:rsid w:val="00A21208"/>
    <w:rsid w:val="00A217B2"/>
    <w:rsid w:val="00A2195A"/>
    <w:rsid w:val="00A21A4E"/>
    <w:rsid w:val="00A21CE4"/>
    <w:rsid w:val="00A21DC3"/>
    <w:rsid w:val="00A22316"/>
    <w:rsid w:val="00A22C4F"/>
    <w:rsid w:val="00A22E28"/>
    <w:rsid w:val="00A23287"/>
    <w:rsid w:val="00A23A10"/>
    <w:rsid w:val="00A23C1E"/>
    <w:rsid w:val="00A240BC"/>
    <w:rsid w:val="00A24C21"/>
    <w:rsid w:val="00A254C3"/>
    <w:rsid w:val="00A25610"/>
    <w:rsid w:val="00A26041"/>
    <w:rsid w:val="00A2636F"/>
    <w:rsid w:val="00A267EB"/>
    <w:rsid w:val="00A26DFD"/>
    <w:rsid w:val="00A2772E"/>
    <w:rsid w:val="00A2773D"/>
    <w:rsid w:val="00A27780"/>
    <w:rsid w:val="00A277FA"/>
    <w:rsid w:val="00A27DB3"/>
    <w:rsid w:val="00A3068F"/>
    <w:rsid w:val="00A30892"/>
    <w:rsid w:val="00A308C1"/>
    <w:rsid w:val="00A309B7"/>
    <w:rsid w:val="00A30CA9"/>
    <w:rsid w:val="00A31651"/>
    <w:rsid w:val="00A3191B"/>
    <w:rsid w:val="00A319CD"/>
    <w:rsid w:val="00A31DED"/>
    <w:rsid w:val="00A325AD"/>
    <w:rsid w:val="00A32E45"/>
    <w:rsid w:val="00A330B9"/>
    <w:rsid w:val="00A33199"/>
    <w:rsid w:val="00A335DB"/>
    <w:rsid w:val="00A34468"/>
    <w:rsid w:val="00A3461D"/>
    <w:rsid w:val="00A348A3"/>
    <w:rsid w:val="00A349D8"/>
    <w:rsid w:val="00A34EB4"/>
    <w:rsid w:val="00A355EB"/>
    <w:rsid w:val="00A35689"/>
    <w:rsid w:val="00A357A8"/>
    <w:rsid w:val="00A36606"/>
    <w:rsid w:val="00A36697"/>
    <w:rsid w:val="00A3671A"/>
    <w:rsid w:val="00A367C5"/>
    <w:rsid w:val="00A369E3"/>
    <w:rsid w:val="00A36BAD"/>
    <w:rsid w:val="00A36D0E"/>
    <w:rsid w:val="00A36FB2"/>
    <w:rsid w:val="00A37269"/>
    <w:rsid w:val="00A3738A"/>
    <w:rsid w:val="00A37998"/>
    <w:rsid w:val="00A37A6C"/>
    <w:rsid w:val="00A37CAC"/>
    <w:rsid w:val="00A37D75"/>
    <w:rsid w:val="00A40124"/>
    <w:rsid w:val="00A40310"/>
    <w:rsid w:val="00A40357"/>
    <w:rsid w:val="00A40A09"/>
    <w:rsid w:val="00A4180B"/>
    <w:rsid w:val="00A42384"/>
    <w:rsid w:val="00A42C3D"/>
    <w:rsid w:val="00A436AB"/>
    <w:rsid w:val="00A438E3"/>
    <w:rsid w:val="00A439CC"/>
    <w:rsid w:val="00A4420C"/>
    <w:rsid w:val="00A44CC2"/>
    <w:rsid w:val="00A455CB"/>
    <w:rsid w:val="00A4570A"/>
    <w:rsid w:val="00A45A19"/>
    <w:rsid w:val="00A45C6F"/>
    <w:rsid w:val="00A45CAB"/>
    <w:rsid w:val="00A45E7B"/>
    <w:rsid w:val="00A460A9"/>
    <w:rsid w:val="00A462C2"/>
    <w:rsid w:val="00A463CC"/>
    <w:rsid w:val="00A4683E"/>
    <w:rsid w:val="00A46F56"/>
    <w:rsid w:val="00A47295"/>
    <w:rsid w:val="00A47503"/>
    <w:rsid w:val="00A475A8"/>
    <w:rsid w:val="00A47CD8"/>
    <w:rsid w:val="00A47D5E"/>
    <w:rsid w:val="00A47EC4"/>
    <w:rsid w:val="00A502EF"/>
    <w:rsid w:val="00A504F6"/>
    <w:rsid w:val="00A51352"/>
    <w:rsid w:val="00A514B6"/>
    <w:rsid w:val="00A5166C"/>
    <w:rsid w:val="00A52012"/>
    <w:rsid w:val="00A52174"/>
    <w:rsid w:val="00A522EF"/>
    <w:rsid w:val="00A52315"/>
    <w:rsid w:val="00A524D5"/>
    <w:rsid w:val="00A5323C"/>
    <w:rsid w:val="00A552C2"/>
    <w:rsid w:val="00A559B4"/>
    <w:rsid w:val="00A55BAC"/>
    <w:rsid w:val="00A560AE"/>
    <w:rsid w:val="00A565E3"/>
    <w:rsid w:val="00A566E2"/>
    <w:rsid w:val="00A56C88"/>
    <w:rsid w:val="00A56EBF"/>
    <w:rsid w:val="00A56FDC"/>
    <w:rsid w:val="00A5751B"/>
    <w:rsid w:val="00A57531"/>
    <w:rsid w:val="00A60368"/>
    <w:rsid w:val="00A60A85"/>
    <w:rsid w:val="00A60A8E"/>
    <w:rsid w:val="00A60E4B"/>
    <w:rsid w:val="00A61929"/>
    <w:rsid w:val="00A62183"/>
    <w:rsid w:val="00A622DB"/>
    <w:rsid w:val="00A622EC"/>
    <w:rsid w:val="00A626B0"/>
    <w:rsid w:val="00A628DF"/>
    <w:rsid w:val="00A62D3B"/>
    <w:rsid w:val="00A63537"/>
    <w:rsid w:val="00A636F0"/>
    <w:rsid w:val="00A63861"/>
    <w:rsid w:val="00A63B61"/>
    <w:rsid w:val="00A63DC9"/>
    <w:rsid w:val="00A641A3"/>
    <w:rsid w:val="00A64602"/>
    <w:rsid w:val="00A652C9"/>
    <w:rsid w:val="00A65B82"/>
    <w:rsid w:val="00A66007"/>
    <w:rsid w:val="00A663FE"/>
    <w:rsid w:val="00A66417"/>
    <w:rsid w:val="00A66891"/>
    <w:rsid w:val="00A66E3C"/>
    <w:rsid w:val="00A6740A"/>
    <w:rsid w:val="00A6762B"/>
    <w:rsid w:val="00A67777"/>
    <w:rsid w:val="00A67967"/>
    <w:rsid w:val="00A679A5"/>
    <w:rsid w:val="00A67AB6"/>
    <w:rsid w:val="00A67FC8"/>
    <w:rsid w:val="00A701A9"/>
    <w:rsid w:val="00A701E3"/>
    <w:rsid w:val="00A706C7"/>
    <w:rsid w:val="00A71256"/>
    <w:rsid w:val="00A7125F"/>
    <w:rsid w:val="00A7185F"/>
    <w:rsid w:val="00A719E6"/>
    <w:rsid w:val="00A71DAE"/>
    <w:rsid w:val="00A723D4"/>
    <w:rsid w:val="00A7290E"/>
    <w:rsid w:val="00A73174"/>
    <w:rsid w:val="00A73822"/>
    <w:rsid w:val="00A73835"/>
    <w:rsid w:val="00A738AA"/>
    <w:rsid w:val="00A738E5"/>
    <w:rsid w:val="00A73B04"/>
    <w:rsid w:val="00A73BF9"/>
    <w:rsid w:val="00A740C3"/>
    <w:rsid w:val="00A742D9"/>
    <w:rsid w:val="00A74565"/>
    <w:rsid w:val="00A74B0F"/>
    <w:rsid w:val="00A752AF"/>
    <w:rsid w:val="00A75642"/>
    <w:rsid w:val="00A75B02"/>
    <w:rsid w:val="00A75CF0"/>
    <w:rsid w:val="00A76B9D"/>
    <w:rsid w:val="00A777C7"/>
    <w:rsid w:val="00A77876"/>
    <w:rsid w:val="00A778A9"/>
    <w:rsid w:val="00A77907"/>
    <w:rsid w:val="00A77CB0"/>
    <w:rsid w:val="00A77CB4"/>
    <w:rsid w:val="00A80431"/>
    <w:rsid w:val="00A80D16"/>
    <w:rsid w:val="00A80D2B"/>
    <w:rsid w:val="00A80D65"/>
    <w:rsid w:val="00A80F33"/>
    <w:rsid w:val="00A81159"/>
    <w:rsid w:val="00A815B4"/>
    <w:rsid w:val="00A81BDB"/>
    <w:rsid w:val="00A81C64"/>
    <w:rsid w:val="00A81DCC"/>
    <w:rsid w:val="00A8245D"/>
    <w:rsid w:val="00A82581"/>
    <w:rsid w:val="00A829EB"/>
    <w:rsid w:val="00A832C1"/>
    <w:rsid w:val="00A83365"/>
    <w:rsid w:val="00A839E6"/>
    <w:rsid w:val="00A83B19"/>
    <w:rsid w:val="00A840DF"/>
    <w:rsid w:val="00A841B7"/>
    <w:rsid w:val="00A84A54"/>
    <w:rsid w:val="00A860E1"/>
    <w:rsid w:val="00A861A5"/>
    <w:rsid w:val="00A8625A"/>
    <w:rsid w:val="00A862A8"/>
    <w:rsid w:val="00A86C05"/>
    <w:rsid w:val="00A86C80"/>
    <w:rsid w:val="00A86CF1"/>
    <w:rsid w:val="00A8705D"/>
    <w:rsid w:val="00A873B7"/>
    <w:rsid w:val="00A87714"/>
    <w:rsid w:val="00A87831"/>
    <w:rsid w:val="00A879E2"/>
    <w:rsid w:val="00A87AD7"/>
    <w:rsid w:val="00A87C46"/>
    <w:rsid w:val="00A90E87"/>
    <w:rsid w:val="00A91184"/>
    <w:rsid w:val="00A912F9"/>
    <w:rsid w:val="00A913AF"/>
    <w:rsid w:val="00A917D0"/>
    <w:rsid w:val="00A91BFE"/>
    <w:rsid w:val="00A92A0E"/>
    <w:rsid w:val="00A92D09"/>
    <w:rsid w:val="00A93122"/>
    <w:rsid w:val="00A93267"/>
    <w:rsid w:val="00A93592"/>
    <w:rsid w:val="00A93B6F"/>
    <w:rsid w:val="00A941DE"/>
    <w:rsid w:val="00A94363"/>
    <w:rsid w:val="00A94409"/>
    <w:rsid w:val="00A945FB"/>
    <w:rsid w:val="00A948FF"/>
    <w:rsid w:val="00A94BAB"/>
    <w:rsid w:val="00A94BE5"/>
    <w:rsid w:val="00A94CD0"/>
    <w:rsid w:val="00A95159"/>
    <w:rsid w:val="00A957D3"/>
    <w:rsid w:val="00A959D1"/>
    <w:rsid w:val="00A95CE2"/>
    <w:rsid w:val="00A96343"/>
    <w:rsid w:val="00A967F6"/>
    <w:rsid w:val="00A96AD9"/>
    <w:rsid w:val="00A96ECA"/>
    <w:rsid w:val="00A96F5A"/>
    <w:rsid w:val="00A97FFD"/>
    <w:rsid w:val="00AA0052"/>
    <w:rsid w:val="00AA0890"/>
    <w:rsid w:val="00AA0AA9"/>
    <w:rsid w:val="00AA0BF7"/>
    <w:rsid w:val="00AA0ECF"/>
    <w:rsid w:val="00AA1CB0"/>
    <w:rsid w:val="00AA1EDE"/>
    <w:rsid w:val="00AA2124"/>
    <w:rsid w:val="00AA235F"/>
    <w:rsid w:val="00AA2470"/>
    <w:rsid w:val="00AA25B5"/>
    <w:rsid w:val="00AA2BB6"/>
    <w:rsid w:val="00AA2E7C"/>
    <w:rsid w:val="00AA2F22"/>
    <w:rsid w:val="00AA33A9"/>
    <w:rsid w:val="00AA40B2"/>
    <w:rsid w:val="00AA434B"/>
    <w:rsid w:val="00AA4506"/>
    <w:rsid w:val="00AA45A8"/>
    <w:rsid w:val="00AA45DA"/>
    <w:rsid w:val="00AA45FB"/>
    <w:rsid w:val="00AA4C58"/>
    <w:rsid w:val="00AA53BE"/>
    <w:rsid w:val="00AA5C97"/>
    <w:rsid w:val="00AA5FBD"/>
    <w:rsid w:val="00AA62AF"/>
    <w:rsid w:val="00AA6430"/>
    <w:rsid w:val="00AA6497"/>
    <w:rsid w:val="00AA64D0"/>
    <w:rsid w:val="00AA66ED"/>
    <w:rsid w:val="00AA6936"/>
    <w:rsid w:val="00AA693B"/>
    <w:rsid w:val="00AA6F6D"/>
    <w:rsid w:val="00AA7312"/>
    <w:rsid w:val="00AA7879"/>
    <w:rsid w:val="00AA79DB"/>
    <w:rsid w:val="00AA7FE1"/>
    <w:rsid w:val="00AB0C82"/>
    <w:rsid w:val="00AB0EA1"/>
    <w:rsid w:val="00AB1709"/>
    <w:rsid w:val="00AB178A"/>
    <w:rsid w:val="00AB1ECD"/>
    <w:rsid w:val="00AB1F9C"/>
    <w:rsid w:val="00AB260E"/>
    <w:rsid w:val="00AB2734"/>
    <w:rsid w:val="00AB2CE1"/>
    <w:rsid w:val="00AB2E34"/>
    <w:rsid w:val="00AB2F4E"/>
    <w:rsid w:val="00AB2F74"/>
    <w:rsid w:val="00AB34FD"/>
    <w:rsid w:val="00AB357A"/>
    <w:rsid w:val="00AB3813"/>
    <w:rsid w:val="00AB3881"/>
    <w:rsid w:val="00AB3A8C"/>
    <w:rsid w:val="00AB3B31"/>
    <w:rsid w:val="00AB3B66"/>
    <w:rsid w:val="00AB4957"/>
    <w:rsid w:val="00AB5055"/>
    <w:rsid w:val="00AB60C1"/>
    <w:rsid w:val="00AB716B"/>
    <w:rsid w:val="00AB75A8"/>
    <w:rsid w:val="00AB7D5D"/>
    <w:rsid w:val="00AC0614"/>
    <w:rsid w:val="00AC0BEC"/>
    <w:rsid w:val="00AC1D84"/>
    <w:rsid w:val="00AC2082"/>
    <w:rsid w:val="00AC2361"/>
    <w:rsid w:val="00AC24E2"/>
    <w:rsid w:val="00AC2D12"/>
    <w:rsid w:val="00AC2E30"/>
    <w:rsid w:val="00AC2E48"/>
    <w:rsid w:val="00AC2FB0"/>
    <w:rsid w:val="00AC38B0"/>
    <w:rsid w:val="00AC3944"/>
    <w:rsid w:val="00AC3CAE"/>
    <w:rsid w:val="00AC3EC8"/>
    <w:rsid w:val="00AC3F99"/>
    <w:rsid w:val="00AC4280"/>
    <w:rsid w:val="00AC42B9"/>
    <w:rsid w:val="00AC4302"/>
    <w:rsid w:val="00AC46B4"/>
    <w:rsid w:val="00AC48B8"/>
    <w:rsid w:val="00AC496E"/>
    <w:rsid w:val="00AC4A0B"/>
    <w:rsid w:val="00AC4E48"/>
    <w:rsid w:val="00AC4F77"/>
    <w:rsid w:val="00AC56E9"/>
    <w:rsid w:val="00AC5B4D"/>
    <w:rsid w:val="00AC5BCC"/>
    <w:rsid w:val="00AC5C1C"/>
    <w:rsid w:val="00AC69AC"/>
    <w:rsid w:val="00AC6AAD"/>
    <w:rsid w:val="00AC702C"/>
    <w:rsid w:val="00AC75E6"/>
    <w:rsid w:val="00AC775E"/>
    <w:rsid w:val="00AC7B24"/>
    <w:rsid w:val="00AC7B8E"/>
    <w:rsid w:val="00AD01E5"/>
    <w:rsid w:val="00AD02E4"/>
    <w:rsid w:val="00AD0BE1"/>
    <w:rsid w:val="00AD0C22"/>
    <w:rsid w:val="00AD2143"/>
    <w:rsid w:val="00AD2675"/>
    <w:rsid w:val="00AD272D"/>
    <w:rsid w:val="00AD278F"/>
    <w:rsid w:val="00AD39BB"/>
    <w:rsid w:val="00AD3B2E"/>
    <w:rsid w:val="00AD4029"/>
    <w:rsid w:val="00AD4DD1"/>
    <w:rsid w:val="00AD4DF0"/>
    <w:rsid w:val="00AD5B96"/>
    <w:rsid w:val="00AD5D67"/>
    <w:rsid w:val="00AD636F"/>
    <w:rsid w:val="00AD7628"/>
    <w:rsid w:val="00AE06A8"/>
    <w:rsid w:val="00AE078E"/>
    <w:rsid w:val="00AE08C8"/>
    <w:rsid w:val="00AE098D"/>
    <w:rsid w:val="00AE2509"/>
    <w:rsid w:val="00AE254F"/>
    <w:rsid w:val="00AE26E9"/>
    <w:rsid w:val="00AE28F7"/>
    <w:rsid w:val="00AE29B0"/>
    <w:rsid w:val="00AE29B6"/>
    <w:rsid w:val="00AE2F38"/>
    <w:rsid w:val="00AE490C"/>
    <w:rsid w:val="00AE49BD"/>
    <w:rsid w:val="00AE4BA7"/>
    <w:rsid w:val="00AE504D"/>
    <w:rsid w:val="00AE5134"/>
    <w:rsid w:val="00AE520E"/>
    <w:rsid w:val="00AE57E2"/>
    <w:rsid w:val="00AE5953"/>
    <w:rsid w:val="00AE5A0D"/>
    <w:rsid w:val="00AE5DF0"/>
    <w:rsid w:val="00AE5DFB"/>
    <w:rsid w:val="00AE5E8A"/>
    <w:rsid w:val="00AE60FD"/>
    <w:rsid w:val="00AE6814"/>
    <w:rsid w:val="00AE69E7"/>
    <w:rsid w:val="00AE6D60"/>
    <w:rsid w:val="00AE7156"/>
    <w:rsid w:val="00AE7AF3"/>
    <w:rsid w:val="00AE7DF8"/>
    <w:rsid w:val="00AE7FC1"/>
    <w:rsid w:val="00AF0101"/>
    <w:rsid w:val="00AF0363"/>
    <w:rsid w:val="00AF099F"/>
    <w:rsid w:val="00AF0C84"/>
    <w:rsid w:val="00AF108D"/>
    <w:rsid w:val="00AF133D"/>
    <w:rsid w:val="00AF1606"/>
    <w:rsid w:val="00AF1A4A"/>
    <w:rsid w:val="00AF1DF2"/>
    <w:rsid w:val="00AF2778"/>
    <w:rsid w:val="00AF2AED"/>
    <w:rsid w:val="00AF32D2"/>
    <w:rsid w:val="00AF3C2B"/>
    <w:rsid w:val="00AF4005"/>
    <w:rsid w:val="00AF4128"/>
    <w:rsid w:val="00AF43D8"/>
    <w:rsid w:val="00AF43FD"/>
    <w:rsid w:val="00AF44E8"/>
    <w:rsid w:val="00AF45E7"/>
    <w:rsid w:val="00AF4B30"/>
    <w:rsid w:val="00AF4F73"/>
    <w:rsid w:val="00AF5309"/>
    <w:rsid w:val="00AF53D3"/>
    <w:rsid w:val="00AF562C"/>
    <w:rsid w:val="00AF594E"/>
    <w:rsid w:val="00AF63CB"/>
    <w:rsid w:val="00AF682E"/>
    <w:rsid w:val="00AF699A"/>
    <w:rsid w:val="00AF6B3B"/>
    <w:rsid w:val="00AF6EA5"/>
    <w:rsid w:val="00AF6F9C"/>
    <w:rsid w:val="00AF7534"/>
    <w:rsid w:val="00AF78E8"/>
    <w:rsid w:val="00AF7ABE"/>
    <w:rsid w:val="00B00622"/>
    <w:rsid w:val="00B00DD9"/>
    <w:rsid w:val="00B013FE"/>
    <w:rsid w:val="00B01C8B"/>
    <w:rsid w:val="00B01C91"/>
    <w:rsid w:val="00B01CA4"/>
    <w:rsid w:val="00B02097"/>
    <w:rsid w:val="00B0241D"/>
    <w:rsid w:val="00B0254F"/>
    <w:rsid w:val="00B02BCA"/>
    <w:rsid w:val="00B02E4D"/>
    <w:rsid w:val="00B02F6C"/>
    <w:rsid w:val="00B0307D"/>
    <w:rsid w:val="00B034B2"/>
    <w:rsid w:val="00B03656"/>
    <w:rsid w:val="00B03ACF"/>
    <w:rsid w:val="00B03AEB"/>
    <w:rsid w:val="00B04456"/>
    <w:rsid w:val="00B04906"/>
    <w:rsid w:val="00B049E1"/>
    <w:rsid w:val="00B04A8C"/>
    <w:rsid w:val="00B04EB4"/>
    <w:rsid w:val="00B04F2E"/>
    <w:rsid w:val="00B05224"/>
    <w:rsid w:val="00B053A5"/>
    <w:rsid w:val="00B0589F"/>
    <w:rsid w:val="00B05923"/>
    <w:rsid w:val="00B05EBC"/>
    <w:rsid w:val="00B06719"/>
    <w:rsid w:val="00B068E6"/>
    <w:rsid w:val="00B07B4A"/>
    <w:rsid w:val="00B07B7F"/>
    <w:rsid w:val="00B07FC4"/>
    <w:rsid w:val="00B11018"/>
    <w:rsid w:val="00B120C9"/>
    <w:rsid w:val="00B12557"/>
    <w:rsid w:val="00B12B70"/>
    <w:rsid w:val="00B1307C"/>
    <w:rsid w:val="00B130A9"/>
    <w:rsid w:val="00B13C12"/>
    <w:rsid w:val="00B13D34"/>
    <w:rsid w:val="00B13E03"/>
    <w:rsid w:val="00B1436F"/>
    <w:rsid w:val="00B146FB"/>
    <w:rsid w:val="00B14C00"/>
    <w:rsid w:val="00B14FB2"/>
    <w:rsid w:val="00B15389"/>
    <w:rsid w:val="00B15A0E"/>
    <w:rsid w:val="00B15EE0"/>
    <w:rsid w:val="00B16402"/>
    <w:rsid w:val="00B1680F"/>
    <w:rsid w:val="00B1695A"/>
    <w:rsid w:val="00B16CE3"/>
    <w:rsid w:val="00B173F2"/>
    <w:rsid w:val="00B17900"/>
    <w:rsid w:val="00B17DE3"/>
    <w:rsid w:val="00B17E5F"/>
    <w:rsid w:val="00B20085"/>
    <w:rsid w:val="00B2024D"/>
    <w:rsid w:val="00B20F2C"/>
    <w:rsid w:val="00B21608"/>
    <w:rsid w:val="00B21611"/>
    <w:rsid w:val="00B21CB4"/>
    <w:rsid w:val="00B22090"/>
    <w:rsid w:val="00B22A62"/>
    <w:rsid w:val="00B22B26"/>
    <w:rsid w:val="00B22B7F"/>
    <w:rsid w:val="00B22CBB"/>
    <w:rsid w:val="00B22E5B"/>
    <w:rsid w:val="00B22F7A"/>
    <w:rsid w:val="00B2369C"/>
    <w:rsid w:val="00B2396D"/>
    <w:rsid w:val="00B23DCB"/>
    <w:rsid w:val="00B23F5A"/>
    <w:rsid w:val="00B2423C"/>
    <w:rsid w:val="00B24315"/>
    <w:rsid w:val="00B24708"/>
    <w:rsid w:val="00B2479A"/>
    <w:rsid w:val="00B247D0"/>
    <w:rsid w:val="00B2486C"/>
    <w:rsid w:val="00B24A2B"/>
    <w:rsid w:val="00B24F19"/>
    <w:rsid w:val="00B24F1A"/>
    <w:rsid w:val="00B24F42"/>
    <w:rsid w:val="00B25340"/>
    <w:rsid w:val="00B2564F"/>
    <w:rsid w:val="00B258CB"/>
    <w:rsid w:val="00B259B8"/>
    <w:rsid w:val="00B25B2D"/>
    <w:rsid w:val="00B25CC5"/>
    <w:rsid w:val="00B26146"/>
    <w:rsid w:val="00B2618E"/>
    <w:rsid w:val="00B26960"/>
    <w:rsid w:val="00B26B51"/>
    <w:rsid w:val="00B26EB5"/>
    <w:rsid w:val="00B26EE5"/>
    <w:rsid w:val="00B273F7"/>
    <w:rsid w:val="00B2765F"/>
    <w:rsid w:val="00B277A9"/>
    <w:rsid w:val="00B3016B"/>
    <w:rsid w:val="00B306D4"/>
    <w:rsid w:val="00B30734"/>
    <w:rsid w:val="00B307E5"/>
    <w:rsid w:val="00B30C35"/>
    <w:rsid w:val="00B31422"/>
    <w:rsid w:val="00B316CF"/>
    <w:rsid w:val="00B316EA"/>
    <w:rsid w:val="00B32173"/>
    <w:rsid w:val="00B32E4D"/>
    <w:rsid w:val="00B33360"/>
    <w:rsid w:val="00B338CF"/>
    <w:rsid w:val="00B3451C"/>
    <w:rsid w:val="00B34772"/>
    <w:rsid w:val="00B34848"/>
    <w:rsid w:val="00B348C5"/>
    <w:rsid w:val="00B34BF3"/>
    <w:rsid w:val="00B34D29"/>
    <w:rsid w:val="00B350EC"/>
    <w:rsid w:val="00B35485"/>
    <w:rsid w:val="00B35505"/>
    <w:rsid w:val="00B35584"/>
    <w:rsid w:val="00B35C09"/>
    <w:rsid w:val="00B362C6"/>
    <w:rsid w:val="00B36C5A"/>
    <w:rsid w:val="00B36D1D"/>
    <w:rsid w:val="00B376BA"/>
    <w:rsid w:val="00B37F0B"/>
    <w:rsid w:val="00B402A8"/>
    <w:rsid w:val="00B4072C"/>
    <w:rsid w:val="00B409B7"/>
    <w:rsid w:val="00B40BAD"/>
    <w:rsid w:val="00B415FE"/>
    <w:rsid w:val="00B4163E"/>
    <w:rsid w:val="00B41AFA"/>
    <w:rsid w:val="00B421B0"/>
    <w:rsid w:val="00B42320"/>
    <w:rsid w:val="00B42495"/>
    <w:rsid w:val="00B424E2"/>
    <w:rsid w:val="00B4273D"/>
    <w:rsid w:val="00B42805"/>
    <w:rsid w:val="00B42A1C"/>
    <w:rsid w:val="00B4336A"/>
    <w:rsid w:val="00B43D1F"/>
    <w:rsid w:val="00B440FD"/>
    <w:rsid w:val="00B443D1"/>
    <w:rsid w:val="00B44B38"/>
    <w:rsid w:val="00B44E26"/>
    <w:rsid w:val="00B452CF"/>
    <w:rsid w:val="00B45BBC"/>
    <w:rsid w:val="00B4639D"/>
    <w:rsid w:val="00B467CE"/>
    <w:rsid w:val="00B46B78"/>
    <w:rsid w:val="00B46BED"/>
    <w:rsid w:val="00B46C9E"/>
    <w:rsid w:val="00B472CC"/>
    <w:rsid w:val="00B476AC"/>
    <w:rsid w:val="00B50222"/>
    <w:rsid w:val="00B50260"/>
    <w:rsid w:val="00B504CE"/>
    <w:rsid w:val="00B50680"/>
    <w:rsid w:val="00B506CD"/>
    <w:rsid w:val="00B50A20"/>
    <w:rsid w:val="00B512B4"/>
    <w:rsid w:val="00B51793"/>
    <w:rsid w:val="00B51B9F"/>
    <w:rsid w:val="00B51EF0"/>
    <w:rsid w:val="00B51F74"/>
    <w:rsid w:val="00B51FB2"/>
    <w:rsid w:val="00B52380"/>
    <w:rsid w:val="00B523D4"/>
    <w:rsid w:val="00B52464"/>
    <w:rsid w:val="00B524A2"/>
    <w:rsid w:val="00B533AB"/>
    <w:rsid w:val="00B53472"/>
    <w:rsid w:val="00B5350F"/>
    <w:rsid w:val="00B5392B"/>
    <w:rsid w:val="00B548FC"/>
    <w:rsid w:val="00B54AAE"/>
    <w:rsid w:val="00B54B6E"/>
    <w:rsid w:val="00B552D5"/>
    <w:rsid w:val="00B5585E"/>
    <w:rsid w:val="00B56479"/>
    <w:rsid w:val="00B56A21"/>
    <w:rsid w:val="00B5731D"/>
    <w:rsid w:val="00B57B6B"/>
    <w:rsid w:val="00B57C7B"/>
    <w:rsid w:val="00B57D18"/>
    <w:rsid w:val="00B603D1"/>
    <w:rsid w:val="00B6084A"/>
    <w:rsid w:val="00B6088F"/>
    <w:rsid w:val="00B60AC1"/>
    <w:rsid w:val="00B60C49"/>
    <w:rsid w:val="00B6108B"/>
    <w:rsid w:val="00B622E0"/>
    <w:rsid w:val="00B62462"/>
    <w:rsid w:val="00B62C65"/>
    <w:rsid w:val="00B63781"/>
    <w:rsid w:val="00B63A0B"/>
    <w:rsid w:val="00B63A71"/>
    <w:rsid w:val="00B65469"/>
    <w:rsid w:val="00B6549F"/>
    <w:rsid w:val="00B654F1"/>
    <w:rsid w:val="00B657DF"/>
    <w:rsid w:val="00B65A27"/>
    <w:rsid w:val="00B65BA7"/>
    <w:rsid w:val="00B65CBF"/>
    <w:rsid w:val="00B65F2C"/>
    <w:rsid w:val="00B65FCC"/>
    <w:rsid w:val="00B66B77"/>
    <w:rsid w:val="00B66F2E"/>
    <w:rsid w:val="00B67086"/>
    <w:rsid w:val="00B67120"/>
    <w:rsid w:val="00B676F0"/>
    <w:rsid w:val="00B678F3"/>
    <w:rsid w:val="00B67B15"/>
    <w:rsid w:val="00B7012D"/>
    <w:rsid w:val="00B70427"/>
    <w:rsid w:val="00B70664"/>
    <w:rsid w:val="00B710E5"/>
    <w:rsid w:val="00B716DA"/>
    <w:rsid w:val="00B71791"/>
    <w:rsid w:val="00B71EDA"/>
    <w:rsid w:val="00B72372"/>
    <w:rsid w:val="00B72521"/>
    <w:rsid w:val="00B726D3"/>
    <w:rsid w:val="00B72AAB"/>
    <w:rsid w:val="00B72FF5"/>
    <w:rsid w:val="00B732CC"/>
    <w:rsid w:val="00B73621"/>
    <w:rsid w:val="00B736C3"/>
    <w:rsid w:val="00B736F4"/>
    <w:rsid w:val="00B73782"/>
    <w:rsid w:val="00B745E4"/>
    <w:rsid w:val="00B74622"/>
    <w:rsid w:val="00B74695"/>
    <w:rsid w:val="00B7470F"/>
    <w:rsid w:val="00B74AF4"/>
    <w:rsid w:val="00B74DE0"/>
    <w:rsid w:val="00B751BF"/>
    <w:rsid w:val="00B7562E"/>
    <w:rsid w:val="00B75883"/>
    <w:rsid w:val="00B76232"/>
    <w:rsid w:val="00B76682"/>
    <w:rsid w:val="00B76880"/>
    <w:rsid w:val="00B76BB1"/>
    <w:rsid w:val="00B76FC6"/>
    <w:rsid w:val="00B7713A"/>
    <w:rsid w:val="00B77380"/>
    <w:rsid w:val="00B77738"/>
    <w:rsid w:val="00B77EE0"/>
    <w:rsid w:val="00B77FD3"/>
    <w:rsid w:val="00B80435"/>
    <w:rsid w:val="00B805C1"/>
    <w:rsid w:val="00B80A99"/>
    <w:rsid w:val="00B81134"/>
    <w:rsid w:val="00B81451"/>
    <w:rsid w:val="00B8158E"/>
    <w:rsid w:val="00B81D1B"/>
    <w:rsid w:val="00B81D35"/>
    <w:rsid w:val="00B81D45"/>
    <w:rsid w:val="00B82121"/>
    <w:rsid w:val="00B82187"/>
    <w:rsid w:val="00B823E5"/>
    <w:rsid w:val="00B8262C"/>
    <w:rsid w:val="00B82852"/>
    <w:rsid w:val="00B82B5C"/>
    <w:rsid w:val="00B83526"/>
    <w:rsid w:val="00B8388C"/>
    <w:rsid w:val="00B841D8"/>
    <w:rsid w:val="00B8450E"/>
    <w:rsid w:val="00B84B62"/>
    <w:rsid w:val="00B84E1A"/>
    <w:rsid w:val="00B85D6F"/>
    <w:rsid w:val="00B85E6B"/>
    <w:rsid w:val="00B85E9A"/>
    <w:rsid w:val="00B86030"/>
    <w:rsid w:val="00B8613D"/>
    <w:rsid w:val="00B863D2"/>
    <w:rsid w:val="00B86A1B"/>
    <w:rsid w:val="00B86E95"/>
    <w:rsid w:val="00B902D5"/>
    <w:rsid w:val="00B9064C"/>
    <w:rsid w:val="00B90E25"/>
    <w:rsid w:val="00B90F89"/>
    <w:rsid w:val="00B91210"/>
    <w:rsid w:val="00B912DF"/>
    <w:rsid w:val="00B91C0E"/>
    <w:rsid w:val="00B91CD4"/>
    <w:rsid w:val="00B92208"/>
    <w:rsid w:val="00B9249B"/>
    <w:rsid w:val="00B92548"/>
    <w:rsid w:val="00B92623"/>
    <w:rsid w:val="00B92985"/>
    <w:rsid w:val="00B93326"/>
    <w:rsid w:val="00B93622"/>
    <w:rsid w:val="00B9395C"/>
    <w:rsid w:val="00B93D1D"/>
    <w:rsid w:val="00B93DB2"/>
    <w:rsid w:val="00B94F2F"/>
    <w:rsid w:val="00B95DAD"/>
    <w:rsid w:val="00B95F83"/>
    <w:rsid w:val="00B97281"/>
    <w:rsid w:val="00B97A22"/>
    <w:rsid w:val="00B97AA4"/>
    <w:rsid w:val="00B97DC3"/>
    <w:rsid w:val="00BA00CE"/>
    <w:rsid w:val="00BA02F9"/>
    <w:rsid w:val="00BA036D"/>
    <w:rsid w:val="00BA0541"/>
    <w:rsid w:val="00BA0FB7"/>
    <w:rsid w:val="00BA10BA"/>
    <w:rsid w:val="00BA1457"/>
    <w:rsid w:val="00BA1512"/>
    <w:rsid w:val="00BA15BF"/>
    <w:rsid w:val="00BA21D2"/>
    <w:rsid w:val="00BA22E1"/>
    <w:rsid w:val="00BA2405"/>
    <w:rsid w:val="00BA2C49"/>
    <w:rsid w:val="00BA2E06"/>
    <w:rsid w:val="00BA352F"/>
    <w:rsid w:val="00BA39BE"/>
    <w:rsid w:val="00BA4C5A"/>
    <w:rsid w:val="00BA5057"/>
    <w:rsid w:val="00BA5441"/>
    <w:rsid w:val="00BA5722"/>
    <w:rsid w:val="00BA58B9"/>
    <w:rsid w:val="00BA5BCD"/>
    <w:rsid w:val="00BA5F16"/>
    <w:rsid w:val="00BA6A25"/>
    <w:rsid w:val="00BA6A39"/>
    <w:rsid w:val="00BA72AD"/>
    <w:rsid w:val="00BA7B10"/>
    <w:rsid w:val="00BA7DCC"/>
    <w:rsid w:val="00BA7F2F"/>
    <w:rsid w:val="00BB01D2"/>
    <w:rsid w:val="00BB061A"/>
    <w:rsid w:val="00BB0C97"/>
    <w:rsid w:val="00BB1A0C"/>
    <w:rsid w:val="00BB1C85"/>
    <w:rsid w:val="00BB1F36"/>
    <w:rsid w:val="00BB1F78"/>
    <w:rsid w:val="00BB263B"/>
    <w:rsid w:val="00BB2715"/>
    <w:rsid w:val="00BB2819"/>
    <w:rsid w:val="00BB2E59"/>
    <w:rsid w:val="00BB2F75"/>
    <w:rsid w:val="00BB3698"/>
    <w:rsid w:val="00BB3885"/>
    <w:rsid w:val="00BB4564"/>
    <w:rsid w:val="00BB490D"/>
    <w:rsid w:val="00BB4C8C"/>
    <w:rsid w:val="00BB4EA5"/>
    <w:rsid w:val="00BB5625"/>
    <w:rsid w:val="00BB5702"/>
    <w:rsid w:val="00BB595F"/>
    <w:rsid w:val="00BB5F0A"/>
    <w:rsid w:val="00BB6054"/>
    <w:rsid w:val="00BB6439"/>
    <w:rsid w:val="00BB6740"/>
    <w:rsid w:val="00BB7A07"/>
    <w:rsid w:val="00BC1660"/>
    <w:rsid w:val="00BC1678"/>
    <w:rsid w:val="00BC18E5"/>
    <w:rsid w:val="00BC1A33"/>
    <w:rsid w:val="00BC1B57"/>
    <w:rsid w:val="00BC1ED9"/>
    <w:rsid w:val="00BC1FD3"/>
    <w:rsid w:val="00BC208E"/>
    <w:rsid w:val="00BC26CC"/>
    <w:rsid w:val="00BC2D4F"/>
    <w:rsid w:val="00BC2F31"/>
    <w:rsid w:val="00BC33FA"/>
    <w:rsid w:val="00BC3E9B"/>
    <w:rsid w:val="00BC4384"/>
    <w:rsid w:val="00BC43A3"/>
    <w:rsid w:val="00BC4429"/>
    <w:rsid w:val="00BC4537"/>
    <w:rsid w:val="00BC48E1"/>
    <w:rsid w:val="00BC4F4C"/>
    <w:rsid w:val="00BC5E73"/>
    <w:rsid w:val="00BC61D6"/>
    <w:rsid w:val="00BC64C8"/>
    <w:rsid w:val="00BC65D0"/>
    <w:rsid w:val="00BC65E1"/>
    <w:rsid w:val="00BC74E5"/>
    <w:rsid w:val="00BC768C"/>
    <w:rsid w:val="00BC79B1"/>
    <w:rsid w:val="00BC79C0"/>
    <w:rsid w:val="00BD0133"/>
    <w:rsid w:val="00BD0209"/>
    <w:rsid w:val="00BD02A5"/>
    <w:rsid w:val="00BD044B"/>
    <w:rsid w:val="00BD06B2"/>
    <w:rsid w:val="00BD0B7D"/>
    <w:rsid w:val="00BD123F"/>
    <w:rsid w:val="00BD15AA"/>
    <w:rsid w:val="00BD1779"/>
    <w:rsid w:val="00BD1C62"/>
    <w:rsid w:val="00BD1EFA"/>
    <w:rsid w:val="00BD1F02"/>
    <w:rsid w:val="00BD2831"/>
    <w:rsid w:val="00BD2CBC"/>
    <w:rsid w:val="00BD2D41"/>
    <w:rsid w:val="00BD3794"/>
    <w:rsid w:val="00BD395B"/>
    <w:rsid w:val="00BD39BE"/>
    <w:rsid w:val="00BD3B89"/>
    <w:rsid w:val="00BD4544"/>
    <w:rsid w:val="00BD4A3E"/>
    <w:rsid w:val="00BD4BB8"/>
    <w:rsid w:val="00BD50FE"/>
    <w:rsid w:val="00BD52C9"/>
    <w:rsid w:val="00BD58B2"/>
    <w:rsid w:val="00BD5F74"/>
    <w:rsid w:val="00BD6022"/>
    <w:rsid w:val="00BD607F"/>
    <w:rsid w:val="00BD678B"/>
    <w:rsid w:val="00BD7304"/>
    <w:rsid w:val="00BD747F"/>
    <w:rsid w:val="00BD7503"/>
    <w:rsid w:val="00BD7829"/>
    <w:rsid w:val="00BD7BB3"/>
    <w:rsid w:val="00BD7C35"/>
    <w:rsid w:val="00BE0026"/>
    <w:rsid w:val="00BE0053"/>
    <w:rsid w:val="00BE0477"/>
    <w:rsid w:val="00BE10B8"/>
    <w:rsid w:val="00BE12D7"/>
    <w:rsid w:val="00BE1356"/>
    <w:rsid w:val="00BE1390"/>
    <w:rsid w:val="00BE1A70"/>
    <w:rsid w:val="00BE1C8B"/>
    <w:rsid w:val="00BE225F"/>
    <w:rsid w:val="00BE251B"/>
    <w:rsid w:val="00BE30CF"/>
    <w:rsid w:val="00BE3B55"/>
    <w:rsid w:val="00BE41B1"/>
    <w:rsid w:val="00BE41CE"/>
    <w:rsid w:val="00BE4672"/>
    <w:rsid w:val="00BE4B62"/>
    <w:rsid w:val="00BE4EB4"/>
    <w:rsid w:val="00BE54B9"/>
    <w:rsid w:val="00BE5570"/>
    <w:rsid w:val="00BE6279"/>
    <w:rsid w:val="00BE646A"/>
    <w:rsid w:val="00BE6919"/>
    <w:rsid w:val="00BE6C8B"/>
    <w:rsid w:val="00BE6CEC"/>
    <w:rsid w:val="00BE7071"/>
    <w:rsid w:val="00BE716E"/>
    <w:rsid w:val="00BE7AAA"/>
    <w:rsid w:val="00BE7BCF"/>
    <w:rsid w:val="00BE7BFC"/>
    <w:rsid w:val="00BF1291"/>
    <w:rsid w:val="00BF176A"/>
    <w:rsid w:val="00BF1CB4"/>
    <w:rsid w:val="00BF1E5F"/>
    <w:rsid w:val="00BF2294"/>
    <w:rsid w:val="00BF22CD"/>
    <w:rsid w:val="00BF279A"/>
    <w:rsid w:val="00BF2EB8"/>
    <w:rsid w:val="00BF30B9"/>
    <w:rsid w:val="00BF31BF"/>
    <w:rsid w:val="00BF3333"/>
    <w:rsid w:val="00BF375F"/>
    <w:rsid w:val="00BF384A"/>
    <w:rsid w:val="00BF3A09"/>
    <w:rsid w:val="00BF3A91"/>
    <w:rsid w:val="00BF3DED"/>
    <w:rsid w:val="00BF401D"/>
    <w:rsid w:val="00BF4297"/>
    <w:rsid w:val="00BF4371"/>
    <w:rsid w:val="00BF4B37"/>
    <w:rsid w:val="00BF4C17"/>
    <w:rsid w:val="00BF5215"/>
    <w:rsid w:val="00BF54ED"/>
    <w:rsid w:val="00BF5D2C"/>
    <w:rsid w:val="00BF5DD0"/>
    <w:rsid w:val="00BF5E07"/>
    <w:rsid w:val="00BF63A7"/>
    <w:rsid w:val="00BF686B"/>
    <w:rsid w:val="00BF68B8"/>
    <w:rsid w:val="00BF6C5E"/>
    <w:rsid w:val="00BF6D2F"/>
    <w:rsid w:val="00BF771D"/>
    <w:rsid w:val="00BF77AF"/>
    <w:rsid w:val="00BF78E9"/>
    <w:rsid w:val="00C0033C"/>
    <w:rsid w:val="00C00374"/>
    <w:rsid w:val="00C0054D"/>
    <w:rsid w:val="00C00773"/>
    <w:rsid w:val="00C00C13"/>
    <w:rsid w:val="00C00D0E"/>
    <w:rsid w:val="00C01043"/>
    <w:rsid w:val="00C017A8"/>
    <w:rsid w:val="00C01C01"/>
    <w:rsid w:val="00C025F3"/>
    <w:rsid w:val="00C02858"/>
    <w:rsid w:val="00C02F6C"/>
    <w:rsid w:val="00C02F73"/>
    <w:rsid w:val="00C0304D"/>
    <w:rsid w:val="00C0369C"/>
    <w:rsid w:val="00C03F49"/>
    <w:rsid w:val="00C04011"/>
    <w:rsid w:val="00C04340"/>
    <w:rsid w:val="00C04B16"/>
    <w:rsid w:val="00C04C12"/>
    <w:rsid w:val="00C050F7"/>
    <w:rsid w:val="00C0527F"/>
    <w:rsid w:val="00C05493"/>
    <w:rsid w:val="00C05869"/>
    <w:rsid w:val="00C05F5E"/>
    <w:rsid w:val="00C05F9D"/>
    <w:rsid w:val="00C061B3"/>
    <w:rsid w:val="00C061F3"/>
    <w:rsid w:val="00C0668F"/>
    <w:rsid w:val="00C066C6"/>
    <w:rsid w:val="00C06D6B"/>
    <w:rsid w:val="00C06FD3"/>
    <w:rsid w:val="00C075C0"/>
    <w:rsid w:val="00C07947"/>
    <w:rsid w:val="00C07B80"/>
    <w:rsid w:val="00C07E51"/>
    <w:rsid w:val="00C10940"/>
    <w:rsid w:val="00C10AD3"/>
    <w:rsid w:val="00C11524"/>
    <w:rsid w:val="00C11574"/>
    <w:rsid w:val="00C1160E"/>
    <w:rsid w:val="00C1192A"/>
    <w:rsid w:val="00C1199D"/>
    <w:rsid w:val="00C11B53"/>
    <w:rsid w:val="00C11B6E"/>
    <w:rsid w:val="00C129FD"/>
    <w:rsid w:val="00C1338F"/>
    <w:rsid w:val="00C134CA"/>
    <w:rsid w:val="00C13E0A"/>
    <w:rsid w:val="00C14747"/>
    <w:rsid w:val="00C1494B"/>
    <w:rsid w:val="00C1544F"/>
    <w:rsid w:val="00C15A8F"/>
    <w:rsid w:val="00C15F1A"/>
    <w:rsid w:val="00C1635B"/>
    <w:rsid w:val="00C1651B"/>
    <w:rsid w:val="00C16A29"/>
    <w:rsid w:val="00C16B47"/>
    <w:rsid w:val="00C16D3D"/>
    <w:rsid w:val="00C16DD6"/>
    <w:rsid w:val="00C179CF"/>
    <w:rsid w:val="00C17C97"/>
    <w:rsid w:val="00C17D0C"/>
    <w:rsid w:val="00C201BC"/>
    <w:rsid w:val="00C20392"/>
    <w:rsid w:val="00C20738"/>
    <w:rsid w:val="00C209D6"/>
    <w:rsid w:val="00C20FBC"/>
    <w:rsid w:val="00C21188"/>
    <w:rsid w:val="00C216D9"/>
    <w:rsid w:val="00C21792"/>
    <w:rsid w:val="00C22046"/>
    <w:rsid w:val="00C22295"/>
    <w:rsid w:val="00C222EA"/>
    <w:rsid w:val="00C22390"/>
    <w:rsid w:val="00C2253C"/>
    <w:rsid w:val="00C229B8"/>
    <w:rsid w:val="00C22A3A"/>
    <w:rsid w:val="00C22C06"/>
    <w:rsid w:val="00C23450"/>
    <w:rsid w:val="00C234EE"/>
    <w:rsid w:val="00C235C9"/>
    <w:rsid w:val="00C2379A"/>
    <w:rsid w:val="00C239E4"/>
    <w:rsid w:val="00C23B43"/>
    <w:rsid w:val="00C23B92"/>
    <w:rsid w:val="00C24202"/>
    <w:rsid w:val="00C24C0F"/>
    <w:rsid w:val="00C24D7D"/>
    <w:rsid w:val="00C2553A"/>
    <w:rsid w:val="00C25A58"/>
    <w:rsid w:val="00C25C0B"/>
    <w:rsid w:val="00C25FC2"/>
    <w:rsid w:val="00C264C0"/>
    <w:rsid w:val="00C2673C"/>
    <w:rsid w:val="00C269AC"/>
    <w:rsid w:val="00C26D2D"/>
    <w:rsid w:val="00C26DDE"/>
    <w:rsid w:val="00C27688"/>
    <w:rsid w:val="00C27B6C"/>
    <w:rsid w:val="00C30159"/>
    <w:rsid w:val="00C30217"/>
    <w:rsid w:val="00C304D0"/>
    <w:rsid w:val="00C3075D"/>
    <w:rsid w:val="00C30AB4"/>
    <w:rsid w:val="00C30D31"/>
    <w:rsid w:val="00C31FBF"/>
    <w:rsid w:val="00C3244E"/>
    <w:rsid w:val="00C32743"/>
    <w:rsid w:val="00C32971"/>
    <w:rsid w:val="00C3327A"/>
    <w:rsid w:val="00C3384F"/>
    <w:rsid w:val="00C33A1D"/>
    <w:rsid w:val="00C33AC0"/>
    <w:rsid w:val="00C33B9B"/>
    <w:rsid w:val="00C33BCD"/>
    <w:rsid w:val="00C33BCE"/>
    <w:rsid w:val="00C33D44"/>
    <w:rsid w:val="00C3440A"/>
    <w:rsid w:val="00C3457C"/>
    <w:rsid w:val="00C34FB8"/>
    <w:rsid w:val="00C3508B"/>
    <w:rsid w:val="00C35208"/>
    <w:rsid w:val="00C356F3"/>
    <w:rsid w:val="00C35D71"/>
    <w:rsid w:val="00C35F4B"/>
    <w:rsid w:val="00C36BC7"/>
    <w:rsid w:val="00C36E90"/>
    <w:rsid w:val="00C36F0C"/>
    <w:rsid w:val="00C371F0"/>
    <w:rsid w:val="00C379F2"/>
    <w:rsid w:val="00C37D4D"/>
    <w:rsid w:val="00C37EE3"/>
    <w:rsid w:val="00C37F09"/>
    <w:rsid w:val="00C40637"/>
    <w:rsid w:val="00C40D90"/>
    <w:rsid w:val="00C4192B"/>
    <w:rsid w:val="00C41A5A"/>
    <w:rsid w:val="00C41DD6"/>
    <w:rsid w:val="00C41E8F"/>
    <w:rsid w:val="00C4200E"/>
    <w:rsid w:val="00C42AED"/>
    <w:rsid w:val="00C42CD7"/>
    <w:rsid w:val="00C43230"/>
    <w:rsid w:val="00C43381"/>
    <w:rsid w:val="00C434E5"/>
    <w:rsid w:val="00C43D03"/>
    <w:rsid w:val="00C447BE"/>
    <w:rsid w:val="00C44BEF"/>
    <w:rsid w:val="00C44CCF"/>
    <w:rsid w:val="00C455C6"/>
    <w:rsid w:val="00C45953"/>
    <w:rsid w:val="00C46F9C"/>
    <w:rsid w:val="00C47C41"/>
    <w:rsid w:val="00C47DCE"/>
    <w:rsid w:val="00C47F53"/>
    <w:rsid w:val="00C47F59"/>
    <w:rsid w:val="00C5071B"/>
    <w:rsid w:val="00C50880"/>
    <w:rsid w:val="00C50FF3"/>
    <w:rsid w:val="00C51020"/>
    <w:rsid w:val="00C519BF"/>
    <w:rsid w:val="00C51F15"/>
    <w:rsid w:val="00C51F86"/>
    <w:rsid w:val="00C5293D"/>
    <w:rsid w:val="00C532D0"/>
    <w:rsid w:val="00C53704"/>
    <w:rsid w:val="00C5377F"/>
    <w:rsid w:val="00C5502B"/>
    <w:rsid w:val="00C55301"/>
    <w:rsid w:val="00C555CC"/>
    <w:rsid w:val="00C55654"/>
    <w:rsid w:val="00C5582F"/>
    <w:rsid w:val="00C55D79"/>
    <w:rsid w:val="00C5632E"/>
    <w:rsid w:val="00C5640B"/>
    <w:rsid w:val="00C56D5B"/>
    <w:rsid w:val="00C572D3"/>
    <w:rsid w:val="00C57830"/>
    <w:rsid w:val="00C57A1B"/>
    <w:rsid w:val="00C57A56"/>
    <w:rsid w:val="00C57E31"/>
    <w:rsid w:val="00C60683"/>
    <w:rsid w:val="00C60E1B"/>
    <w:rsid w:val="00C610ED"/>
    <w:rsid w:val="00C6117C"/>
    <w:rsid w:val="00C612F6"/>
    <w:rsid w:val="00C6172E"/>
    <w:rsid w:val="00C61800"/>
    <w:rsid w:val="00C61C24"/>
    <w:rsid w:val="00C61C5A"/>
    <w:rsid w:val="00C61FEB"/>
    <w:rsid w:val="00C620D6"/>
    <w:rsid w:val="00C6244D"/>
    <w:rsid w:val="00C62493"/>
    <w:rsid w:val="00C624E7"/>
    <w:rsid w:val="00C6295F"/>
    <w:rsid w:val="00C62E58"/>
    <w:rsid w:val="00C62FCF"/>
    <w:rsid w:val="00C6314B"/>
    <w:rsid w:val="00C635EA"/>
    <w:rsid w:val="00C636EE"/>
    <w:rsid w:val="00C63C33"/>
    <w:rsid w:val="00C63C6C"/>
    <w:rsid w:val="00C63D11"/>
    <w:rsid w:val="00C63DDF"/>
    <w:rsid w:val="00C640C7"/>
    <w:rsid w:val="00C647B7"/>
    <w:rsid w:val="00C648F8"/>
    <w:rsid w:val="00C64997"/>
    <w:rsid w:val="00C64ACE"/>
    <w:rsid w:val="00C64BDF"/>
    <w:rsid w:val="00C64D6C"/>
    <w:rsid w:val="00C64DA9"/>
    <w:rsid w:val="00C666EF"/>
    <w:rsid w:val="00C66949"/>
    <w:rsid w:val="00C66D89"/>
    <w:rsid w:val="00C67653"/>
    <w:rsid w:val="00C6780D"/>
    <w:rsid w:val="00C67844"/>
    <w:rsid w:val="00C67BFE"/>
    <w:rsid w:val="00C67DA8"/>
    <w:rsid w:val="00C67E90"/>
    <w:rsid w:val="00C707CE"/>
    <w:rsid w:val="00C708FD"/>
    <w:rsid w:val="00C712B6"/>
    <w:rsid w:val="00C71324"/>
    <w:rsid w:val="00C713E4"/>
    <w:rsid w:val="00C71488"/>
    <w:rsid w:val="00C71549"/>
    <w:rsid w:val="00C71A08"/>
    <w:rsid w:val="00C71CE7"/>
    <w:rsid w:val="00C728C0"/>
    <w:rsid w:val="00C729F2"/>
    <w:rsid w:val="00C73035"/>
    <w:rsid w:val="00C731F1"/>
    <w:rsid w:val="00C7372D"/>
    <w:rsid w:val="00C737B9"/>
    <w:rsid w:val="00C73B9D"/>
    <w:rsid w:val="00C747F1"/>
    <w:rsid w:val="00C74DFC"/>
    <w:rsid w:val="00C75048"/>
    <w:rsid w:val="00C75117"/>
    <w:rsid w:val="00C75541"/>
    <w:rsid w:val="00C75864"/>
    <w:rsid w:val="00C75B81"/>
    <w:rsid w:val="00C75E35"/>
    <w:rsid w:val="00C762AF"/>
    <w:rsid w:val="00C76821"/>
    <w:rsid w:val="00C76A57"/>
    <w:rsid w:val="00C76F70"/>
    <w:rsid w:val="00C771B7"/>
    <w:rsid w:val="00C7721C"/>
    <w:rsid w:val="00C77308"/>
    <w:rsid w:val="00C77742"/>
    <w:rsid w:val="00C77B53"/>
    <w:rsid w:val="00C8003A"/>
    <w:rsid w:val="00C802A5"/>
    <w:rsid w:val="00C80919"/>
    <w:rsid w:val="00C81C83"/>
    <w:rsid w:val="00C82191"/>
    <w:rsid w:val="00C82ED4"/>
    <w:rsid w:val="00C83345"/>
    <w:rsid w:val="00C83937"/>
    <w:rsid w:val="00C839A5"/>
    <w:rsid w:val="00C83BBC"/>
    <w:rsid w:val="00C83C30"/>
    <w:rsid w:val="00C83F1B"/>
    <w:rsid w:val="00C84616"/>
    <w:rsid w:val="00C84948"/>
    <w:rsid w:val="00C84A14"/>
    <w:rsid w:val="00C84BC8"/>
    <w:rsid w:val="00C84BF3"/>
    <w:rsid w:val="00C84CE1"/>
    <w:rsid w:val="00C854E6"/>
    <w:rsid w:val="00C8590C"/>
    <w:rsid w:val="00C85C25"/>
    <w:rsid w:val="00C85CBD"/>
    <w:rsid w:val="00C85CF9"/>
    <w:rsid w:val="00C85DDC"/>
    <w:rsid w:val="00C86702"/>
    <w:rsid w:val="00C867CA"/>
    <w:rsid w:val="00C872BB"/>
    <w:rsid w:val="00C87516"/>
    <w:rsid w:val="00C87517"/>
    <w:rsid w:val="00C875E5"/>
    <w:rsid w:val="00C87EA4"/>
    <w:rsid w:val="00C900CC"/>
    <w:rsid w:val="00C90315"/>
    <w:rsid w:val="00C90AF0"/>
    <w:rsid w:val="00C91226"/>
    <w:rsid w:val="00C9155A"/>
    <w:rsid w:val="00C923BA"/>
    <w:rsid w:val="00C92482"/>
    <w:rsid w:val="00C92612"/>
    <w:rsid w:val="00C92895"/>
    <w:rsid w:val="00C92B2A"/>
    <w:rsid w:val="00C930E4"/>
    <w:rsid w:val="00C93F0E"/>
    <w:rsid w:val="00C940B4"/>
    <w:rsid w:val="00C94760"/>
    <w:rsid w:val="00C94DBE"/>
    <w:rsid w:val="00C94E4B"/>
    <w:rsid w:val="00C951ED"/>
    <w:rsid w:val="00C9533A"/>
    <w:rsid w:val="00C9574C"/>
    <w:rsid w:val="00C95960"/>
    <w:rsid w:val="00C95CA3"/>
    <w:rsid w:val="00C95FDD"/>
    <w:rsid w:val="00C96321"/>
    <w:rsid w:val="00C96A91"/>
    <w:rsid w:val="00C96CA3"/>
    <w:rsid w:val="00C97675"/>
    <w:rsid w:val="00C978AC"/>
    <w:rsid w:val="00C97A05"/>
    <w:rsid w:val="00C97B21"/>
    <w:rsid w:val="00CA02C9"/>
    <w:rsid w:val="00CA0D11"/>
    <w:rsid w:val="00CA0E47"/>
    <w:rsid w:val="00CA1837"/>
    <w:rsid w:val="00CA18A6"/>
    <w:rsid w:val="00CA19CF"/>
    <w:rsid w:val="00CA1C19"/>
    <w:rsid w:val="00CA21B6"/>
    <w:rsid w:val="00CA25D6"/>
    <w:rsid w:val="00CA2739"/>
    <w:rsid w:val="00CA2A33"/>
    <w:rsid w:val="00CA2BBC"/>
    <w:rsid w:val="00CA31C6"/>
    <w:rsid w:val="00CA3404"/>
    <w:rsid w:val="00CA3956"/>
    <w:rsid w:val="00CA39E8"/>
    <w:rsid w:val="00CA3B0D"/>
    <w:rsid w:val="00CA3D38"/>
    <w:rsid w:val="00CA4979"/>
    <w:rsid w:val="00CA4BE7"/>
    <w:rsid w:val="00CA4EFC"/>
    <w:rsid w:val="00CA50FB"/>
    <w:rsid w:val="00CA550B"/>
    <w:rsid w:val="00CA5B48"/>
    <w:rsid w:val="00CA5B87"/>
    <w:rsid w:val="00CA5BCE"/>
    <w:rsid w:val="00CA5C13"/>
    <w:rsid w:val="00CA5FDE"/>
    <w:rsid w:val="00CA622B"/>
    <w:rsid w:val="00CA655E"/>
    <w:rsid w:val="00CA65BF"/>
    <w:rsid w:val="00CA66D9"/>
    <w:rsid w:val="00CA7407"/>
    <w:rsid w:val="00CA7865"/>
    <w:rsid w:val="00CA7AA6"/>
    <w:rsid w:val="00CB01B4"/>
    <w:rsid w:val="00CB0FE7"/>
    <w:rsid w:val="00CB1400"/>
    <w:rsid w:val="00CB146B"/>
    <w:rsid w:val="00CB19C5"/>
    <w:rsid w:val="00CB21FA"/>
    <w:rsid w:val="00CB25F9"/>
    <w:rsid w:val="00CB284D"/>
    <w:rsid w:val="00CB2915"/>
    <w:rsid w:val="00CB3370"/>
    <w:rsid w:val="00CB36E6"/>
    <w:rsid w:val="00CB377F"/>
    <w:rsid w:val="00CB40D7"/>
    <w:rsid w:val="00CB4527"/>
    <w:rsid w:val="00CB47E3"/>
    <w:rsid w:val="00CB48F1"/>
    <w:rsid w:val="00CB4F71"/>
    <w:rsid w:val="00CB5297"/>
    <w:rsid w:val="00CB5873"/>
    <w:rsid w:val="00CB5C3E"/>
    <w:rsid w:val="00CB5E3C"/>
    <w:rsid w:val="00CB5FAD"/>
    <w:rsid w:val="00CB607A"/>
    <w:rsid w:val="00CB6516"/>
    <w:rsid w:val="00CB66B5"/>
    <w:rsid w:val="00CB6E58"/>
    <w:rsid w:val="00CB7152"/>
    <w:rsid w:val="00CB730C"/>
    <w:rsid w:val="00CB73A0"/>
    <w:rsid w:val="00CB7BC3"/>
    <w:rsid w:val="00CB7F3F"/>
    <w:rsid w:val="00CC00ED"/>
    <w:rsid w:val="00CC0437"/>
    <w:rsid w:val="00CC05F6"/>
    <w:rsid w:val="00CC07A2"/>
    <w:rsid w:val="00CC08EE"/>
    <w:rsid w:val="00CC0B9E"/>
    <w:rsid w:val="00CC0BB5"/>
    <w:rsid w:val="00CC0F85"/>
    <w:rsid w:val="00CC100C"/>
    <w:rsid w:val="00CC10DB"/>
    <w:rsid w:val="00CC1123"/>
    <w:rsid w:val="00CC1B05"/>
    <w:rsid w:val="00CC1D7F"/>
    <w:rsid w:val="00CC20D0"/>
    <w:rsid w:val="00CC2299"/>
    <w:rsid w:val="00CC2CAE"/>
    <w:rsid w:val="00CC2FD8"/>
    <w:rsid w:val="00CC3158"/>
    <w:rsid w:val="00CC31CC"/>
    <w:rsid w:val="00CC3266"/>
    <w:rsid w:val="00CC375A"/>
    <w:rsid w:val="00CC38DF"/>
    <w:rsid w:val="00CC54F0"/>
    <w:rsid w:val="00CC59B1"/>
    <w:rsid w:val="00CC5AC2"/>
    <w:rsid w:val="00CC66AA"/>
    <w:rsid w:val="00CC6AA9"/>
    <w:rsid w:val="00CC6B6C"/>
    <w:rsid w:val="00CC6BF3"/>
    <w:rsid w:val="00CC6C94"/>
    <w:rsid w:val="00CC6FB6"/>
    <w:rsid w:val="00CC7390"/>
    <w:rsid w:val="00CC7464"/>
    <w:rsid w:val="00CC7F4C"/>
    <w:rsid w:val="00CD07ED"/>
    <w:rsid w:val="00CD0C57"/>
    <w:rsid w:val="00CD0CFE"/>
    <w:rsid w:val="00CD0D17"/>
    <w:rsid w:val="00CD1392"/>
    <w:rsid w:val="00CD2606"/>
    <w:rsid w:val="00CD271C"/>
    <w:rsid w:val="00CD2827"/>
    <w:rsid w:val="00CD298F"/>
    <w:rsid w:val="00CD2A7C"/>
    <w:rsid w:val="00CD2ECE"/>
    <w:rsid w:val="00CD2F7F"/>
    <w:rsid w:val="00CD36C1"/>
    <w:rsid w:val="00CD4361"/>
    <w:rsid w:val="00CD475C"/>
    <w:rsid w:val="00CD537D"/>
    <w:rsid w:val="00CD54A3"/>
    <w:rsid w:val="00CD5693"/>
    <w:rsid w:val="00CD5811"/>
    <w:rsid w:val="00CD5984"/>
    <w:rsid w:val="00CD5B88"/>
    <w:rsid w:val="00CD62C4"/>
    <w:rsid w:val="00CD680B"/>
    <w:rsid w:val="00CD6A1F"/>
    <w:rsid w:val="00CD6AAB"/>
    <w:rsid w:val="00CD6C77"/>
    <w:rsid w:val="00CD6F02"/>
    <w:rsid w:val="00CD6F65"/>
    <w:rsid w:val="00CD7747"/>
    <w:rsid w:val="00CD792E"/>
    <w:rsid w:val="00CE0386"/>
    <w:rsid w:val="00CE0536"/>
    <w:rsid w:val="00CE0687"/>
    <w:rsid w:val="00CE06F2"/>
    <w:rsid w:val="00CE0980"/>
    <w:rsid w:val="00CE09EE"/>
    <w:rsid w:val="00CE0AA9"/>
    <w:rsid w:val="00CE100D"/>
    <w:rsid w:val="00CE107A"/>
    <w:rsid w:val="00CE1614"/>
    <w:rsid w:val="00CE17A7"/>
    <w:rsid w:val="00CE296D"/>
    <w:rsid w:val="00CE2A5A"/>
    <w:rsid w:val="00CE2B8A"/>
    <w:rsid w:val="00CE3278"/>
    <w:rsid w:val="00CE39EB"/>
    <w:rsid w:val="00CE3AA2"/>
    <w:rsid w:val="00CE47C2"/>
    <w:rsid w:val="00CE4808"/>
    <w:rsid w:val="00CE58A7"/>
    <w:rsid w:val="00CE5BE2"/>
    <w:rsid w:val="00CE62BD"/>
    <w:rsid w:val="00CE6447"/>
    <w:rsid w:val="00CE6C36"/>
    <w:rsid w:val="00CE6DCC"/>
    <w:rsid w:val="00CE6F2F"/>
    <w:rsid w:val="00CE720C"/>
    <w:rsid w:val="00CE723C"/>
    <w:rsid w:val="00CE736C"/>
    <w:rsid w:val="00CE7412"/>
    <w:rsid w:val="00CE74E0"/>
    <w:rsid w:val="00CE7C15"/>
    <w:rsid w:val="00CE7D97"/>
    <w:rsid w:val="00CF0008"/>
    <w:rsid w:val="00CF0225"/>
    <w:rsid w:val="00CF0FD2"/>
    <w:rsid w:val="00CF11BB"/>
    <w:rsid w:val="00CF15D1"/>
    <w:rsid w:val="00CF15EF"/>
    <w:rsid w:val="00CF16DC"/>
    <w:rsid w:val="00CF2366"/>
    <w:rsid w:val="00CF2B22"/>
    <w:rsid w:val="00CF2B69"/>
    <w:rsid w:val="00CF2BBD"/>
    <w:rsid w:val="00CF2CE5"/>
    <w:rsid w:val="00CF2F72"/>
    <w:rsid w:val="00CF3127"/>
    <w:rsid w:val="00CF36CB"/>
    <w:rsid w:val="00CF3796"/>
    <w:rsid w:val="00CF3ABE"/>
    <w:rsid w:val="00CF3BF9"/>
    <w:rsid w:val="00CF3C94"/>
    <w:rsid w:val="00CF3EAC"/>
    <w:rsid w:val="00CF4A3F"/>
    <w:rsid w:val="00CF4B5B"/>
    <w:rsid w:val="00CF5271"/>
    <w:rsid w:val="00CF55D3"/>
    <w:rsid w:val="00CF5AAC"/>
    <w:rsid w:val="00CF62AA"/>
    <w:rsid w:val="00CF6DF2"/>
    <w:rsid w:val="00CF6E31"/>
    <w:rsid w:val="00CF6E6C"/>
    <w:rsid w:val="00CF6EA0"/>
    <w:rsid w:val="00CF70FB"/>
    <w:rsid w:val="00CF79D1"/>
    <w:rsid w:val="00CF7EEA"/>
    <w:rsid w:val="00D00098"/>
    <w:rsid w:val="00D0011F"/>
    <w:rsid w:val="00D00353"/>
    <w:rsid w:val="00D00762"/>
    <w:rsid w:val="00D0090C"/>
    <w:rsid w:val="00D00EBD"/>
    <w:rsid w:val="00D01DFF"/>
    <w:rsid w:val="00D01EC4"/>
    <w:rsid w:val="00D024C2"/>
    <w:rsid w:val="00D026B0"/>
    <w:rsid w:val="00D02964"/>
    <w:rsid w:val="00D02A35"/>
    <w:rsid w:val="00D02CEF"/>
    <w:rsid w:val="00D02FD5"/>
    <w:rsid w:val="00D03B49"/>
    <w:rsid w:val="00D03B7F"/>
    <w:rsid w:val="00D03D90"/>
    <w:rsid w:val="00D04075"/>
    <w:rsid w:val="00D0412D"/>
    <w:rsid w:val="00D04C09"/>
    <w:rsid w:val="00D04EEF"/>
    <w:rsid w:val="00D05026"/>
    <w:rsid w:val="00D05751"/>
    <w:rsid w:val="00D0582E"/>
    <w:rsid w:val="00D05EFF"/>
    <w:rsid w:val="00D071DA"/>
    <w:rsid w:val="00D079FA"/>
    <w:rsid w:val="00D07CEE"/>
    <w:rsid w:val="00D07DB5"/>
    <w:rsid w:val="00D07EEC"/>
    <w:rsid w:val="00D106C2"/>
    <w:rsid w:val="00D1097C"/>
    <w:rsid w:val="00D109CC"/>
    <w:rsid w:val="00D10C8E"/>
    <w:rsid w:val="00D111AB"/>
    <w:rsid w:val="00D1165A"/>
    <w:rsid w:val="00D116F0"/>
    <w:rsid w:val="00D11DDE"/>
    <w:rsid w:val="00D12519"/>
    <w:rsid w:val="00D1271C"/>
    <w:rsid w:val="00D12F86"/>
    <w:rsid w:val="00D1326E"/>
    <w:rsid w:val="00D133EF"/>
    <w:rsid w:val="00D137B4"/>
    <w:rsid w:val="00D13A50"/>
    <w:rsid w:val="00D13A5D"/>
    <w:rsid w:val="00D13B11"/>
    <w:rsid w:val="00D141AF"/>
    <w:rsid w:val="00D14D6B"/>
    <w:rsid w:val="00D1518F"/>
    <w:rsid w:val="00D159C0"/>
    <w:rsid w:val="00D15B66"/>
    <w:rsid w:val="00D15C96"/>
    <w:rsid w:val="00D16599"/>
    <w:rsid w:val="00D16868"/>
    <w:rsid w:val="00D16B2F"/>
    <w:rsid w:val="00D1754E"/>
    <w:rsid w:val="00D1759A"/>
    <w:rsid w:val="00D17920"/>
    <w:rsid w:val="00D17D56"/>
    <w:rsid w:val="00D20381"/>
    <w:rsid w:val="00D20CFC"/>
    <w:rsid w:val="00D20EF6"/>
    <w:rsid w:val="00D215CA"/>
    <w:rsid w:val="00D21783"/>
    <w:rsid w:val="00D2224A"/>
    <w:rsid w:val="00D222BA"/>
    <w:rsid w:val="00D2239A"/>
    <w:rsid w:val="00D223AB"/>
    <w:rsid w:val="00D228FA"/>
    <w:rsid w:val="00D22E81"/>
    <w:rsid w:val="00D23369"/>
    <w:rsid w:val="00D235C8"/>
    <w:rsid w:val="00D24319"/>
    <w:rsid w:val="00D244AB"/>
    <w:rsid w:val="00D24840"/>
    <w:rsid w:val="00D24C0C"/>
    <w:rsid w:val="00D24DA9"/>
    <w:rsid w:val="00D25116"/>
    <w:rsid w:val="00D254D3"/>
    <w:rsid w:val="00D25D26"/>
    <w:rsid w:val="00D25DB4"/>
    <w:rsid w:val="00D25DC0"/>
    <w:rsid w:val="00D25F3C"/>
    <w:rsid w:val="00D26A62"/>
    <w:rsid w:val="00D26B1D"/>
    <w:rsid w:val="00D2714C"/>
    <w:rsid w:val="00D27381"/>
    <w:rsid w:val="00D276DB"/>
    <w:rsid w:val="00D27939"/>
    <w:rsid w:val="00D27C71"/>
    <w:rsid w:val="00D27D9F"/>
    <w:rsid w:val="00D27E7C"/>
    <w:rsid w:val="00D301D6"/>
    <w:rsid w:val="00D3092E"/>
    <w:rsid w:val="00D30EEE"/>
    <w:rsid w:val="00D3159E"/>
    <w:rsid w:val="00D3189F"/>
    <w:rsid w:val="00D31BC5"/>
    <w:rsid w:val="00D31D43"/>
    <w:rsid w:val="00D31E57"/>
    <w:rsid w:val="00D31E85"/>
    <w:rsid w:val="00D324A1"/>
    <w:rsid w:val="00D32B29"/>
    <w:rsid w:val="00D330A9"/>
    <w:rsid w:val="00D331ED"/>
    <w:rsid w:val="00D33BE3"/>
    <w:rsid w:val="00D33DD4"/>
    <w:rsid w:val="00D33F46"/>
    <w:rsid w:val="00D34228"/>
    <w:rsid w:val="00D3456D"/>
    <w:rsid w:val="00D3545D"/>
    <w:rsid w:val="00D354D1"/>
    <w:rsid w:val="00D35DD9"/>
    <w:rsid w:val="00D360B0"/>
    <w:rsid w:val="00D360D4"/>
    <w:rsid w:val="00D363ED"/>
    <w:rsid w:val="00D3695D"/>
    <w:rsid w:val="00D36AB0"/>
    <w:rsid w:val="00D36DAF"/>
    <w:rsid w:val="00D3709F"/>
    <w:rsid w:val="00D3710A"/>
    <w:rsid w:val="00D37EB0"/>
    <w:rsid w:val="00D4064C"/>
    <w:rsid w:val="00D41008"/>
    <w:rsid w:val="00D41709"/>
    <w:rsid w:val="00D417E4"/>
    <w:rsid w:val="00D41841"/>
    <w:rsid w:val="00D41BA2"/>
    <w:rsid w:val="00D421A0"/>
    <w:rsid w:val="00D42408"/>
    <w:rsid w:val="00D425FA"/>
    <w:rsid w:val="00D4275F"/>
    <w:rsid w:val="00D42774"/>
    <w:rsid w:val="00D42DCF"/>
    <w:rsid w:val="00D430B0"/>
    <w:rsid w:val="00D43F4D"/>
    <w:rsid w:val="00D440A8"/>
    <w:rsid w:val="00D446FF"/>
    <w:rsid w:val="00D45090"/>
    <w:rsid w:val="00D450EF"/>
    <w:rsid w:val="00D454AC"/>
    <w:rsid w:val="00D45A4B"/>
    <w:rsid w:val="00D460CA"/>
    <w:rsid w:val="00D46235"/>
    <w:rsid w:val="00D46814"/>
    <w:rsid w:val="00D46D17"/>
    <w:rsid w:val="00D47377"/>
    <w:rsid w:val="00D4761D"/>
    <w:rsid w:val="00D47743"/>
    <w:rsid w:val="00D479A0"/>
    <w:rsid w:val="00D47A44"/>
    <w:rsid w:val="00D47A8C"/>
    <w:rsid w:val="00D47AEF"/>
    <w:rsid w:val="00D47B60"/>
    <w:rsid w:val="00D5029A"/>
    <w:rsid w:val="00D50E7A"/>
    <w:rsid w:val="00D51AA3"/>
    <w:rsid w:val="00D51B3D"/>
    <w:rsid w:val="00D51C1B"/>
    <w:rsid w:val="00D5239A"/>
    <w:rsid w:val="00D527A3"/>
    <w:rsid w:val="00D52AFD"/>
    <w:rsid w:val="00D52B27"/>
    <w:rsid w:val="00D52F7C"/>
    <w:rsid w:val="00D53183"/>
    <w:rsid w:val="00D53B55"/>
    <w:rsid w:val="00D53DC1"/>
    <w:rsid w:val="00D53EF2"/>
    <w:rsid w:val="00D54034"/>
    <w:rsid w:val="00D54B48"/>
    <w:rsid w:val="00D550EF"/>
    <w:rsid w:val="00D55904"/>
    <w:rsid w:val="00D5639D"/>
    <w:rsid w:val="00D566EB"/>
    <w:rsid w:val="00D56B02"/>
    <w:rsid w:val="00D5721D"/>
    <w:rsid w:val="00D573DE"/>
    <w:rsid w:val="00D574E2"/>
    <w:rsid w:val="00D57649"/>
    <w:rsid w:val="00D5769B"/>
    <w:rsid w:val="00D578B1"/>
    <w:rsid w:val="00D600D1"/>
    <w:rsid w:val="00D60582"/>
    <w:rsid w:val="00D60E35"/>
    <w:rsid w:val="00D615C4"/>
    <w:rsid w:val="00D615DF"/>
    <w:rsid w:val="00D618AE"/>
    <w:rsid w:val="00D626D0"/>
    <w:rsid w:val="00D629B1"/>
    <w:rsid w:val="00D62D09"/>
    <w:rsid w:val="00D63E44"/>
    <w:rsid w:val="00D6416E"/>
    <w:rsid w:val="00D64E56"/>
    <w:rsid w:val="00D65033"/>
    <w:rsid w:val="00D65653"/>
    <w:rsid w:val="00D6606D"/>
    <w:rsid w:val="00D66127"/>
    <w:rsid w:val="00D661F8"/>
    <w:rsid w:val="00D6620A"/>
    <w:rsid w:val="00D6633E"/>
    <w:rsid w:val="00D66403"/>
    <w:rsid w:val="00D66D07"/>
    <w:rsid w:val="00D66EFF"/>
    <w:rsid w:val="00D6740D"/>
    <w:rsid w:val="00D6781E"/>
    <w:rsid w:val="00D679C6"/>
    <w:rsid w:val="00D679D4"/>
    <w:rsid w:val="00D7017E"/>
    <w:rsid w:val="00D70495"/>
    <w:rsid w:val="00D706BE"/>
    <w:rsid w:val="00D70BAB"/>
    <w:rsid w:val="00D70F76"/>
    <w:rsid w:val="00D71270"/>
    <w:rsid w:val="00D716C1"/>
    <w:rsid w:val="00D71ED0"/>
    <w:rsid w:val="00D72185"/>
    <w:rsid w:val="00D728F4"/>
    <w:rsid w:val="00D72B22"/>
    <w:rsid w:val="00D72E47"/>
    <w:rsid w:val="00D7373B"/>
    <w:rsid w:val="00D73A43"/>
    <w:rsid w:val="00D73DF1"/>
    <w:rsid w:val="00D7491D"/>
    <w:rsid w:val="00D74BCF"/>
    <w:rsid w:val="00D74D37"/>
    <w:rsid w:val="00D74D80"/>
    <w:rsid w:val="00D74F05"/>
    <w:rsid w:val="00D74FCE"/>
    <w:rsid w:val="00D75ACA"/>
    <w:rsid w:val="00D7693A"/>
    <w:rsid w:val="00D76986"/>
    <w:rsid w:val="00D76CA7"/>
    <w:rsid w:val="00D7731D"/>
    <w:rsid w:val="00D7745A"/>
    <w:rsid w:val="00D776C5"/>
    <w:rsid w:val="00D777E6"/>
    <w:rsid w:val="00D8021E"/>
    <w:rsid w:val="00D80343"/>
    <w:rsid w:val="00D8063A"/>
    <w:rsid w:val="00D80C0B"/>
    <w:rsid w:val="00D80C8E"/>
    <w:rsid w:val="00D8101D"/>
    <w:rsid w:val="00D810B0"/>
    <w:rsid w:val="00D8133B"/>
    <w:rsid w:val="00D814D9"/>
    <w:rsid w:val="00D816DF"/>
    <w:rsid w:val="00D81B32"/>
    <w:rsid w:val="00D81BCE"/>
    <w:rsid w:val="00D81E2D"/>
    <w:rsid w:val="00D824AD"/>
    <w:rsid w:val="00D82690"/>
    <w:rsid w:val="00D829E4"/>
    <w:rsid w:val="00D82B8A"/>
    <w:rsid w:val="00D83137"/>
    <w:rsid w:val="00D835B2"/>
    <w:rsid w:val="00D8370E"/>
    <w:rsid w:val="00D83C16"/>
    <w:rsid w:val="00D8441F"/>
    <w:rsid w:val="00D84441"/>
    <w:rsid w:val="00D8444F"/>
    <w:rsid w:val="00D84520"/>
    <w:rsid w:val="00D84913"/>
    <w:rsid w:val="00D85995"/>
    <w:rsid w:val="00D85B95"/>
    <w:rsid w:val="00D85DF6"/>
    <w:rsid w:val="00D85F3F"/>
    <w:rsid w:val="00D86C79"/>
    <w:rsid w:val="00D86FF9"/>
    <w:rsid w:val="00D901E9"/>
    <w:rsid w:val="00D903EB"/>
    <w:rsid w:val="00D905D1"/>
    <w:rsid w:val="00D91D74"/>
    <w:rsid w:val="00D9264A"/>
    <w:rsid w:val="00D926F5"/>
    <w:rsid w:val="00D927A7"/>
    <w:rsid w:val="00D92A05"/>
    <w:rsid w:val="00D92AB7"/>
    <w:rsid w:val="00D92EA3"/>
    <w:rsid w:val="00D92F70"/>
    <w:rsid w:val="00D9310C"/>
    <w:rsid w:val="00D93555"/>
    <w:rsid w:val="00D9361D"/>
    <w:rsid w:val="00D93787"/>
    <w:rsid w:val="00D937F9"/>
    <w:rsid w:val="00D93901"/>
    <w:rsid w:val="00D93B42"/>
    <w:rsid w:val="00D93FE8"/>
    <w:rsid w:val="00D949B1"/>
    <w:rsid w:val="00D95BF5"/>
    <w:rsid w:val="00D95E49"/>
    <w:rsid w:val="00D96171"/>
    <w:rsid w:val="00D96759"/>
    <w:rsid w:val="00D967F1"/>
    <w:rsid w:val="00D96C87"/>
    <w:rsid w:val="00D96DE0"/>
    <w:rsid w:val="00D96E5E"/>
    <w:rsid w:val="00D972C6"/>
    <w:rsid w:val="00D9749E"/>
    <w:rsid w:val="00D97611"/>
    <w:rsid w:val="00D97A2F"/>
    <w:rsid w:val="00DA0213"/>
    <w:rsid w:val="00DA030D"/>
    <w:rsid w:val="00DA033A"/>
    <w:rsid w:val="00DA0802"/>
    <w:rsid w:val="00DA0859"/>
    <w:rsid w:val="00DA146B"/>
    <w:rsid w:val="00DA1911"/>
    <w:rsid w:val="00DA1A02"/>
    <w:rsid w:val="00DA1F7F"/>
    <w:rsid w:val="00DA21DB"/>
    <w:rsid w:val="00DA21E8"/>
    <w:rsid w:val="00DA23C7"/>
    <w:rsid w:val="00DA24DE"/>
    <w:rsid w:val="00DA262F"/>
    <w:rsid w:val="00DA2951"/>
    <w:rsid w:val="00DA2BC9"/>
    <w:rsid w:val="00DA2FD9"/>
    <w:rsid w:val="00DA3ABE"/>
    <w:rsid w:val="00DA3D05"/>
    <w:rsid w:val="00DA4025"/>
    <w:rsid w:val="00DA41D7"/>
    <w:rsid w:val="00DA450E"/>
    <w:rsid w:val="00DA4A79"/>
    <w:rsid w:val="00DA505A"/>
    <w:rsid w:val="00DA55CF"/>
    <w:rsid w:val="00DA5652"/>
    <w:rsid w:val="00DA7859"/>
    <w:rsid w:val="00DA79FB"/>
    <w:rsid w:val="00DB0381"/>
    <w:rsid w:val="00DB0E05"/>
    <w:rsid w:val="00DB168D"/>
    <w:rsid w:val="00DB1B92"/>
    <w:rsid w:val="00DB23A9"/>
    <w:rsid w:val="00DB2598"/>
    <w:rsid w:val="00DB273F"/>
    <w:rsid w:val="00DB2D2F"/>
    <w:rsid w:val="00DB305A"/>
    <w:rsid w:val="00DB3474"/>
    <w:rsid w:val="00DB366C"/>
    <w:rsid w:val="00DB386F"/>
    <w:rsid w:val="00DB403C"/>
    <w:rsid w:val="00DB4834"/>
    <w:rsid w:val="00DB5C04"/>
    <w:rsid w:val="00DB6045"/>
    <w:rsid w:val="00DB6057"/>
    <w:rsid w:val="00DB644E"/>
    <w:rsid w:val="00DB68D4"/>
    <w:rsid w:val="00DB6F31"/>
    <w:rsid w:val="00DB7106"/>
    <w:rsid w:val="00DB768A"/>
    <w:rsid w:val="00DB77E4"/>
    <w:rsid w:val="00DB78D3"/>
    <w:rsid w:val="00DB7ABF"/>
    <w:rsid w:val="00DB7B37"/>
    <w:rsid w:val="00DB7E20"/>
    <w:rsid w:val="00DC0176"/>
    <w:rsid w:val="00DC03D7"/>
    <w:rsid w:val="00DC0750"/>
    <w:rsid w:val="00DC0AA1"/>
    <w:rsid w:val="00DC1325"/>
    <w:rsid w:val="00DC160A"/>
    <w:rsid w:val="00DC1C2F"/>
    <w:rsid w:val="00DC2330"/>
    <w:rsid w:val="00DC2ED2"/>
    <w:rsid w:val="00DC31DD"/>
    <w:rsid w:val="00DC3ACC"/>
    <w:rsid w:val="00DC3BE1"/>
    <w:rsid w:val="00DC434E"/>
    <w:rsid w:val="00DC4496"/>
    <w:rsid w:val="00DC4498"/>
    <w:rsid w:val="00DC4916"/>
    <w:rsid w:val="00DC4EE1"/>
    <w:rsid w:val="00DC571A"/>
    <w:rsid w:val="00DC5C7B"/>
    <w:rsid w:val="00DC5D19"/>
    <w:rsid w:val="00DC5FAA"/>
    <w:rsid w:val="00DC64C9"/>
    <w:rsid w:val="00DC6A0E"/>
    <w:rsid w:val="00DC6C8F"/>
    <w:rsid w:val="00DC6D71"/>
    <w:rsid w:val="00DC6F58"/>
    <w:rsid w:val="00DC7411"/>
    <w:rsid w:val="00DC758D"/>
    <w:rsid w:val="00DC78F8"/>
    <w:rsid w:val="00DC7DC6"/>
    <w:rsid w:val="00DC7E06"/>
    <w:rsid w:val="00DD004A"/>
    <w:rsid w:val="00DD0B0A"/>
    <w:rsid w:val="00DD1119"/>
    <w:rsid w:val="00DD1142"/>
    <w:rsid w:val="00DD17A5"/>
    <w:rsid w:val="00DD22C2"/>
    <w:rsid w:val="00DD2647"/>
    <w:rsid w:val="00DD2BB3"/>
    <w:rsid w:val="00DD2C7F"/>
    <w:rsid w:val="00DD2CA3"/>
    <w:rsid w:val="00DD2DE5"/>
    <w:rsid w:val="00DD2EEA"/>
    <w:rsid w:val="00DD34FE"/>
    <w:rsid w:val="00DD371A"/>
    <w:rsid w:val="00DD37B0"/>
    <w:rsid w:val="00DD443B"/>
    <w:rsid w:val="00DD4B68"/>
    <w:rsid w:val="00DD4C95"/>
    <w:rsid w:val="00DD4FE7"/>
    <w:rsid w:val="00DD53D1"/>
    <w:rsid w:val="00DD59A5"/>
    <w:rsid w:val="00DD5CE1"/>
    <w:rsid w:val="00DD651C"/>
    <w:rsid w:val="00DD66FC"/>
    <w:rsid w:val="00DD793A"/>
    <w:rsid w:val="00DD7DC4"/>
    <w:rsid w:val="00DD7FF6"/>
    <w:rsid w:val="00DE03C1"/>
    <w:rsid w:val="00DE0542"/>
    <w:rsid w:val="00DE0B87"/>
    <w:rsid w:val="00DE0DF1"/>
    <w:rsid w:val="00DE0F79"/>
    <w:rsid w:val="00DE11C0"/>
    <w:rsid w:val="00DE131B"/>
    <w:rsid w:val="00DE13EF"/>
    <w:rsid w:val="00DE183E"/>
    <w:rsid w:val="00DE1923"/>
    <w:rsid w:val="00DE194E"/>
    <w:rsid w:val="00DE1FD7"/>
    <w:rsid w:val="00DE30A4"/>
    <w:rsid w:val="00DE3540"/>
    <w:rsid w:val="00DE36A4"/>
    <w:rsid w:val="00DE3A30"/>
    <w:rsid w:val="00DE3A64"/>
    <w:rsid w:val="00DE3BE9"/>
    <w:rsid w:val="00DE3C3C"/>
    <w:rsid w:val="00DE3D57"/>
    <w:rsid w:val="00DE3F7E"/>
    <w:rsid w:val="00DE4AFC"/>
    <w:rsid w:val="00DE4E9A"/>
    <w:rsid w:val="00DE4F81"/>
    <w:rsid w:val="00DE51ED"/>
    <w:rsid w:val="00DE53A4"/>
    <w:rsid w:val="00DE5550"/>
    <w:rsid w:val="00DE6522"/>
    <w:rsid w:val="00DE6685"/>
    <w:rsid w:val="00DE67DA"/>
    <w:rsid w:val="00DE6932"/>
    <w:rsid w:val="00DE6C5C"/>
    <w:rsid w:val="00DE6FE9"/>
    <w:rsid w:val="00DE741A"/>
    <w:rsid w:val="00DE7615"/>
    <w:rsid w:val="00DE78ED"/>
    <w:rsid w:val="00DE7C0B"/>
    <w:rsid w:val="00DF00DC"/>
    <w:rsid w:val="00DF0687"/>
    <w:rsid w:val="00DF086A"/>
    <w:rsid w:val="00DF13B8"/>
    <w:rsid w:val="00DF1469"/>
    <w:rsid w:val="00DF1755"/>
    <w:rsid w:val="00DF18A7"/>
    <w:rsid w:val="00DF1A11"/>
    <w:rsid w:val="00DF1B11"/>
    <w:rsid w:val="00DF1CD4"/>
    <w:rsid w:val="00DF224E"/>
    <w:rsid w:val="00DF24B4"/>
    <w:rsid w:val="00DF2B83"/>
    <w:rsid w:val="00DF2D2C"/>
    <w:rsid w:val="00DF3287"/>
    <w:rsid w:val="00DF3A26"/>
    <w:rsid w:val="00DF3F4F"/>
    <w:rsid w:val="00DF42AB"/>
    <w:rsid w:val="00DF42CA"/>
    <w:rsid w:val="00DF4F05"/>
    <w:rsid w:val="00DF5151"/>
    <w:rsid w:val="00DF53F5"/>
    <w:rsid w:val="00DF54C1"/>
    <w:rsid w:val="00DF5777"/>
    <w:rsid w:val="00DF5C41"/>
    <w:rsid w:val="00DF5E2E"/>
    <w:rsid w:val="00DF6B9C"/>
    <w:rsid w:val="00DF6C7F"/>
    <w:rsid w:val="00DF70D2"/>
    <w:rsid w:val="00DF71DC"/>
    <w:rsid w:val="00DF7226"/>
    <w:rsid w:val="00DF732F"/>
    <w:rsid w:val="00DF768F"/>
    <w:rsid w:val="00DF7AD1"/>
    <w:rsid w:val="00DF7EC5"/>
    <w:rsid w:val="00E001DC"/>
    <w:rsid w:val="00E005C6"/>
    <w:rsid w:val="00E0072F"/>
    <w:rsid w:val="00E00D26"/>
    <w:rsid w:val="00E00D79"/>
    <w:rsid w:val="00E016C9"/>
    <w:rsid w:val="00E01A82"/>
    <w:rsid w:val="00E021A7"/>
    <w:rsid w:val="00E0259D"/>
    <w:rsid w:val="00E02C2E"/>
    <w:rsid w:val="00E02C4A"/>
    <w:rsid w:val="00E03CA7"/>
    <w:rsid w:val="00E03DAC"/>
    <w:rsid w:val="00E04105"/>
    <w:rsid w:val="00E04167"/>
    <w:rsid w:val="00E04691"/>
    <w:rsid w:val="00E05162"/>
    <w:rsid w:val="00E053E6"/>
    <w:rsid w:val="00E0597D"/>
    <w:rsid w:val="00E0678C"/>
    <w:rsid w:val="00E073A4"/>
    <w:rsid w:val="00E076B6"/>
    <w:rsid w:val="00E07982"/>
    <w:rsid w:val="00E07C50"/>
    <w:rsid w:val="00E10072"/>
    <w:rsid w:val="00E10078"/>
    <w:rsid w:val="00E10100"/>
    <w:rsid w:val="00E104C2"/>
    <w:rsid w:val="00E107D2"/>
    <w:rsid w:val="00E10827"/>
    <w:rsid w:val="00E1091A"/>
    <w:rsid w:val="00E10CB1"/>
    <w:rsid w:val="00E11140"/>
    <w:rsid w:val="00E11453"/>
    <w:rsid w:val="00E11937"/>
    <w:rsid w:val="00E11A18"/>
    <w:rsid w:val="00E11A8A"/>
    <w:rsid w:val="00E11F29"/>
    <w:rsid w:val="00E12054"/>
    <w:rsid w:val="00E12329"/>
    <w:rsid w:val="00E1269A"/>
    <w:rsid w:val="00E12E77"/>
    <w:rsid w:val="00E13202"/>
    <w:rsid w:val="00E13408"/>
    <w:rsid w:val="00E135CC"/>
    <w:rsid w:val="00E13841"/>
    <w:rsid w:val="00E13C5F"/>
    <w:rsid w:val="00E140C0"/>
    <w:rsid w:val="00E14785"/>
    <w:rsid w:val="00E14812"/>
    <w:rsid w:val="00E14C64"/>
    <w:rsid w:val="00E15141"/>
    <w:rsid w:val="00E159DC"/>
    <w:rsid w:val="00E15DB1"/>
    <w:rsid w:val="00E160D4"/>
    <w:rsid w:val="00E161ED"/>
    <w:rsid w:val="00E165DC"/>
    <w:rsid w:val="00E16D9C"/>
    <w:rsid w:val="00E176E8"/>
    <w:rsid w:val="00E17F9E"/>
    <w:rsid w:val="00E201A2"/>
    <w:rsid w:val="00E201CA"/>
    <w:rsid w:val="00E21406"/>
    <w:rsid w:val="00E2264B"/>
    <w:rsid w:val="00E22E85"/>
    <w:rsid w:val="00E22EF3"/>
    <w:rsid w:val="00E23252"/>
    <w:rsid w:val="00E23528"/>
    <w:rsid w:val="00E23642"/>
    <w:rsid w:val="00E23734"/>
    <w:rsid w:val="00E240CF"/>
    <w:rsid w:val="00E24B92"/>
    <w:rsid w:val="00E24D28"/>
    <w:rsid w:val="00E253D1"/>
    <w:rsid w:val="00E2559F"/>
    <w:rsid w:val="00E255C6"/>
    <w:rsid w:val="00E2578F"/>
    <w:rsid w:val="00E26380"/>
    <w:rsid w:val="00E26A72"/>
    <w:rsid w:val="00E26FBA"/>
    <w:rsid w:val="00E2736D"/>
    <w:rsid w:val="00E27820"/>
    <w:rsid w:val="00E278B5"/>
    <w:rsid w:val="00E27C7A"/>
    <w:rsid w:val="00E30086"/>
    <w:rsid w:val="00E30614"/>
    <w:rsid w:val="00E30832"/>
    <w:rsid w:val="00E30C70"/>
    <w:rsid w:val="00E310FB"/>
    <w:rsid w:val="00E3134D"/>
    <w:rsid w:val="00E31DBA"/>
    <w:rsid w:val="00E31EB3"/>
    <w:rsid w:val="00E321BC"/>
    <w:rsid w:val="00E32337"/>
    <w:rsid w:val="00E323F5"/>
    <w:rsid w:val="00E324DE"/>
    <w:rsid w:val="00E33045"/>
    <w:rsid w:val="00E33050"/>
    <w:rsid w:val="00E334D6"/>
    <w:rsid w:val="00E33DF9"/>
    <w:rsid w:val="00E33FAA"/>
    <w:rsid w:val="00E34398"/>
    <w:rsid w:val="00E34492"/>
    <w:rsid w:val="00E34546"/>
    <w:rsid w:val="00E346D6"/>
    <w:rsid w:val="00E34D8C"/>
    <w:rsid w:val="00E34DE8"/>
    <w:rsid w:val="00E350AE"/>
    <w:rsid w:val="00E359E6"/>
    <w:rsid w:val="00E36097"/>
    <w:rsid w:val="00E360B6"/>
    <w:rsid w:val="00E36C66"/>
    <w:rsid w:val="00E37016"/>
    <w:rsid w:val="00E375AD"/>
    <w:rsid w:val="00E37BA5"/>
    <w:rsid w:val="00E37D2F"/>
    <w:rsid w:val="00E40007"/>
    <w:rsid w:val="00E40436"/>
    <w:rsid w:val="00E40CE6"/>
    <w:rsid w:val="00E40CEB"/>
    <w:rsid w:val="00E413DA"/>
    <w:rsid w:val="00E41413"/>
    <w:rsid w:val="00E41728"/>
    <w:rsid w:val="00E41C1A"/>
    <w:rsid w:val="00E420AB"/>
    <w:rsid w:val="00E424D6"/>
    <w:rsid w:val="00E42758"/>
    <w:rsid w:val="00E430E0"/>
    <w:rsid w:val="00E430EB"/>
    <w:rsid w:val="00E439F0"/>
    <w:rsid w:val="00E43B93"/>
    <w:rsid w:val="00E43C85"/>
    <w:rsid w:val="00E43CE3"/>
    <w:rsid w:val="00E43EA0"/>
    <w:rsid w:val="00E440EC"/>
    <w:rsid w:val="00E4418F"/>
    <w:rsid w:val="00E4495E"/>
    <w:rsid w:val="00E44977"/>
    <w:rsid w:val="00E44ADD"/>
    <w:rsid w:val="00E44E8E"/>
    <w:rsid w:val="00E45183"/>
    <w:rsid w:val="00E45643"/>
    <w:rsid w:val="00E46713"/>
    <w:rsid w:val="00E46A5A"/>
    <w:rsid w:val="00E46DAD"/>
    <w:rsid w:val="00E46F0B"/>
    <w:rsid w:val="00E4732F"/>
    <w:rsid w:val="00E475FD"/>
    <w:rsid w:val="00E4771D"/>
    <w:rsid w:val="00E477E8"/>
    <w:rsid w:val="00E47984"/>
    <w:rsid w:val="00E47D5A"/>
    <w:rsid w:val="00E505E9"/>
    <w:rsid w:val="00E50EBC"/>
    <w:rsid w:val="00E518E7"/>
    <w:rsid w:val="00E51BC4"/>
    <w:rsid w:val="00E5218F"/>
    <w:rsid w:val="00E52462"/>
    <w:rsid w:val="00E52595"/>
    <w:rsid w:val="00E528DB"/>
    <w:rsid w:val="00E52928"/>
    <w:rsid w:val="00E532DC"/>
    <w:rsid w:val="00E53475"/>
    <w:rsid w:val="00E53D89"/>
    <w:rsid w:val="00E53FF4"/>
    <w:rsid w:val="00E5442B"/>
    <w:rsid w:val="00E546B4"/>
    <w:rsid w:val="00E5483C"/>
    <w:rsid w:val="00E54885"/>
    <w:rsid w:val="00E548DF"/>
    <w:rsid w:val="00E55084"/>
    <w:rsid w:val="00E55192"/>
    <w:rsid w:val="00E55256"/>
    <w:rsid w:val="00E55301"/>
    <w:rsid w:val="00E55379"/>
    <w:rsid w:val="00E553B6"/>
    <w:rsid w:val="00E556BE"/>
    <w:rsid w:val="00E55933"/>
    <w:rsid w:val="00E55D53"/>
    <w:rsid w:val="00E55E18"/>
    <w:rsid w:val="00E56466"/>
    <w:rsid w:val="00E564D6"/>
    <w:rsid w:val="00E57198"/>
    <w:rsid w:val="00E578A4"/>
    <w:rsid w:val="00E57AF9"/>
    <w:rsid w:val="00E57B5C"/>
    <w:rsid w:val="00E57BD2"/>
    <w:rsid w:val="00E57C2A"/>
    <w:rsid w:val="00E60046"/>
    <w:rsid w:val="00E60527"/>
    <w:rsid w:val="00E6092B"/>
    <w:rsid w:val="00E60A77"/>
    <w:rsid w:val="00E60C7B"/>
    <w:rsid w:val="00E60FED"/>
    <w:rsid w:val="00E612C2"/>
    <w:rsid w:val="00E619F3"/>
    <w:rsid w:val="00E61AF2"/>
    <w:rsid w:val="00E61E15"/>
    <w:rsid w:val="00E6259E"/>
    <w:rsid w:val="00E62777"/>
    <w:rsid w:val="00E62DF7"/>
    <w:rsid w:val="00E636AA"/>
    <w:rsid w:val="00E638AF"/>
    <w:rsid w:val="00E63C1E"/>
    <w:rsid w:val="00E64293"/>
    <w:rsid w:val="00E64595"/>
    <w:rsid w:val="00E64E25"/>
    <w:rsid w:val="00E65358"/>
    <w:rsid w:val="00E65434"/>
    <w:rsid w:val="00E654BF"/>
    <w:rsid w:val="00E65A03"/>
    <w:rsid w:val="00E65A13"/>
    <w:rsid w:val="00E65AED"/>
    <w:rsid w:val="00E65C16"/>
    <w:rsid w:val="00E65E3D"/>
    <w:rsid w:val="00E66001"/>
    <w:rsid w:val="00E66414"/>
    <w:rsid w:val="00E67470"/>
    <w:rsid w:val="00E67589"/>
    <w:rsid w:val="00E67619"/>
    <w:rsid w:val="00E67D91"/>
    <w:rsid w:val="00E67E4E"/>
    <w:rsid w:val="00E67FC5"/>
    <w:rsid w:val="00E70296"/>
    <w:rsid w:val="00E706AA"/>
    <w:rsid w:val="00E706E1"/>
    <w:rsid w:val="00E708EF"/>
    <w:rsid w:val="00E70DA5"/>
    <w:rsid w:val="00E71001"/>
    <w:rsid w:val="00E7148E"/>
    <w:rsid w:val="00E71815"/>
    <w:rsid w:val="00E71E1B"/>
    <w:rsid w:val="00E720E3"/>
    <w:rsid w:val="00E72455"/>
    <w:rsid w:val="00E7246C"/>
    <w:rsid w:val="00E7269F"/>
    <w:rsid w:val="00E72EA0"/>
    <w:rsid w:val="00E73550"/>
    <w:rsid w:val="00E7366A"/>
    <w:rsid w:val="00E7403A"/>
    <w:rsid w:val="00E744A2"/>
    <w:rsid w:val="00E7467A"/>
    <w:rsid w:val="00E74A20"/>
    <w:rsid w:val="00E7540D"/>
    <w:rsid w:val="00E75612"/>
    <w:rsid w:val="00E7578E"/>
    <w:rsid w:val="00E7594D"/>
    <w:rsid w:val="00E75AFE"/>
    <w:rsid w:val="00E75ED0"/>
    <w:rsid w:val="00E761D3"/>
    <w:rsid w:val="00E76294"/>
    <w:rsid w:val="00E766BF"/>
    <w:rsid w:val="00E768C8"/>
    <w:rsid w:val="00E76952"/>
    <w:rsid w:val="00E76B55"/>
    <w:rsid w:val="00E76FAC"/>
    <w:rsid w:val="00E77F0C"/>
    <w:rsid w:val="00E8018D"/>
    <w:rsid w:val="00E8051E"/>
    <w:rsid w:val="00E808C1"/>
    <w:rsid w:val="00E80AA3"/>
    <w:rsid w:val="00E80AFF"/>
    <w:rsid w:val="00E80D54"/>
    <w:rsid w:val="00E80F05"/>
    <w:rsid w:val="00E81026"/>
    <w:rsid w:val="00E810F9"/>
    <w:rsid w:val="00E81516"/>
    <w:rsid w:val="00E81B40"/>
    <w:rsid w:val="00E81DDD"/>
    <w:rsid w:val="00E81F32"/>
    <w:rsid w:val="00E82010"/>
    <w:rsid w:val="00E820D2"/>
    <w:rsid w:val="00E82556"/>
    <w:rsid w:val="00E82D0B"/>
    <w:rsid w:val="00E82D5F"/>
    <w:rsid w:val="00E83864"/>
    <w:rsid w:val="00E8409B"/>
    <w:rsid w:val="00E842F3"/>
    <w:rsid w:val="00E84DCC"/>
    <w:rsid w:val="00E84E30"/>
    <w:rsid w:val="00E84EE5"/>
    <w:rsid w:val="00E85408"/>
    <w:rsid w:val="00E86038"/>
    <w:rsid w:val="00E86140"/>
    <w:rsid w:val="00E868AA"/>
    <w:rsid w:val="00E86BFA"/>
    <w:rsid w:val="00E86C0C"/>
    <w:rsid w:val="00E86E87"/>
    <w:rsid w:val="00E86F80"/>
    <w:rsid w:val="00E87A7A"/>
    <w:rsid w:val="00E87B43"/>
    <w:rsid w:val="00E90632"/>
    <w:rsid w:val="00E90D19"/>
    <w:rsid w:val="00E91042"/>
    <w:rsid w:val="00E91060"/>
    <w:rsid w:val="00E919B4"/>
    <w:rsid w:val="00E91A7E"/>
    <w:rsid w:val="00E91B4E"/>
    <w:rsid w:val="00E920A2"/>
    <w:rsid w:val="00E9276A"/>
    <w:rsid w:val="00E92A1D"/>
    <w:rsid w:val="00E92F01"/>
    <w:rsid w:val="00E9328F"/>
    <w:rsid w:val="00E93396"/>
    <w:rsid w:val="00E93D45"/>
    <w:rsid w:val="00E93E61"/>
    <w:rsid w:val="00E94342"/>
    <w:rsid w:val="00E94856"/>
    <w:rsid w:val="00E9493C"/>
    <w:rsid w:val="00E9497E"/>
    <w:rsid w:val="00E94C0B"/>
    <w:rsid w:val="00E95B51"/>
    <w:rsid w:val="00E96B29"/>
    <w:rsid w:val="00E97C27"/>
    <w:rsid w:val="00EA09CC"/>
    <w:rsid w:val="00EA14F6"/>
    <w:rsid w:val="00EA1501"/>
    <w:rsid w:val="00EA1E03"/>
    <w:rsid w:val="00EA1E65"/>
    <w:rsid w:val="00EA284A"/>
    <w:rsid w:val="00EA2976"/>
    <w:rsid w:val="00EA2B5E"/>
    <w:rsid w:val="00EA2D33"/>
    <w:rsid w:val="00EA3575"/>
    <w:rsid w:val="00EA39FB"/>
    <w:rsid w:val="00EA3D17"/>
    <w:rsid w:val="00EA3E0E"/>
    <w:rsid w:val="00EA3ED8"/>
    <w:rsid w:val="00EA4679"/>
    <w:rsid w:val="00EA4A26"/>
    <w:rsid w:val="00EA4D36"/>
    <w:rsid w:val="00EA55BC"/>
    <w:rsid w:val="00EA56C0"/>
    <w:rsid w:val="00EA71AC"/>
    <w:rsid w:val="00EA769A"/>
    <w:rsid w:val="00EA76BF"/>
    <w:rsid w:val="00EA78EF"/>
    <w:rsid w:val="00EA7F58"/>
    <w:rsid w:val="00EB028B"/>
    <w:rsid w:val="00EB09A9"/>
    <w:rsid w:val="00EB0C03"/>
    <w:rsid w:val="00EB12FA"/>
    <w:rsid w:val="00EB1356"/>
    <w:rsid w:val="00EB1C1E"/>
    <w:rsid w:val="00EB1FFC"/>
    <w:rsid w:val="00EB2165"/>
    <w:rsid w:val="00EB2642"/>
    <w:rsid w:val="00EB2BE1"/>
    <w:rsid w:val="00EB2ECD"/>
    <w:rsid w:val="00EB30C6"/>
    <w:rsid w:val="00EB30FC"/>
    <w:rsid w:val="00EB35A1"/>
    <w:rsid w:val="00EB395B"/>
    <w:rsid w:val="00EB3C5F"/>
    <w:rsid w:val="00EB40A5"/>
    <w:rsid w:val="00EB42AD"/>
    <w:rsid w:val="00EB42E6"/>
    <w:rsid w:val="00EB44A0"/>
    <w:rsid w:val="00EB4FD1"/>
    <w:rsid w:val="00EB505A"/>
    <w:rsid w:val="00EB52DA"/>
    <w:rsid w:val="00EB5317"/>
    <w:rsid w:val="00EB56AB"/>
    <w:rsid w:val="00EB58F6"/>
    <w:rsid w:val="00EB5BF4"/>
    <w:rsid w:val="00EB5D7B"/>
    <w:rsid w:val="00EB665B"/>
    <w:rsid w:val="00EB6A90"/>
    <w:rsid w:val="00EB6C80"/>
    <w:rsid w:val="00EB6E7D"/>
    <w:rsid w:val="00EB72AD"/>
    <w:rsid w:val="00EB74B0"/>
    <w:rsid w:val="00EB7AF7"/>
    <w:rsid w:val="00EB7BAC"/>
    <w:rsid w:val="00EB7FD4"/>
    <w:rsid w:val="00EC0179"/>
    <w:rsid w:val="00EC0411"/>
    <w:rsid w:val="00EC0665"/>
    <w:rsid w:val="00EC078F"/>
    <w:rsid w:val="00EC07D2"/>
    <w:rsid w:val="00EC1283"/>
    <w:rsid w:val="00EC13D9"/>
    <w:rsid w:val="00EC15D1"/>
    <w:rsid w:val="00EC1B18"/>
    <w:rsid w:val="00EC21BB"/>
    <w:rsid w:val="00EC3078"/>
    <w:rsid w:val="00EC312B"/>
    <w:rsid w:val="00EC3422"/>
    <w:rsid w:val="00EC38A2"/>
    <w:rsid w:val="00EC4044"/>
    <w:rsid w:val="00EC42D3"/>
    <w:rsid w:val="00EC48A4"/>
    <w:rsid w:val="00EC4A3A"/>
    <w:rsid w:val="00EC50CB"/>
    <w:rsid w:val="00EC532C"/>
    <w:rsid w:val="00EC5759"/>
    <w:rsid w:val="00EC5B32"/>
    <w:rsid w:val="00EC61B5"/>
    <w:rsid w:val="00EC6412"/>
    <w:rsid w:val="00EC6462"/>
    <w:rsid w:val="00EC67AB"/>
    <w:rsid w:val="00EC68D4"/>
    <w:rsid w:val="00EC6D21"/>
    <w:rsid w:val="00EC6D4C"/>
    <w:rsid w:val="00EC75F3"/>
    <w:rsid w:val="00EC77EC"/>
    <w:rsid w:val="00ED0212"/>
    <w:rsid w:val="00ED03B4"/>
    <w:rsid w:val="00ED0480"/>
    <w:rsid w:val="00ED0D41"/>
    <w:rsid w:val="00ED1592"/>
    <w:rsid w:val="00ED1757"/>
    <w:rsid w:val="00ED2209"/>
    <w:rsid w:val="00ED2960"/>
    <w:rsid w:val="00ED3798"/>
    <w:rsid w:val="00ED3828"/>
    <w:rsid w:val="00ED3A1C"/>
    <w:rsid w:val="00ED4332"/>
    <w:rsid w:val="00ED45A4"/>
    <w:rsid w:val="00ED572F"/>
    <w:rsid w:val="00ED67C2"/>
    <w:rsid w:val="00ED6D7F"/>
    <w:rsid w:val="00ED7230"/>
    <w:rsid w:val="00ED7585"/>
    <w:rsid w:val="00ED7CC0"/>
    <w:rsid w:val="00ED7D82"/>
    <w:rsid w:val="00EE0080"/>
    <w:rsid w:val="00EE065B"/>
    <w:rsid w:val="00EE06E2"/>
    <w:rsid w:val="00EE0A8D"/>
    <w:rsid w:val="00EE0A9F"/>
    <w:rsid w:val="00EE0C7A"/>
    <w:rsid w:val="00EE1960"/>
    <w:rsid w:val="00EE1A66"/>
    <w:rsid w:val="00EE1C68"/>
    <w:rsid w:val="00EE1E24"/>
    <w:rsid w:val="00EE2457"/>
    <w:rsid w:val="00EE2A7F"/>
    <w:rsid w:val="00EE326D"/>
    <w:rsid w:val="00EE351B"/>
    <w:rsid w:val="00EE358F"/>
    <w:rsid w:val="00EE3E16"/>
    <w:rsid w:val="00EE40AB"/>
    <w:rsid w:val="00EE447C"/>
    <w:rsid w:val="00EE47F3"/>
    <w:rsid w:val="00EE4F2B"/>
    <w:rsid w:val="00EE4FA0"/>
    <w:rsid w:val="00EE56EF"/>
    <w:rsid w:val="00EE5EDE"/>
    <w:rsid w:val="00EE5FB3"/>
    <w:rsid w:val="00EE6289"/>
    <w:rsid w:val="00EE636B"/>
    <w:rsid w:val="00EE6A4C"/>
    <w:rsid w:val="00EE7747"/>
    <w:rsid w:val="00EE77FE"/>
    <w:rsid w:val="00EF1A50"/>
    <w:rsid w:val="00EF1C04"/>
    <w:rsid w:val="00EF1D4E"/>
    <w:rsid w:val="00EF2188"/>
    <w:rsid w:val="00EF2DBA"/>
    <w:rsid w:val="00EF2F75"/>
    <w:rsid w:val="00EF33F9"/>
    <w:rsid w:val="00EF40B3"/>
    <w:rsid w:val="00EF422C"/>
    <w:rsid w:val="00EF42CD"/>
    <w:rsid w:val="00EF4A10"/>
    <w:rsid w:val="00EF4AD1"/>
    <w:rsid w:val="00EF4AE3"/>
    <w:rsid w:val="00EF549E"/>
    <w:rsid w:val="00EF55CC"/>
    <w:rsid w:val="00EF5A90"/>
    <w:rsid w:val="00EF5FF1"/>
    <w:rsid w:val="00EF658C"/>
    <w:rsid w:val="00EF6FA3"/>
    <w:rsid w:val="00EF7141"/>
    <w:rsid w:val="00EF7C34"/>
    <w:rsid w:val="00EF7E4B"/>
    <w:rsid w:val="00F00144"/>
    <w:rsid w:val="00F002A9"/>
    <w:rsid w:val="00F004B1"/>
    <w:rsid w:val="00F00BD7"/>
    <w:rsid w:val="00F00BF7"/>
    <w:rsid w:val="00F00CBB"/>
    <w:rsid w:val="00F00D9B"/>
    <w:rsid w:val="00F00F75"/>
    <w:rsid w:val="00F00FD8"/>
    <w:rsid w:val="00F0133C"/>
    <w:rsid w:val="00F01B5F"/>
    <w:rsid w:val="00F01C9B"/>
    <w:rsid w:val="00F01E3B"/>
    <w:rsid w:val="00F02026"/>
    <w:rsid w:val="00F02508"/>
    <w:rsid w:val="00F029BC"/>
    <w:rsid w:val="00F030D0"/>
    <w:rsid w:val="00F0360C"/>
    <w:rsid w:val="00F03A0A"/>
    <w:rsid w:val="00F03A58"/>
    <w:rsid w:val="00F0476B"/>
    <w:rsid w:val="00F04DC1"/>
    <w:rsid w:val="00F05408"/>
    <w:rsid w:val="00F054E8"/>
    <w:rsid w:val="00F05551"/>
    <w:rsid w:val="00F055CB"/>
    <w:rsid w:val="00F05D1D"/>
    <w:rsid w:val="00F072DA"/>
    <w:rsid w:val="00F07785"/>
    <w:rsid w:val="00F07981"/>
    <w:rsid w:val="00F07A17"/>
    <w:rsid w:val="00F07B26"/>
    <w:rsid w:val="00F07F94"/>
    <w:rsid w:val="00F105FC"/>
    <w:rsid w:val="00F10941"/>
    <w:rsid w:val="00F10AC4"/>
    <w:rsid w:val="00F10D7B"/>
    <w:rsid w:val="00F10DC1"/>
    <w:rsid w:val="00F1114A"/>
    <w:rsid w:val="00F126AE"/>
    <w:rsid w:val="00F126D4"/>
    <w:rsid w:val="00F12843"/>
    <w:rsid w:val="00F12921"/>
    <w:rsid w:val="00F12EB2"/>
    <w:rsid w:val="00F12EE6"/>
    <w:rsid w:val="00F13111"/>
    <w:rsid w:val="00F1370C"/>
    <w:rsid w:val="00F13BA9"/>
    <w:rsid w:val="00F13EDB"/>
    <w:rsid w:val="00F13F7C"/>
    <w:rsid w:val="00F1428C"/>
    <w:rsid w:val="00F1446E"/>
    <w:rsid w:val="00F1462D"/>
    <w:rsid w:val="00F149B9"/>
    <w:rsid w:val="00F14D6F"/>
    <w:rsid w:val="00F151FD"/>
    <w:rsid w:val="00F15242"/>
    <w:rsid w:val="00F15617"/>
    <w:rsid w:val="00F15E50"/>
    <w:rsid w:val="00F15E54"/>
    <w:rsid w:val="00F16428"/>
    <w:rsid w:val="00F16671"/>
    <w:rsid w:val="00F16B04"/>
    <w:rsid w:val="00F16D3A"/>
    <w:rsid w:val="00F17668"/>
    <w:rsid w:val="00F179A7"/>
    <w:rsid w:val="00F17A54"/>
    <w:rsid w:val="00F17D96"/>
    <w:rsid w:val="00F17E13"/>
    <w:rsid w:val="00F17F3E"/>
    <w:rsid w:val="00F206DE"/>
    <w:rsid w:val="00F20B2A"/>
    <w:rsid w:val="00F20CF2"/>
    <w:rsid w:val="00F20E70"/>
    <w:rsid w:val="00F21079"/>
    <w:rsid w:val="00F214FA"/>
    <w:rsid w:val="00F217EA"/>
    <w:rsid w:val="00F219AA"/>
    <w:rsid w:val="00F22063"/>
    <w:rsid w:val="00F224F1"/>
    <w:rsid w:val="00F22528"/>
    <w:rsid w:val="00F22685"/>
    <w:rsid w:val="00F229EF"/>
    <w:rsid w:val="00F22B2D"/>
    <w:rsid w:val="00F23783"/>
    <w:rsid w:val="00F23BF0"/>
    <w:rsid w:val="00F23C71"/>
    <w:rsid w:val="00F2408D"/>
    <w:rsid w:val="00F24101"/>
    <w:rsid w:val="00F24343"/>
    <w:rsid w:val="00F246CC"/>
    <w:rsid w:val="00F24B60"/>
    <w:rsid w:val="00F250E6"/>
    <w:rsid w:val="00F252B2"/>
    <w:rsid w:val="00F2555A"/>
    <w:rsid w:val="00F25DE1"/>
    <w:rsid w:val="00F26059"/>
    <w:rsid w:val="00F26213"/>
    <w:rsid w:val="00F265EB"/>
    <w:rsid w:val="00F2678B"/>
    <w:rsid w:val="00F269EB"/>
    <w:rsid w:val="00F26CEB"/>
    <w:rsid w:val="00F2714A"/>
    <w:rsid w:val="00F2744D"/>
    <w:rsid w:val="00F27E43"/>
    <w:rsid w:val="00F27E58"/>
    <w:rsid w:val="00F27F32"/>
    <w:rsid w:val="00F300D9"/>
    <w:rsid w:val="00F30473"/>
    <w:rsid w:val="00F3062D"/>
    <w:rsid w:val="00F30CB1"/>
    <w:rsid w:val="00F31735"/>
    <w:rsid w:val="00F31DAB"/>
    <w:rsid w:val="00F3226B"/>
    <w:rsid w:val="00F3275D"/>
    <w:rsid w:val="00F32778"/>
    <w:rsid w:val="00F32C57"/>
    <w:rsid w:val="00F32F96"/>
    <w:rsid w:val="00F3379F"/>
    <w:rsid w:val="00F33F84"/>
    <w:rsid w:val="00F340DB"/>
    <w:rsid w:val="00F34399"/>
    <w:rsid w:val="00F3451E"/>
    <w:rsid w:val="00F348C3"/>
    <w:rsid w:val="00F353E8"/>
    <w:rsid w:val="00F35402"/>
    <w:rsid w:val="00F357DE"/>
    <w:rsid w:val="00F35907"/>
    <w:rsid w:val="00F35A69"/>
    <w:rsid w:val="00F35C86"/>
    <w:rsid w:val="00F35E7B"/>
    <w:rsid w:val="00F35F66"/>
    <w:rsid w:val="00F370B6"/>
    <w:rsid w:val="00F371F7"/>
    <w:rsid w:val="00F37476"/>
    <w:rsid w:val="00F37854"/>
    <w:rsid w:val="00F37B7C"/>
    <w:rsid w:val="00F37CB7"/>
    <w:rsid w:val="00F37F64"/>
    <w:rsid w:val="00F37FF3"/>
    <w:rsid w:val="00F40761"/>
    <w:rsid w:val="00F40989"/>
    <w:rsid w:val="00F40A21"/>
    <w:rsid w:val="00F40B04"/>
    <w:rsid w:val="00F40D13"/>
    <w:rsid w:val="00F41400"/>
    <w:rsid w:val="00F41690"/>
    <w:rsid w:val="00F416CF"/>
    <w:rsid w:val="00F417E1"/>
    <w:rsid w:val="00F41969"/>
    <w:rsid w:val="00F4256D"/>
    <w:rsid w:val="00F4342E"/>
    <w:rsid w:val="00F435A0"/>
    <w:rsid w:val="00F43E01"/>
    <w:rsid w:val="00F44528"/>
    <w:rsid w:val="00F44B2C"/>
    <w:rsid w:val="00F44D6E"/>
    <w:rsid w:val="00F4502C"/>
    <w:rsid w:val="00F4686C"/>
    <w:rsid w:val="00F47CAA"/>
    <w:rsid w:val="00F47D2C"/>
    <w:rsid w:val="00F47D3C"/>
    <w:rsid w:val="00F501AC"/>
    <w:rsid w:val="00F5098C"/>
    <w:rsid w:val="00F50DB6"/>
    <w:rsid w:val="00F51367"/>
    <w:rsid w:val="00F51C39"/>
    <w:rsid w:val="00F5239C"/>
    <w:rsid w:val="00F52A1D"/>
    <w:rsid w:val="00F5319B"/>
    <w:rsid w:val="00F53298"/>
    <w:rsid w:val="00F53885"/>
    <w:rsid w:val="00F53B72"/>
    <w:rsid w:val="00F54451"/>
    <w:rsid w:val="00F54482"/>
    <w:rsid w:val="00F544BC"/>
    <w:rsid w:val="00F55522"/>
    <w:rsid w:val="00F5581D"/>
    <w:rsid w:val="00F55A49"/>
    <w:rsid w:val="00F55B01"/>
    <w:rsid w:val="00F563D8"/>
    <w:rsid w:val="00F56427"/>
    <w:rsid w:val="00F567A6"/>
    <w:rsid w:val="00F56DEE"/>
    <w:rsid w:val="00F57140"/>
    <w:rsid w:val="00F5758E"/>
    <w:rsid w:val="00F57608"/>
    <w:rsid w:val="00F57FB7"/>
    <w:rsid w:val="00F57FF9"/>
    <w:rsid w:val="00F602F0"/>
    <w:rsid w:val="00F605E7"/>
    <w:rsid w:val="00F6095D"/>
    <w:rsid w:val="00F60F5E"/>
    <w:rsid w:val="00F618D1"/>
    <w:rsid w:val="00F61A39"/>
    <w:rsid w:val="00F61D8D"/>
    <w:rsid w:val="00F6258C"/>
    <w:rsid w:val="00F625A8"/>
    <w:rsid w:val="00F625C8"/>
    <w:rsid w:val="00F62656"/>
    <w:rsid w:val="00F62686"/>
    <w:rsid w:val="00F62870"/>
    <w:rsid w:val="00F62A48"/>
    <w:rsid w:val="00F62BE6"/>
    <w:rsid w:val="00F63004"/>
    <w:rsid w:val="00F633AB"/>
    <w:rsid w:val="00F6380D"/>
    <w:rsid w:val="00F63B1F"/>
    <w:rsid w:val="00F63C42"/>
    <w:rsid w:val="00F63E0B"/>
    <w:rsid w:val="00F6414A"/>
    <w:rsid w:val="00F64644"/>
    <w:rsid w:val="00F64683"/>
    <w:rsid w:val="00F64AFB"/>
    <w:rsid w:val="00F6511F"/>
    <w:rsid w:val="00F6546C"/>
    <w:rsid w:val="00F655A5"/>
    <w:rsid w:val="00F65900"/>
    <w:rsid w:val="00F65E94"/>
    <w:rsid w:val="00F66333"/>
    <w:rsid w:val="00F66B0B"/>
    <w:rsid w:val="00F675B7"/>
    <w:rsid w:val="00F67A38"/>
    <w:rsid w:val="00F67E47"/>
    <w:rsid w:val="00F700F6"/>
    <w:rsid w:val="00F7034C"/>
    <w:rsid w:val="00F705FC"/>
    <w:rsid w:val="00F705FD"/>
    <w:rsid w:val="00F70D4F"/>
    <w:rsid w:val="00F71664"/>
    <w:rsid w:val="00F71780"/>
    <w:rsid w:val="00F7182D"/>
    <w:rsid w:val="00F71AE9"/>
    <w:rsid w:val="00F71E18"/>
    <w:rsid w:val="00F7240B"/>
    <w:rsid w:val="00F72455"/>
    <w:rsid w:val="00F729C8"/>
    <w:rsid w:val="00F72C94"/>
    <w:rsid w:val="00F72DA9"/>
    <w:rsid w:val="00F72FDA"/>
    <w:rsid w:val="00F73097"/>
    <w:rsid w:val="00F7339D"/>
    <w:rsid w:val="00F73527"/>
    <w:rsid w:val="00F73722"/>
    <w:rsid w:val="00F74199"/>
    <w:rsid w:val="00F7459D"/>
    <w:rsid w:val="00F749EB"/>
    <w:rsid w:val="00F74A87"/>
    <w:rsid w:val="00F74EB0"/>
    <w:rsid w:val="00F751B9"/>
    <w:rsid w:val="00F752B8"/>
    <w:rsid w:val="00F75319"/>
    <w:rsid w:val="00F755FC"/>
    <w:rsid w:val="00F75904"/>
    <w:rsid w:val="00F75B03"/>
    <w:rsid w:val="00F75B1A"/>
    <w:rsid w:val="00F75B41"/>
    <w:rsid w:val="00F75D2F"/>
    <w:rsid w:val="00F76047"/>
    <w:rsid w:val="00F760C9"/>
    <w:rsid w:val="00F765BE"/>
    <w:rsid w:val="00F76784"/>
    <w:rsid w:val="00F7690F"/>
    <w:rsid w:val="00F76C77"/>
    <w:rsid w:val="00F76D4D"/>
    <w:rsid w:val="00F77245"/>
    <w:rsid w:val="00F77909"/>
    <w:rsid w:val="00F77925"/>
    <w:rsid w:val="00F77DD3"/>
    <w:rsid w:val="00F80319"/>
    <w:rsid w:val="00F80694"/>
    <w:rsid w:val="00F818D0"/>
    <w:rsid w:val="00F82174"/>
    <w:rsid w:val="00F82A31"/>
    <w:rsid w:val="00F82FC0"/>
    <w:rsid w:val="00F83337"/>
    <w:rsid w:val="00F83BAF"/>
    <w:rsid w:val="00F842F4"/>
    <w:rsid w:val="00F84629"/>
    <w:rsid w:val="00F849FC"/>
    <w:rsid w:val="00F84D3D"/>
    <w:rsid w:val="00F85209"/>
    <w:rsid w:val="00F85580"/>
    <w:rsid w:val="00F858B2"/>
    <w:rsid w:val="00F85B8C"/>
    <w:rsid w:val="00F85BF0"/>
    <w:rsid w:val="00F85D0A"/>
    <w:rsid w:val="00F86843"/>
    <w:rsid w:val="00F86C4D"/>
    <w:rsid w:val="00F86DD0"/>
    <w:rsid w:val="00F86E9D"/>
    <w:rsid w:val="00F87010"/>
    <w:rsid w:val="00F872DD"/>
    <w:rsid w:val="00F87571"/>
    <w:rsid w:val="00F87963"/>
    <w:rsid w:val="00F87B6F"/>
    <w:rsid w:val="00F90190"/>
    <w:rsid w:val="00F902DF"/>
    <w:rsid w:val="00F90A5B"/>
    <w:rsid w:val="00F90ACA"/>
    <w:rsid w:val="00F90B3C"/>
    <w:rsid w:val="00F90CD2"/>
    <w:rsid w:val="00F90F85"/>
    <w:rsid w:val="00F919C0"/>
    <w:rsid w:val="00F91EFD"/>
    <w:rsid w:val="00F91F1C"/>
    <w:rsid w:val="00F92CA7"/>
    <w:rsid w:val="00F9305B"/>
    <w:rsid w:val="00F93457"/>
    <w:rsid w:val="00F94695"/>
    <w:rsid w:val="00F94CC5"/>
    <w:rsid w:val="00F94EF7"/>
    <w:rsid w:val="00F9505E"/>
    <w:rsid w:val="00F956B1"/>
    <w:rsid w:val="00F958FB"/>
    <w:rsid w:val="00F9603E"/>
    <w:rsid w:val="00F964CA"/>
    <w:rsid w:val="00F967B5"/>
    <w:rsid w:val="00F96B25"/>
    <w:rsid w:val="00F96CB7"/>
    <w:rsid w:val="00F96CB8"/>
    <w:rsid w:val="00F970DA"/>
    <w:rsid w:val="00F971CC"/>
    <w:rsid w:val="00F971FC"/>
    <w:rsid w:val="00F97442"/>
    <w:rsid w:val="00F97C28"/>
    <w:rsid w:val="00F97F5D"/>
    <w:rsid w:val="00FA0B35"/>
    <w:rsid w:val="00FA0DFF"/>
    <w:rsid w:val="00FA1106"/>
    <w:rsid w:val="00FA116A"/>
    <w:rsid w:val="00FA148B"/>
    <w:rsid w:val="00FA19F0"/>
    <w:rsid w:val="00FA1EC1"/>
    <w:rsid w:val="00FA2255"/>
    <w:rsid w:val="00FA2415"/>
    <w:rsid w:val="00FA2A39"/>
    <w:rsid w:val="00FA2EFC"/>
    <w:rsid w:val="00FA3903"/>
    <w:rsid w:val="00FA3B62"/>
    <w:rsid w:val="00FA4315"/>
    <w:rsid w:val="00FA4472"/>
    <w:rsid w:val="00FA4686"/>
    <w:rsid w:val="00FA47A3"/>
    <w:rsid w:val="00FA49EB"/>
    <w:rsid w:val="00FA4D8E"/>
    <w:rsid w:val="00FA5313"/>
    <w:rsid w:val="00FA53EC"/>
    <w:rsid w:val="00FA5738"/>
    <w:rsid w:val="00FA5B8C"/>
    <w:rsid w:val="00FA6208"/>
    <w:rsid w:val="00FA62DA"/>
    <w:rsid w:val="00FA63CD"/>
    <w:rsid w:val="00FA6502"/>
    <w:rsid w:val="00FA6905"/>
    <w:rsid w:val="00FA6BD5"/>
    <w:rsid w:val="00FA7DB5"/>
    <w:rsid w:val="00FA7EBC"/>
    <w:rsid w:val="00FB0B32"/>
    <w:rsid w:val="00FB0DEF"/>
    <w:rsid w:val="00FB0E5D"/>
    <w:rsid w:val="00FB0F72"/>
    <w:rsid w:val="00FB10F4"/>
    <w:rsid w:val="00FB16CE"/>
    <w:rsid w:val="00FB20A1"/>
    <w:rsid w:val="00FB2264"/>
    <w:rsid w:val="00FB2336"/>
    <w:rsid w:val="00FB2764"/>
    <w:rsid w:val="00FB2A65"/>
    <w:rsid w:val="00FB2BAA"/>
    <w:rsid w:val="00FB2C2B"/>
    <w:rsid w:val="00FB2D2F"/>
    <w:rsid w:val="00FB33DB"/>
    <w:rsid w:val="00FB3623"/>
    <w:rsid w:val="00FB39B6"/>
    <w:rsid w:val="00FB436D"/>
    <w:rsid w:val="00FB47C3"/>
    <w:rsid w:val="00FB4D0D"/>
    <w:rsid w:val="00FB4D41"/>
    <w:rsid w:val="00FB4ECF"/>
    <w:rsid w:val="00FB5166"/>
    <w:rsid w:val="00FB57AB"/>
    <w:rsid w:val="00FB58DE"/>
    <w:rsid w:val="00FB5D95"/>
    <w:rsid w:val="00FB5E01"/>
    <w:rsid w:val="00FB6593"/>
    <w:rsid w:val="00FB6FD5"/>
    <w:rsid w:val="00FB765E"/>
    <w:rsid w:val="00FB77F0"/>
    <w:rsid w:val="00FB7B9F"/>
    <w:rsid w:val="00FB7D90"/>
    <w:rsid w:val="00FC031D"/>
    <w:rsid w:val="00FC0C7A"/>
    <w:rsid w:val="00FC0E0A"/>
    <w:rsid w:val="00FC16FC"/>
    <w:rsid w:val="00FC170A"/>
    <w:rsid w:val="00FC1830"/>
    <w:rsid w:val="00FC2C1F"/>
    <w:rsid w:val="00FC2F56"/>
    <w:rsid w:val="00FC2F72"/>
    <w:rsid w:val="00FC30C2"/>
    <w:rsid w:val="00FC325C"/>
    <w:rsid w:val="00FC3280"/>
    <w:rsid w:val="00FC38C1"/>
    <w:rsid w:val="00FC3B5A"/>
    <w:rsid w:val="00FC3C2D"/>
    <w:rsid w:val="00FC4FDA"/>
    <w:rsid w:val="00FC572D"/>
    <w:rsid w:val="00FC5F22"/>
    <w:rsid w:val="00FC5F46"/>
    <w:rsid w:val="00FC6878"/>
    <w:rsid w:val="00FC6ACD"/>
    <w:rsid w:val="00FC7A39"/>
    <w:rsid w:val="00FC7A4C"/>
    <w:rsid w:val="00FC7D66"/>
    <w:rsid w:val="00FC7E43"/>
    <w:rsid w:val="00FD0073"/>
    <w:rsid w:val="00FD007B"/>
    <w:rsid w:val="00FD0859"/>
    <w:rsid w:val="00FD0DD8"/>
    <w:rsid w:val="00FD0E72"/>
    <w:rsid w:val="00FD1402"/>
    <w:rsid w:val="00FD1575"/>
    <w:rsid w:val="00FD1958"/>
    <w:rsid w:val="00FD1A67"/>
    <w:rsid w:val="00FD1E0E"/>
    <w:rsid w:val="00FD2312"/>
    <w:rsid w:val="00FD258F"/>
    <w:rsid w:val="00FD2ED7"/>
    <w:rsid w:val="00FD3609"/>
    <w:rsid w:val="00FD3817"/>
    <w:rsid w:val="00FD3CDE"/>
    <w:rsid w:val="00FD3FF1"/>
    <w:rsid w:val="00FD4BEA"/>
    <w:rsid w:val="00FD5064"/>
    <w:rsid w:val="00FD5488"/>
    <w:rsid w:val="00FD5596"/>
    <w:rsid w:val="00FD68AE"/>
    <w:rsid w:val="00FD6929"/>
    <w:rsid w:val="00FD6F08"/>
    <w:rsid w:val="00FD7036"/>
    <w:rsid w:val="00FD70A0"/>
    <w:rsid w:val="00FD7407"/>
    <w:rsid w:val="00FD7637"/>
    <w:rsid w:val="00FD7A6D"/>
    <w:rsid w:val="00FD7F69"/>
    <w:rsid w:val="00FE02F9"/>
    <w:rsid w:val="00FE080A"/>
    <w:rsid w:val="00FE09C5"/>
    <w:rsid w:val="00FE09C8"/>
    <w:rsid w:val="00FE0B52"/>
    <w:rsid w:val="00FE0D37"/>
    <w:rsid w:val="00FE1152"/>
    <w:rsid w:val="00FE178C"/>
    <w:rsid w:val="00FE19A4"/>
    <w:rsid w:val="00FE1E3E"/>
    <w:rsid w:val="00FE2621"/>
    <w:rsid w:val="00FE2956"/>
    <w:rsid w:val="00FE2DCD"/>
    <w:rsid w:val="00FE334F"/>
    <w:rsid w:val="00FE3A5A"/>
    <w:rsid w:val="00FE3E96"/>
    <w:rsid w:val="00FE475E"/>
    <w:rsid w:val="00FE4D97"/>
    <w:rsid w:val="00FE58BB"/>
    <w:rsid w:val="00FE5968"/>
    <w:rsid w:val="00FE5CCF"/>
    <w:rsid w:val="00FE5DC0"/>
    <w:rsid w:val="00FE6256"/>
    <w:rsid w:val="00FE6316"/>
    <w:rsid w:val="00FE6440"/>
    <w:rsid w:val="00FE67E2"/>
    <w:rsid w:val="00FE7249"/>
    <w:rsid w:val="00FE7304"/>
    <w:rsid w:val="00FE7734"/>
    <w:rsid w:val="00FE7D6B"/>
    <w:rsid w:val="00FE7E06"/>
    <w:rsid w:val="00FE7EB3"/>
    <w:rsid w:val="00FF0278"/>
    <w:rsid w:val="00FF08C7"/>
    <w:rsid w:val="00FF0A94"/>
    <w:rsid w:val="00FF1D32"/>
    <w:rsid w:val="00FF2006"/>
    <w:rsid w:val="00FF2305"/>
    <w:rsid w:val="00FF305E"/>
    <w:rsid w:val="00FF34A8"/>
    <w:rsid w:val="00FF3A93"/>
    <w:rsid w:val="00FF3AE0"/>
    <w:rsid w:val="00FF3B26"/>
    <w:rsid w:val="00FF4239"/>
    <w:rsid w:val="00FF4708"/>
    <w:rsid w:val="00FF589D"/>
    <w:rsid w:val="00FF5EE0"/>
    <w:rsid w:val="00FF5F85"/>
    <w:rsid w:val="00FF6A16"/>
    <w:rsid w:val="00FF6E5B"/>
    <w:rsid w:val="00FF704B"/>
    <w:rsid w:val="00FF7125"/>
    <w:rsid w:val="00FF73A3"/>
    <w:rsid w:val="00FF77AD"/>
    <w:rsid w:val="00FF79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5001A6E5-CA41-4E84-8A6F-DB12DDF3A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ro-RO"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uiPriority="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3520"/>
    <w:rPr>
      <w:sz w:val="24"/>
      <w:szCs w:val="24"/>
      <w:lang w:eastAsia="en-US"/>
    </w:rPr>
  </w:style>
  <w:style w:type="paragraph" w:styleId="Heading1">
    <w:name w:val="heading 1"/>
    <w:basedOn w:val="Normal"/>
    <w:next w:val="Normal"/>
    <w:link w:val="Heading1Char"/>
    <w:uiPriority w:val="1"/>
    <w:qFormat/>
    <w:rsid w:val="00A06E5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1"/>
    <w:qFormat/>
    <w:locked/>
    <w:rsid w:val="002F4004"/>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1"/>
    <w:qFormat/>
    <w:locked/>
    <w:rsid w:val="002F4004"/>
    <w:pPr>
      <w:spacing w:before="100" w:beforeAutospacing="1" w:after="100" w:afterAutospacing="1"/>
      <w:outlineLvl w:val="2"/>
    </w:pPr>
    <w:rPr>
      <w:b/>
      <w:bCs/>
      <w:sz w:val="27"/>
      <w:szCs w:val="27"/>
    </w:rPr>
  </w:style>
  <w:style w:type="paragraph" w:styleId="Heading4">
    <w:name w:val="heading 4"/>
    <w:basedOn w:val="Normal"/>
    <w:next w:val="Normal"/>
    <w:link w:val="Heading4Char"/>
    <w:qFormat/>
    <w:rsid w:val="00AB2CE1"/>
    <w:pPr>
      <w:keepNext/>
      <w:outlineLvl w:val="3"/>
    </w:pPr>
    <w:rPr>
      <w:b/>
      <w:bCs/>
      <w:szCs w:val="20"/>
    </w:rPr>
  </w:style>
  <w:style w:type="paragraph" w:styleId="Heading5">
    <w:name w:val="heading 5"/>
    <w:basedOn w:val="Normal"/>
    <w:next w:val="Normal"/>
    <w:link w:val="Heading5Char"/>
    <w:qFormat/>
    <w:rsid w:val="00AB2CE1"/>
    <w:pPr>
      <w:keepNext/>
      <w:jc w:val="center"/>
      <w:outlineLvl w:val="4"/>
    </w:pPr>
    <w:rPr>
      <w:b/>
      <w:bCs/>
      <w:sz w:val="28"/>
    </w:rPr>
  </w:style>
  <w:style w:type="paragraph" w:styleId="Heading6">
    <w:name w:val="heading 6"/>
    <w:basedOn w:val="Normal"/>
    <w:next w:val="Normal"/>
    <w:link w:val="Heading6Char"/>
    <w:qFormat/>
    <w:rsid w:val="00AB2CE1"/>
    <w:pPr>
      <w:keepNext/>
      <w:ind w:firstLine="720"/>
      <w:jc w:val="center"/>
      <w:outlineLvl w:val="5"/>
    </w:pPr>
    <w:rPr>
      <w:rFonts w:ascii="TimesRomanR" w:hAnsi="TimesRomanR"/>
      <w:b/>
      <w:bCs/>
      <w:szCs w:val="20"/>
    </w:rPr>
  </w:style>
  <w:style w:type="paragraph" w:styleId="Heading7">
    <w:name w:val="heading 7"/>
    <w:basedOn w:val="Normal"/>
    <w:next w:val="Normal"/>
    <w:link w:val="Heading7Char"/>
    <w:qFormat/>
    <w:locked/>
    <w:rsid w:val="00B14C00"/>
    <w:pPr>
      <w:spacing w:before="240" w:after="60"/>
      <w:outlineLvl w:val="6"/>
    </w:pPr>
    <w:rPr>
      <w:rFonts w:ascii="Calibri" w:hAnsi="Calibri"/>
    </w:rPr>
  </w:style>
  <w:style w:type="paragraph" w:styleId="Heading8">
    <w:name w:val="heading 8"/>
    <w:basedOn w:val="Normal"/>
    <w:next w:val="Normal"/>
    <w:link w:val="Heading8Char"/>
    <w:qFormat/>
    <w:rsid w:val="00374C18"/>
    <w:pPr>
      <w:spacing w:before="240" w:after="60"/>
      <w:outlineLvl w:val="7"/>
    </w:pPr>
    <w:rPr>
      <w:i/>
      <w:iCs/>
    </w:rPr>
  </w:style>
  <w:style w:type="paragraph" w:styleId="Heading9">
    <w:name w:val="heading 9"/>
    <w:basedOn w:val="Normal"/>
    <w:next w:val="Normal"/>
    <w:link w:val="Heading9Char"/>
    <w:unhideWhenUsed/>
    <w:qFormat/>
    <w:rsid w:val="00BD2D41"/>
    <w:pPr>
      <w:spacing w:before="240" w:after="60" w:line="276" w:lineRule="auto"/>
      <w:outlineLvl w:val="8"/>
    </w:pPr>
    <w:rPr>
      <w:rFonts w:ascii="Cambria" w:hAnsi="Cambria"/>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8286C"/>
    <w:rPr>
      <w:rFonts w:ascii="Arial" w:hAnsi="Arial" w:cs="Arial"/>
      <w:b/>
      <w:bCs/>
      <w:kern w:val="32"/>
      <w:sz w:val="32"/>
      <w:szCs w:val="32"/>
      <w:lang w:val="en-US" w:eastAsia="en-US" w:bidi="ar-SA"/>
    </w:rPr>
  </w:style>
  <w:style w:type="character" w:customStyle="1" w:styleId="Heading2Char">
    <w:name w:val="Heading 2 Char"/>
    <w:link w:val="Heading2"/>
    <w:rsid w:val="0058286C"/>
    <w:rPr>
      <w:rFonts w:ascii="Arial" w:hAnsi="Arial" w:cs="Arial"/>
      <w:b/>
      <w:bCs/>
      <w:i/>
      <w:iCs/>
      <w:sz w:val="28"/>
      <w:szCs w:val="28"/>
      <w:lang w:val="en-US" w:eastAsia="en-US" w:bidi="ar-SA"/>
    </w:rPr>
  </w:style>
  <w:style w:type="character" w:customStyle="1" w:styleId="Heading7Char">
    <w:name w:val="Heading 7 Char"/>
    <w:link w:val="Heading7"/>
    <w:rsid w:val="00B14C00"/>
    <w:rPr>
      <w:rFonts w:ascii="Calibri" w:hAnsi="Calibri"/>
      <w:sz w:val="24"/>
      <w:szCs w:val="24"/>
      <w:lang w:val="en-US" w:eastAsia="en-US" w:bidi="ar-SA"/>
    </w:rPr>
  </w:style>
  <w:style w:type="paragraph" w:customStyle="1" w:styleId="CharChar3CaracterCaracter1CharCharCaracterCaracter1CaracterCaracterCharCharCaracterCaracterCharCharCaracterCaracterCharCharCaracterCaracterCaracterCaracter1">
    <w:name w:val="Char Char3 Caracter Caracter1 Char Char Caracter Caracter1 Caracter Caracter Char Char Caracter Caracter Char Char Caracter Caracter Char Char Caracter Caracter Caracter Caracter1"/>
    <w:basedOn w:val="Normal"/>
    <w:rsid w:val="00361E1A"/>
    <w:rPr>
      <w:lang w:eastAsia="pl-PL"/>
    </w:rPr>
  </w:style>
  <w:style w:type="paragraph" w:customStyle="1" w:styleId="CaracterCaracter6CharChar">
    <w:name w:val="Caracter Caracter6 Char Char"/>
    <w:basedOn w:val="Normal"/>
    <w:rsid w:val="0017209A"/>
    <w:rPr>
      <w:lang w:eastAsia="pl-PL"/>
    </w:rPr>
  </w:style>
  <w:style w:type="table" w:styleId="TableGrid">
    <w:name w:val="Table Grid"/>
    <w:basedOn w:val="TableNormal"/>
    <w:uiPriority w:val="39"/>
    <w:rsid w:val="00073477"/>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acterCaracter">
    <w:name w:val="Caracter Caracter"/>
    <w:basedOn w:val="Normal"/>
    <w:rsid w:val="00073477"/>
    <w:rPr>
      <w:lang w:eastAsia="pl-PL"/>
    </w:rPr>
  </w:style>
  <w:style w:type="character" w:styleId="PageNumber">
    <w:name w:val="page number"/>
    <w:rsid w:val="00073477"/>
    <w:rPr>
      <w:rFonts w:cs="Times New Roman"/>
    </w:rPr>
  </w:style>
  <w:style w:type="paragraph" w:styleId="Footer">
    <w:name w:val="footer"/>
    <w:basedOn w:val="Normal"/>
    <w:link w:val="FooterChar1"/>
    <w:rsid w:val="00073477"/>
    <w:pPr>
      <w:tabs>
        <w:tab w:val="center" w:pos="4536"/>
        <w:tab w:val="right" w:pos="9072"/>
      </w:tabs>
      <w:spacing w:after="120"/>
      <w:jc w:val="both"/>
    </w:pPr>
    <w:rPr>
      <w:rFonts w:ascii="Garamond" w:hAnsi="Garamond" w:cs="Garamond"/>
      <w:lang w:eastAsia="ro-RO"/>
    </w:rPr>
  </w:style>
  <w:style w:type="character" w:customStyle="1" w:styleId="FooterChar1">
    <w:name w:val="Footer Char1"/>
    <w:link w:val="Footer"/>
    <w:locked/>
    <w:rsid w:val="007465EA"/>
    <w:rPr>
      <w:rFonts w:cs="Times New Roman"/>
      <w:sz w:val="24"/>
      <w:szCs w:val="24"/>
    </w:rPr>
  </w:style>
  <w:style w:type="table" w:styleId="TableSimple1">
    <w:name w:val="Table Simple 1"/>
    <w:basedOn w:val="TableNormal"/>
    <w:rsid w:val="00073477"/>
    <w:rPr>
      <w:lang w:eastAsia="en-US"/>
    </w:rPr>
    <w:tblPr>
      <w:tblInd w:w="0" w:type="dxa"/>
      <w:tblBorders>
        <w:top w:val="single" w:sz="12" w:space="0" w:color="333399"/>
        <w:bottom w:val="single" w:sz="12" w:space="0" w:color="333399"/>
      </w:tblBorders>
      <w:tblCellMar>
        <w:top w:w="0" w:type="dxa"/>
        <w:left w:w="108" w:type="dxa"/>
        <w:bottom w:w="0" w:type="dxa"/>
        <w:right w:w="108" w:type="dxa"/>
      </w:tblCellMar>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Normal16pc">
    <w:name w:val="Normal+16pc"/>
    <w:basedOn w:val="Normal"/>
    <w:rsid w:val="00073477"/>
    <w:rPr>
      <w:rFonts w:eastAsia="SimSun"/>
      <w:sz w:val="28"/>
      <w:szCs w:val="28"/>
      <w:lang w:eastAsia="ro-RO"/>
    </w:rPr>
  </w:style>
  <w:style w:type="paragraph" w:customStyle="1" w:styleId="DefaultText">
    <w:name w:val="Default Text"/>
    <w:basedOn w:val="Normal"/>
    <w:link w:val="DefaultTextCaracter"/>
    <w:rsid w:val="00073477"/>
    <w:pPr>
      <w:autoSpaceDE w:val="0"/>
      <w:autoSpaceDN w:val="0"/>
      <w:adjustRightInd w:val="0"/>
    </w:pPr>
  </w:style>
  <w:style w:type="character" w:customStyle="1" w:styleId="DefaultTextCaracter">
    <w:name w:val="Default Text Caracter"/>
    <w:link w:val="DefaultText"/>
    <w:locked/>
    <w:rsid w:val="00320196"/>
    <w:rPr>
      <w:sz w:val="24"/>
      <w:szCs w:val="24"/>
      <w:lang w:val="en-US" w:eastAsia="en-US" w:bidi="ar-SA"/>
    </w:rPr>
  </w:style>
  <w:style w:type="paragraph" w:styleId="BodyTextIndent2">
    <w:name w:val="Body Text Indent 2"/>
    <w:basedOn w:val="Normal"/>
    <w:link w:val="BodyTextIndent2Char"/>
    <w:rsid w:val="00073477"/>
    <w:pPr>
      <w:widowControl w:val="0"/>
      <w:spacing w:before="120" w:after="120"/>
      <w:ind w:firstLine="1134"/>
      <w:jc w:val="both"/>
    </w:pPr>
    <w:rPr>
      <w:rFonts w:eastAsia="SimSun"/>
      <w:sz w:val="28"/>
      <w:szCs w:val="28"/>
      <w:lang w:eastAsia="ro-RO"/>
    </w:rPr>
  </w:style>
  <w:style w:type="character" w:customStyle="1" w:styleId="BodyTextIndent2Char">
    <w:name w:val="Body Text Indent 2 Char"/>
    <w:link w:val="BodyTextIndent2"/>
    <w:locked/>
    <w:rsid w:val="007465EA"/>
    <w:rPr>
      <w:rFonts w:cs="Times New Roman"/>
      <w:sz w:val="24"/>
      <w:szCs w:val="24"/>
    </w:rPr>
  </w:style>
  <w:style w:type="paragraph" w:customStyle="1" w:styleId="western">
    <w:name w:val="western"/>
    <w:basedOn w:val="Normal"/>
    <w:rsid w:val="00073477"/>
    <w:pPr>
      <w:spacing w:before="100" w:beforeAutospacing="1"/>
    </w:pPr>
    <w:rPr>
      <w:rFonts w:ascii="Tahoma" w:hAnsi="Tahoma" w:cs="Tahoma"/>
      <w:b/>
      <w:bCs/>
      <w:color w:val="000080"/>
      <w:sz w:val="20"/>
      <w:szCs w:val="20"/>
    </w:rPr>
  </w:style>
  <w:style w:type="paragraph" w:customStyle="1" w:styleId="CaracterCharCharCaracterCharCharCaracterCharCharCaracterCharCharCaracterCharCharCaracterCharCharCaracter">
    <w:name w:val="Caracter Char Char Caracter Char Char Caracter Char Char Caracter Char Char Caracter Char Char Caracter Char Char Caracter"/>
    <w:basedOn w:val="Normal"/>
    <w:rsid w:val="00890925"/>
    <w:rPr>
      <w:lang w:eastAsia="pl-PL"/>
    </w:rPr>
  </w:style>
  <w:style w:type="paragraph" w:customStyle="1" w:styleId="CharCharCaracter1CharCharCaracterCharCharCaracterCharCharCaracterCharCharCaracter">
    <w:name w:val="Char Char Caracter1 Char Char Caracter Char Char Caracter Char Char Caracter Char Char Caracter"/>
    <w:basedOn w:val="Normal"/>
    <w:rsid w:val="007B02E4"/>
    <w:rPr>
      <w:lang w:eastAsia="pl-PL"/>
    </w:rPr>
  </w:style>
  <w:style w:type="paragraph" w:customStyle="1" w:styleId="CaracterCharCharCaracter">
    <w:name w:val="Caracter Char Char Caracter"/>
    <w:basedOn w:val="Normal"/>
    <w:rsid w:val="008B64AC"/>
    <w:rPr>
      <w:lang w:eastAsia="pl-PL"/>
    </w:rPr>
  </w:style>
  <w:style w:type="paragraph" w:customStyle="1" w:styleId="CaracterCharCharCaracterCharCharCaracterCharCharCaracterCharCharCaracterCharCharCaracterCharCharCaracterCharCharCaracter">
    <w:name w:val="Caracter Char Char Caracter Char Char Caracter Char Char Caracter Char Char Caracter Char Char Caracter Char Char Caracter Char Char Caracter"/>
    <w:basedOn w:val="Normal"/>
    <w:rsid w:val="009B06B0"/>
    <w:rPr>
      <w:lang w:eastAsia="pl-PL"/>
    </w:rPr>
  </w:style>
  <w:style w:type="paragraph" w:styleId="BodyText">
    <w:name w:val="Body Text"/>
    <w:aliases w:val="Body Text Char,block style,Standard paragraph,Body,b,bt,body text,body,text,BodyText"/>
    <w:basedOn w:val="Normal"/>
    <w:link w:val="BodyTextChar1"/>
    <w:uiPriority w:val="1"/>
    <w:qFormat/>
    <w:rsid w:val="00FC2C1F"/>
    <w:pPr>
      <w:spacing w:after="120"/>
    </w:pPr>
  </w:style>
  <w:style w:type="character" w:customStyle="1" w:styleId="BodyTextChar1">
    <w:name w:val="Body Text Char1"/>
    <w:aliases w:val="Body Text Char Char1,block style Char,Standard paragraph Char,Body Char,b Char,bt Char,body text Char,body Char,text Char,BodyText Char"/>
    <w:link w:val="BodyText"/>
    <w:locked/>
    <w:rsid w:val="007465EA"/>
    <w:rPr>
      <w:rFonts w:cs="Times New Roman"/>
      <w:sz w:val="24"/>
      <w:szCs w:val="24"/>
    </w:rPr>
  </w:style>
  <w:style w:type="paragraph" w:customStyle="1" w:styleId="CaracterCaracter1">
    <w:name w:val="Caracter Caracter1"/>
    <w:basedOn w:val="Normal"/>
    <w:rsid w:val="00DB273F"/>
    <w:rPr>
      <w:lang w:eastAsia="pl-PL"/>
    </w:rPr>
  </w:style>
  <w:style w:type="paragraph" w:styleId="FootnoteText">
    <w:name w:val="footnote text"/>
    <w:aliases w:val="Footnote,Fußnote,Fußnotentext Char,Podrozdział,Footnote Text Char Char,Footnote Text Char,single space,footnote text,FOOTNOTES,fn,fn Char Char Char,fn Char Char,fn Char,Fußnote Char Char Char,Fußnote Char,Fußnote Char Char Char Char,ADB,ft"/>
    <w:basedOn w:val="Normal"/>
    <w:link w:val="FootnoteTextChar1"/>
    <w:rsid w:val="0017209A"/>
    <w:rPr>
      <w:sz w:val="20"/>
      <w:szCs w:val="20"/>
    </w:rPr>
  </w:style>
  <w:style w:type="character" w:customStyle="1" w:styleId="FootnoteTextChar1">
    <w:name w:val="Footnote Text Char1"/>
    <w:aliases w:val="Footnote Char1,Fußnote Char1,Fußnotentext Char Char,Podrozdział Char,Footnote Text Char Char Char,Footnote Text Char Char1,single space Char,footnote text Char,FOOTNOTES Char,fn Char1,fn Char Char Char Char,fn Char Char Char1,ft Char"/>
    <w:link w:val="FootnoteText"/>
    <w:locked/>
    <w:rsid w:val="008B5C15"/>
    <w:rPr>
      <w:lang w:val="en-US" w:eastAsia="en-US" w:bidi="ar-SA"/>
    </w:rPr>
  </w:style>
  <w:style w:type="character" w:styleId="FootnoteReference">
    <w:name w:val="footnote reference"/>
    <w:aliases w:val=" Char Char Char Char1 Char Char Char Char Char Char Char Char Caracter Caracter Caracter Char, Char Char1 Char Char Char Char Char Char Caracter Char, Char Char1 Char Char Char Char Char Char Caracter Char Char Char Char Char,ftref,fr"/>
    <w:link w:val="CharCharCharChar1CharCharCharCharCharCharCharCharCaracterCaracterCaracter"/>
    <w:uiPriority w:val="99"/>
    <w:qFormat/>
    <w:rsid w:val="0017209A"/>
    <w:rPr>
      <w:vertAlign w:val="superscript"/>
    </w:rPr>
  </w:style>
  <w:style w:type="paragraph" w:customStyle="1" w:styleId="CharCharCharChar1CharCharCharCharCharCharCharCharCaracterCaracterCaracter">
    <w:name w:val="Char Char Char Char1 Char Char Char Char Char Char Char Char Caracter Caracter Caracter"/>
    <w:aliases w:val=" Char Char1 Char Char Char Char Char Char Caracter, Char Char1 Char Char Char Char Char Char Caracter Char Caracter Char Char Caracter"/>
    <w:basedOn w:val="Normal"/>
    <w:next w:val="Normal"/>
    <w:link w:val="FootnoteReference"/>
    <w:uiPriority w:val="99"/>
    <w:rsid w:val="00D215CA"/>
    <w:pPr>
      <w:spacing w:after="160" w:line="240" w:lineRule="exact"/>
    </w:pPr>
    <w:rPr>
      <w:sz w:val="20"/>
      <w:szCs w:val="20"/>
      <w:vertAlign w:val="superscript"/>
      <w:lang w:eastAsia="ro-RO"/>
    </w:rPr>
  </w:style>
  <w:style w:type="character" w:styleId="Hyperlink">
    <w:name w:val="Hyperlink"/>
    <w:rsid w:val="002E3DAF"/>
    <w:rPr>
      <w:color w:val="0000FF"/>
      <w:u w:val="single"/>
    </w:rPr>
  </w:style>
  <w:style w:type="paragraph" w:customStyle="1" w:styleId="CharCharCaracter1CharCharCaracterCharCharCaracterCharCharCaracterCharCharCaracterCharCharCaracterCaracterCaracter">
    <w:name w:val="Char Char Caracter1 Char Char Caracter Char Char Caracter Char Char Caracter Char Char Caracter Char Char Caracter Caracter Caracter"/>
    <w:basedOn w:val="Normal"/>
    <w:rsid w:val="00896D53"/>
    <w:rPr>
      <w:lang w:eastAsia="pl-PL"/>
    </w:rPr>
  </w:style>
  <w:style w:type="paragraph" w:customStyle="1" w:styleId="DefaultTextCaracterCaracterCaracterCaracter">
    <w:name w:val="Default Text Caracter Caracter Caracter Caracter"/>
    <w:basedOn w:val="Normal"/>
    <w:link w:val="DefaultTextCaracterCaracterCaracterCaracterCaracter"/>
    <w:rsid w:val="007104AE"/>
    <w:rPr>
      <w:szCs w:val="20"/>
      <w:lang w:eastAsia="ro-RO"/>
    </w:rPr>
  </w:style>
  <w:style w:type="character" w:customStyle="1" w:styleId="DefaultTextCaracterCaracterCaracterCaracterCaracter">
    <w:name w:val="Default Text Caracter Caracter Caracter Caracter Caracter"/>
    <w:link w:val="DefaultTextCaracterCaracterCaracterCaracter"/>
    <w:rsid w:val="007104AE"/>
    <w:rPr>
      <w:sz w:val="24"/>
      <w:lang w:val="en-US" w:eastAsia="ro-RO" w:bidi="ar-SA"/>
    </w:rPr>
  </w:style>
  <w:style w:type="paragraph" w:customStyle="1" w:styleId="1CaracterCharCharCaracterCharCharCaracterCharCharCaracterCharChar1Caracter">
    <w:name w:val="1 Caracter Char Char Caracter Char Char Caracter Char Char Caracter Char Char1 Caracter"/>
    <w:basedOn w:val="Normal"/>
    <w:rsid w:val="007104AE"/>
    <w:rPr>
      <w:lang w:eastAsia="pl-PL"/>
    </w:rPr>
  </w:style>
  <w:style w:type="paragraph" w:customStyle="1" w:styleId="ParagraphNumbering">
    <w:name w:val="Paragraph Numbering"/>
    <w:basedOn w:val="Normal"/>
    <w:link w:val="ParagraphNumberingChar"/>
    <w:qFormat/>
    <w:rsid w:val="002A4090"/>
    <w:pPr>
      <w:numPr>
        <w:numId w:val="1"/>
      </w:numPr>
      <w:spacing w:after="240" w:line="264" w:lineRule="auto"/>
    </w:pPr>
  </w:style>
  <w:style w:type="character" w:customStyle="1" w:styleId="ParagraphNumberingChar">
    <w:name w:val="Paragraph Numbering Char"/>
    <w:link w:val="ParagraphNumbering"/>
    <w:rsid w:val="002A4090"/>
    <w:rPr>
      <w:sz w:val="24"/>
      <w:szCs w:val="24"/>
      <w:lang w:val="en-US" w:eastAsia="en-US"/>
    </w:rPr>
  </w:style>
  <w:style w:type="paragraph" w:styleId="ListParagraph">
    <w:name w:val="List Paragraph"/>
    <w:aliases w:val="Antes de enumeración,Akapit z listą BS,Outlines a.b.c.,List_Paragraph,Multilevel para_II,Akapit z lista BS,List1,Списък на абзаци,List Paragraph11,body 2,List Paragraph compact,Paragraphe de liste 2,Reference list,Bullet list,Bullet 1,bu"/>
    <w:basedOn w:val="Normal"/>
    <w:link w:val="ListParagraphChar"/>
    <w:uiPriority w:val="1"/>
    <w:qFormat/>
    <w:rsid w:val="00CE107A"/>
    <w:pPr>
      <w:spacing w:line="276" w:lineRule="auto"/>
      <w:ind w:left="720"/>
      <w:contextualSpacing/>
    </w:pPr>
    <w:rPr>
      <w:rFonts w:eastAsia="Calibri"/>
      <w:szCs w:val="22"/>
    </w:rPr>
  </w:style>
  <w:style w:type="character" w:customStyle="1" w:styleId="ListParagraphChar">
    <w:name w:val="List Paragraph Char"/>
    <w:aliases w:val="Antes de enumeración Char1,Akapit z listą BS Char,Outlines a.b.c. Char,List_Paragraph Char,Multilevel para_II Char,Akapit z lista BS Char,List1 Char,Списък на абзаци Char,List Paragraph11 Char,body 2 Char,List Paragraph compact Char"/>
    <w:link w:val="ListParagraph"/>
    <w:uiPriority w:val="1"/>
    <w:qFormat/>
    <w:locked/>
    <w:rsid w:val="00AB2CE1"/>
    <w:rPr>
      <w:rFonts w:eastAsia="Calibri"/>
      <w:sz w:val="24"/>
      <w:szCs w:val="22"/>
      <w:lang w:val="en-US" w:eastAsia="en-US" w:bidi="ar-SA"/>
    </w:rPr>
  </w:style>
  <w:style w:type="paragraph" w:customStyle="1" w:styleId="CaracterCharCharCaracter0">
    <w:name w:val="Caracter Char Char Caracter"/>
    <w:basedOn w:val="Normal"/>
    <w:rsid w:val="001E280D"/>
    <w:rPr>
      <w:lang w:eastAsia="pl-PL"/>
    </w:rPr>
  </w:style>
  <w:style w:type="character" w:customStyle="1" w:styleId="longtext1">
    <w:name w:val="long_text1"/>
    <w:rsid w:val="001E280D"/>
    <w:rPr>
      <w:sz w:val="20"/>
      <w:szCs w:val="20"/>
    </w:rPr>
  </w:style>
  <w:style w:type="paragraph" w:customStyle="1" w:styleId="CaracterCaracter4">
    <w:name w:val="Caracter Caracter4"/>
    <w:basedOn w:val="Normal"/>
    <w:rsid w:val="00D00EBD"/>
    <w:rPr>
      <w:lang w:eastAsia="pl-PL"/>
    </w:rPr>
  </w:style>
  <w:style w:type="paragraph" w:styleId="Header">
    <w:name w:val="header"/>
    <w:basedOn w:val="Normal"/>
    <w:link w:val="HeaderChar"/>
    <w:uiPriority w:val="99"/>
    <w:rsid w:val="00096D35"/>
    <w:pPr>
      <w:tabs>
        <w:tab w:val="center" w:pos="4536"/>
        <w:tab w:val="right" w:pos="9072"/>
      </w:tabs>
      <w:overflowPunct w:val="0"/>
      <w:autoSpaceDE w:val="0"/>
      <w:autoSpaceDN w:val="0"/>
      <w:adjustRightInd w:val="0"/>
      <w:textAlignment w:val="baseline"/>
    </w:pPr>
    <w:rPr>
      <w:szCs w:val="20"/>
    </w:rPr>
  </w:style>
  <w:style w:type="character" w:customStyle="1" w:styleId="search9">
    <w:name w:val="search9"/>
    <w:rsid w:val="002F4004"/>
    <w:rPr>
      <w:rFonts w:ascii="Arial" w:hAnsi="Arial" w:cs="Arial" w:hint="default"/>
      <w:b/>
      <w:bCs/>
      <w:color w:val="0000FF"/>
      <w:sz w:val="21"/>
      <w:szCs w:val="21"/>
    </w:rPr>
  </w:style>
  <w:style w:type="character" w:customStyle="1" w:styleId="med11">
    <w:name w:val="med11"/>
    <w:rsid w:val="002F4004"/>
    <w:rPr>
      <w:sz w:val="21"/>
      <w:szCs w:val="21"/>
    </w:rPr>
  </w:style>
  <w:style w:type="paragraph" w:styleId="NormalWeb">
    <w:name w:val="Normal (Web)"/>
    <w:aliases w:val="Normal (Web) Char Char,Normal (Web) Char"/>
    <w:basedOn w:val="Normal"/>
    <w:link w:val="NormalWebChar1"/>
    <w:uiPriority w:val="99"/>
    <w:qFormat/>
    <w:rsid w:val="002F4004"/>
    <w:pPr>
      <w:spacing w:before="100" w:beforeAutospacing="1" w:after="100" w:afterAutospacing="1"/>
    </w:pPr>
  </w:style>
  <w:style w:type="character" w:customStyle="1" w:styleId="NormalWebChar1">
    <w:name w:val="Normal (Web) Char1"/>
    <w:aliases w:val="Normal (Web) Char Char Char1,Normal (Web) Char Char1"/>
    <w:link w:val="NormalWeb"/>
    <w:locked/>
    <w:rsid w:val="0058286C"/>
    <w:rPr>
      <w:sz w:val="24"/>
      <w:szCs w:val="24"/>
      <w:lang w:val="en-US" w:eastAsia="en-US" w:bidi="ar-SA"/>
    </w:rPr>
  </w:style>
  <w:style w:type="character" w:customStyle="1" w:styleId="def">
    <w:name w:val="def"/>
    <w:basedOn w:val="DefaultParagraphFont"/>
    <w:rsid w:val="002F4004"/>
  </w:style>
  <w:style w:type="paragraph" w:styleId="HTMLAddress">
    <w:name w:val="HTML Address"/>
    <w:basedOn w:val="Normal"/>
    <w:link w:val="HTMLAddressChar"/>
    <w:rsid w:val="002F4004"/>
    <w:rPr>
      <w:i/>
      <w:iCs/>
    </w:rPr>
  </w:style>
  <w:style w:type="paragraph" w:customStyle="1" w:styleId="CharCharCaracter1CharCharCaracterCharCharCaracterCharCharCaracterCharCharCaracter0">
    <w:name w:val="Char Char Caracter1 Char Char Caracter Char Char Caracter Char Char Caracter Char Char Caracter"/>
    <w:basedOn w:val="Normal"/>
    <w:rsid w:val="00DC571A"/>
    <w:rPr>
      <w:lang w:eastAsia="pl-PL"/>
    </w:rPr>
  </w:style>
  <w:style w:type="paragraph" w:customStyle="1" w:styleId="Char">
    <w:name w:val="Char"/>
    <w:basedOn w:val="Normal"/>
    <w:rsid w:val="00E04691"/>
    <w:rPr>
      <w:lang w:eastAsia="pl-PL"/>
    </w:rPr>
  </w:style>
  <w:style w:type="paragraph" w:styleId="BodyText2">
    <w:name w:val="Body Text 2"/>
    <w:aliases w:val="Body Text Numbered Char Char,Body Text Numbered Char,Body Text Numbered"/>
    <w:basedOn w:val="Normal"/>
    <w:link w:val="BodyText2Char"/>
    <w:rsid w:val="00B14C00"/>
    <w:pPr>
      <w:spacing w:after="120" w:line="480" w:lineRule="auto"/>
    </w:pPr>
  </w:style>
  <w:style w:type="character" w:customStyle="1" w:styleId="BodyText2Char">
    <w:name w:val="Body Text 2 Char"/>
    <w:aliases w:val="Body Text Numbered Char Char Char1,Body Text Numbered Char Char1,Body Text Numbered Char1"/>
    <w:link w:val="BodyText2"/>
    <w:rsid w:val="0058286C"/>
    <w:rPr>
      <w:sz w:val="24"/>
      <w:szCs w:val="24"/>
      <w:lang w:val="en-US" w:eastAsia="en-US" w:bidi="ar-SA"/>
    </w:rPr>
  </w:style>
  <w:style w:type="paragraph" w:customStyle="1" w:styleId="CharCharCaracter1CharCharCaracterCharCharCaracterCharCharCaracterCharCharCaracterCharCharCaracterCaracterCaracterCharChar">
    <w:name w:val="Char Char Caracter1 Char Char Caracter Char Char Caracter Char Char Caracter Char Char Caracter Char Char Caracter Caracter Caracter Char Char"/>
    <w:basedOn w:val="Normal"/>
    <w:rsid w:val="00195488"/>
    <w:rPr>
      <w:lang w:eastAsia="pl-PL"/>
    </w:rPr>
  </w:style>
  <w:style w:type="character" w:customStyle="1" w:styleId="CharChar4">
    <w:name w:val="Char Char4"/>
    <w:rsid w:val="003B776A"/>
    <w:rPr>
      <w:rFonts w:ascii="Calibri" w:hAnsi="Calibri"/>
      <w:sz w:val="24"/>
      <w:szCs w:val="24"/>
      <w:lang w:val="en-US" w:eastAsia="en-US" w:bidi="ar-SA"/>
    </w:rPr>
  </w:style>
  <w:style w:type="paragraph" w:customStyle="1" w:styleId="CaracterCaracter0">
    <w:name w:val="Caracter Caracter"/>
    <w:basedOn w:val="Normal"/>
    <w:rsid w:val="00B01C8B"/>
    <w:rPr>
      <w:lang w:eastAsia="pl-PL"/>
    </w:rPr>
  </w:style>
  <w:style w:type="character" w:styleId="CommentReference">
    <w:name w:val="annotation reference"/>
    <w:rsid w:val="00236AA3"/>
    <w:rPr>
      <w:sz w:val="16"/>
      <w:szCs w:val="16"/>
    </w:rPr>
  </w:style>
  <w:style w:type="paragraph" w:styleId="CommentText">
    <w:name w:val="annotation text"/>
    <w:basedOn w:val="Normal"/>
    <w:link w:val="CommentTextChar"/>
    <w:rsid w:val="00236AA3"/>
    <w:rPr>
      <w:sz w:val="20"/>
      <w:szCs w:val="20"/>
    </w:rPr>
  </w:style>
  <w:style w:type="paragraph" w:styleId="CommentSubject">
    <w:name w:val="annotation subject"/>
    <w:basedOn w:val="CommentText"/>
    <w:next w:val="CommentText"/>
    <w:link w:val="CommentSubjectChar"/>
    <w:rsid w:val="00236AA3"/>
    <w:rPr>
      <w:b/>
      <w:bCs/>
    </w:rPr>
  </w:style>
  <w:style w:type="paragraph" w:styleId="BalloonText">
    <w:name w:val="Balloon Text"/>
    <w:basedOn w:val="Normal"/>
    <w:rsid w:val="00236AA3"/>
    <w:rPr>
      <w:rFonts w:ascii="Tahoma" w:hAnsi="Tahoma" w:cs="Tahoma"/>
      <w:sz w:val="16"/>
      <w:szCs w:val="16"/>
    </w:rPr>
  </w:style>
  <w:style w:type="paragraph" w:customStyle="1" w:styleId="CaracterCaracter5CharCharCaracterCaracterCharCharCaracterCaracterCharCharCaracterCaracterCharChar">
    <w:name w:val="Caracter Caracter5 Char Char Caracter Caracter Char Char Caracter Caracter Char Char Caracter Caracter Char Char"/>
    <w:basedOn w:val="Normal"/>
    <w:rsid w:val="00485DB0"/>
    <w:rPr>
      <w:lang w:eastAsia="pl-PL"/>
    </w:rPr>
  </w:style>
  <w:style w:type="paragraph" w:customStyle="1" w:styleId="CaracterCharCharCaracterCharCharCaracter">
    <w:name w:val="Caracter Char Char Caracter Char Char Caracter"/>
    <w:basedOn w:val="Normal"/>
    <w:rsid w:val="00E160D4"/>
    <w:rPr>
      <w:lang w:eastAsia="pl-PL"/>
    </w:rPr>
  </w:style>
  <w:style w:type="paragraph" w:customStyle="1" w:styleId="CaracterCaracter5CharCharCaracterCaracterCharCharCaracterCaracterCharCharCaracterCaracterCharCharCaracterCaracterCharCharCaracterCaracterCharCharCaracterCaracter">
    <w:name w:val="Caracter Caracter5 Char Char Caracter Caracter Char Char Caracter Caracter Char Char Caracter Caracter Char Char Caracter Caracter Char Char Caracter Caracter Char Char Caracter Caracter"/>
    <w:basedOn w:val="Normal"/>
    <w:rsid w:val="007304B5"/>
    <w:rPr>
      <w:lang w:eastAsia="pl-PL"/>
    </w:rPr>
  </w:style>
  <w:style w:type="paragraph" w:customStyle="1" w:styleId="CaracterCaracter5CharCharCaracterCaracterCharCharCaracterCaracter">
    <w:name w:val="Caracter Caracter5 Char Char Caracter Caracter Char Char Caracter Caracter"/>
    <w:basedOn w:val="Normal"/>
    <w:rsid w:val="007304B5"/>
    <w:rPr>
      <w:lang w:eastAsia="pl-PL"/>
    </w:rPr>
  </w:style>
  <w:style w:type="paragraph" w:customStyle="1" w:styleId="CaracterCaracter5CharCharCaracterCaracterCharCharCaracterCaracterCharChar">
    <w:name w:val="Caracter Caracter5 Char Char Caracter Caracter Char Char Caracter Caracter Char Char"/>
    <w:basedOn w:val="Normal"/>
    <w:rsid w:val="007304B5"/>
    <w:rPr>
      <w:lang w:eastAsia="pl-PL"/>
    </w:rPr>
  </w:style>
  <w:style w:type="paragraph" w:customStyle="1" w:styleId="CharCharCharChar">
    <w:name w:val="Char Char Char Char"/>
    <w:basedOn w:val="Normal"/>
    <w:rsid w:val="007304B5"/>
    <w:rPr>
      <w:lang w:eastAsia="pl-PL"/>
    </w:rPr>
  </w:style>
  <w:style w:type="paragraph" w:customStyle="1" w:styleId="CaracterCaracter10">
    <w:name w:val="Caracter Caracter1"/>
    <w:basedOn w:val="Normal"/>
    <w:rsid w:val="00B1307C"/>
    <w:rPr>
      <w:lang w:eastAsia="pl-PL"/>
    </w:rPr>
  </w:style>
  <w:style w:type="paragraph" w:customStyle="1" w:styleId="CaracterCaracter5CharCharCaracterCaracterCharCharCaracterCaracterCharCharCaracterCaracter">
    <w:name w:val="Caracter Caracter5 Char Char Caracter Caracter Char Char Caracter Caracter Char Char Caracter Caracter"/>
    <w:basedOn w:val="Normal"/>
    <w:rsid w:val="005D483C"/>
    <w:rPr>
      <w:lang w:eastAsia="pl-PL"/>
    </w:rPr>
  </w:style>
  <w:style w:type="paragraph" w:customStyle="1" w:styleId="CharCharCaracter1CharCharCaracterCharCharCaracterCharCharCaracterCharCharCaracterCharCharCaracter">
    <w:name w:val="Char Char Caracter1 Char Char Caracter Char Char Caracter Char Char Caracter Char Char Caracter Char Char Caracter"/>
    <w:basedOn w:val="Normal"/>
    <w:rsid w:val="002064B2"/>
    <w:rPr>
      <w:lang w:eastAsia="pl-PL"/>
    </w:rPr>
  </w:style>
  <w:style w:type="paragraph" w:customStyle="1" w:styleId="CaracterCaracter5CharCharCaracterCaracterCharCharCaracterCaracterCharCharCaracterCaracterCharCharCaracterCaracterCharCharCaracterCaracterCharCharCaracterCaracterCharCharCaracterCaracter">
    <w:name w:val="Caracter Caracter5 Char Char Caracter Caracter Char Char Caracter Caracter Char Char Caracter Caracter Char Char Caracter Caracter Char Char Caracter Caracter Char Char Caracter Caracter Char Char Caracter Caracter"/>
    <w:basedOn w:val="Normal"/>
    <w:rsid w:val="00D60582"/>
    <w:rPr>
      <w:lang w:eastAsia="pl-PL"/>
    </w:rPr>
  </w:style>
  <w:style w:type="character" w:styleId="Strong">
    <w:name w:val="Strong"/>
    <w:qFormat/>
    <w:locked/>
    <w:rsid w:val="00D60582"/>
    <w:rPr>
      <w:b/>
      <w:bCs/>
    </w:rPr>
  </w:style>
  <w:style w:type="character" w:styleId="FollowedHyperlink">
    <w:name w:val="FollowedHyperlink"/>
    <w:rsid w:val="000E0FB3"/>
    <w:rPr>
      <w:color w:val="800080"/>
      <w:u w:val="single"/>
    </w:rPr>
  </w:style>
  <w:style w:type="character" w:customStyle="1" w:styleId="CharChar5">
    <w:name w:val="Char Char5"/>
    <w:locked/>
    <w:rsid w:val="000E0FB3"/>
    <w:rPr>
      <w:rFonts w:ascii="Calibri" w:hAnsi="Calibri"/>
      <w:sz w:val="24"/>
      <w:szCs w:val="24"/>
      <w:lang w:val="en-US" w:eastAsia="en-US" w:bidi="ar-SA"/>
    </w:rPr>
  </w:style>
  <w:style w:type="character" w:customStyle="1" w:styleId="CharChar2">
    <w:name w:val="Char Char2"/>
    <w:locked/>
    <w:rsid w:val="000E0FB3"/>
    <w:rPr>
      <w:rFonts w:ascii="Garamond" w:hAnsi="Garamond" w:cs="Garamond"/>
      <w:sz w:val="24"/>
      <w:szCs w:val="24"/>
      <w:lang w:val="en-US" w:eastAsia="ro-RO" w:bidi="ar-SA"/>
    </w:rPr>
  </w:style>
  <w:style w:type="character" w:customStyle="1" w:styleId="CharChar">
    <w:name w:val="Char Char"/>
    <w:semiHidden/>
    <w:locked/>
    <w:rsid w:val="000E0FB3"/>
    <w:rPr>
      <w:sz w:val="24"/>
      <w:szCs w:val="24"/>
      <w:lang w:val="en-US" w:eastAsia="en-US" w:bidi="ar-SA"/>
    </w:rPr>
  </w:style>
  <w:style w:type="character" w:customStyle="1" w:styleId="CharChar1">
    <w:name w:val="Char Char1"/>
    <w:semiHidden/>
    <w:locked/>
    <w:rsid w:val="000E0FB3"/>
    <w:rPr>
      <w:rFonts w:ascii="SimSun" w:eastAsia="SimSun"/>
      <w:sz w:val="28"/>
      <w:szCs w:val="28"/>
      <w:lang w:val="en-US" w:eastAsia="ro-RO" w:bidi="ar-SA"/>
    </w:rPr>
  </w:style>
  <w:style w:type="paragraph" w:customStyle="1" w:styleId="CharCharCaracter1CharCharCaracterCharCharCaracterCharCharCaracterCharCharCaracterCharCharCaracterCaracterCaracter0">
    <w:name w:val="Char Char Caracter1 Char Char Caracter Char Char Caracter Char Char Caracter Char Char Caracter Char Char Caracter Caracter Caracter"/>
    <w:basedOn w:val="Normal"/>
    <w:rsid w:val="000E0FB3"/>
    <w:rPr>
      <w:lang w:eastAsia="pl-PL"/>
    </w:rPr>
  </w:style>
  <w:style w:type="paragraph" w:customStyle="1" w:styleId="CaracterCaracter40">
    <w:name w:val="Caracter Caracter4"/>
    <w:basedOn w:val="Normal"/>
    <w:rsid w:val="000E0FB3"/>
    <w:rPr>
      <w:lang w:eastAsia="pl-PL"/>
    </w:rPr>
  </w:style>
  <w:style w:type="paragraph" w:customStyle="1" w:styleId="Char0">
    <w:name w:val="Char"/>
    <w:basedOn w:val="Normal"/>
    <w:rsid w:val="000E0FB3"/>
    <w:rPr>
      <w:lang w:eastAsia="pl-PL"/>
    </w:rPr>
  </w:style>
  <w:style w:type="paragraph" w:customStyle="1" w:styleId="CharCharCaracter1CharCharCaracterCharCharCaracterCharCharCaracterCharCharCaracterCharCharCaracterCaracterCaracterCharChar0">
    <w:name w:val="Char Char Caracter1 Char Char Caracter Char Char Caracter Char Char Caracter Char Char Caracter Char Char Caracter Caracter Caracter Char Char"/>
    <w:basedOn w:val="Normal"/>
    <w:rsid w:val="000E0FB3"/>
    <w:rPr>
      <w:lang w:eastAsia="pl-PL"/>
    </w:rPr>
  </w:style>
  <w:style w:type="paragraph" w:customStyle="1" w:styleId="CaracterCaracter5CharCharCaracterCaracterCharCharCaracterCaracter0">
    <w:name w:val="Caracter Caracter5 Char Char Caracter Caracter Char Char Caracter Caracter"/>
    <w:basedOn w:val="Normal"/>
    <w:rsid w:val="000E0FB3"/>
    <w:rPr>
      <w:lang w:eastAsia="pl-PL"/>
    </w:rPr>
  </w:style>
  <w:style w:type="paragraph" w:customStyle="1" w:styleId="CaracterCaracter5CharCharCaracterCaracterCharCharCaracterCaracterCharChar0">
    <w:name w:val="Caracter Caracter5 Char Char Caracter Caracter Char Char Caracter Caracter Char Char"/>
    <w:basedOn w:val="Normal"/>
    <w:rsid w:val="000E0FB3"/>
    <w:rPr>
      <w:lang w:eastAsia="pl-PL"/>
    </w:rPr>
  </w:style>
  <w:style w:type="paragraph" w:customStyle="1" w:styleId="CaracterCaracter5CharCharCaracterCaracterCharCharCaracterCaracterCharCharCaracterCaracter0">
    <w:name w:val="Caracter Caracter5 Char Char Caracter Caracter Char Char Caracter Caracter Char Char Caracter Caracter"/>
    <w:basedOn w:val="Normal"/>
    <w:rsid w:val="000E0FB3"/>
    <w:rPr>
      <w:lang w:eastAsia="pl-PL"/>
    </w:rPr>
  </w:style>
  <w:style w:type="paragraph" w:customStyle="1" w:styleId="CharCharCharChar0">
    <w:name w:val="Char Char Char Char"/>
    <w:basedOn w:val="Normal"/>
    <w:rsid w:val="000E0FB3"/>
    <w:rPr>
      <w:lang w:eastAsia="pl-PL"/>
    </w:rPr>
  </w:style>
  <w:style w:type="paragraph" w:customStyle="1" w:styleId="CaracterCaracter5CharCharCaracterCaracterCharCharCaracterCaracterCharCharCaracterCaracterCharChar1CaracterCaracterCharChar">
    <w:name w:val="Caracter Caracter5 Char Char Caracter Caracter Char Char Caracter Caracter Char Char Caracter Caracter Char Char1 Caracter Caracter Char Char"/>
    <w:basedOn w:val="Normal"/>
    <w:rsid w:val="000E0FB3"/>
    <w:rPr>
      <w:lang w:eastAsia="pl-PL"/>
    </w:rPr>
  </w:style>
  <w:style w:type="paragraph" w:customStyle="1" w:styleId="CaracterCaracter5CharCharCaracterCaracterCharCharCaracterCaracterCharCharCaracterCaracterCharChar1CaracterCaracter">
    <w:name w:val="Caracter Caracter5 Char Char Caracter Caracter Char Char Caracter Caracter Char Char Caracter Caracter Char Char1 Caracter Caracter"/>
    <w:basedOn w:val="Normal"/>
    <w:rsid w:val="000E0FB3"/>
    <w:rPr>
      <w:lang w:eastAsia="pl-PL"/>
    </w:rPr>
  </w:style>
  <w:style w:type="paragraph" w:customStyle="1" w:styleId="CaracterCaracter5CharCharCaracterCaracterCharCharCaracterCaracterCharCharCaracterCaracterCharCharCaracterCaracterCharCharCaracterCaracterCharCharCaracterCaracterCharCharCaracterCaracter0">
    <w:name w:val="Caracter Caracter5 Char Char Caracter Caracter Char Char Caracter Caracter Char Char Caracter Caracter Char Char Caracter Caracter Char Char Caracter Caracter Char Char Caracter Caracter Char Char Caracter Caracter"/>
    <w:basedOn w:val="Normal"/>
    <w:rsid w:val="000E0FB3"/>
    <w:rPr>
      <w:lang w:eastAsia="pl-PL"/>
    </w:rPr>
  </w:style>
  <w:style w:type="character" w:customStyle="1" w:styleId="CharChar40">
    <w:name w:val="Char Char4"/>
    <w:rsid w:val="000E0FB3"/>
    <w:rPr>
      <w:rFonts w:ascii="Calibri" w:hAnsi="Calibri" w:hint="default"/>
      <w:sz w:val="24"/>
      <w:szCs w:val="24"/>
      <w:lang w:val="en-US" w:eastAsia="en-US" w:bidi="ar-SA"/>
    </w:rPr>
  </w:style>
  <w:style w:type="paragraph" w:customStyle="1" w:styleId="Listparagraf">
    <w:name w:val="Listă paragraf"/>
    <w:basedOn w:val="Normal"/>
    <w:link w:val="ListparagrafCaracter"/>
    <w:qFormat/>
    <w:rsid w:val="00EF5A90"/>
    <w:pPr>
      <w:widowControl w:val="0"/>
      <w:autoSpaceDE w:val="0"/>
      <w:autoSpaceDN w:val="0"/>
      <w:adjustRightInd w:val="0"/>
      <w:ind w:left="720"/>
      <w:contextualSpacing/>
    </w:pPr>
    <w:rPr>
      <w:rFonts w:ascii="Arial" w:hAnsi="Arial" w:cs="Arial"/>
      <w:sz w:val="20"/>
      <w:szCs w:val="20"/>
      <w:lang w:eastAsia="ro-RO"/>
    </w:rPr>
  </w:style>
  <w:style w:type="paragraph" w:customStyle="1" w:styleId="CaracterCaracter5CharCharCaracterCaracterCharCharCaracterCaracterCharCharCaracterCaracterCharChar1CaracterCaracter0">
    <w:name w:val="Caracter Caracter5 Char Char Caracter Caracter Char Char Caracter Caracter Char Char Caracter Caracter Char Char1 Caracter Caracter"/>
    <w:basedOn w:val="Normal"/>
    <w:rsid w:val="001E6F1A"/>
    <w:rPr>
      <w:lang w:eastAsia="pl-PL"/>
    </w:rPr>
  </w:style>
  <w:style w:type="paragraph" w:customStyle="1" w:styleId="CaracterCaracterCharCharCaracterCaracterCharCharCaracterCaracterCaracterCaracterCaracter">
    <w:name w:val="Caracter Caracter Char Char Caracter Caracter Char Char Caracter Caracter Caracter Caracter Caracter"/>
    <w:basedOn w:val="Normal"/>
    <w:rsid w:val="0089531D"/>
    <w:pPr>
      <w:spacing w:after="160" w:line="240" w:lineRule="exact"/>
    </w:pPr>
    <w:rPr>
      <w:rFonts w:ascii="Tahoma" w:hAnsi="Tahoma"/>
      <w:sz w:val="20"/>
      <w:szCs w:val="20"/>
    </w:rPr>
  </w:style>
  <w:style w:type="paragraph" w:customStyle="1" w:styleId="CaracterCaracter5CharCharCaracterCaracterCharCharCaracterCaracterCharCharCaracterCaracterCharChar1CaracterCaracterCharCharCaracterCaracterCharCharCaracterCaracter">
    <w:name w:val="Caracter Caracter5 Char Char Caracter Caracter Char Char Caracter Caracter Char Char Caracter Caracter Char Char1 Caracter Caracter Char Char Caracter Caracter Char Char Caracter Caracter"/>
    <w:basedOn w:val="Normal"/>
    <w:rsid w:val="00BD044B"/>
    <w:rPr>
      <w:lang w:eastAsia="pl-PL"/>
    </w:rPr>
  </w:style>
  <w:style w:type="paragraph" w:customStyle="1" w:styleId="CaracterCaracter2CharCharCaracterCaracterCharCharCaracterCaracterCharCharCaracterCaracterCharCharCaracterCaracterCharCharCaracterCaracterCharCharCaracterCaracterCharCharCaracterCaracter">
    <w:name w:val="Caracter Caracter2 Char Char Caracter Caracter Char Char Caracter Caracter Char Char Caracter Caracter Char Char Caracter Caracter Char Char Caracter Caracter Char Char Caracter Caracter Char Char Caracter Caracter"/>
    <w:basedOn w:val="Normal"/>
    <w:rsid w:val="00850B93"/>
    <w:rPr>
      <w:lang w:eastAsia="pl-PL"/>
    </w:rPr>
  </w:style>
  <w:style w:type="paragraph" w:styleId="EndnoteText">
    <w:name w:val="endnote text"/>
    <w:basedOn w:val="Normal"/>
    <w:link w:val="EndnoteTextChar"/>
    <w:rsid w:val="004C4F68"/>
    <w:rPr>
      <w:sz w:val="20"/>
      <w:szCs w:val="20"/>
    </w:rPr>
  </w:style>
  <w:style w:type="character" w:styleId="EndnoteReference">
    <w:name w:val="endnote reference"/>
    <w:rsid w:val="004C4F68"/>
    <w:rPr>
      <w:vertAlign w:val="superscript"/>
    </w:rPr>
  </w:style>
  <w:style w:type="paragraph" w:customStyle="1" w:styleId="CaracterCaracter1CharChar1CaracterCaracter">
    <w:name w:val="Caracter Caracter1 Char Char1 Caracter Caracter"/>
    <w:basedOn w:val="Normal"/>
    <w:rsid w:val="008A6373"/>
    <w:rPr>
      <w:lang w:eastAsia="pl-PL"/>
    </w:rPr>
  </w:style>
  <w:style w:type="paragraph" w:customStyle="1" w:styleId="Default">
    <w:name w:val="Default"/>
    <w:rsid w:val="008A6373"/>
    <w:pPr>
      <w:autoSpaceDE w:val="0"/>
      <w:autoSpaceDN w:val="0"/>
      <w:adjustRightInd w:val="0"/>
    </w:pPr>
    <w:rPr>
      <w:color w:val="000000"/>
      <w:sz w:val="24"/>
      <w:szCs w:val="24"/>
      <w:lang w:eastAsia="en-US"/>
    </w:rPr>
  </w:style>
  <w:style w:type="paragraph" w:customStyle="1" w:styleId="DefaultText1">
    <w:name w:val="Default Text:1"/>
    <w:basedOn w:val="Normal"/>
    <w:rsid w:val="00D76986"/>
    <w:rPr>
      <w:snapToGrid w:val="0"/>
      <w:szCs w:val="20"/>
    </w:rPr>
  </w:style>
  <w:style w:type="paragraph" w:styleId="ListBullet">
    <w:name w:val="List Bullet"/>
    <w:aliases w:val="List Bullet Char1,List Bullet Char Char, Char Char Char,Char Char Char"/>
    <w:basedOn w:val="Normal"/>
    <w:rsid w:val="003F3B1B"/>
    <w:pPr>
      <w:numPr>
        <w:numId w:val="2"/>
      </w:numPr>
      <w:spacing w:after="240" w:line="264" w:lineRule="auto"/>
    </w:pPr>
  </w:style>
  <w:style w:type="paragraph" w:customStyle="1" w:styleId="CharCharCaracterCaracter">
    <w:name w:val="Char Char Caracter Caracter"/>
    <w:basedOn w:val="Normal"/>
    <w:rsid w:val="00CE3278"/>
    <w:rPr>
      <w:lang w:eastAsia="pl-PL"/>
    </w:rPr>
  </w:style>
  <w:style w:type="paragraph" w:customStyle="1" w:styleId="Char3CharCharChar">
    <w:name w:val="Char3 Char Char Char"/>
    <w:basedOn w:val="Normal"/>
    <w:rsid w:val="00A10F44"/>
    <w:rPr>
      <w:lang w:eastAsia="pl-PL"/>
    </w:rPr>
  </w:style>
  <w:style w:type="paragraph" w:customStyle="1" w:styleId="CaracterCaracter5CharCharCaracterCaracterCharCharCaracterCaracterCharCharCaracterCaracterCharChar1CaracterCaracterCharCharCaracterCaracterCharCharCaracterCaracterCharCharCaracterCaracter">
    <w:name w:val="Caracter Caracter5 Char Char Caracter Caracter Char Char Caracter Caracter Char Char Caracter Caracter Char Char1 Caracter Caracter Char Char Caracter Caracter Char Char Caracter Caracter Char Char Caracter Caracter"/>
    <w:basedOn w:val="Normal"/>
    <w:rsid w:val="008E0234"/>
    <w:rPr>
      <w:lang w:eastAsia="pl-PL"/>
    </w:rPr>
  </w:style>
  <w:style w:type="paragraph" w:styleId="NoSpacing">
    <w:name w:val="No Spacing"/>
    <w:link w:val="NoSpacingChar"/>
    <w:qFormat/>
    <w:rsid w:val="008E0234"/>
    <w:rPr>
      <w:sz w:val="24"/>
      <w:szCs w:val="24"/>
    </w:rPr>
  </w:style>
  <w:style w:type="paragraph" w:customStyle="1" w:styleId="CaracterCaracterCharChar1CaracterCaracterCharCharCaracterCaracter">
    <w:name w:val="Caracter Caracter Char Char1 Caracter Caracter Char Char Caracter Caracter"/>
    <w:basedOn w:val="Normal"/>
    <w:rsid w:val="005C380A"/>
    <w:pPr>
      <w:spacing w:after="160" w:line="240" w:lineRule="exact"/>
    </w:pPr>
    <w:rPr>
      <w:rFonts w:ascii="Tahoma" w:hAnsi="Tahoma"/>
      <w:sz w:val="20"/>
      <w:szCs w:val="20"/>
    </w:rPr>
  </w:style>
  <w:style w:type="paragraph" w:styleId="BodyTextIndent">
    <w:name w:val="Body Text Indent"/>
    <w:basedOn w:val="Normal"/>
    <w:link w:val="BodyTextIndentChar"/>
    <w:rsid w:val="00C75117"/>
    <w:pPr>
      <w:spacing w:after="120"/>
      <w:ind w:left="360"/>
    </w:pPr>
  </w:style>
  <w:style w:type="character" w:customStyle="1" w:styleId="Indrumare">
    <w:name w:val="Indrumare"/>
    <w:rsid w:val="00C75117"/>
    <w:rPr>
      <w:i/>
      <w:iCs/>
      <w:color w:val="333399"/>
    </w:rPr>
  </w:style>
  <w:style w:type="paragraph" w:customStyle="1" w:styleId="CaracterCaracter5CharCharCaracterCaracterCharCharCaracterCaracterCharCharCaracterCaracterCharChar1CaracterCaracterCharCharCaracterCaracter">
    <w:name w:val="Caracter Caracter5 Char Char Caracter Caracter Char Char Caracter Caracter Char Char Caracter Caracter Char Char1 Caracter Caracter Char Char Caracter Caracter"/>
    <w:basedOn w:val="Normal"/>
    <w:rsid w:val="003B7F87"/>
    <w:rPr>
      <w:lang w:eastAsia="pl-PL"/>
    </w:rPr>
  </w:style>
  <w:style w:type="character" w:customStyle="1" w:styleId="apple-style-span">
    <w:name w:val="apple-style-span"/>
    <w:basedOn w:val="DefaultParagraphFont"/>
    <w:rsid w:val="00C95FDD"/>
  </w:style>
  <w:style w:type="character" w:styleId="Emphasis">
    <w:name w:val="Emphasis"/>
    <w:uiPriority w:val="20"/>
    <w:qFormat/>
    <w:rsid w:val="00C95FDD"/>
    <w:rPr>
      <w:i/>
      <w:iCs/>
    </w:rPr>
  </w:style>
  <w:style w:type="paragraph" w:customStyle="1" w:styleId="CaracterCaracter5CharCharCaracterCaracterCharCharCaracterCaracterCharCharCaracterCaracterCharChar1CaracterCaracterCharCharCaracterCaracterCharCharCaracterCaracterCharChar">
    <w:name w:val="Caracter Caracter5 Char Char Caracter Caracter Char Char Caracter Caracter Char Char Caracter Caracter Char Char1 Caracter Caracter Char Char Caracter Caracter Char Char Caracter Caracter Char Char"/>
    <w:basedOn w:val="Normal"/>
    <w:rsid w:val="004D64C9"/>
    <w:rPr>
      <w:lang w:eastAsia="pl-PL"/>
    </w:rPr>
  </w:style>
  <w:style w:type="paragraph" w:customStyle="1" w:styleId="CaracterCaracter5CharCharCaracterCaracterCharCharCaracterCaracterCharCharCaracterCaracterCharChar1CaracterCaracterCharCharCaracterCaracterCharCharCaracterCaracter0">
    <w:name w:val="Caracter Caracter5 Char Char Caracter Caracter Char Char Caracter Caracter Char Char Caracter Caracter Char Char1 Caracter Caracter Char Char Caracter Caracter Char Char Caracter Caracter"/>
    <w:basedOn w:val="Normal"/>
    <w:rsid w:val="004F7100"/>
    <w:rPr>
      <w:lang w:eastAsia="pl-PL"/>
    </w:rPr>
  </w:style>
  <w:style w:type="paragraph" w:customStyle="1" w:styleId="CharChar3CaracterCaracterCharCharCaracterCaracter">
    <w:name w:val="Char Char3 Caracter Caracter Char Char Caracter Caracter"/>
    <w:basedOn w:val="Normal"/>
    <w:rsid w:val="00E60A77"/>
    <w:rPr>
      <w:lang w:eastAsia="pl-PL"/>
    </w:rPr>
  </w:style>
  <w:style w:type="paragraph" w:customStyle="1" w:styleId="CharCharCharCharCharCharCaracterCaracterCharCharCharCaracterCaracterCharCharCaracterCaracterCharCharCharCaracterCaracter">
    <w:name w:val="Char Char Char Char Char Char Caracter Caracter Char Char Char Caracter Caracter Char Char Caracter Caracter Char Char Char Caracter Caracter"/>
    <w:basedOn w:val="Normal"/>
    <w:rsid w:val="0070612D"/>
    <w:pPr>
      <w:widowControl w:val="0"/>
      <w:tabs>
        <w:tab w:val="left" w:pos="2160"/>
      </w:tabs>
      <w:adjustRightInd w:val="0"/>
      <w:spacing w:before="120" w:after="160" w:line="240" w:lineRule="exact"/>
      <w:jc w:val="both"/>
    </w:pPr>
    <w:rPr>
      <w:rFonts w:ascii="Bookman Old Style" w:hAnsi="Bookman Old Style" w:cs="Bookman Old Style"/>
      <w:kern w:val="24"/>
      <w:sz w:val="20"/>
      <w:szCs w:val="20"/>
    </w:rPr>
  </w:style>
  <w:style w:type="paragraph" w:customStyle="1" w:styleId="CharChar3CaracterCaracter">
    <w:name w:val="Char Char3 Caracter Caracter"/>
    <w:basedOn w:val="Normal"/>
    <w:rsid w:val="00702471"/>
    <w:rPr>
      <w:lang w:eastAsia="pl-PL"/>
    </w:rPr>
  </w:style>
  <w:style w:type="paragraph" w:customStyle="1" w:styleId="CharChar3CaracterCaracterCharCharCaracterCaracter1">
    <w:name w:val="Char Char3 Caracter Caracter Char Char Caracter Caracter1"/>
    <w:basedOn w:val="Normal"/>
    <w:rsid w:val="00BF2294"/>
    <w:rPr>
      <w:lang w:eastAsia="pl-PL"/>
    </w:rPr>
  </w:style>
  <w:style w:type="character" w:customStyle="1" w:styleId="gt-icon-text1">
    <w:name w:val="gt-icon-text1"/>
    <w:basedOn w:val="DefaultParagraphFont"/>
    <w:rsid w:val="00A63DC9"/>
  </w:style>
  <w:style w:type="paragraph" w:customStyle="1" w:styleId="CharChar3CaracterCaracterCharCharCaracterCaracter1CharCharCaracterCaracterCharCharCaracterCaracter">
    <w:name w:val="Char Char3 Caracter Caracter Char Char Caracter Caracter1 Char Char Caracter Caracter Char Char Caracter Caracter"/>
    <w:basedOn w:val="Normal"/>
    <w:rsid w:val="003C33EF"/>
    <w:rPr>
      <w:lang w:eastAsia="pl-PL"/>
    </w:rPr>
  </w:style>
  <w:style w:type="character" w:customStyle="1" w:styleId="FontStyle23">
    <w:name w:val="Font Style23"/>
    <w:rsid w:val="00965CCC"/>
    <w:rPr>
      <w:rFonts w:ascii="Times New Roman" w:hAnsi="Times New Roman" w:cs="Times New Roman"/>
      <w:b/>
      <w:bCs/>
      <w:sz w:val="24"/>
      <w:szCs w:val="24"/>
    </w:rPr>
  </w:style>
  <w:style w:type="paragraph" w:customStyle="1" w:styleId="CharChar3CaracterCaracterCharCharCaracterCaracter1CharCharCaracterCaracter">
    <w:name w:val="Char Char3 Caracter Caracter Char Char Caracter Caracter1 Char Char Caracter Caracter"/>
    <w:basedOn w:val="Normal"/>
    <w:rsid w:val="00634A3E"/>
    <w:rPr>
      <w:lang w:eastAsia="pl-PL"/>
    </w:rPr>
  </w:style>
  <w:style w:type="paragraph" w:customStyle="1" w:styleId="CaracterCaracter1Caracter">
    <w:name w:val="Caracter Caracter1 Caracter"/>
    <w:basedOn w:val="Normal"/>
    <w:rsid w:val="00D01DFF"/>
    <w:rPr>
      <w:lang w:eastAsia="pl-PL"/>
    </w:rPr>
  </w:style>
  <w:style w:type="paragraph" w:customStyle="1" w:styleId="CharChar3CaracterCaracterCharCharCaracterCaracter1CharCharCaracterCaracterCharCharCaracterCaracter1CharCharCaracterCaracterCharCharCaracterCaracterCharCharCaracterCaracter">
    <w:name w:val="Char Char3 Caracter Caracter Char Char Caracter Caracter1 Char Char Caracter Caracter Char Char Caracter Caracter1 Char Char Caracter Caracter Char Char Caracter Caracter Char Char Caracter Caracter"/>
    <w:basedOn w:val="Normal"/>
    <w:rsid w:val="00FC2F72"/>
    <w:rPr>
      <w:lang w:eastAsia="pl-PL"/>
    </w:rPr>
  </w:style>
  <w:style w:type="paragraph" w:customStyle="1" w:styleId="msonormalcxspmiddle">
    <w:name w:val="msonormalcxspmiddle"/>
    <w:basedOn w:val="Normal"/>
    <w:rsid w:val="00FC2F72"/>
    <w:pPr>
      <w:spacing w:before="100" w:beforeAutospacing="1" w:after="100" w:afterAutospacing="1"/>
    </w:pPr>
  </w:style>
  <w:style w:type="paragraph" w:customStyle="1" w:styleId="CharChar3CaracterCaracterCharCharCaracterCaracter1CharCharCaracterCaracterCharCharCaracterCaracter1CharCharCaracterCaracter">
    <w:name w:val="Char Char3 Caracter Caracter Char Char Caracter Caracter1 Char Char Caracter Caracter Char Char Caracter Caracter1 Char Char Caracter Caracter"/>
    <w:basedOn w:val="Normal"/>
    <w:rsid w:val="00C73B9D"/>
    <w:rPr>
      <w:lang w:eastAsia="pl-PL"/>
    </w:rPr>
  </w:style>
  <w:style w:type="paragraph" w:customStyle="1" w:styleId="CharChar3CaracterCaracterCharCharCaracterCaracter1CharCharCaracterCaracterCharCharCaracterCaracter1CharCharCaracterCaracterCharCharCaracterCaracterCharCharCaracterCaracter0">
    <w:name w:val="Char Char3 Caracter Caracter Char Char Caracter Caracter1 Char Char Caracter Caracter Char Char Caracter Caracter1 Char Char Caracter Caracter Char Char Caracter Caracter Char Char Caracter Caracter"/>
    <w:basedOn w:val="Normal"/>
    <w:rsid w:val="007A5CF0"/>
    <w:rPr>
      <w:lang w:eastAsia="pl-PL"/>
    </w:rPr>
  </w:style>
  <w:style w:type="paragraph" w:customStyle="1" w:styleId="s11">
    <w:name w:val="s11"/>
    <w:basedOn w:val="Normal"/>
    <w:rsid w:val="00E359E6"/>
    <w:pPr>
      <w:spacing w:before="100" w:beforeAutospacing="1" w:after="100" w:afterAutospacing="1"/>
    </w:pPr>
    <w:rPr>
      <w:lang w:eastAsia="en-GB"/>
    </w:rPr>
  </w:style>
  <w:style w:type="paragraph" w:customStyle="1" w:styleId="CaracterCaracterCharCharCaracterCaracter">
    <w:name w:val="Caracter Caracter Char Char Caracter Caracter"/>
    <w:basedOn w:val="Normal"/>
    <w:rsid w:val="00685469"/>
    <w:rPr>
      <w:lang w:eastAsia="pl-PL"/>
    </w:rPr>
  </w:style>
  <w:style w:type="paragraph" w:customStyle="1" w:styleId="CaracterCaracterCharCharCaracterCaracterCharCharCaracterCaracter">
    <w:name w:val="Caracter Caracter Char Char Caracter Caracter Char Char Caracter Caracter"/>
    <w:basedOn w:val="Normal"/>
    <w:rsid w:val="00784FF7"/>
    <w:rPr>
      <w:lang w:eastAsia="pl-PL"/>
    </w:rPr>
  </w:style>
  <w:style w:type="paragraph" w:customStyle="1" w:styleId="fright">
    <w:name w:val="fright"/>
    <w:basedOn w:val="Normal"/>
    <w:rsid w:val="00A06E51"/>
  </w:style>
  <w:style w:type="paragraph" w:customStyle="1" w:styleId="CaracterCaracter1CharCharCaracterCaracter1CharCharCaracterCaracter">
    <w:name w:val="Caracter Caracter1 Char Char Caracter Caracter1 Char Char Caracter Caracter"/>
    <w:basedOn w:val="Normal"/>
    <w:rsid w:val="00682F42"/>
    <w:rPr>
      <w:lang w:eastAsia="pl-PL"/>
    </w:rPr>
  </w:style>
  <w:style w:type="character" w:customStyle="1" w:styleId="hps">
    <w:name w:val="hps"/>
    <w:basedOn w:val="DefaultParagraphFont"/>
    <w:rsid w:val="00D244AB"/>
  </w:style>
  <w:style w:type="character" w:customStyle="1" w:styleId="atn">
    <w:name w:val="atn"/>
    <w:basedOn w:val="DefaultParagraphFont"/>
    <w:rsid w:val="002B06AA"/>
  </w:style>
  <w:style w:type="character" w:customStyle="1" w:styleId="hpsatn">
    <w:name w:val="hps atn"/>
    <w:basedOn w:val="DefaultParagraphFont"/>
    <w:rsid w:val="006E3FF1"/>
  </w:style>
  <w:style w:type="paragraph" w:customStyle="1" w:styleId="a3520normal">
    <w:name w:val="a___35__20_normal"/>
    <w:basedOn w:val="Normal"/>
    <w:rsid w:val="005464FD"/>
    <w:pPr>
      <w:spacing w:after="120"/>
    </w:pPr>
  </w:style>
  <w:style w:type="paragraph" w:customStyle="1" w:styleId="asous-titre201p8">
    <w:name w:val="a_sous-titre_20_1_p8"/>
    <w:basedOn w:val="Normal"/>
    <w:rsid w:val="005464FD"/>
    <w:pPr>
      <w:spacing w:before="240" w:after="80"/>
    </w:pPr>
    <w:rPr>
      <w:b/>
      <w:bCs/>
    </w:rPr>
  </w:style>
  <w:style w:type="character" w:customStyle="1" w:styleId="at4">
    <w:name w:val="a__t4"/>
    <w:basedOn w:val="DefaultParagraphFont"/>
    <w:rsid w:val="005464FD"/>
  </w:style>
  <w:style w:type="character" w:customStyle="1" w:styleId="italic1">
    <w:name w:val="italic1"/>
    <w:rsid w:val="00986222"/>
    <w:rPr>
      <w:i/>
      <w:iCs/>
    </w:rPr>
  </w:style>
  <w:style w:type="paragraph" w:customStyle="1" w:styleId="atexte201tiret201">
    <w:name w:val="a_texte_20_1_tiret_20_1"/>
    <w:basedOn w:val="Normal"/>
    <w:rsid w:val="007C27AB"/>
    <w:pPr>
      <w:spacing w:after="40"/>
    </w:pPr>
  </w:style>
  <w:style w:type="paragraph" w:customStyle="1" w:styleId="atiret201p9">
    <w:name w:val="a_tiret_20_1_p9"/>
    <w:basedOn w:val="Normal"/>
    <w:rsid w:val="007C27AB"/>
    <w:pPr>
      <w:spacing w:after="40"/>
    </w:pPr>
  </w:style>
  <w:style w:type="character" w:customStyle="1" w:styleId="at3">
    <w:name w:val="a__t3"/>
    <w:basedOn w:val="DefaultParagraphFont"/>
    <w:rsid w:val="007C27AB"/>
  </w:style>
  <w:style w:type="character" w:customStyle="1" w:styleId="at71">
    <w:name w:val="a__t71"/>
    <w:rsid w:val="007C27AB"/>
    <w:rPr>
      <w:color w:val="000000"/>
    </w:rPr>
  </w:style>
  <w:style w:type="character" w:customStyle="1" w:styleId="at51">
    <w:name w:val="a__t51"/>
    <w:rsid w:val="007C27AB"/>
    <w:rPr>
      <w:u w:val="single"/>
    </w:rPr>
  </w:style>
  <w:style w:type="paragraph" w:customStyle="1" w:styleId="CharCharCaracterCaracterCharCharCaracterCaracter">
    <w:name w:val="Char Char Caracter Caracter Char Char Caracter Caracter"/>
    <w:basedOn w:val="Normal"/>
    <w:rsid w:val="003635E6"/>
    <w:rPr>
      <w:lang w:eastAsia="pl-PL"/>
    </w:rPr>
  </w:style>
  <w:style w:type="paragraph" w:customStyle="1" w:styleId="CharCharCaracterCaracterCharCharCaracterCaracterCharChar">
    <w:name w:val="Char Char Caracter Caracter Char Char Caracter Caracter Char Char"/>
    <w:basedOn w:val="Normal"/>
    <w:rsid w:val="00C209D6"/>
    <w:rPr>
      <w:lang w:eastAsia="pl-PL"/>
    </w:rPr>
  </w:style>
  <w:style w:type="paragraph" w:customStyle="1" w:styleId="CaracterCaracterCharChar">
    <w:name w:val="Caracter Caracter Char Char"/>
    <w:basedOn w:val="Normal"/>
    <w:rsid w:val="00294929"/>
    <w:rPr>
      <w:lang w:eastAsia="pl-PL"/>
    </w:rPr>
  </w:style>
  <w:style w:type="paragraph" w:customStyle="1" w:styleId="a3520normalp4">
    <w:name w:val="a__35__20_normal_p4"/>
    <w:basedOn w:val="Normal"/>
    <w:rsid w:val="00F24101"/>
    <w:pPr>
      <w:spacing w:after="120"/>
    </w:pPr>
  </w:style>
  <w:style w:type="paragraph" w:customStyle="1" w:styleId="a3520normalp5">
    <w:name w:val="a__35__20_normal_p5"/>
    <w:basedOn w:val="Normal"/>
    <w:rsid w:val="00F24101"/>
    <w:pPr>
      <w:spacing w:after="120"/>
    </w:pPr>
  </w:style>
  <w:style w:type="paragraph" w:customStyle="1" w:styleId="asous-titre201p9">
    <w:name w:val="a_sous-titre_20_1_p9"/>
    <w:basedOn w:val="Normal"/>
    <w:rsid w:val="00F24101"/>
    <w:pPr>
      <w:spacing w:before="240" w:after="80"/>
    </w:pPr>
    <w:rPr>
      <w:b/>
      <w:bCs/>
    </w:rPr>
  </w:style>
  <w:style w:type="character" w:customStyle="1" w:styleId="at61">
    <w:name w:val="a__t61"/>
    <w:rsid w:val="00F24101"/>
    <w:rPr>
      <w:color w:val="0000FF"/>
    </w:rPr>
  </w:style>
  <w:style w:type="paragraph" w:customStyle="1" w:styleId="CharChar3CaracterCaracter1CharChar">
    <w:name w:val="Char Char3 Caracter Caracter1 Char Char"/>
    <w:basedOn w:val="Normal"/>
    <w:rsid w:val="00CF11BB"/>
    <w:rPr>
      <w:lang w:eastAsia="pl-PL"/>
    </w:rPr>
  </w:style>
  <w:style w:type="paragraph" w:customStyle="1" w:styleId="CaracterCaracter6">
    <w:name w:val="Caracter Caracter6"/>
    <w:basedOn w:val="Normal"/>
    <w:rsid w:val="009E7207"/>
    <w:rPr>
      <w:lang w:eastAsia="pl-PL"/>
    </w:rPr>
  </w:style>
  <w:style w:type="character" w:customStyle="1" w:styleId="do1">
    <w:name w:val="do1"/>
    <w:rsid w:val="00A47295"/>
    <w:rPr>
      <w:b/>
      <w:bCs/>
      <w:sz w:val="26"/>
      <w:szCs w:val="26"/>
    </w:rPr>
  </w:style>
  <w:style w:type="character" w:customStyle="1" w:styleId="tli1">
    <w:name w:val="tli1"/>
    <w:basedOn w:val="DefaultParagraphFont"/>
    <w:rsid w:val="00A47295"/>
  </w:style>
  <w:style w:type="paragraph" w:customStyle="1" w:styleId="msolistparagraph0">
    <w:name w:val="msolistparagraph"/>
    <w:basedOn w:val="Normal"/>
    <w:rsid w:val="00A47295"/>
    <w:pPr>
      <w:ind w:left="720"/>
    </w:pPr>
  </w:style>
  <w:style w:type="paragraph" w:customStyle="1" w:styleId="CaracterCharCharCaracterCharCharCaracterCharCharCaracterCharCharCaracterCharCharCaracterCharCharCaracterCharCharCaracterCharCharCaracterCharCharCaracter">
    <w:name w:val="Caracter Char Char Caracter Char Char Caracter Char Char Caracter Char Char Caracter Char Char Caracter Char Char Caracter Char Char Caracter Char Char Caracter Char Char Caracter"/>
    <w:basedOn w:val="Normal"/>
    <w:rsid w:val="006430AA"/>
    <w:pPr>
      <w:spacing w:after="160" w:line="240" w:lineRule="exact"/>
    </w:pPr>
    <w:rPr>
      <w:rFonts w:ascii="Tahoma" w:hAnsi="Tahoma"/>
      <w:sz w:val="20"/>
      <w:szCs w:val="20"/>
    </w:rPr>
  </w:style>
  <w:style w:type="paragraph" w:customStyle="1" w:styleId="BVIfnrChar1CaracterChar">
    <w:name w:val="BVI fnr Char1 Caracter Char"/>
    <w:aliases w:val="Footnote Reference Number Char Caracter Char,Times 10 Point Char Caracter Char, Exposant 3 Point Char Caracter Char,Footnote symbol Char1 Caracter Char, BVI fnr Char1 Caracter Char"/>
    <w:basedOn w:val="Normal"/>
    <w:next w:val="Normal"/>
    <w:rsid w:val="00441E8A"/>
    <w:pPr>
      <w:spacing w:after="160" w:line="240" w:lineRule="exact"/>
    </w:pPr>
    <w:rPr>
      <w:sz w:val="20"/>
      <w:szCs w:val="20"/>
      <w:vertAlign w:val="superscript"/>
      <w:lang w:eastAsia="ro-RO"/>
    </w:rPr>
  </w:style>
  <w:style w:type="paragraph" w:customStyle="1" w:styleId="CaracterCaracter6CharCharCaracterCaracterCaracterCaracter">
    <w:name w:val="Caracter Caracter6 Char Char Caracter Caracter Caracter Caracter"/>
    <w:basedOn w:val="Normal"/>
    <w:rsid w:val="005D02CA"/>
    <w:rPr>
      <w:lang w:eastAsia="pl-PL"/>
    </w:rPr>
  </w:style>
  <w:style w:type="paragraph" w:customStyle="1" w:styleId="CaracterCaracter6CharCharCaracterCaracterCaracterCaracterCharCharCaracterCaracter">
    <w:name w:val="Caracter Caracter6 Char Char Caracter Caracter Caracter Caracter Char Char Caracter Caracter"/>
    <w:basedOn w:val="Normal"/>
    <w:rsid w:val="007902A9"/>
    <w:rPr>
      <w:lang w:eastAsia="pl-PL"/>
    </w:rPr>
  </w:style>
  <w:style w:type="paragraph" w:customStyle="1" w:styleId="style3">
    <w:name w:val="style3"/>
    <w:basedOn w:val="Normal"/>
    <w:rsid w:val="00F37476"/>
    <w:pPr>
      <w:spacing w:before="100" w:beforeAutospacing="1" w:after="100" w:afterAutospacing="1"/>
    </w:pPr>
  </w:style>
  <w:style w:type="paragraph" w:customStyle="1" w:styleId="TableText">
    <w:name w:val="Table Text"/>
    <w:basedOn w:val="Normal"/>
    <w:rsid w:val="00320196"/>
    <w:pPr>
      <w:tabs>
        <w:tab w:val="decimal" w:pos="0"/>
      </w:tabs>
    </w:pPr>
    <w:rPr>
      <w:snapToGrid w:val="0"/>
      <w:szCs w:val="20"/>
    </w:rPr>
  </w:style>
  <w:style w:type="paragraph" w:customStyle="1" w:styleId="CaracterCaracter6CharCharCaracterCaracterCaracterCaracterCharCharCaracterCaracter0">
    <w:name w:val="Caracter Caracter6 Char Char Caracter Caracter Caracter Caracter Char Char Caracter Caracter"/>
    <w:basedOn w:val="Normal"/>
    <w:rsid w:val="00E01A82"/>
    <w:rPr>
      <w:lang w:eastAsia="pl-PL"/>
    </w:rPr>
  </w:style>
  <w:style w:type="paragraph" w:customStyle="1" w:styleId="CaracterCaracter6CharCharCaracterCaracterCaracterCaracterCharCharCaracterCaracterCharCharCaracterCaracter">
    <w:name w:val="Caracter Caracter6 Char Char Caracter Caracter Caracter Caracter Char Char Caracter Caracter Char Char Caracter Caracter"/>
    <w:basedOn w:val="Normal"/>
    <w:rsid w:val="00E01A82"/>
    <w:rPr>
      <w:lang w:eastAsia="pl-PL"/>
    </w:rPr>
  </w:style>
  <w:style w:type="paragraph" w:customStyle="1" w:styleId="CaracterCaracter6CharCharCaracterCaracterCaracterCaracterCharCharCaracterCaracterCharCharCaracterCaracterCharCharCaracterCaracterCharCharCaracterCaracter">
    <w:name w:val="Caracter Caracter6 Char Char Caracter Caracter Caracter Caracter Char Char Caracter Caracter Char Char Caracter Caracter Char Char Caracter Caracter Char Char Caracter Caracter"/>
    <w:basedOn w:val="Normal"/>
    <w:rsid w:val="003162BF"/>
    <w:rPr>
      <w:lang w:eastAsia="pl-PL"/>
    </w:rPr>
  </w:style>
  <w:style w:type="paragraph" w:customStyle="1" w:styleId="CharChar3CaracterCaracter1CharCharCaracterCaracter">
    <w:name w:val="Char Char3 Caracter Caracter1 Char Char Caracter Caracter"/>
    <w:basedOn w:val="Normal"/>
    <w:rsid w:val="001A4ADC"/>
    <w:rPr>
      <w:lang w:eastAsia="pl-PL"/>
    </w:rPr>
  </w:style>
  <w:style w:type="paragraph" w:customStyle="1" w:styleId="BVIfnrCharCaracterCharCaracterCharCaracterCharCaracterCharCaracterCharCaracterCharCaracterCaracterCharCharCaracter">
    <w:name w:val="BVI fnr Char Caracter Char Caracter Char Caracter Char Caracter Char Caracter Char Caracter Char Caracter Caracter Char Char Caracter"/>
    <w:aliases w:val=" BVI fnr Char Char Caracter Char Caracter Char Caracter1"/>
    <w:basedOn w:val="Normal"/>
    <w:next w:val="Normal"/>
    <w:rsid w:val="001A4ADC"/>
    <w:pPr>
      <w:spacing w:after="160" w:line="240" w:lineRule="exact"/>
    </w:pPr>
    <w:rPr>
      <w:sz w:val="20"/>
      <w:szCs w:val="20"/>
      <w:vertAlign w:val="superscript"/>
      <w:lang w:eastAsia="ro-RO"/>
    </w:rPr>
  </w:style>
  <w:style w:type="paragraph" w:customStyle="1" w:styleId="Normal10pt">
    <w:name w:val="Normal + 10 pt"/>
    <w:basedOn w:val="Normal"/>
    <w:rsid w:val="001A4ADC"/>
    <w:rPr>
      <w:sz w:val="20"/>
      <w:szCs w:val="20"/>
    </w:rPr>
  </w:style>
  <w:style w:type="paragraph" w:customStyle="1" w:styleId="astandard3520normal">
    <w:name w:val="a_standard__35__20_normal"/>
    <w:basedOn w:val="Normal"/>
    <w:rsid w:val="001A4ADC"/>
    <w:pPr>
      <w:spacing w:after="120"/>
      <w:ind w:right="57"/>
      <w:jc w:val="both"/>
    </w:pPr>
  </w:style>
  <w:style w:type="character" w:customStyle="1" w:styleId="at1">
    <w:name w:val="a__t1"/>
    <w:basedOn w:val="DefaultParagraphFont"/>
    <w:rsid w:val="001A4ADC"/>
  </w:style>
  <w:style w:type="paragraph" w:customStyle="1" w:styleId="Style35001908">
    <w:name w:val="Style35001908"/>
    <w:basedOn w:val="Normal"/>
    <w:rsid w:val="001A4ADC"/>
    <w:pPr>
      <w:widowControl w:val="0"/>
      <w:autoSpaceDE w:val="0"/>
      <w:autoSpaceDN w:val="0"/>
      <w:adjustRightInd w:val="0"/>
    </w:pPr>
  </w:style>
  <w:style w:type="paragraph" w:customStyle="1" w:styleId="CharChar3CaracterCaracter1CharCharCaracterCaracterCharChar">
    <w:name w:val="Char Char3 Caracter Caracter1 Char Char Caracter Caracter Char Char"/>
    <w:basedOn w:val="Normal"/>
    <w:rsid w:val="005319E9"/>
    <w:rPr>
      <w:lang w:eastAsia="pl-PL"/>
    </w:rPr>
  </w:style>
  <w:style w:type="paragraph" w:customStyle="1" w:styleId="CharChar3CaracterCaracter1CharCharCaracterCaracter1CaracterCaracterCharCharCaracterCaracterCharCharCaracterCaracterCharChar">
    <w:name w:val="Char Char3 Caracter Caracter1 Char Char Caracter Caracter1 Caracter Caracter Char Char Caracter Caracter Char Char Caracter Caracter Char Char"/>
    <w:basedOn w:val="Normal"/>
    <w:rsid w:val="00656D2B"/>
    <w:rPr>
      <w:lang w:eastAsia="pl-PL"/>
    </w:rPr>
  </w:style>
  <w:style w:type="paragraph" w:customStyle="1" w:styleId="BVIfnrCharCaracterCharCaracterCharCaracterCharCaracterCharCaracterCharCaracterCharCaracterCaracter">
    <w:name w:val="BVI fnr Char Caracter Char Caracter Char Caracter Char Caracter Char Caracter Char Caracter Char Caracter Caracter"/>
    <w:basedOn w:val="Normal"/>
    <w:next w:val="Normal"/>
    <w:rsid w:val="00656D2B"/>
    <w:pPr>
      <w:spacing w:after="160" w:line="240" w:lineRule="exact"/>
    </w:pPr>
    <w:rPr>
      <w:sz w:val="20"/>
      <w:szCs w:val="20"/>
      <w:vertAlign w:val="superscript"/>
      <w:lang w:eastAsia="ro-RO"/>
    </w:rPr>
  </w:style>
  <w:style w:type="paragraph" w:customStyle="1" w:styleId="CaracterCaracter2">
    <w:name w:val="Caracter Caracter2"/>
    <w:basedOn w:val="Normal"/>
    <w:rsid w:val="00C33BCE"/>
    <w:rPr>
      <w:lang w:eastAsia="pl-PL"/>
    </w:rPr>
  </w:style>
  <w:style w:type="paragraph" w:customStyle="1" w:styleId="CharChar3CaracterCaracter1">
    <w:name w:val="Char Char3 Caracter Caracter1"/>
    <w:basedOn w:val="Normal"/>
    <w:rsid w:val="0059755B"/>
    <w:rPr>
      <w:lang w:eastAsia="pl-PL"/>
    </w:rPr>
  </w:style>
  <w:style w:type="paragraph" w:customStyle="1" w:styleId="CaracterCharCaracterCharChar">
    <w:name w:val="Caracter Char Caracter Char Char"/>
    <w:basedOn w:val="Normal"/>
    <w:rsid w:val="00C57E31"/>
    <w:pPr>
      <w:tabs>
        <w:tab w:val="left" w:pos="709"/>
      </w:tabs>
    </w:pPr>
    <w:rPr>
      <w:rFonts w:ascii="Tahoma" w:hAnsi="Tahoma"/>
      <w:lang w:eastAsia="pl-PL"/>
    </w:rPr>
  </w:style>
  <w:style w:type="paragraph" w:customStyle="1" w:styleId="S1">
    <w:name w:val="S1"/>
    <w:basedOn w:val="Normal"/>
    <w:rsid w:val="004802A7"/>
    <w:pPr>
      <w:ind w:left="144" w:right="144" w:firstLine="720"/>
      <w:jc w:val="both"/>
    </w:pPr>
    <w:rPr>
      <w:rFonts w:ascii="TimesNewRomanPS" w:hAnsi="TimesNewRomanPS"/>
      <w:sz w:val="36"/>
      <w:szCs w:val="20"/>
    </w:rPr>
  </w:style>
  <w:style w:type="character" w:customStyle="1" w:styleId="FooterChar">
    <w:name w:val="Footer Char"/>
    <w:uiPriority w:val="99"/>
    <w:locked/>
    <w:rsid w:val="00167CF2"/>
    <w:rPr>
      <w:rFonts w:cs="Times New Roman"/>
    </w:rPr>
  </w:style>
  <w:style w:type="paragraph" w:customStyle="1" w:styleId="CharChar3CaracterCaracter1CharCharCaracterCaracter1CaracterCaracter">
    <w:name w:val="Char Char3 Caracter Caracter1 Char Char Caracter Caracter1 Caracter Caracter"/>
    <w:basedOn w:val="Normal"/>
    <w:rsid w:val="00C17D0C"/>
    <w:rPr>
      <w:lang w:eastAsia="pl-PL"/>
    </w:rPr>
  </w:style>
  <w:style w:type="paragraph" w:customStyle="1" w:styleId="BVIfnrCharCaracterCharCaracterCharCaracterCharCaracterCharCaracterCharCaracterCharCaracterCaracterCharCharCaracter1CharCaracter">
    <w:name w:val="BVI fnr Char Caracter Char Caracter Char Caracter Char Caracter Char Caracter Char Caracter Char Caracter Caracter Char Char Caracter1 Char Caracter"/>
    <w:basedOn w:val="Normal"/>
    <w:next w:val="Normal"/>
    <w:rsid w:val="00C17D0C"/>
    <w:pPr>
      <w:spacing w:after="160" w:line="240" w:lineRule="exact"/>
    </w:pPr>
    <w:rPr>
      <w:sz w:val="20"/>
      <w:szCs w:val="20"/>
      <w:vertAlign w:val="superscript"/>
      <w:lang w:eastAsia="ro-RO"/>
    </w:rPr>
  </w:style>
  <w:style w:type="paragraph" w:customStyle="1" w:styleId="CaracterCaracterCharCharCaracterCaracterCharCharCaracterCaracter0">
    <w:name w:val="Caracter Caracter Char Char Caracter Caracter Char Char Caracter Caracter"/>
    <w:basedOn w:val="Normal"/>
    <w:rsid w:val="009B494A"/>
    <w:rPr>
      <w:lang w:eastAsia="pl-PL"/>
    </w:rPr>
  </w:style>
  <w:style w:type="paragraph" w:customStyle="1" w:styleId="ColorfulList-Accent11">
    <w:name w:val="Colorful List - Accent 11"/>
    <w:basedOn w:val="Normal"/>
    <w:qFormat/>
    <w:rsid w:val="00D25D26"/>
    <w:pPr>
      <w:spacing w:line="276" w:lineRule="auto"/>
      <w:ind w:left="720"/>
      <w:contextualSpacing/>
    </w:pPr>
    <w:rPr>
      <w:rFonts w:eastAsia="Calibri"/>
      <w:szCs w:val="22"/>
    </w:rPr>
  </w:style>
  <w:style w:type="paragraph" w:customStyle="1" w:styleId="CaracterCaracter2CharCharCaracterCaracterCharCharCaracterCaracterCharCharCaracterCaracter">
    <w:name w:val="Caracter Caracter2 Char Char Caracter Caracter Char Char Caracter Caracter Char Char Caracter Caracter"/>
    <w:basedOn w:val="Normal"/>
    <w:rsid w:val="00550C9F"/>
    <w:rPr>
      <w:lang w:eastAsia="pl-PL"/>
    </w:rPr>
  </w:style>
  <w:style w:type="paragraph" w:customStyle="1" w:styleId="BVIfnrCharCharCaracterCharCaracterCharCaracterCharCaracterChar">
    <w:name w:val="BVI fnr Char Char Caracter Char Caracter Char Caracter Char Caracter Char"/>
    <w:aliases w:val=" BVI fnr Char Char Caracter Char,BVI fnr Char Char Caracter Char, BVI fnr Char Char Caracter Char Caracter Char Caracter Char Caracter Char"/>
    <w:basedOn w:val="Normal"/>
    <w:next w:val="Normal"/>
    <w:rsid w:val="00550C9F"/>
    <w:pPr>
      <w:spacing w:after="160" w:line="240" w:lineRule="exact"/>
    </w:pPr>
    <w:rPr>
      <w:sz w:val="20"/>
      <w:szCs w:val="20"/>
      <w:vertAlign w:val="superscript"/>
      <w:lang w:eastAsia="ro-RO"/>
    </w:rPr>
  </w:style>
  <w:style w:type="paragraph" w:customStyle="1" w:styleId="CaracterCaracter2CharCharCaracterCaracterCharCharCaracterCaracterCharCharCaracterCaracterCaracterCaracter">
    <w:name w:val="Caracter Caracter2 Char Char Caracter Caracter Char Char Caracter Caracter Char Char Caracter Caracter Caracter Caracter"/>
    <w:basedOn w:val="Normal"/>
    <w:rsid w:val="001A29CE"/>
    <w:rPr>
      <w:lang w:eastAsia="pl-PL"/>
    </w:rPr>
  </w:style>
  <w:style w:type="paragraph" w:customStyle="1" w:styleId="BVIfnrCharCaracterCharCaracterCharCaracterCharCaracterCharCaracterCharCaracterCharCaracterCaracterCharCharCaracterCaracter">
    <w:name w:val="BVI fnr Char Caracter Char Caracter Char Caracter Char Caracter Char Caracter Char Caracter Char Caracter Caracter Char Char Caracter Caracter"/>
    <w:basedOn w:val="Normal"/>
    <w:next w:val="Normal"/>
    <w:rsid w:val="00733A55"/>
    <w:pPr>
      <w:spacing w:after="160" w:line="240" w:lineRule="exact"/>
    </w:pPr>
    <w:rPr>
      <w:sz w:val="20"/>
      <w:szCs w:val="20"/>
      <w:vertAlign w:val="superscript"/>
      <w:lang w:eastAsia="ro-RO"/>
    </w:rPr>
  </w:style>
  <w:style w:type="character" w:customStyle="1" w:styleId="DefaultTextChar">
    <w:name w:val="Default Text Char"/>
    <w:rsid w:val="00335EA5"/>
    <w:rPr>
      <w:sz w:val="24"/>
      <w:szCs w:val="24"/>
      <w:lang w:val="en-US" w:eastAsia="en-US" w:bidi="ar-SA"/>
    </w:rPr>
  </w:style>
  <w:style w:type="paragraph" w:customStyle="1" w:styleId="CaracterCaracter2CharCharCaracterCaracterCharCharCaracterCaracterCharCharCaracterCaracterCaracterCaracter0">
    <w:name w:val="Caracter Caracter2 Char Char Caracter Caracter Char Char Caracter Caracter Char Char Caracter Caracter Caracter Caracter"/>
    <w:basedOn w:val="Normal"/>
    <w:rsid w:val="00335EA5"/>
    <w:rPr>
      <w:lang w:eastAsia="pl-PL"/>
    </w:rPr>
  </w:style>
  <w:style w:type="paragraph" w:styleId="BodyText3">
    <w:name w:val="Body Text 3"/>
    <w:basedOn w:val="Normal"/>
    <w:link w:val="BodyText3Char"/>
    <w:rsid w:val="00AB2CE1"/>
    <w:pPr>
      <w:jc w:val="both"/>
    </w:pPr>
    <w:rPr>
      <w:sz w:val="28"/>
      <w:szCs w:val="20"/>
    </w:rPr>
  </w:style>
  <w:style w:type="character" w:customStyle="1" w:styleId="preambul1">
    <w:name w:val="preambul1"/>
    <w:rsid w:val="00AB2CE1"/>
    <w:rPr>
      <w:i/>
      <w:iCs/>
      <w:color w:val="000000"/>
    </w:rPr>
  </w:style>
  <w:style w:type="paragraph" w:customStyle="1" w:styleId="CaracterCaracter1CharCharCaracterCaracter">
    <w:name w:val="Caracter Caracter1 Char Char Caracter Caracter"/>
    <w:basedOn w:val="Normal"/>
    <w:rsid w:val="00AB2CE1"/>
    <w:rPr>
      <w:lang w:eastAsia="pl-PL"/>
    </w:rPr>
  </w:style>
  <w:style w:type="paragraph" w:customStyle="1" w:styleId="WW-BodyText3">
    <w:name w:val="WW-Body Text 3"/>
    <w:basedOn w:val="Normal"/>
    <w:rsid w:val="00AB2CE1"/>
    <w:pPr>
      <w:suppressAutoHyphens/>
      <w:jc w:val="both"/>
    </w:pPr>
    <w:rPr>
      <w:rFonts w:ascii="0HelvR" w:hAnsi="0HelvR"/>
      <w:bCs/>
      <w:szCs w:val="20"/>
      <w:lang w:eastAsia="ar-SA"/>
    </w:rPr>
  </w:style>
  <w:style w:type="paragraph" w:styleId="BodyTextIndent3">
    <w:name w:val="Body Text Indent 3"/>
    <w:basedOn w:val="Normal"/>
    <w:link w:val="BodyTextIndent3Char"/>
    <w:rsid w:val="00AB2CE1"/>
    <w:pPr>
      <w:spacing w:after="120"/>
      <w:ind w:left="283"/>
    </w:pPr>
    <w:rPr>
      <w:sz w:val="16"/>
      <w:szCs w:val="16"/>
      <w:lang w:eastAsia="ro-RO"/>
    </w:rPr>
  </w:style>
  <w:style w:type="character" w:customStyle="1" w:styleId="s41">
    <w:name w:val="s41"/>
    <w:rsid w:val="00AB2CE1"/>
    <w:rPr>
      <w:rFonts w:ascii="Verdana" w:hAnsi="Verdana" w:hint="default"/>
      <w:strike w:val="0"/>
      <w:dstrike w:val="0"/>
      <w:color w:val="3372B9"/>
      <w:sz w:val="17"/>
      <w:szCs w:val="17"/>
      <w:u w:val="none"/>
      <w:effect w:val="none"/>
    </w:rPr>
  </w:style>
  <w:style w:type="paragraph" w:styleId="Title">
    <w:name w:val="Title"/>
    <w:basedOn w:val="Normal"/>
    <w:link w:val="TitleChar"/>
    <w:qFormat/>
    <w:rsid w:val="00AB2CE1"/>
    <w:pPr>
      <w:jc w:val="center"/>
    </w:pPr>
    <w:rPr>
      <w:sz w:val="36"/>
      <w:szCs w:val="20"/>
    </w:rPr>
  </w:style>
  <w:style w:type="paragraph" w:customStyle="1" w:styleId="CaracterCharCharCaracterCharCharCaracterCharChar1">
    <w:name w:val="Caracter Char Char Caracter Char Char Caracter Char Char1"/>
    <w:basedOn w:val="Normal"/>
    <w:rsid w:val="00AB2CE1"/>
    <w:rPr>
      <w:lang w:eastAsia="pl-PL"/>
    </w:rPr>
  </w:style>
  <w:style w:type="paragraph" w:customStyle="1" w:styleId="CharCharCaracterCaracterCaracterCharCharChar1CharCharCharCharCharCharCharCharCharCharCharCharCharCharCharCaracterCaracterCaracterCaracterCharChar2">
    <w:name w:val="Char Char Caracter Caracter Caracter Char Char Char1 Char Char Char Char Char Char Char Char Char Char Char Char Char Char Char Caracter Caracter Caracter Caracter Char Char2"/>
    <w:basedOn w:val="Normal"/>
    <w:rsid w:val="00AB2CE1"/>
    <w:rPr>
      <w:lang w:eastAsia="pl-PL"/>
    </w:rPr>
  </w:style>
  <w:style w:type="paragraph" w:customStyle="1" w:styleId="CaracterCharCharCaracterCharCharCaracterCharChar">
    <w:name w:val="Caracter Char Char Caracter Char Char Caracter Char Char"/>
    <w:basedOn w:val="Normal"/>
    <w:rsid w:val="00AB2CE1"/>
    <w:rPr>
      <w:lang w:eastAsia="pl-PL"/>
    </w:rPr>
  </w:style>
  <w:style w:type="paragraph" w:customStyle="1" w:styleId="CaracterCharCharCaracterCharCharCaracterCharCharCaracterCharCharCaracterCharCharCaracter">
    <w:name w:val="Caracter Char Char Caracter Char Char Caracter Char Char Caracter Char Char Caracter Char Char Caracter"/>
    <w:basedOn w:val="Normal"/>
    <w:rsid w:val="00AB2CE1"/>
    <w:rPr>
      <w:lang w:eastAsia="pl-PL"/>
    </w:rPr>
  </w:style>
  <w:style w:type="paragraph" w:customStyle="1" w:styleId="char1">
    <w:name w:val="char"/>
    <w:basedOn w:val="Normal"/>
    <w:rsid w:val="00AB2CE1"/>
    <w:rPr>
      <w:rFonts w:ascii="Arial Narrow" w:hAnsi="Arial Narrow"/>
      <w:b/>
      <w:bCs/>
      <w:sz w:val="26"/>
      <w:szCs w:val="26"/>
    </w:rPr>
  </w:style>
  <w:style w:type="paragraph" w:customStyle="1" w:styleId="A11comment">
    <w:name w:val="A 1.1 comment"/>
    <w:basedOn w:val="Normal"/>
    <w:rsid w:val="00AB2CE1"/>
    <w:pPr>
      <w:widowControl w:val="0"/>
      <w:tabs>
        <w:tab w:val="left" w:pos="8900"/>
      </w:tabs>
      <w:autoSpaceDE w:val="0"/>
      <w:autoSpaceDN w:val="0"/>
      <w:adjustRightInd w:val="0"/>
      <w:spacing w:before="60" w:after="120"/>
      <w:ind w:left="360"/>
    </w:pPr>
    <w:rPr>
      <w:sz w:val="21"/>
      <w:szCs w:val="21"/>
      <w:lang w:eastAsia="sk-SK"/>
    </w:rPr>
  </w:style>
  <w:style w:type="paragraph" w:customStyle="1" w:styleId="xl87">
    <w:name w:val="xl87"/>
    <w:basedOn w:val="Normal"/>
    <w:rsid w:val="00AB2CE1"/>
    <w:pPr>
      <w:pBdr>
        <w:top w:val="single" w:sz="8" w:space="0" w:color="auto"/>
        <w:bottom w:val="single" w:sz="8" w:space="0" w:color="auto"/>
        <w:right w:val="single" w:sz="8" w:space="0" w:color="auto"/>
      </w:pBdr>
      <w:spacing w:before="100" w:beforeAutospacing="1" w:after="100" w:afterAutospacing="1"/>
      <w:jc w:val="center"/>
    </w:pPr>
    <w:rPr>
      <w:lang w:eastAsia="en-GB"/>
    </w:rPr>
  </w:style>
  <w:style w:type="paragraph" w:customStyle="1" w:styleId="CaracterCharCharCaracterCharCharCaracterCharChar1CaracterCaracterCharChar">
    <w:name w:val="Caracter Char Char Caracter Char Char Caracter Char Char1 Caracter Caracter Char Char"/>
    <w:basedOn w:val="Normal"/>
    <w:rsid w:val="00AB2CE1"/>
    <w:rPr>
      <w:lang w:eastAsia="pl-PL"/>
    </w:rPr>
  </w:style>
  <w:style w:type="paragraph" w:customStyle="1" w:styleId="MoUparagraphs">
    <w:name w:val="MoU paragraphs"/>
    <w:basedOn w:val="Normal"/>
    <w:link w:val="MoUparagraphsChar"/>
    <w:rsid w:val="00AB2CE1"/>
    <w:pPr>
      <w:spacing w:before="80" w:after="60" w:line="280" w:lineRule="exact"/>
      <w:jc w:val="both"/>
    </w:pPr>
    <w:rPr>
      <w:rFonts w:ascii="Calibri" w:hAnsi="Calibri"/>
      <w:sz w:val="20"/>
      <w:szCs w:val="20"/>
    </w:rPr>
  </w:style>
  <w:style w:type="character" w:customStyle="1" w:styleId="MoUparagraphsChar">
    <w:name w:val="MoU paragraphs Char"/>
    <w:link w:val="MoUparagraphs"/>
    <w:locked/>
    <w:rsid w:val="00AB2CE1"/>
    <w:rPr>
      <w:rFonts w:ascii="Calibri" w:hAnsi="Calibri"/>
      <w:lang w:val="en-US" w:eastAsia="en-US" w:bidi="ar-SA"/>
    </w:rPr>
  </w:style>
  <w:style w:type="paragraph" w:customStyle="1" w:styleId="BVIfnrCharCharCaracterCharCaracterCharCaracterCharCaracterCharCaracterCharCaracter">
    <w:name w:val="BVI fnr Char Char Caracter Char Caracter Char Caracter Char Caracter Char Caracter Char Caracter"/>
    <w:aliases w:val="BVI f Caracter Caracter, BVI fnr Char Char Caracter Char Caracter Char Caracter Char Caracter Char Caracter Char Caracter"/>
    <w:basedOn w:val="Normal"/>
    <w:next w:val="Normal"/>
    <w:rsid w:val="00374C18"/>
    <w:pPr>
      <w:spacing w:after="160" w:line="240" w:lineRule="exact"/>
    </w:pPr>
    <w:rPr>
      <w:sz w:val="20"/>
      <w:szCs w:val="20"/>
      <w:vertAlign w:val="superscript"/>
      <w:lang w:eastAsia="ro-RO"/>
    </w:rPr>
  </w:style>
  <w:style w:type="paragraph" w:customStyle="1" w:styleId="CharChar3CaracterCaracter1CharCharCaracterCaracter1CaracterCaracterCharCharCaracterCaracterCharCharCaracterCaracterCharCharCaracterCaracterCaracterCaracter">
    <w:name w:val="Char Char3 Caracter Caracter1 Char Char Caracter Caracter1 Caracter Caracter Char Char Caracter Caracter Char Char Caracter Caracter Char Char Caracter Caracter Caracter Caracter"/>
    <w:basedOn w:val="Normal"/>
    <w:rsid w:val="00374C18"/>
    <w:rPr>
      <w:lang w:eastAsia="pl-PL"/>
    </w:rPr>
  </w:style>
  <w:style w:type="paragraph" w:customStyle="1" w:styleId="BVIfnrCaracter">
    <w:name w:val="BVI fnr Caracter"/>
    <w:aliases w:val=" BVI fnr Caracter,Footnote Reference Number Caracter,Odwołanie przypisu Caracter,Footnote Reference_LVL6 Caracter,Footnote Reference_LVL61 Caracter,Footnote Reference_LVL62 Caracter,fr Caracter"/>
    <w:basedOn w:val="Normal"/>
    <w:next w:val="Normal"/>
    <w:rsid w:val="00374C18"/>
    <w:pPr>
      <w:spacing w:after="160" w:line="240" w:lineRule="exact"/>
    </w:pPr>
    <w:rPr>
      <w:sz w:val="20"/>
      <w:szCs w:val="20"/>
      <w:vertAlign w:val="superscript"/>
      <w:lang w:eastAsia="ro-RO"/>
    </w:rPr>
  </w:style>
  <w:style w:type="character" w:customStyle="1" w:styleId="fontstyle63">
    <w:name w:val="fontstyle63"/>
    <w:rsid w:val="00374C18"/>
    <w:rPr>
      <w:rFonts w:ascii="Times New Roman" w:hAnsi="Times New Roman" w:cs="Times New Roman" w:hint="default"/>
      <w:b/>
      <w:bCs/>
      <w:i/>
      <w:iCs/>
    </w:rPr>
  </w:style>
  <w:style w:type="paragraph" w:customStyle="1" w:styleId="CaracterCaracter1CharChar1CaracterCaracterCharCharCaracterCaracterCharCharCaracterCaracter">
    <w:name w:val="Caracter Caracter1 Char Char1 Caracter Caracter Char Char Caracter Caracter Char Char Caracter Caracter"/>
    <w:basedOn w:val="Normal"/>
    <w:rsid w:val="00374C18"/>
    <w:rPr>
      <w:lang w:eastAsia="pl-PL"/>
    </w:rPr>
  </w:style>
  <w:style w:type="paragraph" w:customStyle="1" w:styleId="CaracterCaracter2CharCharCaracterCaracterCharCharCaracterCaracterCharCharCaracterCaracterCharCharCaracterCaracterCharCharCaracterCaracterCharCharCaracterCaracter">
    <w:name w:val="Caracter Caracter2 Char Char Caracter Caracter Char Char Caracter Caracter Char Char Caracter Caracter Char Char Caracter Caracter Char Char Caracter Caracter Char Char Caracter Caracter"/>
    <w:basedOn w:val="Normal"/>
    <w:rsid w:val="00374C18"/>
    <w:rPr>
      <w:lang w:eastAsia="pl-PL"/>
    </w:rPr>
  </w:style>
  <w:style w:type="paragraph" w:customStyle="1" w:styleId="CaracterCaracter1CaracterCaracterCaracter">
    <w:name w:val="Caracter Caracter1 Caracter Caracter Caracter"/>
    <w:basedOn w:val="Normal"/>
    <w:rsid w:val="00374C18"/>
    <w:rPr>
      <w:lang w:eastAsia="pl-PL"/>
    </w:rPr>
  </w:style>
  <w:style w:type="paragraph" w:customStyle="1" w:styleId="Pa2">
    <w:name w:val="Pa2"/>
    <w:basedOn w:val="Default"/>
    <w:next w:val="Default"/>
    <w:rsid w:val="00374C18"/>
    <w:pPr>
      <w:spacing w:line="241" w:lineRule="atLeast"/>
    </w:pPr>
    <w:rPr>
      <w:rFonts w:ascii="Adobe Garamond Pro" w:hAnsi="Adobe Garamond Pro"/>
      <w:color w:val="auto"/>
    </w:rPr>
  </w:style>
  <w:style w:type="character" w:customStyle="1" w:styleId="A4">
    <w:name w:val="A4"/>
    <w:rsid w:val="00374C18"/>
    <w:rPr>
      <w:rFonts w:cs="Adobe Garamond Pro"/>
      <w:color w:val="000000"/>
      <w:sz w:val="18"/>
      <w:szCs w:val="18"/>
    </w:rPr>
  </w:style>
  <w:style w:type="character" w:customStyle="1" w:styleId="A9">
    <w:name w:val="A9"/>
    <w:rsid w:val="00374C18"/>
    <w:rPr>
      <w:rFonts w:cs="Adobe Garamond Pro"/>
      <w:color w:val="000000"/>
    </w:rPr>
  </w:style>
  <w:style w:type="paragraph" w:customStyle="1" w:styleId="Pa0">
    <w:name w:val="Pa0"/>
    <w:basedOn w:val="Default"/>
    <w:next w:val="Default"/>
    <w:rsid w:val="00374C18"/>
    <w:pPr>
      <w:spacing w:line="241" w:lineRule="atLeast"/>
    </w:pPr>
    <w:rPr>
      <w:rFonts w:ascii="Adobe Garamond Pro Bold" w:hAnsi="Adobe Garamond Pro Bold"/>
      <w:color w:val="auto"/>
    </w:rPr>
  </w:style>
  <w:style w:type="character" w:customStyle="1" w:styleId="A2">
    <w:name w:val="A2"/>
    <w:rsid w:val="00374C18"/>
    <w:rPr>
      <w:rFonts w:cs="Adobe Garamond Pro Bold"/>
      <w:b/>
      <w:bCs/>
      <w:color w:val="000000"/>
      <w:sz w:val="72"/>
      <w:szCs w:val="72"/>
    </w:rPr>
  </w:style>
  <w:style w:type="paragraph" w:customStyle="1" w:styleId="Pa4">
    <w:name w:val="Pa4"/>
    <w:basedOn w:val="Default"/>
    <w:next w:val="Default"/>
    <w:rsid w:val="00374C18"/>
    <w:pPr>
      <w:spacing w:line="241" w:lineRule="atLeast"/>
    </w:pPr>
    <w:rPr>
      <w:rFonts w:ascii="Gabriola" w:hAnsi="Gabriola"/>
      <w:color w:val="auto"/>
    </w:rPr>
  </w:style>
  <w:style w:type="character" w:customStyle="1" w:styleId="A26">
    <w:name w:val="A26"/>
    <w:rsid w:val="00374C18"/>
    <w:rPr>
      <w:rFonts w:cs="Gabriola"/>
      <w:color w:val="000000"/>
      <w:sz w:val="22"/>
      <w:szCs w:val="22"/>
    </w:rPr>
  </w:style>
  <w:style w:type="character" w:customStyle="1" w:styleId="A6">
    <w:name w:val="A6"/>
    <w:rsid w:val="00374C18"/>
    <w:rPr>
      <w:rFonts w:ascii="Legato" w:hAnsi="Legato" w:cs="Legato"/>
      <w:color w:val="000000"/>
      <w:sz w:val="16"/>
      <w:szCs w:val="16"/>
    </w:rPr>
  </w:style>
  <w:style w:type="character" w:customStyle="1" w:styleId="A20">
    <w:name w:val="A20"/>
    <w:rsid w:val="00374C18"/>
    <w:rPr>
      <w:rFonts w:ascii="Gabriola" w:hAnsi="Gabriola" w:cs="Gabriola"/>
      <w:color w:val="000000"/>
      <w:sz w:val="40"/>
      <w:szCs w:val="40"/>
    </w:rPr>
  </w:style>
  <w:style w:type="character" w:customStyle="1" w:styleId="A24">
    <w:name w:val="A24"/>
    <w:rsid w:val="00374C18"/>
    <w:rPr>
      <w:rFonts w:cs="TheSans LP7 Bold"/>
      <w:b/>
      <w:bCs/>
      <w:color w:val="000000"/>
      <w:sz w:val="20"/>
      <w:szCs w:val="20"/>
    </w:rPr>
  </w:style>
  <w:style w:type="paragraph" w:customStyle="1" w:styleId="SUPERSChar">
    <w:name w:val="SUPERS Char"/>
    <w:aliases w:val=" BVI fnr Char,BVI fnr Char,Footnote symbol Char,ftref Char Char Char Char Char Char Char Char Char Char Char Char,Footnote Char Char Char Char Char Char Char Char Char Char Char Char,numar nota subsol Char,SUPERS Char Char Char"/>
    <w:basedOn w:val="Normal"/>
    <w:next w:val="Normal"/>
    <w:rsid w:val="00374C18"/>
    <w:pPr>
      <w:spacing w:after="160" w:line="240" w:lineRule="exact"/>
    </w:pPr>
    <w:rPr>
      <w:sz w:val="20"/>
      <w:szCs w:val="20"/>
      <w:vertAlign w:val="superscript"/>
      <w:lang w:eastAsia="ro-RO"/>
    </w:rPr>
  </w:style>
  <w:style w:type="paragraph" w:customStyle="1" w:styleId="CaracterCaracterCharCharCaracterCaracter1">
    <w:name w:val="Caracter Caracter Char Char Caracter Caracter1"/>
    <w:basedOn w:val="Normal"/>
    <w:rsid w:val="00374C18"/>
    <w:rPr>
      <w:lang w:eastAsia="pl-PL"/>
    </w:rPr>
  </w:style>
  <w:style w:type="paragraph" w:customStyle="1" w:styleId="CaracterCharCharCaracterCharChar">
    <w:name w:val="Caracter Char Char Caracter Char Char"/>
    <w:basedOn w:val="Normal"/>
    <w:rsid w:val="00374C18"/>
    <w:rPr>
      <w:lang w:eastAsia="pl-PL"/>
    </w:rPr>
  </w:style>
  <w:style w:type="paragraph" w:customStyle="1" w:styleId="BodyText21">
    <w:name w:val="Body Text 21"/>
    <w:basedOn w:val="Normal"/>
    <w:rsid w:val="00374C18"/>
    <w:pPr>
      <w:overflowPunct w:val="0"/>
      <w:autoSpaceDE w:val="0"/>
      <w:autoSpaceDN w:val="0"/>
      <w:adjustRightInd w:val="0"/>
      <w:ind w:firstLine="720"/>
      <w:jc w:val="both"/>
      <w:textAlignment w:val="baseline"/>
    </w:pPr>
    <w:rPr>
      <w:szCs w:val="20"/>
    </w:rPr>
  </w:style>
  <w:style w:type="character" w:customStyle="1" w:styleId="ds251">
    <w:name w:val="ds251"/>
    <w:rsid w:val="00374C18"/>
    <w:rPr>
      <w:rFonts w:ascii="Georgia" w:hAnsi="Georgia" w:hint="default"/>
      <w:sz w:val="21"/>
      <w:szCs w:val="21"/>
    </w:rPr>
  </w:style>
  <w:style w:type="paragraph" w:customStyle="1" w:styleId="CaracterCaracter2CharCharCaracterCaracterCharCharCaracterCaracterCharCharCaracterCaracterCharCharCaracterCaracterCharCharCaracterCaracterCharCharCaracterCaracterCharCharCaracterCaracter0">
    <w:name w:val="Caracter Caracter2 Char Char Caracter Caracter Char Char Caracter Caracter Char Char Caracter Caracter Char Char Caracter Caracter Char Char Caracter Caracter Char Char Caracter Caracter Char Char Caracter Caracter"/>
    <w:basedOn w:val="Normal"/>
    <w:rsid w:val="00374C18"/>
    <w:rPr>
      <w:lang w:eastAsia="pl-PL"/>
    </w:rPr>
  </w:style>
  <w:style w:type="paragraph" w:customStyle="1" w:styleId="CaracterCaracter4CharChar1CaracterCaracter">
    <w:name w:val="Caracter Caracter4 Char Char1 Caracter Caracter"/>
    <w:basedOn w:val="Normal"/>
    <w:rsid w:val="00374C18"/>
    <w:pPr>
      <w:spacing w:before="120"/>
      <w:jc w:val="both"/>
    </w:pPr>
    <w:rPr>
      <w:rFonts w:ascii="Arial" w:hAnsi="Arial"/>
      <w:lang w:eastAsia="pl-PL"/>
    </w:rPr>
  </w:style>
  <w:style w:type="paragraph" w:customStyle="1" w:styleId="CaracterCharCharCaracterCharCharCaracterCharCharCaracterCharCharCaracterCharCharCaracterCharCharCaracterCaracterCaracterCaracter">
    <w:name w:val="Caracter Char Char Caracter Char Char Caracter Char Char Caracter Char Char Caracter Char Char Caracter Char Char Caracter Caracter Caracter Caracter"/>
    <w:basedOn w:val="Normal"/>
    <w:rsid w:val="00374C18"/>
    <w:pPr>
      <w:spacing w:after="160" w:line="240" w:lineRule="exact"/>
    </w:pPr>
    <w:rPr>
      <w:rFonts w:ascii="Tahoma" w:hAnsi="Tahoma"/>
      <w:sz w:val="20"/>
      <w:szCs w:val="20"/>
    </w:rPr>
  </w:style>
  <w:style w:type="paragraph" w:customStyle="1" w:styleId="DefaultText11">
    <w:name w:val="Default Text:1:1"/>
    <w:basedOn w:val="Normal"/>
    <w:rsid w:val="00FB2264"/>
    <w:pPr>
      <w:overflowPunct w:val="0"/>
      <w:autoSpaceDE w:val="0"/>
      <w:autoSpaceDN w:val="0"/>
      <w:adjustRightInd w:val="0"/>
      <w:textAlignment w:val="baseline"/>
    </w:pPr>
    <w:rPr>
      <w:szCs w:val="20"/>
    </w:rPr>
  </w:style>
  <w:style w:type="paragraph" w:customStyle="1" w:styleId="5Normal">
    <w:name w:val="5 Normal"/>
    <w:basedOn w:val="Normal"/>
    <w:link w:val="5NormalChar"/>
    <w:rsid w:val="00FB2264"/>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sz w:val="20"/>
      <w:lang w:eastAsia="en-GB"/>
    </w:rPr>
  </w:style>
  <w:style w:type="character" w:customStyle="1" w:styleId="5NormalChar">
    <w:name w:val="5 Normal Char"/>
    <w:link w:val="5Normal"/>
    <w:locked/>
    <w:rsid w:val="00FB2264"/>
    <w:rPr>
      <w:rFonts w:ascii="Verdana" w:hAnsi="Verdana"/>
      <w:spacing w:val="-2"/>
      <w:szCs w:val="24"/>
      <w:lang w:val="en-US" w:eastAsia="en-GB" w:bidi="ar-SA"/>
    </w:rPr>
  </w:style>
  <w:style w:type="paragraph" w:styleId="EnvelopeReturn">
    <w:name w:val="envelope return"/>
    <w:basedOn w:val="Normal"/>
    <w:rsid w:val="000045C4"/>
    <w:rPr>
      <w:rFonts w:ascii="Arial" w:hAnsi="Arial"/>
      <w:sz w:val="20"/>
      <w:szCs w:val="20"/>
    </w:rPr>
  </w:style>
  <w:style w:type="paragraph" w:customStyle="1" w:styleId="CaracterCharCharCaracterCharCharCaracterCharCharCaracterCaracterCaracterCharCharCaracter">
    <w:name w:val="Caracter Char Char Caracter Char Char Caracter Char Char Caracter Caracter Caracter Char Char Caracter"/>
    <w:basedOn w:val="Normal"/>
    <w:rsid w:val="00F71E18"/>
    <w:rPr>
      <w:lang w:eastAsia="pl-PL"/>
    </w:rPr>
  </w:style>
  <w:style w:type="paragraph" w:customStyle="1" w:styleId="BVIfnrCharCharCaracterCharCaracterCharCaracterCharCaracterCharCaracterCharCharCharChar">
    <w:name w:val="BVI fnr Char Char Caracter Char Caracter Char Caracter Char Caracter Char Caracter Char Char Char Char"/>
    <w:aliases w:val="BVI fnr Char Char Caracter Char Caracter Char Caracter Char Caracter Char Caracter Char Char Char Char Char Char"/>
    <w:basedOn w:val="Normal"/>
    <w:next w:val="Normal"/>
    <w:rsid w:val="00756135"/>
    <w:pPr>
      <w:spacing w:after="160" w:line="240" w:lineRule="exact"/>
    </w:pPr>
    <w:rPr>
      <w:sz w:val="20"/>
      <w:szCs w:val="20"/>
      <w:vertAlign w:val="superscript"/>
      <w:lang w:eastAsia="ro-RO"/>
    </w:rPr>
  </w:style>
  <w:style w:type="paragraph" w:customStyle="1" w:styleId="BVIfnrCharCharCaracterCharCaracterCharCaracterCharCaracterCharCaracterCharCharChar">
    <w:name w:val="BVI fnr Char Char Caracter Char Caracter Char Caracter Char Caracter Char Caracter Char Char Char"/>
    <w:aliases w:val="BVI fnr Char Char Caracter Char Caracter Char Caracter Char Caracter Char Caracter Char Char Char Char"/>
    <w:basedOn w:val="Normal"/>
    <w:next w:val="Normal"/>
    <w:rsid w:val="00076C1C"/>
    <w:pPr>
      <w:spacing w:after="160" w:line="240" w:lineRule="exact"/>
    </w:pPr>
    <w:rPr>
      <w:sz w:val="20"/>
      <w:szCs w:val="20"/>
      <w:vertAlign w:val="superscript"/>
      <w:lang w:eastAsia="ro-RO"/>
    </w:rPr>
  </w:style>
  <w:style w:type="paragraph" w:customStyle="1" w:styleId="CharChar3CaracterCaracter1CharCharCaracterCaracter1CaracterCaracterCharCharCaracterCaracterCharCharCaracterCaracterCharCharCaracterCaracter">
    <w:name w:val="Char Char3 Caracter Caracter1 Char Char Caracter Caracter1 Caracter Caracter Char Char Caracter Caracter Char Char Caracter Caracter Char Char Caracter Caracter"/>
    <w:basedOn w:val="Normal"/>
    <w:rsid w:val="00A80D65"/>
    <w:rPr>
      <w:lang w:eastAsia="pl-PL"/>
    </w:rPr>
  </w:style>
  <w:style w:type="paragraph" w:customStyle="1" w:styleId="CharCharCharChar1CharCharCharCharCharCharCharCharCharCharCharCharCaracterCaracterCharCharCaracterCharCharCaracterCaracterCharCharCharCharCharCharCaracterCaracterCharCharCharCharCharChar">
    <w:name w:val="Char Char Char Char1 Char Char Char Char Char Char Char Char Char Char Char Char Caracter Caracter Char Char Caracter Char Char Caracter Caracter Char Char Char Char Char Char Caracter Caracter Char Char Char Char Char Char"/>
    <w:basedOn w:val="Normal"/>
    <w:next w:val="Normal"/>
    <w:rsid w:val="0058286C"/>
    <w:pPr>
      <w:spacing w:after="160" w:line="240" w:lineRule="exact"/>
    </w:pPr>
    <w:rPr>
      <w:sz w:val="20"/>
      <w:szCs w:val="20"/>
      <w:vertAlign w:val="superscript"/>
      <w:lang w:eastAsia="ro-RO"/>
    </w:rPr>
  </w:style>
  <w:style w:type="paragraph" w:customStyle="1" w:styleId="CaracterCaracter1CharChar">
    <w:name w:val="Caracter Caracter1 Char Char"/>
    <w:basedOn w:val="Normal"/>
    <w:rsid w:val="0058286C"/>
    <w:rPr>
      <w:lang w:eastAsia="pl-PL"/>
    </w:rPr>
  </w:style>
  <w:style w:type="paragraph" w:customStyle="1" w:styleId="BVIfnrCharCharCaracterCharCaracterCharCaracterCharCaracterCharCaracterCharCaracterCharCaracter">
    <w:name w:val="BVI fnr Char Char Caracter Char Caracter Char Caracter Char Caracter Char Caracter Char Caracter Char Caracter"/>
    <w:basedOn w:val="Normal"/>
    <w:next w:val="Normal"/>
    <w:rsid w:val="0058286C"/>
    <w:pPr>
      <w:spacing w:after="160" w:line="240" w:lineRule="exact"/>
    </w:pPr>
    <w:rPr>
      <w:sz w:val="20"/>
      <w:szCs w:val="20"/>
      <w:vertAlign w:val="superscript"/>
      <w:lang w:eastAsia="ro-RO"/>
    </w:rPr>
  </w:style>
  <w:style w:type="paragraph" w:customStyle="1" w:styleId="CharCharCharChar1CharCharCharCharCharCharCharCharCharCharCharChar">
    <w:name w:val="Char Char Char Char1 Char Char Char Char Char Char Char Char Char Char Char Char"/>
    <w:aliases w:val=" BVI fnr Char Char Caracter Char Caracter Char Caracter Char Caracter Char Caracter Char, BVI fnr Char Char Caracter Char Caracter Char Char"/>
    <w:basedOn w:val="Normal"/>
    <w:next w:val="Normal"/>
    <w:rsid w:val="0058286C"/>
    <w:pPr>
      <w:spacing w:after="160" w:line="240" w:lineRule="exact"/>
    </w:pPr>
    <w:rPr>
      <w:sz w:val="20"/>
      <w:szCs w:val="20"/>
      <w:vertAlign w:val="superscript"/>
      <w:lang w:eastAsia="ro-RO"/>
    </w:rPr>
  </w:style>
  <w:style w:type="paragraph" w:styleId="List">
    <w:name w:val="List"/>
    <w:basedOn w:val="Normal"/>
    <w:rsid w:val="0058286C"/>
    <w:pPr>
      <w:ind w:left="360" w:hanging="360"/>
    </w:pPr>
  </w:style>
  <w:style w:type="paragraph" w:styleId="List2">
    <w:name w:val="List 2"/>
    <w:basedOn w:val="Normal"/>
    <w:rsid w:val="0058286C"/>
    <w:pPr>
      <w:ind w:left="720" w:hanging="360"/>
    </w:pPr>
  </w:style>
  <w:style w:type="paragraph" w:styleId="List3">
    <w:name w:val="List 3"/>
    <w:basedOn w:val="Normal"/>
    <w:rsid w:val="0058286C"/>
    <w:pPr>
      <w:ind w:left="1080" w:hanging="360"/>
    </w:pPr>
  </w:style>
  <w:style w:type="paragraph" w:styleId="ListBullet2">
    <w:name w:val="List Bullet 2"/>
    <w:basedOn w:val="Normal"/>
    <w:rsid w:val="0058286C"/>
    <w:pPr>
      <w:numPr>
        <w:numId w:val="5"/>
      </w:numPr>
    </w:pPr>
  </w:style>
  <w:style w:type="paragraph" w:styleId="ListBullet3">
    <w:name w:val="List Bullet 3"/>
    <w:basedOn w:val="Normal"/>
    <w:rsid w:val="0058286C"/>
    <w:pPr>
      <w:numPr>
        <w:numId w:val="6"/>
      </w:numPr>
    </w:pPr>
  </w:style>
  <w:style w:type="paragraph" w:styleId="ListContinue2">
    <w:name w:val="List Continue 2"/>
    <w:basedOn w:val="Normal"/>
    <w:rsid w:val="0058286C"/>
    <w:pPr>
      <w:spacing w:after="120"/>
      <w:ind w:left="720"/>
    </w:pPr>
  </w:style>
  <w:style w:type="paragraph" w:styleId="Caption">
    <w:name w:val="caption"/>
    <w:basedOn w:val="Normal"/>
    <w:next w:val="Normal"/>
    <w:qFormat/>
    <w:rsid w:val="0058286C"/>
    <w:rPr>
      <w:b/>
      <w:bCs/>
      <w:sz w:val="20"/>
      <w:szCs w:val="20"/>
    </w:rPr>
  </w:style>
  <w:style w:type="paragraph" w:styleId="BodyTextFirstIndent">
    <w:name w:val="Body Text First Indent"/>
    <w:basedOn w:val="BodyText"/>
    <w:link w:val="BodyTextFirstIndentChar"/>
    <w:rsid w:val="0058286C"/>
    <w:pPr>
      <w:ind w:firstLine="210"/>
    </w:pPr>
  </w:style>
  <w:style w:type="paragraph" w:styleId="BodyTextFirstIndent2">
    <w:name w:val="Body Text First Indent 2"/>
    <w:basedOn w:val="BodyTextIndent"/>
    <w:link w:val="BodyTextFirstIndent2Char"/>
    <w:rsid w:val="0058286C"/>
    <w:pPr>
      <w:ind w:firstLine="210"/>
    </w:pPr>
  </w:style>
  <w:style w:type="paragraph" w:customStyle="1" w:styleId="CaracterCharCharCaracterCharCharCaracterCharCharCaracterCaracterCaracterCharCharCaracterCharCharCaracterCaracterCaracterCaracter">
    <w:name w:val="Caracter Char Char Caracter Char Char Caracter Char Char Caracter Caracter Caracter Char Char Caracter Char Char Caracter Caracter Caracter Caracter"/>
    <w:basedOn w:val="Normal"/>
    <w:rsid w:val="0058286C"/>
    <w:rPr>
      <w:lang w:eastAsia="pl-PL"/>
    </w:rPr>
  </w:style>
  <w:style w:type="paragraph" w:customStyle="1" w:styleId="CharChar3CaracterCaracter1CharCharCaracterCaracter1CaracterCaracterCharCharCaracterCaracterCharCharCaracterCaracterCharCharCaracterCaracterCaracterCaracter1CaracterCaracterCharCharCaracterCaracter">
    <w:name w:val="Char Char3 Caracter Caracter1 Char Char Caracter Caracter1 Caracter Caracter Char Char Caracter Caracter Char Char Caracter Caracter Char Char Caracter Caracter Caracter Caracter1 Caracter Caracter Char Char Caracter Caracter"/>
    <w:basedOn w:val="Normal"/>
    <w:rsid w:val="0058286C"/>
    <w:rPr>
      <w:lang w:eastAsia="pl-PL"/>
    </w:rPr>
  </w:style>
  <w:style w:type="paragraph" w:customStyle="1" w:styleId="BVIfnrCharCharCaracterCharCaracterCharCaracterCharCaracterCharCaracterCharCaracterCharCaracterCharCharCharChar">
    <w:name w:val="BVI fnr Char Char Caracter Char Caracter Char Caracter Char Caracter Char Caracter Char Caracter Char Caracter Char Char Char Char"/>
    <w:basedOn w:val="Normal"/>
    <w:next w:val="Normal"/>
    <w:rsid w:val="0058286C"/>
    <w:pPr>
      <w:spacing w:after="160" w:line="240" w:lineRule="exact"/>
    </w:pPr>
    <w:rPr>
      <w:sz w:val="20"/>
      <w:szCs w:val="20"/>
      <w:vertAlign w:val="superscript"/>
      <w:lang w:eastAsia="ro-RO"/>
    </w:rPr>
  </w:style>
  <w:style w:type="paragraph" w:customStyle="1" w:styleId="BVIfnrCharCharCaracterCharCaracterCharCaracterCharCaracterCharCaracterCharCaracterCharCaracterCharCharCharCharCharCharCaracterCaracter">
    <w:name w:val="BVI fnr Char Char Caracter Char Caracter Char Caracter Char Caracter Char Caracter Char Caracter Char Caracter Char Char Char Char Char Char Caracter Caracter"/>
    <w:basedOn w:val="Normal"/>
    <w:next w:val="Normal"/>
    <w:rsid w:val="0058286C"/>
    <w:pPr>
      <w:spacing w:after="160" w:line="240" w:lineRule="exact"/>
    </w:pPr>
    <w:rPr>
      <w:sz w:val="20"/>
      <w:szCs w:val="20"/>
      <w:vertAlign w:val="superscript"/>
      <w:lang w:eastAsia="ro-RO"/>
    </w:rPr>
  </w:style>
  <w:style w:type="paragraph" w:customStyle="1" w:styleId="BVIfnrCharCharCaracterCharCaracterCharCaracterCharCaracterCharCaracterCharCaracterCharCaracterCharCharCharCharCharCharCaracterCaracterCharCharCharChar">
    <w:name w:val="BVI fnr Char Char Caracter Char Caracter Char Caracter Char Caracter Char Caracter Char Caracter Char Caracter Char Char Char Char Char Char Caracter Caracter Char Char Char Char"/>
    <w:basedOn w:val="Normal"/>
    <w:next w:val="Normal"/>
    <w:rsid w:val="0058286C"/>
    <w:pPr>
      <w:spacing w:after="160" w:line="240" w:lineRule="exact"/>
    </w:pPr>
    <w:rPr>
      <w:sz w:val="20"/>
      <w:szCs w:val="20"/>
      <w:vertAlign w:val="superscript"/>
      <w:lang w:eastAsia="ro-RO"/>
    </w:rPr>
  </w:style>
  <w:style w:type="paragraph" w:customStyle="1" w:styleId="CaracterCaracter7CharCharCharCharCharChar">
    <w:name w:val="Caracter Caracter7 Char Char Char Char Char Char"/>
    <w:basedOn w:val="Normal"/>
    <w:rsid w:val="0058286C"/>
    <w:rPr>
      <w:szCs w:val="20"/>
      <w:lang w:eastAsia="pl-PL"/>
    </w:rPr>
  </w:style>
  <w:style w:type="character" w:customStyle="1" w:styleId="tpa1">
    <w:name w:val="tpa1"/>
    <w:rsid w:val="0058286C"/>
    <w:rPr>
      <w:rFonts w:cs="Times New Roman"/>
    </w:rPr>
  </w:style>
  <w:style w:type="paragraph" w:styleId="PlainText">
    <w:name w:val="Plain Text"/>
    <w:basedOn w:val="Normal"/>
    <w:link w:val="PlainTextChar"/>
    <w:rsid w:val="0058286C"/>
    <w:rPr>
      <w:rFonts w:ascii="Consolas" w:eastAsia="MS Mincho" w:hAnsi="Consolas"/>
      <w:sz w:val="21"/>
      <w:szCs w:val="21"/>
    </w:rPr>
  </w:style>
  <w:style w:type="paragraph" w:customStyle="1" w:styleId="CM1">
    <w:name w:val="CM1"/>
    <w:basedOn w:val="Normal"/>
    <w:next w:val="Normal"/>
    <w:rsid w:val="0058286C"/>
    <w:pPr>
      <w:autoSpaceDE w:val="0"/>
      <w:autoSpaceDN w:val="0"/>
      <w:adjustRightInd w:val="0"/>
    </w:pPr>
    <w:rPr>
      <w:rFonts w:ascii="EUAlbertina" w:eastAsia="MS Mincho" w:hAnsi="EUAlbertina"/>
    </w:rPr>
  </w:style>
  <w:style w:type="paragraph" w:customStyle="1" w:styleId="CM3">
    <w:name w:val="CM3"/>
    <w:basedOn w:val="Normal"/>
    <w:next w:val="Normal"/>
    <w:rsid w:val="0058286C"/>
    <w:pPr>
      <w:autoSpaceDE w:val="0"/>
      <w:autoSpaceDN w:val="0"/>
      <w:adjustRightInd w:val="0"/>
    </w:pPr>
    <w:rPr>
      <w:rFonts w:ascii="EUAlbertina" w:eastAsia="MS Mincho" w:hAnsi="EUAlbertina"/>
    </w:rPr>
  </w:style>
  <w:style w:type="paragraph" w:customStyle="1" w:styleId="CM4">
    <w:name w:val="CM4"/>
    <w:basedOn w:val="Normal"/>
    <w:next w:val="Normal"/>
    <w:rsid w:val="0058286C"/>
    <w:pPr>
      <w:autoSpaceDE w:val="0"/>
      <w:autoSpaceDN w:val="0"/>
      <w:adjustRightInd w:val="0"/>
    </w:pPr>
    <w:rPr>
      <w:rFonts w:ascii="EUAlbertina" w:eastAsia="MS Mincho" w:hAnsi="EUAlbertina"/>
    </w:rPr>
  </w:style>
  <w:style w:type="paragraph" w:styleId="Revision">
    <w:name w:val="Revision"/>
    <w:hidden/>
    <w:rsid w:val="0058286C"/>
    <w:rPr>
      <w:sz w:val="24"/>
      <w:szCs w:val="24"/>
      <w:lang w:eastAsia="en-US"/>
    </w:rPr>
  </w:style>
  <w:style w:type="paragraph" w:styleId="TOC1">
    <w:name w:val="toc 1"/>
    <w:basedOn w:val="Normal"/>
    <w:next w:val="Normal"/>
    <w:autoRedefine/>
    <w:rsid w:val="0058286C"/>
  </w:style>
  <w:style w:type="paragraph" w:styleId="TOC2">
    <w:name w:val="toc 2"/>
    <w:basedOn w:val="Normal"/>
    <w:next w:val="Normal"/>
    <w:autoRedefine/>
    <w:rsid w:val="0058286C"/>
    <w:pPr>
      <w:ind w:left="240"/>
    </w:pPr>
  </w:style>
  <w:style w:type="paragraph" w:customStyle="1" w:styleId="CharChar1CharCharCharCharCharChar">
    <w:name w:val="Char Char1 Char Char Char Char Char Char"/>
    <w:aliases w:val=" Char Char Char Char1 Char Char Char Char Char Char Char Char Caracter Caracter Char1 Caracter Char, Char Char Char Char1 Char Char Char Char Char Char Char Char Caracter Caracter Char1"/>
    <w:basedOn w:val="Normal"/>
    <w:next w:val="Normal"/>
    <w:rsid w:val="00CF0FD2"/>
    <w:pPr>
      <w:spacing w:after="160" w:line="240" w:lineRule="exact"/>
    </w:pPr>
    <w:rPr>
      <w:sz w:val="20"/>
      <w:szCs w:val="20"/>
      <w:vertAlign w:val="superscript"/>
      <w:lang w:eastAsia="ro-RO"/>
    </w:rPr>
  </w:style>
  <w:style w:type="paragraph" w:customStyle="1" w:styleId="astandardsous-titre201">
    <w:name w:val="a_standard_sous-titre_20_1"/>
    <w:basedOn w:val="Normal"/>
    <w:rsid w:val="00CF0FD2"/>
    <w:pPr>
      <w:spacing w:before="240" w:after="80"/>
      <w:ind w:right="57"/>
    </w:pPr>
    <w:rPr>
      <w:b/>
      <w:bCs/>
    </w:rPr>
  </w:style>
  <w:style w:type="character" w:customStyle="1" w:styleId="at2">
    <w:name w:val="a__t2"/>
    <w:basedOn w:val="DefaultParagraphFont"/>
    <w:rsid w:val="00CF0FD2"/>
  </w:style>
  <w:style w:type="character" w:customStyle="1" w:styleId="at5">
    <w:name w:val="a__t5"/>
    <w:basedOn w:val="DefaultParagraphFont"/>
    <w:rsid w:val="00CF0FD2"/>
  </w:style>
  <w:style w:type="paragraph" w:customStyle="1" w:styleId="firstp">
    <w:name w:val="firstp"/>
    <w:basedOn w:val="Normal"/>
    <w:rsid w:val="00CF0FD2"/>
    <w:pPr>
      <w:spacing w:line="270" w:lineRule="atLeast"/>
    </w:pPr>
    <w:rPr>
      <w:rFonts w:ascii="Arial" w:hAnsi="Arial" w:cs="Arial"/>
      <w:color w:val="333333"/>
      <w:sz w:val="18"/>
      <w:szCs w:val="18"/>
    </w:rPr>
  </w:style>
  <w:style w:type="paragraph" w:customStyle="1" w:styleId="CaracterCaracter2CharCharCaracterCaracterCharCharCaracterCaracterCharChar">
    <w:name w:val="Caracter Caracter2 Char Char Caracter Caracter Char Char Caracter Caracter Char Char"/>
    <w:basedOn w:val="Normal"/>
    <w:rsid w:val="00CF0FD2"/>
    <w:rPr>
      <w:lang w:eastAsia="pl-PL"/>
    </w:rPr>
  </w:style>
  <w:style w:type="paragraph" w:customStyle="1" w:styleId="CharChar3CaracterCaracter10">
    <w:name w:val="Char Char3 Caracter Caracter1"/>
    <w:basedOn w:val="Normal"/>
    <w:rsid w:val="00CF0FD2"/>
    <w:rPr>
      <w:lang w:eastAsia="pl-PL"/>
    </w:rPr>
  </w:style>
  <w:style w:type="paragraph" w:customStyle="1" w:styleId="CaracterCaracterCharCharCaracterCaracterCharCharCaracterCaracterCharCharCaracterCaracterCharCharCaracterCaracterCharCharCaracterCaracter">
    <w:name w:val="Caracter Caracter Char Char Caracter Caracter Char Char Caracter Caracter Char Char Caracter Caracter Char Char Caracter Caracter Char Char Caracter Caracter"/>
    <w:basedOn w:val="Normal"/>
    <w:rsid w:val="00CF0FD2"/>
    <w:pPr>
      <w:spacing w:after="160" w:line="240" w:lineRule="exact"/>
    </w:pPr>
    <w:rPr>
      <w:rFonts w:ascii="Tahoma" w:hAnsi="Tahoma"/>
      <w:sz w:val="20"/>
      <w:szCs w:val="20"/>
    </w:rPr>
  </w:style>
  <w:style w:type="paragraph" w:customStyle="1" w:styleId="CharCharCaracterCaracterCharCharCaracterCaracterCharCharCaracterCaracter">
    <w:name w:val="Char Char Caracter Caracter Char Char Caracter Caracter Char Char Caracter Caracter"/>
    <w:basedOn w:val="Normal"/>
    <w:rsid w:val="00CF0FD2"/>
    <w:rPr>
      <w:lang w:eastAsia="pl-PL"/>
    </w:rPr>
  </w:style>
  <w:style w:type="paragraph" w:customStyle="1" w:styleId="DefaultText2">
    <w:name w:val="Default Text:2"/>
    <w:basedOn w:val="Normal"/>
    <w:rsid w:val="00CF0FD2"/>
    <w:pPr>
      <w:autoSpaceDE w:val="0"/>
      <w:autoSpaceDN w:val="0"/>
      <w:adjustRightInd w:val="0"/>
    </w:pPr>
  </w:style>
  <w:style w:type="paragraph" w:customStyle="1" w:styleId="CharChar3CaracterCaracter0">
    <w:name w:val="Char Char3 Caracter Caracter"/>
    <w:basedOn w:val="Normal"/>
    <w:rsid w:val="00CF0FD2"/>
    <w:rPr>
      <w:lang w:eastAsia="pl-PL"/>
    </w:rPr>
  </w:style>
  <w:style w:type="character" w:customStyle="1" w:styleId="FontStyle18">
    <w:name w:val="Font Style18"/>
    <w:rsid w:val="00CF0FD2"/>
    <w:rPr>
      <w:rFonts w:ascii="Arial" w:hAnsi="Arial" w:cs="Arial"/>
      <w:b/>
      <w:bCs/>
      <w:sz w:val="22"/>
      <w:szCs w:val="22"/>
    </w:rPr>
  </w:style>
  <w:style w:type="character" w:customStyle="1" w:styleId="FontStyle19">
    <w:name w:val="Font Style19"/>
    <w:rsid w:val="00CF0FD2"/>
    <w:rPr>
      <w:rFonts w:ascii="Arial" w:hAnsi="Arial" w:cs="Arial"/>
      <w:sz w:val="22"/>
      <w:szCs w:val="22"/>
    </w:rPr>
  </w:style>
  <w:style w:type="paragraph" w:customStyle="1" w:styleId="CaracterCaracter20">
    <w:name w:val="Caracter Caracter2"/>
    <w:basedOn w:val="Normal"/>
    <w:rsid w:val="00CF0FD2"/>
    <w:rPr>
      <w:lang w:eastAsia="pl-PL"/>
    </w:rPr>
  </w:style>
  <w:style w:type="paragraph" w:customStyle="1" w:styleId="BVIfnrCharChar">
    <w:name w:val="BVI fnr Char Char"/>
    <w:aliases w:val="Footnote Reference Number Char Char,Times 10 Point Char Char, Exposant 3 Point Char Char,Footnote symbol Char Char,Footnote reference number Char Char,Exposant 3 Point Char Char, BVI fnr,BVI fnr, BVI fnr Char Char,Times 10 Point"/>
    <w:basedOn w:val="Normal"/>
    <w:next w:val="Normal"/>
    <w:rsid w:val="00CF0FD2"/>
    <w:pPr>
      <w:spacing w:after="160" w:line="240" w:lineRule="exact"/>
    </w:pPr>
    <w:rPr>
      <w:sz w:val="20"/>
      <w:szCs w:val="20"/>
      <w:vertAlign w:val="superscript"/>
      <w:lang w:eastAsia="ro-RO"/>
    </w:rPr>
  </w:style>
  <w:style w:type="paragraph" w:customStyle="1" w:styleId="BVIfnrCharCharCaracterCharCaracterCharCaracter">
    <w:name w:val="BVI fnr Char Char Caracter Char Caracter Char Caracter"/>
    <w:aliases w:val="Footnote Reference Number Char Char Caracter Char Caracter Char Caracter, BVI fnr Char Char Caracter Char Caracter Char Caracter"/>
    <w:basedOn w:val="Normal"/>
    <w:next w:val="Normal"/>
    <w:rsid w:val="00CF0FD2"/>
    <w:pPr>
      <w:spacing w:after="160" w:line="240" w:lineRule="exact"/>
    </w:pPr>
    <w:rPr>
      <w:sz w:val="20"/>
      <w:szCs w:val="20"/>
      <w:vertAlign w:val="superscript"/>
      <w:lang w:eastAsia="ro-RO"/>
    </w:rPr>
  </w:style>
  <w:style w:type="paragraph" w:customStyle="1" w:styleId="CaracterCaracter2CharCharCaracterCaracterCharCharCaracterCaracter">
    <w:name w:val="Caracter Caracter2 Char Char Caracter Caracter Char Char Caracter Caracter"/>
    <w:basedOn w:val="Normal"/>
    <w:rsid w:val="00CF0FD2"/>
    <w:rPr>
      <w:lang w:eastAsia="pl-PL"/>
    </w:rPr>
  </w:style>
  <w:style w:type="paragraph" w:customStyle="1" w:styleId="CaracterCharCharCaracterCharChar0">
    <w:name w:val="Caracter Char Char Caracter Char Char"/>
    <w:basedOn w:val="Normal"/>
    <w:rsid w:val="00CF0FD2"/>
    <w:rPr>
      <w:rFonts w:eastAsia="Calibri"/>
      <w:lang w:eastAsia="pl-PL"/>
    </w:rPr>
  </w:style>
  <w:style w:type="paragraph" w:customStyle="1" w:styleId="CharChar3CaracterCaracter1CharCharCaracterCaracter1CaracterCaracterCharCharCaracterCaracterCharCharCaracterCaracter">
    <w:name w:val="Char Char3 Caracter Caracter1 Char Char Caracter Caracter1 Caracter Caracter Char Char Caracter Caracter Char Char Caracter Caracter"/>
    <w:basedOn w:val="Normal"/>
    <w:rsid w:val="00CF0FD2"/>
    <w:rPr>
      <w:lang w:eastAsia="pl-PL"/>
    </w:rPr>
  </w:style>
  <w:style w:type="paragraph" w:customStyle="1" w:styleId="BVIfnrCharCharCaracterCharCaracterCharChar">
    <w:name w:val="BVI fnr Char Char Caracter Char Caracter Char Char"/>
    <w:basedOn w:val="Normal"/>
    <w:next w:val="Normal"/>
    <w:rsid w:val="00CF0FD2"/>
    <w:pPr>
      <w:spacing w:after="160" w:line="240" w:lineRule="exact"/>
    </w:pPr>
    <w:rPr>
      <w:sz w:val="20"/>
      <w:szCs w:val="20"/>
      <w:vertAlign w:val="superscript"/>
      <w:lang w:eastAsia="ro-RO"/>
    </w:rPr>
  </w:style>
  <w:style w:type="paragraph" w:customStyle="1" w:styleId="BVIfnrCharCharCaracterCharCaracterCharCaracterCharCaracter">
    <w:name w:val="BVI fnr Char Char Caracter Char Caracter Char Caracter Char Caracter"/>
    <w:aliases w:val=" BVI fnr Char Char Caracter,BVI fnr Char Char Caracter,Times 10 Point Char Char Caracter, BVI fnr Char Char Caracter Char Caracter Char Caracter Char Caracter"/>
    <w:basedOn w:val="Normal"/>
    <w:next w:val="Normal"/>
    <w:rsid w:val="00CF0FD2"/>
    <w:pPr>
      <w:spacing w:after="160" w:line="240" w:lineRule="exact"/>
    </w:pPr>
    <w:rPr>
      <w:sz w:val="20"/>
      <w:szCs w:val="20"/>
      <w:vertAlign w:val="superscript"/>
      <w:lang w:eastAsia="ro-RO"/>
    </w:rPr>
  </w:style>
  <w:style w:type="paragraph" w:customStyle="1" w:styleId="CaracterCaracter2CharCharCaracterCaracter">
    <w:name w:val="Caracter Caracter2 Char Char Caracter Caracter"/>
    <w:basedOn w:val="Normal"/>
    <w:rsid w:val="00CF0FD2"/>
    <w:rPr>
      <w:szCs w:val="20"/>
      <w:lang w:eastAsia="pl-PL"/>
    </w:rPr>
  </w:style>
  <w:style w:type="paragraph" w:customStyle="1" w:styleId="Frspaiere">
    <w:name w:val="Fără spațiere"/>
    <w:qFormat/>
    <w:rsid w:val="00CF0FD2"/>
    <w:pPr>
      <w:overflowPunct w:val="0"/>
      <w:autoSpaceDE w:val="0"/>
      <w:autoSpaceDN w:val="0"/>
      <w:adjustRightInd w:val="0"/>
      <w:textAlignment w:val="baseline"/>
    </w:pPr>
    <w:rPr>
      <w:rFonts w:ascii="Times New Roman Rom" w:hAnsi="Times New Roman Rom"/>
      <w:sz w:val="32"/>
    </w:rPr>
  </w:style>
  <w:style w:type="paragraph" w:customStyle="1" w:styleId="CharCharCharChar1CharCharCharCharCharCharCharCharCharChar">
    <w:name w:val="Char Char Char Char1 Char Char Char Char Char Char Char Char Char Char"/>
    <w:basedOn w:val="Normal"/>
    <w:next w:val="Normal"/>
    <w:rsid w:val="00CF0FD2"/>
    <w:pPr>
      <w:spacing w:after="160" w:line="240" w:lineRule="exact"/>
    </w:pPr>
    <w:rPr>
      <w:sz w:val="20"/>
      <w:szCs w:val="20"/>
      <w:vertAlign w:val="superscript"/>
      <w:lang w:eastAsia="ro-RO"/>
    </w:rPr>
  </w:style>
  <w:style w:type="paragraph" w:customStyle="1" w:styleId="CharCharCaracterCaracterCharCharCaracterCaracterCharChar0">
    <w:name w:val="Char Char Caracter Caracter Char Char Caracter Caracter Char Char"/>
    <w:basedOn w:val="Normal"/>
    <w:rsid w:val="00CF0FD2"/>
    <w:rPr>
      <w:lang w:eastAsia="pl-PL"/>
    </w:rPr>
  </w:style>
  <w:style w:type="paragraph" w:customStyle="1" w:styleId="CharChar3CaracterCaracter1CharCharCaracterCaracter1CaracterCaracterCharCharCaracterCaracterCharCharCaracterCaracterCharCharCaracterCaracterCaracterCaracter1CaracterCaracter">
    <w:name w:val="Char Char3 Caracter Caracter1 Char Char Caracter Caracter1 Caracter Caracter Char Char Caracter Caracter Char Char Caracter Caracter Char Char Caracter Caracter Caracter Caracter1 Caracter Caracter"/>
    <w:basedOn w:val="Normal"/>
    <w:rsid w:val="00CF0FD2"/>
    <w:rPr>
      <w:lang w:eastAsia="pl-PL"/>
    </w:rPr>
  </w:style>
  <w:style w:type="paragraph" w:customStyle="1" w:styleId="CharChar3CaracterCaracter1CharCharCaracterCaracter1CaracterCaracterCharCharCaracterCaracterCharCharCaracterCaracterCharCharCaracterCaracterCaracterCaracter1CaracterCaracter0">
    <w:name w:val="Char Char3 Caracter Caracter1 Char Char Caracter Caracter1 Caracter Caracter Char Char Caracter Caracter Char Char Caracter Caracter Char Char Caracter Caracter Caracter Caracter1 Caracter Caracter"/>
    <w:basedOn w:val="Normal"/>
    <w:rsid w:val="00CF0FD2"/>
    <w:rPr>
      <w:lang w:eastAsia="pl-PL"/>
    </w:rPr>
  </w:style>
  <w:style w:type="paragraph" w:customStyle="1" w:styleId="CaracterCaracter1CaracterCharCharCaracterCaracter">
    <w:name w:val="Caracter Caracter1 Caracter Char Char Caracter Caracter"/>
    <w:basedOn w:val="Normal"/>
    <w:rsid w:val="00CF0FD2"/>
    <w:rPr>
      <w:lang w:eastAsia="pl-PL"/>
    </w:rPr>
  </w:style>
  <w:style w:type="paragraph" w:customStyle="1" w:styleId="CaracterCaracter1CharCharCaracterCaracter1">
    <w:name w:val="Caracter Caracter1 Char Char Caracter Caracter1"/>
    <w:basedOn w:val="Normal"/>
    <w:rsid w:val="00CF0FD2"/>
    <w:rPr>
      <w:lang w:eastAsia="pl-PL"/>
    </w:rPr>
  </w:style>
  <w:style w:type="paragraph" w:customStyle="1" w:styleId="BVIfnrCharCharCaracterCharCaracterCharCaracterCharCaracterCharCaracter">
    <w:name w:val="BVI fnr Char Char Caracter Char Caracter Char Caracter Char Caracter Char Caracter"/>
    <w:aliases w:val="BVI fnr Char Char Caracter Char Caracter"/>
    <w:basedOn w:val="Normal"/>
    <w:next w:val="Normal"/>
    <w:rsid w:val="00CF0FD2"/>
    <w:pPr>
      <w:spacing w:after="160" w:line="240" w:lineRule="exact"/>
    </w:pPr>
    <w:rPr>
      <w:rFonts w:ascii="Calibri" w:hAnsi="Calibri"/>
      <w:sz w:val="22"/>
      <w:szCs w:val="22"/>
      <w:vertAlign w:val="superscript"/>
    </w:rPr>
  </w:style>
  <w:style w:type="paragraph" w:customStyle="1" w:styleId="CaracterCaracter7">
    <w:name w:val="Caracter Caracter7"/>
    <w:basedOn w:val="Normal"/>
    <w:rsid w:val="00CF0FD2"/>
    <w:rPr>
      <w:lang w:eastAsia="pl-PL"/>
    </w:rPr>
  </w:style>
  <w:style w:type="character" w:customStyle="1" w:styleId="WW8Num1z0">
    <w:name w:val="WW8Num1z0"/>
    <w:rsid w:val="00CF0FD2"/>
    <w:rPr>
      <w:rFonts w:ascii="Times New Roman" w:eastAsia="Times New Roman" w:hAnsi="Times New Roman" w:cs="Times New Roman"/>
      <w:b/>
      <w:color w:val="000000"/>
      <w:sz w:val="24"/>
      <w:szCs w:val="24"/>
    </w:rPr>
  </w:style>
  <w:style w:type="character" w:customStyle="1" w:styleId="WW8Num1z1">
    <w:name w:val="WW8Num1z1"/>
    <w:rsid w:val="00CF0FD2"/>
  </w:style>
  <w:style w:type="character" w:customStyle="1" w:styleId="WW8Num1z2">
    <w:name w:val="WW8Num1z2"/>
    <w:rsid w:val="00CF0FD2"/>
  </w:style>
  <w:style w:type="character" w:customStyle="1" w:styleId="WW8Num1z3">
    <w:name w:val="WW8Num1z3"/>
    <w:rsid w:val="00CF0FD2"/>
  </w:style>
  <w:style w:type="character" w:customStyle="1" w:styleId="WW8Num1z4">
    <w:name w:val="WW8Num1z4"/>
    <w:rsid w:val="00CF0FD2"/>
  </w:style>
  <w:style w:type="character" w:customStyle="1" w:styleId="WW8Num1z5">
    <w:name w:val="WW8Num1z5"/>
    <w:rsid w:val="00CF0FD2"/>
  </w:style>
  <w:style w:type="character" w:customStyle="1" w:styleId="WW8Num1z6">
    <w:name w:val="WW8Num1z6"/>
    <w:rsid w:val="00CF0FD2"/>
  </w:style>
  <w:style w:type="character" w:customStyle="1" w:styleId="WW8Num1z7">
    <w:name w:val="WW8Num1z7"/>
    <w:rsid w:val="00CF0FD2"/>
  </w:style>
  <w:style w:type="character" w:customStyle="1" w:styleId="WW8Num1z8">
    <w:name w:val="WW8Num1z8"/>
    <w:rsid w:val="00CF0FD2"/>
  </w:style>
  <w:style w:type="character" w:customStyle="1" w:styleId="WW8Num2z0">
    <w:name w:val="WW8Num2z0"/>
    <w:rsid w:val="00CF0FD2"/>
    <w:rPr>
      <w:rFonts w:ascii="Times New Roman" w:eastAsia="Times New Roman" w:hAnsi="Times New Roman" w:cs="Times New Roman"/>
      <w:b/>
      <w:color w:val="000000"/>
      <w:sz w:val="24"/>
      <w:szCs w:val="24"/>
    </w:rPr>
  </w:style>
  <w:style w:type="character" w:customStyle="1" w:styleId="WW8Num2z1">
    <w:name w:val="WW8Num2z1"/>
    <w:rsid w:val="00CF0FD2"/>
  </w:style>
  <w:style w:type="character" w:customStyle="1" w:styleId="WW8Num2z2">
    <w:name w:val="WW8Num2z2"/>
    <w:rsid w:val="00CF0FD2"/>
  </w:style>
  <w:style w:type="character" w:customStyle="1" w:styleId="WW8Num2z3">
    <w:name w:val="WW8Num2z3"/>
    <w:rsid w:val="00CF0FD2"/>
  </w:style>
  <w:style w:type="character" w:customStyle="1" w:styleId="WW8Num2z4">
    <w:name w:val="WW8Num2z4"/>
    <w:rsid w:val="00CF0FD2"/>
  </w:style>
  <w:style w:type="character" w:customStyle="1" w:styleId="WW8Num2z5">
    <w:name w:val="WW8Num2z5"/>
    <w:rsid w:val="00CF0FD2"/>
  </w:style>
  <w:style w:type="character" w:customStyle="1" w:styleId="WW8Num2z6">
    <w:name w:val="WW8Num2z6"/>
    <w:rsid w:val="00CF0FD2"/>
  </w:style>
  <w:style w:type="character" w:customStyle="1" w:styleId="WW8Num2z7">
    <w:name w:val="WW8Num2z7"/>
    <w:rsid w:val="00CF0FD2"/>
  </w:style>
  <w:style w:type="character" w:customStyle="1" w:styleId="WW8Num2z8">
    <w:name w:val="WW8Num2z8"/>
    <w:rsid w:val="00CF0FD2"/>
  </w:style>
  <w:style w:type="character" w:customStyle="1" w:styleId="WW8Num3z0">
    <w:name w:val="WW8Num3z0"/>
    <w:rsid w:val="00CF0FD2"/>
    <w:rPr>
      <w:rFonts w:ascii="Symbol" w:hAnsi="Symbol" w:cs="Symbol"/>
      <w:color w:val="0033CC"/>
      <w:sz w:val="24"/>
      <w:szCs w:val="24"/>
    </w:rPr>
  </w:style>
  <w:style w:type="character" w:customStyle="1" w:styleId="WW8Num4z0">
    <w:name w:val="WW8Num4z0"/>
    <w:rsid w:val="00CF0FD2"/>
    <w:rPr>
      <w:rFonts w:ascii="Symbol" w:eastAsia="Times New Roman" w:hAnsi="Symbol" w:cs="Symbol"/>
      <w:color w:val="000000"/>
      <w:sz w:val="24"/>
      <w:szCs w:val="24"/>
    </w:rPr>
  </w:style>
  <w:style w:type="character" w:customStyle="1" w:styleId="WW8Num5z0">
    <w:name w:val="WW8Num5z0"/>
    <w:rsid w:val="00CF0FD2"/>
    <w:rPr>
      <w:rFonts w:ascii="Symbol" w:eastAsia="Times New Roman" w:hAnsi="Symbol" w:cs="Symbol"/>
      <w:color w:val="auto"/>
      <w:sz w:val="24"/>
      <w:szCs w:val="24"/>
      <w:lang w:eastAsia="zh-CN" w:bidi="ar-SA"/>
    </w:rPr>
  </w:style>
  <w:style w:type="character" w:customStyle="1" w:styleId="WW8Num6z0">
    <w:name w:val="WW8Num6z0"/>
    <w:rsid w:val="00CF0FD2"/>
    <w:rPr>
      <w:b w:val="0"/>
    </w:rPr>
  </w:style>
  <w:style w:type="character" w:customStyle="1" w:styleId="WW8Num7z0">
    <w:name w:val="WW8Num7z0"/>
    <w:rsid w:val="00CF0FD2"/>
    <w:rPr>
      <w:rFonts w:ascii="Arial Narrow" w:eastAsia="Times New Roman" w:hAnsi="Arial Narrow" w:cs="Arial Narrow"/>
      <w:b/>
      <w:i/>
      <w:szCs w:val="24"/>
    </w:rPr>
  </w:style>
  <w:style w:type="character" w:customStyle="1" w:styleId="WW8Num8z0">
    <w:name w:val="WW8Num8z0"/>
    <w:rsid w:val="00CF0FD2"/>
    <w:rPr>
      <w:rFonts w:ascii="Arial Narrow" w:hAnsi="Arial Narrow" w:cs="Arial Narrow"/>
    </w:rPr>
  </w:style>
  <w:style w:type="character" w:customStyle="1" w:styleId="WW8Num9z0">
    <w:name w:val="WW8Num9z0"/>
    <w:rsid w:val="00CF0FD2"/>
  </w:style>
  <w:style w:type="character" w:customStyle="1" w:styleId="WW8Num9z1">
    <w:name w:val="WW8Num9z1"/>
    <w:rsid w:val="00CF0FD2"/>
  </w:style>
  <w:style w:type="character" w:customStyle="1" w:styleId="WW8Num9z2">
    <w:name w:val="WW8Num9z2"/>
    <w:rsid w:val="00CF0FD2"/>
    <w:rPr>
      <w:color w:val="000080"/>
    </w:rPr>
  </w:style>
  <w:style w:type="character" w:customStyle="1" w:styleId="WW8Num9z3">
    <w:name w:val="WW8Num9z3"/>
    <w:rsid w:val="00CF0FD2"/>
  </w:style>
  <w:style w:type="character" w:customStyle="1" w:styleId="WW8Num9z4">
    <w:name w:val="WW8Num9z4"/>
    <w:rsid w:val="00CF0FD2"/>
  </w:style>
  <w:style w:type="character" w:customStyle="1" w:styleId="WW8Num9z5">
    <w:name w:val="WW8Num9z5"/>
    <w:rsid w:val="00CF0FD2"/>
  </w:style>
  <w:style w:type="character" w:customStyle="1" w:styleId="WW8Num9z6">
    <w:name w:val="WW8Num9z6"/>
    <w:rsid w:val="00CF0FD2"/>
  </w:style>
  <w:style w:type="character" w:customStyle="1" w:styleId="WW8Num9z7">
    <w:name w:val="WW8Num9z7"/>
    <w:rsid w:val="00CF0FD2"/>
  </w:style>
  <w:style w:type="character" w:customStyle="1" w:styleId="WW8Num9z8">
    <w:name w:val="WW8Num9z8"/>
    <w:rsid w:val="00CF0FD2"/>
  </w:style>
  <w:style w:type="character" w:customStyle="1" w:styleId="WW8Num10z0">
    <w:name w:val="WW8Num10z0"/>
    <w:rsid w:val="00CF0FD2"/>
    <w:rPr>
      <w:rFonts w:ascii="Symbol" w:hAnsi="Symbol" w:cs="Symbol"/>
      <w:color w:val="auto"/>
    </w:rPr>
  </w:style>
  <w:style w:type="character" w:customStyle="1" w:styleId="WW8Num11z0">
    <w:name w:val="WW8Num11z0"/>
    <w:rsid w:val="00CF0FD2"/>
    <w:rPr>
      <w:rFonts w:ascii="Arial" w:eastAsia="Times New Roman" w:hAnsi="Arial" w:cs="Times New Roman"/>
      <w:b/>
      <w:i/>
      <w:szCs w:val="24"/>
      <w:lang w:eastAsia="ro-RO"/>
    </w:rPr>
  </w:style>
  <w:style w:type="character" w:customStyle="1" w:styleId="WW8Num12z0">
    <w:name w:val="WW8Num12z0"/>
    <w:rsid w:val="00CF0FD2"/>
    <w:rPr>
      <w:rFonts w:ascii="Arial Narrow" w:eastAsia="Times New Roman" w:hAnsi="Arial Narrow" w:cs="Times New Roman"/>
      <w:b/>
      <w:bCs/>
      <w:i/>
      <w:color w:val="000000"/>
      <w:szCs w:val="24"/>
    </w:rPr>
  </w:style>
  <w:style w:type="character" w:customStyle="1" w:styleId="WW8Num13z0">
    <w:name w:val="WW8Num13z0"/>
    <w:rsid w:val="00CF0FD2"/>
    <w:rPr>
      <w:rFonts w:ascii="Arial Narrow" w:hAnsi="Arial Narrow" w:cs="Arial Narrow"/>
    </w:rPr>
  </w:style>
  <w:style w:type="character" w:customStyle="1" w:styleId="WW8Num14z0">
    <w:name w:val="WW8Num14z0"/>
    <w:rsid w:val="00CF0FD2"/>
    <w:rPr>
      <w:rFonts w:ascii="Arial Narrow" w:eastAsia="Times New Roman" w:hAnsi="Arial Narrow" w:cs="Arial Narrow"/>
      <w:b/>
      <w:i/>
      <w:szCs w:val="24"/>
    </w:rPr>
  </w:style>
  <w:style w:type="character" w:customStyle="1" w:styleId="WW8Num15z0">
    <w:name w:val="WW8Num15z0"/>
    <w:rsid w:val="00CF0FD2"/>
    <w:rPr>
      <w:rFonts w:ascii="Arial Narrow" w:hAnsi="Arial Narrow" w:cs="Calibri"/>
    </w:rPr>
  </w:style>
  <w:style w:type="character" w:customStyle="1" w:styleId="WW8Num16z0">
    <w:name w:val="WW8Num16z0"/>
    <w:rsid w:val="00CF0FD2"/>
    <w:rPr>
      <w:rFonts w:ascii="Wingdings" w:eastAsia="Times New Roman" w:hAnsi="Wingdings" w:cs="OpenSymbol"/>
      <w:szCs w:val="24"/>
    </w:rPr>
  </w:style>
  <w:style w:type="character" w:customStyle="1" w:styleId="WW8Num16z1">
    <w:name w:val="WW8Num16z1"/>
    <w:rsid w:val="00CF0FD2"/>
    <w:rPr>
      <w:rFonts w:ascii="Courier New" w:eastAsia="Times New Roman" w:hAnsi="Courier New" w:cs="Courier New"/>
      <w:sz w:val="24"/>
      <w:szCs w:val="24"/>
    </w:rPr>
  </w:style>
  <w:style w:type="character" w:customStyle="1" w:styleId="WW8Num16z2">
    <w:name w:val="WW8Num16z2"/>
    <w:rsid w:val="00CF0FD2"/>
    <w:rPr>
      <w:rFonts w:ascii="Wingdings" w:hAnsi="Wingdings" w:cs="Wingdings"/>
    </w:rPr>
  </w:style>
  <w:style w:type="character" w:customStyle="1" w:styleId="WW8Num16z3">
    <w:name w:val="WW8Num16z3"/>
    <w:rsid w:val="00CF0FD2"/>
    <w:rPr>
      <w:rFonts w:ascii="Symbol" w:hAnsi="Symbol" w:cs="Symbol"/>
      <w:sz w:val="24"/>
      <w:szCs w:val="24"/>
      <w:shd w:val="clear" w:color="auto" w:fill="auto"/>
    </w:rPr>
  </w:style>
  <w:style w:type="character" w:customStyle="1" w:styleId="WW8Num17z0">
    <w:name w:val="WW8Num17z0"/>
    <w:rsid w:val="00CF0FD2"/>
    <w:rPr>
      <w:rFonts w:ascii="Symbol" w:eastAsia="Times New Roman" w:hAnsi="Symbol" w:cs="OpenSymbol"/>
      <w:color w:val="auto"/>
      <w:sz w:val="24"/>
      <w:szCs w:val="24"/>
      <w:shd w:val="clear" w:color="auto" w:fill="FFFFFF"/>
      <w:lang w:eastAsia="zh-CN" w:bidi="ar-SA"/>
    </w:rPr>
  </w:style>
  <w:style w:type="character" w:customStyle="1" w:styleId="WW8Num17z1">
    <w:name w:val="WW8Num17z1"/>
    <w:rsid w:val="00CF0FD2"/>
    <w:rPr>
      <w:rFonts w:ascii="Courier New" w:hAnsi="Courier New" w:cs="Courier New"/>
    </w:rPr>
  </w:style>
  <w:style w:type="character" w:customStyle="1" w:styleId="WW8Num17z2">
    <w:name w:val="WW8Num17z2"/>
    <w:rsid w:val="00CF0FD2"/>
    <w:rPr>
      <w:rFonts w:ascii="Wingdings" w:hAnsi="Wingdings" w:cs="Wingdings"/>
      <w:sz w:val="24"/>
      <w:szCs w:val="24"/>
    </w:rPr>
  </w:style>
  <w:style w:type="character" w:customStyle="1" w:styleId="WW8Num17z3">
    <w:name w:val="WW8Num17z3"/>
    <w:rsid w:val="00CF0FD2"/>
    <w:rPr>
      <w:rFonts w:ascii="Symbol" w:hAnsi="Symbol" w:cs="Symbol"/>
    </w:rPr>
  </w:style>
  <w:style w:type="character" w:customStyle="1" w:styleId="WW8Num18z0">
    <w:name w:val="WW8Num18z0"/>
    <w:rsid w:val="00CF0FD2"/>
    <w:rPr>
      <w:rFonts w:ascii="Symbol" w:hAnsi="Symbol" w:cs="OpenSymbol"/>
    </w:rPr>
  </w:style>
  <w:style w:type="character" w:customStyle="1" w:styleId="WW8Num18z1">
    <w:name w:val="WW8Num18z1"/>
    <w:rsid w:val="00CF0FD2"/>
    <w:rPr>
      <w:rFonts w:ascii="OpenSymbol" w:hAnsi="OpenSymbol" w:cs="OpenSymbol"/>
    </w:rPr>
  </w:style>
  <w:style w:type="character" w:customStyle="1" w:styleId="WW8Num18z3">
    <w:name w:val="WW8Num18z3"/>
    <w:rsid w:val="00CF0FD2"/>
    <w:rPr>
      <w:rFonts w:ascii="Symbol" w:hAnsi="Symbol" w:cs="OpenSymbol"/>
      <w:sz w:val="24"/>
      <w:szCs w:val="24"/>
    </w:rPr>
  </w:style>
  <w:style w:type="character" w:customStyle="1" w:styleId="WW8Num19z0">
    <w:name w:val="WW8Num19z0"/>
    <w:rsid w:val="00CF0FD2"/>
    <w:rPr>
      <w:rFonts w:ascii="Symbol" w:hAnsi="Symbol" w:cs="OpenSymbol"/>
      <w:szCs w:val="24"/>
    </w:rPr>
  </w:style>
  <w:style w:type="character" w:customStyle="1" w:styleId="WW8Num19z1">
    <w:name w:val="WW8Num19z1"/>
    <w:rsid w:val="00CF0FD2"/>
    <w:rPr>
      <w:rFonts w:ascii="OpenSymbol" w:hAnsi="OpenSymbol" w:cs="OpenSymbol"/>
    </w:rPr>
  </w:style>
  <w:style w:type="character" w:customStyle="1" w:styleId="WW8Num20z0">
    <w:name w:val="WW8Num20z0"/>
    <w:rsid w:val="00CF0FD2"/>
    <w:rPr>
      <w:rFonts w:ascii="Wingdings" w:eastAsia="Times New Roman" w:hAnsi="Wingdings" w:cs="OpenSymbol"/>
      <w:szCs w:val="24"/>
    </w:rPr>
  </w:style>
  <w:style w:type="character" w:customStyle="1" w:styleId="WW8Num20z1">
    <w:name w:val="WW8Num20z1"/>
    <w:rsid w:val="00CF0FD2"/>
    <w:rPr>
      <w:rFonts w:ascii="OpenSymbol" w:hAnsi="OpenSymbol" w:cs="OpenSymbol"/>
    </w:rPr>
  </w:style>
  <w:style w:type="character" w:customStyle="1" w:styleId="WW8Num20z3">
    <w:name w:val="WW8Num20z3"/>
    <w:rsid w:val="00CF0FD2"/>
    <w:rPr>
      <w:rFonts w:ascii="Symbol" w:hAnsi="Symbol" w:cs="OpenSymbol"/>
      <w:szCs w:val="24"/>
      <w:shd w:val="clear" w:color="auto" w:fill="auto"/>
    </w:rPr>
  </w:style>
  <w:style w:type="character" w:customStyle="1" w:styleId="WW8Num21z0">
    <w:name w:val="WW8Num21z0"/>
    <w:rsid w:val="00CF0FD2"/>
    <w:rPr>
      <w:rFonts w:ascii="Arial Narrow" w:hAnsi="Arial Narrow" w:cs="Arial Narrow"/>
      <w:color w:val="00000A"/>
      <w:szCs w:val="24"/>
      <w:shd w:val="clear" w:color="auto" w:fill="FFFFFF"/>
    </w:rPr>
  </w:style>
  <w:style w:type="character" w:customStyle="1" w:styleId="WW8Num21z1">
    <w:name w:val="WW8Num21z1"/>
    <w:rsid w:val="00CF0FD2"/>
    <w:rPr>
      <w:rFonts w:ascii="Courier New" w:hAnsi="Courier New" w:cs="Courier New"/>
    </w:rPr>
  </w:style>
  <w:style w:type="character" w:customStyle="1" w:styleId="WW8Num21z2">
    <w:name w:val="WW8Num21z2"/>
    <w:rsid w:val="00CF0FD2"/>
    <w:rPr>
      <w:rFonts w:ascii="Wingdings" w:hAnsi="Wingdings" w:cs="Wingdings"/>
    </w:rPr>
  </w:style>
  <w:style w:type="character" w:customStyle="1" w:styleId="WW8Num21z3">
    <w:name w:val="WW8Num21z3"/>
    <w:rsid w:val="00CF0FD2"/>
    <w:rPr>
      <w:rFonts w:ascii="Symbol" w:hAnsi="Symbol" w:cs="Courier New"/>
    </w:rPr>
  </w:style>
  <w:style w:type="character" w:customStyle="1" w:styleId="WW8Num22z0">
    <w:name w:val="WW8Num22z0"/>
    <w:rsid w:val="00CF0FD2"/>
    <w:rPr>
      <w:rFonts w:ascii="Calibri" w:hAnsi="Calibri" w:cs="Times New Roman"/>
    </w:rPr>
  </w:style>
  <w:style w:type="character" w:customStyle="1" w:styleId="WW8Num22z1">
    <w:name w:val="WW8Num22z1"/>
    <w:rsid w:val="00CF0FD2"/>
    <w:rPr>
      <w:rFonts w:ascii="Courier New" w:hAnsi="Courier New" w:cs="Courier New"/>
    </w:rPr>
  </w:style>
  <w:style w:type="character" w:customStyle="1" w:styleId="WW8Num22z2">
    <w:name w:val="WW8Num22z2"/>
    <w:rsid w:val="00CF0FD2"/>
    <w:rPr>
      <w:rFonts w:ascii="Wingdings" w:hAnsi="Wingdings" w:cs="Wingdings"/>
    </w:rPr>
  </w:style>
  <w:style w:type="character" w:customStyle="1" w:styleId="WW8Num22z3">
    <w:name w:val="WW8Num22z3"/>
    <w:rsid w:val="00CF0FD2"/>
    <w:rPr>
      <w:rFonts w:ascii="Symbol" w:hAnsi="Symbol" w:cs="Courier New"/>
    </w:rPr>
  </w:style>
  <w:style w:type="character" w:customStyle="1" w:styleId="WW8Num23z0">
    <w:name w:val="WW8Num23z0"/>
    <w:rsid w:val="00CF0FD2"/>
  </w:style>
  <w:style w:type="character" w:customStyle="1" w:styleId="WW8Num23z1">
    <w:name w:val="WW8Num23z1"/>
    <w:rsid w:val="00CF0FD2"/>
  </w:style>
  <w:style w:type="character" w:customStyle="1" w:styleId="WW8Num23z2">
    <w:name w:val="WW8Num23z2"/>
    <w:rsid w:val="00CF0FD2"/>
  </w:style>
  <w:style w:type="character" w:customStyle="1" w:styleId="WW8Num23z3">
    <w:name w:val="WW8Num23z3"/>
    <w:rsid w:val="00CF0FD2"/>
  </w:style>
  <w:style w:type="character" w:customStyle="1" w:styleId="WW8Num23z4">
    <w:name w:val="WW8Num23z4"/>
    <w:rsid w:val="00CF0FD2"/>
  </w:style>
  <w:style w:type="character" w:customStyle="1" w:styleId="WW8Num23z5">
    <w:name w:val="WW8Num23z5"/>
    <w:rsid w:val="00CF0FD2"/>
  </w:style>
  <w:style w:type="character" w:customStyle="1" w:styleId="WW8Num23z6">
    <w:name w:val="WW8Num23z6"/>
    <w:rsid w:val="00CF0FD2"/>
  </w:style>
  <w:style w:type="character" w:customStyle="1" w:styleId="WW8Num23z7">
    <w:name w:val="WW8Num23z7"/>
    <w:rsid w:val="00CF0FD2"/>
  </w:style>
  <w:style w:type="character" w:customStyle="1" w:styleId="WW8Num23z8">
    <w:name w:val="WW8Num23z8"/>
    <w:rsid w:val="00CF0FD2"/>
  </w:style>
  <w:style w:type="character" w:customStyle="1" w:styleId="WW8Num24z0">
    <w:name w:val="WW8Num24z0"/>
    <w:rsid w:val="00CF0FD2"/>
    <w:rPr>
      <w:rFonts w:ascii="Wingdings" w:hAnsi="Wingdings" w:cs="OpenSymbol"/>
      <w:shd w:val="clear" w:color="auto" w:fill="auto"/>
    </w:rPr>
  </w:style>
  <w:style w:type="character" w:customStyle="1" w:styleId="WW8Num24z1">
    <w:name w:val="WW8Num24z1"/>
    <w:rsid w:val="00CF0FD2"/>
    <w:rPr>
      <w:rFonts w:ascii="OpenSymbol" w:hAnsi="OpenSymbol" w:cs="OpenSymbol"/>
    </w:rPr>
  </w:style>
  <w:style w:type="character" w:customStyle="1" w:styleId="WW8Num24z3">
    <w:name w:val="WW8Num24z3"/>
    <w:rsid w:val="00CF0FD2"/>
    <w:rPr>
      <w:rFonts w:ascii="Symbol" w:hAnsi="Symbol" w:cs="OpenSymbol"/>
    </w:rPr>
  </w:style>
  <w:style w:type="character" w:customStyle="1" w:styleId="WW8Num25z0">
    <w:name w:val="WW8Num25z0"/>
    <w:rsid w:val="00CF0FD2"/>
    <w:rPr>
      <w:rFonts w:ascii="Wingdings" w:eastAsia="Times New Roman" w:hAnsi="Wingdings" w:cs="OpenSymbol"/>
      <w:color w:val="auto"/>
      <w:sz w:val="24"/>
      <w:szCs w:val="24"/>
      <w:shd w:val="clear" w:color="auto" w:fill="auto"/>
      <w:lang w:val="en-US" w:eastAsia="zh-CN" w:bidi="ar-SA"/>
    </w:rPr>
  </w:style>
  <w:style w:type="character" w:customStyle="1" w:styleId="WW8Num26z0">
    <w:name w:val="WW8Num26z0"/>
    <w:rsid w:val="00CF0FD2"/>
    <w:rPr>
      <w:rFonts w:ascii="Wingdings" w:eastAsia="Times New Roman" w:hAnsi="Wingdings" w:cs="OpenSymbol"/>
      <w:szCs w:val="24"/>
    </w:rPr>
  </w:style>
  <w:style w:type="character" w:customStyle="1" w:styleId="WW8Num27z0">
    <w:name w:val="WW8Num27z0"/>
    <w:rsid w:val="00CF0FD2"/>
    <w:rPr>
      <w:rFonts w:ascii="Wingdings" w:eastAsia="Times New Roman" w:hAnsi="Wingdings" w:cs="OpenSymbol"/>
      <w:color w:val="333333"/>
      <w:szCs w:val="24"/>
    </w:rPr>
  </w:style>
  <w:style w:type="character" w:customStyle="1" w:styleId="WW8Num28z0">
    <w:name w:val="WW8Num28z0"/>
    <w:rsid w:val="00CF0FD2"/>
    <w:rPr>
      <w:rFonts w:ascii="Symbol" w:eastAsia="Times New Roman" w:hAnsi="Symbol" w:cs="OpenSymbol"/>
      <w:szCs w:val="24"/>
    </w:rPr>
  </w:style>
  <w:style w:type="character" w:customStyle="1" w:styleId="WW8Num28z1">
    <w:name w:val="WW8Num28z1"/>
    <w:rsid w:val="00CF0FD2"/>
    <w:rPr>
      <w:rFonts w:ascii="OpenSymbol" w:hAnsi="OpenSymbol" w:cs="OpenSymbol"/>
    </w:rPr>
  </w:style>
  <w:style w:type="character" w:customStyle="1" w:styleId="WW8Num29z0">
    <w:name w:val="WW8Num29z0"/>
    <w:rsid w:val="00CF0FD2"/>
    <w:rPr>
      <w:rFonts w:ascii="Symbol" w:eastAsia="Times New Roman" w:hAnsi="Symbol" w:cs="OpenSymbol"/>
      <w:color w:val="000000"/>
      <w:lang w:bidi="ar-SA"/>
    </w:rPr>
  </w:style>
  <w:style w:type="character" w:customStyle="1" w:styleId="WW8Num29z1">
    <w:name w:val="WW8Num29z1"/>
    <w:rsid w:val="00CF0FD2"/>
    <w:rPr>
      <w:rFonts w:ascii="OpenSymbol" w:hAnsi="OpenSymbol" w:cs="OpenSymbol"/>
    </w:rPr>
  </w:style>
  <w:style w:type="character" w:customStyle="1" w:styleId="WW8Num10z1">
    <w:name w:val="WW8Num10z1"/>
    <w:rsid w:val="00CF0FD2"/>
  </w:style>
  <w:style w:type="character" w:customStyle="1" w:styleId="WW8Num10z2">
    <w:name w:val="WW8Num10z2"/>
    <w:rsid w:val="00CF0FD2"/>
    <w:rPr>
      <w:color w:val="000080"/>
    </w:rPr>
  </w:style>
  <w:style w:type="character" w:customStyle="1" w:styleId="WW8Num10z3">
    <w:name w:val="WW8Num10z3"/>
    <w:rsid w:val="00CF0FD2"/>
  </w:style>
  <w:style w:type="character" w:customStyle="1" w:styleId="WW8Num10z4">
    <w:name w:val="WW8Num10z4"/>
    <w:rsid w:val="00CF0FD2"/>
  </w:style>
  <w:style w:type="character" w:customStyle="1" w:styleId="WW8Num10z5">
    <w:name w:val="WW8Num10z5"/>
    <w:rsid w:val="00CF0FD2"/>
  </w:style>
  <w:style w:type="character" w:customStyle="1" w:styleId="WW8Num10z6">
    <w:name w:val="WW8Num10z6"/>
    <w:rsid w:val="00CF0FD2"/>
  </w:style>
  <w:style w:type="character" w:customStyle="1" w:styleId="WW8Num10z7">
    <w:name w:val="WW8Num10z7"/>
    <w:rsid w:val="00CF0FD2"/>
  </w:style>
  <w:style w:type="character" w:customStyle="1" w:styleId="WW8Num10z8">
    <w:name w:val="WW8Num10z8"/>
    <w:rsid w:val="00CF0FD2"/>
  </w:style>
  <w:style w:type="character" w:customStyle="1" w:styleId="WW8Num19z2">
    <w:name w:val="WW8Num19z2"/>
    <w:rsid w:val="00CF0FD2"/>
    <w:rPr>
      <w:rFonts w:ascii="Wingdings" w:hAnsi="Wingdings" w:cs="Wingdings"/>
    </w:rPr>
  </w:style>
  <w:style w:type="character" w:customStyle="1" w:styleId="WW8Num19z3">
    <w:name w:val="WW8Num19z3"/>
    <w:rsid w:val="00CF0FD2"/>
    <w:rPr>
      <w:rFonts w:ascii="Symbol" w:hAnsi="Symbol" w:cs="Symbol"/>
      <w:sz w:val="24"/>
      <w:szCs w:val="24"/>
      <w:shd w:val="clear" w:color="auto" w:fill="auto"/>
    </w:rPr>
  </w:style>
  <w:style w:type="character" w:customStyle="1" w:styleId="WW8Num20z2">
    <w:name w:val="WW8Num20z2"/>
    <w:rsid w:val="00CF0FD2"/>
    <w:rPr>
      <w:rFonts w:ascii="Wingdings" w:hAnsi="Wingdings" w:cs="Wingdings"/>
      <w:sz w:val="24"/>
      <w:szCs w:val="24"/>
    </w:rPr>
  </w:style>
  <w:style w:type="character" w:customStyle="1" w:styleId="WW8Num24z2">
    <w:name w:val="WW8Num24z2"/>
    <w:rsid w:val="00CF0FD2"/>
    <w:rPr>
      <w:rFonts w:ascii="Wingdings" w:hAnsi="Wingdings" w:cs="Wingdings"/>
    </w:rPr>
  </w:style>
  <w:style w:type="character" w:customStyle="1" w:styleId="WW8Num25z1">
    <w:name w:val="WW8Num25z1"/>
    <w:rsid w:val="00CF0FD2"/>
    <w:rPr>
      <w:rFonts w:ascii="Courier New" w:hAnsi="Courier New" w:cs="Courier New"/>
    </w:rPr>
  </w:style>
  <w:style w:type="character" w:customStyle="1" w:styleId="WW8Num25z2">
    <w:name w:val="WW8Num25z2"/>
    <w:rsid w:val="00CF0FD2"/>
    <w:rPr>
      <w:rFonts w:ascii="Wingdings" w:hAnsi="Wingdings" w:cs="Wingdings"/>
    </w:rPr>
  </w:style>
  <w:style w:type="character" w:customStyle="1" w:styleId="WW8Num25z3">
    <w:name w:val="WW8Num25z3"/>
    <w:rsid w:val="00CF0FD2"/>
    <w:rPr>
      <w:rFonts w:ascii="Symbol" w:hAnsi="Symbol" w:cs="Courier New"/>
    </w:rPr>
  </w:style>
  <w:style w:type="character" w:customStyle="1" w:styleId="WW8Num26z1">
    <w:name w:val="WW8Num26z1"/>
    <w:rsid w:val="00CF0FD2"/>
  </w:style>
  <w:style w:type="character" w:customStyle="1" w:styleId="WW8Num26z2">
    <w:name w:val="WW8Num26z2"/>
    <w:rsid w:val="00CF0FD2"/>
  </w:style>
  <w:style w:type="character" w:customStyle="1" w:styleId="WW8Num26z3">
    <w:name w:val="WW8Num26z3"/>
    <w:rsid w:val="00CF0FD2"/>
  </w:style>
  <w:style w:type="character" w:customStyle="1" w:styleId="WW8Num26z4">
    <w:name w:val="WW8Num26z4"/>
    <w:rsid w:val="00CF0FD2"/>
  </w:style>
  <w:style w:type="character" w:customStyle="1" w:styleId="WW8Num26z5">
    <w:name w:val="WW8Num26z5"/>
    <w:rsid w:val="00CF0FD2"/>
  </w:style>
  <w:style w:type="character" w:customStyle="1" w:styleId="WW8Num26z6">
    <w:name w:val="WW8Num26z6"/>
    <w:rsid w:val="00CF0FD2"/>
  </w:style>
  <w:style w:type="character" w:customStyle="1" w:styleId="WW8Num26z7">
    <w:name w:val="WW8Num26z7"/>
    <w:rsid w:val="00CF0FD2"/>
  </w:style>
  <w:style w:type="character" w:customStyle="1" w:styleId="WW8Num26z8">
    <w:name w:val="WW8Num26z8"/>
    <w:rsid w:val="00CF0FD2"/>
  </w:style>
  <w:style w:type="character" w:customStyle="1" w:styleId="WW8Num27z1">
    <w:name w:val="WW8Num27z1"/>
    <w:rsid w:val="00CF0FD2"/>
    <w:rPr>
      <w:rFonts w:ascii="OpenSymbol" w:hAnsi="OpenSymbol" w:cs="OpenSymbol"/>
    </w:rPr>
  </w:style>
  <w:style w:type="character" w:customStyle="1" w:styleId="WW8Num27z3">
    <w:name w:val="WW8Num27z3"/>
    <w:rsid w:val="00CF0FD2"/>
    <w:rPr>
      <w:rFonts w:ascii="Symbol" w:hAnsi="Symbol" w:cs="OpenSymbol"/>
    </w:rPr>
  </w:style>
  <w:style w:type="character" w:customStyle="1" w:styleId="WW8Num30z0">
    <w:name w:val="WW8Num30z0"/>
    <w:rsid w:val="00CF0FD2"/>
    <w:rPr>
      <w:rFonts w:ascii="Wingdings" w:eastAsia="Times New Roman" w:hAnsi="Wingdings" w:cs="OpenSymbol"/>
      <w:color w:val="333333"/>
      <w:szCs w:val="24"/>
    </w:rPr>
  </w:style>
  <w:style w:type="character" w:customStyle="1" w:styleId="WW8Num31z0">
    <w:name w:val="WW8Num31z0"/>
    <w:rsid w:val="00CF0FD2"/>
    <w:rPr>
      <w:rFonts w:ascii="Symbol" w:eastAsia="Times New Roman" w:hAnsi="Symbol" w:cs="OpenSymbol"/>
      <w:szCs w:val="24"/>
    </w:rPr>
  </w:style>
  <w:style w:type="character" w:customStyle="1" w:styleId="WW8Num31z1">
    <w:name w:val="WW8Num31z1"/>
    <w:rsid w:val="00CF0FD2"/>
    <w:rPr>
      <w:rFonts w:ascii="OpenSymbol" w:hAnsi="OpenSymbol" w:cs="OpenSymbol"/>
    </w:rPr>
  </w:style>
  <w:style w:type="character" w:customStyle="1" w:styleId="WW8Num27z2">
    <w:name w:val="WW8Num27z2"/>
    <w:rsid w:val="00CF0FD2"/>
  </w:style>
  <w:style w:type="character" w:customStyle="1" w:styleId="WW8Num27z4">
    <w:name w:val="WW8Num27z4"/>
    <w:rsid w:val="00CF0FD2"/>
  </w:style>
  <w:style w:type="character" w:customStyle="1" w:styleId="WW8Num27z5">
    <w:name w:val="WW8Num27z5"/>
    <w:rsid w:val="00CF0FD2"/>
  </w:style>
  <w:style w:type="character" w:customStyle="1" w:styleId="WW8Num27z6">
    <w:name w:val="WW8Num27z6"/>
    <w:rsid w:val="00CF0FD2"/>
  </w:style>
  <w:style w:type="character" w:customStyle="1" w:styleId="WW8Num27z7">
    <w:name w:val="WW8Num27z7"/>
    <w:rsid w:val="00CF0FD2"/>
  </w:style>
  <w:style w:type="character" w:customStyle="1" w:styleId="WW8Num27z8">
    <w:name w:val="WW8Num27z8"/>
    <w:rsid w:val="00CF0FD2"/>
  </w:style>
  <w:style w:type="character" w:customStyle="1" w:styleId="WW8Num28z3">
    <w:name w:val="WW8Num28z3"/>
    <w:rsid w:val="00CF0FD2"/>
    <w:rPr>
      <w:rFonts w:ascii="Symbol" w:hAnsi="Symbol" w:cs="OpenSymbol"/>
    </w:rPr>
  </w:style>
  <w:style w:type="character" w:customStyle="1" w:styleId="WW8Num32z0">
    <w:name w:val="WW8Num32z0"/>
    <w:rsid w:val="00CF0FD2"/>
    <w:rPr>
      <w:rFonts w:ascii="Symbol" w:eastAsia="Times New Roman" w:hAnsi="Symbol" w:cs="OpenSymbol"/>
      <w:szCs w:val="24"/>
    </w:rPr>
  </w:style>
  <w:style w:type="character" w:customStyle="1" w:styleId="WW8Num32z1">
    <w:name w:val="WW8Num32z1"/>
    <w:rsid w:val="00CF0FD2"/>
    <w:rPr>
      <w:rFonts w:ascii="OpenSymbol" w:hAnsi="OpenSymbol" w:cs="OpenSymbol"/>
    </w:rPr>
  </w:style>
  <w:style w:type="character" w:customStyle="1" w:styleId="WW8Num28z2">
    <w:name w:val="WW8Num28z2"/>
    <w:rsid w:val="00CF0FD2"/>
  </w:style>
  <w:style w:type="character" w:customStyle="1" w:styleId="WW8Num28z4">
    <w:name w:val="WW8Num28z4"/>
    <w:rsid w:val="00CF0FD2"/>
  </w:style>
  <w:style w:type="character" w:customStyle="1" w:styleId="WW8Num28z5">
    <w:name w:val="WW8Num28z5"/>
    <w:rsid w:val="00CF0FD2"/>
  </w:style>
  <w:style w:type="character" w:customStyle="1" w:styleId="WW8Num28z6">
    <w:name w:val="WW8Num28z6"/>
    <w:rsid w:val="00CF0FD2"/>
  </w:style>
  <w:style w:type="character" w:customStyle="1" w:styleId="WW8Num28z7">
    <w:name w:val="WW8Num28z7"/>
    <w:rsid w:val="00CF0FD2"/>
  </w:style>
  <w:style w:type="character" w:customStyle="1" w:styleId="WW8Num28z8">
    <w:name w:val="WW8Num28z8"/>
    <w:rsid w:val="00CF0FD2"/>
  </w:style>
  <w:style w:type="character" w:customStyle="1" w:styleId="WW8Num29z2">
    <w:name w:val="WW8Num29z2"/>
    <w:rsid w:val="00CF0FD2"/>
  </w:style>
  <w:style w:type="character" w:customStyle="1" w:styleId="WW8Num29z3">
    <w:name w:val="WW8Num29z3"/>
    <w:rsid w:val="00CF0FD2"/>
  </w:style>
  <w:style w:type="character" w:customStyle="1" w:styleId="WW8Num29z4">
    <w:name w:val="WW8Num29z4"/>
    <w:rsid w:val="00CF0FD2"/>
  </w:style>
  <w:style w:type="character" w:customStyle="1" w:styleId="WW8Num29z5">
    <w:name w:val="WW8Num29z5"/>
    <w:rsid w:val="00CF0FD2"/>
  </w:style>
  <w:style w:type="character" w:customStyle="1" w:styleId="WW8Num29z6">
    <w:name w:val="WW8Num29z6"/>
    <w:rsid w:val="00CF0FD2"/>
  </w:style>
  <w:style w:type="character" w:customStyle="1" w:styleId="WW8Num29z7">
    <w:name w:val="WW8Num29z7"/>
    <w:rsid w:val="00CF0FD2"/>
  </w:style>
  <w:style w:type="character" w:customStyle="1" w:styleId="WW8Num29z8">
    <w:name w:val="WW8Num29z8"/>
    <w:rsid w:val="00CF0FD2"/>
  </w:style>
  <w:style w:type="character" w:customStyle="1" w:styleId="WW8Num30z1">
    <w:name w:val="WW8Num30z1"/>
    <w:rsid w:val="00CF0FD2"/>
  </w:style>
  <w:style w:type="character" w:customStyle="1" w:styleId="WW8Num30z2">
    <w:name w:val="WW8Num30z2"/>
    <w:rsid w:val="00CF0FD2"/>
  </w:style>
  <w:style w:type="character" w:customStyle="1" w:styleId="WW8Num30z3">
    <w:name w:val="WW8Num30z3"/>
    <w:rsid w:val="00CF0FD2"/>
  </w:style>
  <w:style w:type="character" w:customStyle="1" w:styleId="WW8Num30z4">
    <w:name w:val="WW8Num30z4"/>
    <w:rsid w:val="00CF0FD2"/>
  </w:style>
  <w:style w:type="character" w:customStyle="1" w:styleId="WW8Num30z5">
    <w:name w:val="WW8Num30z5"/>
    <w:rsid w:val="00CF0FD2"/>
  </w:style>
  <w:style w:type="character" w:customStyle="1" w:styleId="WW8Num30z6">
    <w:name w:val="WW8Num30z6"/>
    <w:rsid w:val="00CF0FD2"/>
  </w:style>
  <w:style w:type="character" w:customStyle="1" w:styleId="WW8Num30z7">
    <w:name w:val="WW8Num30z7"/>
    <w:rsid w:val="00CF0FD2"/>
  </w:style>
  <w:style w:type="character" w:customStyle="1" w:styleId="WW8Num30z8">
    <w:name w:val="WW8Num30z8"/>
    <w:rsid w:val="00CF0FD2"/>
  </w:style>
  <w:style w:type="character" w:customStyle="1" w:styleId="WW-DefaultParagraphFont">
    <w:name w:val="WW-Default Paragraph Font"/>
    <w:rsid w:val="00CF0FD2"/>
  </w:style>
  <w:style w:type="character" w:customStyle="1" w:styleId="WW8Num11z1">
    <w:name w:val="WW8Num11z1"/>
    <w:rsid w:val="00CF0FD2"/>
  </w:style>
  <w:style w:type="character" w:customStyle="1" w:styleId="WW8Num11z2">
    <w:name w:val="WW8Num11z2"/>
    <w:rsid w:val="00CF0FD2"/>
    <w:rPr>
      <w:color w:val="000080"/>
    </w:rPr>
  </w:style>
  <w:style w:type="character" w:customStyle="1" w:styleId="WW8Num11z3">
    <w:name w:val="WW8Num11z3"/>
    <w:rsid w:val="00CF0FD2"/>
  </w:style>
  <w:style w:type="character" w:customStyle="1" w:styleId="WW8Num11z4">
    <w:name w:val="WW8Num11z4"/>
    <w:rsid w:val="00CF0FD2"/>
  </w:style>
  <w:style w:type="character" w:customStyle="1" w:styleId="WW8Num11z5">
    <w:name w:val="WW8Num11z5"/>
    <w:rsid w:val="00CF0FD2"/>
  </w:style>
  <w:style w:type="character" w:customStyle="1" w:styleId="WW8Num11z6">
    <w:name w:val="WW8Num11z6"/>
    <w:rsid w:val="00CF0FD2"/>
  </w:style>
  <w:style w:type="character" w:customStyle="1" w:styleId="WW8Num11z7">
    <w:name w:val="WW8Num11z7"/>
    <w:rsid w:val="00CF0FD2"/>
  </w:style>
  <w:style w:type="character" w:customStyle="1" w:styleId="WW8Num11z8">
    <w:name w:val="WW8Num11z8"/>
    <w:rsid w:val="00CF0FD2"/>
  </w:style>
  <w:style w:type="character" w:customStyle="1" w:styleId="WW8Num18z2">
    <w:name w:val="WW8Num18z2"/>
    <w:rsid w:val="00CF0FD2"/>
    <w:rPr>
      <w:rFonts w:ascii="Wingdings" w:hAnsi="Wingdings" w:cs="Wingdings"/>
    </w:rPr>
  </w:style>
  <w:style w:type="character" w:customStyle="1" w:styleId="WW-DefaultParagraphFont1">
    <w:name w:val="WW-Default Paragraph Font1"/>
    <w:rsid w:val="00CF0FD2"/>
  </w:style>
  <w:style w:type="character" w:customStyle="1" w:styleId="WW8Num33z0">
    <w:name w:val="WW8Num33z0"/>
    <w:rsid w:val="00CF0FD2"/>
    <w:rPr>
      <w:rFonts w:ascii="Symbol" w:eastAsia="Times New Roman" w:hAnsi="Symbol" w:cs="OpenSymbol"/>
      <w:szCs w:val="24"/>
      <w:shd w:val="clear" w:color="auto" w:fill="auto"/>
    </w:rPr>
  </w:style>
  <w:style w:type="character" w:customStyle="1" w:styleId="WW8Num33z1">
    <w:name w:val="WW8Num33z1"/>
    <w:rsid w:val="00CF0FD2"/>
    <w:rPr>
      <w:rFonts w:ascii="OpenSymbol" w:hAnsi="OpenSymbol" w:cs="OpenSymbol"/>
    </w:rPr>
  </w:style>
  <w:style w:type="character" w:customStyle="1" w:styleId="WW8Num31z3">
    <w:name w:val="WW8Num31z3"/>
    <w:rsid w:val="00CF0FD2"/>
    <w:rPr>
      <w:rFonts w:ascii="Symbol" w:hAnsi="Symbol" w:cs="Symbol"/>
    </w:rPr>
  </w:style>
  <w:style w:type="character" w:customStyle="1" w:styleId="WW8Num32z3">
    <w:name w:val="WW8Num32z3"/>
    <w:rsid w:val="00CF0FD2"/>
    <w:rPr>
      <w:rFonts w:ascii="Symbol" w:hAnsi="Symbol" w:cs="OpenSymbol"/>
      <w:sz w:val="24"/>
      <w:szCs w:val="24"/>
    </w:rPr>
  </w:style>
  <w:style w:type="character" w:customStyle="1" w:styleId="WW8Num34z0">
    <w:name w:val="WW8Num34z0"/>
    <w:rsid w:val="00CF0FD2"/>
    <w:rPr>
      <w:rFonts w:ascii="Symbol" w:hAnsi="Symbol" w:cs="OpenSymbol"/>
    </w:rPr>
  </w:style>
  <w:style w:type="character" w:customStyle="1" w:styleId="WW8Num34z1">
    <w:name w:val="WW8Num34z1"/>
    <w:rsid w:val="00CF0FD2"/>
    <w:rPr>
      <w:rFonts w:ascii="OpenSymbol" w:hAnsi="OpenSymbol" w:cs="OpenSymbol"/>
    </w:rPr>
  </w:style>
  <w:style w:type="character" w:customStyle="1" w:styleId="WW8Num35z0">
    <w:name w:val="WW8Num35z0"/>
    <w:rsid w:val="00CF0FD2"/>
    <w:rPr>
      <w:rFonts w:ascii="Symbol" w:eastAsia="Times New Roman" w:hAnsi="Symbol" w:cs="OpenSymbol"/>
      <w:szCs w:val="24"/>
      <w:shd w:val="clear" w:color="auto" w:fill="auto"/>
    </w:rPr>
  </w:style>
  <w:style w:type="character" w:customStyle="1" w:styleId="WW8Num35z1">
    <w:name w:val="WW8Num35z1"/>
    <w:rsid w:val="00CF0FD2"/>
    <w:rPr>
      <w:rFonts w:ascii="OpenSymbol" w:hAnsi="OpenSymbol" w:cs="OpenSymbol"/>
    </w:rPr>
  </w:style>
  <w:style w:type="character" w:customStyle="1" w:styleId="WW8Num12z1">
    <w:name w:val="WW8Num12z1"/>
    <w:rsid w:val="00CF0FD2"/>
  </w:style>
  <w:style w:type="character" w:customStyle="1" w:styleId="WW8Num12z2">
    <w:name w:val="WW8Num12z2"/>
    <w:rsid w:val="00CF0FD2"/>
    <w:rPr>
      <w:color w:val="000080"/>
    </w:rPr>
  </w:style>
  <w:style w:type="character" w:customStyle="1" w:styleId="WW8Num12z3">
    <w:name w:val="WW8Num12z3"/>
    <w:rsid w:val="00CF0FD2"/>
  </w:style>
  <w:style w:type="character" w:customStyle="1" w:styleId="WW8Num12z4">
    <w:name w:val="WW8Num12z4"/>
    <w:rsid w:val="00CF0FD2"/>
  </w:style>
  <w:style w:type="character" w:customStyle="1" w:styleId="WW8Num12z5">
    <w:name w:val="WW8Num12z5"/>
    <w:rsid w:val="00CF0FD2"/>
  </w:style>
  <w:style w:type="character" w:customStyle="1" w:styleId="WW8Num12z6">
    <w:name w:val="WW8Num12z6"/>
    <w:rsid w:val="00CF0FD2"/>
  </w:style>
  <w:style w:type="character" w:customStyle="1" w:styleId="WW8Num12z7">
    <w:name w:val="WW8Num12z7"/>
    <w:rsid w:val="00CF0FD2"/>
  </w:style>
  <w:style w:type="character" w:customStyle="1" w:styleId="WW8Num12z8">
    <w:name w:val="WW8Num12z8"/>
    <w:rsid w:val="00CF0FD2"/>
  </w:style>
  <w:style w:type="character" w:customStyle="1" w:styleId="WW8Num32z2">
    <w:name w:val="WW8Num32z2"/>
    <w:rsid w:val="00CF0FD2"/>
    <w:rPr>
      <w:rFonts w:ascii="Wingdings" w:hAnsi="Wingdings" w:cs="Wingdings"/>
    </w:rPr>
  </w:style>
  <w:style w:type="character" w:customStyle="1" w:styleId="WW8Num33z3">
    <w:name w:val="WW8Num33z3"/>
    <w:rsid w:val="00CF0FD2"/>
    <w:rPr>
      <w:rFonts w:ascii="Symbol" w:hAnsi="Symbol" w:cs="Symbol"/>
    </w:rPr>
  </w:style>
  <w:style w:type="character" w:customStyle="1" w:styleId="WW8Num34z2">
    <w:name w:val="WW8Num34z2"/>
    <w:rsid w:val="00CF0FD2"/>
    <w:rPr>
      <w:rFonts w:ascii="Wingdings" w:hAnsi="Wingdings" w:cs="Wingdings"/>
    </w:rPr>
  </w:style>
  <w:style w:type="character" w:customStyle="1" w:styleId="WW8Num35z2">
    <w:name w:val="WW8Num35z2"/>
    <w:rsid w:val="00CF0FD2"/>
    <w:rPr>
      <w:rFonts w:ascii="Wingdings" w:hAnsi="Wingdings" w:cs="Wingdings"/>
      <w:sz w:val="24"/>
      <w:szCs w:val="24"/>
    </w:rPr>
  </w:style>
  <w:style w:type="character" w:customStyle="1" w:styleId="WW8Num35z3">
    <w:name w:val="WW8Num35z3"/>
    <w:rsid w:val="00CF0FD2"/>
    <w:rPr>
      <w:rFonts w:ascii="Symbol" w:hAnsi="Symbol" w:cs="Symbol"/>
    </w:rPr>
  </w:style>
  <w:style w:type="character" w:customStyle="1" w:styleId="WW8Num36z0">
    <w:name w:val="WW8Num36z0"/>
    <w:rsid w:val="00CF0FD2"/>
    <w:rPr>
      <w:rFonts w:ascii="Wingdings" w:hAnsi="Wingdings" w:cs="Wingdings"/>
    </w:rPr>
  </w:style>
  <w:style w:type="character" w:customStyle="1" w:styleId="WW8Num36z1">
    <w:name w:val="WW8Num36z1"/>
    <w:rsid w:val="00CF0FD2"/>
    <w:rPr>
      <w:rFonts w:ascii="Courier New" w:hAnsi="Courier New" w:cs="Courier New"/>
    </w:rPr>
  </w:style>
  <w:style w:type="character" w:customStyle="1" w:styleId="WW8Num36z3">
    <w:name w:val="WW8Num36z3"/>
    <w:rsid w:val="00CF0FD2"/>
    <w:rPr>
      <w:rFonts w:ascii="Symbol" w:hAnsi="Symbol" w:cs="Symbol"/>
    </w:rPr>
  </w:style>
  <w:style w:type="character" w:customStyle="1" w:styleId="WW8Num37z0">
    <w:name w:val="WW8Num37z0"/>
    <w:rsid w:val="00CF0FD2"/>
    <w:rPr>
      <w:rFonts w:ascii="Wingdings" w:hAnsi="Wingdings" w:cs="Wingdings"/>
      <w:sz w:val="24"/>
      <w:szCs w:val="24"/>
    </w:rPr>
  </w:style>
  <w:style w:type="character" w:customStyle="1" w:styleId="WW8Num37z1">
    <w:name w:val="WW8Num37z1"/>
    <w:rsid w:val="00CF0FD2"/>
    <w:rPr>
      <w:rFonts w:ascii="Courier New" w:hAnsi="Courier New" w:cs="Courier New"/>
    </w:rPr>
  </w:style>
  <w:style w:type="character" w:customStyle="1" w:styleId="WW8Num37z3">
    <w:name w:val="WW8Num37z3"/>
    <w:rsid w:val="00CF0FD2"/>
    <w:rPr>
      <w:rFonts w:ascii="Symbol" w:hAnsi="Symbol" w:cs="Symbol"/>
    </w:rPr>
  </w:style>
  <w:style w:type="character" w:customStyle="1" w:styleId="WW8Num38z0">
    <w:name w:val="WW8Num38z0"/>
    <w:rsid w:val="00CF0FD2"/>
    <w:rPr>
      <w:rFonts w:ascii="Symbol" w:hAnsi="Symbol" w:cs="OpenSymbol"/>
    </w:rPr>
  </w:style>
  <w:style w:type="character" w:customStyle="1" w:styleId="WW8Num38z1">
    <w:name w:val="WW8Num38z1"/>
    <w:rsid w:val="00CF0FD2"/>
    <w:rPr>
      <w:rFonts w:ascii="OpenSymbol" w:hAnsi="OpenSymbol" w:cs="OpenSymbol"/>
    </w:rPr>
  </w:style>
  <w:style w:type="character" w:customStyle="1" w:styleId="WW8Num6z1">
    <w:name w:val="WW8Num6z1"/>
    <w:rsid w:val="00CF0FD2"/>
    <w:rPr>
      <w:rFonts w:ascii="Arial" w:hAnsi="Arial" w:cs="Arial"/>
    </w:rPr>
  </w:style>
  <w:style w:type="character" w:customStyle="1" w:styleId="WW8Num6z2">
    <w:name w:val="WW8Num6z2"/>
    <w:rsid w:val="00CF0FD2"/>
    <w:rPr>
      <w:rFonts w:cs="Times New Roman"/>
    </w:rPr>
  </w:style>
  <w:style w:type="character" w:customStyle="1" w:styleId="WW8Num13z1">
    <w:name w:val="WW8Num13z1"/>
    <w:rsid w:val="00CF0FD2"/>
  </w:style>
  <w:style w:type="character" w:customStyle="1" w:styleId="WW8Num13z2">
    <w:name w:val="WW8Num13z2"/>
    <w:rsid w:val="00CF0FD2"/>
    <w:rPr>
      <w:color w:val="000080"/>
    </w:rPr>
  </w:style>
  <w:style w:type="character" w:customStyle="1" w:styleId="WW8Num13z3">
    <w:name w:val="WW8Num13z3"/>
    <w:rsid w:val="00CF0FD2"/>
  </w:style>
  <w:style w:type="character" w:customStyle="1" w:styleId="WW8Num13z4">
    <w:name w:val="WW8Num13z4"/>
    <w:rsid w:val="00CF0FD2"/>
  </w:style>
  <w:style w:type="character" w:customStyle="1" w:styleId="WW8Num13z5">
    <w:name w:val="WW8Num13z5"/>
    <w:rsid w:val="00CF0FD2"/>
  </w:style>
  <w:style w:type="character" w:customStyle="1" w:styleId="WW8Num13z6">
    <w:name w:val="WW8Num13z6"/>
    <w:rsid w:val="00CF0FD2"/>
  </w:style>
  <w:style w:type="character" w:customStyle="1" w:styleId="WW8Num13z7">
    <w:name w:val="WW8Num13z7"/>
    <w:rsid w:val="00CF0FD2"/>
  </w:style>
  <w:style w:type="character" w:customStyle="1" w:styleId="WW8Num13z8">
    <w:name w:val="WW8Num13z8"/>
    <w:rsid w:val="00CF0FD2"/>
  </w:style>
  <w:style w:type="character" w:customStyle="1" w:styleId="WW8Num34z3">
    <w:name w:val="WW8Num34z3"/>
    <w:rsid w:val="00CF0FD2"/>
    <w:rPr>
      <w:rFonts w:ascii="Symbol" w:hAnsi="Symbol" w:cs="Symbol"/>
    </w:rPr>
  </w:style>
  <w:style w:type="character" w:customStyle="1" w:styleId="WW8Num36z2">
    <w:name w:val="WW8Num36z2"/>
    <w:rsid w:val="00CF0FD2"/>
    <w:rPr>
      <w:rFonts w:ascii="Wingdings" w:hAnsi="Wingdings" w:cs="Wingdings"/>
    </w:rPr>
  </w:style>
  <w:style w:type="character" w:customStyle="1" w:styleId="WW8Num38z3">
    <w:name w:val="WW8Num38z3"/>
    <w:rsid w:val="00CF0FD2"/>
    <w:rPr>
      <w:rFonts w:ascii="Symbol" w:hAnsi="Symbol" w:cs="Symbol"/>
    </w:rPr>
  </w:style>
  <w:style w:type="character" w:customStyle="1" w:styleId="WW8Num39z0">
    <w:name w:val="WW8Num39z0"/>
    <w:rsid w:val="00CF0FD2"/>
    <w:rPr>
      <w:rFonts w:ascii="Wingdings" w:hAnsi="Wingdings" w:cs="Wingdings"/>
    </w:rPr>
  </w:style>
  <w:style w:type="character" w:customStyle="1" w:styleId="WW8Num39z1">
    <w:name w:val="WW8Num39z1"/>
    <w:rsid w:val="00CF0FD2"/>
    <w:rPr>
      <w:rFonts w:ascii="Courier New" w:hAnsi="Courier New" w:cs="Courier New"/>
    </w:rPr>
  </w:style>
  <w:style w:type="character" w:customStyle="1" w:styleId="WW8Num39z3">
    <w:name w:val="WW8Num39z3"/>
    <w:rsid w:val="00CF0FD2"/>
    <w:rPr>
      <w:rFonts w:ascii="Symbol" w:hAnsi="Symbol" w:cs="Symbol"/>
    </w:rPr>
  </w:style>
  <w:style w:type="character" w:customStyle="1" w:styleId="WW8Num40z0">
    <w:name w:val="WW8Num40z0"/>
    <w:rsid w:val="00CF0FD2"/>
    <w:rPr>
      <w:rFonts w:ascii="Wingdings" w:eastAsia="Times New Roman" w:hAnsi="Wingdings" w:cs="Wingdings"/>
      <w:sz w:val="24"/>
      <w:szCs w:val="24"/>
    </w:rPr>
  </w:style>
  <w:style w:type="character" w:customStyle="1" w:styleId="WW8Num40z1">
    <w:name w:val="WW8Num40z1"/>
    <w:rsid w:val="00CF0FD2"/>
    <w:rPr>
      <w:rFonts w:ascii="Courier New" w:hAnsi="Courier New" w:cs="Courier New"/>
    </w:rPr>
  </w:style>
  <w:style w:type="character" w:customStyle="1" w:styleId="WW8Num40z3">
    <w:name w:val="WW8Num40z3"/>
    <w:rsid w:val="00CF0FD2"/>
    <w:rPr>
      <w:rFonts w:ascii="Symbol" w:hAnsi="Symbol" w:cs="Symbol"/>
    </w:rPr>
  </w:style>
  <w:style w:type="character" w:customStyle="1" w:styleId="WW8Num41z0">
    <w:name w:val="WW8Num41z0"/>
    <w:rsid w:val="00CF0FD2"/>
    <w:rPr>
      <w:rFonts w:ascii="Symbol" w:eastAsia="Times New Roman" w:hAnsi="Symbol" w:cs="OpenSymbol"/>
      <w:color w:val="auto"/>
      <w:sz w:val="24"/>
      <w:szCs w:val="24"/>
      <w:shd w:val="clear" w:color="auto" w:fill="FFCCFF"/>
      <w:lang w:eastAsia="zh-CN" w:bidi="ar-SA"/>
    </w:rPr>
  </w:style>
  <w:style w:type="character" w:customStyle="1" w:styleId="WW8Num41z1">
    <w:name w:val="WW8Num41z1"/>
    <w:rsid w:val="00CF0FD2"/>
    <w:rPr>
      <w:rFonts w:ascii="OpenSymbol" w:hAnsi="OpenSymbol" w:cs="OpenSymbol"/>
    </w:rPr>
  </w:style>
  <w:style w:type="character" w:customStyle="1" w:styleId="WW8Num5z1">
    <w:name w:val="WW8Num5z1"/>
    <w:rsid w:val="00CF0FD2"/>
    <w:rPr>
      <w:rFonts w:ascii="Arial" w:hAnsi="Arial" w:cs="Arial"/>
    </w:rPr>
  </w:style>
  <w:style w:type="character" w:customStyle="1" w:styleId="WW8Num5z2">
    <w:name w:val="WW8Num5z2"/>
    <w:rsid w:val="00CF0FD2"/>
    <w:rPr>
      <w:rFonts w:cs="Times New Roman"/>
    </w:rPr>
  </w:style>
  <w:style w:type="character" w:customStyle="1" w:styleId="WW8Num4z1">
    <w:name w:val="WW8Num4z1"/>
    <w:rsid w:val="00CF0FD2"/>
    <w:rPr>
      <w:rFonts w:cs="Times New Roman"/>
    </w:rPr>
  </w:style>
  <w:style w:type="character" w:customStyle="1" w:styleId="WW8Num6z3">
    <w:name w:val="WW8Num6z3"/>
    <w:rsid w:val="00CF0FD2"/>
  </w:style>
  <w:style w:type="character" w:customStyle="1" w:styleId="WW8Num6z4">
    <w:name w:val="WW8Num6z4"/>
    <w:rsid w:val="00CF0FD2"/>
  </w:style>
  <w:style w:type="character" w:customStyle="1" w:styleId="WW8Num6z5">
    <w:name w:val="WW8Num6z5"/>
    <w:rsid w:val="00CF0FD2"/>
  </w:style>
  <w:style w:type="character" w:customStyle="1" w:styleId="WW8Num6z6">
    <w:name w:val="WW8Num6z6"/>
    <w:rsid w:val="00CF0FD2"/>
  </w:style>
  <w:style w:type="character" w:customStyle="1" w:styleId="WW8Num6z7">
    <w:name w:val="WW8Num6z7"/>
    <w:rsid w:val="00CF0FD2"/>
  </w:style>
  <w:style w:type="character" w:customStyle="1" w:styleId="WW8Num6z8">
    <w:name w:val="WW8Num6z8"/>
    <w:rsid w:val="00CF0FD2"/>
  </w:style>
  <w:style w:type="character" w:customStyle="1" w:styleId="WW8Num7z1">
    <w:name w:val="WW8Num7z1"/>
    <w:rsid w:val="00CF0FD2"/>
    <w:rPr>
      <w:rFonts w:ascii="Courier New" w:hAnsi="Courier New" w:cs="Courier New"/>
    </w:rPr>
  </w:style>
  <w:style w:type="character" w:customStyle="1" w:styleId="WW8Num7z2">
    <w:name w:val="WW8Num7z2"/>
    <w:rsid w:val="00CF0FD2"/>
    <w:rPr>
      <w:rFonts w:ascii="Wingdings" w:hAnsi="Wingdings" w:cs="Wingdings"/>
    </w:rPr>
  </w:style>
  <w:style w:type="character" w:customStyle="1" w:styleId="WW8Num8z1">
    <w:name w:val="WW8Num8z1"/>
    <w:rsid w:val="00CF0FD2"/>
  </w:style>
  <w:style w:type="character" w:customStyle="1" w:styleId="WW8Num8z2">
    <w:name w:val="WW8Num8z2"/>
    <w:rsid w:val="00CF0FD2"/>
  </w:style>
  <w:style w:type="character" w:customStyle="1" w:styleId="WW8Num8z3">
    <w:name w:val="WW8Num8z3"/>
    <w:rsid w:val="00CF0FD2"/>
  </w:style>
  <w:style w:type="character" w:customStyle="1" w:styleId="WW8Num8z4">
    <w:name w:val="WW8Num8z4"/>
    <w:rsid w:val="00CF0FD2"/>
  </w:style>
  <w:style w:type="character" w:customStyle="1" w:styleId="WW8Num8z5">
    <w:name w:val="WW8Num8z5"/>
    <w:rsid w:val="00CF0FD2"/>
  </w:style>
  <w:style w:type="character" w:customStyle="1" w:styleId="WW8Num8z6">
    <w:name w:val="WW8Num8z6"/>
    <w:rsid w:val="00CF0FD2"/>
  </w:style>
  <w:style w:type="character" w:customStyle="1" w:styleId="WW8Num8z7">
    <w:name w:val="WW8Num8z7"/>
    <w:rsid w:val="00CF0FD2"/>
  </w:style>
  <w:style w:type="character" w:customStyle="1" w:styleId="WW8Num8z8">
    <w:name w:val="WW8Num8z8"/>
    <w:rsid w:val="00CF0FD2"/>
  </w:style>
  <w:style w:type="character" w:customStyle="1" w:styleId="WW8Num14z1">
    <w:name w:val="WW8Num14z1"/>
    <w:rsid w:val="00CF0FD2"/>
  </w:style>
  <w:style w:type="character" w:customStyle="1" w:styleId="WW8Num14z2">
    <w:name w:val="WW8Num14z2"/>
    <w:rsid w:val="00CF0FD2"/>
    <w:rPr>
      <w:color w:val="000080"/>
    </w:rPr>
  </w:style>
  <w:style w:type="character" w:customStyle="1" w:styleId="WW8Num14z3">
    <w:name w:val="WW8Num14z3"/>
    <w:rsid w:val="00CF0FD2"/>
  </w:style>
  <w:style w:type="character" w:customStyle="1" w:styleId="WW8Num14z4">
    <w:name w:val="WW8Num14z4"/>
    <w:rsid w:val="00CF0FD2"/>
  </w:style>
  <w:style w:type="character" w:customStyle="1" w:styleId="WW8Num14z5">
    <w:name w:val="WW8Num14z5"/>
    <w:rsid w:val="00CF0FD2"/>
  </w:style>
  <w:style w:type="character" w:customStyle="1" w:styleId="WW8Num14z6">
    <w:name w:val="WW8Num14z6"/>
    <w:rsid w:val="00CF0FD2"/>
  </w:style>
  <w:style w:type="character" w:customStyle="1" w:styleId="WW8Num14z7">
    <w:name w:val="WW8Num14z7"/>
    <w:rsid w:val="00CF0FD2"/>
  </w:style>
  <w:style w:type="character" w:customStyle="1" w:styleId="WW8Num14z8">
    <w:name w:val="WW8Num14z8"/>
    <w:rsid w:val="00CF0FD2"/>
  </w:style>
  <w:style w:type="character" w:customStyle="1" w:styleId="WW8Num15z1">
    <w:name w:val="WW8Num15z1"/>
    <w:rsid w:val="00CF0FD2"/>
    <w:rPr>
      <w:rFonts w:ascii="Courier New" w:hAnsi="Courier New" w:cs="Courier New"/>
    </w:rPr>
  </w:style>
  <w:style w:type="character" w:customStyle="1" w:styleId="WW8Num15z3">
    <w:name w:val="WW8Num15z3"/>
    <w:rsid w:val="00CF0FD2"/>
    <w:rPr>
      <w:rFonts w:ascii="Symbol" w:hAnsi="Symbol" w:cs="Symbol"/>
    </w:rPr>
  </w:style>
  <w:style w:type="character" w:customStyle="1" w:styleId="WW8Num24z4">
    <w:name w:val="WW8Num24z4"/>
    <w:rsid w:val="00CF0FD2"/>
  </w:style>
  <w:style w:type="character" w:customStyle="1" w:styleId="WW8Num24z5">
    <w:name w:val="WW8Num24z5"/>
    <w:rsid w:val="00CF0FD2"/>
  </w:style>
  <w:style w:type="character" w:customStyle="1" w:styleId="WW8Num24z6">
    <w:name w:val="WW8Num24z6"/>
    <w:rsid w:val="00CF0FD2"/>
  </w:style>
  <w:style w:type="character" w:customStyle="1" w:styleId="WW8Num24z7">
    <w:name w:val="WW8Num24z7"/>
    <w:rsid w:val="00CF0FD2"/>
  </w:style>
  <w:style w:type="character" w:customStyle="1" w:styleId="WW8Num24z8">
    <w:name w:val="WW8Num24z8"/>
    <w:rsid w:val="00CF0FD2"/>
  </w:style>
  <w:style w:type="character" w:customStyle="1" w:styleId="WW8Num33z2">
    <w:name w:val="WW8Num33z2"/>
    <w:rsid w:val="00CF0FD2"/>
  </w:style>
  <w:style w:type="character" w:customStyle="1" w:styleId="WW8Num33z4">
    <w:name w:val="WW8Num33z4"/>
    <w:rsid w:val="00CF0FD2"/>
  </w:style>
  <w:style w:type="character" w:customStyle="1" w:styleId="WW8Num33z5">
    <w:name w:val="WW8Num33z5"/>
    <w:rsid w:val="00CF0FD2"/>
  </w:style>
  <w:style w:type="character" w:customStyle="1" w:styleId="WW8Num33z6">
    <w:name w:val="WW8Num33z6"/>
    <w:rsid w:val="00CF0FD2"/>
  </w:style>
  <w:style w:type="character" w:customStyle="1" w:styleId="WW8Num33z7">
    <w:name w:val="WW8Num33z7"/>
    <w:rsid w:val="00CF0FD2"/>
  </w:style>
  <w:style w:type="character" w:customStyle="1" w:styleId="WW8Num33z8">
    <w:name w:val="WW8Num33z8"/>
    <w:rsid w:val="00CF0FD2"/>
  </w:style>
  <w:style w:type="character" w:customStyle="1" w:styleId="WW8Num35z4">
    <w:name w:val="WW8Num35z4"/>
    <w:rsid w:val="00CF0FD2"/>
  </w:style>
  <w:style w:type="character" w:customStyle="1" w:styleId="WW8Num35z5">
    <w:name w:val="WW8Num35z5"/>
    <w:rsid w:val="00CF0FD2"/>
  </w:style>
  <w:style w:type="character" w:customStyle="1" w:styleId="WW8Num35z6">
    <w:name w:val="WW8Num35z6"/>
    <w:rsid w:val="00CF0FD2"/>
  </w:style>
  <w:style w:type="character" w:customStyle="1" w:styleId="WW8Num35z7">
    <w:name w:val="WW8Num35z7"/>
    <w:rsid w:val="00CF0FD2"/>
  </w:style>
  <w:style w:type="character" w:customStyle="1" w:styleId="WW8Num35z8">
    <w:name w:val="WW8Num35z8"/>
    <w:rsid w:val="00CF0FD2"/>
  </w:style>
  <w:style w:type="character" w:customStyle="1" w:styleId="WW8Num37z2">
    <w:name w:val="WW8Num37z2"/>
    <w:rsid w:val="00CF0FD2"/>
  </w:style>
  <w:style w:type="character" w:customStyle="1" w:styleId="WW8Num37z4">
    <w:name w:val="WW8Num37z4"/>
    <w:rsid w:val="00CF0FD2"/>
  </w:style>
  <w:style w:type="character" w:customStyle="1" w:styleId="WW8Num37z5">
    <w:name w:val="WW8Num37z5"/>
    <w:rsid w:val="00CF0FD2"/>
  </w:style>
  <w:style w:type="character" w:customStyle="1" w:styleId="WW8Num37z6">
    <w:name w:val="WW8Num37z6"/>
    <w:rsid w:val="00CF0FD2"/>
  </w:style>
  <w:style w:type="character" w:customStyle="1" w:styleId="WW8Num37z7">
    <w:name w:val="WW8Num37z7"/>
    <w:rsid w:val="00CF0FD2"/>
  </w:style>
  <w:style w:type="character" w:customStyle="1" w:styleId="WW8Num37z8">
    <w:name w:val="WW8Num37z8"/>
    <w:rsid w:val="00CF0FD2"/>
  </w:style>
  <w:style w:type="character" w:customStyle="1" w:styleId="WW8Num39z2">
    <w:name w:val="WW8Num39z2"/>
    <w:rsid w:val="00CF0FD2"/>
    <w:rPr>
      <w:rFonts w:ascii="Wingdings" w:hAnsi="Wingdings" w:cs="Wingdings"/>
    </w:rPr>
  </w:style>
  <w:style w:type="character" w:customStyle="1" w:styleId="WW8Num41z3">
    <w:name w:val="WW8Num41z3"/>
    <w:rsid w:val="00CF0FD2"/>
    <w:rPr>
      <w:rFonts w:ascii="Symbol" w:hAnsi="Symbol" w:cs="Symbol"/>
    </w:rPr>
  </w:style>
  <w:style w:type="character" w:customStyle="1" w:styleId="WW8Num42z0">
    <w:name w:val="WW8Num42z0"/>
    <w:rsid w:val="00CF0FD2"/>
    <w:rPr>
      <w:rFonts w:ascii="Wingdings" w:hAnsi="Wingdings" w:cs="Wingdings"/>
    </w:rPr>
  </w:style>
  <w:style w:type="character" w:customStyle="1" w:styleId="WW8Num42z1">
    <w:name w:val="WW8Num42z1"/>
    <w:rsid w:val="00CF0FD2"/>
    <w:rPr>
      <w:rFonts w:ascii="Courier New" w:hAnsi="Courier New" w:cs="Courier New"/>
    </w:rPr>
  </w:style>
  <w:style w:type="character" w:customStyle="1" w:styleId="WW8Num42z3">
    <w:name w:val="WW8Num42z3"/>
    <w:rsid w:val="00CF0FD2"/>
    <w:rPr>
      <w:rFonts w:ascii="Symbol" w:hAnsi="Symbol" w:cs="Symbol"/>
    </w:rPr>
  </w:style>
  <w:style w:type="character" w:customStyle="1" w:styleId="WW8Num43z0">
    <w:name w:val="WW8Num43z0"/>
    <w:rsid w:val="00CF0FD2"/>
    <w:rPr>
      <w:rFonts w:ascii="Wingdings" w:eastAsia="Times New Roman" w:hAnsi="Wingdings" w:cs="Wingdings"/>
      <w:szCs w:val="24"/>
    </w:rPr>
  </w:style>
  <w:style w:type="character" w:customStyle="1" w:styleId="WW8Num43z1">
    <w:name w:val="WW8Num43z1"/>
    <w:rsid w:val="00CF0FD2"/>
    <w:rPr>
      <w:rFonts w:ascii="Courier New" w:hAnsi="Courier New" w:cs="Courier New"/>
    </w:rPr>
  </w:style>
  <w:style w:type="character" w:customStyle="1" w:styleId="WW8Num43z3">
    <w:name w:val="WW8Num43z3"/>
    <w:rsid w:val="00CF0FD2"/>
    <w:rPr>
      <w:rFonts w:ascii="Symbol" w:hAnsi="Symbol" w:cs="Symbol"/>
    </w:rPr>
  </w:style>
  <w:style w:type="character" w:customStyle="1" w:styleId="WW8Num44z0">
    <w:name w:val="WW8Num44z0"/>
    <w:rsid w:val="00CF0FD2"/>
    <w:rPr>
      <w:rFonts w:ascii="Symbol" w:eastAsia="Times New Roman" w:hAnsi="Symbol" w:cs="Symbol"/>
      <w:szCs w:val="24"/>
    </w:rPr>
  </w:style>
  <w:style w:type="character" w:customStyle="1" w:styleId="WW8Num44z1">
    <w:name w:val="WW8Num44z1"/>
    <w:rsid w:val="00CF0FD2"/>
    <w:rPr>
      <w:rFonts w:ascii="Courier New" w:eastAsia="Times New Roman" w:hAnsi="Courier New" w:cs="Courier New"/>
      <w:szCs w:val="24"/>
    </w:rPr>
  </w:style>
  <w:style w:type="character" w:customStyle="1" w:styleId="WW8Num44z2">
    <w:name w:val="WW8Num44z2"/>
    <w:rsid w:val="00CF0FD2"/>
    <w:rPr>
      <w:rFonts w:ascii="Wingdings" w:hAnsi="Wingdings" w:cs="Wingdings"/>
    </w:rPr>
  </w:style>
  <w:style w:type="character" w:customStyle="1" w:styleId="WW8Num45z0">
    <w:name w:val="WW8Num45z0"/>
    <w:rsid w:val="00CF0FD2"/>
    <w:rPr>
      <w:rFonts w:ascii="Wingdings" w:hAnsi="Wingdings" w:cs="Wingdings"/>
    </w:rPr>
  </w:style>
  <w:style w:type="character" w:customStyle="1" w:styleId="WW8Num45z1">
    <w:name w:val="WW8Num45z1"/>
    <w:rsid w:val="00CF0FD2"/>
    <w:rPr>
      <w:rFonts w:ascii="Courier New" w:hAnsi="Courier New" w:cs="Courier New"/>
    </w:rPr>
  </w:style>
  <w:style w:type="character" w:customStyle="1" w:styleId="WW8Num45z3">
    <w:name w:val="WW8Num45z3"/>
    <w:rsid w:val="00CF0FD2"/>
    <w:rPr>
      <w:rFonts w:ascii="Symbol" w:hAnsi="Symbol" w:cs="Symbol"/>
    </w:rPr>
  </w:style>
  <w:style w:type="character" w:customStyle="1" w:styleId="WW8Num46z0">
    <w:name w:val="WW8Num46z0"/>
    <w:rsid w:val="00CF0FD2"/>
    <w:rPr>
      <w:rFonts w:ascii="Symbol" w:hAnsi="Symbol" w:cs="Symbol"/>
    </w:rPr>
  </w:style>
  <w:style w:type="character" w:customStyle="1" w:styleId="WW8Num46z1">
    <w:name w:val="WW8Num46z1"/>
    <w:rsid w:val="00CF0FD2"/>
    <w:rPr>
      <w:rFonts w:ascii="Courier New" w:hAnsi="Courier New" w:cs="Courier New"/>
    </w:rPr>
  </w:style>
  <w:style w:type="character" w:customStyle="1" w:styleId="WW8Num46z2">
    <w:name w:val="WW8Num46z2"/>
    <w:rsid w:val="00CF0FD2"/>
    <w:rPr>
      <w:rFonts w:ascii="Wingdings" w:hAnsi="Wingdings" w:cs="Wingdings"/>
    </w:rPr>
  </w:style>
  <w:style w:type="character" w:customStyle="1" w:styleId="WW8Num47z0">
    <w:name w:val="WW8Num47z0"/>
    <w:rsid w:val="00CF0FD2"/>
    <w:rPr>
      <w:rFonts w:ascii="Arial Narrow" w:eastAsia="Times New Roman" w:hAnsi="Arial Narrow" w:cs="Calibri"/>
    </w:rPr>
  </w:style>
  <w:style w:type="character" w:customStyle="1" w:styleId="WW8Num47z1">
    <w:name w:val="WW8Num47z1"/>
    <w:rsid w:val="00CF0FD2"/>
    <w:rPr>
      <w:rFonts w:ascii="Courier New" w:hAnsi="Courier New" w:cs="Courier New"/>
    </w:rPr>
  </w:style>
  <w:style w:type="character" w:customStyle="1" w:styleId="WW8Num47z2">
    <w:name w:val="WW8Num47z2"/>
    <w:rsid w:val="00CF0FD2"/>
    <w:rPr>
      <w:rFonts w:ascii="Wingdings" w:hAnsi="Wingdings" w:cs="Wingdings"/>
    </w:rPr>
  </w:style>
  <w:style w:type="character" w:customStyle="1" w:styleId="WW8Num47z3">
    <w:name w:val="WW8Num47z3"/>
    <w:rsid w:val="00CF0FD2"/>
    <w:rPr>
      <w:rFonts w:ascii="Symbol" w:hAnsi="Symbol" w:cs="Symbol"/>
    </w:rPr>
  </w:style>
  <w:style w:type="character" w:customStyle="1" w:styleId="WW8Num48z0">
    <w:name w:val="WW8Num48z0"/>
    <w:rsid w:val="00CF0FD2"/>
    <w:rPr>
      <w:rFonts w:ascii="Symbol" w:hAnsi="Symbol" w:cs="Symbol"/>
    </w:rPr>
  </w:style>
  <w:style w:type="character" w:customStyle="1" w:styleId="WW8Num48z1">
    <w:name w:val="WW8Num48z1"/>
    <w:rsid w:val="00CF0FD2"/>
    <w:rPr>
      <w:rFonts w:ascii="Courier New" w:hAnsi="Courier New" w:cs="Courier New"/>
    </w:rPr>
  </w:style>
  <w:style w:type="character" w:customStyle="1" w:styleId="WW8Num48z2">
    <w:name w:val="WW8Num48z2"/>
    <w:rsid w:val="00CF0FD2"/>
    <w:rPr>
      <w:rFonts w:ascii="Wingdings" w:hAnsi="Wingdings" w:cs="Wingdings"/>
    </w:rPr>
  </w:style>
  <w:style w:type="character" w:customStyle="1" w:styleId="WW8Num49z0">
    <w:name w:val="WW8Num49z0"/>
    <w:rsid w:val="00CF0FD2"/>
    <w:rPr>
      <w:rFonts w:ascii="Arial Narrow" w:eastAsia="Times New Roman" w:hAnsi="Arial Narrow" w:cs="Arial Narrow"/>
      <w:color w:val="auto"/>
    </w:rPr>
  </w:style>
  <w:style w:type="character" w:customStyle="1" w:styleId="WW8Num49z1">
    <w:name w:val="WW8Num49z1"/>
    <w:rsid w:val="00CF0FD2"/>
    <w:rPr>
      <w:rFonts w:ascii="Courier New" w:hAnsi="Courier New" w:cs="Courier New"/>
    </w:rPr>
  </w:style>
  <w:style w:type="character" w:customStyle="1" w:styleId="WW8Num49z2">
    <w:name w:val="WW8Num49z2"/>
    <w:rsid w:val="00CF0FD2"/>
    <w:rPr>
      <w:rFonts w:ascii="Wingdings" w:hAnsi="Wingdings" w:cs="Wingdings"/>
    </w:rPr>
  </w:style>
  <w:style w:type="character" w:customStyle="1" w:styleId="WW8Num49z3">
    <w:name w:val="WW8Num49z3"/>
    <w:rsid w:val="00CF0FD2"/>
    <w:rPr>
      <w:rFonts w:ascii="Symbol" w:hAnsi="Symbol" w:cs="Symbol"/>
    </w:rPr>
  </w:style>
  <w:style w:type="character" w:customStyle="1" w:styleId="WW8Num50z0">
    <w:name w:val="WW8Num50z0"/>
    <w:rsid w:val="00CF0FD2"/>
    <w:rPr>
      <w:rFonts w:cs="Times New Roman"/>
    </w:rPr>
  </w:style>
  <w:style w:type="character" w:customStyle="1" w:styleId="WW-DefaultParagraphFont11">
    <w:name w:val="WW-Default Paragraph Font11"/>
    <w:rsid w:val="00CF0FD2"/>
  </w:style>
  <w:style w:type="character" w:customStyle="1" w:styleId="CharChar3">
    <w:name w:val="Char Char3"/>
    <w:rsid w:val="00CF0FD2"/>
    <w:rPr>
      <w:rFonts w:ascii="Calibri" w:hAnsi="Calibri" w:cs="Calibri"/>
      <w:sz w:val="24"/>
      <w:szCs w:val="24"/>
      <w:lang w:bidi="ar-SA"/>
    </w:rPr>
  </w:style>
  <w:style w:type="character" w:customStyle="1" w:styleId="CharChar20">
    <w:name w:val="Char Char2"/>
    <w:rsid w:val="00CF0FD2"/>
    <w:rPr>
      <w:rFonts w:cs="Times New Roman"/>
      <w:sz w:val="24"/>
      <w:szCs w:val="24"/>
    </w:rPr>
  </w:style>
  <w:style w:type="character" w:customStyle="1" w:styleId="CharChar10">
    <w:name w:val="Char Char1"/>
    <w:rsid w:val="00CF0FD2"/>
    <w:rPr>
      <w:rFonts w:cs="Times New Roman"/>
      <w:sz w:val="24"/>
      <w:szCs w:val="24"/>
    </w:rPr>
  </w:style>
  <w:style w:type="character" w:customStyle="1" w:styleId="BodyTextCharChar">
    <w:name w:val="Body Text Char Char"/>
    <w:rsid w:val="00CF0FD2"/>
    <w:rPr>
      <w:rFonts w:cs="Times New Roman"/>
      <w:sz w:val="24"/>
      <w:szCs w:val="24"/>
    </w:rPr>
  </w:style>
  <w:style w:type="character" w:customStyle="1" w:styleId="FootnoteChar">
    <w:name w:val="Footnote Char"/>
    <w:aliases w:val="fn Char Char1,Fußnote Char Char"/>
    <w:rsid w:val="00CF0FD2"/>
    <w:rPr>
      <w:lang w:bidi="ar-SA"/>
    </w:rPr>
  </w:style>
  <w:style w:type="character" w:customStyle="1" w:styleId="FootnoteCharacters">
    <w:name w:val="Footnote Characters"/>
    <w:rsid w:val="00CF0FD2"/>
    <w:rPr>
      <w:vertAlign w:val="superscript"/>
    </w:rPr>
  </w:style>
  <w:style w:type="character" w:customStyle="1" w:styleId="EndnoteCharacters">
    <w:name w:val="Endnote Characters"/>
    <w:rsid w:val="00CF0FD2"/>
    <w:rPr>
      <w:vertAlign w:val="superscript"/>
    </w:rPr>
  </w:style>
  <w:style w:type="character" w:customStyle="1" w:styleId="BodyTextNumberedCharCharChar">
    <w:name w:val="Body Text Numbered Char Char Char"/>
    <w:rsid w:val="00CF0FD2"/>
    <w:rPr>
      <w:sz w:val="24"/>
      <w:szCs w:val="24"/>
      <w:lang w:bidi="ar-SA"/>
    </w:rPr>
  </w:style>
  <w:style w:type="character" w:customStyle="1" w:styleId="CharChar0">
    <w:name w:val="Char Char"/>
    <w:rsid w:val="00CF0FD2"/>
    <w:rPr>
      <w:rFonts w:ascii="Consolas" w:eastAsia="MS Mincho" w:hAnsi="Consolas" w:cs="Consolas"/>
      <w:sz w:val="21"/>
      <w:szCs w:val="21"/>
      <w:lang w:bidi="ar-SA"/>
    </w:rPr>
  </w:style>
  <w:style w:type="character" w:customStyle="1" w:styleId="NormalWebCharCharChar">
    <w:name w:val="Normal (Web) Char Char Char"/>
    <w:rsid w:val="00CF0FD2"/>
    <w:rPr>
      <w:sz w:val="24"/>
      <w:szCs w:val="24"/>
      <w:lang w:bidi="ar-SA"/>
    </w:rPr>
  </w:style>
  <w:style w:type="character" w:customStyle="1" w:styleId="CharChar6">
    <w:name w:val="Char Char6"/>
    <w:rsid w:val="00CF0FD2"/>
    <w:rPr>
      <w:rFonts w:ascii="Arial Narrow" w:eastAsia="Times New Roman" w:hAnsi="Arial Narrow" w:cs="Times New Roman"/>
      <w:b/>
      <w:bCs/>
      <w:kern w:val="1"/>
      <w:sz w:val="24"/>
      <w:szCs w:val="32"/>
    </w:rPr>
  </w:style>
  <w:style w:type="character" w:customStyle="1" w:styleId="CharChar50">
    <w:name w:val="Char Char5"/>
    <w:rsid w:val="00CF0FD2"/>
    <w:rPr>
      <w:rFonts w:ascii="Arial Narrow" w:eastAsia="Times New Roman" w:hAnsi="Arial Narrow" w:cs="Times New Roman"/>
      <w:b/>
      <w:bCs/>
      <w:iCs/>
      <w:sz w:val="24"/>
      <w:szCs w:val="28"/>
      <w:shd w:val="clear" w:color="auto" w:fill="FABF8F"/>
    </w:rPr>
  </w:style>
  <w:style w:type="character" w:customStyle="1" w:styleId="ListLabel7">
    <w:name w:val="ListLabel 7"/>
    <w:rsid w:val="00CF0FD2"/>
    <w:rPr>
      <w:rFonts w:eastAsia="Calibri" w:cs="Times New Roman"/>
    </w:rPr>
  </w:style>
  <w:style w:type="character" w:customStyle="1" w:styleId="ListLabel2">
    <w:name w:val="ListLabel 2"/>
    <w:rsid w:val="00CF0FD2"/>
    <w:rPr>
      <w:rFonts w:cs="Courier New"/>
    </w:rPr>
  </w:style>
  <w:style w:type="character" w:customStyle="1" w:styleId="NumberingSymbols">
    <w:name w:val="Numbering Symbols"/>
    <w:rsid w:val="00CF0FD2"/>
  </w:style>
  <w:style w:type="character" w:customStyle="1" w:styleId="Bullets">
    <w:name w:val="Bullets"/>
    <w:rsid w:val="00CF0FD2"/>
    <w:rPr>
      <w:rFonts w:ascii="OpenSymbol" w:eastAsia="OpenSymbol" w:hAnsi="OpenSymbol" w:cs="OpenSymbol"/>
    </w:rPr>
  </w:style>
  <w:style w:type="character" w:customStyle="1" w:styleId="CITE">
    <w:name w:val="CITE"/>
    <w:rsid w:val="00CF0FD2"/>
    <w:rPr>
      <w:i/>
    </w:rPr>
  </w:style>
  <w:style w:type="character" w:customStyle="1" w:styleId="CODE">
    <w:name w:val="CODE"/>
    <w:rsid w:val="00CF0FD2"/>
    <w:rPr>
      <w:rFonts w:ascii="Courier New" w:hAnsi="Courier New" w:cs="Courier New"/>
      <w:sz w:val="20"/>
    </w:rPr>
  </w:style>
  <w:style w:type="character" w:customStyle="1" w:styleId="Keyboard">
    <w:name w:val="Keyboard"/>
    <w:rsid w:val="00CF0FD2"/>
    <w:rPr>
      <w:rFonts w:ascii="Courier New" w:hAnsi="Courier New" w:cs="Courier New"/>
      <w:b/>
      <w:sz w:val="20"/>
    </w:rPr>
  </w:style>
  <w:style w:type="character" w:customStyle="1" w:styleId="Sample">
    <w:name w:val="Sample"/>
    <w:rsid w:val="00CF0FD2"/>
    <w:rPr>
      <w:rFonts w:ascii="Courier New" w:hAnsi="Courier New" w:cs="Courier New"/>
    </w:rPr>
  </w:style>
  <w:style w:type="character" w:customStyle="1" w:styleId="Typewriter">
    <w:name w:val="Typewriter"/>
    <w:rsid w:val="00CF0FD2"/>
    <w:rPr>
      <w:rFonts w:ascii="Courier New" w:hAnsi="Courier New" w:cs="Courier New"/>
      <w:sz w:val="20"/>
    </w:rPr>
  </w:style>
  <w:style w:type="character" w:customStyle="1" w:styleId="HTMLMarkup">
    <w:name w:val="HTML Markup"/>
    <w:rsid w:val="00CF0FD2"/>
    <w:rPr>
      <w:vanish/>
      <w:color w:val="FF0000"/>
    </w:rPr>
  </w:style>
  <w:style w:type="character" w:customStyle="1" w:styleId="Comment">
    <w:name w:val="Comment"/>
    <w:rsid w:val="00CF0FD2"/>
    <w:rPr>
      <w:vanish/>
    </w:rPr>
  </w:style>
  <w:style w:type="character" w:customStyle="1" w:styleId="WW-FootnoteReference">
    <w:name w:val="WW-Footnote Reference"/>
    <w:rsid w:val="00CF0FD2"/>
    <w:rPr>
      <w:vertAlign w:val="superscript"/>
    </w:rPr>
  </w:style>
  <w:style w:type="character" w:customStyle="1" w:styleId="WW-EndnoteReference">
    <w:name w:val="WW-Endnote Reference"/>
    <w:rsid w:val="00CF0FD2"/>
    <w:rPr>
      <w:vertAlign w:val="superscript"/>
    </w:rPr>
  </w:style>
  <w:style w:type="character" w:customStyle="1" w:styleId="ListLabel5">
    <w:name w:val="ListLabel 5"/>
    <w:rsid w:val="00CF0FD2"/>
    <w:rPr>
      <w:b/>
      <w:bCs/>
    </w:rPr>
  </w:style>
  <w:style w:type="character" w:customStyle="1" w:styleId="ListLabel1">
    <w:name w:val="ListLabel 1"/>
    <w:rsid w:val="00CF0FD2"/>
    <w:rPr>
      <w:rFonts w:cs="Wingdings"/>
    </w:rPr>
  </w:style>
  <w:style w:type="character" w:customStyle="1" w:styleId="ListLabel3">
    <w:name w:val="ListLabel 3"/>
    <w:rsid w:val="00CF0FD2"/>
    <w:rPr>
      <w:rFonts w:cs="Courier New"/>
    </w:rPr>
  </w:style>
  <w:style w:type="character" w:customStyle="1" w:styleId="ListLabel4">
    <w:name w:val="ListLabel 4"/>
    <w:rsid w:val="00CF0FD2"/>
    <w:rPr>
      <w:rFonts w:eastAsia="Times New Roman"/>
      <w:color w:val="00000A"/>
    </w:rPr>
  </w:style>
  <w:style w:type="character" w:customStyle="1" w:styleId="WW-FootnoteReference1">
    <w:name w:val="WW-Footnote Reference1"/>
    <w:rsid w:val="00CF0FD2"/>
    <w:rPr>
      <w:vertAlign w:val="superscript"/>
    </w:rPr>
  </w:style>
  <w:style w:type="character" w:customStyle="1" w:styleId="WW-EndnoteReference1">
    <w:name w:val="WW-Endnote Reference1"/>
    <w:rsid w:val="00CF0FD2"/>
    <w:rPr>
      <w:vertAlign w:val="superscript"/>
    </w:rPr>
  </w:style>
  <w:style w:type="character" w:customStyle="1" w:styleId="at14">
    <w:name w:val="a__t14"/>
    <w:basedOn w:val="DefaultParagraphFont"/>
    <w:rsid w:val="00CF0FD2"/>
  </w:style>
  <w:style w:type="paragraph" w:customStyle="1" w:styleId="Heading">
    <w:name w:val="Heading"/>
    <w:basedOn w:val="Normal"/>
    <w:next w:val="BodyText"/>
    <w:rsid w:val="00CF0FD2"/>
    <w:pPr>
      <w:suppressAutoHyphens/>
      <w:jc w:val="center"/>
    </w:pPr>
    <w:rPr>
      <w:sz w:val="36"/>
      <w:szCs w:val="20"/>
      <w:lang w:eastAsia="zh-CN"/>
    </w:rPr>
  </w:style>
  <w:style w:type="paragraph" w:customStyle="1" w:styleId="Index">
    <w:name w:val="Index"/>
    <w:basedOn w:val="Normal"/>
    <w:rsid w:val="00CF0FD2"/>
    <w:pPr>
      <w:suppressLineNumbers/>
      <w:suppressAutoHyphens/>
    </w:pPr>
    <w:rPr>
      <w:rFonts w:cs="Mangal"/>
      <w:lang w:eastAsia="zh-CN"/>
    </w:rPr>
  </w:style>
  <w:style w:type="paragraph" w:customStyle="1" w:styleId="CharCharCharChar1CharCharCharCharCharCharCharCharCharCharCharCharCaracterCaracterCharCharCaracterCharCharCaracterCaracterCharCharCharCharCharCharCaracterCaracterCharCharCharChar">
    <w:name w:val="Char Char Char Char1 Char Char Char Char Char Char Char Char Char Char Char Char Caracter Caracter Char Char Caracter Char Char Caracter Caracter Char Char Char Char Char Char Caracter Caracter Char Char Char Char"/>
    <w:basedOn w:val="Normal"/>
    <w:next w:val="Normal"/>
    <w:rsid w:val="00CF0FD2"/>
    <w:pPr>
      <w:suppressAutoHyphens/>
      <w:spacing w:after="160" w:line="240" w:lineRule="exact"/>
    </w:pPr>
    <w:rPr>
      <w:sz w:val="20"/>
      <w:szCs w:val="20"/>
      <w:vertAlign w:val="superscript"/>
      <w:lang w:eastAsia="ro-RO"/>
    </w:rPr>
  </w:style>
  <w:style w:type="paragraph" w:customStyle="1" w:styleId="WW-ListBullet2">
    <w:name w:val="WW-List Bullet 2"/>
    <w:basedOn w:val="Normal"/>
    <w:rsid w:val="00CF0FD2"/>
    <w:pPr>
      <w:numPr>
        <w:numId w:val="4"/>
      </w:numPr>
      <w:suppressAutoHyphens/>
    </w:pPr>
    <w:rPr>
      <w:lang w:eastAsia="zh-CN"/>
    </w:rPr>
  </w:style>
  <w:style w:type="paragraph" w:customStyle="1" w:styleId="WW-ListBullet3">
    <w:name w:val="WW-List Bullet 3"/>
    <w:basedOn w:val="Normal"/>
    <w:rsid w:val="00CF0FD2"/>
    <w:pPr>
      <w:numPr>
        <w:numId w:val="3"/>
      </w:numPr>
      <w:suppressAutoHyphens/>
    </w:pPr>
    <w:rPr>
      <w:lang w:eastAsia="zh-CN"/>
    </w:rPr>
  </w:style>
  <w:style w:type="paragraph" w:customStyle="1" w:styleId="CaracterCaracter7CharCharCharChar">
    <w:name w:val="Caracter Caracter7 Char Char Char Char"/>
    <w:basedOn w:val="Normal"/>
    <w:rsid w:val="00CF0FD2"/>
    <w:pPr>
      <w:suppressAutoHyphens/>
    </w:pPr>
    <w:rPr>
      <w:szCs w:val="20"/>
      <w:lang w:eastAsia="zh-CN"/>
    </w:rPr>
  </w:style>
  <w:style w:type="paragraph" w:customStyle="1" w:styleId="TableContents">
    <w:name w:val="Table Contents"/>
    <w:basedOn w:val="Normal"/>
    <w:rsid w:val="00CF0FD2"/>
    <w:pPr>
      <w:suppressLineNumbers/>
      <w:suppressAutoHyphens/>
    </w:pPr>
    <w:rPr>
      <w:lang w:eastAsia="zh-CN"/>
    </w:rPr>
  </w:style>
  <w:style w:type="paragraph" w:customStyle="1" w:styleId="TableHeading">
    <w:name w:val="Table Heading"/>
    <w:basedOn w:val="TableContents"/>
    <w:rsid w:val="00CF0FD2"/>
    <w:pPr>
      <w:jc w:val="center"/>
    </w:pPr>
    <w:rPr>
      <w:b/>
      <w:bCs/>
    </w:rPr>
  </w:style>
  <w:style w:type="paragraph" w:customStyle="1" w:styleId="FrameContents">
    <w:name w:val="Frame Contents"/>
    <w:basedOn w:val="Normal"/>
    <w:rsid w:val="00CF0FD2"/>
    <w:pPr>
      <w:suppressAutoHyphens/>
    </w:pPr>
    <w:rPr>
      <w:lang w:eastAsia="zh-CN"/>
    </w:rPr>
  </w:style>
  <w:style w:type="paragraph" w:customStyle="1" w:styleId="DefinitionTerm">
    <w:name w:val="Definition Term"/>
    <w:basedOn w:val="Normal"/>
    <w:rsid w:val="00CF0FD2"/>
    <w:pPr>
      <w:suppressAutoHyphens/>
    </w:pPr>
    <w:rPr>
      <w:lang w:eastAsia="zh-CN"/>
    </w:rPr>
  </w:style>
  <w:style w:type="paragraph" w:customStyle="1" w:styleId="DefinitionList">
    <w:name w:val="Definition List"/>
    <w:basedOn w:val="Normal"/>
    <w:rsid w:val="00CF0FD2"/>
    <w:pPr>
      <w:suppressAutoHyphens/>
      <w:ind w:left="360"/>
    </w:pPr>
    <w:rPr>
      <w:lang w:eastAsia="zh-CN"/>
    </w:rPr>
  </w:style>
  <w:style w:type="paragraph" w:customStyle="1" w:styleId="H1">
    <w:name w:val="H1"/>
    <w:basedOn w:val="Normal"/>
    <w:rsid w:val="00CF0FD2"/>
    <w:pPr>
      <w:keepNext/>
      <w:suppressAutoHyphens/>
      <w:spacing w:before="100" w:after="100"/>
    </w:pPr>
    <w:rPr>
      <w:b/>
      <w:kern w:val="1"/>
      <w:sz w:val="48"/>
      <w:lang w:eastAsia="zh-CN"/>
    </w:rPr>
  </w:style>
  <w:style w:type="paragraph" w:customStyle="1" w:styleId="H2">
    <w:name w:val="H2"/>
    <w:basedOn w:val="Normal"/>
    <w:rsid w:val="00CF0FD2"/>
    <w:pPr>
      <w:keepNext/>
      <w:suppressAutoHyphens/>
      <w:spacing w:before="100" w:after="100"/>
    </w:pPr>
    <w:rPr>
      <w:b/>
      <w:sz w:val="36"/>
      <w:lang w:eastAsia="zh-CN"/>
    </w:rPr>
  </w:style>
  <w:style w:type="paragraph" w:customStyle="1" w:styleId="H3">
    <w:name w:val="H3"/>
    <w:basedOn w:val="Normal"/>
    <w:rsid w:val="00CF0FD2"/>
    <w:pPr>
      <w:keepNext/>
      <w:suppressAutoHyphens/>
      <w:spacing w:before="100" w:after="100"/>
    </w:pPr>
    <w:rPr>
      <w:b/>
      <w:sz w:val="28"/>
      <w:lang w:eastAsia="zh-CN"/>
    </w:rPr>
  </w:style>
  <w:style w:type="paragraph" w:customStyle="1" w:styleId="H4">
    <w:name w:val="H4"/>
    <w:basedOn w:val="Normal"/>
    <w:rsid w:val="00CF0FD2"/>
    <w:pPr>
      <w:keepNext/>
      <w:suppressAutoHyphens/>
      <w:spacing w:before="100" w:after="100"/>
    </w:pPr>
    <w:rPr>
      <w:b/>
      <w:lang w:eastAsia="zh-CN"/>
    </w:rPr>
  </w:style>
  <w:style w:type="paragraph" w:customStyle="1" w:styleId="H5">
    <w:name w:val="H5"/>
    <w:basedOn w:val="Normal"/>
    <w:rsid w:val="00CF0FD2"/>
    <w:pPr>
      <w:keepNext/>
      <w:suppressAutoHyphens/>
      <w:spacing w:before="100" w:after="100"/>
    </w:pPr>
    <w:rPr>
      <w:b/>
      <w:sz w:val="20"/>
      <w:lang w:eastAsia="zh-CN"/>
    </w:rPr>
  </w:style>
  <w:style w:type="paragraph" w:customStyle="1" w:styleId="H6">
    <w:name w:val="H6"/>
    <w:basedOn w:val="Normal"/>
    <w:rsid w:val="00CF0FD2"/>
    <w:pPr>
      <w:keepNext/>
      <w:suppressAutoHyphens/>
      <w:spacing w:before="100" w:after="100"/>
    </w:pPr>
    <w:rPr>
      <w:b/>
      <w:sz w:val="16"/>
      <w:lang w:eastAsia="zh-CN"/>
    </w:rPr>
  </w:style>
  <w:style w:type="paragraph" w:customStyle="1" w:styleId="Address">
    <w:name w:val="Address"/>
    <w:basedOn w:val="Normal"/>
    <w:rsid w:val="00CF0FD2"/>
    <w:pPr>
      <w:suppressAutoHyphens/>
    </w:pPr>
    <w:rPr>
      <w:i/>
      <w:lang w:eastAsia="zh-CN"/>
    </w:rPr>
  </w:style>
  <w:style w:type="paragraph" w:customStyle="1" w:styleId="Blockquote">
    <w:name w:val="Blockquote"/>
    <w:basedOn w:val="Normal"/>
    <w:rsid w:val="00CF0FD2"/>
    <w:pPr>
      <w:suppressAutoHyphens/>
      <w:spacing w:before="100" w:after="100"/>
      <w:ind w:left="360" w:right="360"/>
    </w:pPr>
    <w:rPr>
      <w:lang w:eastAsia="zh-CN"/>
    </w:rPr>
  </w:style>
  <w:style w:type="paragraph" w:customStyle="1" w:styleId="Preformatted">
    <w:name w:val="Preformatted"/>
    <w:basedOn w:val="Normal"/>
    <w:rsid w:val="00CF0FD2"/>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hAnsi="Courier New" w:cs="Courier New"/>
      <w:sz w:val="20"/>
      <w:lang w:eastAsia="zh-CN"/>
    </w:rPr>
  </w:style>
  <w:style w:type="paragraph" w:styleId="z-BottomofForm">
    <w:name w:val="HTML Bottom of Form"/>
    <w:link w:val="z-BottomofFormChar"/>
    <w:rsid w:val="00CF0FD2"/>
    <w:pPr>
      <w:pBdr>
        <w:top w:val="double" w:sz="2" w:space="0" w:color="000000"/>
      </w:pBdr>
      <w:suppressAutoHyphens/>
      <w:jc w:val="center"/>
    </w:pPr>
    <w:rPr>
      <w:rFonts w:ascii="Arial" w:eastAsia="Arial" w:hAnsi="Arial" w:cs="Courier New"/>
      <w:vanish/>
      <w:sz w:val="16"/>
      <w:szCs w:val="24"/>
      <w:lang w:eastAsia="zh-CN" w:bidi="hi-IN"/>
    </w:rPr>
  </w:style>
  <w:style w:type="paragraph" w:styleId="z-TopofForm">
    <w:name w:val="HTML Top of Form"/>
    <w:link w:val="z-TopofFormChar"/>
    <w:rsid w:val="00CF0FD2"/>
    <w:pPr>
      <w:pBdr>
        <w:bottom w:val="double" w:sz="2" w:space="0" w:color="000000"/>
      </w:pBdr>
      <w:suppressAutoHyphens/>
      <w:jc w:val="center"/>
    </w:pPr>
    <w:rPr>
      <w:rFonts w:ascii="Arial" w:eastAsia="Arial" w:hAnsi="Arial" w:cs="Courier New"/>
      <w:vanish/>
      <w:sz w:val="16"/>
      <w:szCs w:val="24"/>
      <w:lang w:eastAsia="zh-CN" w:bidi="hi-IN"/>
    </w:rPr>
  </w:style>
  <w:style w:type="paragraph" w:customStyle="1" w:styleId="Quotations">
    <w:name w:val="Quotations"/>
    <w:basedOn w:val="Normal"/>
    <w:rsid w:val="00CF0FD2"/>
    <w:pPr>
      <w:suppressAutoHyphens/>
      <w:spacing w:after="283"/>
      <w:ind w:left="567" w:right="567"/>
    </w:pPr>
    <w:rPr>
      <w:lang w:eastAsia="zh-CN"/>
    </w:rPr>
  </w:style>
  <w:style w:type="paragraph" w:styleId="Subtitle">
    <w:name w:val="Subtitle"/>
    <w:basedOn w:val="Heading"/>
    <w:next w:val="BodyText"/>
    <w:link w:val="SubtitleChar"/>
    <w:qFormat/>
    <w:rsid w:val="00CF0FD2"/>
    <w:pPr>
      <w:spacing w:before="60" w:after="120"/>
    </w:pPr>
    <w:rPr>
      <w:szCs w:val="36"/>
    </w:rPr>
  </w:style>
  <w:style w:type="paragraph" w:customStyle="1" w:styleId="astandardtiret202">
    <w:name w:val="a_standard_tiret_20_2"/>
    <w:basedOn w:val="Normal"/>
    <w:rsid w:val="00CF0FD2"/>
    <w:pPr>
      <w:suppressAutoHyphens/>
      <w:spacing w:after="40"/>
      <w:ind w:right="57"/>
      <w:jc w:val="both"/>
    </w:pPr>
    <w:rPr>
      <w:lang w:eastAsia="zh-CN"/>
    </w:rPr>
  </w:style>
  <w:style w:type="paragraph" w:customStyle="1" w:styleId="BodyTextIndent21">
    <w:name w:val="Body Text Indent 21"/>
    <w:basedOn w:val="Normal"/>
    <w:rsid w:val="00CF0FD2"/>
    <w:pPr>
      <w:widowControl w:val="0"/>
      <w:suppressAutoHyphens/>
      <w:spacing w:before="120" w:after="120"/>
      <w:ind w:firstLine="1134"/>
      <w:jc w:val="both"/>
    </w:pPr>
    <w:rPr>
      <w:rFonts w:eastAsia="SimSun"/>
      <w:sz w:val="28"/>
      <w:szCs w:val="20"/>
      <w:lang w:eastAsia="zh-CN"/>
    </w:rPr>
  </w:style>
  <w:style w:type="character" w:customStyle="1" w:styleId="Caracter7">
    <w:name w:val="Caracter7"/>
    <w:rsid w:val="00AF7ABE"/>
    <w:rPr>
      <w:rFonts w:ascii="Arial Narrow" w:eastAsia="Times New Roman" w:hAnsi="Arial Narrow" w:cs="Times New Roman"/>
      <w:b/>
      <w:bCs/>
      <w:kern w:val="32"/>
      <w:sz w:val="24"/>
      <w:szCs w:val="32"/>
    </w:rPr>
  </w:style>
  <w:style w:type="character" w:customStyle="1" w:styleId="Caracter6">
    <w:name w:val="Caracter6"/>
    <w:rsid w:val="00AF7ABE"/>
    <w:rPr>
      <w:rFonts w:ascii="Arial Narrow" w:eastAsia="Times New Roman" w:hAnsi="Arial Narrow" w:cs="Times New Roman"/>
      <w:b/>
      <w:bCs/>
      <w:iCs/>
      <w:sz w:val="24"/>
      <w:szCs w:val="28"/>
      <w:shd w:val="clear" w:color="auto" w:fill="FABF8F"/>
    </w:rPr>
  </w:style>
  <w:style w:type="paragraph" w:customStyle="1" w:styleId="CharChar3CaracterCaracter1CharCharCaracterCaracter1CaracterCaracterCharCharCaracterCaracterCharCharCaracterCaracterCharCharCaracterCaracterCaracterCaracter1CharChar1">
    <w:name w:val="Char Char3 Caracter Caracter1 Char Char Caracter Caracter1 Caracter Caracter Char Char Caracter Caracter Char Char Caracter Caracter Char Char Caracter Caracter Caracter Caracter1 Char Char1"/>
    <w:basedOn w:val="Normal"/>
    <w:rsid w:val="00AD636F"/>
    <w:rPr>
      <w:lang w:eastAsia="pl-PL"/>
    </w:rPr>
  </w:style>
  <w:style w:type="paragraph" w:customStyle="1" w:styleId="CharCharCharChar1CharCharCharCharCharCharCharCharCaracterCaracterCaracterCharCaracterChar">
    <w:name w:val="Char Char Char Char1 Char Char Char Char Char Char Char Char Caracter Caracter Caracter Char Caracter Char"/>
    <w:aliases w:val=" Char Char1 Char Char Char Char Char Char Caracter Char Caracter Char Char"/>
    <w:basedOn w:val="Normal"/>
    <w:next w:val="Normal"/>
    <w:rsid w:val="00AD636F"/>
    <w:pPr>
      <w:spacing w:after="160" w:line="240" w:lineRule="exact"/>
    </w:pPr>
    <w:rPr>
      <w:sz w:val="20"/>
      <w:szCs w:val="20"/>
      <w:vertAlign w:val="superscript"/>
      <w:lang w:eastAsia="ro-RO"/>
    </w:rPr>
  </w:style>
  <w:style w:type="character" w:customStyle="1" w:styleId="shorttext">
    <w:name w:val="short_text"/>
    <w:basedOn w:val="DefaultParagraphFont"/>
    <w:rsid w:val="003A3471"/>
  </w:style>
  <w:style w:type="paragraph" w:customStyle="1" w:styleId="BVIfnrChar1CharCharCharCharCharChar1CharCaracterCharCharCharCharCharCharChar">
    <w:name w:val="BVI fnr Char1 Char Char Char Char Char Char1 Char Caracter Char Char Char Char Char Char Char"/>
    <w:basedOn w:val="Normal"/>
    <w:next w:val="Normal"/>
    <w:rsid w:val="003A3471"/>
    <w:pPr>
      <w:spacing w:after="160" w:line="240" w:lineRule="exact"/>
    </w:pPr>
    <w:rPr>
      <w:sz w:val="20"/>
      <w:szCs w:val="20"/>
      <w:vertAlign w:val="superscript"/>
      <w:lang w:eastAsia="ro-RO"/>
    </w:rPr>
  </w:style>
  <w:style w:type="paragraph" w:customStyle="1" w:styleId="CharChar3CaracterCaracter1CharCharCaracterCaracter1CaracterCaracterCharCharCaracterCaracterCharCharCaracterCaracterCharCharCaracterCaracterCaracterCaracter1CharChar1CaracterCharChar">
    <w:name w:val="Char Char3 Caracter Caracter1 Char Char Caracter Caracter1 Caracter Caracter Char Char Caracter Caracter Char Char Caracter Caracter Char Char Caracter Caracter Caracter Caracter1 Char Char1 Caracter Char Char"/>
    <w:basedOn w:val="Normal"/>
    <w:rsid w:val="000058BD"/>
    <w:rPr>
      <w:lang w:eastAsia="pl-PL"/>
    </w:rPr>
  </w:style>
  <w:style w:type="character" w:customStyle="1" w:styleId="apple-converted-space">
    <w:name w:val="apple-converted-space"/>
    <w:basedOn w:val="DefaultParagraphFont"/>
    <w:rsid w:val="00A37269"/>
  </w:style>
  <w:style w:type="character" w:customStyle="1" w:styleId="tal1">
    <w:name w:val="tal1"/>
    <w:basedOn w:val="DefaultParagraphFont"/>
    <w:rsid w:val="00A37269"/>
  </w:style>
  <w:style w:type="character" w:customStyle="1" w:styleId="ListparagrafCaracter">
    <w:name w:val="Listă paragraf Caracter"/>
    <w:link w:val="Listparagraf"/>
    <w:locked/>
    <w:rsid w:val="00A37269"/>
    <w:rPr>
      <w:rFonts w:ascii="Arial" w:hAnsi="Arial" w:cs="Arial"/>
      <w:lang w:val="en-US" w:eastAsia="ro-RO" w:bidi="ar-SA"/>
    </w:rPr>
  </w:style>
  <w:style w:type="paragraph" w:customStyle="1" w:styleId="Frspaiere1">
    <w:name w:val="Fără spațiere1"/>
    <w:link w:val="FrspaiereChar"/>
    <w:qFormat/>
    <w:rsid w:val="00A37269"/>
    <w:rPr>
      <w:rFonts w:ascii="Calibri" w:eastAsia="Calibri" w:hAnsi="Calibri"/>
      <w:sz w:val="22"/>
      <w:szCs w:val="22"/>
      <w:lang w:eastAsia="en-US"/>
    </w:rPr>
  </w:style>
  <w:style w:type="character" w:customStyle="1" w:styleId="FrspaiereChar">
    <w:name w:val="Fără spațiere Char"/>
    <w:link w:val="Frspaiere1"/>
    <w:rsid w:val="00A37269"/>
    <w:rPr>
      <w:rFonts w:ascii="Calibri" w:eastAsia="Calibri" w:hAnsi="Calibri"/>
      <w:sz w:val="22"/>
      <w:szCs w:val="22"/>
      <w:lang w:val="en-US" w:eastAsia="en-US" w:bidi="ar-SA"/>
    </w:rPr>
  </w:style>
  <w:style w:type="paragraph" w:customStyle="1" w:styleId="CharChar3CaracterCaracter1CharCharCaracterCaracter1CaracterCaracterCharCharCaracterCaracterCharCharCaracterCaracterCharCharCaracterCaracterCaracterCaracter1CharChar">
    <w:name w:val="Char Char3 Caracter Caracter1 Char Char Caracter Caracter1 Caracter Caracter Char Char Caracter Caracter Char Char Caracter Caracter Char Char Caracter Caracter Caracter Caracter1 Char Char"/>
    <w:basedOn w:val="Normal"/>
    <w:rsid w:val="002E13DF"/>
    <w:rPr>
      <w:lang w:eastAsia="pl-PL"/>
    </w:rPr>
  </w:style>
  <w:style w:type="paragraph" w:customStyle="1" w:styleId="CharCharCharChar1CharCharCharCharCharCharCharCharCaracterCaracterCaracterCharCaracterCharCharCharChar">
    <w:name w:val="Char Char Char Char1 Char Char Char Char Char Char Char Char Caracter Caracter Caracter Char Caracter Char Char Char Char"/>
    <w:aliases w:val=" Char Char1 Char Char Char Char Char Char Caracter Char Caracter Char Char Char Char Char Char Char Char"/>
    <w:basedOn w:val="Normal"/>
    <w:next w:val="Normal"/>
    <w:rsid w:val="002A124A"/>
    <w:pPr>
      <w:spacing w:after="160" w:line="240" w:lineRule="exact"/>
    </w:pPr>
    <w:rPr>
      <w:sz w:val="20"/>
      <w:szCs w:val="20"/>
      <w:vertAlign w:val="superscript"/>
    </w:rPr>
  </w:style>
  <w:style w:type="paragraph" w:customStyle="1" w:styleId="CharChar3CaracterCaracter1CharCharCaracterCaracter1CaracterCaracterCharCharCaracterCaracterCharCharCaracterCaracterCharCharCaracterCaracterCaracterCaracter1CharChar1Caracter">
    <w:name w:val="Char Char3 Caracter Caracter1 Char Char Caracter Caracter1 Caracter Caracter Char Char Caracter Caracter Char Char Caracter Caracter Char Char Caracter Caracter Caracter Caracter1 Char Char1 Caracter"/>
    <w:basedOn w:val="Normal"/>
    <w:rsid w:val="00A97FFD"/>
    <w:rPr>
      <w:lang w:eastAsia="pl-PL"/>
    </w:rPr>
  </w:style>
  <w:style w:type="paragraph" w:customStyle="1" w:styleId="Caracter2CharCharCaracterCharCharCaracterCharCharCaracterCharChar">
    <w:name w:val="Caracter2 Char Char Caracter Char Char Caracter Char Char Caracter Char Char"/>
    <w:basedOn w:val="Normal"/>
    <w:rsid w:val="000D7FC7"/>
    <w:rPr>
      <w:lang w:eastAsia="pl-PL"/>
    </w:rPr>
  </w:style>
  <w:style w:type="character" w:customStyle="1" w:styleId="StrongEmphasis">
    <w:name w:val="Strong Emphasis"/>
    <w:rsid w:val="00884E46"/>
    <w:rPr>
      <w:rFonts w:cs="Times New Roman"/>
      <w:b/>
      <w:bCs/>
    </w:rPr>
  </w:style>
  <w:style w:type="character" w:customStyle="1" w:styleId="fontstyle13">
    <w:name w:val="fontstyle13"/>
    <w:rsid w:val="00884E46"/>
    <w:rPr>
      <w:rFonts w:cs="Times New Roman"/>
    </w:rPr>
  </w:style>
  <w:style w:type="character" w:customStyle="1" w:styleId="InternetLink">
    <w:name w:val="Internet Link"/>
    <w:rsid w:val="00884E46"/>
    <w:rPr>
      <w:color w:val="000080"/>
      <w:u w:val="single"/>
    </w:rPr>
  </w:style>
  <w:style w:type="paragraph" w:customStyle="1" w:styleId="CharCharCharChar1CharCharCharCharCharCharCharCharCaracterCaracterCaracterCharCaracterCharCharChar">
    <w:name w:val="Char Char Char Char1 Char Char Char Char Char Char Char Char Caracter Caracter Caracter Char Caracter Char Char Char"/>
    <w:aliases w:val=" Char Char1 Char Char Char Char Char Char Caracter Char Caracter Char Char Char Char Char Char"/>
    <w:basedOn w:val="Normal"/>
    <w:next w:val="Normal"/>
    <w:rsid w:val="00641BA7"/>
    <w:pPr>
      <w:spacing w:after="160" w:line="240" w:lineRule="exact"/>
    </w:pPr>
    <w:rPr>
      <w:sz w:val="20"/>
      <w:szCs w:val="20"/>
      <w:vertAlign w:val="superscript"/>
    </w:rPr>
  </w:style>
  <w:style w:type="paragraph" w:customStyle="1" w:styleId="Caracter2CharCharCaracterCharCharCaracterCharCharCaracter">
    <w:name w:val="Caracter2 Char Char Caracter Char Char Caracter Char Char Caracter"/>
    <w:basedOn w:val="Normal"/>
    <w:rsid w:val="00352B52"/>
    <w:rPr>
      <w:lang w:eastAsia="pl-PL"/>
    </w:rPr>
  </w:style>
  <w:style w:type="table" w:customStyle="1" w:styleId="TableSimple11">
    <w:name w:val="Table Simple 11"/>
    <w:basedOn w:val="TableNormal"/>
    <w:next w:val="TableSimple1"/>
    <w:rsid w:val="00352B52"/>
    <w:tblPr>
      <w:tblInd w:w="0" w:type="dxa"/>
      <w:tblBorders>
        <w:top w:val="single" w:sz="12" w:space="0" w:color="333399"/>
        <w:bottom w:val="single" w:sz="12" w:space="0" w:color="333399"/>
      </w:tblBorders>
      <w:tblCellMar>
        <w:top w:w="0" w:type="dxa"/>
        <w:left w:w="108" w:type="dxa"/>
        <w:bottom w:w="0" w:type="dxa"/>
        <w:right w:w="108" w:type="dxa"/>
      </w:tblCellMar>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harChar1CharCharCharCharCharCharCaracter1CharCaracterCharCaracterCharCaracterCharCharChar">
    <w:name w:val="Char Char1 Char Char Char Char Char Char Caracter1 Char Caracter Char Caracter Char Caracter Char Char Char"/>
    <w:aliases w:val=" Char Char1 Char Char Char Char Char Char Caracter Char Char Char Char, Char Char1 Char Char Char Char Char Char Caracter Cha"/>
    <w:basedOn w:val="Normal"/>
    <w:next w:val="Normal"/>
    <w:rsid w:val="00352B52"/>
    <w:pPr>
      <w:spacing w:after="160" w:line="240" w:lineRule="exact"/>
    </w:pPr>
    <w:rPr>
      <w:sz w:val="20"/>
      <w:szCs w:val="20"/>
      <w:vertAlign w:val="superscript"/>
    </w:rPr>
  </w:style>
  <w:style w:type="table" w:customStyle="1" w:styleId="TableGrid1">
    <w:name w:val="Table Grid1"/>
    <w:basedOn w:val="TableNormal"/>
    <w:next w:val="TableGrid"/>
    <w:rsid w:val="00352B5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1CharCharCharCharCharCharCharCharCaracterCaracterChar1Caracter">
    <w:name w:val="Char Char Char Char1 Char Char Char Char Char Char Char Char Caracter Caracter Char1 Caracter"/>
    <w:aliases w:val=" Char Char Char Char1 Char Char Char Char Char Char Char Char Caracter Caracter Caracter Caracter Char Char1 Caracter Caracter"/>
    <w:basedOn w:val="Normal"/>
    <w:next w:val="Normal"/>
    <w:rsid w:val="00352B52"/>
    <w:pPr>
      <w:spacing w:after="160" w:line="240" w:lineRule="exact"/>
    </w:pPr>
    <w:rPr>
      <w:sz w:val="20"/>
      <w:szCs w:val="20"/>
      <w:vertAlign w:val="superscript"/>
      <w:lang w:eastAsia="ro-RO"/>
    </w:rPr>
  </w:style>
  <w:style w:type="paragraph" w:customStyle="1" w:styleId="CharCharCaracterCaracterCaracterCharCharChar1CharCharCharCharCharCharCharCharCharCharCharCharCharCharCharCaracterCaracterCaracterCaracterCaracterCaracterCaracter">
    <w:name w:val="Char Char Caracter Caracter Caracter Char Char Char1 Char Char Char Char Char Char Char Char Char Char Char Char Char Char Char Caracter Caracter Caracter Caracter Caracter Caracter Caracter"/>
    <w:basedOn w:val="Normal"/>
    <w:rsid w:val="00352B52"/>
    <w:rPr>
      <w:lang w:eastAsia="pl-PL"/>
    </w:rPr>
  </w:style>
  <w:style w:type="paragraph" w:customStyle="1" w:styleId="CaracterCaracter3CharCharCaracterCaracterCharCharCaracterCaracterCharCharCaracterCaracterCharCharCaracterCaracter">
    <w:name w:val="Caracter Caracter3 Char Char Caracter Caracter Char Char Caracter Caracter Char Char Caracter Caracter Char Char Caracter Caracter"/>
    <w:basedOn w:val="Normal"/>
    <w:rsid w:val="00352B52"/>
    <w:rPr>
      <w:lang w:eastAsia="pl-PL"/>
    </w:rPr>
  </w:style>
  <w:style w:type="paragraph" w:customStyle="1" w:styleId="CharChar1CaracterCaracter1">
    <w:name w:val="Char Char1 Caracter Caracter1"/>
    <w:basedOn w:val="Normal"/>
    <w:rsid w:val="00352B52"/>
    <w:rPr>
      <w:lang w:eastAsia="pl-PL"/>
    </w:rPr>
  </w:style>
  <w:style w:type="paragraph" w:customStyle="1" w:styleId="BVIfnrChar1CharCharCharCharCharChar1CharCaracterCharCharCharCharCharChar">
    <w:name w:val="BVI fnr Char1 Char Char Char Char Char Char1 Char Caracter Char Char Char Char Char Char"/>
    <w:aliases w:val="Footnote Reference Number Char Char Char Char Char Char Char1 Char Caracter Char Char Char Char Char Char Char Char Char Char Caracter"/>
    <w:basedOn w:val="Normal"/>
    <w:next w:val="Normal"/>
    <w:rsid w:val="00352B52"/>
    <w:pPr>
      <w:spacing w:after="160" w:line="240" w:lineRule="exact"/>
    </w:pPr>
    <w:rPr>
      <w:sz w:val="20"/>
      <w:szCs w:val="20"/>
      <w:vertAlign w:val="superscript"/>
      <w:lang w:eastAsia="ro-RO"/>
    </w:rPr>
  </w:style>
  <w:style w:type="character" w:customStyle="1" w:styleId="FootnoteAnchor">
    <w:name w:val="Footnote Anchor"/>
    <w:rsid w:val="00352B52"/>
    <w:rPr>
      <w:vertAlign w:val="superscript"/>
    </w:rPr>
  </w:style>
  <w:style w:type="paragraph" w:customStyle="1" w:styleId="CaracterCaracterCharCharCaracterCaracterCharCharCaracterCaracterCharCharCaracterCaracterCharCharCharCharCaracterCaracterCharCharCaracterCaracter">
    <w:name w:val="Caracter Caracter Char Char Caracter Caracter Char Char Caracter Caracter Char Char Caracter Caracter Char Char Char Char Caracter Caracter Char Char Caracter Caracter"/>
    <w:basedOn w:val="Normal"/>
    <w:rsid w:val="00352B52"/>
    <w:pPr>
      <w:suppressAutoHyphens/>
    </w:pPr>
    <w:rPr>
      <w:rFonts w:ascii="Arial" w:hAnsi="Arial" w:cs="Arial"/>
      <w:lang w:eastAsia="zh-CN"/>
    </w:rPr>
  </w:style>
  <w:style w:type="paragraph" w:customStyle="1" w:styleId="Date1">
    <w:name w:val="Date1"/>
    <w:basedOn w:val="Normal"/>
    <w:rsid w:val="00352B52"/>
    <w:pPr>
      <w:spacing w:before="100" w:beforeAutospacing="1" w:after="100" w:afterAutospacing="1"/>
    </w:pPr>
  </w:style>
  <w:style w:type="paragraph" w:customStyle="1" w:styleId="Caracter">
    <w:name w:val="Caracter"/>
    <w:basedOn w:val="Normal"/>
    <w:rsid w:val="00352B52"/>
    <w:rPr>
      <w:szCs w:val="20"/>
      <w:lang w:eastAsia="pl-PL"/>
    </w:rPr>
  </w:style>
  <w:style w:type="paragraph" w:customStyle="1" w:styleId="CharChar1CharCharCharCharCharCharChar">
    <w:name w:val="Char Char1 Char Char Char Char Char Char Char"/>
    <w:aliases w:val="Char Char Char Char1 Char Char Char Char Char Char Char Char Caracter Caracter Char1 Caracter Char Char"/>
    <w:basedOn w:val="Normal"/>
    <w:next w:val="Normal"/>
    <w:rsid w:val="00352B52"/>
    <w:pPr>
      <w:spacing w:after="160" w:line="240" w:lineRule="exact"/>
    </w:pPr>
    <w:rPr>
      <w:sz w:val="20"/>
      <w:szCs w:val="20"/>
      <w:vertAlign w:val="superscript"/>
      <w:lang w:eastAsia="ro-RO"/>
    </w:rPr>
  </w:style>
  <w:style w:type="paragraph" w:customStyle="1" w:styleId="DecimalAligned">
    <w:name w:val="Decimal Aligned"/>
    <w:basedOn w:val="Normal"/>
    <w:qFormat/>
    <w:rsid w:val="00352B52"/>
    <w:pPr>
      <w:tabs>
        <w:tab w:val="decimal" w:pos="360"/>
      </w:tabs>
      <w:spacing w:after="200" w:line="276" w:lineRule="auto"/>
    </w:pPr>
    <w:rPr>
      <w:rFonts w:ascii="Calibri" w:hAnsi="Calibri"/>
      <w:sz w:val="22"/>
      <w:szCs w:val="22"/>
    </w:rPr>
  </w:style>
  <w:style w:type="character" w:styleId="SubtleEmphasis">
    <w:name w:val="Subtle Emphasis"/>
    <w:qFormat/>
    <w:rsid w:val="00352B52"/>
    <w:rPr>
      <w:rFonts w:eastAsia="Times New Roman" w:cs="Times New Roman"/>
      <w:bCs w:val="0"/>
      <w:i/>
      <w:iCs/>
      <w:color w:val="808080"/>
      <w:szCs w:val="22"/>
      <w:lang w:val="en-US"/>
    </w:rPr>
  </w:style>
  <w:style w:type="table" w:styleId="MediumShading2-Accent5">
    <w:name w:val="Medium Shading 2 Accent 5"/>
    <w:basedOn w:val="TableNormal"/>
    <w:rsid w:val="00352B52"/>
    <w:rPr>
      <w:rFonts w:ascii="Calibri" w:hAnsi="Calibri"/>
      <w:sz w:val="22"/>
      <w:szCs w:val="22"/>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harChar1CharCharCharChar">
    <w:name w:val="Char Char1 Char Char Char Char"/>
    <w:basedOn w:val="Normal"/>
    <w:next w:val="Normal"/>
    <w:rsid w:val="00352B52"/>
    <w:pPr>
      <w:spacing w:after="160" w:line="240" w:lineRule="exact"/>
    </w:pPr>
    <w:rPr>
      <w:sz w:val="20"/>
      <w:szCs w:val="20"/>
      <w:vertAlign w:val="superscript"/>
    </w:rPr>
  </w:style>
  <w:style w:type="paragraph" w:customStyle="1" w:styleId="CaracterCaracter1CharChar1CaracterCharCharCaracterCaracter">
    <w:name w:val="Caracter Caracter1 Char Char1 Caracter Char Char Caracter Caracter"/>
    <w:basedOn w:val="Normal"/>
    <w:rsid w:val="00352B52"/>
    <w:rPr>
      <w:lang w:eastAsia="pl-PL"/>
    </w:rPr>
  </w:style>
  <w:style w:type="paragraph" w:customStyle="1" w:styleId="Listparagraf1">
    <w:name w:val="Listă paragraf1"/>
    <w:basedOn w:val="Normal"/>
    <w:qFormat/>
    <w:rsid w:val="00352B52"/>
    <w:pPr>
      <w:spacing w:after="160" w:line="276" w:lineRule="auto"/>
      <w:ind w:left="720"/>
    </w:pPr>
    <w:rPr>
      <w:rFonts w:ascii="Perpetua" w:hAnsi="Perpetua"/>
      <w:color w:val="000000"/>
      <w:sz w:val="22"/>
      <w:szCs w:val="20"/>
    </w:rPr>
  </w:style>
  <w:style w:type="paragraph" w:customStyle="1" w:styleId="BVIfnrChar1CharCharCharCharCharChar1CharCaracterCharCharCharCharCharCharCha">
    <w:name w:val="BVI fnr Char1 Char Char Char Char Char Char1 Char Caracter Char Char Char Char Char Char Cha"/>
    <w:basedOn w:val="Normal"/>
    <w:next w:val="Normal"/>
    <w:rsid w:val="00352B52"/>
    <w:pPr>
      <w:spacing w:after="160" w:line="240" w:lineRule="exact"/>
    </w:pPr>
    <w:rPr>
      <w:rFonts w:ascii="Calibri" w:eastAsia="Calibri" w:hAnsi="Calibri"/>
      <w:sz w:val="22"/>
      <w:szCs w:val="22"/>
      <w:vertAlign w:val="superscript"/>
    </w:rPr>
  </w:style>
  <w:style w:type="paragraph" w:customStyle="1" w:styleId="CaracterCaracter2CharCharCaracterCaracterCharCharCaracterCaracterCharCharCaracterCaracterCaracterCaracterCaracterCaracter">
    <w:name w:val="Caracter Caracter2 Char Char Caracter Caracter Char Char Caracter Caracter Char Char Caracter Caracter Caracter Caracter Caracter Caracter"/>
    <w:basedOn w:val="Normal"/>
    <w:rsid w:val="00352B52"/>
    <w:rPr>
      <w:lang w:eastAsia="pl-PL"/>
    </w:rPr>
  </w:style>
  <w:style w:type="paragraph" w:customStyle="1" w:styleId="Caracter2">
    <w:name w:val="Caracter2"/>
    <w:basedOn w:val="Normal"/>
    <w:rsid w:val="00352B52"/>
    <w:rPr>
      <w:lang w:eastAsia="pl-PL"/>
    </w:rPr>
  </w:style>
  <w:style w:type="paragraph" w:customStyle="1" w:styleId="Caracter2CharChar">
    <w:name w:val="Caracter2 Char Char"/>
    <w:basedOn w:val="Normal"/>
    <w:rsid w:val="00352B52"/>
    <w:rPr>
      <w:lang w:eastAsia="pl-PL"/>
    </w:rPr>
  </w:style>
  <w:style w:type="paragraph" w:customStyle="1" w:styleId="BodyTextIndent22">
    <w:name w:val="Body Text Indent 22"/>
    <w:basedOn w:val="Normal"/>
    <w:rsid w:val="00352B52"/>
    <w:pPr>
      <w:widowControl w:val="0"/>
      <w:suppressAutoHyphens/>
      <w:spacing w:before="120" w:after="120"/>
      <w:ind w:firstLine="1134"/>
      <w:jc w:val="both"/>
    </w:pPr>
    <w:rPr>
      <w:rFonts w:eastAsia="SimSun"/>
      <w:sz w:val="28"/>
      <w:szCs w:val="20"/>
      <w:lang w:eastAsia="zh-CN"/>
    </w:rPr>
  </w:style>
  <w:style w:type="paragraph" w:customStyle="1" w:styleId="Caracter20">
    <w:name w:val="Caracter2"/>
    <w:basedOn w:val="Normal"/>
    <w:rsid w:val="00352B52"/>
    <w:rPr>
      <w:lang w:eastAsia="pl-PL"/>
    </w:rPr>
  </w:style>
  <w:style w:type="paragraph" w:customStyle="1" w:styleId="CharCharCharChar1CharCharCharCharCharCharCharCharCaracterCaracterCaracterCharCaracter">
    <w:name w:val="Char Char Char Char1 Char Char Char Char Char Char Char Char Caracter Caracter Caracter Char Caracter"/>
    <w:aliases w:val=" Char Char1 Char Char Char Char Char Char Caracter Char Caracter"/>
    <w:basedOn w:val="Normal"/>
    <w:next w:val="Normal"/>
    <w:rsid w:val="00352B52"/>
    <w:pPr>
      <w:spacing w:after="160" w:line="240" w:lineRule="exact"/>
    </w:pPr>
    <w:rPr>
      <w:sz w:val="20"/>
      <w:szCs w:val="20"/>
      <w:vertAlign w:val="superscript"/>
      <w:lang w:eastAsia="ro-RO"/>
    </w:rPr>
  </w:style>
  <w:style w:type="character" w:customStyle="1" w:styleId="CharChar8">
    <w:name w:val="Char Char8"/>
    <w:semiHidden/>
    <w:locked/>
    <w:rsid w:val="00352B52"/>
    <w:rPr>
      <w:rFonts w:ascii="Garamond" w:hAnsi="Garamond" w:cs="Garamond"/>
      <w:sz w:val="24"/>
      <w:szCs w:val="24"/>
      <w:lang w:val="en-US" w:eastAsia="ro-RO" w:bidi="ar-SA"/>
    </w:rPr>
  </w:style>
  <w:style w:type="character" w:customStyle="1" w:styleId="st1">
    <w:name w:val="st1"/>
    <w:basedOn w:val="DefaultParagraphFont"/>
    <w:rsid w:val="00352B52"/>
  </w:style>
  <w:style w:type="character" w:customStyle="1" w:styleId="prdsubttitle1">
    <w:name w:val="prdsubttitle1"/>
    <w:basedOn w:val="DefaultParagraphFont"/>
    <w:rsid w:val="00352B52"/>
  </w:style>
  <w:style w:type="paragraph" w:customStyle="1" w:styleId="Caracter2CharCharCaracterCharCharCaracter">
    <w:name w:val="Caracter2 Char Char Caracter Char Char Caracter"/>
    <w:basedOn w:val="Normal"/>
    <w:rsid w:val="00352B52"/>
    <w:rPr>
      <w:lang w:eastAsia="pl-PL"/>
    </w:rPr>
  </w:style>
  <w:style w:type="paragraph" w:customStyle="1" w:styleId="CharChar1CharCharCharCharCharCharCaracter1CharCaracterCharCaracterCharCaracterCharChar">
    <w:name w:val="Char Char1 Char Char Char Char Char Char Caracter1 Char Caracter Char Caracter Char Caracter Char Char"/>
    <w:aliases w:val="Char Char1 Char Char Char Char Char Char Caracter Char Char"/>
    <w:basedOn w:val="Normal"/>
    <w:next w:val="Normal"/>
    <w:rsid w:val="00352B52"/>
    <w:pPr>
      <w:spacing w:after="160" w:line="240" w:lineRule="exact"/>
    </w:pPr>
    <w:rPr>
      <w:sz w:val="20"/>
      <w:szCs w:val="20"/>
      <w:vertAlign w:val="superscript"/>
      <w:lang w:eastAsia="ko-KR"/>
    </w:rPr>
  </w:style>
  <w:style w:type="paragraph" w:customStyle="1" w:styleId="CharChar2CaracterCharCharCaracter">
    <w:name w:val="Char Char2 Caracter Char Char Caracter"/>
    <w:basedOn w:val="Normal"/>
    <w:rsid w:val="00352B52"/>
    <w:rPr>
      <w:lang w:eastAsia="pl-PL"/>
    </w:rPr>
  </w:style>
  <w:style w:type="paragraph" w:customStyle="1" w:styleId="CaracterCaracter2CharCharCaracterCharChar1">
    <w:name w:val="Caracter Caracter2 Char Char Caracter Char Char1"/>
    <w:basedOn w:val="Normal"/>
    <w:rsid w:val="00352B52"/>
    <w:rPr>
      <w:lang w:eastAsia="pl-PL"/>
    </w:rPr>
  </w:style>
  <w:style w:type="paragraph" w:customStyle="1" w:styleId="CharChar1CharCharCharCharCharCharCaracter1CharCaracterCharCaracterCharCaracterCharCharCaracterChar">
    <w:name w:val="Char Char1 Char Char Char Char Char Char Caracter1 Char Caracter Char Caracter Char Caracter Char Char Caracter Char"/>
    <w:aliases w:val=" Char Char1 Char Char Char Char Char Char Caracter Char Char Caracter Char Char"/>
    <w:basedOn w:val="Normal"/>
    <w:next w:val="Normal"/>
    <w:rsid w:val="00352B52"/>
    <w:pPr>
      <w:spacing w:after="160" w:line="240" w:lineRule="exact"/>
    </w:pPr>
    <w:rPr>
      <w:sz w:val="20"/>
      <w:szCs w:val="20"/>
      <w:vertAlign w:val="superscript"/>
    </w:rPr>
  </w:style>
  <w:style w:type="paragraph" w:styleId="DocumentMap">
    <w:name w:val="Document Map"/>
    <w:basedOn w:val="Normal"/>
    <w:link w:val="DocumentMapChar"/>
    <w:rsid w:val="00352B52"/>
    <w:pPr>
      <w:shd w:val="clear" w:color="auto" w:fill="000080"/>
    </w:pPr>
    <w:rPr>
      <w:rFonts w:ascii="Tahoma" w:hAnsi="Tahoma" w:cs="Tahoma"/>
      <w:sz w:val="20"/>
      <w:szCs w:val="20"/>
    </w:rPr>
  </w:style>
  <w:style w:type="character" w:customStyle="1" w:styleId="DocumentMapChar">
    <w:name w:val="Document Map Char"/>
    <w:link w:val="DocumentMap"/>
    <w:rsid w:val="00352B52"/>
    <w:rPr>
      <w:rFonts w:ascii="Tahoma" w:hAnsi="Tahoma" w:cs="Tahoma"/>
      <w:shd w:val="clear" w:color="auto" w:fill="000080"/>
      <w:lang w:val="en-US" w:eastAsia="en-US"/>
    </w:rPr>
  </w:style>
  <w:style w:type="character" w:customStyle="1" w:styleId="NoSpacingChar">
    <w:name w:val="No Spacing Char"/>
    <w:link w:val="NoSpacing"/>
    <w:rsid w:val="00352B52"/>
    <w:rPr>
      <w:sz w:val="24"/>
      <w:szCs w:val="24"/>
    </w:rPr>
  </w:style>
  <w:style w:type="paragraph" w:customStyle="1" w:styleId="CharChar1CharCharCharCharCharCharCaracter1CharCaracterCharCaracterCharCaracterCharCharCaracter">
    <w:name w:val="Char Char1 Char Char Char Char Char Char Caracter1 Char Caracter Char Caracter Char Caracter Char Char Caracter"/>
    <w:aliases w:val=" Char Char1 Char Char Char Char Char Char Caracter Char Char Caracter"/>
    <w:basedOn w:val="Normal"/>
    <w:next w:val="Normal"/>
    <w:rsid w:val="00352B52"/>
    <w:pPr>
      <w:spacing w:after="160" w:line="240" w:lineRule="exact"/>
    </w:pPr>
    <w:rPr>
      <w:sz w:val="20"/>
      <w:szCs w:val="20"/>
      <w:vertAlign w:val="superscript"/>
    </w:rPr>
  </w:style>
  <w:style w:type="numbering" w:customStyle="1" w:styleId="NoList1">
    <w:name w:val="No List1"/>
    <w:next w:val="NoList"/>
    <w:uiPriority w:val="99"/>
    <w:semiHidden/>
    <w:unhideWhenUsed/>
    <w:rsid w:val="00352B52"/>
  </w:style>
  <w:style w:type="character" w:customStyle="1" w:styleId="WW8Num3z1">
    <w:name w:val="WW8Num3z1"/>
    <w:rsid w:val="00352B52"/>
  </w:style>
  <w:style w:type="character" w:customStyle="1" w:styleId="WW8Num3z2">
    <w:name w:val="WW8Num3z2"/>
    <w:rsid w:val="00352B52"/>
    <w:rPr>
      <w:rFonts w:ascii="Symbol" w:hAnsi="Symbol" w:cs="Symbol"/>
    </w:rPr>
  </w:style>
  <w:style w:type="character" w:customStyle="1" w:styleId="WW8Num5z3">
    <w:name w:val="WW8Num5z3"/>
    <w:rsid w:val="00352B52"/>
    <w:rPr>
      <w:rFonts w:ascii="Symbol" w:hAnsi="Symbol" w:cs="Symbol"/>
      <w:sz w:val="24"/>
      <w:szCs w:val="24"/>
      <w:shd w:val="clear" w:color="auto" w:fill="auto"/>
    </w:rPr>
  </w:style>
  <w:style w:type="character" w:customStyle="1" w:styleId="WW8Num7z3">
    <w:name w:val="WW8Num7z3"/>
    <w:rsid w:val="00352B52"/>
    <w:rPr>
      <w:rFonts w:ascii="Symbol" w:hAnsi="Symbol" w:cs="Courier New"/>
    </w:rPr>
  </w:style>
  <w:style w:type="character" w:customStyle="1" w:styleId="WW8Num15z2">
    <w:name w:val="WW8Num15z2"/>
    <w:rsid w:val="00352B52"/>
    <w:rPr>
      <w:rFonts w:ascii="Wingdings" w:hAnsi="Wingdings" w:cs="Wingdings"/>
    </w:rPr>
  </w:style>
  <w:style w:type="character" w:customStyle="1" w:styleId="WW8Num17z4">
    <w:name w:val="WW8Num17z4"/>
    <w:rsid w:val="00352B52"/>
    <w:rPr>
      <w:rFonts w:ascii="Courier New" w:hAnsi="Courier New" w:cs="Courier New"/>
    </w:rPr>
  </w:style>
  <w:style w:type="character" w:customStyle="1" w:styleId="BalloonTextChar">
    <w:name w:val="Balloon Text Char"/>
    <w:rsid w:val="00352B52"/>
    <w:rPr>
      <w:rFonts w:ascii="Tahoma" w:eastAsia="Times New Roman" w:hAnsi="Tahoma" w:cs="Tahoma"/>
      <w:sz w:val="16"/>
      <w:szCs w:val="16"/>
      <w:lang w:val="en-US"/>
    </w:rPr>
  </w:style>
  <w:style w:type="character" w:customStyle="1" w:styleId="HeaderChar">
    <w:name w:val="Header Char"/>
    <w:link w:val="Header"/>
    <w:uiPriority w:val="99"/>
    <w:rsid w:val="00352B52"/>
    <w:rPr>
      <w:sz w:val="24"/>
      <w:lang w:val="en-US" w:eastAsia="en-US"/>
    </w:rPr>
  </w:style>
  <w:style w:type="table" w:customStyle="1" w:styleId="TableGrid2">
    <w:name w:val="Table Grid2"/>
    <w:basedOn w:val="TableNormal"/>
    <w:next w:val="TableGrid"/>
    <w:uiPriority w:val="59"/>
    <w:rsid w:val="006A29B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B5BF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locked/>
    <w:rsid w:val="0006683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536E8F"/>
    <w:rPr>
      <w:rFonts w:ascii="Liberation Serif" w:eastAsia="SimSun" w:hAnsi="Liberation Serif" w:cs="Mangal"/>
      <w:sz w:val="24"/>
      <w:szCs w:val="24"/>
      <w:lang w:eastAsia="zh-CN" w:bidi="hi-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odytext20">
    <w:name w:val="Body text (2)_"/>
    <w:basedOn w:val="DefaultParagraphFont"/>
    <w:link w:val="Bodytext22"/>
    <w:locked/>
    <w:rsid w:val="00E532DC"/>
    <w:rPr>
      <w:rFonts w:ascii="Trebuchet MS" w:eastAsia="Trebuchet MS" w:hAnsi="Trebuchet MS" w:cs="Trebuchet MS"/>
      <w:shd w:val="clear" w:color="auto" w:fill="FFFFFF"/>
    </w:rPr>
  </w:style>
  <w:style w:type="paragraph" w:customStyle="1" w:styleId="Bodytext22">
    <w:name w:val="Body text (2)"/>
    <w:basedOn w:val="Normal"/>
    <w:link w:val="Bodytext20"/>
    <w:rsid w:val="00E532DC"/>
    <w:pPr>
      <w:widowControl w:val="0"/>
      <w:shd w:val="clear" w:color="auto" w:fill="FFFFFF"/>
      <w:spacing w:after="240" w:line="283" w:lineRule="exact"/>
      <w:jc w:val="both"/>
    </w:pPr>
    <w:rPr>
      <w:rFonts w:ascii="Trebuchet MS" w:eastAsia="Trebuchet MS" w:hAnsi="Trebuchet MS" w:cs="Trebuchet MS"/>
      <w:sz w:val="20"/>
      <w:szCs w:val="20"/>
      <w:lang w:eastAsia="ro-RO"/>
    </w:rPr>
  </w:style>
  <w:style w:type="character" w:customStyle="1" w:styleId="Heading9Char">
    <w:name w:val="Heading 9 Char"/>
    <w:basedOn w:val="DefaultParagraphFont"/>
    <w:link w:val="Heading9"/>
    <w:rsid w:val="00BD2D41"/>
    <w:rPr>
      <w:rFonts w:ascii="Cambria" w:hAnsi="Cambria"/>
      <w:color w:val="000000"/>
      <w:sz w:val="22"/>
      <w:szCs w:val="22"/>
    </w:rPr>
  </w:style>
  <w:style w:type="paragraph" w:customStyle="1" w:styleId="CharChar3CaracterCaracter1CharCharCaracterCaracter1CaracterCaracterCharCharCaracterCaracterCharCharCaracterCaracterCharCharCaracterCaracterCaracterCaracter10">
    <w:name w:val="Char Char3 Caracter Caracter1 Char Char Caracter Caracter1 Caracter Caracter Char Char Caracter Caracter Char Char Caracter Caracter Char Char Caracter Caracter Caracter Caracter1"/>
    <w:basedOn w:val="Normal"/>
    <w:rsid w:val="00BD2D41"/>
    <w:rPr>
      <w:lang w:eastAsia="pl-PL"/>
    </w:rPr>
  </w:style>
  <w:style w:type="paragraph" w:customStyle="1" w:styleId="CaracterCaracter6CharChar0">
    <w:name w:val="Caracter Caracter6 Char Char"/>
    <w:basedOn w:val="Normal"/>
    <w:rsid w:val="00BD2D41"/>
    <w:rPr>
      <w:lang w:eastAsia="pl-PL"/>
    </w:rPr>
  </w:style>
  <w:style w:type="paragraph" w:customStyle="1" w:styleId="CharCharCaracter1CharCharCaracterCharCharCaracterCharCharCaracterCharCharCaracterCharCharCaracterCaracterCaracter1">
    <w:name w:val="Char Char Caracter1 Char Char Caracter Char Char Caracter Char Char Caracter Char Char Caracter Char Char Caracter Caracter Caracter"/>
    <w:basedOn w:val="Normal"/>
    <w:rsid w:val="00BD2D41"/>
    <w:rPr>
      <w:lang w:eastAsia="pl-PL"/>
    </w:rPr>
  </w:style>
  <w:style w:type="paragraph" w:customStyle="1" w:styleId="CaracterCharCharCaracter1">
    <w:name w:val="Caracter Char Char Caracter"/>
    <w:basedOn w:val="Normal"/>
    <w:rsid w:val="00BD2D41"/>
    <w:rPr>
      <w:lang w:eastAsia="pl-PL"/>
    </w:rPr>
  </w:style>
  <w:style w:type="paragraph" w:customStyle="1" w:styleId="CaracterCaracter41">
    <w:name w:val="Caracter Caracter4"/>
    <w:basedOn w:val="Normal"/>
    <w:rsid w:val="00BD2D41"/>
    <w:rPr>
      <w:lang w:eastAsia="pl-PL"/>
    </w:rPr>
  </w:style>
  <w:style w:type="paragraph" w:customStyle="1" w:styleId="CharCharCaracter1CharCharCaracterCharCharCaracterCharCharCaracterCharCharCaracter1">
    <w:name w:val="Char Char Caracter1 Char Char Caracter Char Char Caracter Char Char Caracter Char Char Caracter"/>
    <w:basedOn w:val="Normal"/>
    <w:rsid w:val="00BD2D41"/>
    <w:rPr>
      <w:lang w:eastAsia="pl-PL"/>
    </w:rPr>
  </w:style>
  <w:style w:type="paragraph" w:customStyle="1" w:styleId="Char2">
    <w:name w:val="Char"/>
    <w:basedOn w:val="Normal"/>
    <w:rsid w:val="00BD2D41"/>
    <w:rPr>
      <w:lang w:eastAsia="pl-PL"/>
    </w:rPr>
  </w:style>
  <w:style w:type="paragraph" w:customStyle="1" w:styleId="CharCharCaracter1CharCharCaracterCharCharCaracterCharCharCaracterCharCharCaracterCharCharCaracterCaracterCaracterCharChar1">
    <w:name w:val="Char Char Caracter1 Char Char Caracter Char Char Caracter Char Char Caracter Char Char Caracter Char Char Caracter Caracter Caracter Char Char"/>
    <w:basedOn w:val="Normal"/>
    <w:rsid w:val="00BD2D41"/>
    <w:rPr>
      <w:lang w:eastAsia="pl-PL"/>
    </w:rPr>
  </w:style>
  <w:style w:type="character" w:customStyle="1" w:styleId="CharChar41">
    <w:name w:val="Char Char4"/>
    <w:rsid w:val="00BD2D41"/>
    <w:rPr>
      <w:rFonts w:ascii="Calibri" w:hAnsi="Calibri"/>
      <w:sz w:val="24"/>
      <w:szCs w:val="24"/>
      <w:lang w:val="en-US" w:eastAsia="en-US" w:bidi="ar-SA"/>
    </w:rPr>
  </w:style>
  <w:style w:type="paragraph" w:customStyle="1" w:styleId="CaracterCaracter3">
    <w:name w:val="Caracter Caracter"/>
    <w:basedOn w:val="Normal"/>
    <w:rsid w:val="00BD2D41"/>
    <w:rPr>
      <w:lang w:eastAsia="pl-PL"/>
    </w:rPr>
  </w:style>
  <w:style w:type="paragraph" w:customStyle="1" w:styleId="CaracterCaracter5CharCharCaracterCaracterCharCharCaracterCaracterCharCharCaracterCaracterCharChar0">
    <w:name w:val="Caracter Caracter5 Char Char Caracter Caracter Char Char Caracter Caracter Char Char Caracter Caracter Char Char"/>
    <w:basedOn w:val="Normal"/>
    <w:rsid w:val="00BD2D41"/>
    <w:rPr>
      <w:lang w:eastAsia="pl-PL"/>
    </w:rPr>
  </w:style>
  <w:style w:type="paragraph" w:customStyle="1" w:styleId="CaracterCharCharCaracterCharCharCaracter0">
    <w:name w:val="Caracter Char Char Caracter Char Char Caracter"/>
    <w:basedOn w:val="Normal"/>
    <w:rsid w:val="00BD2D41"/>
    <w:rPr>
      <w:lang w:eastAsia="pl-PL"/>
    </w:rPr>
  </w:style>
  <w:style w:type="paragraph" w:customStyle="1" w:styleId="CaracterCaracter5CharCharCaracterCaracterCharCharCaracterCaracterCharCharCaracterCaracterCharCharCaracterCaracterCharCharCaracterCaracterCharCharCaracterCaracter0">
    <w:name w:val="Caracter Caracter5 Char Char Caracter Caracter Char Char Caracter Caracter Char Char Caracter Caracter Char Char Caracter Caracter Char Char Caracter Caracter Char Char Caracter Caracter"/>
    <w:basedOn w:val="Normal"/>
    <w:rsid w:val="00BD2D41"/>
    <w:rPr>
      <w:lang w:eastAsia="pl-PL"/>
    </w:rPr>
  </w:style>
  <w:style w:type="paragraph" w:customStyle="1" w:styleId="CaracterCaracter5CharCharCaracterCaracterCharCharCaracterCaracter1">
    <w:name w:val="Caracter Caracter5 Char Char Caracter Caracter Char Char Caracter Caracter"/>
    <w:basedOn w:val="Normal"/>
    <w:rsid w:val="00BD2D41"/>
    <w:rPr>
      <w:lang w:eastAsia="pl-PL"/>
    </w:rPr>
  </w:style>
  <w:style w:type="paragraph" w:customStyle="1" w:styleId="CaracterCaracter5CharCharCaracterCaracterCharCharCaracterCaracterCharChar1">
    <w:name w:val="Caracter Caracter5 Char Char Caracter Caracter Char Char Caracter Caracter Char Char"/>
    <w:basedOn w:val="Normal"/>
    <w:rsid w:val="00BD2D41"/>
    <w:rPr>
      <w:lang w:eastAsia="pl-PL"/>
    </w:rPr>
  </w:style>
  <w:style w:type="paragraph" w:customStyle="1" w:styleId="CharCharCharChar1">
    <w:name w:val="Char Char Char Char"/>
    <w:basedOn w:val="Normal"/>
    <w:rsid w:val="00BD2D41"/>
    <w:rPr>
      <w:lang w:eastAsia="pl-PL"/>
    </w:rPr>
  </w:style>
  <w:style w:type="paragraph" w:customStyle="1" w:styleId="CaracterCaracter11">
    <w:name w:val="Caracter Caracter1"/>
    <w:basedOn w:val="Normal"/>
    <w:rsid w:val="00BD2D41"/>
    <w:rPr>
      <w:lang w:eastAsia="pl-PL"/>
    </w:rPr>
  </w:style>
  <w:style w:type="paragraph" w:customStyle="1" w:styleId="CaracterCaracter5CharCharCaracterCaracterCharCharCaracterCaracterCharCharCaracterCaracter1">
    <w:name w:val="Caracter Caracter5 Char Char Caracter Caracter Char Char Caracter Caracter Char Char Caracter Caracter"/>
    <w:basedOn w:val="Normal"/>
    <w:rsid w:val="00BD2D41"/>
    <w:rPr>
      <w:lang w:eastAsia="pl-PL"/>
    </w:rPr>
  </w:style>
  <w:style w:type="paragraph" w:customStyle="1" w:styleId="CharCharCaracter1CharCharCaracterCharCharCaracterCharCharCaracterCharCharCaracterCharCharCaracter0">
    <w:name w:val="Char Char Caracter1 Char Char Caracter Char Char Caracter Char Char Caracter Char Char Caracter Char Char Caracter"/>
    <w:basedOn w:val="Normal"/>
    <w:rsid w:val="00BD2D41"/>
    <w:rPr>
      <w:lang w:eastAsia="pl-PL"/>
    </w:rPr>
  </w:style>
  <w:style w:type="paragraph" w:customStyle="1" w:styleId="CaracterCaracter5CharCharCaracterCaracterCharCharCaracterCaracterCharCharCaracterCaracterCharCharCaracterCaracterCharCharCaracterCaracterCharCharCaracterCaracterCharCharCaracterCaracter1">
    <w:name w:val="Caracter Caracter5 Char Char Caracter Caracter Char Char Caracter Caracter Char Char Caracter Caracter Char Char Caracter Caracter Char Char Caracter Caracter Char Char Caracter Caracter Char Char Caracter Caracter"/>
    <w:basedOn w:val="Normal"/>
    <w:rsid w:val="00BD2D41"/>
    <w:rPr>
      <w:lang w:eastAsia="pl-PL"/>
    </w:rPr>
  </w:style>
  <w:style w:type="paragraph" w:customStyle="1" w:styleId="CaracterCaracter5CharCharCaracterCaracterCharCharCaracterCaracterCharCharCaracterCaracterCharChar1CaracterCaracter1">
    <w:name w:val="Caracter Caracter5 Char Char Caracter Caracter Char Char Caracter Caracter Char Char Caracter Caracter Char Char1 Caracter Caracter"/>
    <w:basedOn w:val="Normal"/>
    <w:rsid w:val="00BD2D41"/>
    <w:rPr>
      <w:lang w:eastAsia="pl-PL"/>
    </w:rPr>
  </w:style>
  <w:style w:type="paragraph" w:customStyle="1" w:styleId="CaracterCaracter5CharCharCaracterCaracterCharCharCaracterCaracterCharCharCaracterCaracterCharChar1CaracterCaracterCharCharCaracterCaracterCharCharCaracterCaracter1">
    <w:name w:val="Caracter Caracter5 Char Char Caracter Caracter Char Char Caracter Caracter Char Char Caracter Caracter Char Char1 Caracter Caracter Char Char Caracter Caracter Char Char Caracter Caracter"/>
    <w:basedOn w:val="Normal"/>
    <w:rsid w:val="00BD2D41"/>
    <w:rPr>
      <w:lang w:eastAsia="pl-PL"/>
    </w:rPr>
  </w:style>
  <w:style w:type="paragraph" w:customStyle="1" w:styleId="CaracterCaracter2CharCharCaracterCaracterCharCharCaracterCaracterCharCharCaracterCaracterCharCharCaracterCaracterCharCharCaracterCaracterCharCharCaracterCaracterCharCharCaracterCaracter1">
    <w:name w:val="Caracter Caracter2 Char Char Caracter Caracter Char Char Caracter Caracter Char Char Caracter Caracter Char Char Caracter Caracter Char Char Caracter Caracter Char Char Caracter Caracter Char Char Caracter Caracter"/>
    <w:basedOn w:val="Normal"/>
    <w:rsid w:val="00BD2D41"/>
    <w:rPr>
      <w:lang w:eastAsia="pl-PL"/>
    </w:rPr>
  </w:style>
  <w:style w:type="paragraph" w:customStyle="1" w:styleId="CaracterCaracter1CharChar1CaracterCaracter0">
    <w:name w:val="Caracter Caracter1 Char Char1 Caracter Caracter"/>
    <w:basedOn w:val="Normal"/>
    <w:rsid w:val="00BD2D41"/>
    <w:rPr>
      <w:lang w:eastAsia="pl-PL"/>
    </w:rPr>
  </w:style>
  <w:style w:type="paragraph" w:customStyle="1" w:styleId="CharCharCaracterCaracter0">
    <w:name w:val="Char Char Caracter Caracter"/>
    <w:basedOn w:val="Normal"/>
    <w:rsid w:val="00BD2D41"/>
    <w:rPr>
      <w:lang w:eastAsia="pl-PL"/>
    </w:rPr>
  </w:style>
  <w:style w:type="paragraph" w:customStyle="1" w:styleId="Char3CharCharChar0">
    <w:name w:val="Char3 Char Char Char"/>
    <w:basedOn w:val="Normal"/>
    <w:rsid w:val="00BD2D41"/>
    <w:rPr>
      <w:lang w:eastAsia="pl-PL"/>
    </w:rPr>
  </w:style>
  <w:style w:type="paragraph" w:customStyle="1" w:styleId="CaracterCaracter5CharCharCaracterCaracterCharCharCaracterCaracterCharCharCaracterCaracterCharChar1CaracterCaracterCharCharCaracterCaracterCharCharCaracterCaracterCharCharCaracterCaracter0">
    <w:name w:val="Caracter Caracter5 Char Char Caracter Caracter Char Char Caracter Caracter Char Char Caracter Caracter Char Char1 Caracter Caracter Char Char Caracter Caracter Char Char Caracter Caracter Char Char Caracter Caracter"/>
    <w:basedOn w:val="Normal"/>
    <w:rsid w:val="00BD2D41"/>
    <w:rPr>
      <w:lang w:eastAsia="pl-PL"/>
    </w:rPr>
  </w:style>
  <w:style w:type="paragraph" w:customStyle="1" w:styleId="CaracterCaracterCharChar1CaracterCaracterCharCharCaracterCaracter0">
    <w:name w:val="Caracter Caracter Char Char1 Caracter Caracter Char Char Caracter Caracter"/>
    <w:basedOn w:val="Normal"/>
    <w:rsid w:val="00BD2D41"/>
    <w:pPr>
      <w:spacing w:after="160" w:line="240" w:lineRule="exact"/>
    </w:pPr>
    <w:rPr>
      <w:rFonts w:ascii="Tahoma" w:hAnsi="Tahoma"/>
      <w:sz w:val="20"/>
      <w:szCs w:val="20"/>
    </w:rPr>
  </w:style>
  <w:style w:type="paragraph" w:customStyle="1" w:styleId="CaracterCaracter5CharCharCaracterCaracterCharCharCaracterCaracterCharCharCaracterCaracterCharChar1CaracterCaracterCharCharCaracterCaracter0">
    <w:name w:val="Caracter Caracter5 Char Char Caracter Caracter Char Char Caracter Caracter Char Char Caracter Caracter Char Char1 Caracter Caracter Char Char Caracter Caracter"/>
    <w:basedOn w:val="Normal"/>
    <w:rsid w:val="00BD2D41"/>
    <w:rPr>
      <w:lang w:eastAsia="pl-PL"/>
    </w:rPr>
  </w:style>
  <w:style w:type="paragraph" w:customStyle="1" w:styleId="CaracterCaracter5CharCharCaracterCaracterCharCharCaracterCaracterCharCharCaracterCaracterCharChar1CaracterCaracterCharCharCaracterCaracterCharCharCaracterCaracterCharChar0">
    <w:name w:val="Caracter Caracter5 Char Char Caracter Caracter Char Char Caracter Caracter Char Char Caracter Caracter Char Char1 Caracter Caracter Char Char Caracter Caracter Char Char Caracter Caracter Char Char"/>
    <w:basedOn w:val="Normal"/>
    <w:rsid w:val="00BD2D41"/>
    <w:rPr>
      <w:lang w:eastAsia="pl-PL"/>
    </w:rPr>
  </w:style>
  <w:style w:type="paragraph" w:customStyle="1" w:styleId="CharChar3CaracterCaracterCharCharCaracterCaracter0">
    <w:name w:val="Char Char3 Caracter Caracter Char Char Caracter Caracter"/>
    <w:basedOn w:val="Normal"/>
    <w:rsid w:val="00BD2D41"/>
    <w:rPr>
      <w:lang w:eastAsia="pl-PL"/>
    </w:rPr>
  </w:style>
  <w:style w:type="paragraph" w:customStyle="1" w:styleId="CharCharCharCharCharCharCaracterCaracterCharCharCharCaracterCaracterCharCharCaracterCaracterCharCharCharCaracterCaracter0">
    <w:name w:val="Char Char Char Char Char Char Caracter Caracter Char Char Char Caracter Caracter Char Char Caracter Caracter Char Char Char Caracter Caracter"/>
    <w:basedOn w:val="Normal"/>
    <w:rsid w:val="00BD2D41"/>
    <w:pPr>
      <w:widowControl w:val="0"/>
      <w:tabs>
        <w:tab w:val="left" w:pos="2160"/>
      </w:tabs>
      <w:adjustRightInd w:val="0"/>
      <w:spacing w:before="120" w:after="160" w:line="240" w:lineRule="exact"/>
      <w:jc w:val="both"/>
    </w:pPr>
    <w:rPr>
      <w:rFonts w:ascii="Bookman Old Style" w:hAnsi="Bookman Old Style" w:cs="Bookman Old Style"/>
      <w:kern w:val="24"/>
      <w:sz w:val="20"/>
      <w:szCs w:val="20"/>
    </w:rPr>
  </w:style>
  <w:style w:type="paragraph" w:customStyle="1" w:styleId="CharChar3CaracterCaracter2">
    <w:name w:val="Char Char3 Caracter Caracter"/>
    <w:basedOn w:val="Normal"/>
    <w:rsid w:val="00BD2D41"/>
    <w:rPr>
      <w:lang w:eastAsia="pl-PL"/>
    </w:rPr>
  </w:style>
  <w:style w:type="paragraph" w:customStyle="1" w:styleId="CharChar3CaracterCaracterCharCharCaracterCaracter10">
    <w:name w:val="Char Char3 Caracter Caracter Char Char Caracter Caracter1"/>
    <w:basedOn w:val="Normal"/>
    <w:rsid w:val="00BD2D41"/>
    <w:rPr>
      <w:lang w:eastAsia="pl-PL"/>
    </w:rPr>
  </w:style>
  <w:style w:type="paragraph" w:customStyle="1" w:styleId="CharChar3CaracterCaracterCharCharCaracterCaracter1CharCharCaracterCaracterCharCharCaracterCaracter0">
    <w:name w:val="Char Char3 Caracter Caracter Char Char Caracter Caracter1 Char Char Caracter Caracter Char Char Caracter Caracter"/>
    <w:basedOn w:val="Normal"/>
    <w:rsid w:val="00BD2D41"/>
    <w:rPr>
      <w:lang w:eastAsia="pl-PL"/>
    </w:rPr>
  </w:style>
  <w:style w:type="paragraph" w:customStyle="1" w:styleId="CharChar3CaracterCaracterCharCharCaracterCaracter1CharCharCaracterCaracter0">
    <w:name w:val="Char Char3 Caracter Caracter Char Char Caracter Caracter1 Char Char Caracter Caracter"/>
    <w:basedOn w:val="Normal"/>
    <w:rsid w:val="00BD2D41"/>
    <w:rPr>
      <w:lang w:eastAsia="pl-PL"/>
    </w:rPr>
  </w:style>
  <w:style w:type="paragraph" w:customStyle="1" w:styleId="CaracterCaracter1Caracter0">
    <w:name w:val="Caracter Caracter1 Caracter"/>
    <w:basedOn w:val="Normal"/>
    <w:rsid w:val="00BD2D41"/>
    <w:rPr>
      <w:lang w:eastAsia="pl-PL"/>
    </w:rPr>
  </w:style>
  <w:style w:type="paragraph" w:customStyle="1" w:styleId="CharChar3CaracterCaracterCharCharCaracterCaracter1CharCharCaracterCaracterCharCharCaracterCaracter1CharCharCaracterCaracter0">
    <w:name w:val="Char Char3 Caracter Caracter Char Char Caracter Caracter1 Char Char Caracter Caracter Char Char Caracter Caracter1 Char Char Caracter Caracter"/>
    <w:basedOn w:val="Normal"/>
    <w:rsid w:val="00BD2D41"/>
    <w:rPr>
      <w:lang w:eastAsia="pl-PL"/>
    </w:rPr>
  </w:style>
  <w:style w:type="paragraph" w:customStyle="1" w:styleId="CharChar3CaracterCaracterCharCharCaracterCaracter1CharCharCaracterCaracterCharCharCaracterCaracter1CharCharCaracterCaracterCharCharCaracterCaracterCharCharCaracterCaracter1">
    <w:name w:val="Char Char3 Caracter Caracter Char Char Caracter Caracter1 Char Char Caracter Caracter Char Char Caracter Caracter1 Char Char Caracter Caracter Char Char Caracter Caracter Char Char Caracter Caracter"/>
    <w:basedOn w:val="Normal"/>
    <w:rsid w:val="00BD2D41"/>
    <w:rPr>
      <w:lang w:eastAsia="pl-PL"/>
    </w:rPr>
  </w:style>
  <w:style w:type="paragraph" w:customStyle="1" w:styleId="CaracterCaracterCharCharCaracterCaracter0">
    <w:name w:val="Caracter Caracter Char Char Caracter Caracter"/>
    <w:basedOn w:val="Normal"/>
    <w:rsid w:val="00BD2D41"/>
    <w:rPr>
      <w:lang w:eastAsia="pl-PL"/>
    </w:rPr>
  </w:style>
  <w:style w:type="paragraph" w:customStyle="1" w:styleId="CaracterCaracterCharCharCaracterCaracterCharCharCaracterCaracter1">
    <w:name w:val="Caracter Caracter Char Char Caracter Caracter Char Char Caracter Caracter"/>
    <w:basedOn w:val="Normal"/>
    <w:rsid w:val="00BD2D41"/>
    <w:rPr>
      <w:lang w:eastAsia="pl-PL"/>
    </w:rPr>
  </w:style>
  <w:style w:type="paragraph" w:customStyle="1" w:styleId="CaracterCaracter1CharCharCaracterCaracter1CharCharCaracterCaracter0">
    <w:name w:val="Caracter Caracter1 Char Char Caracter Caracter1 Char Char Caracter Caracter"/>
    <w:basedOn w:val="Normal"/>
    <w:rsid w:val="00BD2D41"/>
    <w:rPr>
      <w:lang w:eastAsia="pl-PL"/>
    </w:rPr>
  </w:style>
  <w:style w:type="paragraph" w:customStyle="1" w:styleId="CharCharCaracterCaracterCharCharCaracterCaracter0">
    <w:name w:val="Char Char Caracter Caracter Char Char Caracter Caracter"/>
    <w:basedOn w:val="Normal"/>
    <w:rsid w:val="00BD2D41"/>
    <w:rPr>
      <w:lang w:eastAsia="pl-PL"/>
    </w:rPr>
  </w:style>
  <w:style w:type="paragraph" w:customStyle="1" w:styleId="CharCharCaracterCaracterCharCharCaracterCaracterCharChar1">
    <w:name w:val="Char Char Caracter Caracter Char Char Caracter Caracter Char Char"/>
    <w:basedOn w:val="Normal"/>
    <w:rsid w:val="00BD2D41"/>
    <w:rPr>
      <w:lang w:eastAsia="pl-PL"/>
    </w:rPr>
  </w:style>
  <w:style w:type="paragraph" w:customStyle="1" w:styleId="CaracterCaracterCharChar0">
    <w:name w:val="Caracter Caracter Char Char"/>
    <w:basedOn w:val="Normal"/>
    <w:rsid w:val="00BD2D41"/>
    <w:rPr>
      <w:lang w:eastAsia="pl-PL"/>
    </w:rPr>
  </w:style>
  <w:style w:type="paragraph" w:customStyle="1" w:styleId="CharChar3CaracterCaracter1CharChar0">
    <w:name w:val="Char Char3 Caracter Caracter1 Char Char"/>
    <w:basedOn w:val="Normal"/>
    <w:rsid w:val="00BD2D41"/>
    <w:rPr>
      <w:lang w:eastAsia="pl-PL"/>
    </w:rPr>
  </w:style>
  <w:style w:type="paragraph" w:customStyle="1" w:styleId="CaracterCaracter60">
    <w:name w:val="Caracter Caracter6"/>
    <w:basedOn w:val="Normal"/>
    <w:rsid w:val="00BD2D41"/>
    <w:rPr>
      <w:lang w:eastAsia="pl-PL"/>
    </w:rPr>
  </w:style>
  <w:style w:type="paragraph" w:customStyle="1" w:styleId="CaracterCharCharCaracterCharCharCaracterCharCharCaracterCharCharCaracterCharCharCaracterCharCharCaracterCharCharCaracterCharCharCaracterCharCharCaracter0">
    <w:name w:val="Caracter Char Char Caracter Char Char Caracter Char Char Caracter Char Char Caracter Char Char Caracter Char Char Caracter Char Char Caracter Char Char Caracter Char Char Caracter"/>
    <w:basedOn w:val="Normal"/>
    <w:rsid w:val="00BD2D41"/>
    <w:pPr>
      <w:spacing w:after="160" w:line="240" w:lineRule="exact"/>
    </w:pPr>
    <w:rPr>
      <w:rFonts w:ascii="Tahoma" w:hAnsi="Tahoma"/>
      <w:sz w:val="20"/>
      <w:szCs w:val="20"/>
    </w:rPr>
  </w:style>
  <w:style w:type="paragraph" w:customStyle="1" w:styleId="CaracterCaracter6CharCharCaracterCaracterCaracterCaracter0">
    <w:name w:val="Caracter Caracter6 Char Char Caracter Caracter Caracter Caracter"/>
    <w:basedOn w:val="Normal"/>
    <w:rsid w:val="00BD2D41"/>
    <w:rPr>
      <w:lang w:eastAsia="pl-PL"/>
    </w:rPr>
  </w:style>
  <w:style w:type="paragraph" w:customStyle="1" w:styleId="CaracterCaracter6CharCharCaracterCaracterCaracterCaracterCharCharCaracterCaracter1">
    <w:name w:val="Caracter Caracter6 Char Char Caracter Caracter Caracter Caracter Char Char Caracter Caracter"/>
    <w:basedOn w:val="Normal"/>
    <w:rsid w:val="00BD2D41"/>
    <w:rPr>
      <w:lang w:eastAsia="pl-PL"/>
    </w:rPr>
  </w:style>
  <w:style w:type="paragraph" w:customStyle="1" w:styleId="CaracterCaracter6CharCharCaracterCaracterCaracterCaracterCharCharCaracterCaracterCharCharCaracterCaracter0">
    <w:name w:val="Caracter Caracter6 Char Char Caracter Caracter Caracter Caracter Char Char Caracter Caracter Char Char Caracter Caracter"/>
    <w:basedOn w:val="Normal"/>
    <w:rsid w:val="00BD2D41"/>
    <w:rPr>
      <w:lang w:eastAsia="pl-PL"/>
    </w:rPr>
  </w:style>
  <w:style w:type="paragraph" w:customStyle="1" w:styleId="CaracterCaracter6CharCharCaracterCaracterCaracterCaracterCharCharCaracterCaracterCharCharCaracterCaracterCharCharCaracterCaracterCharCharCaracterCaracter0">
    <w:name w:val="Caracter Caracter6 Char Char Caracter Caracter Caracter Caracter Char Char Caracter Caracter Char Char Caracter Caracter Char Char Caracter Caracter Char Char Caracter Caracter"/>
    <w:basedOn w:val="Normal"/>
    <w:rsid w:val="00BD2D41"/>
    <w:rPr>
      <w:lang w:eastAsia="pl-PL"/>
    </w:rPr>
  </w:style>
  <w:style w:type="paragraph" w:customStyle="1" w:styleId="CharChar3CaracterCaracter1CharCharCaracterCaracter0">
    <w:name w:val="Char Char3 Caracter Caracter1 Char Char Caracter Caracter"/>
    <w:basedOn w:val="Normal"/>
    <w:rsid w:val="00BD2D41"/>
    <w:rPr>
      <w:lang w:eastAsia="pl-PL"/>
    </w:rPr>
  </w:style>
  <w:style w:type="paragraph" w:customStyle="1" w:styleId="CharChar3CaracterCaracter1CharCharCaracterCaracterCharChar0">
    <w:name w:val="Char Char3 Caracter Caracter1 Char Char Caracter Caracter Char Char"/>
    <w:basedOn w:val="Normal"/>
    <w:rsid w:val="00BD2D41"/>
    <w:rPr>
      <w:lang w:eastAsia="pl-PL"/>
    </w:rPr>
  </w:style>
  <w:style w:type="paragraph" w:customStyle="1" w:styleId="CharChar3CaracterCaracter1CharCharCaracterCaracter1CaracterCaracterCharCharCaracterCaracterCharCharCaracterCaracterCharChar0">
    <w:name w:val="Char Char3 Caracter Caracter1 Char Char Caracter Caracter1 Caracter Caracter Char Char Caracter Caracter Char Char Caracter Caracter Char Char"/>
    <w:basedOn w:val="Normal"/>
    <w:rsid w:val="00BD2D41"/>
    <w:rPr>
      <w:lang w:eastAsia="pl-PL"/>
    </w:rPr>
  </w:style>
  <w:style w:type="paragraph" w:customStyle="1" w:styleId="CaracterCaracter21">
    <w:name w:val="Caracter Caracter2"/>
    <w:basedOn w:val="Normal"/>
    <w:rsid w:val="00BD2D41"/>
    <w:rPr>
      <w:lang w:eastAsia="pl-PL"/>
    </w:rPr>
  </w:style>
  <w:style w:type="paragraph" w:customStyle="1" w:styleId="CharChar3CaracterCaracter11">
    <w:name w:val="Char Char3 Caracter Caracter1"/>
    <w:basedOn w:val="Normal"/>
    <w:rsid w:val="00BD2D41"/>
    <w:rPr>
      <w:lang w:eastAsia="pl-PL"/>
    </w:rPr>
  </w:style>
  <w:style w:type="paragraph" w:customStyle="1" w:styleId="CharChar3CaracterCaracter1CharCharCaracterCaracter1CaracterCaracter0">
    <w:name w:val="Char Char3 Caracter Caracter1 Char Char Caracter Caracter1 Caracter Caracter"/>
    <w:basedOn w:val="Normal"/>
    <w:rsid w:val="00BD2D41"/>
    <w:rPr>
      <w:lang w:eastAsia="pl-PL"/>
    </w:rPr>
  </w:style>
  <w:style w:type="paragraph" w:customStyle="1" w:styleId="CaracterCaracter2CharCharCaracterCaracterCharCharCaracterCaracterCharCharCaracterCaracter0">
    <w:name w:val="Caracter Caracter2 Char Char Caracter Caracter Char Char Caracter Caracter Char Char Caracter Caracter"/>
    <w:basedOn w:val="Normal"/>
    <w:rsid w:val="00BD2D41"/>
    <w:rPr>
      <w:lang w:eastAsia="pl-PL"/>
    </w:rPr>
  </w:style>
  <w:style w:type="paragraph" w:customStyle="1" w:styleId="CaracterCaracter2CharCharCaracterCaracterCharCharCaracterCaracterCharCharCaracterCaracterCaracterCaracter1">
    <w:name w:val="Caracter Caracter2 Char Char Caracter Caracter Char Char Caracter Caracter Char Char Caracter Caracter Caracter Caracter"/>
    <w:basedOn w:val="Normal"/>
    <w:rsid w:val="00BD2D41"/>
    <w:rPr>
      <w:lang w:eastAsia="pl-PL"/>
    </w:rPr>
  </w:style>
  <w:style w:type="paragraph" w:customStyle="1" w:styleId="CaracterCaracter1CharCharCaracterCaracter0">
    <w:name w:val="Caracter Caracter1 Char Char Caracter Caracter"/>
    <w:basedOn w:val="Normal"/>
    <w:rsid w:val="00BD2D41"/>
    <w:rPr>
      <w:lang w:eastAsia="pl-PL"/>
    </w:rPr>
  </w:style>
  <w:style w:type="paragraph" w:customStyle="1" w:styleId="CaracterCharCharCaracterCharCharCaracterCharChar10">
    <w:name w:val="Caracter Char Char Caracter Char Char Caracter Char Char1"/>
    <w:basedOn w:val="Normal"/>
    <w:rsid w:val="00BD2D41"/>
    <w:rPr>
      <w:lang w:eastAsia="pl-PL"/>
    </w:rPr>
  </w:style>
  <w:style w:type="paragraph" w:customStyle="1" w:styleId="CharCharCaracterCaracterCaracterCharCharChar1CharCharCharCharCharCharCharCharCharCharCharCharCharCharCharCaracterCaracterCaracterCaracterCharChar20">
    <w:name w:val="Char Char Caracter Caracter Caracter Char Char Char1 Char Char Char Char Char Char Char Char Char Char Char Char Char Char Char Caracter Caracter Caracter Caracter Char Char2"/>
    <w:basedOn w:val="Normal"/>
    <w:rsid w:val="00BD2D41"/>
    <w:rPr>
      <w:lang w:eastAsia="pl-PL"/>
    </w:rPr>
  </w:style>
  <w:style w:type="paragraph" w:customStyle="1" w:styleId="CaracterCharCharCaracterCharCharCaracterCharChar0">
    <w:name w:val="Caracter Char Char Caracter Char Char Caracter Char Char"/>
    <w:basedOn w:val="Normal"/>
    <w:rsid w:val="00BD2D41"/>
    <w:rPr>
      <w:lang w:eastAsia="pl-PL"/>
    </w:rPr>
  </w:style>
  <w:style w:type="paragraph" w:customStyle="1" w:styleId="CaracterCharCharCaracterCharCharCaracterCharCharCaracterCharCharCaracterCharCharCaracter0">
    <w:name w:val="Caracter Char Char Caracter Char Char Caracter Char Char Caracter Char Char Caracter Char Char Caracter"/>
    <w:basedOn w:val="Normal"/>
    <w:rsid w:val="00BD2D41"/>
    <w:rPr>
      <w:lang w:eastAsia="pl-PL"/>
    </w:rPr>
  </w:style>
  <w:style w:type="paragraph" w:customStyle="1" w:styleId="CaracterCharCharCaracterCharCharCaracterCharChar1CaracterCaracterCharChar0">
    <w:name w:val="Caracter Char Char Caracter Char Char Caracter Char Char1 Caracter Caracter Char Char"/>
    <w:basedOn w:val="Normal"/>
    <w:rsid w:val="00BD2D41"/>
    <w:rPr>
      <w:lang w:eastAsia="pl-PL"/>
    </w:rPr>
  </w:style>
  <w:style w:type="paragraph" w:customStyle="1" w:styleId="CharChar3CaracterCaracter1CharCharCaracterCaracter1CaracterCaracterCharCharCaracterCaracterCharCharCaracterCaracterCharCharCaracterCaracterCaracterCaracter0">
    <w:name w:val="Char Char3 Caracter Caracter1 Char Char Caracter Caracter1 Caracter Caracter Char Char Caracter Caracter Char Char Caracter Caracter Char Char Caracter Caracter Caracter Caracter"/>
    <w:basedOn w:val="Normal"/>
    <w:rsid w:val="00BD2D41"/>
    <w:rPr>
      <w:lang w:eastAsia="pl-PL"/>
    </w:rPr>
  </w:style>
  <w:style w:type="paragraph" w:customStyle="1" w:styleId="CaracterCaracter1CharChar1CaracterCaracterCharCharCaracterCaracterCharCharCaracterCaracter0">
    <w:name w:val="Caracter Caracter1 Char Char1 Caracter Caracter Char Char Caracter Caracter Char Char Caracter Caracter"/>
    <w:basedOn w:val="Normal"/>
    <w:rsid w:val="00BD2D41"/>
    <w:rPr>
      <w:lang w:eastAsia="pl-PL"/>
    </w:rPr>
  </w:style>
  <w:style w:type="paragraph" w:customStyle="1" w:styleId="CaracterCaracter2CharCharCaracterCaracterCharCharCaracterCaracterCharCharCaracterCaracterCharCharCaracterCaracterCharCharCaracterCaracterCharCharCaracterCaracter0">
    <w:name w:val="Caracter Caracter2 Char Char Caracter Caracter Char Char Caracter Caracter Char Char Caracter Caracter Char Char Caracter Caracter Char Char Caracter Caracter Char Char Caracter Caracter"/>
    <w:basedOn w:val="Normal"/>
    <w:rsid w:val="00BD2D41"/>
    <w:rPr>
      <w:lang w:eastAsia="pl-PL"/>
    </w:rPr>
  </w:style>
  <w:style w:type="paragraph" w:customStyle="1" w:styleId="CaracterCaracter1CaracterCaracterCaracter0">
    <w:name w:val="Caracter Caracter1 Caracter Caracter Caracter"/>
    <w:basedOn w:val="Normal"/>
    <w:rsid w:val="00BD2D41"/>
    <w:rPr>
      <w:lang w:eastAsia="pl-PL"/>
    </w:rPr>
  </w:style>
  <w:style w:type="paragraph" w:customStyle="1" w:styleId="CaracterCaracterCharCharCaracterCaracter10">
    <w:name w:val="Caracter Caracter Char Char Caracter Caracter1"/>
    <w:basedOn w:val="Normal"/>
    <w:rsid w:val="00BD2D41"/>
    <w:rPr>
      <w:lang w:eastAsia="pl-PL"/>
    </w:rPr>
  </w:style>
  <w:style w:type="paragraph" w:customStyle="1" w:styleId="CaracterCharCharCaracterCharChar1">
    <w:name w:val="Caracter Char Char Caracter Char Char"/>
    <w:basedOn w:val="Normal"/>
    <w:rsid w:val="00BD2D41"/>
    <w:rPr>
      <w:lang w:eastAsia="pl-PL"/>
    </w:rPr>
  </w:style>
  <w:style w:type="paragraph" w:customStyle="1" w:styleId="CaracterCaracter4CharChar1CaracterCaracter0">
    <w:name w:val="Caracter Caracter4 Char Char1 Caracter Caracter"/>
    <w:basedOn w:val="Normal"/>
    <w:rsid w:val="00BD2D41"/>
    <w:pPr>
      <w:spacing w:before="120"/>
      <w:jc w:val="both"/>
    </w:pPr>
    <w:rPr>
      <w:rFonts w:ascii="Arial" w:hAnsi="Arial"/>
      <w:lang w:eastAsia="pl-PL"/>
    </w:rPr>
  </w:style>
  <w:style w:type="paragraph" w:customStyle="1" w:styleId="CaracterCharCharCaracterCharCharCaracterCharCharCaracterCharCharCaracterCharCharCaracterCharCharCaracterCaracterCaracterCaracter0">
    <w:name w:val="Caracter Char Char Caracter Char Char Caracter Char Char Caracter Char Char Caracter Char Char Caracter Char Char Caracter Caracter Caracter Caracter"/>
    <w:basedOn w:val="Normal"/>
    <w:rsid w:val="00BD2D41"/>
    <w:pPr>
      <w:spacing w:after="160" w:line="240" w:lineRule="exact"/>
    </w:pPr>
    <w:rPr>
      <w:rFonts w:ascii="Tahoma" w:hAnsi="Tahoma"/>
      <w:sz w:val="20"/>
      <w:szCs w:val="20"/>
    </w:rPr>
  </w:style>
  <w:style w:type="paragraph" w:customStyle="1" w:styleId="CaracterCharCharCaracterCharCharCaracterCharCharCaracterCaracterCaracterCharCharCaracter0">
    <w:name w:val="Caracter Char Char Caracter Char Char Caracter Char Char Caracter Caracter Caracter Char Char Caracter"/>
    <w:basedOn w:val="Normal"/>
    <w:rsid w:val="00BD2D41"/>
    <w:rPr>
      <w:lang w:eastAsia="pl-PL"/>
    </w:rPr>
  </w:style>
  <w:style w:type="paragraph" w:customStyle="1" w:styleId="CharChar3CaracterCaracter1CharCharCaracterCaracter1CaracterCaracterCharCharCaracterCaracterCharCharCaracterCaracterCharCharCaracterCaracter0">
    <w:name w:val="Char Char3 Caracter Caracter1 Char Char Caracter Caracter1 Caracter Caracter Char Char Caracter Caracter Char Char Caracter Caracter Char Char Caracter Caracter"/>
    <w:basedOn w:val="Normal"/>
    <w:rsid w:val="00BD2D41"/>
    <w:rPr>
      <w:lang w:eastAsia="pl-PL"/>
    </w:rPr>
  </w:style>
  <w:style w:type="paragraph" w:customStyle="1" w:styleId="CharCharCharChar1CharCharCharCharCharCharCharCharCharCharCharCharCaracterCaracterCharCharCaracterCharCharCaracterCaracterCharCharCharCharCharCharCaracterCaracterCharCharCharCharCharChar0">
    <w:name w:val="Char Char Char Char1 Char Char Char Char Char Char Char Char Char Char Char Char Caracter Caracter Char Char Caracter Char Char Caracter Caracter Char Char Char Char Char Char Caracter Caracter Char Char Char Char Char Char"/>
    <w:basedOn w:val="Normal"/>
    <w:next w:val="Normal"/>
    <w:rsid w:val="00BD2D41"/>
    <w:pPr>
      <w:spacing w:after="160" w:line="240" w:lineRule="exact"/>
    </w:pPr>
    <w:rPr>
      <w:sz w:val="20"/>
      <w:szCs w:val="20"/>
      <w:vertAlign w:val="superscript"/>
      <w:lang w:eastAsia="ro-RO"/>
    </w:rPr>
  </w:style>
  <w:style w:type="paragraph" w:customStyle="1" w:styleId="CaracterCaracter1CharChar0">
    <w:name w:val="Caracter Caracter1 Char Char"/>
    <w:basedOn w:val="Normal"/>
    <w:rsid w:val="00BD2D41"/>
    <w:rPr>
      <w:lang w:eastAsia="pl-PL"/>
    </w:rPr>
  </w:style>
  <w:style w:type="paragraph" w:customStyle="1" w:styleId="BVIfnrCharCharCaracterCharCaracterCharCaracterCharCaracterCharCaracterCharCaracterCharCaracter0">
    <w:name w:val="BVI fnr Char Char Caracter Char Caracter Char Caracter Char Caracter Char Caracter Char Caracter Char Caracter"/>
    <w:basedOn w:val="Normal"/>
    <w:next w:val="Normal"/>
    <w:rsid w:val="00BD2D41"/>
    <w:pPr>
      <w:spacing w:after="160" w:line="240" w:lineRule="exact"/>
    </w:pPr>
    <w:rPr>
      <w:sz w:val="20"/>
      <w:szCs w:val="20"/>
      <w:vertAlign w:val="superscript"/>
      <w:lang w:eastAsia="ro-RO"/>
    </w:rPr>
  </w:style>
  <w:style w:type="paragraph" w:customStyle="1" w:styleId="CaracterCharCharCaracterCharCharCaracterCharCharCaracterCaracterCaracterCharCharCaracterCharCharCaracterCaracterCaracterCaracter0">
    <w:name w:val="Caracter Char Char Caracter Char Char Caracter Char Char Caracter Caracter Caracter Char Char Caracter Char Char Caracter Caracter Caracter Caracter"/>
    <w:basedOn w:val="Normal"/>
    <w:rsid w:val="00BD2D41"/>
    <w:rPr>
      <w:lang w:eastAsia="pl-PL"/>
    </w:rPr>
  </w:style>
  <w:style w:type="paragraph" w:customStyle="1" w:styleId="CharChar3CaracterCaracter1CharCharCaracterCaracter1CaracterCaracterCharCharCaracterCaracterCharCharCaracterCaracterCharCharCaracterCaracterCaracterCaracter1CaracterCaracterCharCharCaracterCaracter0">
    <w:name w:val="Char Char3 Caracter Caracter1 Char Char Caracter Caracter1 Caracter Caracter Char Char Caracter Caracter Char Char Caracter Caracter Char Char Caracter Caracter Caracter Caracter1 Caracter Caracter Char Char Caracter Caracter"/>
    <w:basedOn w:val="Normal"/>
    <w:rsid w:val="00BD2D41"/>
    <w:rPr>
      <w:lang w:eastAsia="pl-PL"/>
    </w:rPr>
  </w:style>
  <w:style w:type="paragraph" w:customStyle="1" w:styleId="BVIfnrCharCharCaracterCharCaracterCharCaracterCharCaracterCharCaracterCharCaracterCharCaracterCharCharCharChar0">
    <w:name w:val="BVI fnr Char Char Caracter Char Caracter Char Caracter Char Caracter Char Caracter Char Caracter Char Caracter Char Char Char Char"/>
    <w:basedOn w:val="Normal"/>
    <w:next w:val="Normal"/>
    <w:rsid w:val="00BD2D41"/>
    <w:pPr>
      <w:spacing w:after="160" w:line="240" w:lineRule="exact"/>
    </w:pPr>
    <w:rPr>
      <w:sz w:val="20"/>
      <w:szCs w:val="20"/>
      <w:vertAlign w:val="superscript"/>
      <w:lang w:eastAsia="ro-RO"/>
    </w:rPr>
  </w:style>
  <w:style w:type="paragraph" w:customStyle="1" w:styleId="BVIfnrCharCharCaracterCharCaracterCharCaracterCharCaracterCharCaracterCharCaracterCharCaracterCharCharCharCharCharCharCaracterCaracter0">
    <w:name w:val="BVI fnr Char Char Caracter Char Caracter Char Caracter Char Caracter Char Caracter Char Caracter Char Caracter Char Char Char Char Char Char Caracter Caracter"/>
    <w:basedOn w:val="Normal"/>
    <w:next w:val="Normal"/>
    <w:rsid w:val="00BD2D41"/>
    <w:pPr>
      <w:spacing w:after="160" w:line="240" w:lineRule="exact"/>
    </w:pPr>
    <w:rPr>
      <w:sz w:val="20"/>
      <w:szCs w:val="20"/>
      <w:vertAlign w:val="superscript"/>
      <w:lang w:eastAsia="ro-RO"/>
    </w:rPr>
  </w:style>
  <w:style w:type="paragraph" w:customStyle="1" w:styleId="BVIfnrCharCharCaracterCharCaracterCharCaracterCharCaracterCharCaracterCharCaracterCharCaracterCharCharCharCharCharCharCaracterCaracterCharCharCharChar0">
    <w:name w:val="BVI fnr Char Char Caracter Char Caracter Char Caracter Char Caracter Char Caracter Char Caracter Char Caracter Char Char Char Char Char Char Caracter Caracter Char Char Char Char"/>
    <w:basedOn w:val="Normal"/>
    <w:next w:val="Normal"/>
    <w:rsid w:val="00BD2D41"/>
    <w:pPr>
      <w:spacing w:after="160" w:line="240" w:lineRule="exact"/>
    </w:pPr>
    <w:rPr>
      <w:sz w:val="20"/>
      <w:szCs w:val="20"/>
      <w:vertAlign w:val="superscript"/>
      <w:lang w:eastAsia="ro-RO"/>
    </w:rPr>
  </w:style>
  <w:style w:type="paragraph" w:customStyle="1" w:styleId="CaracterCaracter7CharCharCharCharCharChar0">
    <w:name w:val="Caracter Caracter7 Char Char Char Char Char Char"/>
    <w:basedOn w:val="Normal"/>
    <w:rsid w:val="00BD2D41"/>
    <w:rPr>
      <w:szCs w:val="20"/>
      <w:lang w:eastAsia="pl-PL"/>
    </w:rPr>
  </w:style>
  <w:style w:type="paragraph" w:customStyle="1" w:styleId="CaracterCaracter2CharCharCaracterCaracterCharCharCaracterCaracterCharChar0">
    <w:name w:val="Caracter Caracter2 Char Char Caracter Caracter Char Char Caracter Caracter Char Char"/>
    <w:basedOn w:val="Normal"/>
    <w:rsid w:val="00BD2D41"/>
    <w:rPr>
      <w:lang w:eastAsia="pl-PL"/>
    </w:rPr>
  </w:style>
  <w:style w:type="paragraph" w:customStyle="1" w:styleId="CaracterCaracterCharCharCaracterCaracterCharCharCaracterCaracterCharCharCaracterCaracterCharCharCaracterCaracterCharCharCaracterCaracter0">
    <w:name w:val="Caracter Caracter Char Char Caracter Caracter Char Char Caracter Caracter Char Char Caracter Caracter Char Char Caracter Caracter Char Char Caracter Caracter"/>
    <w:basedOn w:val="Normal"/>
    <w:rsid w:val="00BD2D41"/>
    <w:pPr>
      <w:spacing w:after="160" w:line="240" w:lineRule="exact"/>
    </w:pPr>
    <w:rPr>
      <w:rFonts w:ascii="Tahoma" w:hAnsi="Tahoma"/>
      <w:sz w:val="20"/>
      <w:szCs w:val="20"/>
    </w:rPr>
  </w:style>
  <w:style w:type="paragraph" w:customStyle="1" w:styleId="CharCharCaracterCaracterCharCharCaracterCaracterCharCharCaracterCaracter0">
    <w:name w:val="Char Char Caracter Caracter Char Char Caracter Caracter Char Char Caracter Caracter"/>
    <w:basedOn w:val="Normal"/>
    <w:rsid w:val="00BD2D41"/>
    <w:rPr>
      <w:lang w:eastAsia="pl-PL"/>
    </w:rPr>
  </w:style>
  <w:style w:type="paragraph" w:customStyle="1" w:styleId="CaracterCaracter2CharCharCaracterCaracterCharCharCaracterCaracter0">
    <w:name w:val="Caracter Caracter2 Char Char Caracter Caracter Char Char Caracter Caracter"/>
    <w:basedOn w:val="Normal"/>
    <w:rsid w:val="00BD2D41"/>
    <w:rPr>
      <w:lang w:eastAsia="pl-PL"/>
    </w:rPr>
  </w:style>
  <w:style w:type="paragraph" w:customStyle="1" w:styleId="CharChar3CaracterCaracter1CharCharCaracterCaracter1CaracterCaracterCharCharCaracterCaracterCharCharCaracterCaracter0">
    <w:name w:val="Char Char3 Caracter Caracter1 Char Char Caracter Caracter1 Caracter Caracter Char Char Caracter Caracter Char Char Caracter Caracter"/>
    <w:basedOn w:val="Normal"/>
    <w:rsid w:val="00BD2D41"/>
    <w:rPr>
      <w:lang w:eastAsia="pl-PL"/>
    </w:rPr>
  </w:style>
  <w:style w:type="paragraph" w:customStyle="1" w:styleId="CaracterCaracter2CharCharCaracterCaracter0">
    <w:name w:val="Caracter Caracter2 Char Char Caracter Caracter"/>
    <w:basedOn w:val="Normal"/>
    <w:rsid w:val="00BD2D41"/>
    <w:rPr>
      <w:szCs w:val="20"/>
      <w:lang w:eastAsia="pl-PL"/>
    </w:rPr>
  </w:style>
  <w:style w:type="paragraph" w:customStyle="1" w:styleId="CharCharCharChar1CharCharCharCharCharCharCharCharCharChar0">
    <w:name w:val="Char Char Char Char1 Char Char Char Char Char Char Char Char Char Char"/>
    <w:basedOn w:val="Normal"/>
    <w:next w:val="Normal"/>
    <w:rsid w:val="00BD2D41"/>
    <w:pPr>
      <w:spacing w:after="160" w:line="240" w:lineRule="exact"/>
    </w:pPr>
    <w:rPr>
      <w:sz w:val="20"/>
      <w:szCs w:val="20"/>
      <w:vertAlign w:val="superscript"/>
      <w:lang w:eastAsia="ro-RO"/>
    </w:rPr>
  </w:style>
  <w:style w:type="paragraph" w:customStyle="1" w:styleId="CharChar3CaracterCaracter1CharCharCaracterCaracter1CaracterCaracterCharCharCaracterCaracterCharCharCaracterCaracterCharCharCaracterCaracterCaracterCaracter1CaracterCaracter1">
    <w:name w:val="Char Char3 Caracter Caracter1 Char Char Caracter Caracter1 Caracter Caracter Char Char Caracter Caracter Char Char Caracter Caracter Char Char Caracter Caracter Caracter Caracter1 Caracter Caracter"/>
    <w:basedOn w:val="Normal"/>
    <w:rsid w:val="00BD2D41"/>
    <w:rPr>
      <w:lang w:eastAsia="pl-PL"/>
    </w:rPr>
  </w:style>
  <w:style w:type="paragraph" w:customStyle="1" w:styleId="CaracterCaracter1CaracterCharCharCaracterCaracter0">
    <w:name w:val="Caracter Caracter1 Caracter Char Char Caracter Caracter"/>
    <w:basedOn w:val="Normal"/>
    <w:rsid w:val="00BD2D41"/>
    <w:rPr>
      <w:lang w:eastAsia="pl-PL"/>
    </w:rPr>
  </w:style>
  <w:style w:type="paragraph" w:customStyle="1" w:styleId="CaracterCaracter1CharCharCaracterCaracter10">
    <w:name w:val="Caracter Caracter1 Char Char Caracter Caracter1"/>
    <w:basedOn w:val="Normal"/>
    <w:rsid w:val="00BD2D41"/>
    <w:rPr>
      <w:lang w:eastAsia="pl-PL"/>
    </w:rPr>
  </w:style>
  <w:style w:type="paragraph" w:customStyle="1" w:styleId="CaracterCaracter70">
    <w:name w:val="Caracter Caracter7"/>
    <w:basedOn w:val="Normal"/>
    <w:rsid w:val="00BD2D41"/>
    <w:rPr>
      <w:lang w:eastAsia="pl-PL"/>
    </w:rPr>
  </w:style>
  <w:style w:type="character" w:customStyle="1" w:styleId="CharChar30">
    <w:name w:val="Char Char3"/>
    <w:rsid w:val="00BD2D41"/>
    <w:rPr>
      <w:rFonts w:ascii="Calibri" w:hAnsi="Calibri" w:cs="Calibri"/>
      <w:sz w:val="24"/>
      <w:szCs w:val="24"/>
      <w:lang w:bidi="ar-SA"/>
    </w:rPr>
  </w:style>
  <w:style w:type="character" w:customStyle="1" w:styleId="CharChar21">
    <w:name w:val="Char Char2"/>
    <w:rsid w:val="00BD2D41"/>
    <w:rPr>
      <w:rFonts w:cs="Times New Roman"/>
      <w:sz w:val="24"/>
      <w:szCs w:val="24"/>
    </w:rPr>
  </w:style>
  <w:style w:type="character" w:customStyle="1" w:styleId="CharChar11">
    <w:name w:val="Char Char1"/>
    <w:rsid w:val="00BD2D41"/>
    <w:rPr>
      <w:rFonts w:cs="Times New Roman"/>
      <w:sz w:val="24"/>
      <w:szCs w:val="24"/>
    </w:rPr>
  </w:style>
  <w:style w:type="character" w:customStyle="1" w:styleId="CharChar7">
    <w:name w:val="Char Char"/>
    <w:rsid w:val="00BD2D41"/>
    <w:rPr>
      <w:rFonts w:ascii="Consolas" w:eastAsia="MS Mincho" w:hAnsi="Consolas" w:cs="Consolas"/>
      <w:sz w:val="21"/>
      <w:szCs w:val="21"/>
      <w:lang w:bidi="ar-SA"/>
    </w:rPr>
  </w:style>
  <w:style w:type="character" w:customStyle="1" w:styleId="CharChar60">
    <w:name w:val="Char Char6"/>
    <w:rsid w:val="00BD2D41"/>
    <w:rPr>
      <w:rFonts w:ascii="Arial Narrow" w:eastAsia="Times New Roman" w:hAnsi="Arial Narrow" w:cs="Times New Roman"/>
      <w:b/>
      <w:bCs/>
      <w:kern w:val="1"/>
      <w:sz w:val="24"/>
      <w:szCs w:val="32"/>
    </w:rPr>
  </w:style>
  <w:style w:type="character" w:customStyle="1" w:styleId="CharChar51">
    <w:name w:val="Char Char5"/>
    <w:rsid w:val="00BD2D41"/>
    <w:rPr>
      <w:rFonts w:ascii="Arial Narrow" w:eastAsia="Times New Roman" w:hAnsi="Arial Narrow" w:cs="Times New Roman"/>
      <w:b/>
      <w:bCs/>
      <w:iCs/>
      <w:sz w:val="24"/>
      <w:szCs w:val="28"/>
      <w:shd w:val="clear" w:color="auto" w:fill="FABF8F"/>
    </w:rPr>
  </w:style>
  <w:style w:type="paragraph" w:customStyle="1" w:styleId="CharCharCharChar1CharCharCharCharCharCharCharCharCharCharCharCharCaracterCaracterCharCharCaracterCharCharCaracterCaracterCharCharCharCharCharCharCaracterCaracterCharCharCharChar0">
    <w:name w:val="Char Char Char Char1 Char Char Char Char Char Char Char Char Char Char Char Char Caracter Caracter Char Char Caracter Char Char Caracter Caracter Char Char Char Char Char Char Caracter Caracter Char Char Char Char"/>
    <w:basedOn w:val="Normal"/>
    <w:next w:val="Normal"/>
    <w:rsid w:val="00BD2D41"/>
    <w:pPr>
      <w:suppressAutoHyphens/>
      <w:spacing w:after="160" w:line="240" w:lineRule="exact"/>
    </w:pPr>
    <w:rPr>
      <w:sz w:val="20"/>
      <w:szCs w:val="20"/>
      <w:vertAlign w:val="superscript"/>
      <w:lang w:eastAsia="ro-RO"/>
    </w:rPr>
  </w:style>
  <w:style w:type="paragraph" w:customStyle="1" w:styleId="CaracterCaracter7CharCharCharChar0">
    <w:name w:val="Caracter Caracter7 Char Char Char Char"/>
    <w:basedOn w:val="Normal"/>
    <w:rsid w:val="00BD2D41"/>
    <w:pPr>
      <w:suppressAutoHyphens/>
    </w:pPr>
    <w:rPr>
      <w:szCs w:val="20"/>
      <w:lang w:eastAsia="zh-CN"/>
    </w:rPr>
  </w:style>
  <w:style w:type="character" w:customStyle="1" w:styleId="Caracter70">
    <w:name w:val="Caracter7"/>
    <w:rsid w:val="00BD2D41"/>
    <w:rPr>
      <w:rFonts w:ascii="Arial Narrow" w:eastAsia="Times New Roman" w:hAnsi="Arial Narrow" w:cs="Times New Roman"/>
      <w:b/>
      <w:bCs/>
      <w:kern w:val="32"/>
      <w:sz w:val="24"/>
      <w:szCs w:val="32"/>
    </w:rPr>
  </w:style>
  <w:style w:type="character" w:customStyle="1" w:styleId="Caracter60">
    <w:name w:val="Caracter6"/>
    <w:rsid w:val="00BD2D41"/>
    <w:rPr>
      <w:rFonts w:ascii="Arial Narrow" w:eastAsia="Times New Roman" w:hAnsi="Arial Narrow" w:cs="Times New Roman"/>
      <w:b/>
      <w:bCs/>
      <w:iCs/>
      <w:sz w:val="24"/>
      <w:szCs w:val="28"/>
      <w:shd w:val="clear" w:color="auto" w:fill="FABF8F"/>
    </w:rPr>
  </w:style>
  <w:style w:type="paragraph" w:customStyle="1" w:styleId="CharChar3CaracterCaracter1CharCharCaracterCaracter1CaracterCaracterCharCharCaracterCaracterCharCharCaracterCaracterCharCharCaracterCaracterCaracterCaracter1CharChar10">
    <w:name w:val="Char Char3 Caracter Caracter1 Char Char Caracter Caracter1 Caracter Caracter Char Char Caracter Caracter Char Char Caracter Caracter Char Char Caracter Caracter Caracter Caracter1 Char Char1"/>
    <w:basedOn w:val="Normal"/>
    <w:rsid w:val="00BD2D41"/>
    <w:rPr>
      <w:lang w:eastAsia="pl-PL"/>
    </w:rPr>
  </w:style>
  <w:style w:type="paragraph" w:customStyle="1" w:styleId="CharChar3CaracterCaracter1CharCharCaracterCaracter1CaracterCaracterCharCharCaracterCaracterCharCharCaracterCaracterCharCharCaracterCaracterCaracterCaracter1CharChar1CaracterCharChar0">
    <w:name w:val="Char Char3 Caracter Caracter1 Char Char Caracter Caracter1 Caracter Caracter Char Char Caracter Caracter Char Char Caracter Caracter Char Char Caracter Caracter Caracter Caracter1 Char Char1 Caracter Char Char"/>
    <w:basedOn w:val="Normal"/>
    <w:rsid w:val="00BD2D41"/>
    <w:rPr>
      <w:lang w:eastAsia="pl-PL"/>
    </w:rPr>
  </w:style>
  <w:style w:type="paragraph" w:customStyle="1" w:styleId="CharChar3CaracterCaracter1CharCharCaracterCaracter1CaracterCaracterCharCharCaracterCaracterCharCharCaracterCaracterCharCharCaracterCaracterCaracterCaracter1CharChar0">
    <w:name w:val="Char Char3 Caracter Caracter1 Char Char Caracter Caracter1 Caracter Caracter Char Char Caracter Caracter Char Char Caracter Caracter Char Char Caracter Caracter Caracter Caracter1 Char Char"/>
    <w:basedOn w:val="Normal"/>
    <w:rsid w:val="00BD2D41"/>
    <w:rPr>
      <w:lang w:eastAsia="pl-PL"/>
    </w:rPr>
  </w:style>
  <w:style w:type="paragraph" w:customStyle="1" w:styleId="CharChar3CaracterCaracter1CharCharCaracterCaracter1CaracterCaracterCharCharCaracterCaracterCharCharCaracterCaracterCharCharCaracterCaracterCaracterCaracter1CharChar1Caracter0">
    <w:name w:val="Char Char3 Caracter Caracter1 Char Char Caracter Caracter1 Caracter Caracter Char Char Caracter Caracter Char Char Caracter Caracter Char Char Caracter Caracter Caracter Caracter1 Char Char1 Caracter"/>
    <w:basedOn w:val="Normal"/>
    <w:rsid w:val="00BD2D41"/>
    <w:rPr>
      <w:lang w:eastAsia="pl-PL"/>
    </w:rPr>
  </w:style>
  <w:style w:type="paragraph" w:customStyle="1" w:styleId="Caracter2CharCharCaracterCharCharCaracterCharCharCaracterCharChar0">
    <w:name w:val="Caracter2 Char Char Caracter Char Char Caracter Char Char Caracter Char Char"/>
    <w:basedOn w:val="Normal"/>
    <w:rsid w:val="00BD2D41"/>
    <w:rPr>
      <w:lang w:eastAsia="pl-PL"/>
    </w:rPr>
  </w:style>
  <w:style w:type="paragraph" w:customStyle="1" w:styleId="Caracter2CharCharCaracterCharCharCaracterCharCharCaracter0">
    <w:name w:val="Caracter2 Char Char Caracter Char Char Caracter Char Char Caracter"/>
    <w:basedOn w:val="Normal"/>
    <w:rsid w:val="00BD2D41"/>
    <w:rPr>
      <w:lang w:eastAsia="pl-PL"/>
    </w:rPr>
  </w:style>
  <w:style w:type="paragraph" w:customStyle="1" w:styleId="CaracterCaracter3CharCharCaracterCaracterCharCharCaracterCaracterCharCharCaracterCaracterCharCharCaracterCaracter0">
    <w:name w:val="Caracter Caracter3 Char Char Caracter Caracter Char Char Caracter Caracter Char Char Caracter Caracter Char Char Caracter Caracter"/>
    <w:basedOn w:val="Normal"/>
    <w:rsid w:val="00BD2D41"/>
    <w:rPr>
      <w:lang w:eastAsia="pl-PL"/>
    </w:rPr>
  </w:style>
  <w:style w:type="paragraph" w:customStyle="1" w:styleId="CharChar1CaracterCaracter10">
    <w:name w:val="Char Char1 Caracter Caracter1"/>
    <w:basedOn w:val="Normal"/>
    <w:rsid w:val="00BD2D41"/>
    <w:rPr>
      <w:lang w:eastAsia="pl-PL"/>
    </w:rPr>
  </w:style>
  <w:style w:type="paragraph" w:customStyle="1" w:styleId="Date2">
    <w:name w:val="Date2"/>
    <w:basedOn w:val="Normal"/>
    <w:rsid w:val="00BD2D41"/>
    <w:pPr>
      <w:spacing w:before="100" w:beforeAutospacing="1" w:after="100" w:afterAutospacing="1"/>
    </w:pPr>
  </w:style>
  <w:style w:type="paragraph" w:customStyle="1" w:styleId="Caracter0">
    <w:name w:val="Caracter"/>
    <w:basedOn w:val="Normal"/>
    <w:rsid w:val="00BD2D41"/>
    <w:rPr>
      <w:szCs w:val="20"/>
      <w:lang w:eastAsia="pl-PL"/>
    </w:rPr>
  </w:style>
  <w:style w:type="table" w:customStyle="1" w:styleId="MediumShading2-Accent51">
    <w:name w:val="Medium Shading 2 - Accent 51"/>
    <w:basedOn w:val="TableNormal"/>
    <w:next w:val="MediumShading2-Accent5"/>
    <w:rsid w:val="00BD2D41"/>
    <w:rPr>
      <w:rFonts w:ascii="Calibri" w:hAnsi="Calibri"/>
      <w:sz w:val="22"/>
      <w:szCs w:val="22"/>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aracterCaracter1CharChar1CaracterCharCharCaracterCaracter0">
    <w:name w:val="Caracter Caracter1 Char Char1 Caracter Char Char Caracter Caracter"/>
    <w:basedOn w:val="Normal"/>
    <w:rsid w:val="00BD2D41"/>
    <w:rPr>
      <w:lang w:eastAsia="pl-PL"/>
    </w:rPr>
  </w:style>
  <w:style w:type="paragraph" w:customStyle="1" w:styleId="CaracterCaracter2CharCharCaracterCaracterCharCharCaracterCaracterCharCharCaracterCaracterCaracterCaracterCaracterCaracter0">
    <w:name w:val="Caracter Caracter2 Char Char Caracter Caracter Char Char Caracter Caracter Char Char Caracter Caracter Caracter Caracter Caracter Caracter"/>
    <w:basedOn w:val="Normal"/>
    <w:rsid w:val="00BD2D41"/>
    <w:rPr>
      <w:lang w:eastAsia="pl-PL"/>
    </w:rPr>
  </w:style>
  <w:style w:type="paragraph" w:customStyle="1" w:styleId="Caracter2CharChar0">
    <w:name w:val="Caracter2 Char Char"/>
    <w:basedOn w:val="Normal"/>
    <w:rsid w:val="00BD2D41"/>
    <w:rPr>
      <w:lang w:eastAsia="pl-PL"/>
    </w:rPr>
  </w:style>
  <w:style w:type="paragraph" w:customStyle="1" w:styleId="Caracter21">
    <w:name w:val="Caracter2"/>
    <w:basedOn w:val="Normal"/>
    <w:rsid w:val="00BD2D41"/>
    <w:rPr>
      <w:lang w:eastAsia="pl-PL"/>
    </w:rPr>
  </w:style>
  <w:style w:type="character" w:customStyle="1" w:styleId="CharChar80">
    <w:name w:val="Char Char8"/>
    <w:semiHidden/>
    <w:locked/>
    <w:rsid w:val="00BD2D41"/>
    <w:rPr>
      <w:rFonts w:ascii="Garamond" w:hAnsi="Garamond" w:cs="Garamond"/>
      <w:sz w:val="24"/>
      <w:szCs w:val="24"/>
      <w:lang w:val="en-US" w:eastAsia="ro-RO" w:bidi="ar-SA"/>
    </w:rPr>
  </w:style>
  <w:style w:type="paragraph" w:customStyle="1" w:styleId="Caracter2CharCharCaracterCharCharCaracter0">
    <w:name w:val="Caracter2 Char Char Caracter Char Char Caracter"/>
    <w:basedOn w:val="Normal"/>
    <w:rsid w:val="00BD2D41"/>
    <w:rPr>
      <w:lang w:eastAsia="pl-PL"/>
    </w:rPr>
  </w:style>
  <w:style w:type="paragraph" w:customStyle="1" w:styleId="CharChar2CaracterCharCharCaracter0">
    <w:name w:val="Char Char2 Caracter Char Char Caracter"/>
    <w:basedOn w:val="Normal"/>
    <w:rsid w:val="00BD2D41"/>
    <w:rPr>
      <w:lang w:eastAsia="pl-PL"/>
    </w:rPr>
  </w:style>
  <w:style w:type="paragraph" w:customStyle="1" w:styleId="CaracterCaracter2CharCharCaracterCharChar10">
    <w:name w:val="Caracter Caracter2 Char Char Caracter Char Char1"/>
    <w:basedOn w:val="Normal"/>
    <w:rsid w:val="00BD2D41"/>
    <w:rPr>
      <w:lang w:eastAsia="pl-PL"/>
    </w:rPr>
  </w:style>
  <w:style w:type="character" w:customStyle="1" w:styleId="Heading50">
    <w:name w:val="Heading #5_"/>
    <w:link w:val="Heading51"/>
    <w:rsid w:val="00BD2D41"/>
    <w:rPr>
      <w:rFonts w:ascii="Trebuchet MS" w:eastAsia="Trebuchet MS" w:hAnsi="Trebuchet MS" w:cs="Trebuchet MS"/>
      <w:b/>
      <w:bCs/>
      <w:shd w:val="clear" w:color="auto" w:fill="FFFFFF"/>
    </w:rPr>
  </w:style>
  <w:style w:type="paragraph" w:customStyle="1" w:styleId="Heading51">
    <w:name w:val="Heading #5"/>
    <w:basedOn w:val="Normal"/>
    <w:link w:val="Heading50"/>
    <w:rsid w:val="00BD2D41"/>
    <w:pPr>
      <w:widowControl w:val="0"/>
      <w:shd w:val="clear" w:color="auto" w:fill="FFFFFF"/>
      <w:spacing w:before="240" w:after="420" w:line="0" w:lineRule="atLeast"/>
      <w:jc w:val="both"/>
      <w:outlineLvl w:val="4"/>
    </w:pPr>
    <w:rPr>
      <w:rFonts w:ascii="Trebuchet MS" w:eastAsia="Trebuchet MS" w:hAnsi="Trebuchet MS" w:cs="Trebuchet MS"/>
      <w:b/>
      <w:bCs/>
      <w:sz w:val="20"/>
      <w:szCs w:val="20"/>
      <w:lang w:eastAsia="ro-RO"/>
    </w:rPr>
  </w:style>
  <w:style w:type="character" w:customStyle="1" w:styleId="Headerorfooter4">
    <w:name w:val="Header or footer (4)_"/>
    <w:link w:val="Headerorfooter40"/>
    <w:rsid w:val="00BD2D41"/>
    <w:rPr>
      <w:rFonts w:ascii="Trebuchet MS" w:eastAsia="Trebuchet MS" w:hAnsi="Trebuchet MS" w:cs="Trebuchet MS"/>
      <w:shd w:val="clear" w:color="auto" w:fill="FFFFFF"/>
    </w:rPr>
  </w:style>
  <w:style w:type="paragraph" w:customStyle="1" w:styleId="Headerorfooter40">
    <w:name w:val="Header or footer (4)"/>
    <w:basedOn w:val="Normal"/>
    <w:link w:val="Headerorfooter4"/>
    <w:rsid w:val="00BD2D41"/>
    <w:pPr>
      <w:widowControl w:val="0"/>
      <w:shd w:val="clear" w:color="auto" w:fill="FFFFFF"/>
      <w:spacing w:line="0" w:lineRule="atLeast"/>
    </w:pPr>
    <w:rPr>
      <w:rFonts w:ascii="Trebuchet MS" w:eastAsia="Trebuchet MS" w:hAnsi="Trebuchet MS" w:cs="Trebuchet MS"/>
      <w:sz w:val="20"/>
      <w:szCs w:val="20"/>
      <w:lang w:eastAsia="ro-RO"/>
    </w:rPr>
  </w:style>
  <w:style w:type="character" w:customStyle="1" w:styleId="NoSpacingChar1">
    <w:name w:val="No Spacing Char1"/>
    <w:uiPriority w:val="99"/>
    <w:locked/>
    <w:rsid w:val="00BD2D41"/>
    <w:rPr>
      <w:rFonts w:ascii="Arial" w:eastAsia="Times New Roman" w:hAnsi="Arial" w:cs="Arial"/>
      <w:sz w:val="20"/>
      <w:szCs w:val="20"/>
      <w:lang w:val="en-US" w:eastAsia="ro-RO"/>
    </w:rPr>
  </w:style>
  <w:style w:type="character" w:customStyle="1" w:styleId="Heading3Char">
    <w:name w:val="Heading 3 Char"/>
    <w:link w:val="Heading3"/>
    <w:rsid w:val="00BD2D41"/>
    <w:rPr>
      <w:b/>
      <w:bCs/>
      <w:sz w:val="27"/>
      <w:szCs w:val="27"/>
      <w:lang w:val="en-US" w:eastAsia="en-US"/>
    </w:rPr>
  </w:style>
  <w:style w:type="character" w:customStyle="1" w:styleId="PlainTextChar">
    <w:name w:val="Plain Text Char"/>
    <w:link w:val="PlainText"/>
    <w:uiPriority w:val="99"/>
    <w:rsid w:val="00BD2D41"/>
    <w:rPr>
      <w:rFonts w:ascii="Consolas" w:eastAsia="MS Mincho" w:hAnsi="Consolas"/>
      <w:sz w:val="21"/>
      <w:szCs w:val="21"/>
      <w:lang w:val="en-US" w:eastAsia="en-US"/>
    </w:rPr>
  </w:style>
  <w:style w:type="character" w:customStyle="1" w:styleId="StyleTahoma">
    <w:name w:val="Style Tahoma"/>
    <w:semiHidden/>
    <w:rsid w:val="00BD2D41"/>
    <w:rPr>
      <w:rFonts w:ascii="Tahoma" w:hAnsi="Tahoma"/>
      <w:sz w:val="24"/>
    </w:rPr>
  </w:style>
  <w:style w:type="character" w:customStyle="1" w:styleId="gri1">
    <w:name w:val="gri1"/>
    <w:rsid w:val="00BD2D41"/>
    <w:rPr>
      <w:rFonts w:ascii="Verdana" w:hAnsi="Verdana" w:hint="default"/>
      <w:strike w:val="0"/>
      <w:dstrike w:val="0"/>
      <w:color w:val="666666"/>
      <w:sz w:val="20"/>
      <w:szCs w:val="20"/>
      <w:u w:val="none"/>
      <w:effect w:val="none"/>
    </w:rPr>
  </w:style>
  <w:style w:type="character" w:customStyle="1" w:styleId="FrspaiereCaracter">
    <w:name w:val="Fără spațiere Caracter"/>
    <w:locked/>
    <w:rsid w:val="00BD2D41"/>
    <w:rPr>
      <w:rFonts w:ascii="Times New Roman" w:eastAsia="Times New Roman" w:hAnsi="Times New Roman" w:cs="Times New Roman"/>
      <w:sz w:val="24"/>
      <w:szCs w:val="24"/>
      <w:lang w:val="en-US" w:eastAsia="ro-RO"/>
    </w:rPr>
  </w:style>
  <w:style w:type="paragraph" w:styleId="HTMLPreformatted">
    <w:name w:val="HTML Preformatted"/>
    <w:basedOn w:val="Normal"/>
    <w:link w:val="HTMLPreformattedChar"/>
    <w:uiPriority w:val="99"/>
    <w:rsid w:val="00BD2D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rPr>
  </w:style>
  <w:style w:type="character" w:customStyle="1" w:styleId="HTMLPreformattedChar">
    <w:name w:val="HTML Preformatted Char"/>
    <w:basedOn w:val="DefaultParagraphFont"/>
    <w:link w:val="HTMLPreformatted"/>
    <w:uiPriority w:val="99"/>
    <w:rsid w:val="00BD2D41"/>
    <w:rPr>
      <w:rFonts w:ascii="Courier New" w:hAnsi="Courier New"/>
      <w:color w:val="000000"/>
    </w:rPr>
  </w:style>
  <w:style w:type="character" w:customStyle="1" w:styleId="ListParagraphChar1">
    <w:name w:val="List Paragraph Char1"/>
    <w:aliases w:val="Antes de enumeración Char"/>
    <w:uiPriority w:val="99"/>
    <w:rsid w:val="00BD2D41"/>
    <w:rPr>
      <w:rFonts w:ascii="Times New Roman" w:eastAsia="Times New Roman" w:hAnsi="Times New Roman" w:cs="Times New Roman"/>
      <w:sz w:val="24"/>
      <w:szCs w:val="24"/>
      <w:lang w:val="en-US"/>
    </w:rPr>
  </w:style>
  <w:style w:type="character" w:customStyle="1" w:styleId="FontStyle208">
    <w:name w:val="Font Style208"/>
    <w:rsid w:val="00BD2D41"/>
    <w:rPr>
      <w:rFonts w:ascii="Times New Roman" w:hAnsi="Times New Roman" w:cs="Times New Roman"/>
      <w:sz w:val="16"/>
      <w:szCs w:val="16"/>
    </w:rPr>
  </w:style>
  <w:style w:type="character" w:customStyle="1" w:styleId="Heading4Char">
    <w:name w:val="Heading 4 Char"/>
    <w:link w:val="Heading4"/>
    <w:rsid w:val="00BD2D41"/>
    <w:rPr>
      <w:b/>
      <w:bCs/>
      <w:sz w:val="24"/>
      <w:lang w:val="en-US" w:eastAsia="en-US"/>
    </w:rPr>
  </w:style>
  <w:style w:type="character" w:customStyle="1" w:styleId="Heading5Char">
    <w:name w:val="Heading 5 Char"/>
    <w:link w:val="Heading5"/>
    <w:rsid w:val="00BD2D41"/>
    <w:rPr>
      <w:b/>
      <w:bCs/>
      <w:sz w:val="28"/>
      <w:szCs w:val="24"/>
      <w:lang w:val="en-US" w:eastAsia="en-US"/>
    </w:rPr>
  </w:style>
  <w:style w:type="character" w:customStyle="1" w:styleId="Heading6Char">
    <w:name w:val="Heading 6 Char"/>
    <w:link w:val="Heading6"/>
    <w:rsid w:val="00BD2D41"/>
    <w:rPr>
      <w:rFonts w:ascii="TimesRomanR" w:hAnsi="TimesRomanR"/>
      <w:b/>
      <w:bCs/>
      <w:sz w:val="24"/>
      <w:lang w:val="en-US" w:eastAsia="en-US"/>
    </w:rPr>
  </w:style>
  <w:style w:type="character" w:customStyle="1" w:styleId="Heading8Char">
    <w:name w:val="Heading 8 Char"/>
    <w:link w:val="Heading8"/>
    <w:rsid w:val="00BD2D41"/>
    <w:rPr>
      <w:i/>
      <w:iCs/>
      <w:sz w:val="24"/>
      <w:szCs w:val="24"/>
      <w:lang w:val="en-US" w:eastAsia="en-US"/>
    </w:rPr>
  </w:style>
  <w:style w:type="character" w:customStyle="1" w:styleId="BodyText3Char">
    <w:name w:val="Body Text 3 Char"/>
    <w:link w:val="BodyText3"/>
    <w:rsid w:val="00BD2D41"/>
    <w:rPr>
      <w:sz w:val="28"/>
      <w:lang w:val="en-US" w:eastAsia="en-US"/>
    </w:rPr>
  </w:style>
  <w:style w:type="paragraph" w:customStyle="1" w:styleId="NoteHead">
    <w:name w:val="NoteHead"/>
    <w:basedOn w:val="Normal"/>
    <w:next w:val="Normal"/>
    <w:rsid w:val="00BD2D41"/>
    <w:pPr>
      <w:spacing w:before="720" w:after="720"/>
      <w:jc w:val="center"/>
    </w:pPr>
    <w:rPr>
      <w:b/>
      <w:smallCaps/>
      <w:szCs w:val="20"/>
      <w:lang w:eastAsia="en-GB"/>
    </w:rPr>
  </w:style>
  <w:style w:type="character" w:customStyle="1" w:styleId="ar1">
    <w:name w:val="ar1"/>
    <w:rsid w:val="00BD2D41"/>
    <w:rPr>
      <w:b/>
      <w:bCs/>
      <w:color w:val="0000AF"/>
      <w:sz w:val="22"/>
      <w:szCs w:val="22"/>
    </w:rPr>
  </w:style>
  <w:style w:type="character" w:customStyle="1" w:styleId="pt1">
    <w:name w:val="pt1"/>
    <w:rsid w:val="00BD2D41"/>
    <w:rPr>
      <w:b/>
      <w:bCs/>
      <w:color w:val="8F0000"/>
    </w:rPr>
  </w:style>
  <w:style w:type="character" w:customStyle="1" w:styleId="tpt1">
    <w:name w:val="tpt1"/>
    <w:rsid w:val="00BD2D41"/>
  </w:style>
  <w:style w:type="paragraph" w:customStyle="1" w:styleId="CaracterCaracter1CharCharCaracter">
    <w:name w:val="Caracter Caracter1 Char Char Caracter"/>
    <w:basedOn w:val="Normal"/>
    <w:rsid w:val="00BD2D41"/>
    <w:rPr>
      <w:lang w:eastAsia="pl-PL"/>
    </w:rPr>
  </w:style>
  <w:style w:type="character" w:customStyle="1" w:styleId="TitleChar">
    <w:name w:val="Title Char"/>
    <w:link w:val="Title"/>
    <w:rsid w:val="00BD2D41"/>
    <w:rPr>
      <w:sz w:val="36"/>
      <w:lang w:eastAsia="en-US"/>
    </w:rPr>
  </w:style>
  <w:style w:type="paragraph" w:styleId="TOC3">
    <w:name w:val="toc 3"/>
    <w:basedOn w:val="Normal"/>
    <w:next w:val="Normal"/>
    <w:autoRedefine/>
    <w:uiPriority w:val="39"/>
    <w:unhideWhenUsed/>
    <w:rsid w:val="00BD2D41"/>
    <w:pPr>
      <w:tabs>
        <w:tab w:val="right" w:pos="9913"/>
      </w:tabs>
      <w:spacing w:line="276" w:lineRule="auto"/>
      <w:ind w:left="220"/>
    </w:pPr>
    <w:rPr>
      <w:rFonts w:eastAsia="Perpetua"/>
      <w:i/>
      <w:noProof/>
    </w:rPr>
  </w:style>
  <w:style w:type="paragraph" w:customStyle="1" w:styleId="Listparagraf2">
    <w:name w:val="Listă paragraf2"/>
    <w:basedOn w:val="Normal"/>
    <w:qFormat/>
    <w:rsid w:val="00BD2D41"/>
    <w:pPr>
      <w:spacing w:after="200" w:line="276" w:lineRule="auto"/>
      <w:ind w:left="720"/>
      <w:contextualSpacing/>
    </w:pPr>
    <w:rPr>
      <w:rFonts w:ascii="Calibri" w:eastAsia="Calibri" w:hAnsi="Calibri"/>
      <w:sz w:val="22"/>
      <w:szCs w:val="22"/>
    </w:rPr>
  </w:style>
  <w:style w:type="character" w:customStyle="1" w:styleId="ln2tlitera">
    <w:name w:val="ln2tlitera"/>
    <w:rsid w:val="00BD2D41"/>
  </w:style>
  <w:style w:type="character" w:customStyle="1" w:styleId="tax1">
    <w:name w:val="tax1"/>
    <w:rsid w:val="00BD2D41"/>
    <w:rPr>
      <w:b/>
      <w:bCs/>
      <w:sz w:val="26"/>
      <w:szCs w:val="26"/>
    </w:rPr>
  </w:style>
  <w:style w:type="paragraph" w:customStyle="1" w:styleId="Frspaiere2">
    <w:name w:val="Fără spațiere2"/>
    <w:qFormat/>
    <w:rsid w:val="00BD2D41"/>
    <w:rPr>
      <w:rFonts w:ascii="Calibri" w:eastAsia="Calibri" w:hAnsi="Calibri" w:cs="Calibri"/>
      <w:sz w:val="22"/>
      <w:szCs w:val="22"/>
      <w:lang w:eastAsia="en-US"/>
    </w:rPr>
  </w:style>
  <w:style w:type="paragraph" w:customStyle="1" w:styleId="Frspaiere3">
    <w:name w:val="Fără spațiere3"/>
    <w:qFormat/>
    <w:rsid w:val="00BD2D41"/>
    <w:pPr>
      <w:jc w:val="both"/>
    </w:pPr>
    <w:rPr>
      <w:sz w:val="24"/>
      <w:szCs w:val="24"/>
      <w:lang w:eastAsia="en-US"/>
    </w:rPr>
  </w:style>
  <w:style w:type="character" w:customStyle="1" w:styleId="ln2alineat">
    <w:name w:val="ln2alineat"/>
    <w:rsid w:val="00BD2D41"/>
  </w:style>
  <w:style w:type="character" w:customStyle="1" w:styleId="ln2talineat">
    <w:name w:val="ln2talineat"/>
    <w:rsid w:val="00BD2D41"/>
  </w:style>
  <w:style w:type="character" w:customStyle="1" w:styleId="SubtitleChar">
    <w:name w:val="Subtitle Char"/>
    <w:link w:val="Subtitle"/>
    <w:rsid w:val="00BD2D41"/>
    <w:rPr>
      <w:sz w:val="36"/>
      <w:szCs w:val="36"/>
      <w:lang w:eastAsia="zh-CN"/>
    </w:rPr>
  </w:style>
  <w:style w:type="character" w:customStyle="1" w:styleId="BodyTextIndent3Char">
    <w:name w:val="Body Text Indent 3 Char"/>
    <w:link w:val="BodyTextIndent3"/>
    <w:rsid w:val="00BD2D41"/>
    <w:rPr>
      <w:sz w:val="16"/>
      <w:szCs w:val="16"/>
      <w:lang w:val="en-US"/>
    </w:rPr>
  </w:style>
  <w:style w:type="character" w:customStyle="1" w:styleId="BodyTextIndentChar">
    <w:name w:val="Body Text Indent Char"/>
    <w:link w:val="BodyTextIndent"/>
    <w:rsid w:val="00BD2D41"/>
    <w:rPr>
      <w:sz w:val="24"/>
      <w:szCs w:val="24"/>
      <w:lang w:val="en-US" w:eastAsia="en-US"/>
    </w:rPr>
  </w:style>
  <w:style w:type="paragraph" w:styleId="TOC4">
    <w:name w:val="toc 4"/>
    <w:basedOn w:val="Normal"/>
    <w:next w:val="Normal"/>
    <w:autoRedefine/>
    <w:uiPriority w:val="39"/>
    <w:unhideWhenUsed/>
    <w:rsid w:val="00BD2D41"/>
    <w:pPr>
      <w:spacing w:line="276" w:lineRule="auto"/>
      <w:ind w:left="440"/>
    </w:pPr>
    <w:rPr>
      <w:rFonts w:ascii="Calibri" w:eastAsia="Perpetua" w:hAnsi="Calibri"/>
      <w:color w:val="000000"/>
      <w:sz w:val="20"/>
      <w:szCs w:val="20"/>
    </w:rPr>
  </w:style>
  <w:style w:type="paragraph" w:styleId="TOC5">
    <w:name w:val="toc 5"/>
    <w:basedOn w:val="Normal"/>
    <w:next w:val="Normal"/>
    <w:autoRedefine/>
    <w:uiPriority w:val="39"/>
    <w:unhideWhenUsed/>
    <w:rsid w:val="00BD2D41"/>
    <w:pPr>
      <w:spacing w:line="276" w:lineRule="auto"/>
      <w:ind w:left="660"/>
    </w:pPr>
    <w:rPr>
      <w:rFonts w:ascii="Calibri" w:eastAsia="Perpetua" w:hAnsi="Calibri"/>
      <w:color w:val="000000"/>
      <w:sz w:val="20"/>
      <w:szCs w:val="20"/>
    </w:rPr>
  </w:style>
  <w:style w:type="paragraph" w:styleId="TOC6">
    <w:name w:val="toc 6"/>
    <w:basedOn w:val="Normal"/>
    <w:next w:val="Normal"/>
    <w:autoRedefine/>
    <w:uiPriority w:val="39"/>
    <w:unhideWhenUsed/>
    <w:rsid w:val="00BD2D41"/>
    <w:pPr>
      <w:spacing w:line="276" w:lineRule="auto"/>
      <w:ind w:left="880"/>
    </w:pPr>
    <w:rPr>
      <w:rFonts w:ascii="Calibri" w:eastAsia="Perpetua" w:hAnsi="Calibri"/>
      <w:color w:val="000000"/>
      <w:sz w:val="20"/>
      <w:szCs w:val="20"/>
    </w:rPr>
  </w:style>
  <w:style w:type="paragraph" w:styleId="TOC7">
    <w:name w:val="toc 7"/>
    <w:basedOn w:val="Normal"/>
    <w:next w:val="Normal"/>
    <w:autoRedefine/>
    <w:uiPriority w:val="39"/>
    <w:unhideWhenUsed/>
    <w:rsid w:val="00BD2D41"/>
    <w:pPr>
      <w:spacing w:line="276" w:lineRule="auto"/>
      <w:ind w:left="1100"/>
    </w:pPr>
    <w:rPr>
      <w:rFonts w:ascii="Calibri" w:eastAsia="Perpetua" w:hAnsi="Calibri"/>
      <w:color w:val="000000"/>
      <w:sz w:val="20"/>
      <w:szCs w:val="20"/>
    </w:rPr>
  </w:style>
  <w:style w:type="paragraph" w:styleId="TOC8">
    <w:name w:val="toc 8"/>
    <w:basedOn w:val="Normal"/>
    <w:next w:val="Normal"/>
    <w:autoRedefine/>
    <w:uiPriority w:val="39"/>
    <w:unhideWhenUsed/>
    <w:rsid w:val="00BD2D41"/>
    <w:pPr>
      <w:spacing w:line="276" w:lineRule="auto"/>
      <w:ind w:left="1320"/>
    </w:pPr>
    <w:rPr>
      <w:rFonts w:ascii="Calibri" w:eastAsia="Perpetua" w:hAnsi="Calibri"/>
      <w:color w:val="000000"/>
      <w:sz w:val="20"/>
      <w:szCs w:val="20"/>
    </w:rPr>
  </w:style>
  <w:style w:type="paragraph" w:styleId="TOC9">
    <w:name w:val="toc 9"/>
    <w:basedOn w:val="Normal"/>
    <w:next w:val="Normal"/>
    <w:autoRedefine/>
    <w:uiPriority w:val="39"/>
    <w:unhideWhenUsed/>
    <w:rsid w:val="00BD2D41"/>
    <w:pPr>
      <w:spacing w:line="276" w:lineRule="auto"/>
      <w:ind w:left="1540"/>
    </w:pPr>
    <w:rPr>
      <w:rFonts w:ascii="Calibri" w:eastAsia="Perpetua" w:hAnsi="Calibri"/>
      <w:color w:val="000000"/>
      <w:sz w:val="20"/>
      <w:szCs w:val="20"/>
    </w:rPr>
  </w:style>
  <w:style w:type="character" w:customStyle="1" w:styleId="Stil1">
    <w:name w:val="Stil1"/>
    <w:uiPriority w:val="1"/>
    <w:qFormat/>
    <w:rsid w:val="00BD2D41"/>
  </w:style>
  <w:style w:type="paragraph" w:customStyle="1" w:styleId="CaracterCaracter4CharCharCaracterCaracter1CharChar">
    <w:name w:val="Caracter Caracter4 Char Char Caracter Caracter1 Char Char"/>
    <w:basedOn w:val="Normal"/>
    <w:rsid w:val="00BD2D41"/>
    <w:rPr>
      <w:lang w:eastAsia="pl-PL"/>
    </w:rPr>
  </w:style>
  <w:style w:type="character" w:customStyle="1" w:styleId="Style12ptBoldCustomColorRGB84141212">
    <w:name w:val="Style 12 pt Bold Custom Color(RGB(84141212))"/>
    <w:rsid w:val="00BD2D41"/>
    <w:rPr>
      <w:rFonts w:cs="Times New Roman"/>
      <w:b/>
      <w:color w:val="auto"/>
      <w:sz w:val="24"/>
    </w:rPr>
  </w:style>
  <w:style w:type="paragraph" w:customStyle="1" w:styleId="albastru">
    <w:name w:val="albastru"/>
    <w:basedOn w:val="Normal"/>
    <w:rsid w:val="00BD2D41"/>
    <w:pPr>
      <w:spacing w:before="100" w:beforeAutospacing="1" w:after="100" w:afterAutospacing="1"/>
    </w:pPr>
  </w:style>
  <w:style w:type="character" w:customStyle="1" w:styleId="highlightterm">
    <w:name w:val="highlight_term"/>
    <w:rsid w:val="00BD2D41"/>
  </w:style>
  <w:style w:type="character" w:customStyle="1" w:styleId="st">
    <w:name w:val="st"/>
    <w:rsid w:val="00BD2D41"/>
  </w:style>
  <w:style w:type="character" w:customStyle="1" w:styleId="li1">
    <w:name w:val="li1"/>
    <w:rsid w:val="00BD2D41"/>
    <w:rPr>
      <w:b/>
      <w:bCs/>
      <w:color w:val="8F0000"/>
    </w:rPr>
  </w:style>
  <w:style w:type="character" w:customStyle="1" w:styleId="lia1">
    <w:name w:val="li_a1"/>
    <w:rsid w:val="00BD2D41"/>
    <w:rPr>
      <w:b/>
      <w:bCs/>
      <w:strike/>
      <w:color w:val="DC143C"/>
    </w:rPr>
  </w:style>
  <w:style w:type="character" w:customStyle="1" w:styleId="tlia1">
    <w:name w:val="tli_a1"/>
    <w:rsid w:val="00BD2D41"/>
    <w:rPr>
      <w:strike/>
      <w:color w:val="DC143C"/>
    </w:rPr>
  </w:style>
  <w:style w:type="paragraph" w:customStyle="1" w:styleId="Frspaiere4">
    <w:name w:val="Fără spațiere4"/>
    <w:uiPriority w:val="1"/>
    <w:qFormat/>
    <w:rsid w:val="00BD2D41"/>
    <w:rPr>
      <w:rFonts w:ascii="Calibri" w:eastAsia="Calibri" w:hAnsi="Calibri"/>
      <w:sz w:val="22"/>
      <w:szCs w:val="22"/>
      <w:lang w:eastAsia="en-US"/>
    </w:rPr>
  </w:style>
  <w:style w:type="paragraph" w:customStyle="1" w:styleId="Style13">
    <w:name w:val="Style13"/>
    <w:basedOn w:val="Normal"/>
    <w:rsid w:val="00BD2D41"/>
    <w:pPr>
      <w:widowControl w:val="0"/>
      <w:autoSpaceDE w:val="0"/>
      <w:autoSpaceDN w:val="0"/>
      <w:adjustRightInd w:val="0"/>
    </w:pPr>
    <w:rPr>
      <w:rFonts w:eastAsia="MS Mincho"/>
      <w:lang w:eastAsia="ja-JP"/>
    </w:rPr>
  </w:style>
  <w:style w:type="paragraph" w:customStyle="1" w:styleId="Normaltableau">
    <w:name w:val="Normal tableau"/>
    <w:basedOn w:val="Normal"/>
    <w:rsid w:val="00BD2D41"/>
    <w:rPr>
      <w:rFonts w:ascii="Arial" w:hAnsi="Arial" w:cs="Arial"/>
      <w:sz w:val="18"/>
      <w:szCs w:val="20"/>
      <w:lang w:eastAsia="fr-FR"/>
    </w:rPr>
  </w:style>
  <w:style w:type="paragraph" w:customStyle="1" w:styleId="Style47">
    <w:name w:val="Style47"/>
    <w:basedOn w:val="Normal"/>
    <w:rsid w:val="00BD2D41"/>
    <w:pPr>
      <w:widowControl w:val="0"/>
      <w:autoSpaceDE w:val="0"/>
      <w:autoSpaceDN w:val="0"/>
      <w:adjustRightInd w:val="0"/>
      <w:spacing w:line="275" w:lineRule="exact"/>
      <w:jc w:val="both"/>
    </w:pPr>
    <w:rPr>
      <w:rFonts w:ascii="Arial" w:hAnsi="Arial" w:cs="Arial"/>
      <w:lang w:eastAsia="ro-RO"/>
    </w:rPr>
  </w:style>
  <w:style w:type="paragraph" w:customStyle="1" w:styleId="NoSpacing1">
    <w:name w:val="No Spacing1"/>
    <w:qFormat/>
    <w:rsid w:val="00BD2D41"/>
    <w:rPr>
      <w:rFonts w:ascii="Calibri" w:eastAsia="Calibri" w:hAnsi="Calibri" w:cs="Calibri"/>
      <w:sz w:val="22"/>
      <w:szCs w:val="22"/>
      <w:lang w:eastAsia="en-US"/>
    </w:rPr>
  </w:style>
  <w:style w:type="paragraph" w:customStyle="1" w:styleId="ZDGName">
    <w:name w:val="Z_DGName"/>
    <w:basedOn w:val="Normal"/>
    <w:rsid w:val="00BD2D41"/>
    <w:pPr>
      <w:widowControl w:val="0"/>
      <w:autoSpaceDE w:val="0"/>
      <w:autoSpaceDN w:val="0"/>
      <w:ind w:right="85"/>
    </w:pPr>
    <w:rPr>
      <w:rFonts w:ascii="Arial" w:hAnsi="Arial" w:cs="Arial"/>
      <w:sz w:val="16"/>
      <w:szCs w:val="16"/>
      <w:lang w:eastAsia="en-GB"/>
    </w:rPr>
  </w:style>
  <w:style w:type="paragraph" w:customStyle="1" w:styleId="ZCom">
    <w:name w:val="Z_Com"/>
    <w:basedOn w:val="Normal"/>
    <w:next w:val="ZDGName"/>
    <w:rsid w:val="00BD2D41"/>
    <w:pPr>
      <w:widowControl w:val="0"/>
      <w:autoSpaceDE w:val="0"/>
      <w:autoSpaceDN w:val="0"/>
      <w:ind w:right="85"/>
      <w:jc w:val="both"/>
    </w:pPr>
    <w:rPr>
      <w:rFonts w:ascii="Arial" w:hAnsi="Arial" w:cs="Arial"/>
      <w:lang w:eastAsia="en-GB"/>
    </w:rPr>
  </w:style>
  <w:style w:type="character" w:customStyle="1" w:styleId="rvts8">
    <w:name w:val="rvts8"/>
    <w:rsid w:val="00BD2D41"/>
    <w:rPr>
      <w:rFonts w:ascii="Times New Roman" w:hAnsi="Times New Roman" w:cs="Times New Roman" w:hint="default"/>
      <w:b/>
      <w:bCs/>
      <w:sz w:val="24"/>
      <w:szCs w:val="24"/>
    </w:rPr>
  </w:style>
  <w:style w:type="character" w:customStyle="1" w:styleId="albastru6">
    <w:name w:val="albastru6"/>
    <w:rsid w:val="00BD2D41"/>
    <w:rPr>
      <w:rFonts w:ascii="Verdana" w:hAnsi="Verdana" w:hint="default"/>
      <w:b/>
      <w:bCs/>
      <w:strike w:val="0"/>
      <w:dstrike w:val="0"/>
      <w:color w:val="133984"/>
      <w:sz w:val="20"/>
      <w:szCs w:val="20"/>
      <w:u w:val="none"/>
      <w:effect w:val="none"/>
    </w:rPr>
  </w:style>
  <w:style w:type="paragraph" w:customStyle="1" w:styleId="Frspaiere5">
    <w:name w:val="Fără spațiere5"/>
    <w:qFormat/>
    <w:rsid w:val="00BD2D41"/>
    <w:rPr>
      <w:rFonts w:ascii="Calibri" w:eastAsia="Calibri" w:hAnsi="Calibri"/>
      <w:sz w:val="22"/>
      <w:szCs w:val="22"/>
      <w:lang w:eastAsia="en-US"/>
    </w:rPr>
  </w:style>
  <w:style w:type="paragraph" w:customStyle="1" w:styleId="CaracterCaracter1CharCharCaracterCaracter1Caracter">
    <w:name w:val="Caracter Caracter1 Char Char Caracter Caracter1 Caracter"/>
    <w:basedOn w:val="Normal"/>
    <w:rsid w:val="00BD2D41"/>
    <w:rPr>
      <w:rFonts w:ascii="Arial" w:hAnsi="Arial" w:cs="Arial"/>
      <w:sz w:val="20"/>
      <w:szCs w:val="20"/>
      <w:lang w:eastAsia="pl-PL"/>
    </w:rPr>
  </w:style>
  <w:style w:type="paragraph" w:customStyle="1" w:styleId="ListParagraph1">
    <w:name w:val="List Paragraph1"/>
    <w:aliases w:val="Normal bullet 2"/>
    <w:basedOn w:val="Normal"/>
    <w:qFormat/>
    <w:rsid w:val="00BD2D41"/>
    <w:pPr>
      <w:spacing w:after="200" w:line="276" w:lineRule="auto"/>
      <w:ind w:left="720"/>
    </w:pPr>
    <w:rPr>
      <w:rFonts w:ascii="Calibri" w:hAnsi="Calibri" w:cs="Calibri"/>
      <w:sz w:val="22"/>
      <w:szCs w:val="22"/>
    </w:rPr>
  </w:style>
  <w:style w:type="character" w:customStyle="1" w:styleId="al1">
    <w:name w:val="al1"/>
    <w:rsid w:val="00BD2D41"/>
    <w:rPr>
      <w:b/>
      <w:bCs/>
      <w:color w:val="008F00"/>
    </w:rPr>
  </w:style>
  <w:style w:type="paragraph" w:customStyle="1" w:styleId="Style8">
    <w:name w:val="Style8"/>
    <w:basedOn w:val="Normal"/>
    <w:rsid w:val="00BD2D41"/>
    <w:pPr>
      <w:widowControl w:val="0"/>
      <w:autoSpaceDE w:val="0"/>
      <w:autoSpaceDN w:val="0"/>
      <w:adjustRightInd w:val="0"/>
      <w:spacing w:line="274" w:lineRule="exact"/>
      <w:jc w:val="center"/>
    </w:pPr>
    <w:rPr>
      <w:lang w:eastAsia="ro-RO"/>
    </w:rPr>
  </w:style>
  <w:style w:type="character" w:customStyle="1" w:styleId="FontStyle55">
    <w:name w:val="Font Style55"/>
    <w:rsid w:val="00BD2D41"/>
    <w:rPr>
      <w:rFonts w:ascii="Times New Roman" w:hAnsi="Times New Roman" w:cs="Times New Roman" w:hint="default"/>
      <w:b/>
      <w:bCs/>
      <w:sz w:val="20"/>
      <w:szCs w:val="20"/>
    </w:rPr>
  </w:style>
  <w:style w:type="paragraph" w:customStyle="1" w:styleId="Listparagraf3">
    <w:name w:val="Listă paragraf3"/>
    <w:basedOn w:val="Normal"/>
    <w:qFormat/>
    <w:rsid w:val="00BD2D41"/>
    <w:pPr>
      <w:spacing w:after="200" w:line="276" w:lineRule="auto"/>
      <w:ind w:left="720"/>
      <w:contextualSpacing/>
    </w:pPr>
    <w:rPr>
      <w:rFonts w:ascii="Calibri" w:eastAsia="Calibri" w:hAnsi="Calibri"/>
      <w:sz w:val="22"/>
      <w:szCs w:val="22"/>
    </w:rPr>
  </w:style>
  <w:style w:type="character" w:customStyle="1" w:styleId="do">
    <w:name w:val="do"/>
    <w:rsid w:val="00BD2D41"/>
  </w:style>
  <w:style w:type="character" w:customStyle="1" w:styleId="rvts16">
    <w:name w:val="rvts16"/>
    <w:rsid w:val="00BD2D41"/>
  </w:style>
  <w:style w:type="paragraph" w:customStyle="1" w:styleId="NormalBulletSquare">
    <w:name w:val="Normal Bullet Square"/>
    <w:basedOn w:val="Normal"/>
    <w:uiPriority w:val="99"/>
    <w:rsid w:val="00BD2D41"/>
    <w:pPr>
      <w:numPr>
        <w:numId w:val="12"/>
      </w:numPr>
      <w:spacing w:after="120"/>
      <w:jc w:val="both"/>
    </w:pPr>
    <w:rPr>
      <w:rFonts w:ascii="Calibri" w:eastAsia="Calibri" w:hAnsi="Calibri" w:cs="Calibri"/>
      <w:color w:val="253959"/>
      <w:sz w:val="22"/>
      <w:szCs w:val="22"/>
    </w:rPr>
  </w:style>
  <w:style w:type="character" w:customStyle="1" w:styleId="rvts13">
    <w:name w:val="rvts13"/>
    <w:rsid w:val="00BD2D41"/>
  </w:style>
  <w:style w:type="paragraph" w:customStyle="1" w:styleId="yiv1944280112msonormal">
    <w:name w:val="yiv1944280112msonormal"/>
    <w:basedOn w:val="Normal"/>
    <w:rsid w:val="00BD2D41"/>
    <w:pPr>
      <w:spacing w:before="100" w:beforeAutospacing="1" w:after="100" w:afterAutospacing="1"/>
    </w:pPr>
  </w:style>
  <w:style w:type="paragraph" w:customStyle="1" w:styleId="Frspaiere6">
    <w:name w:val="Fără spațiere6"/>
    <w:uiPriority w:val="1"/>
    <w:qFormat/>
    <w:rsid w:val="00BD2D41"/>
    <w:rPr>
      <w:sz w:val="28"/>
      <w:szCs w:val="24"/>
      <w:lang w:eastAsia="en-US"/>
    </w:rPr>
  </w:style>
  <w:style w:type="character" w:customStyle="1" w:styleId="ca1">
    <w:name w:val="ca1"/>
    <w:rsid w:val="00BD2D41"/>
    <w:rPr>
      <w:b/>
      <w:bCs/>
      <w:color w:val="005F00"/>
      <w:sz w:val="24"/>
      <w:szCs w:val="24"/>
    </w:rPr>
  </w:style>
  <w:style w:type="character" w:customStyle="1" w:styleId="CaracterCaracter1Char">
    <w:name w:val="Caracter Caracter1 Char"/>
    <w:rsid w:val="00BD2D41"/>
    <w:rPr>
      <w:sz w:val="24"/>
      <w:szCs w:val="24"/>
      <w:lang w:val="en-US" w:eastAsia="pl-PL" w:bidi="ar-SA"/>
    </w:rPr>
  </w:style>
  <w:style w:type="paragraph" w:customStyle="1" w:styleId="Listparagraf4">
    <w:name w:val="Listă paragraf4"/>
    <w:basedOn w:val="Normal"/>
    <w:uiPriority w:val="99"/>
    <w:qFormat/>
    <w:rsid w:val="00BD2D41"/>
    <w:pPr>
      <w:spacing w:after="200" w:line="276" w:lineRule="auto"/>
      <w:ind w:left="720"/>
      <w:contextualSpacing/>
    </w:pPr>
    <w:rPr>
      <w:rFonts w:ascii="Calibri" w:eastAsia="Calibri" w:hAnsi="Calibri"/>
      <w:sz w:val="22"/>
      <w:szCs w:val="22"/>
    </w:rPr>
  </w:style>
  <w:style w:type="character" w:customStyle="1" w:styleId="rvts10">
    <w:name w:val="rvts10"/>
    <w:rsid w:val="00BD2D41"/>
  </w:style>
  <w:style w:type="paragraph" w:customStyle="1" w:styleId="CaracterCaracter1CharCharCaracterCharCharCaracterCharCharCaracter">
    <w:name w:val="Caracter Caracter1 Char Char Caracter Char Char Caracter Char Char Caracter"/>
    <w:basedOn w:val="Normal"/>
    <w:rsid w:val="00BD2D41"/>
    <w:rPr>
      <w:lang w:eastAsia="pl-PL"/>
    </w:rPr>
  </w:style>
  <w:style w:type="paragraph" w:customStyle="1" w:styleId="MediumGrid21">
    <w:name w:val="Medium Grid 21"/>
    <w:uiPriority w:val="1"/>
    <w:qFormat/>
    <w:rsid w:val="00BD2D41"/>
    <w:rPr>
      <w:rFonts w:ascii="Trebuchet MS" w:eastAsia="MS Mincho" w:hAnsi="Trebuchet MS"/>
      <w:sz w:val="18"/>
      <w:szCs w:val="18"/>
      <w:lang w:eastAsia="en-US"/>
    </w:rPr>
  </w:style>
  <w:style w:type="character" w:customStyle="1" w:styleId="CommentTextChar">
    <w:name w:val="Comment Text Char"/>
    <w:link w:val="CommentText"/>
    <w:rsid w:val="00BD2D41"/>
    <w:rPr>
      <w:lang w:val="en-US" w:eastAsia="en-US"/>
    </w:rPr>
  </w:style>
  <w:style w:type="character" w:customStyle="1" w:styleId="CommentSubjectChar">
    <w:name w:val="Comment Subject Char"/>
    <w:link w:val="CommentSubject"/>
    <w:rsid w:val="00BD2D41"/>
    <w:rPr>
      <w:b/>
      <w:bCs/>
      <w:lang w:val="en-US" w:eastAsia="en-US"/>
    </w:rPr>
  </w:style>
  <w:style w:type="paragraph" w:customStyle="1" w:styleId="Titreobjet">
    <w:name w:val="Titre objet"/>
    <w:basedOn w:val="Normal"/>
    <w:next w:val="Normal"/>
    <w:rsid w:val="00BD2D41"/>
    <w:pPr>
      <w:spacing w:before="360" w:after="360"/>
      <w:jc w:val="center"/>
    </w:pPr>
    <w:rPr>
      <w:b/>
      <w:szCs w:val="20"/>
      <w:lang w:eastAsia="ro-RO"/>
    </w:rPr>
  </w:style>
  <w:style w:type="character" w:customStyle="1" w:styleId="CaracterCaracter5">
    <w:name w:val="Caracter Caracter5"/>
    <w:rsid w:val="00BD2D41"/>
    <w:rPr>
      <w:rFonts w:ascii="Arial" w:eastAsia="Times New Roman" w:hAnsi="Arial" w:cs="Times New Roman" w:hint="default"/>
      <w:b/>
      <w:bCs w:val="0"/>
      <w:sz w:val="28"/>
      <w:szCs w:val="20"/>
      <w:lang w:eastAsia="ro-RO"/>
    </w:rPr>
  </w:style>
  <w:style w:type="paragraph" w:customStyle="1" w:styleId="Frspaiere7">
    <w:name w:val="Fără spațiere7"/>
    <w:basedOn w:val="Normal"/>
    <w:qFormat/>
    <w:rsid w:val="00BD2D41"/>
    <w:rPr>
      <w:sz w:val="20"/>
      <w:szCs w:val="20"/>
      <w:lang w:bidi="en-US"/>
    </w:rPr>
  </w:style>
  <w:style w:type="paragraph" w:customStyle="1" w:styleId="NormalCentered">
    <w:name w:val="Normal Centered"/>
    <w:basedOn w:val="Normal"/>
    <w:rsid w:val="00BD2D41"/>
    <w:pPr>
      <w:spacing w:before="120" w:after="120"/>
      <w:jc w:val="center"/>
    </w:pPr>
    <w:rPr>
      <w:szCs w:val="20"/>
    </w:rPr>
  </w:style>
  <w:style w:type="paragraph" w:customStyle="1" w:styleId="Subtitlu3">
    <w:name w:val="Subtitlu3"/>
    <w:basedOn w:val="Normal"/>
    <w:link w:val="SubtitluChar1"/>
    <w:rsid w:val="00BD2D41"/>
    <w:pPr>
      <w:spacing w:before="120" w:after="200"/>
      <w:jc w:val="both"/>
    </w:pPr>
    <w:rPr>
      <w:rFonts w:ascii="Arial" w:eastAsia="Calibri" w:hAnsi="Arial" w:cs="Arial"/>
      <w:b/>
      <w:i/>
      <w:color w:val="006600"/>
    </w:rPr>
  </w:style>
  <w:style w:type="character" w:customStyle="1" w:styleId="SubtitluChar1">
    <w:name w:val="Subtitlu Char1"/>
    <w:link w:val="Subtitlu3"/>
    <w:rsid w:val="00BD2D41"/>
    <w:rPr>
      <w:rFonts w:ascii="Arial" w:eastAsia="Calibri" w:hAnsi="Arial" w:cs="Arial"/>
      <w:b/>
      <w:i/>
      <w:color w:val="006600"/>
      <w:sz w:val="24"/>
      <w:szCs w:val="24"/>
      <w:lang w:eastAsia="en-US"/>
    </w:rPr>
  </w:style>
  <w:style w:type="paragraph" w:customStyle="1" w:styleId="doc-ti">
    <w:name w:val="doc-ti"/>
    <w:basedOn w:val="Normal"/>
    <w:rsid w:val="00BD2D41"/>
    <w:pPr>
      <w:spacing w:before="100" w:beforeAutospacing="1" w:after="100" w:afterAutospacing="1"/>
    </w:pPr>
  </w:style>
  <w:style w:type="character" w:styleId="HTMLTypewriter">
    <w:name w:val="HTML Typewriter"/>
    <w:basedOn w:val="DefaultParagraphFont"/>
    <w:uiPriority w:val="99"/>
    <w:unhideWhenUsed/>
    <w:rsid w:val="00FD5064"/>
    <w:rPr>
      <w:rFonts w:ascii="Courier New" w:eastAsia="Calibri" w:hAnsi="Courier New" w:cs="Courier New" w:hint="default"/>
      <w:sz w:val="20"/>
      <w:szCs w:val="20"/>
    </w:rPr>
  </w:style>
  <w:style w:type="character" w:customStyle="1" w:styleId="tal">
    <w:name w:val="tal"/>
    <w:rsid w:val="00FD5064"/>
  </w:style>
  <w:style w:type="paragraph" w:customStyle="1" w:styleId="BVIfnrChar3">
    <w:name w:val="BVI fnr Char3"/>
    <w:aliases w:val=" BVI fnr Char3,Footnote Reference Number Char2,Odwołanie przypisu Char2,Footnote Reference_LVL6 Char2,Footnote Reference_LVL61 Char2,Footnote Reference_LVL62 Char2,Footnote Reference_LVL63 Char2,fr Char1,BVI fnr Char3 Ch"/>
    <w:basedOn w:val="Normal"/>
    <w:next w:val="Normal"/>
    <w:rsid w:val="00FD5064"/>
    <w:pPr>
      <w:spacing w:after="160" w:line="240" w:lineRule="exact"/>
    </w:pPr>
    <w:rPr>
      <w:rFonts w:ascii="Calibri" w:eastAsia="Calibri" w:hAnsi="Calibri"/>
      <w:sz w:val="20"/>
      <w:szCs w:val="20"/>
      <w:vertAlign w:val="superscript"/>
      <w:lang w:eastAsia="en-GB"/>
    </w:rPr>
  </w:style>
  <w:style w:type="numbering" w:customStyle="1" w:styleId="NoList2">
    <w:name w:val="No List2"/>
    <w:next w:val="NoList"/>
    <w:uiPriority w:val="99"/>
    <w:semiHidden/>
    <w:unhideWhenUsed/>
    <w:rsid w:val="00CC6C94"/>
  </w:style>
  <w:style w:type="table" w:customStyle="1" w:styleId="TableGrid6">
    <w:name w:val="Table Grid6"/>
    <w:basedOn w:val="TableNormal"/>
    <w:next w:val="TableGrid"/>
    <w:uiPriority w:val="59"/>
    <w:rsid w:val="00CC6C9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dnoteTextChar">
    <w:name w:val="Endnote Text Char"/>
    <w:basedOn w:val="DefaultParagraphFont"/>
    <w:link w:val="EndnoteText"/>
    <w:rsid w:val="00CC6C94"/>
    <w:rPr>
      <w:lang w:val="en-US" w:eastAsia="en-US"/>
    </w:rPr>
  </w:style>
  <w:style w:type="paragraph" w:customStyle="1" w:styleId="Caracter2CharCharCaracterCharCharCaracterCharCharCaracterCharChar1">
    <w:name w:val="Caracter2 Char Char Caracter Char Char Caracter Char Char Caracter Char Char"/>
    <w:basedOn w:val="Normal"/>
    <w:rsid w:val="0030014C"/>
    <w:rPr>
      <w:lang w:eastAsia="pl-PL"/>
    </w:rPr>
  </w:style>
  <w:style w:type="paragraph" w:customStyle="1" w:styleId="Caracter2CharCharCaracterCharCharCaracterCharCharCaracterCharChar2">
    <w:name w:val="Caracter2 Char Char Caracter Char Char Caracter Char Char Caracter Char Char"/>
    <w:basedOn w:val="Normal"/>
    <w:rsid w:val="00D03B49"/>
    <w:rPr>
      <w:lang w:eastAsia="pl-PL"/>
    </w:rPr>
  </w:style>
  <w:style w:type="paragraph" w:customStyle="1" w:styleId="defaulttext0">
    <w:name w:val="default text"/>
    <w:basedOn w:val="Normal"/>
    <w:rsid w:val="0002401E"/>
    <w:rPr>
      <w:rFonts w:ascii="Arial" w:hAnsi="Arial" w:cs="Arial"/>
      <w:kern w:val="1"/>
      <w:lang w:eastAsia="zh-CN"/>
    </w:rPr>
  </w:style>
  <w:style w:type="paragraph" w:customStyle="1" w:styleId="Caracter2CharCharCaracterCharCharCaracterCharCharCaracterCharChar3">
    <w:name w:val="Caracter2 Char Char Caracter Char Char Caracter Char Char Caracter Char Char"/>
    <w:basedOn w:val="Normal"/>
    <w:rsid w:val="000553D3"/>
    <w:rPr>
      <w:lang w:eastAsia="pl-PL"/>
    </w:rPr>
  </w:style>
  <w:style w:type="paragraph" w:customStyle="1" w:styleId="Caracter2CharCharCaracterCharCharCaracterCharCharCaracterCharChar4">
    <w:name w:val="Caracter2 Char Char Caracter Char Char Caracter Char Char Caracter Char Char"/>
    <w:basedOn w:val="Normal"/>
    <w:rsid w:val="00991374"/>
    <w:rPr>
      <w:lang w:eastAsia="pl-PL"/>
    </w:rPr>
  </w:style>
  <w:style w:type="paragraph" w:customStyle="1" w:styleId="CaracterCharCharCaracterCharCharCaracterCharChar1CaracterCaracterCharCharCaracter">
    <w:name w:val="Caracter Char Char Caracter Char Char Caracter Char Char1 Caracter Caracter Char Char Caracter"/>
    <w:basedOn w:val="Normal"/>
    <w:rsid w:val="00DC78F8"/>
    <w:rPr>
      <w:lang w:eastAsia="pl-PL"/>
    </w:rPr>
  </w:style>
  <w:style w:type="paragraph" w:customStyle="1" w:styleId="CharCharCaracterCaracterCaracterCharCharChar1CharCharCharCharCharCharCharCharCharCharCharCharCharCharCharCaracterCaracterCaracterCaracterCharChar21">
    <w:name w:val="Char Char Caracter Caracter Caracter Char Char Char1 Char Char Char Char Char Char Char Char Char Char Char Char Char Char Char Caracter Caracter Caracter Caracter Char Char2"/>
    <w:basedOn w:val="Normal"/>
    <w:rsid w:val="00DC78F8"/>
    <w:rPr>
      <w:lang w:eastAsia="pl-PL"/>
    </w:rPr>
  </w:style>
  <w:style w:type="paragraph" w:customStyle="1" w:styleId="CaracterCharCharCaracterCharCharCaracterCharChar2">
    <w:name w:val="Caracter Char Char Caracter Char Char Caracter Char Char"/>
    <w:basedOn w:val="Normal"/>
    <w:rsid w:val="00DC78F8"/>
    <w:rPr>
      <w:lang w:eastAsia="pl-PL"/>
    </w:rPr>
  </w:style>
  <w:style w:type="paragraph" w:customStyle="1" w:styleId="CaracterCharCharCaracterCharCharCaracterCharCharCaracterCharCharCaracterCharCharCaracter1">
    <w:name w:val="Caracter Char Char Caracter Char Char Caracter Char Char Caracter Char Char Caracter Char Char Caracter"/>
    <w:basedOn w:val="Normal"/>
    <w:rsid w:val="00DC78F8"/>
    <w:rPr>
      <w:lang w:eastAsia="pl-PL"/>
    </w:rPr>
  </w:style>
  <w:style w:type="paragraph" w:customStyle="1" w:styleId="CaracterCharCharCaracterCharCharCaracterCharCharCaracterCharCharCaracterCharCharCaracterCharCharCaracterCaracterCaracterCaracter1">
    <w:name w:val="Caracter Char Char Caracter Char Char Caracter Char Char Caracter Char Char Caracter Char Char Caracter Char Char Caracter Caracter Caracter Caracter"/>
    <w:basedOn w:val="Normal"/>
    <w:rsid w:val="00DC78F8"/>
    <w:pPr>
      <w:spacing w:after="160" w:line="240" w:lineRule="exact"/>
    </w:pPr>
    <w:rPr>
      <w:rFonts w:ascii="Tahoma" w:hAnsi="Tahoma"/>
      <w:sz w:val="20"/>
      <w:szCs w:val="20"/>
    </w:rPr>
  </w:style>
  <w:style w:type="paragraph" w:customStyle="1" w:styleId="CaracterCaracter30">
    <w:name w:val="Caracter Caracter3"/>
    <w:basedOn w:val="Normal"/>
    <w:rsid w:val="00DC78F8"/>
    <w:pPr>
      <w:spacing w:after="160" w:line="240" w:lineRule="exact"/>
    </w:pPr>
    <w:rPr>
      <w:rFonts w:ascii="Tahoma" w:hAnsi="Tahoma"/>
      <w:sz w:val="20"/>
      <w:szCs w:val="20"/>
    </w:rPr>
  </w:style>
  <w:style w:type="paragraph" w:customStyle="1" w:styleId="CaracterCaracter31">
    <w:name w:val="Caracter Caracter3"/>
    <w:basedOn w:val="Normal"/>
    <w:rsid w:val="00DC78F8"/>
    <w:pPr>
      <w:spacing w:after="160" w:line="240" w:lineRule="exact"/>
    </w:pPr>
    <w:rPr>
      <w:rFonts w:ascii="Tahoma" w:hAnsi="Tahoma"/>
      <w:sz w:val="20"/>
      <w:szCs w:val="20"/>
    </w:rPr>
  </w:style>
  <w:style w:type="paragraph" w:customStyle="1" w:styleId="CaracterCharCharCaracterCharCharCaracterCharChar1CaracterCaracterCharCharCaracter0">
    <w:name w:val="Caracter Char Char Caracter Char Char Caracter Char Char1 Caracter Caracter Char Char Caracter"/>
    <w:basedOn w:val="Normal"/>
    <w:rsid w:val="00DC78F8"/>
    <w:rPr>
      <w:lang w:eastAsia="pl-PL"/>
    </w:rPr>
  </w:style>
  <w:style w:type="paragraph" w:customStyle="1" w:styleId="rvps1">
    <w:name w:val="rvps1"/>
    <w:basedOn w:val="Normal"/>
    <w:rsid w:val="00DC78F8"/>
    <w:pPr>
      <w:spacing w:before="100" w:beforeAutospacing="1" w:after="100" w:afterAutospacing="1"/>
    </w:pPr>
    <w:rPr>
      <w:lang w:eastAsia="ro-RO"/>
    </w:rPr>
  </w:style>
  <w:style w:type="character" w:customStyle="1" w:styleId="rvts1">
    <w:name w:val="rvts1"/>
    <w:rsid w:val="00DC78F8"/>
  </w:style>
  <w:style w:type="character" w:customStyle="1" w:styleId="rvts2">
    <w:name w:val="rvts2"/>
    <w:rsid w:val="00DC78F8"/>
  </w:style>
  <w:style w:type="character" w:customStyle="1" w:styleId="rvts4">
    <w:name w:val="rvts4"/>
    <w:rsid w:val="00DC78F8"/>
  </w:style>
  <w:style w:type="character" w:customStyle="1" w:styleId="rvts6">
    <w:name w:val="rvts6"/>
    <w:rsid w:val="00DC78F8"/>
  </w:style>
  <w:style w:type="character" w:customStyle="1" w:styleId="rvts7">
    <w:name w:val="rvts7"/>
    <w:rsid w:val="00DC78F8"/>
  </w:style>
  <w:style w:type="character" w:customStyle="1" w:styleId="rvts11">
    <w:name w:val="rvts11"/>
    <w:rsid w:val="00DC78F8"/>
  </w:style>
  <w:style w:type="character" w:customStyle="1" w:styleId="ln2tlinie">
    <w:name w:val="ln2tlinie"/>
    <w:rsid w:val="00DC78F8"/>
  </w:style>
  <w:style w:type="character" w:styleId="HTMLCite">
    <w:name w:val="HTML Cite"/>
    <w:uiPriority w:val="99"/>
    <w:unhideWhenUsed/>
    <w:rsid w:val="00DC78F8"/>
    <w:rPr>
      <w:i/>
      <w:iCs/>
    </w:rPr>
  </w:style>
  <w:style w:type="character" w:customStyle="1" w:styleId="SubtleEmphasis1">
    <w:name w:val="Subtle Emphasis1"/>
    <w:uiPriority w:val="19"/>
    <w:qFormat/>
    <w:rsid w:val="00DC78F8"/>
    <w:rPr>
      <w:color w:val="808080"/>
    </w:rPr>
  </w:style>
  <w:style w:type="character" w:customStyle="1" w:styleId="IntenseEmphasis1">
    <w:name w:val="Intense Emphasis1"/>
    <w:uiPriority w:val="21"/>
    <w:qFormat/>
    <w:rsid w:val="00DC78F8"/>
    <w:rPr>
      <w:b/>
      <w:bCs/>
      <w:i/>
      <w:iCs/>
      <w:color w:val="4F81BD"/>
    </w:rPr>
  </w:style>
  <w:style w:type="paragraph" w:customStyle="1" w:styleId="ColorfulGrid-Accent11">
    <w:name w:val="Colorful Grid - Accent 11"/>
    <w:basedOn w:val="Normal"/>
    <w:next w:val="Normal"/>
    <w:link w:val="ColorfulGrid-Accent1Char"/>
    <w:uiPriority w:val="29"/>
    <w:qFormat/>
    <w:rsid w:val="00DC78F8"/>
    <w:pPr>
      <w:spacing w:after="120" w:line="276" w:lineRule="auto"/>
      <w:ind w:left="1701"/>
      <w:jc w:val="both"/>
    </w:pPr>
    <w:rPr>
      <w:rFonts w:ascii="Trebuchet MS" w:eastAsia="MS Mincho" w:hAnsi="Trebuchet MS"/>
      <w:i/>
      <w:iCs/>
      <w:color w:val="000000"/>
      <w:sz w:val="22"/>
      <w:szCs w:val="22"/>
    </w:rPr>
  </w:style>
  <w:style w:type="character" w:customStyle="1" w:styleId="ColorfulGrid-Accent1Char">
    <w:name w:val="Colorful Grid - Accent 1 Char"/>
    <w:link w:val="ColorfulGrid-Accent11"/>
    <w:uiPriority w:val="29"/>
    <w:rsid w:val="00DC78F8"/>
    <w:rPr>
      <w:rFonts w:ascii="Trebuchet MS" w:eastAsia="MS Mincho" w:hAnsi="Trebuchet MS"/>
      <w:i/>
      <w:iCs/>
      <w:color w:val="000000"/>
      <w:sz w:val="22"/>
      <w:szCs w:val="22"/>
    </w:rPr>
  </w:style>
  <w:style w:type="character" w:customStyle="1" w:styleId="FontStyle12">
    <w:name w:val="Font Style12"/>
    <w:rsid w:val="00DC78F8"/>
    <w:rPr>
      <w:rFonts w:ascii="Arial" w:hAnsi="Arial" w:cs="Arial"/>
      <w:sz w:val="22"/>
      <w:szCs w:val="22"/>
    </w:rPr>
  </w:style>
  <w:style w:type="paragraph" w:styleId="TOCHeading">
    <w:name w:val="TOC Heading"/>
    <w:basedOn w:val="Heading1"/>
    <w:next w:val="Normal"/>
    <w:uiPriority w:val="39"/>
    <w:unhideWhenUsed/>
    <w:qFormat/>
    <w:rsid w:val="00DC78F8"/>
    <w:pPr>
      <w:keepLines/>
      <w:spacing w:after="0" w:line="259" w:lineRule="auto"/>
      <w:outlineLvl w:val="9"/>
    </w:pPr>
    <w:rPr>
      <w:rFonts w:ascii="Calibri Light" w:hAnsi="Calibri Light" w:cs="Times New Roman"/>
      <w:b w:val="0"/>
      <w:bCs w:val="0"/>
      <w:color w:val="2E74B5"/>
      <w:kern w:val="0"/>
    </w:rPr>
  </w:style>
  <w:style w:type="character" w:customStyle="1" w:styleId="BodyTextFirstIndentChar">
    <w:name w:val="Body Text First Indent Char"/>
    <w:link w:val="BodyTextFirstIndent"/>
    <w:rsid w:val="00B50260"/>
    <w:rPr>
      <w:sz w:val="24"/>
      <w:szCs w:val="24"/>
      <w:lang w:val="en-US" w:eastAsia="en-US"/>
    </w:rPr>
  </w:style>
  <w:style w:type="paragraph" w:customStyle="1" w:styleId="CaracterCaracter8">
    <w:name w:val="Caracter Caracter"/>
    <w:basedOn w:val="Normal"/>
    <w:rsid w:val="00C31FBF"/>
    <w:pPr>
      <w:suppressAutoHyphens/>
    </w:pPr>
    <w:rPr>
      <w:lang w:eastAsia="zh-CN"/>
    </w:rPr>
  </w:style>
  <w:style w:type="paragraph" w:customStyle="1" w:styleId="Caracter2CharCharCaracterCharCharCaracterCharCharCaracterCharCharCharChar">
    <w:name w:val="Caracter2 Char Char Caracter Char Char Caracter Char Char Caracter Char Char Char Char"/>
    <w:basedOn w:val="Normal"/>
    <w:rsid w:val="00773D9A"/>
    <w:rPr>
      <w:lang w:eastAsia="pl-PL"/>
    </w:rPr>
  </w:style>
  <w:style w:type="paragraph" w:customStyle="1" w:styleId="Caracter2CharCharCaracterCharCharCaracterCharCharCaracterCharChar5">
    <w:name w:val="Caracter2 Char Char Caracter Char Char Caracter Char Char Caracter Char Char"/>
    <w:basedOn w:val="Normal"/>
    <w:rsid w:val="008976FB"/>
    <w:rPr>
      <w:lang w:eastAsia="pl-PL"/>
    </w:rPr>
  </w:style>
  <w:style w:type="paragraph" w:customStyle="1" w:styleId="Caracter2CharCharCaracterCharCharCaracterCharCharCaracterCharChar6">
    <w:name w:val="Caracter2 Char Char Caracter Char Char Caracter Char Char Caracter Char Char"/>
    <w:basedOn w:val="Normal"/>
    <w:rsid w:val="00D425FA"/>
    <w:rPr>
      <w:lang w:eastAsia="pl-PL"/>
    </w:rPr>
  </w:style>
  <w:style w:type="paragraph" w:customStyle="1" w:styleId="Caracter2CharCharCaracterCharCharCaracterCharCharCaracterCharChar7">
    <w:name w:val="Caracter2 Char Char Caracter Char Char Caracter Char Char Caracter Char Char"/>
    <w:basedOn w:val="Normal"/>
    <w:rsid w:val="00AE29B6"/>
    <w:rPr>
      <w:lang w:eastAsia="pl-PL"/>
    </w:rPr>
  </w:style>
  <w:style w:type="paragraph" w:customStyle="1" w:styleId="Caracter2CharCharCaracterCharCharCaracterCharCharCaracterCharChar8">
    <w:name w:val="Caracter2 Char Char Caracter Char Char Caracter Char Char Caracter Char Char"/>
    <w:basedOn w:val="Normal"/>
    <w:rsid w:val="005941C8"/>
    <w:rPr>
      <w:lang w:eastAsia="pl-PL"/>
    </w:rPr>
  </w:style>
  <w:style w:type="paragraph" w:customStyle="1" w:styleId="Caracter2CharCharCaracterCharCharCaracterCharCharCaracterCharChar9">
    <w:name w:val="Caracter2 Char Char Caracter Char Char Caracter Char Char Caracter Char Char"/>
    <w:basedOn w:val="Normal"/>
    <w:rsid w:val="00641563"/>
    <w:rPr>
      <w:lang w:eastAsia="pl-PL"/>
    </w:rPr>
  </w:style>
  <w:style w:type="character" w:customStyle="1" w:styleId="HTMLAddressChar">
    <w:name w:val="HTML Address Char"/>
    <w:basedOn w:val="DefaultParagraphFont"/>
    <w:link w:val="HTMLAddress"/>
    <w:rsid w:val="00E440EC"/>
    <w:rPr>
      <w:i/>
      <w:iCs/>
      <w:sz w:val="24"/>
      <w:szCs w:val="24"/>
      <w:lang w:val="en-US" w:eastAsia="en-US"/>
    </w:rPr>
  </w:style>
  <w:style w:type="character" w:customStyle="1" w:styleId="BodyTextFirstIndent2Char">
    <w:name w:val="Body Text First Indent 2 Char"/>
    <w:basedOn w:val="BodyTextIndentChar"/>
    <w:link w:val="BodyTextFirstIndent2"/>
    <w:rsid w:val="00E440EC"/>
    <w:rPr>
      <w:sz w:val="24"/>
      <w:szCs w:val="24"/>
      <w:lang w:val="en-US" w:eastAsia="en-US"/>
    </w:rPr>
  </w:style>
  <w:style w:type="character" w:customStyle="1" w:styleId="z-BottomofFormChar">
    <w:name w:val="z-Bottom of Form Char"/>
    <w:basedOn w:val="DefaultParagraphFont"/>
    <w:link w:val="z-BottomofForm"/>
    <w:rsid w:val="00E440EC"/>
    <w:rPr>
      <w:rFonts w:ascii="Arial" w:eastAsia="Arial" w:hAnsi="Arial" w:cs="Courier New"/>
      <w:vanish/>
      <w:sz w:val="16"/>
      <w:szCs w:val="24"/>
      <w:lang w:eastAsia="zh-CN" w:bidi="hi-IN"/>
    </w:rPr>
  </w:style>
  <w:style w:type="character" w:customStyle="1" w:styleId="z-TopofFormChar">
    <w:name w:val="z-Top of Form Char"/>
    <w:basedOn w:val="DefaultParagraphFont"/>
    <w:link w:val="z-TopofForm"/>
    <w:rsid w:val="00E440EC"/>
    <w:rPr>
      <w:rFonts w:ascii="Arial" w:eastAsia="Arial" w:hAnsi="Arial" w:cs="Courier New"/>
      <w:vanish/>
      <w:sz w:val="16"/>
      <w:szCs w:val="24"/>
      <w:lang w:eastAsia="zh-CN" w:bidi="hi-IN"/>
    </w:rPr>
  </w:style>
  <w:style w:type="table" w:customStyle="1" w:styleId="Tabelgril1">
    <w:name w:val="Tabel grilă1"/>
    <w:basedOn w:val="TableNormal"/>
    <w:next w:val="TableGrid"/>
    <w:uiPriority w:val="39"/>
    <w:rsid w:val="00E440EC"/>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BD4A3E"/>
  </w:style>
  <w:style w:type="numbering" w:customStyle="1" w:styleId="NoList11">
    <w:name w:val="No List11"/>
    <w:next w:val="NoList"/>
    <w:uiPriority w:val="99"/>
    <w:semiHidden/>
    <w:unhideWhenUsed/>
    <w:rsid w:val="00BD4A3E"/>
  </w:style>
  <w:style w:type="table" w:customStyle="1" w:styleId="TableGrid7">
    <w:name w:val="Table Grid7"/>
    <w:basedOn w:val="TableNormal"/>
    <w:next w:val="TableGrid"/>
    <w:uiPriority w:val="39"/>
    <w:rsid w:val="00BD4A3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imple12">
    <w:name w:val="Table Simple 12"/>
    <w:basedOn w:val="TableNormal"/>
    <w:next w:val="TableSimple1"/>
    <w:rsid w:val="00BD4A3E"/>
    <w:rPr>
      <w:lang w:eastAsia="en-US"/>
    </w:rPr>
    <w:tblPr>
      <w:tblInd w:w="0" w:type="dxa"/>
      <w:tblBorders>
        <w:top w:val="single" w:sz="12" w:space="0" w:color="333399"/>
        <w:bottom w:val="single" w:sz="12" w:space="0" w:color="333399"/>
      </w:tblBorders>
      <w:tblCellMar>
        <w:top w:w="0" w:type="dxa"/>
        <w:left w:w="108" w:type="dxa"/>
        <w:bottom w:w="0" w:type="dxa"/>
        <w:right w:w="108" w:type="dxa"/>
      </w:tblCellMar>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
    <w:name w:val="Table Simple 111"/>
    <w:basedOn w:val="TableNormal"/>
    <w:next w:val="TableSimple1"/>
    <w:rsid w:val="00BD4A3E"/>
    <w:tblPr>
      <w:tblInd w:w="0" w:type="dxa"/>
      <w:tblBorders>
        <w:top w:val="single" w:sz="12" w:space="0" w:color="333399"/>
        <w:bottom w:val="single" w:sz="12" w:space="0" w:color="333399"/>
      </w:tblBorders>
      <w:tblCellMar>
        <w:top w:w="0" w:type="dxa"/>
        <w:left w:w="108" w:type="dxa"/>
        <w:bottom w:w="0" w:type="dxa"/>
        <w:right w:w="108" w:type="dxa"/>
      </w:tblCellMar>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
    <w:name w:val="Table Grid11"/>
    <w:basedOn w:val="TableNormal"/>
    <w:next w:val="TableGrid"/>
    <w:rsid w:val="00BD4A3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2-Accent52">
    <w:name w:val="Medium Shading 2 - Accent 52"/>
    <w:basedOn w:val="TableNormal"/>
    <w:next w:val="MediumShading2-Accent5"/>
    <w:rsid w:val="00BD4A3E"/>
    <w:rPr>
      <w:rFonts w:ascii="Calibri" w:hAnsi="Calibri"/>
      <w:sz w:val="22"/>
      <w:szCs w:val="22"/>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
    <w:name w:val="No List111"/>
    <w:next w:val="NoList"/>
    <w:uiPriority w:val="99"/>
    <w:semiHidden/>
    <w:unhideWhenUsed/>
    <w:rsid w:val="00BD4A3E"/>
  </w:style>
  <w:style w:type="table" w:customStyle="1" w:styleId="TableGrid21">
    <w:name w:val="Table Grid21"/>
    <w:basedOn w:val="TableNormal"/>
    <w:next w:val="TableGrid"/>
    <w:uiPriority w:val="59"/>
    <w:rsid w:val="00BD4A3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BD4A3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locked/>
    <w:rsid w:val="00BD4A3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BD4A3E"/>
    <w:rPr>
      <w:rFonts w:ascii="Liberation Serif" w:eastAsia="SimSun" w:hAnsi="Liberation Serif" w:cs="Mangal"/>
      <w:sz w:val="24"/>
      <w:szCs w:val="24"/>
      <w:lang w:eastAsia="zh-CN" w:bidi="hi-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ediumShading2-Accent511">
    <w:name w:val="Medium Shading 2 - Accent 511"/>
    <w:basedOn w:val="TableNormal"/>
    <w:next w:val="MediumShading2-Accent5"/>
    <w:rsid w:val="00BD4A3E"/>
    <w:rPr>
      <w:rFonts w:ascii="Calibri" w:hAnsi="Calibri"/>
      <w:sz w:val="22"/>
      <w:szCs w:val="22"/>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
    <w:name w:val="No List21"/>
    <w:next w:val="NoList"/>
    <w:uiPriority w:val="99"/>
    <w:semiHidden/>
    <w:unhideWhenUsed/>
    <w:rsid w:val="00BD4A3E"/>
  </w:style>
  <w:style w:type="table" w:customStyle="1" w:styleId="TableGrid61">
    <w:name w:val="Table Grid61"/>
    <w:basedOn w:val="TableNormal"/>
    <w:next w:val="TableGrid"/>
    <w:uiPriority w:val="59"/>
    <w:rsid w:val="00BD4A3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gril11">
    <w:name w:val="Tabel grilă11"/>
    <w:basedOn w:val="TableNormal"/>
    <w:next w:val="TableGrid"/>
    <w:uiPriority w:val="39"/>
    <w:rsid w:val="00BD4A3E"/>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panchor">
    <w:name w:val="panchor"/>
    <w:basedOn w:val="DefaultParagraphFont"/>
    <w:rsid w:val="00BD4A3E"/>
  </w:style>
  <w:style w:type="table" w:customStyle="1" w:styleId="Tabelgril12">
    <w:name w:val="Tabel grilă12"/>
    <w:basedOn w:val="TableNormal"/>
    <w:next w:val="TableGrid"/>
    <w:uiPriority w:val="39"/>
    <w:rsid w:val="00BD4A3E"/>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36525D"/>
    <w:rPr>
      <w:rFonts w:ascii="Liberation Serif" w:eastAsia="SimSun" w:hAnsi="Liberation Serif" w:cs="Mangal"/>
      <w:sz w:val="24"/>
      <w:szCs w:val="24"/>
      <w:lang w:eastAsia="zh-CN"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gril13">
    <w:name w:val="Tabel grilă13"/>
    <w:basedOn w:val="TableNormal"/>
    <w:next w:val="TableGrid"/>
    <w:uiPriority w:val="39"/>
    <w:rsid w:val="00311D99"/>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racter2CharCharCaracterCharCharCaracterCharCharCaracterCharChara">
    <w:name w:val="Caracter2 Char Char Caracter Char Char Caracter Char Char Caracter Char Char"/>
    <w:basedOn w:val="Normal"/>
    <w:rsid w:val="00864DF0"/>
    <w:rPr>
      <w:lang w:eastAsia="pl-PL"/>
    </w:rPr>
  </w:style>
  <w:style w:type="paragraph" w:customStyle="1" w:styleId="Caracter2CharCharCaracterCharCharCaracterCharCharCaracterCharCharb">
    <w:name w:val="Caracter2 Char Char Caracter Char Char Caracter Char Char Caracter Char Char"/>
    <w:basedOn w:val="Normal"/>
    <w:rsid w:val="002C487B"/>
    <w:rPr>
      <w:lang w:eastAsia="pl-PL"/>
    </w:rPr>
  </w:style>
  <w:style w:type="paragraph" w:customStyle="1" w:styleId="Caracter2CharCharCaracterCharCharCaracterCharCharCaracterCharCharc">
    <w:name w:val="Caracter2 Char Char Caracter Char Char Caracter Char Char Caracter Char Char"/>
    <w:basedOn w:val="Normal"/>
    <w:rsid w:val="00A325AD"/>
    <w:rPr>
      <w:lang w:eastAsia="pl-PL"/>
    </w:rPr>
  </w:style>
  <w:style w:type="paragraph" w:customStyle="1" w:styleId="TableParagraph">
    <w:name w:val="Table Paragraph"/>
    <w:basedOn w:val="Normal"/>
    <w:uiPriority w:val="1"/>
    <w:qFormat/>
    <w:rsid w:val="00256F44"/>
    <w:pPr>
      <w:widowControl w:val="0"/>
    </w:pPr>
    <w:rPr>
      <w:rFonts w:asciiTheme="minorHAnsi" w:eastAsiaTheme="minorHAnsi" w:hAnsiTheme="minorHAnsi" w:cstheme="minorBidi"/>
      <w:sz w:val="22"/>
      <w:szCs w:val="22"/>
    </w:rPr>
  </w:style>
  <w:style w:type="paragraph" w:customStyle="1" w:styleId="Caracter2CharCharCaracterCharCharCaracterCharCharCaracterCharChard">
    <w:name w:val="Caracter2 Char Char Caracter Char Char Caracter Char Char Caracter Char Char"/>
    <w:basedOn w:val="Normal"/>
    <w:rsid w:val="00D92F70"/>
    <w:rPr>
      <w:lang w:eastAsia="pl-PL"/>
    </w:rPr>
  </w:style>
  <w:style w:type="paragraph" w:customStyle="1" w:styleId="Caracter2CharCharCaracterCharCharCaracterCharCharCaracterCharChare">
    <w:name w:val="Caracter2 Char Char Caracter Char Char Caracter Char Char Caracter Char Char"/>
    <w:basedOn w:val="Normal"/>
    <w:rsid w:val="00740421"/>
    <w:rPr>
      <w:lang w:eastAsia="pl-PL"/>
    </w:rPr>
  </w:style>
  <w:style w:type="table" w:styleId="LightList">
    <w:name w:val="Light List"/>
    <w:basedOn w:val="TableNormal"/>
    <w:uiPriority w:val="61"/>
    <w:rsid w:val="00087A6C"/>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1">
    <w:name w:val="Light List1"/>
    <w:basedOn w:val="TableNormal"/>
    <w:next w:val="LightList"/>
    <w:uiPriority w:val="61"/>
    <w:rsid w:val="00B90F89"/>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967386">
      <w:bodyDiv w:val="1"/>
      <w:marLeft w:val="0"/>
      <w:marRight w:val="0"/>
      <w:marTop w:val="0"/>
      <w:marBottom w:val="0"/>
      <w:divBdr>
        <w:top w:val="none" w:sz="0" w:space="0" w:color="auto"/>
        <w:left w:val="none" w:sz="0" w:space="0" w:color="auto"/>
        <w:bottom w:val="none" w:sz="0" w:space="0" w:color="auto"/>
        <w:right w:val="none" w:sz="0" w:space="0" w:color="auto"/>
      </w:divBdr>
    </w:div>
    <w:div w:id="39286906">
      <w:bodyDiv w:val="1"/>
      <w:marLeft w:val="0"/>
      <w:marRight w:val="0"/>
      <w:marTop w:val="0"/>
      <w:marBottom w:val="0"/>
      <w:divBdr>
        <w:top w:val="none" w:sz="0" w:space="0" w:color="auto"/>
        <w:left w:val="none" w:sz="0" w:space="0" w:color="auto"/>
        <w:bottom w:val="none" w:sz="0" w:space="0" w:color="auto"/>
        <w:right w:val="none" w:sz="0" w:space="0" w:color="auto"/>
      </w:divBdr>
    </w:div>
    <w:div w:id="57172011">
      <w:bodyDiv w:val="1"/>
      <w:marLeft w:val="0"/>
      <w:marRight w:val="0"/>
      <w:marTop w:val="0"/>
      <w:marBottom w:val="0"/>
      <w:divBdr>
        <w:top w:val="none" w:sz="0" w:space="0" w:color="auto"/>
        <w:left w:val="none" w:sz="0" w:space="0" w:color="auto"/>
        <w:bottom w:val="none" w:sz="0" w:space="0" w:color="auto"/>
        <w:right w:val="none" w:sz="0" w:space="0" w:color="auto"/>
      </w:divBdr>
    </w:div>
    <w:div w:id="72316689">
      <w:bodyDiv w:val="1"/>
      <w:marLeft w:val="0"/>
      <w:marRight w:val="0"/>
      <w:marTop w:val="0"/>
      <w:marBottom w:val="0"/>
      <w:divBdr>
        <w:top w:val="none" w:sz="0" w:space="0" w:color="auto"/>
        <w:left w:val="none" w:sz="0" w:space="0" w:color="auto"/>
        <w:bottom w:val="none" w:sz="0" w:space="0" w:color="auto"/>
        <w:right w:val="none" w:sz="0" w:space="0" w:color="auto"/>
      </w:divBdr>
    </w:div>
    <w:div w:id="114562718">
      <w:bodyDiv w:val="1"/>
      <w:marLeft w:val="0"/>
      <w:marRight w:val="0"/>
      <w:marTop w:val="0"/>
      <w:marBottom w:val="0"/>
      <w:divBdr>
        <w:top w:val="none" w:sz="0" w:space="0" w:color="auto"/>
        <w:left w:val="none" w:sz="0" w:space="0" w:color="auto"/>
        <w:bottom w:val="none" w:sz="0" w:space="0" w:color="auto"/>
        <w:right w:val="none" w:sz="0" w:space="0" w:color="auto"/>
      </w:divBdr>
    </w:div>
    <w:div w:id="179127344">
      <w:bodyDiv w:val="1"/>
      <w:marLeft w:val="0"/>
      <w:marRight w:val="0"/>
      <w:marTop w:val="0"/>
      <w:marBottom w:val="0"/>
      <w:divBdr>
        <w:top w:val="none" w:sz="0" w:space="0" w:color="auto"/>
        <w:left w:val="none" w:sz="0" w:space="0" w:color="auto"/>
        <w:bottom w:val="none" w:sz="0" w:space="0" w:color="auto"/>
        <w:right w:val="none" w:sz="0" w:space="0" w:color="auto"/>
      </w:divBdr>
    </w:div>
    <w:div w:id="190648462">
      <w:bodyDiv w:val="1"/>
      <w:marLeft w:val="0"/>
      <w:marRight w:val="0"/>
      <w:marTop w:val="0"/>
      <w:marBottom w:val="0"/>
      <w:divBdr>
        <w:top w:val="none" w:sz="0" w:space="0" w:color="auto"/>
        <w:left w:val="none" w:sz="0" w:space="0" w:color="auto"/>
        <w:bottom w:val="none" w:sz="0" w:space="0" w:color="auto"/>
        <w:right w:val="none" w:sz="0" w:space="0" w:color="auto"/>
      </w:divBdr>
      <w:divsChild>
        <w:div w:id="1296714601">
          <w:marLeft w:val="0"/>
          <w:marRight w:val="0"/>
          <w:marTop w:val="0"/>
          <w:marBottom w:val="0"/>
          <w:divBdr>
            <w:top w:val="none" w:sz="0" w:space="0" w:color="auto"/>
            <w:left w:val="none" w:sz="0" w:space="0" w:color="auto"/>
            <w:bottom w:val="none" w:sz="0" w:space="0" w:color="auto"/>
            <w:right w:val="none" w:sz="0" w:space="0" w:color="auto"/>
          </w:divBdr>
          <w:divsChild>
            <w:div w:id="1001856941">
              <w:marLeft w:val="0"/>
              <w:marRight w:val="0"/>
              <w:marTop w:val="0"/>
              <w:marBottom w:val="0"/>
              <w:divBdr>
                <w:top w:val="none" w:sz="0" w:space="0" w:color="auto"/>
                <w:left w:val="none" w:sz="0" w:space="0" w:color="auto"/>
                <w:bottom w:val="none" w:sz="0" w:space="0" w:color="auto"/>
                <w:right w:val="none" w:sz="0" w:space="0" w:color="auto"/>
              </w:divBdr>
              <w:divsChild>
                <w:div w:id="1127509305">
                  <w:marLeft w:val="0"/>
                  <w:marRight w:val="0"/>
                  <w:marTop w:val="0"/>
                  <w:marBottom w:val="0"/>
                  <w:divBdr>
                    <w:top w:val="none" w:sz="0" w:space="0" w:color="auto"/>
                    <w:left w:val="none" w:sz="0" w:space="0" w:color="auto"/>
                    <w:bottom w:val="none" w:sz="0" w:space="0" w:color="auto"/>
                    <w:right w:val="none" w:sz="0" w:space="0" w:color="auto"/>
                  </w:divBdr>
                  <w:divsChild>
                    <w:div w:id="1000735736">
                      <w:marLeft w:val="0"/>
                      <w:marRight w:val="0"/>
                      <w:marTop w:val="0"/>
                      <w:marBottom w:val="0"/>
                      <w:divBdr>
                        <w:top w:val="none" w:sz="0" w:space="0" w:color="auto"/>
                        <w:left w:val="none" w:sz="0" w:space="0" w:color="auto"/>
                        <w:bottom w:val="none" w:sz="0" w:space="0" w:color="auto"/>
                        <w:right w:val="none" w:sz="0" w:space="0" w:color="auto"/>
                      </w:divBdr>
                      <w:divsChild>
                        <w:div w:id="1880507708">
                          <w:marLeft w:val="0"/>
                          <w:marRight w:val="0"/>
                          <w:marTop w:val="0"/>
                          <w:marBottom w:val="0"/>
                          <w:divBdr>
                            <w:top w:val="none" w:sz="0" w:space="0" w:color="auto"/>
                            <w:left w:val="none" w:sz="0" w:space="0" w:color="auto"/>
                            <w:bottom w:val="none" w:sz="0" w:space="0" w:color="auto"/>
                            <w:right w:val="none" w:sz="0" w:space="0" w:color="auto"/>
                          </w:divBdr>
                          <w:divsChild>
                            <w:div w:id="517086420">
                              <w:marLeft w:val="0"/>
                              <w:marRight w:val="0"/>
                              <w:marTop w:val="0"/>
                              <w:marBottom w:val="0"/>
                              <w:divBdr>
                                <w:top w:val="none" w:sz="0" w:space="0" w:color="auto"/>
                                <w:left w:val="none" w:sz="0" w:space="0" w:color="auto"/>
                                <w:bottom w:val="none" w:sz="0" w:space="0" w:color="auto"/>
                                <w:right w:val="none" w:sz="0" w:space="0" w:color="auto"/>
                              </w:divBdr>
                              <w:divsChild>
                                <w:div w:id="13311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4167348">
      <w:bodyDiv w:val="1"/>
      <w:marLeft w:val="0"/>
      <w:marRight w:val="0"/>
      <w:marTop w:val="0"/>
      <w:marBottom w:val="0"/>
      <w:divBdr>
        <w:top w:val="none" w:sz="0" w:space="0" w:color="auto"/>
        <w:left w:val="none" w:sz="0" w:space="0" w:color="auto"/>
        <w:bottom w:val="none" w:sz="0" w:space="0" w:color="auto"/>
        <w:right w:val="none" w:sz="0" w:space="0" w:color="auto"/>
      </w:divBdr>
    </w:div>
    <w:div w:id="280846383">
      <w:bodyDiv w:val="1"/>
      <w:marLeft w:val="0"/>
      <w:marRight w:val="0"/>
      <w:marTop w:val="0"/>
      <w:marBottom w:val="0"/>
      <w:divBdr>
        <w:top w:val="none" w:sz="0" w:space="0" w:color="auto"/>
        <w:left w:val="none" w:sz="0" w:space="0" w:color="auto"/>
        <w:bottom w:val="none" w:sz="0" w:space="0" w:color="auto"/>
        <w:right w:val="none" w:sz="0" w:space="0" w:color="auto"/>
      </w:divBdr>
    </w:div>
    <w:div w:id="287201040">
      <w:bodyDiv w:val="1"/>
      <w:marLeft w:val="0"/>
      <w:marRight w:val="0"/>
      <w:marTop w:val="0"/>
      <w:marBottom w:val="0"/>
      <w:divBdr>
        <w:top w:val="none" w:sz="0" w:space="0" w:color="auto"/>
        <w:left w:val="none" w:sz="0" w:space="0" w:color="auto"/>
        <w:bottom w:val="none" w:sz="0" w:space="0" w:color="auto"/>
        <w:right w:val="none" w:sz="0" w:space="0" w:color="auto"/>
      </w:divBdr>
    </w:div>
    <w:div w:id="341664784">
      <w:bodyDiv w:val="1"/>
      <w:marLeft w:val="0"/>
      <w:marRight w:val="0"/>
      <w:marTop w:val="0"/>
      <w:marBottom w:val="0"/>
      <w:divBdr>
        <w:top w:val="none" w:sz="0" w:space="0" w:color="auto"/>
        <w:left w:val="none" w:sz="0" w:space="0" w:color="auto"/>
        <w:bottom w:val="none" w:sz="0" w:space="0" w:color="auto"/>
        <w:right w:val="none" w:sz="0" w:space="0" w:color="auto"/>
      </w:divBdr>
    </w:div>
    <w:div w:id="343243543">
      <w:bodyDiv w:val="1"/>
      <w:marLeft w:val="0"/>
      <w:marRight w:val="0"/>
      <w:marTop w:val="0"/>
      <w:marBottom w:val="0"/>
      <w:divBdr>
        <w:top w:val="none" w:sz="0" w:space="0" w:color="auto"/>
        <w:left w:val="none" w:sz="0" w:space="0" w:color="auto"/>
        <w:bottom w:val="none" w:sz="0" w:space="0" w:color="auto"/>
        <w:right w:val="none" w:sz="0" w:space="0" w:color="auto"/>
      </w:divBdr>
    </w:div>
    <w:div w:id="345719057">
      <w:bodyDiv w:val="1"/>
      <w:marLeft w:val="0"/>
      <w:marRight w:val="0"/>
      <w:marTop w:val="0"/>
      <w:marBottom w:val="0"/>
      <w:divBdr>
        <w:top w:val="none" w:sz="0" w:space="0" w:color="auto"/>
        <w:left w:val="none" w:sz="0" w:space="0" w:color="auto"/>
        <w:bottom w:val="none" w:sz="0" w:space="0" w:color="auto"/>
        <w:right w:val="none" w:sz="0" w:space="0" w:color="auto"/>
      </w:divBdr>
    </w:div>
    <w:div w:id="372004784">
      <w:bodyDiv w:val="1"/>
      <w:marLeft w:val="0"/>
      <w:marRight w:val="0"/>
      <w:marTop w:val="0"/>
      <w:marBottom w:val="0"/>
      <w:divBdr>
        <w:top w:val="none" w:sz="0" w:space="0" w:color="auto"/>
        <w:left w:val="none" w:sz="0" w:space="0" w:color="auto"/>
        <w:bottom w:val="none" w:sz="0" w:space="0" w:color="auto"/>
        <w:right w:val="none" w:sz="0" w:space="0" w:color="auto"/>
      </w:divBdr>
      <w:divsChild>
        <w:div w:id="1092702187">
          <w:marLeft w:val="0"/>
          <w:marRight w:val="0"/>
          <w:marTop w:val="0"/>
          <w:marBottom w:val="0"/>
          <w:divBdr>
            <w:top w:val="none" w:sz="0" w:space="0" w:color="auto"/>
            <w:left w:val="none" w:sz="0" w:space="0" w:color="auto"/>
            <w:bottom w:val="none" w:sz="0" w:space="0" w:color="auto"/>
            <w:right w:val="none" w:sz="0" w:space="0" w:color="auto"/>
          </w:divBdr>
        </w:div>
      </w:divsChild>
    </w:div>
    <w:div w:id="391580465">
      <w:bodyDiv w:val="1"/>
      <w:marLeft w:val="0"/>
      <w:marRight w:val="0"/>
      <w:marTop w:val="0"/>
      <w:marBottom w:val="0"/>
      <w:divBdr>
        <w:top w:val="none" w:sz="0" w:space="0" w:color="auto"/>
        <w:left w:val="none" w:sz="0" w:space="0" w:color="auto"/>
        <w:bottom w:val="none" w:sz="0" w:space="0" w:color="auto"/>
        <w:right w:val="none" w:sz="0" w:space="0" w:color="auto"/>
      </w:divBdr>
    </w:div>
    <w:div w:id="394351454">
      <w:bodyDiv w:val="1"/>
      <w:marLeft w:val="0"/>
      <w:marRight w:val="0"/>
      <w:marTop w:val="0"/>
      <w:marBottom w:val="0"/>
      <w:divBdr>
        <w:top w:val="none" w:sz="0" w:space="0" w:color="auto"/>
        <w:left w:val="none" w:sz="0" w:space="0" w:color="auto"/>
        <w:bottom w:val="none" w:sz="0" w:space="0" w:color="auto"/>
        <w:right w:val="none" w:sz="0" w:space="0" w:color="auto"/>
      </w:divBdr>
    </w:div>
    <w:div w:id="397627773">
      <w:bodyDiv w:val="1"/>
      <w:marLeft w:val="0"/>
      <w:marRight w:val="0"/>
      <w:marTop w:val="0"/>
      <w:marBottom w:val="0"/>
      <w:divBdr>
        <w:top w:val="none" w:sz="0" w:space="0" w:color="auto"/>
        <w:left w:val="none" w:sz="0" w:space="0" w:color="auto"/>
        <w:bottom w:val="none" w:sz="0" w:space="0" w:color="auto"/>
        <w:right w:val="none" w:sz="0" w:space="0" w:color="auto"/>
      </w:divBdr>
    </w:div>
    <w:div w:id="407967243">
      <w:bodyDiv w:val="1"/>
      <w:marLeft w:val="0"/>
      <w:marRight w:val="0"/>
      <w:marTop w:val="0"/>
      <w:marBottom w:val="0"/>
      <w:divBdr>
        <w:top w:val="none" w:sz="0" w:space="0" w:color="auto"/>
        <w:left w:val="none" w:sz="0" w:space="0" w:color="auto"/>
        <w:bottom w:val="none" w:sz="0" w:space="0" w:color="auto"/>
        <w:right w:val="none" w:sz="0" w:space="0" w:color="auto"/>
      </w:divBdr>
    </w:div>
    <w:div w:id="414403555">
      <w:bodyDiv w:val="1"/>
      <w:marLeft w:val="0"/>
      <w:marRight w:val="0"/>
      <w:marTop w:val="0"/>
      <w:marBottom w:val="0"/>
      <w:divBdr>
        <w:top w:val="none" w:sz="0" w:space="0" w:color="auto"/>
        <w:left w:val="none" w:sz="0" w:space="0" w:color="auto"/>
        <w:bottom w:val="none" w:sz="0" w:space="0" w:color="auto"/>
        <w:right w:val="none" w:sz="0" w:space="0" w:color="auto"/>
      </w:divBdr>
      <w:divsChild>
        <w:div w:id="1426732760">
          <w:marLeft w:val="0"/>
          <w:marRight w:val="0"/>
          <w:marTop w:val="0"/>
          <w:marBottom w:val="0"/>
          <w:divBdr>
            <w:top w:val="none" w:sz="0" w:space="0" w:color="auto"/>
            <w:left w:val="none" w:sz="0" w:space="0" w:color="auto"/>
            <w:bottom w:val="none" w:sz="0" w:space="0" w:color="auto"/>
            <w:right w:val="none" w:sz="0" w:space="0" w:color="auto"/>
          </w:divBdr>
          <w:divsChild>
            <w:div w:id="59717398">
              <w:marLeft w:val="0"/>
              <w:marRight w:val="0"/>
              <w:marTop w:val="0"/>
              <w:marBottom w:val="0"/>
              <w:divBdr>
                <w:top w:val="none" w:sz="0" w:space="0" w:color="auto"/>
                <w:left w:val="none" w:sz="0" w:space="0" w:color="auto"/>
                <w:bottom w:val="none" w:sz="0" w:space="0" w:color="auto"/>
                <w:right w:val="none" w:sz="0" w:space="0" w:color="auto"/>
              </w:divBdr>
            </w:div>
            <w:div w:id="154423838">
              <w:marLeft w:val="0"/>
              <w:marRight w:val="0"/>
              <w:marTop w:val="0"/>
              <w:marBottom w:val="0"/>
              <w:divBdr>
                <w:top w:val="none" w:sz="0" w:space="0" w:color="auto"/>
                <w:left w:val="none" w:sz="0" w:space="0" w:color="auto"/>
                <w:bottom w:val="none" w:sz="0" w:space="0" w:color="auto"/>
                <w:right w:val="none" w:sz="0" w:space="0" w:color="auto"/>
              </w:divBdr>
            </w:div>
            <w:div w:id="202057516">
              <w:marLeft w:val="0"/>
              <w:marRight w:val="0"/>
              <w:marTop w:val="0"/>
              <w:marBottom w:val="0"/>
              <w:divBdr>
                <w:top w:val="none" w:sz="0" w:space="0" w:color="auto"/>
                <w:left w:val="none" w:sz="0" w:space="0" w:color="auto"/>
                <w:bottom w:val="none" w:sz="0" w:space="0" w:color="auto"/>
                <w:right w:val="none" w:sz="0" w:space="0" w:color="auto"/>
              </w:divBdr>
            </w:div>
            <w:div w:id="1646273321">
              <w:marLeft w:val="0"/>
              <w:marRight w:val="0"/>
              <w:marTop w:val="0"/>
              <w:marBottom w:val="0"/>
              <w:divBdr>
                <w:top w:val="none" w:sz="0" w:space="0" w:color="auto"/>
                <w:left w:val="none" w:sz="0" w:space="0" w:color="auto"/>
                <w:bottom w:val="none" w:sz="0" w:space="0" w:color="auto"/>
                <w:right w:val="none" w:sz="0" w:space="0" w:color="auto"/>
              </w:divBdr>
            </w:div>
            <w:div w:id="1704792731">
              <w:marLeft w:val="0"/>
              <w:marRight w:val="0"/>
              <w:marTop w:val="0"/>
              <w:marBottom w:val="0"/>
              <w:divBdr>
                <w:top w:val="none" w:sz="0" w:space="0" w:color="auto"/>
                <w:left w:val="none" w:sz="0" w:space="0" w:color="auto"/>
                <w:bottom w:val="none" w:sz="0" w:space="0" w:color="auto"/>
                <w:right w:val="none" w:sz="0" w:space="0" w:color="auto"/>
              </w:divBdr>
            </w:div>
            <w:div w:id="1753970630">
              <w:marLeft w:val="0"/>
              <w:marRight w:val="0"/>
              <w:marTop w:val="0"/>
              <w:marBottom w:val="0"/>
              <w:divBdr>
                <w:top w:val="none" w:sz="0" w:space="0" w:color="auto"/>
                <w:left w:val="none" w:sz="0" w:space="0" w:color="auto"/>
                <w:bottom w:val="none" w:sz="0" w:space="0" w:color="auto"/>
                <w:right w:val="none" w:sz="0" w:space="0" w:color="auto"/>
              </w:divBdr>
            </w:div>
            <w:div w:id="1820145978">
              <w:marLeft w:val="0"/>
              <w:marRight w:val="0"/>
              <w:marTop w:val="0"/>
              <w:marBottom w:val="0"/>
              <w:divBdr>
                <w:top w:val="none" w:sz="0" w:space="0" w:color="auto"/>
                <w:left w:val="none" w:sz="0" w:space="0" w:color="auto"/>
                <w:bottom w:val="none" w:sz="0" w:space="0" w:color="auto"/>
                <w:right w:val="none" w:sz="0" w:space="0" w:color="auto"/>
              </w:divBdr>
            </w:div>
            <w:div w:id="1879203402">
              <w:marLeft w:val="0"/>
              <w:marRight w:val="0"/>
              <w:marTop w:val="0"/>
              <w:marBottom w:val="0"/>
              <w:divBdr>
                <w:top w:val="none" w:sz="0" w:space="0" w:color="auto"/>
                <w:left w:val="none" w:sz="0" w:space="0" w:color="auto"/>
                <w:bottom w:val="none" w:sz="0" w:space="0" w:color="auto"/>
                <w:right w:val="none" w:sz="0" w:space="0" w:color="auto"/>
              </w:divBdr>
            </w:div>
            <w:div w:id="196176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69459">
      <w:bodyDiv w:val="1"/>
      <w:marLeft w:val="0"/>
      <w:marRight w:val="0"/>
      <w:marTop w:val="0"/>
      <w:marBottom w:val="0"/>
      <w:divBdr>
        <w:top w:val="none" w:sz="0" w:space="0" w:color="auto"/>
        <w:left w:val="none" w:sz="0" w:space="0" w:color="auto"/>
        <w:bottom w:val="none" w:sz="0" w:space="0" w:color="auto"/>
        <w:right w:val="none" w:sz="0" w:space="0" w:color="auto"/>
      </w:divBdr>
    </w:div>
    <w:div w:id="448205343">
      <w:bodyDiv w:val="1"/>
      <w:marLeft w:val="0"/>
      <w:marRight w:val="0"/>
      <w:marTop w:val="0"/>
      <w:marBottom w:val="0"/>
      <w:divBdr>
        <w:top w:val="none" w:sz="0" w:space="0" w:color="auto"/>
        <w:left w:val="none" w:sz="0" w:space="0" w:color="auto"/>
        <w:bottom w:val="none" w:sz="0" w:space="0" w:color="auto"/>
        <w:right w:val="none" w:sz="0" w:space="0" w:color="auto"/>
      </w:divBdr>
    </w:div>
    <w:div w:id="494538567">
      <w:bodyDiv w:val="1"/>
      <w:marLeft w:val="0"/>
      <w:marRight w:val="0"/>
      <w:marTop w:val="0"/>
      <w:marBottom w:val="0"/>
      <w:divBdr>
        <w:top w:val="none" w:sz="0" w:space="0" w:color="auto"/>
        <w:left w:val="none" w:sz="0" w:space="0" w:color="auto"/>
        <w:bottom w:val="none" w:sz="0" w:space="0" w:color="auto"/>
        <w:right w:val="none" w:sz="0" w:space="0" w:color="auto"/>
      </w:divBdr>
    </w:div>
    <w:div w:id="501241633">
      <w:bodyDiv w:val="1"/>
      <w:marLeft w:val="0"/>
      <w:marRight w:val="0"/>
      <w:marTop w:val="0"/>
      <w:marBottom w:val="0"/>
      <w:divBdr>
        <w:top w:val="none" w:sz="0" w:space="0" w:color="auto"/>
        <w:left w:val="none" w:sz="0" w:space="0" w:color="auto"/>
        <w:bottom w:val="none" w:sz="0" w:space="0" w:color="auto"/>
        <w:right w:val="none" w:sz="0" w:space="0" w:color="auto"/>
      </w:divBdr>
    </w:div>
    <w:div w:id="594825002">
      <w:bodyDiv w:val="1"/>
      <w:marLeft w:val="0"/>
      <w:marRight w:val="0"/>
      <w:marTop w:val="0"/>
      <w:marBottom w:val="0"/>
      <w:divBdr>
        <w:top w:val="none" w:sz="0" w:space="0" w:color="auto"/>
        <w:left w:val="none" w:sz="0" w:space="0" w:color="auto"/>
        <w:bottom w:val="none" w:sz="0" w:space="0" w:color="auto"/>
        <w:right w:val="none" w:sz="0" w:space="0" w:color="auto"/>
      </w:divBdr>
      <w:divsChild>
        <w:div w:id="389621540">
          <w:marLeft w:val="0"/>
          <w:marRight w:val="0"/>
          <w:marTop w:val="0"/>
          <w:marBottom w:val="0"/>
          <w:divBdr>
            <w:top w:val="none" w:sz="0" w:space="0" w:color="auto"/>
            <w:left w:val="none" w:sz="0" w:space="0" w:color="auto"/>
            <w:bottom w:val="none" w:sz="0" w:space="0" w:color="auto"/>
            <w:right w:val="none" w:sz="0" w:space="0" w:color="auto"/>
          </w:divBdr>
          <w:divsChild>
            <w:div w:id="740374602">
              <w:marLeft w:val="0"/>
              <w:marRight w:val="0"/>
              <w:marTop w:val="0"/>
              <w:marBottom w:val="0"/>
              <w:divBdr>
                <w:top w:val="none" w:sz="0" w:space="0" w:color="auto"/>
                <w:left w:val="none" w:sz="0" w:space="0" w:color="auto"/>
                <w:bottom w:val="none" w:sz="0" w:space="0" w:color="auto"/>
                <w:right w:val="none" w:sz="0" w:space="0" w:color="auto"/>
              </w:divBdr>
              <w:divsChild>
                <w:div w:id="155662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672331">
      <w:bodyDiv w:val="1"/>
      <w:marLeft w:val="0"/>
      <w:marRight w:val="0"/>
      <w:marTop w:val="0"/>
      <w:marBottom w:val="0"/>
      <w:divBdr>
        <w:top w:val="none" w:sz="0" w:space="0" w:color="auto"/>
        <w:left w:val="none" w:sz="0" w:space="0" w:color="auto"/>
        <w:bottom w:val="none" w:sz="0" w:space="0" w:color="auto"/>
        <w:right w:val="none" w:sz="0" w:space="0" w:color="auto"/>
      </w:divBdr>
    </w:div>
    <w:div w:id="597635431">
      <w:bodyDiv w:val="1"/>
      <w:marLeft w:val="0"/>
      <w:marRight w:val="0"/>
      <w:marTop w:val="0"/>
      <w:marBottom w:val="0"/>
      <w:divBdr>
        <w:top w:val="none" w:sz="0" w:space="0" w:color="auto"/>
        <w:left w:val="none" w:sz="0" w:space="0" w:color="auto"/>
        <w:bottom w:val="none" w:sz="0" w:space="0" w:color="auto"/>
        <w:right w:val="none" w:sz="0" w:space="0" w:color="auto"/>
      </w:divBdr>
      <w:divsChild>
        <w:div w:id="51658670">
          <w:marLeft w:val="0"/>
          <w:marRight w:val="0"/>
          <w:marTop w:val="0"/>
          <w:marBottom w:val="0"/>
          <w:divBdr>
            <w:top w:val="none" w:sz="0" w:space="0" w:color="auto"/>
            <w:left w:val="none" w:sz="0" w:space="0" w:color="auto"/>
            <w:bottom w:val="none" w:sz="0" w:space="0" w:color="auto"/>
            <w:right w:val="none" w:sz="0" w:space="0" w:color="auto"/>
          </w:divBdr>
          <w:divsChild>
            <w:div w:id="1401367225">
              <w:marLeft w:val="0"/>
              <w:marRight w:val="0"/>
              <w:marTop w:val="0"/>
              <w:marBottom w:val="0"/>
              <w:divBdr>
                <w:top w:val="none" w:sz="0" w:space="0" w:color="auto"/>
                <w:left w:val="none" w:sz="0" w:space="0" w:color="auto"/>
                <w:bottom w:val="none" w:sz="0" w:space="0" w:color="auto"/>
                <w:right w:val="none" w:sz="0" w:space="0" w:color="auto"/>
              </w:divBdr>
              <w:divsChild>
                <w:div w:id="243876173">
                  <w:marLeft w:val="0"/>
                  <w:marRight w:val="0"/>
                  <w:marTop w:val="0"/>
                  <w:marBottom w:val="0"/>
                  <w:divBdr>
                    <w:top w:val="none" w:sz="0" w:space="0" w:color="auto"/>
                    <w:left w:val="none" w:sz="0" w:space="0" w:color="auto"/>
                    <w:bottom w:val="none" w:sz="0" w:space="0" w:color="auto"/>
                    <w:right w:val="none" w:sz="0" w:space="0" w:color="auto"/>
                  </w:divBdr>
                  <w:divsChild>
                    <w:div w:id="1655799500">
                      <w:marLeft w:val="0"/>
                      <w:marRight w:val="0"/>
                      <w:marTop w:val="0"/>
                      <w:marBottom w:val="0"/>
                      <w:divBdr>
                        <w:top w:val="none" w:sz="0" w:space="0" w:color="auto"/>
                        <w:left w:val="none" w:sz="0" w:space="0" w:color="auto"/>
                        <w:bottom w:val="none" w:sz="0" w:space="0" w:color="auto"/>
                        <w:right w:val="none" w:sz="0" w:space="0" w:color="auto"/>
                      </w:divBdr>
                      <w:divsChild>
                        <w:div w:id="2135438712">
                          <w:marLeft w:val="0"/>
                          <w:marRight w:val="0"/>
                          <w:marTop w:val="0"/>
                          <w:marBottom w:val="0"/>
                          <w:divBdr>
                            <w:top w:val="none" w:sz="0" w:space="0" w:color="auto"/>
                            <w:left w:val="none" w:sz="0" w:space="0" w:color="auto"/>
                            <w:bottom w:val="none" w:sz="0" w:space="0" w:color="auto"/>
                            <w:right w:val="none" w:sz="0" w:space="0" w:color="auto"/>
                          </w:divBdr>
                          <w:divsChild>
                            <w:div w:id="63529617">
                              <w:marLeft w:val="0"/>
                              <w:marRight w:val="0"/>
                              <w:marTop w:val="0"/>
                              <w:marBottom w:val="0"/>
                              <w:divBdr>
                                <w:top w:val="none" w:sz="0" w:space="0" w:color="auto"/>
                                <w:left w:val="none" w:sz="0" w:space="0" w:color="auto"/>
                                <w:bottom w:val="none" w:sz="0" w:space="0" w:color="auto"/>
                                <w:right w:val="none" w:sz="0" w:space="0" w:color="auto"/>
                              </w:divBdr>
                              <w:divsChild>
                                <w:div w:id="1140150271">
                                  <w:marLeft w:val="0"/>
                                  <w:marRight w:val="0"/>
                                  <w:marTop w:val="0"/>
                                  <w:marBottom w:val="0"/>
                                  <w:divBdr>
                                    <w:top w:val="none" w:sz="0" w:space="0" w:color="auto"/>
                                    <w:left w:val="none" w:sz="0" w:space="0" w:color="auto"/>
                                    <w:bottom w:val="none" w:sz="0" w:space="0" w:color="auto"/>
                                    <w:right w:val="none" w:sz="0" w:space="0" w:color="auto"/>
                                  </w:divBdr>
                                  <w:divsChild>
                                    <w:div w:id="248581723">
                                      <w:marLeft w:val="0"/>
                                      <w:marRight w:val="1200"/>
                                      <w:marTop w:val="0"/>
                                      <w:marBottom w:val="0"/>
                                      <w:divBdr>
                                        <w:top w:val="none" w:sz="0" w:space="0" w:color="auto"/>
                                        <w:left w:val="none" w:sz="0" w:space="0" w:color="auto"/>
                                        <w:bottom w:val="none" w:sz="0" w:space="0" w:color="auto"/>
                                        <w:right w:val="none" w:sz="0" w:space="0" w:color="auto"/>
                                      </w:divBdr>
                                      <w:divsChild>
                                        <w:div w:id="689066670">
                                          <w:marLeft w:val="6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176931">
      <w:bodyDiv w:val="1"/>
      <w:marLeft w:val="0"/>
      <w:marRight w:val="0"/>
      <w:marTop w:val="0"/>
      <w:marBottom w:val="0"/>
      <w:divBdr>
        <w:top w:val="none" w:sz="0" w:space="0" w:color="auto"/>
        <w:left w:val="none" w:sz="0" w:space="0" w:color="auto"/>
        <w:bottom w:val="none" w:sz="0" w:space="0" w:color="auto"/>
        <w:right w:val="none" w:sz="0" w:space="0" w:color="auto"/>
      </w:divBdr>
    </w:div>
    <w:div w:id="641928722">
      <w:bodyDiv w:val="1"/>
      <w:marLeft w:val="0"/>
      <w:marRight w:val="0"/>
      <w:marTop w:val="0"/>
      <w:marBottom w:val="0"/>
      <w:divBdr>
        <w:top w:val="none" w:sz="0" w:space="0" w:color="auto"/>
        <w:left w:val="none" w:sz="0" w:space="0" w:color="auto"/>
        <w:bottom w:val="none" w:sz="0" w:space="0" w:color="auto"/>
        <w:right w:val="none" w:sz="0" w:space="0" w:color="auto"/>
      </w:divBdr>
    </w:div>
    <w:div w:id="667708172">
      <w:bodyDiv w:val="1"/>
      <w:marLeft w:val="0"/>
      <w:marRight w:val="0"/>
      <w:marTop w:val="0"/>
      <w:marBottom w:val="0"/>
      <w:divBdr>
        <w:top w:val="none" w:sz="0" w:space="0" w:color="auto"/>
        <w:left w:val="none" w:sz="0" w:space="0" w:color="auto"/>
        <w:bottom w:val="none" w:sz="0" w:space="0" w:color="auto"/>
        <w:right w:val="none" w:sz="0" w:space="0" w:color="auto"/>
      </w:divBdr>
      <w:divsChild>
        <w:div w:id="271789397">
          <w:marLeft w:val="0"/>
          <w:marRight w:val="0"/>
          <w:marTop w:val="0"/>
          <w:marBottom w:val="0"/>
          <w:divBdr>
            <w:top w:val="none" w:sz="0" w:space="0" w:color="auto"/>
            <w:left w:val="none" w:sz="0" w:space="0" w:color="auto"/>
            <w:bottom w:val="none" w:sz="0" w:space="0" w:color="auto"/>
            <w:right w:val="none" w:sz="0" w:space="0" w:color="auto"/>
          </w:divBdr>
          <w:divsChild>
            <w:div w:id="769399643">
              <w:marLeft w:val="0"/>
              <w:marRight w:val="0"/>
              <w:marTop w:val="0"/>
              <w:marBottom w:val="0"/>
              <w:divBdr>
                <w:top w:val="none" w:sz="0" w:space="0" w:color="auto"/>
                <w:left w:val="none" w:sz="0" w:space="0" w:color="auto"/>
                <w:bottom w:val="none" w:sz="0" w:space="0" w:color="auto"/>
                <w:right w:val="none" w:sz="0" w:space="0" w:color="auto"/>
              </w:divBdr>
              <w:divsChild>
                <w:div w:id="1721510296">
                  <w:marLeft w:val="0"/>
                  <w:marRight w:val="0"/>
                  <w:marTop w:val="0"/>
                  <w:marBottom w:val="0"/>
                  <w:divBdr>
                    <w:top w:val="none" w:sz="0" w:space="0" w:color="auto"/>
                    <w:left w:val="none" w:sz="0" w:space="0" w:color="auto"/>
                    <w:bottom w:val="none" w:sz="0" w:space="0" w:color="auto"/>
                    <w:right w:val="none" w:sz="0" w:space="0" w:color="auto"/>
                  </w:divBdr>
                  <w:divsChild>
                    <w:div w:id="936206892">
                      <w:marLeft w:val="0"/>
                      <w:marRight w:val="0"/>
                      <w:marTop w:val="0"/>
                      <w:marBottom w:val="0"/>
                      <w:divBdr>
                        <w:top w:val="none" w:sz="0" w:space="0" w:color="auto"/>
                        <w:left w:val="none" w:sz="0" w:space="0" w:color="auto"/>
                        <w:bottom w:val="none" w:sz="0" w:space="0" w:color="auto"/>
                        <w:right w:val="none" w:sz="0" w:space="0" w:color="auto"/>
                      </w:divBdr>
                      <w:divsChild>
                        <w:div w:id="2088653194">
                          <w:marLeft w:val="0"/>
                          <w:marRight w:val="0"/>
                          <w:marTop w:val="0"/>
                          <w:marBottom w:val="0"/>
                          <w:divBdr>
                            <w:top w:val="none" w:sz="0" w:space="0" w:color="auto"/>
                            <w:left w:val="none" w:sz="0" w:space="0" w:color="auto"/>
                            <w:bottom w:val="none" w:sz="0" w:space="0" w:color="auto"/>
                            <w:right w:val="none" w:sz="0" w:space="0" w:color="auto"/>
                          </w:divBdr>
                          <w:divsChild>
                            <w:div w:id="32776197">
                              <w:marLeft w:val="0"/>
                              <w:marRight w:val="0"/>
                              <w:marTop w:val="0"/>
                              <w:marBottom w:val="0"/>
                              <w:divBdr>
                                <w:top w:val="none" w:sz="0" w:space="0" w:color="auto"/>
                                <w:left w:val="none" w:sz="0" w:space="0" w:color="auto"/>
                                <w:bottom w:val="none" w:sz="0" w:space="0" w:color="auto"/>
                                <w:right w:val="none" w:sz="0" w:space="0" w:color="auto"/>
                              </w:divBdr>
                              <w:divsChild>
                                <w:div w:id="1357151868">
                                  <w:marLeft w:val="0"/>
                                  <w:marRight w:val="0"/>
                                  <w:marTop w:val="0"/>
                                  <w:marBottom w:val="0"/>
                                  <w:divBdr>
                                    <w:top w:val="none" w:sz="0" w:space="0" w:color="auto"/>
                                    <w:left w:val="none" w:sz="0" w:space="0" w:color="auto"/>
                                    <w:bottom w:val="none" w:sz="0" w:space="0" w:color="auto"/>
                                    <w:right w:val="none" w:sz="0" w:space="0" w:color="auto"/>
                                  </w:divBdr>
                                  <w:divsChild>
                                    <w:div w:id="287862477">
                                      <w:marLeft w:val="0"/>
                                      <w:marRight w:val="0"/>
                                      <w:marTop w:val="0"/>
                                      <w:marBottom w:val="0"/>
                                      <w:divBdr>
                                        <w:top w:val="single" w:sz="6" w:space="0" w:color="F5F5F5"/>
                                        <w:left w:val="single" w:sz="6" w:space="0" w:color="F5F5F5"/>
                                        <w:bottom w:val="single" w:sz="6" w:space="0" w:color="F5F5F5"/>
                                        <w:right w:val="single" w:sz="6" w:space="0" w:color="F5F5F5"/>
                                      </w:divBdr>
                                      <w:divsChild>
                                        <w:div w:id="119420232">
                                          <w:marLeft w:val="0"/>
                                          <w:marRight w:val="0"/>
                                          <w:marTop w:val="0"/>
                                          <w:marBottom w:val="0"/>
                                          <w:divBdr>
                                            <w:top w:val="none" w:sz="0" w:space="0" w:color="auto"/>
                                            <w:left w:val="none" w:sz="0" w:space="0" w:color="auto"/>
                                            <w:bottom w:val="none" w:sz="0" w:space="0" w:color="auto"/>
                                            <w:right w:val="none" w:sz="0" w:space="0" w:color="auto"/>
                                          </w:divBdr>
                                          <w:divsChild>
                                            <w:div w:id="95880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3794655">
      <w:bodyDiv w:val="1"/>
      <w:marLeft w:val="0"/>
      <w:marRight w:val="0"/>
      <w:marTop w:val="0"/>
      <w:marBottom w:val="0"/>
      <w:divBdr>
        <w:top w:val="none" w:sz="0" w:space="0" w:color="auto"/>
        <w:left w:val="none" w:sz="0" w:space="0" w:color="auto"/>
        <w:bottom w:val="none" w:sz="0" w:space="0" w:color="auto"/>
        <w:right w:val="none" w:sz="0" w:space="0" w:color="auto"/>
      </w:divBdr>
    </w:div>
    <w:div w:id="729227042">
      <w:bodyDiv w:val="1"/>
      <w:marLeft w:val="0"/>
      <w:marRight w:val="0"/>
      <w:marTop w:val="0"/>
      <w:marBottom w:val="0"/>
      <w:divBdr>
        <w:top w:val="none" w:sz="0" w:space="0" w:color="auto"/>
        <w:left w:val="none" w:sz="0" w:space="0" w:color="auto"/>
        <w:bottom w:val="none" w:sz="0" w:space="0" w:color="auto"/>
        <w:right w:val="none" w:sz="0" w:space="0" w:color="auto"/>
      </w:divBdr>
    </w:div>
    <w:div w:id="742147787">
      <w:bodyDiv w:val="1"/>
      <w:marLeft w:val="0"/>
      <w:marRight w:val="0"/>
      <w:marTop w:val="0"/>
      <w:marBottom w:val="0"/>
      <w:divBdr>
        <w:top w:val="none" w:sz="0" w:space="0" w:color="auto"/>
        <w:left w:val="none" w:sz="0" w:space="0" w:color="auto"/>
        <w:bottom w:val="none" w:sz="0" w:space="0" w:color="auto"/>
        <w:right w:val="none" w:sz="0" w:space="0" w:color="auto"/>
      </w:divBdr>
    </w:div>
    <w:div w:id="747727400">
      <w:bodyDiv w:val="1"/>
      <w:marLeft w:val="0"/>
      <w:marRight w:val="0"/>
      <w:marTop w:val="0"/>
      <w:marBottom w:val="0"/>
      <w:divBdr>
        <w:top w:val="none" w:sz="0" w:space="0" w:color="auto"/>
        <w:left w:val="none" w:sz="0" w:space="0" w:color="auto"/>
        <w:bottom w:val="none" w:sz="0" w:space="0" w:color="auto"/>
        <w:right w:val="none" w:sz="0" w:space="0" w:color="auto"/>
      </w:divBdr>
    </w:div>
    <w:div w:id="767232620">
      <w:bodyDiv w:val="1"/>
      <w:marLeft w:val="0"/>
      <w:marRight w:val="0"/>
      <w:marTop w:val="0"/>
      <w:marBottom w:val="0"/>
      <w:divBdr>
        <w:top w:val="none" w:sz="0" w:space="0" w:color="auto"/>
        <w:left w:val="none" w:sz="0" w:space="0" w:color="auto"/>
        <w:bottom w:val="none" w:sz="0" w:space="0" w:color="auto"/>
        <w:right w:val="none" w:sz="0" w:space="0" w:color="auto"/>
      </w:divBdr>
    </w:div>
    <w:div w:id="770124795">
      <w:bodyDiv w:val="1"/>
      <w:marLeft w:val="0"/>
      <w:marRight w:val="0"/>
      <w:marTop w:val="0"/>
      <w:marBottom w:val="0"/>
      <w:divBdr>
        <w:top w:val="none" w:sz="0" w:space="0" w:color="auto"/>
        <w:left w:val="none" w:sz="0" w:space="0" w:color="auto"/>
        <w:bottom w:val="none" w:sz="0" w:space="0" w:color="auto"/>
        <w:right w:val="none" w:sz="0" w:space="0" w:color="auto"/>
      </w:divBdr>
    </w:div>
    <w:div w:id="799687199">
      <w:bodyDiv w:val="1"/>
      <w:marLeft w:val="0"/>
      <w:marRight w:val="0"/>
      <w:marTop w:val="0"/>
      <w:marBottom w:val="0"/>
      <w:divBdr>
        <w:top w:val="none" w:sz="0" w:space="0" w:color="auto"/>
        <w:left w:val="none" w:sz="0" w:space="0" w:color="auto"/>
        <w:bottom w:val="none" w:sz="0" w:space="0" w:color="auto"/>
        <w:right w:val="none" w:sz="0" w:space="0" w:color="auto"/>
      </w:divBdr>
    </w:div>
    <w:div w:id="823551935">
      <w:bodyDiv w:val="1"/>
      <w:marLeft w:val="0"/>
      <w:marRight w:val="0"/>
      <w:marTop w:val="0"/>
      <w:marBottom w:val="0"/>
      <w:divBdr>
        <w:top w:val="none" w:sz="0" w:space="0" w:color="auto"/>
        <w:left w:val="none" w:sz="0" w:space="0" w:color="auto"/>
        <w:bottom w:val="none" w:sz="0" w:space="0" w:color="auto"/>
        <w:right w:val="none" w:sz="0" w:space="0" w:color="auto"/>
      </w:divBdr>
      <w:divsChild>
        <w:div w:id="55131452">
          <w:marLeft w:val="0"/>
          <w:marRight w:val="0"/>
          <w:marTop w:val="0"/>
          <w:marBottom w:val="0"/>
          <w:divBdr>
            <w:top w:val="none" w:sz="0" w:space="0" w:color="auto"/>
            <w:left w:val="none" w:sz="0" w:space="0" w:color="auto"/>
            <w:bottom w:val="none" w:sz="0" w:space="0" w:color="auto"/>
            <w:right w:val="none" w:sz="0" w:space="0" w:color="auto"/>
          </w:divBdr>
          <w:divsChild>
            <w:div w:id="313796418">
              <w:marLeft w:val="0"/>
              <w:marRight w:val="0"/>
              <w:marTop w:val="0"/>
              <w:marBottom w:val="0"/>
              <w:divBdr>
                <w:top w:val="none" w:sz="0" w:space="0" w:color="auto"/>
                <w:left w:val="none" w:sz="0" w:space="0" w:color="auto"/>
                <w:bottom w:val="none" w:sz="0" w:space="0" w:color="auto"/>
                <w:right w:val="none" w:sz="0" w:space="0" w:color="auto"/>
              </w:divBdr>
            </w:div>
            <w:div w:id="441075066">
              <w:marLeft w:val="0"/>
              <w:marRight w:val="0"/>
              <w:marTop w:val="0"/>
              <w:marBottom w:val="0"/>
              <w:divBdr>
                <w:top w:val="none" w:sz="0" w:space="0" w:color="auto"/>
                <w:left w:val="none" w:sz="0" w:space="0" w:color="auto"/>
                <w:bottom w:val="none" w:sz="0" w:space="0" w:color="auto"/>
                <w:right w:val="none" w:sz="0" w:space="0" w:color="auto"/>
              </w:divBdr>
            </w:div>
            <w:div w:id="92237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143208">
      <w:bodyDiv w:val="1"/>
      <w:marLeft w:val="0"/>
      <w:marRight w:val="0"/>
      <w:marTop w:val="0"/>
      <w:marBottom w:val="0"/>
      <w:divBdr>
        <w:top w:val="none" w:sz="0" w:space="0" w:color="auto"/>
        <w:left w:val="none" w:sz="0" w:space="0" w:color="auto"/>
        <w:bottom w:val="none" w:sz="0" w:space="0" w:color="auto"/>
        <w:right w:val="none" w:sz="0" w:space="0" w:color="auto"/>
      </w:divBdr>
    </w:div>
    <w:div w:id="854732781">
      <w:bodyDiv w:val="1"/>
      <w:marLeft w:val="0"/>
      <w:marRight w:val="0"/>
      <w:marTop w:val="0"/>
      <w:marBottom w:val="0"/>
      <w:divBdr>
        <w:top w:val="none" w:sz="0" w:space="0" w:color="auto"/>
        <w:left w:val="none" w:sz="0" w:space="0" w:color="auto"/>
        <w:bottom w:val="none" w:sz="0" w:space="0" w:color="auto"/>
        <w:right w:val="none" w:sz="0" w:space="0" w:color="auto"/>
      </w:divBdr>
    </w:div>
    <w:div w:id="864096477">
      <w:bodyDiv w:val="1"/>
      <w:marLeft w:val="0"/>
      <w:marRight w:val="0"/>
      <w:marTop w:val="0"/>
      <w:marBottom w:val="0"/>
      <w:divBdr>
        <w:top w:val="none" w:sz="0" w:space="0" w:color="auto"/>
        <w:left w:val="none" w:sz="0" w:space="0" w:color="auto"/>
        <w:bottom w:val="none" w:sz="0" w:space="0" w:color="auto"/>
        <w:right w:val="none" w:sz="0" w:space="0" w:color="auto"/>
      </w:divBdr>
    </w:div>
    <w:div w:id="869798974">
      <w:bodyDiv w:val="1"/>
      <w:marLeft w:val="0"/>
      <w:marRight w:val="0"/>
      <w:marTop w:val="0"/>
      <w:marBottom w:val="0"/>
      <w:divBdr>
        <w:top w:val="none" w:sz="0" w:space="0" w:color="auto"/>
        <w:left w:val="none" w:sz="0" w:space="0" w:color="auto"/>
        <w:bottom w:val="none" w:sz="0" w:space="0" w:color="auto"/>
        <w:right w:val="none" w:sz="0" w:space="0" w:color="auto"/>
      </w:divBdr>
    </w:div>
    <w:div w:id="871385347">
      <w:bodyDiv w:val="1"/>
      <w:marLeft w:val="0"/>
      <w:marRight w:val="0"/>
      <w:marTop w:val="0"/>
      <w:marBottom w:val="0"/>
      <w:divBdr>
        <w:top w:val="none" w:sz="0" w:space="0" w:color="auto"/>
        <w:left w:val="none" w:sz="0" w:space="0" w:color="auto"/>
        <w:bottom w:val="none" w:sz="0" w:space="0" w:color="auto"/>
        <w:right w:val="none" w:sz="0" w:space="0" w:color="auto"/>
      </w:divBdr>
    </w:div>
    <w:div w:id="880241536">
      <w:bodyDiv w:val="1"/>
      <w:marLeft w:val="0"/>
      <w:marRight w:val="0"/>
      <w:marTop w:val="0"/>
      <w:marBottom w:val="0"/>
      <w:divBdr>
        <w:top w:val="none" w:sz="0" w:space="0" w:color="auto"/>
        <w:left w:val="none" w:sz="0" w:space="0" w:color="auto"/>
        <w:bottom w:val="none" w:sz="0" w:space="0" w:color="auto"/>
        <w:right w:val="none" w:sz="0" w:space="0" w:color="auto"/>
      </w:divBdr>
      <w:divsChild>
        <w:div w:id="1519739342">
          <w:marLeft w:val="0"/>
          <w:marRight w:val="0"/>
          <w:marTop w:val="0"/>
          <w:marBottom w:val="0"/>
          <w:divBdr>
            <w:top w:val="none" w:sz="0" w:space="0" w:color="auto"/>
            <w:left w:val="none" w:sz="0" w:space="0" w:color="auto"/>
            <w:bottom w:val="none" w:sz="0" w:space="0" w:color="auto"/>
            <w:right w:val="none" w:sz="0" w:space="0" w:color="auto"/>
          </w:divBdr>
          <w:divsChild>
            <w:div w:id="649749503">
              <w:marLeft w:val="0"/>
              <w:marRight w:val="0"/>
              <w:marTop w:val="0"/>
              <w:marBottom w:val="0"/>
              <w:divBdr>
                <w:top w:val="none" w:sz="0" w:space="0" w:color="auto"/>
                <w:left w:val="none" w:sz="0" w:space="0" w:color="auto"/>
                <w:bottom w:val="none" w:sz="0" w:space="0" w:color="auto"/>
                <w:right w:val="none" w:sz="0" w:space="0" w:color="auto"/>
              </w:divBdr>
            </w:div>
            <w:div w:id="1329361884">
              <w:marLeft w:val="0"/>
              <w:marRight w:val="0"/>
              <w:marTop w:val="0"/>
              <w:marBottom w:val="0"/>
              <w:divBdr>
                <w:top w:val="none" w:sz="0" w:space="0" w:color="auto"/>
                <w:left w:val="none" w:sz="0" w:space="0" w:color="auto"/>
                <w:bottom w:val="none" w:sz="0" w:space="0" w:color="auto"/>
                <w:right w:val="none" w:sz="0" w:space="0" w:color="auto"/>
              </w:divBdr>
            </w:div>
            <w:div w:id="161856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401298">
      <w:bodyDiv w:val="1"/>
      <w:marLeft w:val="0"/>
      <w:marRight w:val="0"/>
      <w:marTop w:val="0"/>
      <w:marBottom w:val="0"/>
      <w:divBdr>
        <w:top w:val="none" w:sz="0" w:space="0" w:color="auto"/>
        <w:left w:val="none" w:sz="0" w:space="0" w:color="auto"/>
        <w:bottom w:val="none" w:sz="0" w:space="0" w:color="auto"/>
        <w:right w:val="none" w:sz="0" w:space="0" w:color="auto"/>
      </w:divBdr>
    </w:div>
    <w:div w:id="926839446">
      <w:bodyDiv w:val="1"/>
      <w:marLeft w:val="0"/>
      <w:marRight w:val="0"/>
      <w:marTop w:val="0"/>
      <w:marBottom w:val="0"/>
      <w:divBdr>
        <w:top w:val="none" w:sz="0" w:space="0" w:color="auto"/>
        <w:left w:val="none" w:sz="0" w:space="0" w:color="auto"/>
        <w:bottom w:val="none" w:sz="0" w:space="0" w:color="auto"/>
        <w:right w:val="none" w:sz="0" w:space="0" w:color="auto"/>
      </w:divBdr>
    </w:div>
    <w:div w:id="927271488">
      <w:bodyDiv w:val="1"/>
      <w:marLeft w:val="0"/>
      <w:marRight w:val="0"/>
      <w:marTop w:val="0"/>
      <w:marBottom w:val="0"/>
      <w:divBdr>
        <w:top w:val="none" w:sz="0" w:space="0" w:color="auto"/>
        <w:left w:val="none" w:sz="0" w:space="0" w:color="auto"/>
        <w:bottom w:val="none" w:sz="0" w:space="0" w:color="auto"/>
        <w:right w:val="none" w:sz="0" w:space="0" w:color="auto"/>
      </w:divBdr>
    </w:div>
    <w:div w:id="939332089">
      <w:bodyDiv w:val="1"/>
      <w:marLeft w:val="0"/>
      <w:marRight w:val="0"/>
      <w:marTop w:val="0"/>
      <w:marBottom w:val="0"/>
      <w:divBdr>
        <w:top w:val="none" w:sz="0" w:space="0" w:color="auto"/>
        <w:left w:val="none" w:sz="0" w:space="0" w:color="auto"/>
        <w:bottom w:val="none" w:sz="0" w:space="0" w:color="auto"/>
        <w:right w:val="none" w:sz="0" w:space="0" w:color="auto"/>
      </w:divBdr>
    </w:div>
    <w:div w:id="957368359">
      <w:bodyDiv w:val="1"/>
      <w:marLeft w:val="0"/>
      <w:marRight w:val="0"/>
      <w:marTop w:val="0"/>
      <w:marBottom w:val="0"/>
      <w:divBdr>
        <w:top w:val="none" w:sz="0" w:space="0" w:color="auto"/>
        <w:left w:val="none" w:sz="0" w:space="0" w:color="auto"/>
        <w:bottom w:val="none" w:sz="0" w:space="0" w:color="auto"/>
        <w:right w:val="none" w:sz="0" w:space="0" w:color="auto"/>
      </w:divBdr>
    </w:div>
    <w:div w:id="961611881">
      <w:bodyDiv w:val="1"/>
      <w:marLeft w:val="0"/>
      <w:marRight w:val="0"/>
      <w:marTop w:val="0"/>
      <w:marBottom w:val="0"/>
      <w:divBdr>
        <w:top w:val="none" w:sz="0" w:space="0" w:color="auto"/>
        <w:left w:val="none" w:sz="0" w:space="0" w:color="auto"/>
        <w:bottom w:val="none" w:sz="0" w:space="0" w:color="auto"/>
        <w:right w:val="none" w:sz="0" w:space="0" w:color="auto"/>
      </w:divBdr>
    </w:div>
    <w:div w:id="963927927">
      <w:bodyDiv w:val="1"/>
      <w:marLeft w:val="0"/>
      <w:marRight w:val="0"/>
      <w:marTop w:val="0"/>
      <w:marBottom w:val="0"/>
      <w:divBdr>
        <w:top w:val="none" w:sz="0" w:space="0" w:color="auto"/>
        <w:left w:val="none" w:sz="0" w:space="0" w:color="auto"/>
        <w:bottom w:val="none" w:sz="0" w:space="0" w:color="auto"/>
        <w:right w:val="none" w:sz="0" w:space="0" w:color="auto"/>
      </w:divBdr>
    </w:div>
    <w:div w:id="1002050644">
      <w:bodyDiv w:val="1"/>
      <w:marLeft w:val="0"/>
      <w:marRight w:val="0"/>
      <w:marTop w:val="0"/>
      <w:marBottom w:val="0"/>
      <w:divBdr>
        <w:top w:val="none" w:sz="0" w:space="0" w:color="auto"/>
        <w:left w:val="none" w:sz="0" w:space="0" w:color="auto"/>
        <w:bottom w:val="none" w:sz="0" w:space="0" w:color="auto"/>
        <w:right w:val="none" w:sz="0" w:space="0" w:color="auto"/>
      </w:divBdr>
    </w:div>
    <w:div w:id="1042437197">
      <w:bodyDiv w:val="1"/>
      <w:marLeft w:val="0"/>
      <w:marRight w:val="0"/>
      <w:marTop w:val="0"/>
      <w:marBottom w:val="0"/>
      <w:divBdr>
        <w:top w:val="none" w:sz="0" w:space="0" w:color="auto"/>
        <w:left w:val="none" w:sz="0" w:space="0" w:color="auto"/>
        <w:bottom w:val="none" w:sz="0" w:space="0" w:color="auto"/>
        <w:right w:val="none" w:sz="0" w:space="0" w:color="auto"/>
      </w:divBdr>
    </w:div>
    <w:div w:id="1057975850">
      <w:bodyDiv w:val="1"/>
      <w:marLeft w:val="0"/>
      <w:marRight w:val="0"/>
      <w:marTop w:val="0"/>
      <w:marBottom w:val="0"/>
      <w:divBdr>
        <w:top w:val="none" w:sz="0" w:space="0" w:color="auto"/>
        <w:left w:val="none" w:sz="0" w:space="0" w:color="auto"/>
        <w:bottom w:val="none" w:sz="0" w:space="0" w:color="auto"/>
        <w:right w:val="none" w:sz="0" w:space="0" w:color="auto"/>
      </w:divBdr>
      <w:divsChild>
        <w:div w:id="320935125">
          <w:marLeft w:val="0"/>
          <w:marRight w:val="0"/>
          <w:marTop w:val="0"/>
          <w:marBottom w:val="0"/>
          <w:divBdr>
            <w:top w:val="none" w:sz="0" w:space="0" w:color="auto"/>
            <w:left w:val="none" w:sz="0" w:space="0" w:color="auto"/>
            <w:bottom w:val="none" w:sz="0" w:space="0" w:color="auto"/>
            <w:right w:val="none" w:sz="0" w:space="0" w:color="auto"/>
          </w:divBdr>
          <w:divsChild>
            <w:div w:id="2019119213">
              <w:marLeft w:val="0"/>
              <w:marRight w:val="0"/>
              <w:marTop w:val="0"/>
              <w:marBottom w:val="0"/>
              <w:divBdr>
                <w:top w:val="none" w:sz="0" w:space="0" w:color="auto"/>
                <w:left w:val="none" w:sz="0" w:space="0" w:color="auto"/>
                <w:bottom w:val="none" w:sz="0" w:space="0" w:color="auto"/>
                <w:right w:val="none" w:sz="0" w:space="0" w:color="auto"/>
              </w:divBdr>
              <w:divsChild>
                <w:div w:id="1589533375">
                  <w:marLeft w:val="2250"/>
                  <w:marRight w:val="0"/>
                  <w:marTop w:val="0"/>
                  <w:marBottom w:val="0"/>
                  <w:divBdr>
                    <w:top w:val="single" w:sz="6" w:space="0" w:color="DDDDFF"/>
                    <w:left w:val="single" w:sz="6" w:space="0" w:color="DDDDFF"/>
                    <w:bottom w:val="single" w:sz="6" w:space="0" w:color="DDDDFF"/>
                    <w:right w:val="single" w:sz="6" w:space="0" w:color="DDDDFF"/>
                  </w:divBdr>
                  <w:divsChild>
                    <w:div w:id="24395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108569">
      <w:bodyDiv w:val="1"/>
      <w:marLeft w:val="0"/>
      <w:marRight w:val="0"/>
      <w:marTop w:val="0"/>
      <w:marBottom w:val="0"/>
      <w:divBdr>
        <w:top w:val="none" w:sz="0" w:space="0" w:color="auto"/>
        <w:left w:val="none" w:sz="0" w:space="0" w:color="auto"/>
        <w:bottom w:val="none" w:sz="0" w:space="0" w:color="auto"/>
        <w:right w:val="none" w:sz="0" w:space="0" w:color="auto"/>
      </w:divBdr>
    </w:div>
    <w:div w:id="1064181669">
      <w:bodyDiv w:val="1"/>
      <w:marLeft w:val="0"/>
      <w:marRight w:val="0"/>
      <w:marTop w:val="0"/>
      <w:marBottom w:val="0"/>
      <w:divBdr>
        <w:top w:val="none" w:sz="0" w:space="0" w:color="auto"/>
        <w:left w:val="none" w:sz="0" w:space="0" w:color="auto"/>
        <w:bottom w:val="none" w:sz="0" w:space="0" w:color="auto"/>
        <w:right w:val="none" w:sz="0" w:space="0" w:color="auto"/>
      </w:divBdr>
    </w:div>
    <w:div w:id="1074013430">
      <w:bodyDiv w:val="1"/>
      <w:marLeft w:val="0"/>
      <w:marRight w:val="0"/>
      <w:marTop w:val="0"/>
      <w:marBottom w:val="0"/>
      <w:divBdr>
        <w:top w:val="none" w:sz="0" w:space="0" w:color="auto"/>
        <w:left w:val="none" w:sz="0" w:space="0" w:color="auto"/>
        <w:bottom w:val="none" w:sz="0" w:space="0" w:color="auto"/>
        <w:right w:val="none" w:sz="0" w:space="0" w:color="auto"/>
      </w:divBdr>
    </w:div>
    <w:div w:id="1083989566">
      <w:bodyDiv w:val="1"/>
      <w:marLeft w:val="0"/>
      <w:marRight w:val="0"/>
      <w:marTop w:val="0"/>
      <w:marBottom w:val="0"/>
      <w:divBdr>
        <w:top w:val="none" w:sz="0" w:space="0" w:color="auto"/>
        <w:left w:val="none" w:sz="0" w:space="0" w:color="auto"/>
        <w:bottom w:val="none" w:sz="0" w:space="0" w:color="auto"/>
        <w:right w:val="none" w:sz="0" w:space="0" w:color="auto"/>
      </w:divBdr>
    </w:div>
    <w:div w:id="1090084359">
      <w:bodyDiv w:val="1"/>
      <w:marLeft w:val="0"/>
      <w:marRight w:val="0"/>
      <w:marTop w:val="0"/>
      <w:marBottom w:val="0"/>
      <w:divBdr>
        <w:top w:val="none" w:sz="0" w:space="0" w:color="auto"/>
        <w:left w:val="none" w:sz="0" w:space="0" w:color="auto"/>
        <w:bottom w:val="none" w:sz="0" w:space="0" w:color="auto"/>
        <w:right w:val="none" w:sz="0" w:space="0" w:color="auto"/>
      </w:divBdr>
    </w:div>
    <w:div w:id="1112894997">
      <w:bodyDiv w:val="1"/>
      <w:marLeft w:val="0"/>
      <w:marRight w:val="0"/>
      <w:marTop w:val="0"/>
      <w:marBottom w:val="0"/>
      <w:divBdr>
        <w:top w:val="none" w:sz="0" w:space="0" w:color="auto"/>
        <w:left w:val="none" w:sz="0" w:space="0" w:color="auto"/>
        <w:bottom w:val="none" w:sz="0" w:space="0" w:color="auto"/>
        <w:right w:val="none" w:sz="0" w:space="0" w:color="auto"/>
      </w:divBdr>
      <w:divsChild>
        <w:div w:id="1781099092">
          <w:marLeft w:val="0"/>
          <w:marRight w:val="0"/>
          <w:marTop w:val="0"/>
          <w:marBottom w:val="0"/>
          <w:divBdr>
            <w:top w:val="none" w:sz="0" w:space="0" w:color="auto"/>
            <w:left w:val="none" w:sz="0" w:space="0" w:color="auto"/>
            <w:bottom w:val="none" w:sz="0" w:space="0" w:color="auto"/>
            <w:right w:val="none" w:sz="0" w:space="0" w:color="auto"/>
          </w:divBdr>
          <w:divsChild>
            <w:div w:id="244071102">
              <w:marLeft w:val="0"/>
              <w:marRight w:val="0"/>
              <w:marTop w:val="0"/>
              <w:marBottom w:val="0"/>
              <w:divBdr>
                <w:top w:val="none" w:sz="0" w:space="0" w:color="auto"/>
                <w:left w:val="none" w:sz="0" w:space="0" w:color="auto"/>
                <w:bottom w:val="none" w:sz="0" w:space="0" w:color="auto"/>
                <w:right w:val="none" w:sz="0" w:space="0" w:color="auto"/>
              </w:divBdr>
            </w:div>
            <w:div w:id="52988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18049">
      <w:bodyDiv w:val="1"/>
      <w:marLeft w:val="0"/>
      <w:marRight w:val="0"/>
      <w:marTop w:val="0"/>
      <w:marBottom w:val="0"/>
      <w:divBdr>
        <w:top w:val="none" w:sz="0" w:space="0" w:color="auto"/>
        <w:left w:val="none" w:sz="0" w:space="0" w:color="auto"/>
        <w:bottom w:val="none" w:sz="0" w:space="0" w:color="auto"/>
        <w:right w:val="none" w:sz="0" w:space="0" w:color="auto"/>
      </w:divBdr>
    </w:div>
    <w:div w:id="1121148096">
      <w:bodyDiv w:val="1"/>
      <w:marLeft w:val="0"/>
      <w:marRight w:val="0"/>
      <w:marTop w:val="0"/>
      <w:marBottom w:val="0"/>
      <w:divBdr>
        <w:top w:val="none" w:sz="0" w:space="0" w:color="auto"/>
        <w:left w:val="none" w:sz="0" w:space="0" w:color="auto"/>
        <w:bottom w:val="none" w:sz="0" w:space="0" w:color="auto"/>
        <w:right w:val="none" w:sz="0" w:space="0" w:color="auto"/>
      </w:divBdr>
      <w:divsChild>
        <w:div w:id="539318266">
          <w:marLeft w:val="0"/>
          <w:marRight w:val="0"/>
          <w:marTop w:val="0"/>
          <w:marBottom w:val="0"/>
          <w:divBdr>
            <w:top w:val="none" w:sz="0" w:space="0" w:color="auto"/>
            <w:left w:val="none" w:sz="0" w:space="0" w:color="auto"/>
            <w:bottom w:val="none" w:sz="0" w:space="0" w:color="auto"/>
            <w:right w:val="none" w:sz="0" w:space="0" w:color="auto"/>
          </w:divBdr>
          <w:divsChild>
            <w:div w:id="374699984">
              <w:marLeft w:val="0"/>
              <w:marRight w:val="0"/>
              <w:marTop w:val="0"/>
              <w:marBottom w:val="0"/>
              <w:divBdr>
                <w:top w:val="none" w:sz="0" w:space="0" w:color="auto"/>
                <w:left w:val="none" w:sz="0" w:space="0" w:color="auto"/>
                <w:bottom w:val="none" w:sz="0" w:space="0" w:color="auto"/>
                <w:right w:val="none" w:sz="0" w:space="0" w:color="auto"/>
              </w:divBdr>
              <w:divsChild>
                <w:div w:id="71662574">
                  <w:marLeft w:val="0"/>
                  <w:marRight w:val="0"/>
                  <w:marTop w:val="0"/>
                  <w:marBottom w:val="0"/>
                  <w:divBdr>
                    <w:top w:val="none" w:sz="0" w:space="0" w:color="auto"/>
                    <w:left w:val="none" w:sz="0" w:space="0" w:color="auto"/>
                    <w:bottom w:val="none" w:sz="0" w:space="0" w:color="auto"/>
                    <w:right w:val="none" w:sz="0" w:space="0" w:color="auto"/>
                  </w:divBdr>
                  <w:divsChild>
                    <w:div w:id="268858453">
                      <w:marLeft w:val="0"/>
                      <w:marRight w:val="0"/>
                      <w:marTop w:val="0"/>
                      <w:marBottom w:val="0"/>
                      <w:divBdr>
                        <w:top w:val="none" w:sz="0" w:space="0" w:color="auto"/>
                        <w:left w:val="none" w:sz="0" w:space="0" w:color="auto"/>
                        <w:bottom w:val="none" w:sz="0" w:space="0" w:color="auto"/>
                        <w:right w:val="none" w:sz="0" w:space="0" w:color="auto"/>
                      </w:divBdr>
                      <w:divsChild>
                        <w:div w:id="2100516533">
                          <w:marLeft w:val="0"/>
                          <w:marRight w:val="0"/>
                          <w:marTop w:val="0"/>
                          <w:marBottom w:val="0"/>
                          <w:divBdr>
                            <w:top w:val="none" w:sz="0" w:space="0" w:color="auto"/>
                            <w:left w:val="none" w:sz="0" w:space="0" w:color="auto"/>
                            <w:bottom w:val="none" w:sz="0" w:space="0" w:color="auto"/>
                            <w:right w:val="none" w:sz="0" w:space="0" w:color="auto"/>
                          </w:divBdr>
                          <w:divsChild>
                            <w:div w:id="1943220387">
                              <w:marLeft w:val="0"/>
                              <w:marRight w:val="0"/>
                              <w:marTop w:val="0"/>
                              <w:marBottom w:val="0"/>
                              <w:divBdr>
                                <w:top w:val="none" w:sz="0" w:space="0" w:color="auto"/>
                                <w:left w:val="none" w:sz="0" w:space="0" w:color="auto"/>
                                <w:bottom w:val="none" w:sz="0" w:space="0" w:color="auto"/>
                                <w:right w:val="none" w:sz="0" w:space="0" w:color="auto"/>
                              </w:divBdr>
                              <w:divsChild>
                                <w:div w:id="494759526">
                                  <w:marLeft w:val="0"/>
                                  <w:marRight w:val="0"/>
                                  <w:marTop w:val="0"/>
                                  <w:marBottom w:val="0"/>
                                  <w:divBdr>
                                    <w:top w:val="none" w:sz="0" w:space="0" w:color="auto"/>
                                    <w:left w:val="none" w:sz="0" w:space="0" w:color="auto"/>
                                    <w:bottom w:val="none" w:sz="0" w:space="0" w:color="auto"/>
                                    <w:right w:val="none" w:sz="0" w:space="0" w:color="auto"/>
                                  </w:divBdr>
                                </w:div>
                                <w:div w:id="1117211475">
                                  <w:marLeft w:val="0"/>
                                  <w:marRight w:val="0"/>
                                  <w:marTop w:val="0"/>
                                  <w:marBottom w:val="0"/>
                                  <w:divBdr>
                                    <w:top w:val="none" w:sz="0" w:space="0" w:color="auto"/>
                                    <w:left w:val="none" w:sz="0" w:space="0" w:color="auto"/>
                                    <w:bottom w:val="none" w:sz="0" w:space="0" w:color="auto"/>
                                    <w:right w:val="none" w:sz="0" w:space="0" w:color="auto"/>
                                  </w:divBdr>
                                </w:div>
                                <w:div w:id="1463187108">
                                  <w:marLeft w:val="0"/>
                                  <w:marRight w:val="0"/>
                                  <w:marTop w:val="0"/>
                                  <w:marBottom w:val="0"/>
                                  <w:divBdr>
                                    <w:top w:val="none" w:sz="0" w:space="0" w:color="auto"/>
                                    <w:left w:val="none" w:sz="0" w:space="0" w:color="auto"/>
                                    <w:bottom w:val="none" w:sz="0" w:space="0" w:color="auto"/>
                                    <w:right w:val="none" w:sz="0" w:space="0" w:color="auto"/>
                                  </w:divBdr>
                                </w:div>
                                <w:div w:id="146920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573118">
      <w:bodyDiv w:val="1"/>
      <w:marLeft w:val="0"/>
      <w:marRight w:val="0"/>
      <w:marTop w:val="0"/>
      <w:marBottom w:val="0"/>
      <w:divBdr>
        <w:top w:val="none" w:sz="0" w:space="0" w:color="auto"/>
        <w:left w:val="none" w:sz="0" w:space="0" w:color="auto"/>
        <w:bottom w:val="none" w:sz="0" w:space="0" w:color="auto"/>
        <w:right w:val="none" w:sz="0" w:space="0" w:color="auto"/>
      </w:divBdr>
    </w:div>
    <w:div w:id="1126849823">
      <w:bodyDiv w:val="1"/>
      <w:marLeft w:val="0"/>
      <w:marRight w:val="0"/>
      <w:marTop w:val="0"/>
      <w:marBottom w:val="0"/>
      <w:divBdr>
        <w:top w:val="none" w:sz="0" w:space="0" w:color="auto"/>
        <w:left w:val="none" w:sz="0" w:space="0" w:color="auto"/>
        <w:bottom w:val="none" w:sz="0" w:space="0" w:color="auto"/>
        <w:right w:val="none" w:sz="0" w:space="0" w:color="auto"/>
      </w:divBdr>
    </w:div>
    <w:div w:id="1140878753">
      <w:bodyDiv w:val="1"/>
      <w:marLeft w:val="0"/>
      <w:marRight w:val="0"/>
      <w:marTop w:val="0"/>
      <w:marBottom w:val="0"/>
      <w:divBdr>
        <w:top w:val="none" w:sz="0" w:space="0" w:color="auto"/>
        <w:left w:val="none" w:sz="0" w:space="0" w:color="auto"/>
        <w:bottom w:val="none" w:sz="0" w:space="0" w:color="auto"/>
        <w:right w:val="none" w:sz="0" w:space="0" w:color="auto"/>
      </w:divBdr>
    </w:div>
    <w:div w:id="1151827239">
      <w:bodyDiv w:val="1"/>
      <w:marLeft w:val="0"/>
      <w:marRight w:val="0"/>
      <w:marTop w:val="0"/>
      <w:marBottom w:val="0"/>
      <w:divBdr>
        <w:top w:val="none" w:sz="0" w:space="0" w:color="auto"/>
        <w:left w:val="none" w:sz="0" w:space="0" w:color="auto"/>
        <w:bottom w:val="none" w:sz="0" w:space="0" w:color="auto"/>
        <w:right w:val="none" w:sz="0" w:space="0" w:color="auto"/>
      </w:divBdr>
    </w:div>
    <w:div w:id="1152259600">
      <w:bodyDiv w:val="1"/>
      <w:marLeft w:val="0"/>
      <w:marRight w:val="0"/>
      <w:marTop w:val="0"/>
      <w:marBottom w:val="0"/>
      <w:divBdr>
        <w:top w:val="none" w:sz="0" w:space="0" w:color="auto"/>
        <w:left w:val="none" w:sz="0" w:space="0" w:color="auto"/>
        <w:bottom w:val="none" w:sz="0" w:space="0" w:color="auto"/>
        <w:right w:val="none" w:sz="0" w:space="0" w:color="auto"/>
      </w:divBdr>
    </w:div>
    <w:div w:id="1165589999">
      <w:bodyDiv w:val="1"/>
      <w:marLeft w:val="0"/>
      <w:marRight w:val="0"/>
      <w:marTop w:val="0"/>
      <w:marBottom w:val="0"/>
      <w:divBdr>
        <w:top w:val="none" w:sz="0" w:space="0" w:color="auto"/>
        <w:left w:val="none" w:sz="0" w:space="0" w:color="auto"/>
        <w:bottom w:val="none" w:sz="0" w:space="0" w:color="auto"/>
        <w:right w:val="none" w:sz="0" w:space="0" w:color="auto"/>
      </w:divBdr>
    </w:div>
    <w:div w:id="1166743410">
      <w:bodyDiv w:val="1"/>
      <w:marLeft w:val="0"/>
      <w:marRight w:val="0"/>
      <w:marTop w:val="0"/>
      <w:marBottom w:val="0"/>
      <w:divBdr>
        <w:top w:val="none" w:sz="0" w:space="0" w:color="auto"/>
        <w:left w:val="none" w:sz="0" w:space="0" w:color="auto"/>
        <w:bottom w:val="none" w:sz="0" w:space="0" w:color="auto"/>
        <w:right w:val="none" w:sz="0" w:space="0" w:color="auto"/>
      </w:divBdr>
    </w:div>
    <w:div w:id="1178613647">
      <w:bodyDiv w:val="1"/>
      <w:marLeft w:val="0"/>
      <w:marRight w:val="0"/>
      <w:marTop w:val="0"/>
      <w:marBottom w:val="0"/>
      <w:divBdr>
        <w:top w:val="none" w:sz="0" w:space="0" w:color="auto"/>
        <w:left w:val="none" w:sz="0" w:space="0" w:color="auto"/>
        <w:bottom w:val="none" w:sz="0" w:space="0" w:color="auto"/>
        <w:right w:val="none" w:sz="0" w:space="0" w:color="auto"/>
      </w:divBdr>
    </w:div>
    <w:div w:id="1193496335">
      <w:bodyDiv w:val="1"/>
      <w:marLeft w:val="0"/>
      <w:marRight w:val="0"/>
      <w:marTop w:val="0"/>
      <w:marBottom w:val="0"/>
      <w:divBdr>
        <w:top w:val="none" w:sz="0" w:space="0" w:color="auto"/>
        <w:left w:val="none" w:sz="0" w:space="0" w:color="auto"/>
        <w:bottom w:val="none" w:sz="0" w:space="0" w:color="auto"/>
        <w:right w:val="none" w:sz="0" w:space="0" w:color="auto"/>
      </w:divBdr>
      <w:divsChild>
        <w:div w:id="909510081">
          <w:marLeft w:val="0"/>
          <w:marRight w:val="0"/>
          <w:marTop w:val="0"/>
          <w:marBottom w:val="0"/>
          <w:divBdr>
            <w:top w:val="none" w:sz="0" w:space="0" w:color="auto"/>
            <w:left w:val="none" w:sz="0" w:space="0" w:color="auto"/>
            <w:bottom w:val="none" w:sz="0" w:space="0" w:color="auto"/>
            <w:right w:val="none" w:sz="0" w:space="0" w:color="auto"/>
          </w:divBdr>
          <w:divsChild>
            <w:div w:id="2026662867">
              <w:marLeft w:val="0"/>
              <w:marRight w:val="0"/>
              <w:marTop w:val="0"/>
              <w:marBottom w:val="0"/>
              <w:divBdr>
                <w:top w:val="none" w:sz="0" w:space="0" w:color="auto"/>
                <w:left w:val="none" w:sz="0" w:space="0" w:color="auto"/>
                <w:bottom w:val="none" w:sz="0" w:space="0" w:color="auto"/>
                <w:right w:val="none" w:sz="0" w:space="0" w:color="auto"/>
              </w:divBdr>
              <w:divsChild>
                <w:div w:id="263075276">
                  <w:marLeft w:val="0"/>
                  <w:marRight w:val="0"/>
                  <w:marTop w:val="0"/>
                  <w:marBottom w:val="0"/>
                  <w:divBdr>
                    <w:top w:val="none" w:sz="0" w:space="0" w:color="auto"/>
                    <w:left w:val="none" w:sz="0" w:space="0" w:color="auto"/>
                    <w:bottom w:val="none" w:sz="0" w:space="0" w:color="auto"/>
                    <w:right w:val="none" w:sz="0" w:space="0" w:color="auto"/>
                  </w:divBdr>
                  <w:divsChild>
                    <w:div w:id="1567227981">
                      <w:marLeft w:val="0"/>
                      <w:marRight w:val="0"/>
                      <w:marTop w:val="0"/>
                      <w:marBottom w:val="0"/>
                      <w:divBdr>
                        <w:top w:val="none" w:sz="0" w:space="0" w:color="auto"/>
                        <w:left w:val="none" w:sz="0" w:space="0" w:color="auto"/>
                        <w:bottom w:val="none" w:sz="0" w:space="0" w:color="auto"/>
                        <w:right w:val="none" w:sz="0" w:space="0" w:color="auto"/>
                      </w:divBdr>
                      <w:divsChild>
                        <w:div w:id="1946423393">
                          <w:marLeft w:val="0"/>
                          <w:marRight w:val="0"/>
                          <w:marTop w:val="0"/>
                          <w:marBottom w:val="0"/>
                          <w:divBdr>
                            <w:top w:val="none" w:sz="0" w:space="0" w:color="auto"/>
                            <w:left w:val="none" w:sz="0" w:space="0" w:color="auto"/>
                            <w:bottom w:val="none" w:sz="0" w:space="0" w:color="auto"/>
                            <w:right w:val="none" w:sz="0" w:space="0" w:color="auto"/>
                          </w:divBdr>
                          <w:divsChild>
                            <w:div w:id="2006350990">
                              <w:marLeft w:val="0"/>
                              <w:marRight w:val="0"/>
                              <w:marTop w:val="0"/>
                              <w:marBottom w:val="0"/>
                              <w:divBdr>
                                <w:top w:val="none" w:sz="0" w:space="0" w:color="auto"/>
                                <w:left w:val="none" w:sz="0" w:space="0" w:color="auto"/>
                                <w:bottom w:val="none" w:sz="0" w:space="0" w:color="auto"/>
                                <w:right w:val="none" w:sz="0" w:space="0" w:color="auto"/>
                              </w:divBdr>
                              <w:divsChild>
                                <w:div w:id="161166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3195853">
      <w:bodyDiv w:val="1"/>
      <w:marLeft w:val="0"/>
      <w:marRight w:val="0"/>
      <w:marTop w:val="0"/>
      <w:marBottom w:val="0"/>
      <w:divBdr>
        <w:top w:val="none" w:sz="0" w:space="0" w:color="auto"/>
        <w:left w:val="none" w:sz="0" w:space="0" w:color="auto"/>
        <w:bottom w:val="none" w:sz="0" w:space="0" w:color="auto"/>
        <w:right w:val="none" w:sz="0" w:space="0" w:color="auto"/>
      </w:divBdr>
    </w:div>
    <w:div w:id="1260024126">
      <w:bodyDiv w:val="1"/>
      <w:marLeft w:val="0"/>
      <w:marRight w:val="0"/>
      <w:marTop w:val="0"/>
      <w:marBottom w:val="0"/>
      <w:divBdr>
        <w:top w:val="none" w:sz="0" w:space="0" w:color="auto"/>
        <w:left w:val="none" w:sz="0" w:space="0" w:color="auto"/>
        <w:bottom w:val="none" w:sz="0" w:space="0" w:color="auto"/>
        <w:right w:val="none" w:sz="0" w:space="0" w:color="auto"/>
      </w:divBdr>
    </w:div>
    <w:div w:id="1286696635">
      <w:bodyDiv w:val="1"/>
      <w:marLeft w:val="0"/>
      <w:marRight w:val="0"/>
      <w:marTop w:val="0"/>
      <w:marBottom w:val="0"/>
      <w:divBdr>
        <w:top w:val="none" w:sz="0" w:space="0" w:color="auto"/>
        <w:left w:val="none" w:sz="0" w:space="0" w:color="auto"/>
        <w:bottom w:val="none" w:sz="0" w:space="0" w:color="auto"/>
        <w:right w:val="none" w:sz="0" w:space="0" w:color="auto"/>
      </w:divBdr>
    </w:div>
    <w:div w:id="1319110675">
      <w:bodyDiv w:val="1"/>
      <w:marLeft w:val="0"/>
      <w:marRight w:val="0"/>
      <w:marTop w:val="0"/>
      <w:marBottom w:val="0"/>
      <w:divBdr>
        <w:top w:val="none" w:sz="0" w:space="0" w:color="auto"/>
        <w:left w:val="none" w:sz="0" w:space="0" w:color="auto"/>
        <w:bottom w:val="none" w:sz="0" w:space="0" w:color="auto"/>
        <w:right w:val="none" w:sz="0" w:space="0" w:color="auto"/>
      </w:divBdr>
    </w:div>
    <w:div w:id="1365134915">
      <w:bodyDiv w:val="1"/>
      <w:marLeft w:val="0"/>
      <w:marRight w:val="0"/>
      <w:marTop w:val="0"/>
      <w:marBottom w:val="0"/>
      <w:divBdr>
        <w:top w:val="none" w:sz="0" w:space="0" w:color="auto"/>
        <w:left w:val="none" w:sz="0" w:space="0" w:color="auto"/>
        <w:bottom w:val="none" w:sz="0" w:space="0" w:color="auto"/>
        <w:right w:val="none" w:sz="0" w:space="0" w:color="auto"/>
      </w:divBdr>
    </w:div>
    <w:div w:id="1386491626">
      <w:bodyDiv w:val="1"/>
      <w:marLeft w:val="0"/>
      <w:marRight w:val="0"/>
      <w:marTop w:val="0"/>
      <w:marBottom w:val="0"/>
      <w:divBdr>
        <w:top w:val="none" w:sz="0" w:space="0" w:color="auto"/>
        <w:left w:val="none" w:sz="0" w:space="0" w:color="auto"/>
        <w:bottom w:val="none" w:sz="0" w:space="0" w:color="auto"/>
        <w:right w:val="none" w:sz="0" w:space="0" w:color="auto"/>
      </w:divBdr>
    </w:div>
    <w:div w:id="1423335779">
      <w:bodyDiv w:val="1"/>
      <w:marLeft w:val="0"/>
      <w:marRight w:val="0"/>
      <w:marTop w:val="0"/>
      <w:marBottom w:val="0"/>
      <w:divBdr>
        <w:top w:val="none" w:sz="0" w:space="0" w:color="auto"/>
        <w:left w:val="none" w:sz="0" w:space="0" w:color="auto"/>
        <w:bottom w:val="none" w:sz="0" w:space="0" w:color="auto"/>
        <w:right w:val="none" w:sz="0" w:space="0" w:color="auto"/>
      </w:divBdr>
    </w:div>
    <w:div w:id="1436290749">
      <w:bodyDiv w:val="1"/>
      <w:marLeft w:val="0"/>
      <w:marRight w:val="0"/>
      <w:marTop w:val="0"/>
      <w:marBottom w:val="0"/>
      <w:divBdr>
        <w:top w:val="none" w:sz="0" w:space="0" w:color="auto"/>
        <w:left w:val="none" w:sz="0" w:space="0" w:color="auto"/>
        <w:bottom w:val="none" w:sz="0" w:space="0" w:color="auto"/>
        <w:right w:val="none" w:sz="0" w:space="0" w:color="auto"/>
      </w:divBdr>
    </w:div>
    <w:div w:id="1437408930">
      <w:bodyDiv w:val="1"/>
      <w:marLeft w:val="0"/>
      <w:marRight w:val="0"/>
      <w:marTop w:val="0"/>
      <w:marBottom w:val="0"/>
      <w:divBdr>
        <w:top w:val="none" w:sz="0" w:space="0" w:color="auto"/>
        <w:left w:val="none" w:sz="0" w:space="0" w:color="auto"/>
        <w:bottom w:val="none" w:sz="0" w:space="0" w:color="auto"/>
        <w:right w:val="none" w:sz="0" w:space="0" w:color="auto"/>
      </w:divBdr>
    </w:div>
    <w:div w:id="1467580041">
      <w:bodyDiv w:val="1"/>
      <w:marLeft w:val="0"/>
      <w:marRight w:val="0"/>
      <w:marTop w:val="0"/>
      <w:marBottom w:val="0"/>
      <w:divBdr>
        <w:top w:val="none" w:sz="0" w:space="0" w:color="auto"/>
        <w:left w:val="none" w:sz="0" w:space="0" w:color="auto"/>
        <w:bottom w:val="none" w:sz="0" w:space="0" w:color="auto"/>
        <w:right w:val="none" w:sz="0" w:space="0" w:color="auto"/>
      </w:divBdr>
    </w:div>
    <w:div w:id="1471510663">
      <w:bodyDiv w:val="1"/>
      <w:marLeft w:val="0"/>
      <w:marRight w:val="0"/>
      <w:marTop w:val="0"/>
      <w:marBottom w:val="0"/>
      <w:divBdr>
        <w:top w:val="none" w:sz="0" w:space="0" w:color="auto"/>
        <w:left w:val="none" w:sz="0" w:space="0" w:color="auto"/>
        <w:bottom w:val="none" w:sz="0" w:space="0" w:color="auto"/>
        <w:right w:val="none" w:sz="0" w:space="0" w:color="auto"/>
      </w:divBdr>
    </w:div>
    <w:div w:id="1475751481">
      <w:bodyDiv w:val="1"/>
      <w:marLeft w:val="0"/>
      <w:marRight w:val="0"/>
      <w:marTop w:val="0"/>
      <w:marBottom w:val="0"/>
      <w:divBdr>
        <w:top w:val="none" w:sz="0" w:space="0" w:color="auto"/>
        <w:left w:val="none" w:sz="0" w:space="0" w:color="auto"/>
        <w:bottom w:val="none" w:sz="0" w:space="0" w:color="auto"/>
        <w:right w:val="none" w:sz="0" w:space="0" w:color="auto"/>
      </w:divBdr>
    </w:div>
    <w:div w:id="1482230680">
      <w:bodyDiv w:val="1"/>
      <w:marLeft w:val="0"/>
      <w:marRight w:val="0"/>
      <w:marTop w:val="0"/>
      <w:marBottom w:val="0"/>
      <w:divBdr>
        <w:top w:val="none" w:sz="0" w:space="0" w:color="auto"/>
        <w:left w:val="none" w:sz="0" w:space="0" w:color="auto"/>
        <w:bottom w:val="none" w:sz="0" w:space="0" w:color="auto"/>
        <w:right w:val="none" w:sz="0" w:space="0" w:color="auto"/>
      </w:divBdr>
    </w:div>
    <w:div w:id="1482769155">
      <w:bodyDiv w:val="1"/>
      <w:marLeft w:val="0"/>
      <w:marRight w:val="0"/>
      <w:marTop w:val="0"/>
      <w:marBottom w:val="0"/>
      <w:divBdr>
        <w:top w:val="none" w:sz="0" w:space="0" w:color="auto"/>
        <w:left w:val="none" w:sz="0" w:space="0" w:color="auto"/>
        <w:bottom w:val="none" w:sz="0" w:space="0" w:color="auto"/>
        <w:right w:val="none" w:sz="0" w:space="0" w:color="auto"/>
      </w:divBdr>
    </w:div>
    <w:div w:id="1533882173">
      <w:bodyDiv w:val="1"/>
      <w:marLeft w:val="0"/>
      <w:marRight w:val="0"/>
      <w:marTop w:val="0"/>
      <w:marBottom w:val="0"/>
      <w:divBdr>
        <w:top w:val="none" w:sz="0" w:space="0" w:color="auto"/>
        <w:left w:val="none" w:sz="0" w:space="0" w:color="auto"/>
        <w:bottom w:val="none" w:sz="0" w:space="0" w:color="auto"/>
        <w:right w:val="none" w:sz="0" w:space="0" w:color="auto"/>
      </w:divBdr>
    </w:div>
    <w:div w:id="1548566313">
      <w:bodyDiv w:val="1"/>
      <w:marLeft w:val="0"/>
      <w:marRight w:val="0"/>
      <w:marTop w:val="0"/>
      <w:marBottom w:val="0"/>
      <w:divBdr>
        <w:top w:val="none" w:sz="0" w:space="0" w:color="auto"/>
        <w:left w:val="none" w:sz="0" w:space="0" w:color="auto"/>
        <w:bottom w:val="none" w:sz="0" w:space="0" w:color="auto"/>
        <w:right w:val="none" w:sz="0" w:space="0" w:color="auto"/>
      </w:divBdr>
    </w:div>
    <w:div w:id="1557623805">
      <w:bodyDiv w:val="1"/>
      <w:marLeft w:val="0"/>
      <w:marRight w:val="0"/>
      <w:marTop w:val="0"/>
      <w:marBottom w:val="0"/>
      <w:divBdr>
        <w:top w:val="none" w:sz="0" w:space="0" w:color="auto"/>
        <w:left w:val="none" w:sz="0" w:space="0" w:color="auto"/>
        <w:bottom w:val="none" w:sz="0" w:space="0" w:color="auto"/>
        <w:right w:val="none" w:sz="0" w:space="0" w:color="auto"/>
      </w:divBdr>
    </w:div>
    <w:div w:id="1574393952">
      <w:bodyDiv w:val="1"/>
      <w:marLeft w:val="0"/>
      <w:marRight w:val="0"/>
      <w:marTop w:val="0"/>
      <w:marBottom w:val="0"/>
      <w:divBdr>
        <w:top w:val="none" w:sz="0" w:space="0" w:color="auto"/>
        <w:left w:val="none" w:sz="0" w:space="0" w:color="auto"/>
        <w:bottom w:val="none" w:sz="0" w:space="0" w:color="auto"/>
        <w:right w:val="none" w:sz="0" w:space="0" w:color="auto"/>
      </w:divBdr>
    </w:div>
    <w:div w:id="1581721416">
      <w:bodyDiv w:val="1"/>
      <w:marLeft w:val="0"/>
      <w:marRight w:val="0"/>
      <w:marTop w:val="0"/>
      <w:marBottom w:val="0"/>
      <w:divBdr>
        <w:top w:val="none" w:sz="0" w:space="0" w:color="auto"/>
        <w:left w:val="none" w:sz="0" w:space="0" w:color="auto"/>
        <w:bottom w:val="none" w:sz="0" w:space="0" w:color="auto"/>
        <w:right w:val="none" w:sz="0" w:space="0" w:color="auto"/>
      </w:divBdr>
    </w:div>
    <w:div w:id="1598367894">
      <w:bodyDiv w:val="1"/>
      <w:marLeft w:val="0"/>
      <w:marRight w:val="0"/>
      <w:marTop w:val="0"/>
      <w:marBottom w:val="0"/>
      <w:divBdr>
        <w:top w:val="none" w:sz="0" w:space="0" w:color="auto"/>
        <w:left w:val="none" w:sz="0" w:space="0" w:color="auto"/>
        <w:bottom w:val="none" w:sz="0" w:space="0" w:color="auto"/>
        <w:right w:val="none" w:sz="0" w:space="0" w:color="auto"/>
      </w:divBdr>
      <w:divsChild>
        <w:div w:id="1082875960">
          <w:marLeft w:val="0"/>
          <w:marRight w:val="0"/>
          <w:marTop w:val="0"/>
          <w:marBottom w:val="0"/>
          <w:divBdr>
            <w:top w:val="none" w:sz="0" w:space="0" w:color="auto"/>
            <w:left w:val="none" w:sz="0" w:space="0" w:color="auto"/>
            <w:bottom w:val="none" w:sz="0" w:space="0" w:color="auto"/>
            <w:right w:val="none" w:sz="0" w:space="0" w:color="auto"/>
          </w:divBdr>
          <w:divsChild>
            <w:div w:id="207569465">
              <w:marLeft w:val="0"/>
              <w:marRight w:val="0"/>
              <w:marTop w:val="0"/>
              <w:marBottom w:val="0"/>
              <w:divBdr>
                <w:top w:val="none" w:sz="0" w:space="0" w:color="auto"/>
                <w:left w:val="none" w:sz="0" w:space="0" w:color="auto"/>
                <w:bottom w:val="none" w:sz="0" w:space="0" w:color="auto"/>
                <w:right w:val="none" w:sz="0" w:space="0" w:color="auto"/>
              </w:divBdr>
            </w:div>
            <w:div w:id="226648575">
              <w:marLeft w:val="0"/>
              <w:marRight w:val="0"/>
              <w:marTop w:val="0"/>
              <w:marBottom w:val="0"/>
              <w:divBdr>
                <w:top w:val="none" w:sz="0" w:space="0" w:color="auto"/>
                <w:left w:val="none" w:sz="0" w:space="0" w:color="auto"/>
                <w:bottom w:val="none" w:sz="0" w:space="0" w:color="auto"/>
                <w:right w:val="none" w:sz="0" w:space="0" w:color="auto"/>
              </w:divBdr>
            </w:div>
            <w:div w:id="232740398">
              <w:marLeft w:val="0"/>
              <w:marRight w:val="0"/>
              <w:marTop w:val="0"/>
              <w:marBottom w:val="0"/>
              <w:divBdr>
                <w:top w:val="none" w:sz="0" w:space="0" w:color="auto"/>
                <w:left w:val="none" w:sz="0" w:space="0" w:color="auto"/>
                <w:bottom w:val="none" w:sz="0" w:space="0" w:color="auto"/>
                <w:right w:val="none" w:sz="0" w:space="0" w:color="auto"/>
              </w:divBdr>
            </w:div>
            <w:div w:id="260800096">
              <w:marLeft w:val="0"/>
              <w:marRight w:val="0"/>
              <w:marTop w:val="0"/>
              <w:marBottom w:val="0"/>
              <w:divBdr>
                <w:top w:val="none" w:sz="0" w:space="0" w:color="auto"/>
                <w:left w:val="none" w:sz="0" w:space="0" w:color="auto"/>
                <w:bottom w:val="none" w:sz="0" w:space="0" w:color="auto"/>
                <w:right w:val="none" w:sz="0" w:space="0" w:color="auto"/>
              </w:divBdr>
            </w:div>
            <w:div w:id="313607391">
              <w:marLeft w:val="0"/>
              <w:marRight w:val="0"/>
              <w:marTop w:val="0"/>
              <w:marBottom w:val="0"/>
              <w:divBdr>
                <w:top w:val="none" w:sz="0" w:space="0" w:color="auto"/>
                <w:left w:val="none" w:sz="0" w:space="0" w:color="auto"/>
                <w:bottom w:val="none" w:sz="0" w:space="0" w:color="auto"/>
                <w:right w:val="none" w:sz="0" w:space="0" w:color="auto"/>
              </w:divBdr>
            </w:div>
            <w:div w:id="538250254">
              <w:marLeft w:val="0"/>
              <w:marRight w:val="0"/>
              <w:marTop w:val="0"/>
              <w:marBottom w:val="0"/>
              <w:divBdr>
                <w:top w:val="none" w:sz="0" w:space="0" w:color="auto"/>
                <w:left w:val="none" w:sz="0" w:space="0" w:color="auto"/>
                <w:bottom w:val="none" w:sz="0" w:space="0" w:color="auto"/>
                <w:right w:val="none" w:sz="0" w:space="0" w:color="auto"/>
              </w:divBdr>
            </w:div>
            <w:div w:id="719204378">
              <w:marLeft w:val="0"/>
              <w:marRight w:val="0"/>
              <w:marTop w:val="0"/>
              <w:marBottom w:val="0"/>
              <w:divBdr>
                <w:top w:val="none" w:sz="0" w:space="0" w:color="auto"/>
                <w:left w:val="none" w:sz="0" w:space="0" w:color="auto"/>
                <w:bottom w:val="none" w:sz="0" w:space="0" w:color="auto"/>
                <w:right w:val="none" w:sz="0" w:space="0" w:color="auto"/>
              </w:divBdr>
            </w:div>
            <w:div w:id="788624861">
              <w:marLeft w:val="0"/>
              <w:marRight w:val="0"/>
              <w:marTop w:val="0"/>
              <w:marBottom w:val="0"/>
              <w:divBdr>
                <w:top w:val="none" w:sz="0" w:space="0" w:color="auto"/>
                <w:left w:val="none" w:sz="0" w:space="0" w:color="auto"/>
                <w:bottom w:val="none" w:sz="0" w:space="0" w:color="auto"/>
                <w:right w:val="none" w:sz="0" w:space="0" w:color="auto"/>
              </w:divBdr>
            </w:div>
            <w:div w:id="1132749272">
              <w:marLeft w:val="0"/>
              <w:marRight w:val="0"/>
              <w:marTop w:val="0"/>
              <w:marBottom w:val="0"/>
              <w:divBdr>
                <w:top w:val="none" w:sz="0" w:space="0" w:color="auto"/>
                <w:left w:val="none" w:sz="0" w:space="0" w:color="auto"/>
                <w:bottom w:val="none" w:sz="0" w:space="0" w:color="auto"/>
                <w:right w:val="none" w:sz="0" w:space="0" w:color="auto"/>
              </w:divBdr>
            </w:div>
            <w:div w:id="1328284146">
              <w:marLeft w:val="0"/>
              <w:marRight w:val="0"/>
              <w:marTop w:val="0"/>
              <w:marBottom w:val="0"/>
              <w:divBdr>
                <w:top w:val="none" w:sz="0" w:space="0" w:color="auto"/>
                <w:left w:val="none" w:sz="0" w:space="0" w:color="auto"/>
                <w:bottom w:val="none" w:sz="0" w:space="0" w:color="auto"/>
                <w:right w:val="none" w:sz="0" w:space="0" w:color="auto"/>
              </w:divBdr>
            </w:div>
            <w:div w:id="1351832722">
              <w:marLeft w:val="0"/>
              <w:marRight w:val="0"/>
              <w:marTop w:val="0"/>
              <w:marBottom w:val="0"/>
              <w:divBdr>
                <w:top w:val="none" w:sz="0" w:space="0" w:color="auto"/>
                <w:left w:val="none" w:sz="0" w:space="0" w:color="auto"/>
                <w:bottom w:val="none" w:sz="0" w:space="0" w:color="auto"/>
                <w:right w:val="none" w:sz="0" w:space="0" w:color="auto"/>
              </w:divBdr>
            </w:div>
            <w:div w:id="1431311648">
              <w:marLeft w:val="0"/>
              <w:marRight w:val="0"/>
              <w:marTop w:val="0"/>
              <w:marBottom w:val="0"/>
              <w:divBdr>
                <w:top w:val="none" w:sz="0" w:space="0" w:color="auto"/>
                <w:left w:val="none" w:sz="0" w:space="0" w:color="auto"/>
                <w:bottom w:val="none" w:sz="0" w:space="0" w:color="auto"/>
                <w:right w:val="none" w:sz="0" w:space="0" w:color="auto"/>
              </w:divBdr>
            </w:div>
            <w:div w:id="1727608010">
              <w:marLeft w:val="0"/>
              <w:marRight w:val="0"/>
              <w:marTop w:val="0"/>
              <w:marBottom w:val="0"/>
              <w:divBdr>
                <w:top w:val="none" w:sz="0" w:space="0" w:color="auto"/>
                <w:left w:val="none" w:sz="0" w:space="0" w:color="auto"/>
                <w:bottom w:val="none" w:sz="0" w:space="0" w:color="auto"/>
                <w:right w:val="none" w:sz="0" w:space="0" w:color="auto"/>
              </w:divBdr>
            </w:div>
            <w:div w:id="1948921352">
              <w:marLeft w:val="0"/>
              <w:marRight w:val="0"/>
              <w:marTop w:val="0"/>
              <w:marBottom w:val="0"/>
              <w:divBdr>
                <w:top w:val="none" w:sz="0" w:space="0" w:color="auto"/>
                <w:left w:val="none" w:sz="0" w:space="0" w:color="auto"/>
                <w:bottom w:val="none" w:sz="0" w:space="0" w:color="auto"/>
                <w:right w:val="none" w:sz="0" w:space="0" w:color="auto"/>
              </w:divBdr>
            </w:div>
            <w:div w:id="205445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374441">
      <w:bodyDiv w:val="1"/>
      <w:marLeft w:val="0"/>
      <w:marRight w:val="0"/>
      <w:marTop w:val="0"/>
      <w:marBottom w:val="0"/>
      <w:divBdr>
        <w:top w:val="none" w:sz="0" w:space="0" w:color="auto"/>
        <w:left w:val="none" w:sz="0" w:space="0" w:color="auto"/>
        <w:bottom w:val="none" w:sz="0" w:space="0" w:color="auto"/>
        <w:right w:val="none" w:sz="0" w:space="0" w:color="auto"/>
      </w:divBdr>
      <w:divsChild>
        <w:div w:id="229659179">
          <w:marLeft w:val="0"/>
          <w:marRight w:val="0"/>
          <w:marTop w:val="75"/>
          <w:marBottom w:val="75"/>
          <w:divBdr>
            <w:top w:val="none" w:sz="0" w:space="0" w:color="auto"/>
            <w:left w:val="none" w:sz="0" w:space="0" w:color="auto"/>
            <w:bottom w:val="none" w:sz="0" w:space="0" w:color="auto"/>
            <w:right w:val="none" w:sz="0" w:space="0" w:color="auto"/>
          </w:divBdr>
          <w:divsChild>
            <w:div w:id="1307584004">
              <w:marLeft w:val="0"/>
              <w:marRight w:val="0"/>
              <w:marTop w:val="75"/>
              <w:marBottom w:val="0"/>
              <w:divBdr>
                <w:top w:val="none" w:sz="0" w:space="0" w:color="auto"/>
                <w:left w:val="none" w:sz="0" w:space="0" w:color="auto"/>
                <w:bottom w:val="none" w:sz="0" w:space="0" w:color="auto"/>
                <w:right w:val="none" w:sz="0" w:space="0" w:color="auto"/>
              </w:divBdr>
              <w:divsChild>
                <w:div w:id="1367173319">
                  <w:marLeft w:val="0"/>
                  <w:marRight w:val="0"/>
                  <w:marTop w:val="0"/>
                  <w:marBottom w:val="0"/>
                  <w:divBdr>
                    <w:top w:val="none" w:sz="0" w:space="0" w:color="auto"/>
                    <w:left w:val="none" w:sz="0" w:space="0" w:color="auto"/>
                    <w:bottom w:val="none" w:sz="0" w:space="0" w:color="auto"/>
                    <w:right w:val="none" w:sz="0" w:space="0" w:color="auto"/>
                  </w:divBdr>
                  <w:divsChild>
                    <w:div w:id="932511757">
                      <w:marLeft w:val="0"/>
                      <w:marRight w:val="0"/>
                      <w:marTop w:val="75"/>
                      <w:marBottom w:val="75"/>
                      <w:divBdr>
                        <w:top w:val="none" w:sz="0" w:space="0" w:color="auto"/>
                        <w:left w:val="none" w:sz="0" w:space="0" w:color="auto"/>
                        <w:bottom w:val="none" w:sz="0" w:space="0" w:color="auto"/>
                        <w:right w:val="none" w:sz="0" w:space="0" w:color="auto"/>
                      </w:divBdr>
                      <w:divsChild>
                        <w:div w:id="1424567444">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1071973669">
                      <w:marLeft w:val="0"/>
                      <w:marRight w:val="0"/>
                      <w:marTop w:val="0"/>
                      <w:marBottom w:val="0"/>
                      <w:divBdr>
                        <w:top w:val="none" w:sz="0" w:space="0" w:color="auto"/>
                        <w:left w:val="none" w:sz="0" w:space="0" w:color="auto"/>
                        <w:bottom w:val="none" w:sz="0" w:space="0" w:color="auto"/>
                        <w:right w:val="none" w:sz="0" w:space="0" w:color="auto"/>
                      </w:divBdr>
                    </w:div>
                    <w:div w:id="186706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359120">
      <w:bodyDiv w:val="1"/>
      <w:marLeft w:val="0"/>
      <w:marRight w:val="0"/>
      <w:marTop w:val="0"/>
      <w:marBottom w:val="0"/>
      <w:divBdr>
        <w:top w:val="none" w:sz="0" w:space="0" w:color="auto"/>
        <w:left w:val="none" w:sz="0" w:space="0" w:color="auto"/>
        <w:bottom w:val="none" w:sz="0" w:space="0" w:color="auto"/>
        <w:right w:val="none" w:sz="0" w:space="0" w:color="auto"/>
      </w:divBdr>
    </w:div>
    <w:div w:id="1663391027">
      <w:bodyDiv w:val="1"/>
      <w:marLeft w:val="0"/>
      <w:marRight w:val="0"/>
      <w:marTop w:val="0"/>
      <w:marBottom w:val="0"/>
      <w:divBdr>
        <w:top w:val="none" w:sz="0" w:space="0" w:color="auto"/>
        <w:left w:val="none" w:sz="0" w:space="0" w:color="auto"/>
        <w:bottom w:val="none" w:sz="0" w:space="0" w:color="auto"/>
        <w:right w:val="none" w:sz="0" w:space="0" w:color="auto"/>
      </w:divBdr>
      <w:divsChild>
        <w:div w:id="276958962">
          <w:marLeft w:val="0"/>
          <w:marRight w:val="0"/>
          <w:marTop w:val="0"/>
          <w:marBottom w:val="0"/>
          <w:divBdr>
            <w:top w:val="none" w:sz="0" w:space="0" w:color="auto"/>
            <w:left w:val="none" w:sz="0" w:space="0" w:color="auto"/>
            <w:bottom w:val="none" w:sz="0" w:space="0" w:color="auto"/>
            <w:right w:val="none" w:sz="0" w:space="0" w:color="auto"/>
          </w:divBdr>
          <w:divsChild>
            <w:div w:id="1465542292">
              <w:marLeft w:val="0"/>
              <w:marRight w:val="0"/>
              <w:marTop w:val="0"/>
              <w:marBottom w:val="0"/>
              <w:divBdr>
                <w:top w:val="none" w:sz="0" w:space="0" w:color="auto"/>
                <w:left w:val="none" w:sz="0" w:space="0" w:color="auto"/>
                <w:bottom w:val="none" w:sz="0" w:space="0" w:color="auto"/>
                <w:right w:val="none" w:sz="0" w:space="0" w:color="auto"/>
              </w:divBdr>
            </w:div>
            <w:div w:id="1855924798">
              <w:marLeft w:val="0"/>
              <w:marRight w:val="0"/>
              <w:marTop w:val="0"/>
              <w:marBottom w:val="0"/>
              <w:divBdr>
                <w:top w:val="none" w:sz="0" w:space="0" w:color="auto"/>
                <w:left w:val="none" w:sz="0" w:space="0" w:color="auto"/>
                <w:bottom w:val="none" w:sz="0" w:space="0" w:color="auto"/>
                <w:right w:val="none" w:sz="0" w:space="0" w:color="auto"/>
              </w:divBdr>
            </w:div>
            <w:div w:id="208309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251996">
      <w:bodyDiv w:val="1"/>
      <w:marLeft w:val="0"/>
      <w:marRight w:val="0"/>
      <w:marTop w:val="0"/>
      <w:marBottom w:val="0"/>
      <w:divBdr>
        <w:top w:val="none" w:sz="0" w:space="0" w:color="auto"/>
        <w:left w:val="none" w:sz="0" w:space="0" w:color="auto"/>
        <w:bottom w:val="none" w:sz="0" w:space="0" w:color="auto"/>
        <w:right w:val="none" w:sz="0" w:space="0" w:color="auto"/>
      </w:divBdr>
    </w:div>
    <w:div w:id="1689136317">
      <w:bodyDiv w:val="1"/>
      <w:marLeft w:val="0"/>
      <w:marRight w:val="0"/>
      <w:marTop w:val="0"/>
      <w:marBottom w:val="0"/>
      <w:divBdr>
        <w:top w:val="none" w:sz="0" w:space="0" w:color="auto"/>
        <w:left w:val="none" w:sz="0" w:space="0" w:color="auto"/>
        <w:bottom w:val="none" w:sz="0" w:space="0" w:color="auto"/>
        <w:right w:val="none" w:sz="0" w:space="0" w:color="auto"/>
      </w:divBdr>
    </w:div>
    <w:div w:id="1713460163">
      <w:bodyDiv w:val="1"/>
      <w:marLeft w:val="0"/>
      <w:marRight w:val="0"/>
      <w:marTop w:val="0"/>
      <w:marBottom w:val="0"/>
      <w:divBdr>
        <w:top w:val="none" w:sz="0" w:space="0" w:color="auto"/>
        <w:left w:val="none" w:sz="0" w:space="0" w:color="auto"/>
        <w:bottom w:val="none" w:sz="0" w:space="0" w:color="auto"/>
        <w:right w:val="none" w:sz="0" w:space="0" w:color="auto"/>
      </w:divBdr>
    </w:div>
    <w:div w:id="1733698549">
      <w:bodyDiv w:val="1"/>
      <w:marLeft w:val="0"/>
      <w:marRight w:val="0"/>
      <w:marTop w:val="0"/>
      <w:marBottom w:val="0"/>
      <w:divBdr>
        <w:top w:val="none" w:sz="0" w:space="0" w:color="auto"/>
        <w:left w:val="none" w:sz="0" w:space="0" w:color="auto"/>
        <w:bottom w:val="none" w:sz="0" w:space="0" w:color="auto"/>
        <w:right w:val="none" w:sz="0" w:space="0" w:color="auto"/>
      </w:divBdr>
    </w:div>
    <w:div w:id="1736276277">
      <w:bodyDiv w:val="1"/>
      <w:marLeft w:val="0"/>
      <w:marRight w:val="0"/>
      <w:marTop w:val="0"/>
      <w:marBottom w:val="0"/>
      <w:divBdr>
        <w:top w:val="none" w:sz="0" w:space="0" w:color="auto"/>
        <w:left w:val="none" w:sz="0" w:space="0" w:color="auto"/>
        <w:bottom w:val="none" w:sz="0" w:space="0" w:color="auto"/>
        <w:right w:val="none" w:sz="0" w:space="0" w:color="auto"/>
      </w:divBdr>
    </w:div>
    <w:div w:id="1743944200">
      <w:bodyDiv w:val="1"/>
      <w:marLeft w:val="0"/>
      <w:marRight w:val="0"/>
      <w:marTop w:val="0"/>
      <w:marBottom w:val="0"/>
      <w:divBdr>
        <w:top w:val="none" w:sz="0" w:space="0" w:color="auto"/>
        <w:left w:val="none" w:sz="0" w:space="0" w:color="auto"/>
        <w:bottom w:val="none" w:sz="0" w:space="0" w:color="auto"/>
        <w:right w:val="none" w:sz="0" w:space="0" w:color="auto"/>
      </w:divBdr>
    </w:div>
    <w:div w:id="1761175602">
      <w:bodyDiv w:val="1"/>
      <w:marLeft w:val="0"/>
      <w:marRight w:val="0"/>
      <w:marTop w:val="0"/>
      <w:marBottom w:val="0"/>
      <w:divBdr>
        <w:top w:val="none" w:sz="0" w:space="0" w:color="auto"/>
        <w:left w:val="none" w:sz="0" w:space="0" w:color="auto"/>
        <w:bottom w:val="none" w:sz="0" w:space="0" w:color="auto"/>
        <w:right w:val="none" w:sz="0" w:space="0" w:color="auto"/>
      </w:divBdr>
      <w:divsChild>
        <w:div w:id="1624119137">
          <w:marLeft w:val="0"/>
          <w:marRight w:val="0"/>
          <w:marTop w:val="0"/>
          <w:marBottom w:val="0"/>
          <w:divBdr>
            <w:top w:val="none" w:sz="0" w:space="0" w:color="auto"/>
            <w:left w:val="none" w:sz="0" w:space="0" w:color="auto"/>
            <w:bottom w:val="none" w:sz="0" w:space="0" w:color="auto"/>
            <w:right w:val="none" w:sz="0" w:space="0" w:color="auto"/>
          </w:divBdr>
          <w:divsChild>
            <w:div w:id="1903371122">
              <w:marLeft w:val="0"/>
              <w:marRight w:val="0"/>
              <w:marTop w:val="0"/>
              <w:marBottom w:val="0"/>
              <w:divBdr>
                <w:top w:val="none" w:sz="0" w:space="0" w:color="auto"/>
                <w:left w:val="none" w:sz="0" w:space="0" w:color="auto"/>
                <w:bottom w:val="none" w:sz="0" w:space="0" w:color="auto"/>
                <w:right w:val="none" w:sz="0" w:space="0" w:color="auto"/>
              </w:divBdr>
              <w:divsChild>
                <w:div w:id="1611934232">
                  <w:marLeft w:val="0"/>
                  <w:marRight w:val="0"/>
                  <w:marTop w:val="0"/>
                  <w:marBottom w:val="0"/>
                  <w:divBdr>
                    <w:top w:val="none" w:sz="0" w:space="0" w:color="auto"/>
                    <w:left w:val="none" w:sz="0" w:space="0" w:color="auto"/>
                    <w:bottom w:val="none" w:sz="0" w:space="0" w:color="auto"/>
                    <w:right w:val="none" w:sz="0" w:space="0" w:color="auto"/>
                  </w:divBdr>
                  <w:divsChild>
                    <w:div w:id="185024235">
                      <w:marLeft w:val="0"/>
                      <w:marRight w:val="0"/>
                      <w:marTop w:val="0"/>
                      <w:marBottom w:val="0"/>
                      <w:divBdr>
                        <w:top w:val="none" w:sz="0" w:space="0" w:color="auto"/>
                        <w:left w:val="none" w:sz="0" w:space="0" w:color="auto"/>
                        <w:bottom w:val="none" w:sz="0" w:space="0" w:color="auto"/>
                        <w:right w:val="none" w:sz="0" w:space="0" w:color="auto"/>
                      </w:divBdr>
                      <w:divsChild>
                        <w:div w:id="1382828805">
                          <w:marLeft w:val="0"/>
                          <w:marRight w:val="0"/>
                          <w:marTop w:val="0"/>
                          <w:marBottom w:val="0"/>
                          <w:divBdr>
                            <w:top w:val="none" w:sz="0" w:space="0" w:color="auto"/>
                            <w:left w:val="none" w:sz="0" w:space="0" w:color="auto"/>
                            <w:bottom w:val="none" w:sz="0" w:space="0" w:color="auto"/>
                            <w:right w:val="none" w:sz="0" w:space="0" w:color="auto"/>
                          </w:divBdr>
                          <w:divsChild>
                            <w:div w:id="125700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872477">
      <w:bodyDiv w:val="1"/>
      <w:marLeft w:val="0"/>
      <w:marRight w:val="0"/>
      <w:marTop w:val="0"/>
      <w:marBottom w:val="0"/>
      <w:divBdr>
        <w:top w:val="none" w:sz="0" w:space="0" w:color="auto"/>
        <w:left w:val="none" w:sz="0" w:space="0" w:color="auto"/>
        <w:bottom w:val="none" w:sz="0" w:space="0" w:color="auto"/>
        <w:right w:val="none" w:sz="0" w:space="0" w:color="auto"/>
      </w:divBdr>
    </w:div>
    <w:div w:id="1832522150">
      <w:bodyDiv w:val="1"/>
      <w:marLeft w:val="0"/>
      <w:marRight w:val="0"/>
      <w:marTop w:val="0"/>
      <w:marBottom w:val="0"/>
      <w:divBdr>
        <w:top w:val="none" w:sz="0" w:space="0" w:color="auto"/>
        <w:left w:val="none" w:sz="0" w:space="0" w:color="auto"/>
        <w:bottom w:val="none" w:sz="0" w:space="0" w:color="auto"/>
        <w:right w:val="none" w:sz="0" w:space="0" w:color="auto"/>
      </w:divBdr>
    </w:div>
    <w:div w:id="1848254858">
      <w:bodyDiv w:val="1"/>
      <w:marLeft w:val="0"/>
      <w:marRight w:val="0"/>
      <w:marTop w:val="0"/>
      <w:marBottom w:val="0"/>
      <w:divBdr>
        <w:top w:val="none" w:sz="0" w:space="0" w:color="auto"/>
        <w:left w:val="none" w:sz="0" w:space="0" w:color="auto"/>
        <w:bottom w:val="none" w:sz="0" w:space="0" w:color="auto"/>
        <w:right w:val="none" w:sz="0" w:space="0" w:color="auto"/>
      </w:divBdr>
    </w:div>
    <w:div w:id="1856191261">
      <w:bodyDiv w:val="1"/>
      <w:marLeft w:val="0"/>
      <w:marRight w:val="0"/>
      <w:marTop w:val="0"/>
      <w:marBottom w:val="0"/>
      <w:divBdr>
        <w:top w:val="none" w:sz="0" w:space="0" w:color="auto"/>
        <w:left w:val="none" w:sz="0" w:space="0" w:color="auto"/>
        <w:bottom w:val="none" w:sz="0" w:space="0" w:color="auto"/>
        <w:right w:val="none" w:sz="0" w:space="0" w:color="auto"/>
      </w:divBdr>
    </w:div>
    <w:div w:id="1857495318">
      <w:bodyDiv w:val="1"/>
      <w:marLeft w:val="0"/>
      <w:marRight w:val="0"/>
      <w:marTop w:val="0"/>
      <w:marBottom w:val="0"/>
      <w:divBdr>
        <w:top w:val="none" w:sz="0" w:space="0" w:color="auto"/>
        <w:left w:val="none" w:sz="0" w:space="0" w:color="auto"/>
        <w:bottom w:val="none" w:sz="0" w:space="0" w:color="auto"/>
        <w:right w:val="none" w:sz="0" w:space="0" w:color="auto"/>
      </w:divBdr>
    </w:div>
    <w:div w:id="1877231324">
      <w:bodyDiv w:val="1"/>
      <w:marLeft w:val="0"/>
      <w:marRight w:val="0"/>
      <w:marTop w:val="0"/>
      <w:marBottom w:val="0"/>
      <w:divBdr>
        <w:top w:val="none" w:sz="0" w:space="0" w:color="auto"/>
        <w:left w:val="none" w:sz="0" w:space="0" w:color="auto"/>
        <w:bottom w:val="none" w:sz="0" w:space="0" w:color="auto"/>
        <w:right w:val="none" w:sz="0" w:space="0" w:color="auto"/>
      </w:divBdr>
      <w:divsChild>
        <w:div w:id="533082498">
          <w:marLeft w:val="0"/>
          <w:marRight w:val="0"/>
          <w:marTop w:val="0"/>
          <w:marBottom w:val="0"/>
          <w:divBdr>
            <w:top w:val="none" w:sz="0" w:space="0" w:color="auto"/>
            <w:left w:val="none" w:sz="0" w:space="0" w:color="auto"/>
            <w:bottom w:val="none" w:sz="0" w:space="0" w:color="auto"/>
            <w:right w:val="none" w:sz="0" w:space="0" w:color="auto"/>
          </w:divBdr>
          <w:divsChild>
            <w:div w:id="331378143">
              <w:marLeft w:val="0"/>
              <w:marRight w:val="0"/>
              <w:marTop w:val="0"/>
              <w:marBottom w:val="0"/>
              <w:divBdr>
                <w:top w:val="none" w:sz="0" w:space="0" w:color="auto"/>
                <w:left w:val="none" w:sz="0" w:space="0" w:color="auto"/>
                <w:bottom w:val="none" w:sz="0" w:space="0" w:color="auto"/>
                <w:right w:val="none" w:sz="0" w:space="0" w:color="auto"/>
              </w:divBdr>
              <w:divsChild>
                <w:div w:id="152655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322023">
      <w:bodyDiv w:val="1"/>
      <w:marLeft w:val="0"/>
      <w:marRight w:val="0"/>
      <w:marTop w:val="0"/>
      <w:marBottom w:val="0"/>
      <w:divBdr>
        <w:top w:val="none" w:sz="0" w:space="0" w:color="auto"/>
        <w:left w:val="none" w:sz="0" w:space="0" w:color="auto"/>
        <w:bottom w:val="none" w:sz="0" w:space="0" w:color="auto"/>
        <w:right w:val="none" w:sz="0" w:space="0" w:color="auto"/>
      </w:divBdr>
    </w:div>
    <w:div w:id="1887797147">
      <w:bodyDiv w:val="1"/>
      <w:marLeft w:val="0"/>
      <w:marRight w:val="0"/>
      <w:marTop w:val="0"/>
      <w:marBottom w:val="0"/>
      <w:divBdr>
        <w:top w:val="none" w:sz="0" w:space="0" w:color="auto"/>
        <w:left w:val="none" w:sz="0" w:space="0" w:color="auto"/>
        <w:bottom w:val="none" w:sz="0" w:space="0" w:color="auto"/>
        <w:right w:val="none" w:sz="0" w:space="0" w:color="auto"/>
      </w:divBdr>
    </w:div>
    <w:div w:id="1889494076">
      <w:bodyDiv w:val="1"/>
      <w:marLeft w:val="0"/>
      <w:marRight w:val="0"/>
      <w:marTop w:val="0"/>
      <w:marBottom w:val="0"/>
      <w:divBdr>
        <w:top w:val="none" w:sz="0" w:space="0" w:color="auto"/>
        <w:left w:val="none" w:sz="0" w:space="0" w:color="auto"/>
        <w:bottom w:val="none" w:sz="0" w:space="0" w:color="auto"/>
        <w:right w:val="none" w:sz="0" w:space="0" w:color="auto"/>
      </w:divBdr>
    </w:div>
    <w:div w:id="1906211890">
      <w:bodyDiv w:val="1"/>
      <w:marLeft w:val="0"/>
      <w:marRight w:val="0"/>
      <w:marTop w:val="0"/>
      <w:marBottom w:val="0"/>
      <w:divBdr>
        <w:top w:val="none" w:sz="0" w:space="0" w:color="auto"/>
        <w:left w:val="none" w:sz="0" w:space="0" w:color="auto"/>
        <w:bottom w:val="none" w:sz="0" w:space="0" w:color="auto"/>
        <w:right w:val="none" w:sz="0" w:space="0" w:color="auto"/>
      </w:divBdr>
    </w:div>
    <w:div w:id="1922517210">
      <w:bodyDiv w:val="1"/>
      <w:marLeft w:val="0"/>
      <w:marRight w:val="0"/>
      <w:marTop w:val="0"/>
      <w:marBottom w:val="0"/>
      <w:divBdr>
        <w:top w:val="none" w:sz="0" w:space="0" w:color="auto"/>
        <w:left w:val="none" w:sz="0" w:space="0" w:color="auto"/>
        <w:bottom w:val="none" w:sz="0" w:space="0" w:color="auto"/>
        <w:right w:val="none" w:sz="0" w:space="0" w:color="auto"/>
      </w:divBdr>
      <w:divsChild>
        <w:div w:id="1644194726">
          <w:marLeft w:val="0"/>
          <w:marRight w:val="0"/>
          <w:marTop w:val="0"/>
          <w:marBottom w:val="0"/>
          <w:divBdr>
            <w:top w:val="none" w:sz="0" w:space="0" w:color="auto"/>
            <w:left w:val="none" w:sz="0" w:space="0" w:color="auto"/>
            <w:bottom w:val="none" w:sz="0" w:space="0" w:color="auto"/>
            <w:right w:val="none" w:sz="0" w:space="0" w:color="auto"/>
          </w:divBdr>
          <w:divsChild>
            <w:div w:id="1121264588">
              <w:marLeft w:val="0"/>
              <w:marRight w:val="0"/>
              <w:marTop w:val="0"/>
              <w:marBottom w:val="0"/>
              <w:divBdr>
                <w:top w:val="none" w:sz="0" w:space="0" w:color="auto"/>
                <w:left w:val="none" w:sz="0" w:space="0" w:color="auto"/>
                <w:bottom w:val="none" w:sz="0" w:space="0" w:color="auto"/>
                <w:right w:val="none" w:sz="0" w:space="0" w:color="auto"/>
              </w:divBdr>
              <w:divsChild>
                <w:div w:id="1262298546">
                  <w:marLeft w:val="2250"/>
                  <w:marRight w:val="0"/>
                  <w:marTop w:val="0"/>
                  <w:marBottom w:val="0"/>
                  <w:divBdr>
                    <w:top w:val="single" w:sz="6" w:space="0" w:color="DDDDFF"/>
                    <w:left w:val="single" w:sz="6" w:space="0" w:color="DDDDFF"/>
                    <w:bottom w:val="single" w:sz="6" w:space="0" w:color="DDDDFF"/>
                    <w:right w:val="single" w:sz="6" w:space="0" w:color="DDDDFF"/>
                  </w:divBdr>
                  <w:divsChild>
                    <w:div w:id="158152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927391">
      <w:bodyDiv w:val="1"/>
      <w:marLeft w:val="0"/>
      <w:marRight w:val="0"/>
      <w:marTop w:val="0"/>
      <w:marBottom w:val="0"/>
      <w:divBdr>
        <w:top w:val="none" w:sz="0" w:space="0" w:color="auto"/>
        <w:left w:val="none" w:sz="0" w:space="0" w:color="auto"/>
        <w:bottom w:val="none" w:sz="0" w:space="0" w:color="auto"/>
        <w:right w:val="none" w:sz="0" w:space="0" w:color="auto"/>
      </w:divBdr>
      <w:divsChild>
        <w:div w:id="491147142">
          <w:marLeft w:val="0"/>
          <w:marRight w:val="0"/>
          <w:marTop w:val="0"/>
          <w:marBottom w:val="0"/>
          <w:divBdr>
            <w:top w:val="none" w:sz="0" w:space="0" w:color="auto"/>
            <w:left w:val="single" w:sz="12" w:space="0" w:color="003399"/>
            <w:bottom w:val="none" w:sz="0" w:space="0" w:color="auto"/>
            <w:right w:val="single" w:sz="12" w:space="0" w:color="003399"/>
          </w:divBdr>
          <w:divsChild>
            <w:div w:id="1927837762">
              <w:marLeft w:val="0"/>
              <w:marRight w:val="0"/>
              <w:marTop w:val="45"/>
              <w:marBottom w:val="0"/>
              <w:divBdr>
                <w:top w:val="none" w:sz="0" w:space="0" w:color="auto"/>
                <w:left w:val="none" w:sz="0" w:space="0" w:color="auto"/>
                <w:bottom w:val="none" w:sz="0" w:space="0" w:color="auto"/>
                <w:right w:val="none" w:sz="0" w:space="0" w:color="auto"/>
              </w:divBdr>
              <w:divsChild>
                <w:div w:id="1408771671">
                  <w:marLeft w:val="0"/>
                  <w:marRight w:val="0"/>
                  <w:marTop w:val="0"/>
                  <w:marBottom w:val="0"/>
                  <w:divBdr>
                    <w:top w:val="none" w:sz="0" w:space="0" w:color="auto"/>
                    <w:left w:val="none" w:sz="0" w:space="0" w:color="auto"/>
                    <w:bottom w:val="none" w:sz="0" w:space="0" w:color="auto"/>
                    <w:right w:val="none" w:sz="0" w:space="0" w:color="auto"/>
                  </w:divBdr>
                  <w:divsChild>
                    <w:div w:id="2006086216">
                      <w:marLeft w:val="0"/>
                      <w:marRight w:val="0"/>
                      <w:marTop w:val="0"/>
                      <w:marBottom w:val="0"/>
                      <w:divBdr>
                        <w:top w:val="none" w:sz="0" w:space="0" w:color="auto"/>
                        <w:left w:val="none" w:sz="0" w:space="0" w:color="auto"/>
                        <w:bottom w:val="none" w:sz="0" w:space="0" w:color="auto"/>
                        <w:right w:val="none" w:sz="0" w:space="0" w:color="auto"/>
                      </w:divBdr>
                      <w:divsChild>
                        <w:div w:id="2032223503">
                          <w:marLeft w:val="120"/>
                          <w:marRight w:val="120"/>
                          <w:marTop w:val="0"/>
                          <w:marBottom w:val="120"/>
                          <w:divBdr>
                            <w:top w:val="none" w:sz="0" w:space="0" w:color="auto"/>
                            <w:left w:val="none" w:sz="0" w:space="0" w:color="auto"/>
                            <w:bottom w:val="none" w:sz="0" w:space="0" w:color="auto"/>
                            <w:right w:val="none" w:sz="0" w:space="0" w:color="auto"/>
                          </w:divBdr>
                          <w:divsChild>
                            <w:div w:id="1925645983">
                              <w:marLeft w:val="300"/>
                              <w:marRight w:val="300"/>
                              <w:marTop w:val="0"/>
                              <w:marBottom w:val="0"/>
                              <w:divBdr>
                                <w:top w:val="none" w:sz="0" w:space="0" w:color="auto"/>
                                <w:left w:val="none" w:sz="0" w:space="0" w:color="auto"/>
                                <w:bottom w:val="none" w:sz="0" w:space="0" w:color="auto"/>
                                <w:right w:val="none" w:sz="0" w:space="0" w:color="auto"/>
                              </w:divBdr>
                              <w:divsChild>
                                <w:div w:id="117002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9004040">
      <w:bodyDiv w:val="1"/>
      <w:marLeft w:val="0"/>
      <w:marRight w:val="0"/>
      <w:marTop w:val="0"/>
      <w:marBottom w:val="0"/>
      <w:divBdr>
        <w:top w:val="none" w:sz="0" w:space="0" w:color="auto"/>
        <w:left w:val="none" w:sz="0" w:space="0" w:color="auto"/>
        <w:bottom w:val="none" w:sz="0" w:space="0" w:color="auto"/>
        <w:right w:val="none" w:sz="0" w:space="0" w:color="auto"/>
      </w:divBdr>
      <w:divsChild>
        <w:div w:id="311056590">
          <w:marLeft w:val="0"/>
          <w:marRight w:val="0"/>
          <w:marTop w:val="0"/>
          <w:marBottom w:val="0"/>
          <w:divBdr>
            <w:top w:val="none" w:sz="0" w:space="0" w:color="auto"/>
            <w:left w:val="none" w:sz="0" w:space="0" w:color="auto"/>
            <w:bottom w:val="none" w:sz="0" w:space="0" w:color="auto"/>
            <w:right w:val="none" w:sz="0" w:space="0" w:color="auto"/>
          </w:divBdr>
          <w:divsChild>
            <w:div w:id="1630741363">
              <w:marLeft w:val="0"/>
              <w:marRight w:val="0"/>
              <w:marTop w:val="0"/>
              <w:marBottom w:val="0"/>
              <w:divBdr>
                <w:top w:val="none" w:sz="0" w:space="0" w:color="auto"/>
                <w:left w:val="none" w:sz="0" w:space="0" w:color="auto"/>
                <w:bottom w:val="none" w:sz="0" w:space="0" w:color="auto"/>
                <w:right w:val="none" w:sz="0" w:space="0" w:color="auto"/>
              </w:divBdr>
              <w:divsChild>
                <w:div w:id="939414032">
                  <w:marLeft w:val="0"/>
                  <w:marRight w:val="0"/>
                  <w:marTop w:val="0"/>
                  <w:marBottom w:val="0"/>
                  <w:divBdr>
                    <w:top w:val="none" w:sz="0" w:space="0" w:color="auto"/>
                    <w:left w:val="none" w:sz="0" w:space="0" w:color="auto"/>
                    <w:bottom w:val="none" w:sz="0" w:space="0" w:color="auto"/>
                    <w:right w:val="none" w:sz="0" w:space="0" w:color="auto"/>
                  </w:divBdr>
                  <w:divsChild>
                    <w:div w:id="611673527">
                      <w:marLeft w:val="0"/>
                      <w:marRight w:val="0"/>
                      <w:marTop w:val="0"/>
                      <w:marBottom w:val="0"/>
                      <w:divBdr>
                        <w:top w:val="none" w:sz="0" w:space="0" w:color="auto"/>
                        <w:left w:val="none" w:sz="0" w:space="0" w:color="auto"/>
                        <w:bottom w:val="none" w:sz="0" w:space="0" w:color="auto"/>
                        <w:right w:val="none" w:sz="0" w:space="0" w:color="auto"/>
                      </w:divBdr>
                      <w:divsChild>
                        <w:div w:id="1669333803">
                          <w:marLeft w:val="0"/>
                          <w:marRight w:val="0"/>
                          <w:marTop w:val="0"/>
                          <w:marBottom w:val="0"/>
                          <w:divBdr>
                            <w:top w:val="none" w:sz="0" w:space="0" w:color="auto"/>
                            <w:left w:val="none" w:sz="0" w:space="0" w:color="auto"/>
                            <w:bottom w:val="none" w:sz="0" w:space="0" w:color="auto"/>
                            <w:right w:val="none" w:sz="0" w:space="0" w:color="auto"/>
                          </w:divBdr>
                          <w:divsChild>
                            <w:div w:id="27213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262364">
      <w:bodyDiv w:val="1"/>
      <w:marLeft w:val="0"/>
      <w:marRight w:val="0"/>
      <w:marTop w:val="0"/>
      <w:marBottom w:val="0"/>
      <w:divBdr>
        <w:top w:val="none" w:sz="0" w:space="0" w:color="auto"/>
        <w:left w:val="none" w:sz="0" w:space="0" w:color="auto"/>
        <w:bottom w:val="none" w:sz="0" w:space="0" w:color="auto"/>
        <w:right w:val="none" w:sz="0" w:space="0" w:color="auto"/>
      </w:divBdr>
    </w:div>
    <w:div w:id="1970284747">
      <w:bodyDiv w:val="1"/>
      <w:marLeft w:val="0"/>
      <w:marRight w:val="0"/>
      <w:marTop w:val="0"/>
      <w:marBottom w:val="0"/>
      <w:divBdr>
        <w:top w:val="none" w:sz="0" w:space="0" w:color="auto"/>
        <w:left w:val="none" w:sz="0" w:space="0" w:color="auto"/>
        <w:bottom w:val="none" w:sz="0" w:space="0" w:color="auto"/>
        <w:right w:val="none" w:sz="0" w:space="0" w:color="auto"/>
      </w:divBdr>
    </w:div>
    <w:div w:id="2024428569">
      <w:bodyDiv w:val="1"/>
      <w:marLeft w:val="0"/>
      <w:marRight w:val="0"/>
      <w:marTop w:val="0"/>
      <w:marBottom w:val="0"/>
      <w:divBdr>
        <w:top w:val="none" w:sz="0" w:space="0" w:color="auto"/>
        <w:left w:val="none" w:sz="0" w:space="0" w:color="auto"/>
        <w:bottom w:val="none" w:sz="0" w:space="0" w:color="auto"/>
        <w:right w:val="none" w:sz="0" w:space="0" w:color="auto"/>
      </w:divBdr>
    </w:div>
    <w:div w:id="2029478113">
      <w:bodyDiv w:val="1"/>
      <w:marLeft w:val="0"/>
      <w:marRight w:val="0"/>
      <w:marTop w:val="0"/>
      <w:marBottom w:val="0"/>
      <w:divBdr>
        <w:top w:val="none" w:sz="0" w:space="0" w:color="auto"/>
        <w:left w:val="none" w:sz="0" w:space="0" w:color="auto"/>
        <w:bottom w:val="none" w:sz="0" w:space="0" w:color="auto"/>
        <w:right w:val="none" w:sz="0" w:space="0" w:color="auto"/>
      </w:divBdr>
    </w:div>
    <w:div w:id="2063363113">
      <w:bodyDiv w:val="1"/>
      <w:marLeft w:val="0"/>
      <w:marRight w:val="0"/>
      <w:marTop w:val="0"/>
      <w:marBottom w:val="0"/>
      <w:divBdr>
        <w:top w:val="none" w:sz="0" w:space="0" w:color="auto"/>
        <w:left w:val="none" w:sz="0" w:space="0" w:color="auto"/>
        <w:bottom w:val="none" w:sz="0" w:space="0" w:color="auto"/>
        <w:right w:val="none" w:sz="0" w:space="0" w:color="auto"/>
      </w:divBdr>
      <w:divsChild>
        <w:div w:id="820123659">
          <w:marLeft w:val="0"/>
          <w:marRight w:val="0"/>
          <w:marTop w:val="0"/>
          <w:marBottom w:val="0"/>
          <w:divBdr>
            <w:top w:val="none" w:sz="0" w:space="0" w:color="auto"/>
            <w:left w:val="none" w:sz="0" w:space="0" w:color="auto"/>
            <w:bottom w:val="none" w:sz="0" w:space="0" w:color="auto"/>
            <w:right w:val="none" w:sz="0" w:space="0" w:color="auto"/>
          </w:divBdr>
          <w:divsChild>
            <w:div w:id="84694543">
              <w:marLeft w:val="0"/>
              <w:marRight w:val="0"/>
              <w:marTop w:val="0"/>
              <w:marBottom w:val="0"/>
              <w:divBdr>
                <w:top w:val="none" w:sz="0" w:space="0" w:color="auto"/>
                <w:left w:val="none" w:sz="0" w:space="0" w:color="auto"/>
                <w:bottom w:val="none" w:sz="0" w:space="0" w:color="auto"/>
                <w:right w:val="none" w:sz="0" w:space="0" w:color="auto"/>
              </w:divBdr>
            </w:div>
            <w:div w:id="33924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327023">
      <w:bodyDiv w:val="1"/>
      <w:marLeft w:val="0"/>
      <w:marRight w:val="0"/>
      <w:marTop w:val="0"/>
      <w:marBottom w:val="0"/>
      <w:divBdr>
        <w:top w:val="none" w:sz="0" w:space="0" w:color="auto"/>
        <w:left w:val="none" w:sz="0" w:space="0" w:color="auto"/>
        <w:bottom w:val="none" w:sz="0" w:space="0" w:color="auto"/>
        <w:right w:val="none" w:sz="0" w:space="0" w:color="auto"/>
      </w:divBdr>
      <w:divsChild>
        <w:div w:id="1527329239">
          <w:marLeft w:val="0"/>
          <w:marRight w:val="0"/>
          <w:marTop w:val="0"/>
          <w:marBottom w:val="0"/>
          <w:divBdr>
            <w:top w:val="none" w:sz="0" w:space="0" w:color="auto"/>
            <w:left w:val="none" w:sz="0" w:space="0" w:color="auto"/>
            <w:bottom w:val="none" w:sz="0" w:space="0" w:color="auto"/>
            <w:right w:val="none" w:sz="0" w:space="0" w:color="auto"/>
          </w:divBdr>
        </w:div>
      </w:divsChild>
    </w:div>
    <w:div w:id="2123187929">
      <w:bodyDiv w:val="1"/>
      <w:marLeft w:val="0"/>
      <w:marRight w:val="0"/>
      <w:marTop w:val="0"/>
      <w:marBottom w:val="0"/>
      <w:divBdr>
        <w:top w:val="none" w:sz="0" w:space="0" w:color="auto"/>
        <w:left w:val="none" w:sz="0" w:space="0" w:color="auto"/>
        <w:bottom w:val="none" w:sz="0" w:space="0" w:color="auto"/>
        <w:right w:val="none" w:sz="0" w:space="0" w:color="auto"/>
      </w:divBdr>
    </w:div>
    <w:div w:id="2133092212">
      <w:bodyDiv w:val="1"/>
      <w:marLeft w:val="0"/>
      <w:marRight w:val="0"/>
      <w:marTop w:val="0"/>
      <w:marBottom w:val="0"/>
      <w:divBdr>
        <w:top w:val="none" w:sz="0" w:space="0" w:color="auto"/>
        <w:left w:val="none" w:sz="0" w:space="0" w:color="auto"/>
        <w:bottom w:val="none" w:sz="0" w:space="0" w:color="auto"/>
        <w:right w:val="none" w:sz="0" w:space="0" w:color="auto"/>
      </w:divBdr>
    </w:div>
    <w:div w:id="2142914735">
      <w:bodyDiv w:val="1"/>
      <w:marLeft w:val="0"/>
      <w:marRight w:val="0"/>
      <w:marTop w:val="0"/>
      <w:marBottom w:val="0"/>
      <w:divBdr>
        <w:top w:val="none" w:sz="0" w:space="0" w:color="auto"/>
        <w:left w:val="none" w:sz="0" w:space="0" w:color="auto"/>
        <w:bottom w:val="none" w:sz="0" w:space="0" w:color="auto"/>
        <w:right w:val="none" w:sz="0" w:space="0" w:color="auto"/>
      </w:divBdr>
      <w:divsChild>
        <w:div w:id="1174144777">
          <w:marLeft w:val="0"/>
          <w:marRight w:val="0"/>
          <w:marTop w:val="0"/>
          <w:marBottom w:val="0"/>
          <w:divBdr>
            <w:top w:val="none" w:sz="0" w:space="0" w:color="auto"/>
            <w:left w:val="none" w:sz="0" w:space="0" w:color="auto"/>
            <w:bottom w:val="none" w:sz="0" w:space="0" w:color="auto"/>
            <w:right w:val="none" w:sz="0" w:space="0" w:color="auto"/>
          </w:divBdr>
          <w:divsChild>
            <w:div w:id="1614509396">
              <w:marLeft w:val="0"/>
              <w:marRight w:val="0"/>
              <w:marTop w:val="0"/>
              <w:marBottom w:val="0"/>
              <w:divBdr>
                <w:top w:val="none" w:sz="0" w:space="0" w:color="auto"/>
                <w:left w:val="none" w:sz="0" w:space="0" w:color="auto"/>
                <w:bottom w:val="none" w:sz="0" w:space="0" w:color="auto"/>
                <w:right w:val="none" w:sz="0" w:space="0" w:color="auto"/>
              </w:divBdr>
              <w:divsChild>
                <w:div w:id="117657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1.png@01D4B4B9.DC7399E0" TargetMode="External"/><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footer" Target="footer5.xml"/><Relationship Id="rId21" Type="http://schemas.openxmlformats.org/officeDocument/2006/relationships/image" Target="media/image11.emf"/><Relationship Id="rId34" Type="http://schemas.openxmlformats.org/officeDocument/2006/relationships/footer" Target="footer1.xml"/><Relationship Id="rId42" Type="http://schemas.openxmlformats.org/officeDocument/2006/relationships/image" Target="media/image21.emf"/><Relationship Id="rId47" Type="http://schemas.openxmlformats.org/officeDocument/2006/relationships/image" Target="media/image25.emf"/><Relationship Id="rId50" Type="http://schemas.openxmlformats.org/officeDocument/2006/relationships/image" Target="media/image28.png"/><Relationship Id="rId55" Type="http://schemas.openxmlformats.org/officeDocument/2006/relationships/image" Target="media/image3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emf"/><Relationship Id="rId11" Type="http://schemas.openxmlformats.org/officeDocument/2006/relationships/chart" Target="charts/chart2.xml"/><Relationship Id="rId24" Type="http://schemas.openxmlformats.org/officeDocument/2006/relationships/image" Target="media/image14.emf"/><Relationship Id="rId32" Type="http://schemas.openxmlformats.org/officeDocument/2006/relationships/chart" Target="charts/chart5.xml"/><Relationship Id="rId37" Type="http://schemas.openxmlformats.org/officeDocument/2006/relationships/header" Target="header2.xml"/><Relationship Id="rId40" Type="http://schemas.openxmlformats.org/officeDocument/2006/relationships/footer" Target="footer6.xml"/><Relationship Id="rId45" Type="http://schemas.openxmlformats.org/officeDocument/2006/relationships/image" Target="media/image23.png"/><Relationship Id="rId53" Type="http://schemas.openxmlformats.org/officeDocument/2006/relationships/chart" Target="charts/chart7.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chart" Target="charts/chart3.xml"/><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footer" Target="footer2.xml"/><Relationship Id="rId43" Type="http://schemas.openxmlformats.org/officeDocument/2006/relationships/chart" Target="charts/chart6.xml"/><Relationship Id="rId48" Type="http://schemas.openxmlformats.org/officeDocument/2006/relationships/image" Target="media/image26.emf"/><Relationship Id="rId56" Type="http://schemas.openxmlformats.org/officeDocument/2006/relationships/image" Target="media/image33.jpeg"/><Relationship Id="rId8" Type="http://schemas.openxmlformats.org/officeDocument/2006/relationships/image" Target="media/image2.pn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header" Target="header1.xml"/><Relationship Id="rId38" Type="http://schemas.openxmlformats.org/officeDocument/2006/relationships/footer" Target="footer4.xml"/><Relationship Id="rId46" Type="http://schemas.openxmlformats.org/officeDocument/2006/relationships/image" Target="media/image24.emf"/><Relationship Id="rId59"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yperlink" Target="http://www.apia.org.ro" TargetMode="External"/><Relationship Id="rId54"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footer" Target="footer3.xml"/><Relationship Id="rId49" Type="http://schemas.openxmlformats.org/officeDocument/2006/relationships/image" Target="media/image27.jpeg"/><Relationship Id="rId57" Type="http://schemas.openxmlformats.org/officeDocument/2006/relationships/footer" Target="footer7.xml"/><Relationship Id="rId10" Type="http://schemas.openxmlformats.org/officeDocument/2006/relationships/chart" Target="charts/chart1.xml"/><Relationship Id="rId31" Type="http://schemas.openxmlformats.org/officeDocument/2006/relationships/chart" Target="charts/chart4.xml"/><Relationship Id="rId44" Type="http://schemas.openxmlformats.org/officeDocument/2006/relationships/image" Target="media/image22.png"/><Relationship Id="rId52" Type="http://schemas.openxmlformats.org/officeDocument/2006/relationships/image" Target="media/image3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oleObject" Target="file:///C:\Documente\01%20adrese\adrese%202018\lista%20proiecte%20de%20inv%20publice%20prioritizate%20rev.xlsx" TargetMode="External"/><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oleObject" Target="file:///\\10.176.112.41\retea\Strategia%20Fiscal%20Bugetara%202019%20-%202021\SFB%2011%20martie\Tabele%204%20modificarea%20datorie.xls"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C:\Users\Ruxi\Desktop\Tables_for_RO.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rgbClr val="000064"/>
                </a:solidFill>
                <a:latin typeface="+mn-lt"/>
                <a:ea typeface="+mn-ea"/>
                <a:cs typeface="+mn-cs"/>
              </a:defRPr>
            </a:pPr>
            <a:r>
              <a:rPr lang="en-US" sz="1000">
                <a:solidFill>
                  <a:srgbClr val="000064"/>
                </a:solidFill>
              </a:rPr>
              <a:t>Deficitul bugetar</a:t>
            </a:r>
            <a:r>
              <a:rPr lang="ro-RO" sz="1000">
                <a:solidFill>
                  <a:srgbClr val="000064"/>
                </a:solidFill>
              </a:rPr>
              <a:t>( cash) </a:t>
            </a:r>
            <a:r>
              <a:rPr lang="en-US" sz="1000">
                <a:solidFill>
                  <a:srgbClr val="000064"/>
                </a:solidFill>
              </a:rPr>
              <a:t> și</a:t>
            </a:r>
            <a:r>
              <a:rPr lang="ro-RO" sz="1000">
                <a:solidFill>
                  <a:srgbClr val="000064"/>
                </a:solidFill>
              </a:rPr>
              <a:t> Cheltuielile</a:t>
            </a:r>
            <a:r>
              <a:rPr lang="ro-RO" sz="1000" baseline="0">
                <a:solidFill>
                  <a:srgbClr val="000064"/>
                </a:solidFill>
              </a:rPr>
              <a:t> cu investițiile în perioada 2017 - 2021 </a:t>
            </a:r>
          </a:p>
          <a:p>
            <a:pPr>
              <a:defRPr sz="1000" b="0" i="0" u="none" strike="noStrike" kern="1200" spc="0" baseline="0">
                <a:solidFill>
                  <a:srgbClr val="000064"/>
                </a:solidFill>
                <a:latin typeface="+mn-lt"/>
                <a:ea typeface="+mn-ea"/>
                <a:cs typeface="+mn-cs"/>
              </a:defRPr>
            </a:pPr>
            <a:r>
              <a:rPr lang="ro-RO" sz="1000" baseline="0">
                <a:solidFill>
                  <a:srgbClr val="000064"/>
                </a:solidFill>
              </a:rPr>
              <a:t>% in PIB </a:t>
            </a:r>
            <a:r>
              <a:rPr lang="en-US" sz="1000">
                <a:solidFill>
                  <a:srgbClr val="000064"/>
                </a:solidFill>
              </a:rPr>
              <a:t> </a:t>
            </a:r>
          </a:p>
        </c:rich>
      </c:tx>
      <c:layout>
        <c:manualLayout>
          <c:xMode val="edge"/>
          <c:yMode val="edge"/>
          <c:x val="0.17770847271542037"/>
          <c:y val="3.7037197936464844E-2"/>
        </c:manualLayout>
      </c:layout>
      <c:overlay val="0"/>
      <c:spPr>
        <a:noFill/>
        <a:ln w="25411">
          <a:noFill/>
        </a:ln>
      </c:spPr>
    </c:title>
    <c:autoTitleDeleted val="0"/>
    <c:plotArea>
      <c:layout>
        <c:manualLayout>
          <c:layoutTarget val="inner"/>
          <c:xMode val="edge"/>
          <c:yMode val="edge"/>
          <c:x val="0.26489041994750656"/>
          <c:y val="0.20560185185185184"/>
          <c:w val="0.71566513560804912"/>
          <c:h val="0.46830271216097985"/>
        </c:manualLayout>
      </c:layout>
      <c:areaChart>
        <c:grouping val="stacked"/>
        <c:varyColors val="0"/>
        <c:ser>
          <c:idx val="0"/>
          <c:order val="0"/>
          <c:tx>
            <c:strRef>
              <c:f>'formarea bruta de capital fix '!$F$190</c:f>
              <c:strCache>
                <c:ptCount val="1"/>
                <c:pt idx="0">
                  <c:v>Deficit bugetar</c:v>
                </c:pt>
              </c:strCache>
            </c:strRef>
          </c:tx>
          <c:spPr>
            <a:solidFill>
              <a:srgbClr val="5B9BD5"/>
            </a:solidFill>
            <a:ln w="25411">
              <a:noFill/>
            </a:ln>
          </c:spPr>
          <c:cat>
            <c:numRef>
              <c:f>'formarea bruta de capital fix '!$G$189:$K$189</c:f>
              <c:numCache>
                <c:formatCode>General</c:formatCode>
                <c:ptCount val="5"/>
                <c:pt idx="0">
                  <c:v>2017</c:v>
                </c:pt>
                <c:pt idx="1">
                  <c:v>2018</c:v>
                </c:pt>
                <c:pt idx="2">
                  <c:v>2019</c:v>
                </c:pt>
                <c:pt idx="3">
                  <c:v>2020</c:v>
                </c:pt>
                <c:pt idx="4">
                  <c:v>2021</c:v>
                </c:pt>
              </c:numCache>
            </c:numRef>
          </c:cat>
          <c:val>
            <c:numRef>
              <c:f>'formarea bruta de capital fix '!$G$190:$K$190</c:f>
              <c:numCache>
                <c:formatCode>0.00</c:formatCode>
                <c:ptCount val="5"/>
                <c:pt idx="0" formatCode="General">
                  <c:v>-2.84</c:v>
                </c:pt>
                <c:pt idx="1">
                  <c:v>-2.91</c:v>
                </c:pt>
                <c:pt idx="2" formatCode="General">
                  <c:v>-2.76</c:v>
                </c:pt>
                <c:pt idx="3" formatCode="General">
                  <c:v>-2.33</c:v>
                </c:pt>
                <c:pt idx="4" formatCode="General">
                  <c:v>-2.0099999999999998</c:v>
                </c:pt>
              </c:numCache>
            </c:numRef>
          </c:val>
        </c:ser>
        <c:dLbls>
          <c:showLegendKey val="0"/>
          <c:showVal val="0"/>
          <c:showCatName val="0"/>
          <c:showSerName val="0"/>
          <c:showPercent val="0"/>
          <c:showBubbleSize val="0"/>
        </c:dLbls>
        <c:axId val="143525232"/>
        <c:axId val="143526912"/>
      </c:areaChart>
      <c:barChart>
        <c:barDir val="col"/>
        <c:grouping val="clustered"/>
        <c:varyColors val="0"/>
        <c:ser>
          <c:idx val="1"/>
          <c:order val="1"/>
          <c:tx>
            <c:strRef>
              <c:f>'formarea bruta de capital fix '!$F$191</c:f>
              <c:strCache>
                <c:ptCount val="1"/>
                <c:pt idx="0">
                  <c:v>Cheltuieli de investitii</c:v>
                </c:pt>
              </c:strCache>
            </c:strRef>
          </c:tx>
          <c:spPr>
            <a:solidFill>
              <a:srgbClr val="70AD47"/>
            </a:solidFill>
            <a:ln w="25411">
              <a:noFill/>
            </a:ln>
          </c:spPr>
          <c:invertIfNegative val="0"/>
          <c:cat>
            <c:numRef>
              <c:f>'formarea bruta de capital fix '!$G$189:$K$189</c:f>
              <c:numCache>
                <c:formatCode>General</c:formatCode>
                <c:ptCount val="5"/>
                <c:pt idx="0">
                  <c:v>2017</c:v>
                </c:pt>
                <c:pt idx="1">
                  <c:v>2018</c:v>
                </c:pt>
                <c:pt idx="2">
                  <c:v>2019</c:v>
                </c:pt>
                <c:pt idx="3">
                  <c:v>2020</c:v>
                </c:pt>
                <c:pt idx="4">
                  <c:v>2021</c:v>
                </c:pt>
              </c:numCache>
            </c:numRef>
          </c:cat>
          <c:val>
            <c:numRef>
              <c:f>'formarea bruta de capital fix '!$G$191:$K$191</c:f>
              <c:numCache>
                <c:formatCode>General</c:formatCode>
                <c:ptCount val="5"/>
                <c:pt idx="0">
                  <c:v>3.12</c:v>
                </c:pt>
                <c:pt idx="1">
                  <c:v>3.64</c:v>
                </c:pt>
                <c:pt idx="2">
                  <c:v>4.8899999999999997</c:v>
                </c:pt>
                <c:pt idx="3">
                  <c:v>3.9</c:v>
                </c:pt>
                <c:pt idx="4">
                  <c:v>3.66</c:v>
                </c:pt>
              </c:numCache>
            </c:numRef>
          </c:val>
        </c:ser>
        <c:dLbls>
          <c:showLegendKey val="0"/>
          <c:showVal val="0"/>
          <c:showCatName val="0"/>
          <c:showSerName val="0"/>
          <c:showPercent val="0"/>
          <c:showBubbleSize val="0"/>
        </c:dLbls>
        <c:gapWidth val="219"/>
        <c:overlap val="-27"/>
        <c:axId val="143525232"/>
        <c:axId val="143526912"/>
      </c:barChart>
      <c:catAx>
        <c:axId val="143525232"/>
        <c:scaling>
          <c:orientation val="minMax"/>
        </c:scaling>
        <c:delete val="0"/>
        <c:axPos val="b"/>
        <c:numFmt formatCode="General" sourceLinked="1"/>
        <c:majorTickMark val="none"/>
        <c:minorTickMark val="none"/>
        <c:tickLblPos val="nextTo"/>
        <c:spPr>
          <a:noFill/>
          <a:ln w="9529"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143526912"/>
        <c:crosses val="autoZero"/>
        <c:auto val="1"/>
        <c:lblAlgn val="ctr"/>
        <c:lblOffset val="100"/>
        <c:noMultiLvlLbl val="0"/>
      </c:catAx>
      <c:valAx>
        <c:axId val="143526912"/>
        <c:scaling>
          <c:orientation val="minMax"/>
        </c:scaling>
        <c:delete val="0"/>
        <c:axPos val="l"/>
        <c:majorGridlines>
          <c:spPr>
            <a:ln w="9529" cap="flat" cmpd="sng" algn="ctr">
              <a:solidFill>
                <a:schemeClr val="tx1">
                  <a:lumMod val="15000"/>
                  <a:lumOff val="85000"/>
                </a:schemeClr>
              </a:solidFill>
              <a:round/>
            </a:ln>
            <a:effectLst/>
          </c:spPr>
        </c:majorGridlines>
        <c:numFmt formatCode="General" sourceLinked="1"/>
        <c:majorTickMark val="none"/>
        <c:minorTickMark val="none"/>
        <c:tickLblPos val="nextTo"/>
        <c:spPr>
          <a:ln w="9529">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143525232"/>
        <c:crosses val="autoZero"/>
        <c:crossBetween val="between"/>
      </c:valAx>
      <c:dTable>
        <c:showHorzBorder val="1"/>
        <c:showVertBorder val="1"/>
        <c:showOutline val="1"/>
        <c:showKeys val="0"/>
        <c:spPr>
          <a:noFill/>
          <a:ln w="9529"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o-RO"/>
          </a:p>
        </c:txPr>
      </c:dTable>
      <c:spPr>
        <a:noFill/>
        <a:ln w="25411">
          <a:noFill/>
        </a:ln>
      </c:spPr>
    </c:plotArea>
    <c:legend>
      <c:legendPos val="r"/>
      <c:layout>
        <c:manualLayout>
          <c:xMode val="edge"/>
          <c:yMode val="edge"/>
          <c:x val="0.3006328375619714"/>
          <c:y val="0.8953845596886596"/>
          <c:w val="0.42879745423978871"/>
          <c:h val="7.3846320934021215E-2"/>
        </c:manualLayout>
      </c:layout>
      <c:overlay val="0"/>
    </c:legend>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a:pPr>
      <a:endParaRPr lang="ro-R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426" b="0" i="0" u="none" strike="noStrike" kern="1200" spc="0" baseline="0">
                <a:solidFill>
                  <a:schemeClr val="tx1"/>
                </a:solidFill>
                <a:latin typeface="+mn-lt"/>
                <a:ea typeface="+mn-ea"/>
                <a:cs typeface="+mn-cs"/>
              </a:defRPr>
            </a:pPr>
            <a:r>
              <a:rPr lang="en-US" sz="426">
                <a:solidFill>
                  <a:schemeClr val="tx1"/>
                </a:solidFill>
                <a:latin typeface="+mn-lt"/>
              </a:rPr>
              <a:t>Structura cheltuielilor de investi</a:t>
            </a:r>
            <a:r>
              <a:rPr lang="ro-RO" sz="426">
                <a:solidFill>
                  <a:schemeClr val="tx1"/>
                </a:solidFill>
                <a:latin typeface="+mn-lt"/>
              </a:rPr>
              <a:t>ț</a:t>
            </a:r>
            <a:r>
              <a:rPr lang="en-US" sz="426">
                <a:solidFill>
                  <a:schemeClr val="tx1"/>
                </a:solidFill>
                <a:latin typeface="+mn-lt"/>
              </a:rPr>
              <a:t>ii</a:t>
            </a:r>
            <a:r>
              <a:rPr lang="ro-RO" sz="426">
                <a:solidFill>
                  <a:schemeClr val="tx1"/>
                </a:solidFill>
                <a:latin typeface="+mn-lt"/>
              </a:rPr>
              <a:t> în </a:t>
            </a:r>
            <a:r>
              <a:rPr lang="en-US" sz="426">
                <a:solidFill>
                  <a:schemeClr val="tx1"/>
                </a:solidFill>
                <a:latin typeface="+mn-lt"/>
              </a:rPr>
              <a:t>perioada 2019-202</a:t>
            </a:r>
            <a:r>
              <a:rPr lang="ro-RO" sz="426">
                <a:solidFill>
                  <a:schemeClr val="tx1"/>
                </a:solidFill>
                <a:latin typeface="+mn-lt"/>
              </a:rPr>
              <a:t>1</a:t>
            </a:r>
            <a:endParaRPr lang="en-US" sz="1400">
              <a:solidFill>
                <a:schemeClr val="tx1"/>
              </a:solidFill>
              <a:latin typeface="+mn-lt"/>
            </a:endParaRPr>
          </a:p>
        </c:rich>
      </c:tx>
      <c:layout/>
      <c:overlay val="0"/>
      <c:spPr>
        <a:noFill/>
        <a:ln w="7731">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0.37442733916889792"/>
          <c:y val="0.19374381785568923"/>
          <c:w val="0.6057006973732505"/>
          <c:h val="0.53097793465424792"/>
        </c:manualLayout>
      </c:layout>
      <c:bar3DChart>
        <c:barDir val="col"/>
        <c:grouping val="stacked"/>
        <c:varyColors val="0"/>
        <c:ser>
          <c:idx val="0"/>
          <c:order val="0"/>
          <c:tx>
            <c:strRef>
              <c:f>'formarea bruta de capital fix '!$C$182</c:f>
              <c:strCache>
                <c:ptCount val="1"/>
                <c:pt idx="0">
                  <c:v>Proiecte FEN</c:v>
                </c:pt>
              </c:strCache>
            </c:strRef>
          </c:tx>
          <c:spPr>
            <a:solidFill>
              <a:srgbClr val="4472C4"/>
            </a:solidFill>
            <a:ln w="7731">
              <a:noFill/>
            </a:ln>
          </c:spPr>
          <c:invertIfNegative val="0"/>
          <c:cat>
            <c:numRef>
              <c:f>'formarea bruta de capital fix '!$D$181:$F$181</c:f>
              <c:numCache>
                <c:formatCode>General</c:formatCode>
                <c:ptCount val="3"/>
                <c:pt idx="0">
                  <c:v>2019</c:v>
                </c:pt>
                <c:pt idx="1">
                  <c:v>2020</c:v>
                </c:pt>
                <c:pt idx="2">
                  <c:v>2021</c:v>
                </c:pt>
              </c:numCache>
            </c:numRef>
          </c:cat>
          <c:val>
            <c:numRef>
              <c:f>'formarea bruta de capital fix '!$D$182:$F$182</c:f>
              <c:numCache>
                <c:formatCode>General</c:formatCode>
                <c:ptCount val="3"/>
                <c:pt idx="0">
                  <c:v>2.08</c:v>
                </c:pt>
                <c:pt idx="1">
                  <c:v>1.62</c:v>
                </c:pt>
                <c:pt idx="2">
                  <c:v>1.21</c:v>
                </c:pt>
              </c:numCache>
            </c:numRef>
          </c:val>
        </c:ser>
        <c:ser>
          <c:idx val="1"/>
          <c:order val="1"/>
          <c:tx>
            <c:strRef>
              <c:f>'formarea bruta de capital fix '!$C$183</c:f>
              <c:strCache>
                <c:ptCount val="1"/>
                <c:pt idx="0">
                  <c:v>Cheltuieli aferente programelor cu finantare rambursabila</c:v>
                </c:pt>
              </c:strCache>
            </c:strRef>
          </c:tx>
          <c:spPr>
            <a:solidFill>
              <a:srgbClr val="ED7D31"/>
            </a:solidFill>
            <a:ln w="7731">
              <a:noFill/>
            </a:ln>
          </c:spPr>
          <c:invertIfNegative val="0"/>
          <c:cat>
            <c:numRef>
              <c:f>'formarea bruta de capital fix '!$D$181:$F$181</c:f>
              <c:numCache>
                <c:formatCode>General</c:formatCode>
                <c:ptCount val="3"/>
                <c:pt idx="0">
                  <c:v>2019</c:v>
                </c:pt>
                <c:pt idx="1">
                  <c:v>2020</c:v>
                </c:pt>
                <c:pt idx="2">
                  <c:v>2021</c:v>
                </c:pt>
              </c:numCache>
            </c:numRef>
          </c:cat>
          <c:val>
            <c:numRef>
              <c:f>'formarea bruta de capital fix '!$D$183:$F$183</c:f>
              <c:numCache>
                <c:formatCode>General</c:formatCode>
                <c:ptCount val="3"/>
                <c:pt idx="0">
                  <c:v>7.0000000000000007E-2</c:v>
                </c:pt>
                <c:pt idx="1">
                  <c:v>0.06</c:v>
                </c:pt>
                <c:pt idx="2">
                  <c:v>7.0000000000000007E-2</c:v>
                </c:pt>
              </c:numCache>
            </c:numRef>
          </c:val>
        </c:ser>
        <c:ser>
          <c:idx val="2"/>
          <c:order val="2"/>
          <c:tx>
            <c:strRef>
              <c:f>'formarea bruta de capital fix '!$C$184</c:f>
              <c:strCache>
                <c:ptCount val="1"/>
                <c:pt idx="0">
                  <c:v>Cheltuieli de capital </c:v>
                </c:pt>
              </c:strCache>
            </c:strRef>
          </c:tx>
          <c:spPr>
            <a:solidFill>
              <a:schemeClr val="bg2">
                <a:lumMod val="90000"/>
              </a:schemeClr>
            </a:solidFill>
            <a:ln>
              <a:noFill/>
            </a:ln>
            <a:effectLst/>
            <a:sp3d/>
          </c:spPr>
          <c:invertIfNegative val="0"/>
          <c:dPt>
            <c:idx val="0"/>
            <c:invertIfNegative val="0"/>
            <c:bubble3D val="0"/>
            <c:spPr>
              <a:solidFill>
                <a:schemeClr val="bg1">
                  <a:lumMod val="75000"/>
                </a:schemeClr>
              </a:solidFill>
              <a:ln>
                <a:noFill/>
              </a:ln>
              <a:effectLst/>
              <a:sp3d/>
            </c:spPr>
          </c:dPt>
          <c:dPt>
            <c:idx val="1"/>
            <c:invertIfNegative val="0"/>
            <c:bubble3D val="0"/>
            <c:spPr>
              <a:solidFill>
                <a:schemeClr val="bg1">
                  <a:lumMod val="75000"/>
                </a:schemeClr>
              </a:solidFill>
              <a:ln>
                <a:noFill/>
              </a:ln>
              <a:effectLst/>
              <a:sp3d/>
            </c:spPr>
          </c:dPt>
          <c:dPt>
            <c:idx val="2"/>
            <c:invertIfNegative val="0"/>
            <c:bubble3D val="0"/>
            <c:spPr>
              <a:solidFill>
                <a:schemeClr val="bg1">
                  <a:lumMod val="75000"/>
                </a:schemeClr>
              </a:solidFill>
              <a:ln>
                <a:noFill/>
              </a:ln>
              <a:effectLst/>
              <a:sp3d/>
            </c:spPr>
          </c:dPt>
          <c:dPt>
            <c:idx val="3"/>
            <c:invertIfNegative val="0"/>
            <c:bubble3D val="0"/>
            <c:spPr>
              <a:solidFill>
                <a:schemeClr val="bg1">
                  <a:lumMod val="75000"/>
                </a:schemeClr>
              </a:solidFill>
              <a:ln>
                <a:noFill/>
              </a:ln>
              <a:effectLst/>
              <a:sp3d/>
            </c:spPr>
          </c:dPt>
          <c:cat>
            <c:numRef>
              <c:f>'formarea bruta de capital fix '!$D$181:$F$181</c:f>
              <c:numCache>
                <c:formatCode>General</c:formatCode>
                <c:ptCount val="3"/>
                <c:pt idx="0">
                  <c:v>2019</c:v>
                </c:pt>
                <c:pt idx="1">
                  <c:v>2020</c:v>
                </c:pt>
                <c:pt idx="2">
                  <c:v>2021</c:v>
                </c:pt>
              </c:numCache>
            </c:numRef>
          </c:cat>
          <c:val>
            <c:numRef>
              <c:f>'formarea bruta de capital fix '!$D$184:$F$184</c:f>
              <c:numCache>
                <c:formatCode>General</c:formatCode>
                <c:ptCount val="3"/>
                <c:pt idx="0">
                  <c:v>2.46</c:v>
                </c:pt>
                <c:pt idx="1">
                  <c:v>1.97</c:v>
                </c:pt>
                <c:pt idx="2">
                  <c:v>2.14</c:v>
                </c:pt>
              </c:numCache>
            </c:numRef>
          </c:val>
        </c:ser>
        <c:ser>
          <c:idx val="3"/>
          <c:order val="3"/>
          <c:tx>
            <c:strRef>
              <c:f>'formarea bruta de capital fix '!$C$185</c:f>
              <c:strCache>
                <c:ptCount val="1"/>
                <c:pt idx="0">
                  <c:v>Alte transferuri de natura investiţiilor </c:v>
                </c:pt>
              </c:strCache>
            </c:strRef>
          </c:tx>
          <c:spPr>
            <a:solidFill>
              <a:srgbClr val="7030A0"/>
            </a:solidFill>
            <a:ln w="7731">
              <a:noFill/>
            </a:ln>
          </c:spPr>
          <c:invertIfNegative val="0"/>
          <c:cat>
            <c:numRef>
              <c:f>'formarea bruta de capital fix '!$D$181:$F$181</c:f>
              <c:numCache>
                <c:formatCode>General</c:formatCode>
                <c:ptCount val="3"/>
                <c:pt idx="0">
                  <c:v>2019</c:v>
                </c:pt>
                <c:pt idx="1">
                  <c:v>2020</c:v>
                </c:pt>
                <c:pt idx="2">
                  <c:v>2021</c:v>
                </c:pt>
              </c:numCache>
            </c:numRef>
          </c:cat>
          <c:val>
            <c:numRef>
              <c:f>'formarea bruta de capital fix '!$D$185:$F$185</c:f>
              <c:numCache>
                <c:formatCode>General</c:formatCode>
                <c:ptCount val="3"/>
                <c:pt idx="0">
                  <c:v>0.28000000000000003</c:v>
                </c:pt>
                <c:pt idx="1">
                  <c:v>0.26</c:v>
                </c:pt>
                <c:pt idx="2">
                  <c:v>0.24</c:v>
                </c:pt>
              </c:numCache>
            </c:numRef>
          </c:val>
        </c:ser>
        <c:dLbls>
          <c:showLegendKey val="0"/>
          <c:showVal val="0"/>
          <c:showCatName val="0"/>
          <c:showSerName val="0"/>
          <c:showPercent val="0"/>
          <c:showBubbleSize val="0"/>
        </c:dLbls>
        <c:gapWidth val="150"/>
        <c:shape val="box"/>
        <c:axId val="225116592"/>
        <c:axId val="225117152"/>
        <c:axId val="0"/>
      </c:bar3DChart>
      <c:catAx>
        <c:axId val="225116592"/>
        <c:scaling>
          <c:orientation val="minMax"/>
        </c:scaling>
        <c:delete val="0"/>
        <c:axPos val="b"/>
        <c:numFmt formatCode="General" sourceLinked="1"/>
        <c:majorTickMark val="none"/>
        <c:minorTickMark val="none"/>
        <c:tickLblPos val="nextTo"/>
        <c:spPr>
          <a:ln w="1933">
            <a:noFill/>
          </a:ln>
        </c:spPr>
        <c:txPr>
          <a:bodyPr rot="-60000000" spcFirstLastPara="1" vertOverflow="ellipsis" vert="horz" wrap="square" anchor="ctr" anchorCtr="1"/>
          <a:lstStyle/>
          <a:p>
            <a:pPr>
              <a:defRPr sz="274" b="0" i="0" u="none" strike="noStrike" kern="1200" baseline="0">
                <a:solidFill>
                  <a:schemeClr val="tx1">
                    <a:lumMod val="65000"/>
                    <a:lumOff val="35000"/>
                  </a:schemeClr>
                </a:solidFill>
                <a:latin typeface="+mn-lt"/>
                <a:ea typeface="+mn-ea"/>
                <a:cs typeface="+mn-cs"/>
              </a:defRPr>
            </a:pPr>
            <a:endParaRPr lang="ro-RO"/>
          </a:p>
        </c:txPr>
        <c:crossAx val="225117152"/>
        <c:crosses val="autoZero"/>
        <c:auto val="1"/>
        <c:lblAlgn val="ctr"/>
        <c:lblOffset val="100"/>
        <c:noMultiLvlLbl val="0"/>
      </c:catAx>
      <c:valAx>
        <c:axId val="225117152"/>
        <c:scaling>
          <c:orientation val="minMax"/>
        </c:scaling>
        <c:delete val="0"/>
        <c:axPos val="l"/>
        <c:majorGridlines>
          <c:spPr>
            <a:ln w="2899" cap="flat" cmpd="sng" algn="ctr">
              <a:solidFill>
                <a:schemeClr val="tx1">
                  <a:lumMod val="15000"/>
                  <a:lumOff val="85000"/>
                </a:schemeClr>
              </a:solidFill>
              <a:round/>
            </a:ln>
            <a:effectLst/>
          </c:spPr>
        </c:majorGridlines>
        <c:numFmt formatCode="General" sourceLinked="1"/>
        <c:majorTickMark val="none"/>
        <c:minorTickMark val="none"/>
        <c:tickLblPos val="nextTo"/>
        <c:spPr>
          <a:ln w="1933">
            <a:noFill/>
          </a:ln>
        </c:spPr>
        <c:txPr>
          <a:bodyPr rot="-60000000" spcFirstLastPara="1" vertOverflow="ellipsis" vert="horz" wrap="square" anchor="ctr" anchorCtr="1"/>
          <a:lstStyle/>
          <a:p>
            <a:pPr>
              <a:defRPr sz="274" b="0" i="0" u="none" strike="noStrike" kern="1200" baseline="0">
                <a:solidFill>
                  <a:schemeClr val="tx1">
                    <a:lumMod val="65000"/>
                    <a:lumOff val="35000"/>
                  </a:schemeClr>
                </a:solidFill>
                <a:latin typeface="+mn-lt"/>
                <a:ea typeface="+mn-ea"/>
                <a:cs typeface="+mn-cs"/>
              </a:defRPr>
            </a:pPr>
            <a:endParaRPr lang="ro-RO"/>
          </a:p>
        </c:txPr>
        <c:crossAx val="225116592"/>
        <c:crosses val="autoZero"/>
        <c:crossBetween val="between"/>
      </c:valAx>
      <c:dTable>
        <c:showHorzBorder val="1"/>
        <c:showVertBorder val="1"/>
        <c:showOutline val="1"/>
        <c:showKeys val="1"/>
        <c:spPr>
          <a:noFill/>
          <a:ln w="2899" cap="flat" cmpd="sng" algn="ctr">
            <a:solidFill>
              <a:schemeClr val="tx1">
                <a:lumMod val="15000"/>
                <a:lumOff val="85000"/>
              </a:schemeClr>
            </a:solidFill>
            <a:round/>
          </a:ln>
          <a:effectLst/>
        </c:spPr>
        <c:txPr>
          <a:bodyPr rot="0" spcFirstLastPara="1" vertOverflow="ellipsis" vert="horz" wrap="square" anchor="ctr" anchorCtr="1"/>
          <a:lstStyle/>
          <a:p>
            <a:pPr rtl="0">
              <a:defRPr sz="365" b="0" i="0" u="none" strike="noStrike" kern="1200" baseline="0">
                <a:solidFill>
                  <a:schemeClr val="tx1">
                    <a:lumMod val="65000"/>
                    <a:lumOff val="35000"/>
                  </a:schemeClr>
                </a:solidFill>
                <a:latin typeface="+mn-lt"/>
                <a:ea typeface="+mn-ea"/>
                <a:cs typeface="+mn-cs"/>
              </a:defRPr>
            </a:pPr>
            <a:endParaRPr lang="ro-RO"/>
          </a:p>
        </c:txPr>
      </c:dTable>
      <c:spPr>
        <a:noFill/>
        <a:ln w="7731">
          <a:noFill/>
        </a:ln>
      </c:spPr>
    </c:plotArea>
    <c:plotVisOnly val="1"/>
    <c:dispBlanksAs val="gap"/>
    <c:showDLblsOverMax val="0"/>
  </c:chart>
  <c:spPr>
    <a:solidFill>
      <a:schemeClr val="bg1"/>
    </a:solidFill>
    <a:ln w="2899" cap="flat" cmpd="sng" algn="ctr">
      <a:solidFill>
        <a:schemeClr val="tx1">
          <a:lumMod val="15000"/>
          <a:lumOff val="85000"/>
        </a:schemeClr>
      </a:solidFill>
      <a:round/>
    </a:ln>
    <a:effectLst/>
  </c:spPr>
  <c:txPr>
    <a:bodyPr/>
    <a:lstStyle/>
    <a:p>
      <a:pPr>
        <a:defRPr/>
      </a:pPr>
      <a:endParaRPr lang="ro-R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395" b="1" i="0" u="none" strike="noStrike" kern="1200" spc="0" baseline="0">
                <a:solidFill>
                  <a:srgbClr val="000050"/>
                </a:solidFill>
                <a:latin typeface="+mn-lt"/>
                <a:ea typeface="+mn-ea"/>
                <a:cs typeface="+mn-cs"/>
              </a:defRPr>
            </a:pPr>
            <a:r>
              <a:rPr lang="ro-RO" sz="659" b="1">
                <a:solidFill>
                  <a:srgbClr val="000050"/>
                </a:solidFill>
              </a:rPr>
              <a:t>Evolutia deficitelor cash, ESA si structural</a:t>
            </a:r>
            <a:r>
              <a:rPr lang="ro-RO" sz="659" b="1" baseline="0">
                <a:solidFill>
                  <a:srgbClr val="000050"/>
                </a:solidFill>
              </a:rPr>
              <a:t> in perioada 2015-2021</a:t>
            </a:r>
          </a:p>
          <a:p>
            <a:pPr>
              <a:defRPr sz="395" b="1" i="0" u="none" strike="noStrike" kern="1200" spc="0" baseline="0">
                <a:solidFill>
                  <a:srgbClr val="000050"/>
                </a:solidFill>
                <a:latin typeface="+mn-lt"/>
                <a:ea typeface="+mn-ea"/>
                <a:cs typeface="+mn-cs"/>
              </a:defRPr>
            </a:pPr>
            <a:r>
              <a:rPr lang="ro-RO" sz="659" b="1" baseline="0">
                <a:solidFill>
                  <a:srgbClr val="000050"/>
                </a:solidFill>
              </a:rPr>
              <a:t>% in PIB</a:t>
            </a:r>
            <a:endParaRPr lang="ro-RO" sz="1100" b="1">
              <a:solidFill>
                <a:srgbClr val="000050"/>
              </a:solidFill>
            </a:endParaRPr>
          </a:p>
        </c:rich>
      </c:tx>
      <c:layout/>
      <c:overlay val="0"/>
      <c:spPr>
        <a:noFill/>
        <a:ln w="15208">
          <a:noFill/>
        </a:ln>
      </c:spPr>
    </c:title>
    <c:autoTitleDeleted val="0"/>
    <c:plotArea>
      <c:layout>
        <c:manualLayout>
          <c:layoutTarget val="inner"/>
          <c:xMode val="edge"/>
          <c:yMode val="edge"/>
          <c:x val="4.7922679593876388E-2"/>
          <c:y val="0.14753381066030233"/>
          <c:w val="0.94733127095893133"/>
          <c:h val="0.68589849598155839"/>
        </c:manualLayout>
      </c:layout>
      <c:barChart>
        <c:barDir val="col"/>
        <c:grouping val="clustered"/>
        <c:varyColors val="0"/>
        <c:ser>
          <c:idx val="0"/>
          <c:order val="0"/>
          <c:tx>
            <c:strRef>
              <c:f>'D ESA , structura maastricht '!$A$36</c:f>
              <c:strCache>
                <c:ptCount val="1"/>
              </c:strCache>
            </c:strRef>
          </c:tx>
          <c:spPr>
            <a:solidFill>
              <a:srgbClr val="5B9BD5"/>
            </a:solidFill>
            <a:ln w="15208">
              <a:noFill/>
            </a:ln>
          </c:spPr>
          <c:invertIfNegative val="0"/>
          <c:cat>
            <c:numRef>
              <c:f>'D ESA , structura maastricht '!$B$35:$H$35</c:f>
              <c:numCache>
                <c:formatCode>General</c:formatCode>
                <c:ptCount val="7"/>
                <c:pt idx="0">
                  <c:v>2015</c:v>
                </c:pt>
                <c:pt idx="1">
                  <c:v>2016</c:v>
                </c:pt>
                <c:pt idx="2">
                  <c:v>2017</c:v>
                </c:pt>
                <c:pt idx="3">
                  <c:v>2018</c:v>
                </c:pt>
                <c:pt idx="4">
                  <c:v>2019</c:v>
                </c:pt>
                <c:pt idx="5">
                  <c:v>2020</c:v>
                </c:pt>
                <c:pt idx="6">
                  <c:v>2021</c:v>
                </c:pt>
              </c:numCache>
            </c:numRef>
          </c:cat>
          <c:val>
            <c:numRef>
              <c:f>'D ESA , structura maastricht '!$B$36:$H$36</c:f>
              <c:numCache>
                <c:formatCode>General</c:formatCode>
                <c:ptCount val="7"/>
              </c:numCache>
            </c:numRef>
          </c:val>
        </c:ser>
        <c:ser>
          <c:idx val="1"/>
          <c:order val="1"/>
          <c:tx>
            <c:strRef>
              <c:f>'D ESA , structura maastricht '!$A$37</c:f>
              <c:strCache>
                <c:ptCount val="1"/>
                <c:pt idx="0">
                  <c:v>Deficit cash</c:v>
                </c:pt>
              </c:strCache>
            </c:strRef>
          </c:tx>
          <c:spPr>
            <a:solidFill>
              <a:srgbClr val="5B9BD5"/>
            </a:solidFill>
            <a:ln w="15208">
              <a:noFill/>
            </a:ln>
          </c:spPr>
          <c:invertIfNegative val="0"/>
          <c:dLbls>
            <c:dLbl>
              <c:idx val="6"/>
              <c:layout>
                <c:manualLayout>
                  <c:x val="-2.6127452593944889E-2"/>
                  <c:y val="4.0097800746134822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w="15208">
                <a:noFill/>
              </a:ln>
            </c:spPr>
            <c:txPr>
              <a:bodyPr rot="0" spcFirstLastPara="1" vertOverflow="ellipsis" vert="horz" wrap="square" lIns="38100" tIns="19050" rIns="38100" bIns="19050" anchor="ctr" anchorCtr="1">
                <a:spAutoFit/>
              </a:bodyPr>
              <a:lstStyle/>
              <a:p>
                <a:pPr>
                  <a:defRPr sz="539" b="0" i="0" u="none" strike="noStrike" kern="1200" baseline="0">
                    <a:solidFill>
                      <a:schemeClr val="tx1">
                        <a:lumMod val="75000"/>
                        <a:lumOff val="25000"/>
                      </a:schemeClr>
                    </a:solidFill>
                    <a:latin typeface="+mn-lt"/>
                    <a:ea typeface="+mn-ea"/>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'D ESA , structura maastricht '!$B$35:$H$35</c:f>
              <c:numCache>
                <c:formatCode>General</c:formatCode>
                <c:ptCount val="7"/>
                <c:pt idx="0">
                  <c:v>2015</c:v>
                </c:pt>
                <c:pt idx="1">
                  <c:v>2016</c:v>
                </c:pt>
                <c:pt idx="2">
                  <c:v>2017</c:v>
                </c:pt>
                <c:pt idx="3">
                  <c:v>2018</c:v>
                </c:pt>
                <c:pt idx="4">
                  <c:v>2019</c:v>
                </c:pt>
                <c:pt idx="5">
                  <c:v>2020</c:v>
                </c:pt>
                <c:pt idx="6">
                  <c:v>2021</c:v>
                </c:pt>
              </c:numCache>
            </c:numRef>
          </c:cat>
          <c:val>
            <c:numRef>
              <c:f>'D ESA , structura maastricht '!$B$37:$H$37</c:f>
              <c:numCache>
                <c:formatCode>General</c:formatCode>
                <c:ptCount val="7"/>
                <c:pt idx="0">
                  <c:v>-1.4</c:v>
                </c:pt>
                <c:pt idx="1">
                  <c:v>-2.39</c:v>
                </c:pt>
                <c:pt idx="2">
                  <c:v>-2.84</c:v>
                </c:pt>
                <c:pt idx="3">
                  <c:v>-2.91</c:v>
                </c:pt>
                <c:pt idx="4">
                  <c:v>-2.76</c:v>
                </c:pt>
                <c:pt idx="5">
                  <c:v>-2.33</c:v>
                </c:pt>
                <c:pt idx="6">
                  <c:v>-2.0099999999999998</c:v>
                </c:pt>
              </c:numCache>
            </c:numRef>
          </c:val>
        </c:ser>
        <c:ser>
          <c:idx val="2"/>
          <c:order val="2"/>
          <c:tx>
            <c:strRef>
              <c:f>'D ESA , structura maastricht '!$A$38</c:f>
              <c:strCache>
                <c:ptCount val="1"/>
                <c:pt idx="0">
                  <c:v>Deficit ESA </c:v>
                </c:pt>
              </c:strCache>
            </c:strRef>
          </c:tx>
          <c:spPr>
            <a:solidFill>
              <a:schemeClr val="accent3"/>
            </a:solidFill>
            <a:ln>
              <a:solidFill>
                <a:schemeClr val="accent5">
                  <a:lumMod val="20000"/>
                  <a:lumOff val="80000"/>
                </a:schemeClr>
              </a:solidFill>
            </a:ln>
            <a:effectLst/>
          </c:spPr>
          <c:invertIfNegative val="0"/>
          <c:dLbls>
            <c:dLbl>
              <c:idx val="2"/>
              <c:layout>
                <c:manualLayout>
                  <c:x val="-1.8811136192626034E-3"/>
                  <c:y val="-5.1710108432150036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8811136192625345E-3"/>
                  <c:y val="-7.1599045346061985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6.8973369253381449E-17"/>
                  <c:y val="-0.1034208432776451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8811136192626034E-3"/>
                  <c:y val="-0.1113762927605409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379467385067629E-16"/>
                  <c:y val="-6.3643282656493647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379467385067629E-16"/>
                  <c:y val="-3.5799522673031027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15208">
                <a:noFill/>
              </a:ln>
            </c:spPr>
            <c:txPr>
              <a:bodyPr rot="0" spcFirstLastPara="1" vertOverflow="ellipsis" vert="horz" wrap="square" lIns="38100" tIns="19050" rIns="38100" bIns="19050" anchor="ctr" anchorCtr="1">
                <a:spAutoFit/>
              </a:bodyPr>
              <a:lstStyle/>
              <a:p>
                <a:pPr>
                  <a:defRPr sz="539" b="0" i="0" u="none" strike="noStrike" kern="1200" baseline="0">
                    <a:solidFill>
                      <a:schemeClr val="tx1">
                        <a:lumMod val="75000"/>
                        <a:lumOff val="25000"/>
                      </a:schemeClr>
                    </a:solidFill>
                    <a:latin typeface="+mn-lt"/>
                    <a:ea typeface="+mn-ea"/>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'D ESA , structura maastricht '!$B$35:$H$35</c:f>
              <c:numCache>
                <c:formatCode>General</c:formatCode>
                <c:ptCount val="7"/>
                <c:pt idx="0">
                  <c:v>2015</c:v>
                </c:pt>
                <c:pt idx="1">
                  <c:v>2016</c:v>
                </c:pt>
                <c:pt idx="2">
                  <c:v>2017</c:v>
                </c:pt>
                <c:pt idx="3">
                  <c:v>2018</c:v>
                </c:pt>
                <c:pt idx="4">
                  <c:v>2019</c:v>
                </c:pt>
                <c:pt idx="5">
                  <c:v>2020</c:v>
                </c:pt>
                <c:pt idx="6">
                  <c:v>2021</c:v>
                </c:pt>
              </c:numCache>
            </c:numRef>
          </c:cat>
          <c:val>
            <c:numRef>
              <c:f>'D ESA , structura maastricht '!$B$38:$H$38</c:f>
              <c:numCache>
                <c:formatCode>General</c:formatCode>
                <c:ptCount val="7"/>
                <c:pt idx="0">
                  <c:v>-0.69</c:v>
                </c:pt>
                <c:pt idx="1">
                  <c:v>-2.92</c:v>
                </c:pt>
                <c:pt idx="2">
                  <c:v>-2.88</c:v>
                </c:pt>
                <c:pt idx="3">
                  <c:v>-2.96</c:v>
                </c:pt>
                <c:pt idx="4">
                  <c:v>-2.78</c:v>
                </c:pt>
                <c:pt idx="5">
                  <c:v>-2.68</c:v>
                </c:pt>
                <c:pt idx="6">
                  <c:v>-2.4500000000000002</c:v>
                </c:pt>
              </c:numCache>
            </c:numRef>
          </c:val>
        </c:ser>
        <c:ser>
          <c:idx val="3"/>
          <c:order val="3"/>
          <c:tx>
            <c:strRef>
              <c:f>'D ESA , structura maastricht '!$A$39</c:f>
              <c:strCache>
                <c:ptCount val="1"/>
                <c:pt idx="0">
                  <c:v>Deficit structural </c:v>
                </c:pt>
              </c:strCache>
            </c:strRef>
          </c:tx>
          <c:spPr>
            <a:solidFill>
              <a:srgbClr val="70AD47"/>
            </a:solidFill>
            <a:ln w="15208">
              <a:noFill/>
            </a:ln>
          </c:spPr>
          <c:invertIfNegative val="0"/>
          <c:dLbls>
            <c:dLbl>
              <c:idx val="6"/>
              <c:layout>
                <c:manualLayout>
                  <c:x val="2.6127452593944889E-2"/>
                  <c:y val="8.0195601492269643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w="15208">
                <a:noFill/>
              </a:ln>
            </c:spPr>
            <c:txPr>
              <a:bodyPr rot="0" spcFirstLastPara="1" vertOverflow="ellipsis" vert="horz" wrap="square" lIns="38100" tIns="19050" rIns="38100" bIns="19050" anchor="ctr" anchorCtr="1">
                <a:spAutoFit/>
              </a:bodyPr>
              <a:lstStyle/>
              <a:p>
                <a:pPr>
                  <a:defRPr sz="539" b="0" i="0" u="none" strike="noStrike" kern="1200" baseline="0">
                    <a:solidFill>
                      <a:schemeClr val="tx1">
                        <a:lumMod val="75000"/>
                        <a:lumOff val="25000"/>
                      </a:schemeClr>
                    </a:solidFill>
                    <a:latin typeface="+mn-lt"/>
                    <a:ea typeface="+mn-ea"/>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'D ESA , structura maastricht '!$B$35:$H$35</c:f>
              <c:numCache>
                <c:formatCode>General</c:formatCode>
                <c:ptCount val="7"/>
                <c:pt idx="0">
                  <c:v>2015</c:v>
                </c:pt>
                <c:pt idx="1">
                  <c:v>2016</c:v>
                </c:pt>
                <c:pt idx="2">
                  <c:v>2017</c:v>
                </c:pt>
                <c:pt idx="3">
                  <c:v>2018</c:v>
                </c:pt>
                <c:pt idx="4">
                  <c:v>2019</c:v>
                </c:pt>
                <c:pt idx="5">
                  <c:v>2020</c:v>
                </c:pt>
                <c:pt idx="6">
                  <c:v>2021</c:v>
                </c:pt>
              </c:numCache>
            </c:numRef>
          </c:cat>
          <c:val>
            <c:numRef>
              <c:f>'D ESA , structura maastricht '!$B$39:$H$39</c:f>
              <c:numCache>
                <c:formatCode>General</c:formatCode>
                <c:ptCount val="7"/>
                <c:pt idx="0">
                  <c:v>-0.2</c:v>
                </c:pt>
                <c:pt idx="1">
                  <c:v>-2.2000000000000002</c:v>
                </c:pt>
                <c:pt idx="2">
                  <c:v>-3.36</c:v>
                </c:pt>
                <c:pt idx="3">
                  <c:v>-3.03</c:v>
                </c:pt>
                <c:pt idx="4">
                  <c:v>-2.97</c:v>
                </c:pt>
                <c:pt idx="5">
                  <c:v>-3.03</c:v>
                </c:pt>
                <c:pt idx="6">
                  <c:v>-2.77</c:v>
                </c:pt>
              </c:numCache>
            </c:numRef>
          </c:val>
        </c:ser>
        <c:dLbls>
          <c:showLegendKey val="0"/>
          <c:showVal val="0"/>
          <c:showCatName val="0"/>
          <c:showSerName val="0"/>
          <c:showPercent val="0"/>
          <c:showBubbleSize val="0"/>
        </c:dLbls>
        <c:gapWidth val="219"/>
        <c:overlap val="-27"/>
        <c:axId val="226682736"/>
        <c:axId val="226683296"/>
      </c:barChart>
      <c:catAx>
        <c:axId val="226682736"/>
        <c:scaling>
          <c:orientation val="minMax"/>
        </c:scaling>
        <c:delete val="0"/>
        <c:axPos val="b"/>
        <c:numFmt formatCode="General" sourceLinked="1"/>
        <c:majorTickMark val="none"/>
        <c:minorTickMark val="none"/>
        <c:tickLblPos val="nextTo"/>
        <c:spPr>
          <a:noFill/>
          <a:ln w="5703" cap="flat" cmpd="sng" algn="ctr">
            <a:solidFill>
              <a:schemeClr val="tx1">
                <a:lumMod val="15000"/>
                <a:lumOff val="85000"/>
              </a:schemeClr>
            </a:solidFill>
            <a:round/>
          </a:ln>
          <a:effectLst/>
        </c:spPr>
        <c:txPr>
          <a:bodyPr rot="-60000000" spcFirstLastPara="1" vertOverflow="ellipsis" vert="horz" wrap="square" anchor="ctr" anchorCtr="1"/>
          <a:lstStyle/>
          <a:p>
            <a:pPr>
              <a:defRPr sz="599" b="1" i="0" u="none" strike="noStrike" kern="1200" baseline="0">
                <a:solidFill>
                  <a:srgbClr val="002060"/>
                </a:solidFill>
                <a:latin typeface="+mn-lt"/>
                <a:ea typeface="+mn-ea"/>
                <a:cs typeface="+mn-cs"/>
              </a:defRPr>
            </a:pPr>
            <a:endParaRPr lang="ro-RO"/>
          </a:p>
        </c:txPr>
        <c:crossAx val="226683296"/>
        <c:crosses val="autoZero"/>
        <c:auto val="1"/>
        <c:lblAlgn val="ctr"/>
        <c:lblOffset val="100"/>
        <c:noMultiLvlLbl val="0"/>
      </c:catAx>
      <c:valAx>
        <c:axId val="226683296"/>
        <c:scaling>
          <c:orientation val="minMax"/>
        </c:scaling>
        <c:delete val="0"/>
        <c:axPos val="l"/>
        <c:majorGridlines>
          <c:spPr>
            <a:ln w="5703" cap="flat" cmpd="sng" algn="ctr">
              <a:solidFill>
                <a:schemeClr val="tx1">
                  <a:lumMod val="15000"/>
                  <a:lumOff val="85000"/>
                </a:schemeClr>
              </a:solidFill>
              <a:round/>
            </a:ln>
            <a:effectLst/>
          </c:spPr>
        </c:majorGridlines>
        <c:numFmt formatCode="General" sourceLinked="1"/>
        <c:majorTickMark val="none"/>
        <c:minorTickMark val="none"/>
        <c:tickLblPos val="nextTo"/>
        <c:spPr>
          <a:ln w="3802">
            <a:noFill/>
          </a:ln>
        </c:spPr>
        <c:txPr>
          <a:bodyPr rot="-60000000" spcFirstLastPara="1" vertOverflow="ellipsis" vert="horz" wrap="square" anchor="ctr" anchorCtr="1"/>
          <a:lstStyle/>
          <a:p>
            <a:pPr>
              <a:defRPr sz="539" b="0" i="0" u="none" strike="noStrike" kern="1200" baseline="0">
                <a:solidFill>
                  <a:schemeClr val="tx1">
                    <a:lumMod val="65000"/>
                    <a:lumOff val="35000"/>
                  </a:schemeClr>
                </a:solidFill>
                <a:latin typeface="+mn-lt"/>
                <a:ea typeface="+mn-ea"/>
                <a:cs typeface="+mn-cs"/>
              </a:defRPr>
            </a:pPr>
            <a:endParaRPr lang="ro-RO"/>
          </a:p>
        </c:txPr>
        <c:crossAx val="226682736"/>
        <c:crosses val="autoZero"/>
        <c:crossBetween val="between"/>
      </c:valAx>
      <c:spPr>
        <a:noFill/>
        <a:ln w="15208">
          <a:noFill/>
        </a:ln>
      </c:spPr>
    </c:plotArea>
    <c:legend>
      <c:legendPos val="r"/>
      <c:legendEntry>
        <c:idx val="0"/>
        <c:delete val="1"/>
      </c:legendEntry>
      <c:layout>
        <c:manualLayout>
          <c:xMode val="edge"/>
          <c:yMode val="edge"/>
          <c:x val="0.28843338213762809"/>
          <c:y val="0.90988372093023251"/>
          <c:w val="0.42313323572474376"/>
          <c:h val="6.1046511627906974E-2"/>
        </c:manualLayout>
      </c:layout>
      <c:overlay val="0"/>
      <c:spPr>
        <a:noFill/>
        <a:ln w="15208">
          <a:noFill/>
        </a:ln>
      </c:spPr>
      <c:txPr>
        <a:bodyPr rot="0" spcFirstLastPara="1" vertOverflow="ellipsis" vert="horz" wrap="square" anchor="ctr" anchorCtr="1"/>
        <a:lstStyle/>
        <a:p>
          <a:pPr>
            <a:defRPr sz="539" b="0" i="0" u="none" strike="noStrike" kern="1200" baseline="0">
              <a:solidFill>
                <a:schemeClr val="tx1">
                  <a:lumMod val="65000"/>
                  <a:lumOff val="35000"/>
                </a:schemeClr>
              </a:solidFill>
              <a:latin typeface="+mn-lt"/>
              <a:ea typeface="+mn-ea"/>
              <a:cs typeface="+mn-cs"/>
            </a:defRPr>
          </a:pPr>
          <a:endParaRPr lang="ro-RO"/>
        </a:p>
      </c:txPr>
    </c:legend>
    <c:plotVisOnly val="1"/>
    <c:dispBlanksAs val="gap"/>
    <c:showDLblsOverMax val="0"/>
  </c:chart>
  <c:spPr>
    <a:solidFill>
      <a:schemeClr val="bg1"/>
    </a:solidFill>
    <a:ln w="5703" cap="flat" cmpd="sng" algn="ctr">
      <a:solidFill>
        <a:schemeClr val="tx1">
          <a:lumMod val="15000"/>
          <a:lumOff val="85000"/>
        </a:schemeClr>
      </a:solidFill>
      <a:round/>
    </a:ln>
    <a:effectLst/>
  </c:spPr>
  <c:txPr>
    <a:bodyPr/>
    <a:lstStyle/>
    <a:p>
      <a:pPr>
        <a:defRPr/>
      </a:pPr>
      <a:endParaRPr lang="ro-R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o-RO" sz="1000"/>
              <a:t>Distribuția procentuală a </a:t>
            </a:r>
            <a:r>
              <a:rPr lang="en-US" sz="1000"/>
              <a:t>valorii</a:t>
            </a:r>
            <a:r>
              <a:rPr lang="en-US" sz="1000" baseline="0"/>
              <a:t> actualizate a proiectelor de investi</a:t>
            </a:r>
            <a:r>
              <a:rPr lang="ro-RO" sz="1000" baseline="0"/>
              <a:t>ț</a:t>
            </a:r>
            <a:r>
              <a:rPr lang="en-US" sz="1000" baseline="0"/>
              <a:t>ii </a:t>
            </a:r>
            <a:r>
              <a:rPr lang="ro-RO" sz="1000"/>
              <a:t>pe ordonatorii principali de credite</a:t>
            </a:r>
          </a:p>
        </c:rich>
      </c:tx>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136529619065268"/>
          <c:y val="0.32893678327528497"/>
          <c:w val="0.7831796119256772"/>
          <c:h val="0.57652362887895858"/>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A6E6-41F3-BE7B-32ADBB06C137}"/>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A6E6-41F3-BE7B-32ADBB06C137}"/>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A6E6-41F3-BE7B-32ADBB06C137}"/>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A6E6-41F3-BE7B-32ADBB06C137}"/>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A6E6-41F3-BE7B-32ADBB06C137}"/>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A6E6-41F3-BE7B-32ADBB06C137}"/>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A6E6-41F3-BE7B-32ADBB06C137}"/>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A6E6-41F3-BE7B-32ADBB06C137}"/>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A6E6-41F3-BE7B-32ADBB06C137}"/>
              </c:ext>
            </c:extLst>
          </c:dPt>
          <c:dPt>
            <c:idx val="9"/>
            <c:bubble3D val="0"/>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3-A6E6-41F3-BE7B-32ADBB06C137}"/>
              </c:ext>
            </c:extLst>
          </c:dPt>
          <c:dLbls>
            <c:dLbl>
              <c:idx val="1"/>
              <c:layout>
                <c:manualLayout>
                  <c:x val="-0.1268638604119422"/>
                  <c:y val="-6.25922811102088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6E6-41F3-BE7B-32ADBB06C137}"/>
                </c:ext>
                <c:ext xmlns:c15="http://schemas.microsoft.com/office/drawing/2012/chart" uri="{CE6537A1-D6FC-4f65-9D91-7224C49458BB}">
                  <c15:layout/>
                </c:ext>
              </c:extLst>
            </c:dLbl>
            <c:dLbl>
              <c:idx val="2"/>
              <c:layout>
                <c:manualLayout>
                  <c:x val="-0.13536157392656997"/>
                  <c:y val="1.52521550854458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6E6-41F3-BE7B-32ADBB06C137}"/>
                </c:ext>
                <c:ext xmlns:c15="http://schemas.microsoft.com/office/drawing/2012/chart" uri="{CE6537A1-D6FC-4f65-9D91-7224C49458BB}">
                  <c15:layout/>
                </c:ext>
              </c:extLst>
            </c:dLbl>
            <c:dLbl>
              <c:idx val="3"/>
              <c:layout>
                <c:manualLayout>
                  <c:x val="-9.0035281218959082E-2"/>
                  <c:y val="-0.1233304551648426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6E6-41F3-BE7B-32ADBB06C137}"/>
                </c:ext>
                <c:ext xmlns:c15="http://schemas.microsoft.com/office/drawing/2012/chart" uri="{CE6537A1-D6FC-4f65-9D91-7224C49458BB}">
                  <c15:layout/>
                </c:ext>
              </c:extLst>
            </c:dLbl>
            <c:dLbl>
              <c:idx val="4"/>
              <c:layout>
                <c:manualLayout>
                  <c:x val="-3.0818355604700438E-2"/>
                  <c:y val="-0.1417320267463896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6E6-41F3-BE7B-32ADBB06C137}"/>
                </c:ext>
                <c:ext xmlns:c15="http://schemas.microsoft.com/office/drawing/2012/chart" uri="{CE6537A1-D6FC-4f65-9D91-7224C49458BB}">
                  <c15:layout/>
                </c:ext>
              </c:extLst>
            </c:dLbl>
            <c:dLbl>
              <c:idx val="5"/>
              <c:layout>
                <c:manualLayout>
                  <c:x val="1.6078958712071465E-2"/>
                  <c:y val="-0.137002690833661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A6E6-41F3-BE7B-32ADBB06C137}"/>
                </c:ext>
                <c:ext xmlns:c15="http://schemas.microsoft.com/office/drawing/2012/chart" uri="{CE6537A1-D6FC-4f65-9D91-7224C49458BB}">
                  <c15:layout/>
                </c:ext>
              </c:extLst>
            </c:dLbl>
            <c:dLbl>
              <c:idx val="6"/>
              <c:layout>
                <c:manualLayout>
                  <c:x val="8.8641368517720392E-2"/>
                  <c:y val="-0.1393931473934938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A6E6-41F3-BE7B-32ADBB06C137}"/>
                </c:ext>
                <c:ext xmlns:c15="http://schemas.microsoft.com/office/drawing/2012/chart" uri="{CE6537A1-D6FC-4f65-9D91-7224C49458BB}">
                  <c15:layout/>
                </c:ext>
              </c:extLst>
            </c:dLbl>
            <c:dLbl>
              <c:idx val="7"/>
              <c:layout>
                <c:manualLayout>
                  <c:x val="0.14480691380699828"/>
                  <c:y val="-6.096933614789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A6E6-41F3-BE7B-32ADBB06C137}"/>
                </c:ext>
                <c:ext xmlns:c15="http://schemas.microsoft.com/office/drawing/2012/chart" uri="{CE6537A1-D6FC-4f65-9D91-7224C49458BB}">
                  <c15:layout/>
                </c:ext>
              </c:extLst>
            </c:dLbl>
            <c:dLbl>
              <c:idx val="8"/>
              <c:layout>
                <c:manualLayout>
                  <c:x val="0.14415212624397913"/>
                  <c:y val="-2.332198367541317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A6E6-41F3-BE7B-32ADBB06C137}"/>
                </c:ext>
                <c:ext xmlns:c15="http://schemas.microsoft.com/office/drawing/2012/chart" uri="{CE6537A1-D6FC-4f65-9D91-7224C49458BB}">
                  <c15:layout/>
                </c:ext>
              </c:extLst>
            </c:dLbl>
            <c:dLbl>
              <c:idx val="9"/>
              <c:layout>
                <c:manualLayout>
                  <c:x val="0.13791934516558282"/>
                  <c:y val="-0.1200859014372937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A6E6-41F3-BE7B-32ADBB06C137}"/>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o-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centralizare!$K$166:$K$175</c:f>
              <c:strCache>
                <c:ptCount val="10"/>
                <c:pt idx="0">
                  <c:v>MT</c:v>
                </c:pt>
                <c:pt idx="1">
                  <c:v>MS</c:v>
                </c:pt>
                <c:pt idx="2">
                  <c:v>MJ</c:v>
                </c:pt>
                <c:pt idx="3">
                  <c:v>MDRAP</c:v>
                </c:pt>
                <c:pt idx="4">
                  <c:v>MAP</c:v>
                </c:pt>
                <c:pt idx="5">
                  <c:v>ME</c:v>
                </c:pt>
                <c:pt idx="6">
                  <c:v>MCI</c:v>
                </c:pt>
                <c:pt idx="7">
                  <c:v>SPP</c:v>
                </c:pt>
                <c:pt idx="8">
                  <c:v>MCSI</c:v>
                </c:pt>
                <c:pt idx="9">
                  <c:v>MAPN</c:v>
                </c:pt>
              </c:strCache>
            </c:strRef>
          </c:cat>
          <c:val>
            <c:numRef>
              <c:f>centralizare!$L$166:$L$175</c:f>
              <c:numCache>
                <c:formatCode>0.00%</c:formatCode>
                <c:ptCount val="10"/>
                <c:pt idx="0">
                  <c:v>0.95499513286611704</c:v>
                </c:pt>
                <c:pt idx="1">
                  <c:v>3.807186643000695E-3</c:v>
                </c:pt>
                <c:pt idx="2">
                  <c:v>1.2704654744142745E-3</c:v>
                </c:pt>
                <c:pt idx="3">
                  <c:v>4.1423227474588833E-3</c:v>
                </c:pt>
                <c:pt idx="4">
                  <c:v>2.1414288783038402E-2</c:v>
                </c:pt>
                <c:pt idx="5">
                  <c:v>8.169564516119093E-4</c:v>
                </c:pt>
                <c:pt idx="6">
                  <c:v>9.6244478630521969E-3</c:v>
                </c:pt>
                <c:pt idx="7">
                  <c:v>9.9218372223900753E-4</c:v>
                </c:pt>
                <c:pt idx="8">
                  <c:v>2.1734463094741636E-3</c:v>
                </c:pt>
                <c:pt idx="9">
                  <c:v>7.6356913959398098E-4</c:v>
                </c:pt>
              </c:numCache>
            </c:numRef>
          </c:val>
          <c:extLst xmlns:c16r2="http://schemas.microsoft.com/office/drawing/2015/06/chart">
            <c:ext xmlns:c16="http://schemas.microsoft.com/office/drawing/2014/chart" uri="{C3380CC4-5D6E-409C-BE32-E72D297353CC}">
              <c16:uniqueId val="{00000014-A6E6-41F3-BE7B-32ADBB06C137}"/>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6433691924208635"/>
          <c:y val="0.8831522385443149"/>
          <c:w val="0.71892980302490817"/>
          <c:h val="0.1100598803355350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o-RO"/>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o-RO" sz="1000"/>
              <a:t>Distribuția procentuală a restului de finanțat până la finalizare pe ordonatori principali de credite</a:t>
            </a:r>
          </a:p>
        </c:rich>
      </c:tx>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93886058360353"/>
          <c:y val="0.33111764793605386"/>
          <c:w val="0.78531037718299557"/>
          <c:h val="0.58554550184646947"/>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E6DE-4A38-858A-D607B67ACCC2}"/>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E6DE-4A38-858A-D607B67ACCC2}"/>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E6DE-4A38-858A-D607B67ACCC2}"/>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E6DE-4A38-858A-D607B67ACCC2}"/>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E6DE-4A38-858A-D607B67ACCC2}"/>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E6DE-4A38-858A-D607B67ACCC2}"/>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E6DE-4A38-858A-D607B67ACCC2}"/>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E6DE-4A38-858A-D607B67ACCC2}"/>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E6DE-4A38-858A-D607B67ACCC2}"/>
              </c:ext>
            </c:extLst>
          </c:dPt>
          <c:dPt>
            <c:idx val="9"/>
            <c:bubble3D val="0"/>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3-E6DE-4A38-858A-D607B67ACCC2}"/>
              </c:ext>
            </c:extLst>
          </c:dPt>
          <c:dLbls>
            <c:dLbl>
              <c:idx val="1"/>
              <c:layout>
                <c:manualLayout>
                  <c:x val="-0.13071099218466356"/>
                  <c:y val="2.48187816765320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6DE-4A38-858A-D607B67ACCC2}"/>
                </c:ext>
                <c:ext xmlns:c15="http://schemas.microsoft.com/office/drawing/2012/chart" uri="{CE6537A1-D6FC-4f65-9D91-7224C49458BB}">
                  <c15:layout/>
                </c:ext>
              </c:extLst>
            </c:dLbl>
            <c:dLbl>
              <c:idx val="2"/>
              <c:layout>
                <c:manualLayout>
                  <c:x val="-0.17142467092167238"/>
                  <c:y val="-3.01087040639791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6DE-4A38-858A-D607B67ACCC2}"/>
                </c:ext>
                <c:ext xmlns:c15="http://schemas.microsoft.com/office/drawing/2012/chart" uri="{CE6537A1-D6FC-4f65-9D91-7224C49458BB}">
                  <c15:layout/>
                </c:ext>
              </c:extLst>
            </c:dLbl>
            <c:dLbl>
              <c:idx val="3"/>
              <c:layout>
                <c:manualLayout>
                  <c:x val="-0.15476536956155676"/>
                  <c:y val="-8.22124977782666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6DE-4A38-858A-D607B67ACCC2}"/>
                </c:ext>
                <c:ext xmlns:c15="http://schemas.microsoft.com/office/drawing/2012/chart" uri="{CE6537A1-D6FC-4f65-9D91-7224C49458BB}">
                  <c15:layout/>
                </c:ext>
              </c:extLst>
            </c:dLbl>
            <c:dLbl>
              <c:idx val="4"/>
              <c:layout>
                <c:manualLayout>
                  <c:x val="-0.1062266204242224"/>
                  <c:y val="-0.1025163770452349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6DE-4A38-858A-D607B67ACCC2}"/>
                </c:ext>
                <c:ext xmlns:c15="http://schemas.microsoft.com/office/drawing/2012/chart" uri="{CE6537A1-D6FC-4f65-9D91-7224C49458BB}">
                  <c15:layout/>
                </c:ext>
              </c:extLst>
            </c:dLbl>
            <c:dLbl>
              <c:idx val="5"/>
              <c:layout>
                <c:manualLayout>
                  <c:x val="-6.5925901771469786E-2"/>
                  <c:y val="-0.1193457062504200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E6DE-4A38-858A-D607B67ACCC2}"/>
                </c:ext>
                <c:ext xmlns:c15="http://schemas.microsoft.com/office/drawing/2012/chart" uri="{CE6537A1-D6FC-4f65-9D91-7224C49458BB}">
                  <c15:layout/>
                </c:ext>
              </c:extLst>
            </c:dLbl>
            <c:dLbl>
              <c:idx val="6"/>
              <c:layout>
                <c:manualLayout>
                  <c:x val="0.13656105725568668"/>
                  <c:y val="-0.1060232432289930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E6DE-4A38-858A-D607B67ACCC2}"/>
                </c:ext>
                <c:ext xmlns:c15="http://schemas.microsoft.com/office/drawing/2012/chart" uri="{CE6537A1-D6FC-4f65-9D91-7224C49458BB}">
                  <c15:layout/>
                </c:ext>
              </c:extLst>
            </c:dLbl>
            <c:dLbl>
              <c:idx val="7"/>
              <c:layout>
                <c:manualLayout>
                  <c:x val="0.16835387345365052"/>
                  <c:y val="-6.2664362205898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E6DE-4A38-858A-D607B67ACCC2}"/>
                </c:ext>
                <c:ext xmlns:c15="http://schemas.microsoft.com/office/drawing/2012/chart" uri="{CE6537A1-D6FC-4f65-9D91-7224C49458BB}">
                  <c15:layout/>
                </c:ext>
              </c:extLst>
            </c:dLbl>
            <c:dLbl>
              <c:idx val="8"/>
              <c:layout>
                <c:manualLayout>
                  <c:x val="0.19160471859824266"/>
                  <c:y val="2.985839585605267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E6DE-4A38-858A-D607B67ACCC2}"/>
                </c:ext>
                <c:ext xmlns:c15="http://schemas.microsoft.com/office/drawing/2012/chart" uri="{CE6537A1-D6FC-4f65-9D91-7224C49458BB}">
                  <c15:layout/>
                </c:ext>
              </c:extLst>
            </c:dLbl>
            <c:dLbl>
              <c:idx val="9"/>
              <c:layout>
                <c:manualLayout>
                  <c:x val="1.9172103852769143E-2"/>
                  <c:y val="-0.1275574029290312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E6DE-4A38-858A-D607B67ACCC2}"/>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o-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centralizare!$K$166:$K$175</c:f>
              <c:strCache>
                <c:ptCount val="10"/>
                <c:pt idx="0">
                  <c:v>MT</c:v>
                </c:pt>
                <c:pt idx="1">
                  <c:v>MS</c:v>
                </c:pt>
                <c:pt idx="2">
                  <c:v>MJ</c:v>
                </c:pt>
                <c:pt idx="3">
                  <c:v>MDRAP</c:v>
                </c:pt>
                <c:pt idx="4">
                  <c:v>MAP</c:v>
                </c:pt>
                <c:pt idx="5">
                  <c:v>ME</c:v>
                </c:pt>
                <c:pt idx="6">
                  <c:v>MCI</c:v>
                </c:pt>
                <c:pt idx="7">
                  <c:v>SPP</c:v>
                </c:pt>
                <c:pt idx="8">
                  <c:v>MCSI</c:v>
                </c:pt>
                <c:pt idx="9">
                  <c:v>MAPN</c:v>
                </c:pt>
              </c:strCache>
            </c:strRef>
          </c:cat>
          <c:val>
            <c:numRef>
              <c:f>centralizare!$M$166:$M$175</c:f>
              <c:numCache>
                <c:formatCode>0.00%</c:formatCode>
                <c:ptCount val="10"/>
                <c:pt idx="0">
                  <c:v>0.95881486824717965</c:v>
                </c:pt>
                <c:pt idx="1">
                  <c:v>5.9810457954466208E-3</c:v>
                </c:pt>
                <c:pt idx="2">
                  <c:v>1.397875342818962E-3</c:v>
                </c:pt>
                <c:pt idx="3">
                  <c:v>4.7398369460415314E-3</c:v>
                </c:pt>
                <c:pt idx="4">
                  <c:v>2.4019412643073983E-2</c:v>
                </c:pt>
                <c:pt idx="5">
                  <c:v>9.0051872316932087E-4</c:v>
                </c:pt>
                <c:pt idx="6">
                  <c:v>8.7203005390261022E-4</c:v>
                </c:pt>
                <c:pt idx="7">
                  <c:v>0</c:v>
                </c:pt>
                <c:pt idx="8">
                  <c:v>2.0718754551998409E-3</c:v>
                </c:pt>
                <c:pt idx="9">
                  <c:v>1.2025367931676558E-3</c:v>
                </c:pt>
              </c:numCache>
            </c:numRef>
          </c:val>
          <c:extLst xmlns:c16r2="http://schemas.microsoft.com/office/drawing/2015/06/chart">
            <c:ext xmlns:c16="http://schemas.microsoft.com/office/drawing/2014/chart" uri="{C3380CC4-5D6E-409C-BE32-E72D297353CC}">
              <c16:uniqueId val="{00000014-E6DE-4A38-858A-D607B67ACCC2}"/>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5.2801120448179292E-2"/>
          <c:y val="0.91967721009305714"/>
          <c:w val="0.9"/>
          <c:h val="8.032278990694345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o-RO"/>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539395856031021E-2"/>
          <c:y val="5.7238693640712601E-2"/>
          <c:w val="0.68744005566070776"/>
          <c:h val="0.84626630430917715"/>
        </c:manualLayout>
      </c:layout>
      <c:barChart>
        <c:barDir val="col"/>
        <c:grouping val="clustered"/>
        <c:varyColors val="0"/>
        <c:ser>
          <c:idx val="0"/>
          <c:order val="0"/>
          <c:tx>
            <c:strRef>
              <c:f>'[Tabele 4 modificarea datorie.xls]table4 2017 -2021'!$D$45</c:f>
              <c:strCache>
                <c:ptCount val="1"/>
                <c:pt idx="0">
                  <c:v>datoria guvernamentala bruta (%PIB)</c:v>
                </c:pt>
              </c:strCache>
            </c:strRef>
          </c:tx>
          <c:spPr>
            <a:solidFill>
              <a:srgbClr val="4F81BD"/>
            </a:solidFill>
            <a:ln w="25400">
              <a:noFill/>
            </a:ln>
          </c:spPr>
          <c:invertIfNegative val="0"/>
          <c:dLbls>
            <c:spPr>
              <a:noFill/>
              <a:ln w="25400">
                <a:noFill/>
              </a:ln>
            </c:spPr>
            <c:txPr>
              <a:bodyPr wrap="square" lIns="38100" tIns="19050" rIns="38100" bIns="19050" anchor="ctr">
                <a:spAutoFit/>
              </a:bodyPr>
              <a:lstStyle/>
              <a:p>
                <a:pPr>
                  <a:defRPr sz="800" b="0" i="0" u="none" strike="noStrike" baseline="0">
                    <a:solidFill>
                      <a:srgbClr val="333333"/>
                    </a:solidFill>
                    <a:latin typeface="Calibri"/>
                    <a:ea typeface="Calibri"/>
                    <a:cs typeface="Calibri"/>
                  </a:defRPr>
                </a:pPr>
                <a:endParaRPr lang="ro-R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'[Tabele 4 modificarea datorie.xls]table4 2017 -2021'!$E$44:$I$44</c:f>
              <c:strCache>
                <c:ptCount val="5"/>
                <c:pt idx="0">
                  <c:v>2017</c:v>
                </c:pt>
                <c:pt idx="1">
                  <c:v>2018 est</c:v>
                </c:pt>
                <c:pt idx="2">
                  <c:v>2019 prog</c:v>
                </c:pt>
                <c:pt idx="3">
                  <c:v>2020 prog</c:v>
                </c:pt>
                <c:pt idx="4">
                  <c:v>2021 prog</c:v>
                </c:pt>
              </c:strCache>
            </c:strRef>
          </c:cat>
          <c:val>
            <c:numRef>
              <c:f>'[Tabele 4 modificarea datorie.xls]table4 2017 -2021'!$E$45:$I$45</c:f>
              <c:numCache>
                <c:formatCode>0.0%</c:formatCode>
                <c:ptCount val="5"/>
                <c:pt idx="0">
                  <c:v>0.35199999999999998</c:v>
                </c:pt>
                <c:pt idx="1">
                  <c:v>0.35099999999999998</c:v>
                </c:pt>
                <c:pt idx="2">
                  <c:v>0.35499999999999998</c:v>
                </c:pt>
                <c:pt idx="3">
                  <c:v>0.35399999999999998</c:v>
                </c:pt>
                <c:pt idx="4">
                  <c:v>0.35199999999999998</c:v>
                </c:pt>
              </c:numCache>
            </c:numRef>
          </c:val>
          <c:extLst xmlns:c16r2="http://schemas.microsoft.com/office/drawing/2015/06/chart">
            <c:ext xmlns:c16="http://schemas.microsoft.com/office/drawing/2014/chart" uri="{C3380CC4-5D6E-409C-BE32-E72D297353CC}">
              <c16:uniqueId val="{00000000-170D-4E00-A8A6-8EA0230B1EDB}"/>
            </c:ext>
          </c:extLst>
        </c:ser>
        <c:ser>
          <c:idx val="1"/>
          <c:order val="1"/>
          <c:tx>
            <c:strRef>
              <c:f>'[Tabele 4 modificarea datorie.xls]table4 2017 -2021'!$D$46</c:f>
              <c:strCache>
                <c:ptCount val="1"/>
                <c:pt idx="0">
                  <c:v>datoria guvernamentala neta (%PIB)</c:v>
                </c:pt>
              </c:strCache>
            </c:strRef>
          </c:tx>
          <c:spPr>
            <a:solidFill>
              <a:srgbClr val="C0504D"/>
            </a:solidFill>
            <a:ln w="25400">
              <a:noFill/>
            </a:ln>
          </c:spPr>
          <c:invertIfNegative val="0"/>
          <c:dLbls>
            <c:dLbl>
              <c:idx val="0"/>
              <c:layout>
                <c:manualLayout>
                  <c:x val="9.1906476837577741E-3"/>
                  <c:y val="0"/>
                </c:manualLayout>
              </c:layout>
              <c:spPr>
                <a:noFill/>
                <a:ln w="25400">
                  <a:noFill/>
                </a:ln>
              </c:spPr>
              <c:txPr>
                <a:bodyPr/>
                <a:lstStyle/>
                <a:p>
                  <a:pPr>
                    <a:defRPr sz="800" b="0" i="0" u="none" strike="noStrike" baseline="0">
                      <a:solidFill>
                        <a:srgbClr val="333333"/>
                      </a:solidFill>
                      <a:latin typeface="Calibri"/>
                      <a:ea typeface="Calibri"/>
                      <a:cs typeface="Calibri"/>
                    </a:defRPr>
                  </a:pPr>
                  <a:endParaRPr lang="ro-RO"/>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70D-4E00-A8A6-8EA0230B1EDB}"/>
                </c:ext>
                <c:ext xmlns:c15="http://schemas.microsoft.com/office/drawing/2012/chart" uri="{CE6537A1-D6FC-4f65-9D91-7224C49458BB}">
                  <c15:layout/>
                </c:ext>
              </c:extLst>
            </c:dLbl>
            <c:dLbl>
              <c:idx val="1"/>
              <c:layout>
                <c:manualLayout>
                  <c:x val="1.1488309604697216E-2"/>
                  <c:y val="0"/>
                </c:manualLayout>
              </c:layout>
              <c:spPr>
                <a:noFill/>
                <a:ln w="25400">
                  <a:noFill/>
                </a:ln>
              </c:spPr>
              <c:txPr>
                <a:bodyPr/>
                <a:lstStyle/>
                <a:p>
                  <a:pPr>
                    <a:defRPr sz="800" b="0" i="0" u="none" strike="noStrike" baseline="0">
                      <a:solidFill>
                        <a:srgbClr val="333333"/>
                      </a:solidFill>
                      <a:latin typeface="Calibri"/>
                      <a:ea typeface="Calibri"/>
                      <a:cs typeface="Calibri"/>
                    </a:defRPr>
                  </a:pPr>
                  <a:endParaRPr lang="ro-RO"/>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70D-4E00-A8A6-8EA0230B1EDB}"/>
                </c:ext>
                <c:ext xmlns:c15="http://schemas.microsoft.com/office/drawing/2012/chart" uri="{CE6537A1-D6FC-4f65-9D91-7224C49458BB}">
                  <c15:layout/>
                </c:ext>
              </c:extLst>
            </c:dLbl>
            <c:dLbl>
              <c:idx val="2"/>
              <c:layout>
                <c:manualLayout>
                  <c:x val="6.892985762818246E-3"/>
                  <c:y val="4.951106845275572E-3"/>
                </c:manualLayout>
              </c:layout>
              <c:spPr>
                <a:noFill/>
                <a:ln w="25400">
                  <a:noFill/>
                </a:ln>
              </c:spPr>
              <c:txPr>
                <a:bodyPr/>
                <a:lstStyle/>
                <a:p>
                  <a:pPr>
                    <a:defRPr sz="800" b="0" i="0" u="none" strike="noStrike" baseline="0">
                      <a:solidFill>
                        <a:srgbClr val="333333"/>
                      </a:solidFill>
                      <a:latin typeface="Calibri"/>
                      <a:ea typeface="Calibri"/>
                      <a:cs typeface="Calibri"/>
                    </a:defRPr>
                  </a:pPr>
                  <a:endParaRPr lang="ro-RO"/>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70D-4E00-A8A6-8EA0230B1EDB}"/>
                </c:ext>
                <c:ext xmlns:c15="http://schemas.microsoft.com/office/drawing/2012/chart" uri="{CE6537A1-D6FC-4f65-9D91-7224C49458BB}">
                  <c15:layout/>
                </c:ext>
              </c:extLst>
            </c:dLbl>
            <c:dLbl>
              <c:idx val="3"/>
              <c:layout>
                <c:manualLayout>
                  <c:x val="1.6083633446576102E-2"/>
                  <c:y val="4.951106845275572E-3"/>
                </c:manualLayout>
              </c:layout>
              <c:spPr>
                <a:noFill/>
                <a:ln w="25400">
                  <a:noFill/>
                </a:ln>
              </c:spPr>
              <c:txPr>
                <a:bodyPr/>
                <a:lstStyle/>
                <a:p>
                  <a:pPr>
                    <a:defRPr sz="800" b="0" i="0" u="none" strike="noStrike" baseline="0">
                      <a:solidFill>
                        <a:srgbClr val="333333"/>
                      </a:solidFill>
                      <a:latin typeface="Calibri"/>
                      <a:ea typeface="Calibri"/>
                      <a:cs typeface="Calibri"/>
                    </a:defRPr>
                  </a:pPr>
                  <a:endParaRPr lang="ro-RO"/>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70D-4E00-A8A6-8EA0230B1EDB}"/>
                </c:ext>
                <c:ext xmlns:c15="http://schemas.microsoft.com/office/drawing/2012/chart" uri="{CE6537A1-D6FC-4f65-9D91-7224C49458BB}">
                  <c15:layout/>
                </c:ext>
              </c:extLst>
            </c:dLbl>
            <c:dLbl>
              <c:idx val="4"/>
              <c:layout>
                <c:manualLayout>
                  <c:x val="1.378597152563666E-2"/>
                  <c:y val="4.951106845275572E-3"/>
                </c:manualLayout>
              </c:layout>
              <c:spPr>
                <a:noFill/>
                <a:ln w="25400">
                  <a:noFill/>
                </a:ln>
              </c:spPr>
              <c:txPr>
                <a:bodyPr/>
                <a:lstStyle/>
                <a:p>
                  <a:pPr>
                    <a:defRPr sz="800" b="0" i="0" u="none" strike="noStrike" baseline="0">
                      <a:solidFill>
                        <a:srgbClr val="333333"/>
                      </a:solidFill>
                      <a:latin typeface="Calibri"/>
                      <a:ea typeface="Calibri"/>
                      <a:cs typeface="Calibri"/>
                    </a:defRPr>
                  </a:pPr>
                  <a:endParaRPr lang="ro-RO"/>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70D-4E00-A8A6-8EA0230B1EDB}"/>
                </c:ext>
                <c:ext xmlns:c15="http://schemas.microsoft.com/office/drawing/2012/chart" uri="{CE6537A1-D6FC-4f65-9D91-7224C49458BB}">
                  <c15:layout/>
                </c:ext>
              </c:extLst>
            </c:dLbl>
            <c:spPr>
              <a:noFill/>
              <a:ln w="25400">
                <a:noFill/>
              </a:ln>
            </c:spPr>
            <c:txPr>
              <a:bodyPr wrap="square" lIns="38100" tIns="19050" rIns="38100" bIns="19050" anchor="ctr">
                <a:spAutoFit/>
              </a:bodyPr>
              <a:lstStyle/>
              <a:p>
                <a:pPr>
                  <a:defRPr sz="800" b="0" i="0" u="none" strike="noStrike" baseline="0">
                    <a:solidFill>
                      <a:srgbClr val="333333"/>
                    </a:solidFill>
                    <a:latin typeface="Calibri"/>
                    <a:ea typeface="Calibri"/>
                    <a:cs typeface="Calibri"/>
                  </a:defRPr>
                </a:pPr>
                <a:endParaRPr lang="ro-R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'[Tabele 4 modificarea datorie.xls]table4 2017 -2021'!$E$44:$I$44</c:f>
              <c:strCache>
                <c:ptCount val="5"/>
                <c:pt idx="0">
                  <c:v>2017</c:v>
                </c:pt>
                <c:pt idx="1">
                  <c:v>2018 est</c:v>
                </c:pt>
                <c:pt idx="2">
                  <c:v>2019 prog</c:v>
                </c:pt>
                <c:pt idx="3">
                  <c:v>2020 prog</c:v>
                </c:pt>
                <c:pt idx="4">
                  <c:v>2021 prog</c:v>
                </c:pt>
              </c:strCache>
            </c:strRef>
          </c:cat>
          <c:val>
            <c:numRef>
              <c:f>'[Tabele 4 modificarea datorie.xls]table4 2017 -2021'!$E$46:$I$46</c:f>
              <c:numCache>
                <c:formatCode>0.0%</c:formatCode>
                <c:ptCount val="5"/>
                <c:pt idx="0">
                  <c:v>0.26073549667328116</c:v>
                </c:pt>
                <c:pt idx="1">
                  <c:v>0.26786531575715522</c:v>
                </c:pt>
                <c:pt idx="2">
                  <c:v>0.27853418092909532</c:v>
                </c:pt>
                <c:pt idx="3">
                  <c:v>0.2829861035422343</c:v>
                </c:pt>
                <c:pt idx="4">
                  <c:v>0.28566171729170198</c:v>
                </c:pt>
              </c:numCache>
            </c:numRef>
          </c:val>
          <c:extLst xmlns:c16r2="http://schemas.microsoft.com/office/drawing/2015/06/chart">
            <c:ext xmlns:c16="http://schemas.microsoft.com/office/drawing/2014/chart" uri="{C3380CC4-5D6E-409C-BE32-E72D297353CC}">
              <c16:uniqueId val="{00000006-170D-4E00-A8A6-8EA0230B1EDB}"/>
            </c:ext>
          </c:extLst>
        </c:ser>
        <c:dLbls>
          <c:showLegendKey val="0"/>
          <c:showVal val="0"/>
          <c:showCatName val="0"/>
          <c:showSerName val="0"/>
          <c:showPercent val="0"/>
          <c:showBubbleSize val="0"/>
        </c:dLbls>
        <c:gapWidth val="219"/>
        <c:overlap val="-27"/>
        <c:axId val="226690016"/>
        <c:axId val="225118272"/>
      </c:barChart>
      <c:catAx>
        <c:axId val="226690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800" b="0" i="0" u="none" strike="noStrike" baseline="0">
                <a:solidFill>
                  <a:srgbClr val="333333"/>
                </a:solidFill>
                <a:latin typeface="Calibri"/>
                <a:ea typeface="Calibri"/>
                <a:cs typeface="Calibri"/>
              </a:defRPr>
            </a:pPr>
            <a:endParaRPr lang="ro-RO"/>
          </a:p>
        </c:txPr>
        <c:crossAx val="225118272"/>
        <c:crosses val="autoZero"/>
        <c:auto val="1"/>
        <c:lblAlgn val="ctr"/>
        <c:lblOffset val="100"/>
        <c:noMultiLvlLbl val="0"/>
      </c:catAx>
      <c:valAx>
        <c:axId val="225118272"/>
        <c:scaling>
          <c:orientation val="minMax"/>
        </c:scaling>
        <c:delete val="0"/>
        <c:axPos val="l"/>
        <c:numFmt formatCode="0.0%" sourceLinked="1"/>
        <c:majorTickMark val="none"/>
        <c:minorTickMark val="none"/>
        <c:tickLblPos val="nextTo"/>
        <c:spPr>
          <a:ln w="9525">
            <a:noFill/>
          </a:ln>
        </c:spPr>
        <c:txPr>
          <a:bodyPr rot="0" vert="horz"/>
          <a:lstStyle/>
          <a:p>
            <a:pPr>
              <a:defRPr sz="800" b="0" i="0" u="none" strike="noStrike" baseline="0">
                <a:solidFill>
                  <a:srgbClr val="333333"/>
                </a:solidFill>
                <a:latin typeface="Calibri"/>
                <a:ea typeface="Calibri"/>
                <a:cs typeface="Calibri"/>
              </a:defRPr>
            </a:pPr>
            <a:endParaRPr lang="ro-RO"/>
          </a:p>
        </c:txPr>
        <c:crossAx val="226690016"/>
        <c:crosses val="autoZero"/>
        <c:crossBetween val="between"/>
      </c:valAx>
      <c:spPr>
        <a:noFill/>
        <a:ln w="25400">
          <a:noFill/>
        </a:ln>
      </c:spPr>
    </c:plotArea>
    <c:legend>
      <c:legendPos val="r"/>
      <c:legendEntry>
        <c:idx val="0"/>
        <c:txPr>
          <a:bodyPr/>
          <a:lstStyle/>
          <a:p>
            <a:pPr>
              <a:defRPr sz="620" b="0" i="0" u="none" strike="noStrike" baseline="0">
                <a:solidFill>
                  <a:srgbClr val="333333"/>
                </a:solidFill>
                <a:latin typeface="Calibri"/>
                <a:ea typeface="Calibri"/>
                <a:cs typeface="Calibri"/>
              </a:defRPr>
            </a:pPr>
            <a:endParaRPr lang="ro-RO"/>
          </a:p>
        </c:txPr>
      </c:legendEntry>
      <c:layout>
        <c:manualLayout>
          <c:xMode val="edge"/>
          <c:yMode val="edge"/>
          <c:x val="0.75194998907831367"/>
          <c:y val="0.64058919681303172"/>
          <c:w val="0.24191833352402947"/>
          <c:h val="0.313176973874707"/>
        </c:manualLayout>
      </c:layout>
      <c:overlay val="0"/>
      <c:spPr>
        <a:noFill/>
        <a:ln w="25400">
          <a:noFill/>
        </a:ln>
      </c:spPr>
      <c:txPr>
        <a:bodyPr/>
        <a:lstStyle/>
        <a:p>
          <a:pPr>
            <a:defRPr sz="620" b="0" i="0" u="none" strike="noStrike" baseline="0">
              <a:solidFill>
                <a:srgbClr val="333333"/>
              </a:solidFill>
              <a:latin typeface="Calibri"/>
              <a:ea typeface="Calibri"/>
              <a:cs typeface="Calibri"/>
            </a:defRPr>
          </a:pPr>
          <a:endParaRPr lang="ro-RO"/>
        </a:p>
      </c:txPr>
    </c:legend>
    <c:plotVisOnly val="1"/>
    <c:dispBlanksAs val="gap"/>
    <c:showDLblsOverMax val="0"/>
  </c:chart>
  <c:spPr>
    <a:solidFill>
      <a:schemeClr val="bg1"/>
    </a:solidFill>
    <a:ln w="9525" cap="flat" cmpd="sng" algn="ctr">
      <a:noFill/>
      <a:round/>
    </a:ln>
    <a:effectLst/>
  </c:spPr>
  <c:txPr>
    <a:bodyPr/>
    <a:lstStyle/>
    <a:p>
      <a:pPr>
        <a:defRPr sz="800" b="0" i="0" u="none" strike="noStrike" baseline="0">
          <a:solidFill>
            <a:srgbClr val="000000"/>
          </a:solidFill>
          <a:latin typeface="Calibri"/>
          <a:ea typeface="Calibri"/>
          <a:cs typeface="Calibri"/>
        </a:defRPr>
      </a:pPr>
      <a:endParaRPr lang="ro-RO"/>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30648745567797"/>
          <c:y val="0.10565553092271242"/>
          <c:w val="0.86290806494162653"/>
          <c:h val="0.64377035394847593"/>
        </c:manualLayout>
      </c:layout>
      <c:lineChart>
        <c:grouping val="standard"/>
        <c:varyColors val="0"/>
        <c:ser>
          <c:idx val="0"/>
          <c:order val="0"/>
          <c:tx>
            <c:strRef>
              <c:f>[Tables_for_RO.xlsx]Sheet2!$C$7</c:f>
              <c:strCache>
                <c:ptCount val="1"/>
                <c:pt idx="0">
                  <c:v>Total</c:v>
                </c:pt>
              </c:strCache>
            </c:strRef>
          </c:tx>
          <c:spPr>
            <a:ln w="28575" cap="rnd">
              <a:solidFill>
                <a:schemeClr val="accent1"/>
              </a:solidFill>
              <a:round/>
            </a:ln>
            <a:effectLst/>
          </c:spPr>
          <c:marker>
            <c:symbol val="none"/>
          </c:marker>
          <c:cat>
            <c:numRef>
              <c:f>[Tables_for_RO.xlsx]Sheet2!$D$6:$BF$6</c:f>
              <c:numCache>
                <c:formatCode>General</c:formatCode>
                <c:ptCount val="5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pt idx="47">
                  <c:v>2063</c:v>
                </c:pt>
                <c:pt idx="48">
                  <c:v>2064</c:v>
                </c:pt>
                <c:pt idx="49">
                  <c:v>2065</c:v>
                </c:pt>
                <c:pt idx="50">
                  <c:v>2066</c:v>
                </c:pt>
                <c:pt idx="51">
                  <c:v>2067</c:v>
                </c:pt>
                <c:pt idx="52">
                  <c:v>2068</c:v>
                </c:pt>
                <c:pt idx="53">
                  <c:v>2069</c:v>
                </c:pt>
                <c:pt idx="54">
                  <c:v>2070</c:v>
                </c:pt>
              </c:numCache>
            </c:numRef>
          </c:cat>
          <c:val>
            <c:numRef>
              <c:f>[Tables_for_RO.xlsx]Sheet2!$D$7:$BF$7</c:f>
              <c:numCache>
                <c:formatCode>0</c:formatCode>
                <c:ptCount val="55"/>
                <c:pt idx="0">
                  <c:v>19672486.5</c:v>
                </c:pt>
                <c:pt idx="1">
                  <c:v>19550489</c:v>
                </c:pt>
                <c:pt idx="2">
                  <c:v>19434729.5</c:v>
                </c:pt>
                <c:pt idx="3">
                  <c:v>19317720</c:v>
                </c:pt>
                <c:pt idx="4">
                  <c:v>19199233</c:v>
                </c:pt>
                <c:pt idx="5">
                  <c:v>19078539</c:v>
                </c:pt>
                <c:pt idx="6">
                  <c:v>18955833.5</c:v>
                </c:pt>
                <c:pt idx="7">
                  <c:v>18831299</c:v>
                </c:pt>
                <c:pt idx="8">
                  <c:v>18705371</c:v>
                </c:pt>
                <c:pt idx="9">
                  <c:v>18579137</c:v>
                </c:pt>
                <c:pt idx="10">
                  <c:v>18453942</c:v>
                </c:pt>
                <c:pt idx="11">
                  <c:v>18329917.5</c:v>
                </c:pt>
                <c:pt idx="12">
                  <c:v>18206477</c:v>
                </c:pt>
                <c:pt idx="13">
                  <c:v>18084416.5</c:v>
                </c:pt>
                <c:pt idx="14">
                  <c:v>17965143</c:v>
                </c:pt>
                <c:pt idx="15">
                  <c:v>17848705</c:v>
                </c:pt>
                <c:pt idx="16">
                  <c:v>17742674</c:v>
                </c:pt>
                <c:pt idx="17">
                  <c:v>17647664.5</c:v>
                </c:pt>
                <c:pt idx="18">
                  <c:v>17554895.5</c:v>
                </c:pt>
                <c:pt idx="19">
                  <c:v>17463871.5</c:v>
                </c:pt>
                <c:pt idx="20">
                  <c:v>17374142.5</c:v>
                </c:pt>
                <c:pt idx="21">
                  <c:v>17284918</c:v>
                </c:pt>
                <c:pt idx="22">
                  <c:v>17196692.5</c:v>
                </c:pt>
                <c:pt idx="23">
                  <c:v>17111300</c:v>
                </c:pt>
                <c:pt idx="24">
                  <c:v>17028793</c:v>
                </c:pt>
                <c:pt idx="25">
                  <c:v>16947648.5</c:v>
                </c:pt>
                <c:pt idx="26">
                  <c:v>16868491</c:v>
                </c:pt>
                <c:pt idx="27">
                  <c:v>16791226</c:v>
                </c:pt>
                <c:pt idx="28">
                  <c:v>16715728</c:v>
                </c:pt>
                <c:pt idx="29">
                  <c:v>16642244.5</c:v>
                </c:pt>
                <c:pt idx="30">
                  <c:v>16570495.5</c:v>
                </c:pt>
                <c:pt idx="31">
                  <c:v>16499780</c:v>
                </c:pt>
                <c:pt idx="32">
                  <c:v>16430094.5</c:v>
                </c:pt>
                <c:pt idx="33">
                  <c:v>16363494</c:v>
                </c:pt>
                <c:pt idx="34">
                  <c:v>16300817</c:v>
                </c:pt>
                <c:pt idx="35">
                  <c:v>16240507.5</c:v>
                </c:pt>
                <c:pt idx="36">
                  <c:v>16181338</c:v>
                </c:pt>
                <c:pt idx="37">
                  <c:v>16122444.5</c:v>
                </c:pt>
                <c:pt idx="38">
                  <c:v>16063053.5</c:v>
                </c:pt>
                <c:pt idx="39">
                  <c:v>16001407.5</c:v>
                </c:pt>
                <c:pt idx="40">
                  <c:v>15936488</c:v>
                </c:pt>
                <c:pt idx="41">
                  <c:v>15869570</c:v>
                </c:pt>
                <c:pt idx="42">
                  <c:v>15801587.5</c:v>
                </c:pt>
                <c:pt idx="43">
                  <c:v>15733051.5</c:v>
                </c:pt>
                <c:pt idx="44">
                  <c:v>15663800</c:v>
                </c:pt>
                <c:pt idx="45">
                  <c:v>15593485</c:v>
                </c:pt>
                <c:pt idx="46">
                  <c:v>15522844</c:v>
                </c:pt>
                <c:pt idx="47">
                  <c:v>15452494.5</c:v>
                </c:pt>
                <c:pt idx="48">
                  <c:v>15382553</c:v>
                </c:pt>
                <c:pt idx="49">
                  <c:v>15313297.5</c:v>
                </c:pt>
                <c:pt idx="50">
                  <c:v>15244629</c:v>
                </c:pt>
                <c:pt idx="51">
                  <c:v>15176693.5</c:v>
                </c:pt>
                <c:pt idx="52">
                  <c:v>15110535</c:v>
                </c:pt>
                <c:pt idx="53">
                  <c:v>15046665.5</c:v>
                </c:pt>
                <c:pt idx="54">
                  <c:v>14985477</c:v>
                </c:pt>
              </c:numCache>
            </c:numRef>
          </c:val>
          <c:smooth val="0"/>
          <c:extLst xmlns:c16r2="http://schemas.microsoft.com/office/drawing/2015/06/chart">
            <c:ext xmlns:c16="http://schemas.microsoft.com/office/drawing/2014/chart" uri="{C3380CC4-5D6E-409C-BE32-E72D297353CC}">
              <c16:uniqueId val="{00000000-96DF-4734-BADF-E2B8B1A19BB7}"/>
            </c:ext>
          </c:extLst>
        </c:ser>
        <c:ser>
          <c:idx val="1"/>
          <c:order val="1"/>
          <c:tx>
            <c:strRef>
              <c:f>[Tables_for_RO.xlsx]Sheet2!$C$8</c:f>
              <c:strCache>
                <c:ptCount val="1"/>
                <c:pt idx="0">
                  <c:v>15-64</c:v>
                </c:pt>
              </c:strCache>
            </c:strRef>
          </c:tx>
          <c:spPr>
            <a:ln w="28575" cap="rnd">
              <a:solidFill>
                <a:schemeClr val="accent2"/>
              </a:solidFill>
              <a:round/>
            </a:ln>
            <a:effectLst/>
          </c:spPr>
          <c:marker>
            <c:symbol val="none"/>
          </c:marker>
          <c:cat>
            <c:numRef>
              <c:f>[Tables_for_RO.xlsx]Sheet2!$D$6:$BF$6</c:f>
              <c:numCache>
                <c:formatCode>General</c:formatCode>
                <c:ptCount val="5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pt idx="47">
                  <c:v>2063</c:v>
                </c:pt>
                <c:pt idx="48">
                  <c:v>2064</c:v>
                </c:pt>
                <c:pt idx="49">
                  <c:v>2065</c:v>
                </c:pt>
                <c:pt idx="50">
                  <c:v>2066</c:v>
                </c:pt>
                <c:pt idx="51">
                  <c:v>2067</c:v>
                </c:pt>
                <c:pt idx="52">
                  <c:v>2068</c:v>
                </c:pt>
                <c:pt idx="53">
                  <c:v>2069</c:v>
                </c:pt>
                <c:pt idx="54">
                  <c:v>2070</c:v>
                </c:pt>
              </c:numCache>
            </c:numRef>
          </c:cat>
          <c:val>
            <c:numRef>
              <c:f>[Tables_for_RO.xlsx]Sheet2!$D$8:$BF$8</c:f>
              <c:numCache>
                <c:formatCode>0</c:formatCode>
                <c:ptCount val="55"/>
                <c:pt idx="0">
                  <c:v>13192876.5</c:v>
                </c:pt>
                <c:pt idx="1">
                  <c:v>13038496.5</c:v>
                </c:pt>
                <c:pt idx="2">
                  <c:v>12885988</c:v>
                </c:pt>
                <c:pt idx="3">
                  <c:v>12729866</c:v>
                </c:pt>
                <c:pt idx="4">
                  <c:v>12563453</c:v>
                </c:pt>
                <c:pt idx="5">
                  <c:v>12398766.5</c:v>
                </c:pt>
                <c:pt idx="6">
                  <c:v>12244938</c:v>
                </c:pt>
                <c:pt idx="7">
                  <c:v>12104762.5</c:v>
                </c:pt>
                <c:pt idx="8">
                  <c:v>11978996.5</c:v>
                </c:pt>
                <c:pt idx="9">
                  <c:v>11861775.5</c:v>
                </c:pt>
                <c:pt idx="10">
                  <c:v>11744601</c:v>
                </c:pt>
                <c:pt idx="11">
                  <c:v>11631103.5</c:v>
                </c:pt>
                <c:pt idx="12">
                  <c:v>11531594.5</c:v>
                </c:pt>
                <c:pt idx="13">
                  <c:v>11442581</c:v>
                </c:pt>
                <c:pt idx="14">
                  <c:v>11355574</c:v>
                </c:pt>
                <c:pt idx="15">
                  <c:v>11274092</c:v>
                </c:pt>
                <c:pt idx="16">
                  <c:v>11131708.5</c:v>
                </c:pt>
                <c:pt idx="17">
                  <c:v>10927783</c:v>
                </c:pt>
                <c:pt idx="18">
                  <c:v>10747515</c:v>
                </c:pt>
                <c:pt idx="19">
                  <c:v>10598327</c:v>
                </c:pt>
                <c:pt idx="20">
                  <c:v>10469232.5</c:v>
                </c:pt>
                <c:pt idx="21">
                  <c:v>10350834</c:v>
                </c:pt>
                <c:pt idx="22">
                  <c:v>10238649.5</c:v>
                </c:pt>
                <c:pt idx="23">
                  <c:v>10116097</c:v>
                </c:pt>
                <c:pt idx="24">
                  <c:v>9983442.5</c:v>
                </c:pt>
                <c:pt idx="25">
                  <c:v>9855945.5</c:v>
                </c:pt>
                <c:pt idx="26">
                  <c:v>9729184.5</c:v>
                </c:pt>
                <c:pt idx="27">
                  <c:v>9605881.5</c:v>
                </c:pt>
                <c:pt idx="28">
                  <c:v>9489371</c:v>
                </c:pt>
                <c:pt idx="29">
                  <c:v>9379301.5</c:v>
                </c:pt>
                <c:pt idx="30">
                  <c:v>9279853</c:v>
                </c:pt>
                <c:pt idx="31">
                  <c:v>9198598</c:v>
                </c:pt>
                <c:pt idx="32">
                  <c:v>9136199.5</c:v>
                </c:pt>
                <c:pt idx="33">
                  <c:v>9073701</c:v>
                </c:pt>
                <c:pt idx="34">
                  <c:v>9002727.5</c:v>
                </c:pt>
                <c:pt idx="35">
                  <c:v>8925710</c:v>
                </c:pt>
                <c:pt idx="36">
                  <c:v>8841565</c:v>
                </c:pt>
                <c:pt idx="37">
                  <c:v>8756031.5</c:v>
                </c:pt>
                <c:pt idx="38">
                  <c:v>8673903.5</c:v>
                </c:pt>
                <c:pt idx="39">
                  <c:v>8609606</c:v>
                </c:pt>
                <c:pt idx="40">
                  <c:v>8571211</c:v>
                </c:pt>
                <c:pt idx="41">
                  <c:v>8545984.5</c:v>
                </c:pt>
                <c:pt idx="42">
                  <c:v>8524542.5</c:v>
                </c:pt>
                <c:pt idx="43">
                  <c:v>8501945.5</c:v>
                </c:pt>
                <c:pt idx="44">
                  <c:v>8480345.5</c:v>
                </c:pt>
                <c:pt idx="45">
                  <c:v>8464017.5</c:v>
                </c:pt>
                <c:pt idx="46">
                  <c:v>8447643.5</c:v>
                </c:pt>
                <c:pt idx="47">
                  <c:v>8427778.5</c:v>
                </c:pt>
                <c:pt idx="48">
                  <c:v>8405949.5</c:v>
                </c:pt>
                <c:pt idx="49">
                  <c:v>8382646.5</c:v>
                </c:pt>
                <c:pt idx="50">
                  <c:v>8362185</c:v>
                </c:pt>
                <c:pt idx="51">
                  <c:v>8346415</c:v>
                </c:pt>
                <c:pt idx="52">
                  <c:v>8329551</c:v>
                </c:pt>
                <c:pt idx="53">
                  <c:v>8310359.5</c:v>
                </c:pt>
                <c:pt idx="54">
                  <c:v>8287191.5</c:v>
                </c:pt>
              </c:numCache>
            </c:numRef>
          </c:val>
          <c:smooth val="0"/>
          <c:extLst xmlns:c16r2="http://schemas.microsoft.com/office/drawing/2015/06/chart">
            <c:ext xmlns:c16="http://schemas.microsoft.com/office/drawing/2014/chart" uri="{C3380CC4-5D6E-409C-BE32-E72D297353CC}">
              <c16:uniqueId val="{00000001-96DF-4734-BADF-E2B8B1A19BB7}"/>
            </c:ext>
          </c:extLst>
        </c:ser>
        <c:ser>
          <c:idx val="2"/>
          <c:order val="2"/>
          <c:tx>
            <c:strRef>
              <c:f>[Tables_for_RO.xlsx]Sheet2!$C$9</c:f>
              <c:strCache>
                <c:ptCount val="1"/>
                <c:pt idx="0">
                  <c:v>65+</c:v>
                </c:pt>
              </c:strCache>
            </c:strRef>
          </c:tx>
          <c:spPr>
            <a:ln w="28575" cap="rnd">
              <a:solidFill>
                <a:schemeClr val="accent3"/>
              </a:solidFill>
              <a:round/>
            </a:ln>
            <a:effectLst/>
          </c:spPr>
          <c:marker>
            <c:symbol val="none"/>
          </c:marker>
          <c:cat>
            <c:numRef>
              <c:f>[Tables_for_RO.xlsx]Sheet2!$D$6:$BF$6</c:f>
              <c:numCache>
                <c:formatCode>General</c:formatCode>
                <c:ptCount val="5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pt idx="47">
                  <c:v>2063</c:v>
                </c:pt>
                <c:pt idx="48">
                  <c:v>2064</c:v>
                </c:pt>
                <c:pt idx="49">
                  <c:v>2065</c:v>
                </c:pt>
                <c:pt idx="50">
                  <c:v>2066</c:v>
                </c:pt>
                <c:pt idx="51">
                  <c:v>2067</c:v>
                </c:pt>
                <c:pt idx="52">
                  <c:v>2068</c:v>
                </c:pt>
                <c:pt idx="53">
                  <c:v>2069</c:v>
                </c:pt>
                <c:pt idx="54">
                  <c:v>2070</c:v>
                </c:pt>
              </c:numCache>
            </c:numRef>
          </c:cat>
          <c:val>
            <c:numRef>
              <c:f>[Tables_for_RO.xlsx]Sheet2!$D$9:$BF$9</c:f>
              <c:numCache>
                <c:formatCode>0</c:formatCode>
                <c:ptCount val="55"/>
                <c:pt idx="0">
                  <c:v>3463171.5</c:v>
                </c:pt>
                <c:pt idx="1">
                  <c:v>3521455.5</c:v>
                </c:pt>
                <c:pt idx="2">
                  <c:v>3578712</c:v>
                </c:pt>
                <c:pt idx="3">
                  <c:v>3640641.5</c:v>
                </c:pt>
                <c:pt idx="4">
                  <c:v>3716109</c:v>
                </c:pt>
                <c:pt idx="5">
                  <c:v>3791450</c:v>
                </c:pt>
                <c:pt idx="6">
                  <c:v>3853993</c:v>
                </c:pt>
                <c:pt idx="7">
                  <c:v>3904430.5</c:v>
                </c:pt>
                <c:pt idx="8">
                  <c:v>3942286</c:v>
                </c:pt>
                <c:pt idx="9">
                  <c:v>3968144.5</c:v>
                </c:pt>
                <c:pt idx="10">
                  <c:v>3981319</c:v>
                </c:pt>
                <c:pt idx="11">
                  <c:v>3980059</c:v>
                </c:pt>
                <c:pt idx="12">
                  <c:v>3970202</c:v>
                </c:pt>
                <c:pt idx="13">
                  <c:v>3957373.5</c:v>
                </c:pt>
                <c:pt idx="14">
                  <c:v>3941296</c:v>
                </c:pt>
                <c:pt idx="15">
                  <c:v>3921192</c:v>
                </c:pt>
                <c:pt idx="16">
                  <c:v>3979345.5</c:v>
                </c:pt>
                <c:pt idx="17">
                  <c:v>4114051</c:v>
                </c:pt>
                <c:pt idx="18">
                  <c:v>4225882.5</c:v>
                </c:pt>
                <c:pt idx="19">
                  <c:v>4306432.5</c:v>
                </c:pt>
                <c:pt idx="20">
                  <c:v>4366031.5</c:v>
                </c:pt>
                <c:pt idx="21">
                  <c:v>4413340.5</c:v>
                </c:pt>
                <c:pt idx="22">
                  <c:v>4453433.5</c:v>
                </c:pt>
                <c:pt idx="23">
                  <c:v>4504725</c:v>
                </c:pt>
                <c:pt idx="24">
                  <c:v>4567106.5</c:v>
                </c:pt>
                <c:pt idx="25">
                  <c:v>4624081</c:v>
                </c:pt>
                <c:pt idx="26">
                  <c:v>4680838.5</c:v>
                </c:pt>
                <c:pt idx="27">
                  <c:v>4734789.5</c:v>
                </c:pt>
                <c:pt idx="28">
                  <c:v>4782603</c:v>
                </c:pt>
                <c:pt idx="29">
                  <c:v>4825045.5</c:v>
                </c:pt>
                <c:pt idx="30">
                  <c:v>4857842.5</c:v>
                </c:pt>
                <c:pt idx="31">
                  <c:v>4872791.5</c:v>
                </c:pt>
                <c:pt idx="32">
                  <c:v>4869473.5</c:v>
                </c:pt>
                <c:pt idx="33">
                  <c:v>4868937</c:v>
                </c:pt>
                <c:pt idx="34">
                  <c:v>4880344</c:v>
                </c:pt>
                <c:pt idx="35">
                  <c:v>4899936</c:v>
                </c:pt>
                <c:pt idx="36">
                  <c:v>4927766.5</c:v>
                </c:pt>
                <c:pt idx="37">
                  <c:v>4957347</c:v>
                </c:pt>
                <c:pt idx="38">
                  <c:v>4983175.5</c:v>
                </c:pt>
                <c:pt idx="39">
                  <c:v>4989305.5</c:v>
                </c:pt>
                <c:pt idx="40">
                  <c:v>4966813.5</c:v>
                </c:pt>
                <c:pt idx="41">
                  <c:v>4929563.5</c:v>
                </c:pt>
                <c:pt idx="42">
                  <c:v>4887796</c:v>
                </c:pt>
                <c:pt idx="43">
                  <c:v>4846931</c:v>
                </c:pt>
                <c:pt idx="44">
                  <c:v>4804680</c:v>
                </c:pt>
                <c:pt idx="45">
                  <c:v>4756464.5</c:v>
                </c:pt>
                <c:pt idx="46">
                  <c:v>4708257</c:v>
                </c:pt>
                <c:pt idx="47">
                  <c:v>4664007</c:v>
                </c:pt>
                <c:pt idx="48">
                  <c:v>4622205</c:v>
                </c:pt>
                <c:pt idx="49">
                  <c:v>4582548</c:v>
                </c:pt>
                <c:pt idx="50">
                  <c:v>4540606</c:v>
                </c:pt>
                <c:pt idx="51">
                  <c:v>4494626.5</c:v>
                </c:pt>
                <c:pt idx="52">
                  <c:v>4451264</c:v>
                </c:pt>
                <c:pt idx="53">
                  <c:v>4412170.5</c:v>
                </c:pt>
                <c:pt idx="54">
                  <c:v>4379335.5</c:v>
                </c:pt>
              </c:numCache>
            </c:numRef>
          </c:val>
          <c:smooth val="0"/>
          <c:extLst xmlns:c16r2="http://schemas.microsoft.com/office/drawing/2015/06/chart">
            <c:ext xmlns:c16="http://schemas.microsoft.com/office/drawing/2014/chart" uri="{C3380CC4-5D6E-409C-BE32-E72D297353CC}">
              <c16:uniqueId val="{00000002-96DF-4734-BADF-E2B8B1A19BB7}"/>
            </c:ext>
          </c:extLst>
        </c:ser>
        <c:dLbls>
          <c:showLegendKey val="0"/>
          <c:showVal val="0"/>
          <c:showCatName val="0"/>
          <c:showSerName val="0"/>
          <c:showPercent val="0"/>
          <c:showBubbleSize val="0"/>
        </c:dLbls>
        <c:smooth val="0"/>
        <c:axId val="242487504"/>
        <c:axId val="242488064"/>
      </c:lineChart>
      <c:catAx>
        <c:axId val="242487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365F91"/>
                </a:solidFill>
                <a:latin typeface="+mn-lt"/>
                <a:ea typeface="+mn-ea"/>
                <a:cs typeface="+mn-cs"/>
              </a:defRPr>
            </a:pPr>
            <a:endParaRPr lang="ro-RO"/>
          </a:p>
        </c:txPr>
        <c:crossAx val="242488064"/>
        <c:crosses val="autoZero"/>
        <c:auto val="1"/>
        <c:lblAlgn val="ctr"/>
        <c:lblOffset val="100"/>
        <c:noMultiLvlLbl val="0"/>
      </c:catAx>
      <c:valAx>
        <c:axId val="24248806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365F91"/>
                </a:solidFill>
                <a:latin typeface="+mn-lt"/>
                <a:ea typeface="+mn-ea"/>
                <a:cs typeface="+mn-cs"/>
              </a:defRPr>
            </a:pPr>
            <a:endParaRPr lang="ro-RO"/>
          </a:p>
        </c:txPr>
        <c:crossAx val="2424875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rgbClr val="365F91"/>
              </a:solidFill>
              <a:latin typeface="+mn-lt"/>
              <a:ea typeface="+mn-ea"/>
              <a:cs typeface="+mn-cs"/>
            </a:defRPr>
          </a:pPr>
          <a:endParaRPr lang="ro-RO"/>
        </a:p>
      </c:txPr>
    </c:legend>
    <c:plotVisOnly val="1"/>
    <c:dispBlanksAs val="gap"/>
    <c:showDLblsOverMax val="0"/>
  </c:chart>
  <c:spPr>
    <a:solidFill>
      <a:schemeClr val="bg1"/>
    </a:solidFill>
    <a:ln w="9525" cap="flat" cmpd="sng" algn="ctr">
      <a:noFill/>
      <a:round/>
    </a:ln>
    <a:effectLst/>
  </c:spPr>
  <c:txPr>
    <a:bodyPr/>
    <a:lstStyle/>
    <a:p>
      <a:pPr>
        <a:defRPr/>
      </a:pPr>
      <a:endParaRPr lang="ro-RO"/>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8E980E-C1E4-486B-B190-CD29C6522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214</Pages>
  <Words>77590</Words>
  <Characters>450027</Characters>
  <Application>Microsoft Office Word</Application>
  <DocSecurity>0</DocSecurity>
  <Lines>3750</Lines>
  <Paragraphs>1053</Paragraphs>
  <ScaleCrop>false</ScaleCrop>
  <HeadingPairs>
    <vt:vector size="2" baseType="variant">
      <vt:variant>
        <vt:lpstr>Title</vt:lpstr>
      </vt:variant>
      <vt:variant>
        <vt:i4>1</vt:i4>
      </vt:variant>
    </vt:vector>
  </HeadingPairs>
  <TitlesOfParts>
    <vt:vector size="1" baseType="lpstr">
      <vt:lpstr>GUVERNUL ROMANIEI</vt:lpstr>
    </vt:vector>
  </TitlesOfParts>
  <Company>ANAF</Company>
  <LinksUpToDate>false</LinksUpToDate>
  <CharactersWithSpaces>526564</CharactersWithSpaces>
  <SharedDoc>false</SharedDoc>
  <HLinks>
    <vt:vector size="24" baseType="variant">
      <vt:variant>
        <vt:i4>524326</vt:i4>
      </vt:variant>
      <vt:variant>
        <vt:i4>54</vt:i4>
      </vt:variant>
      <vt:variant>
        <vt:i4>0</vt:i4>
      </vt:variant>
      <vt:variant>
        <vt:i4>5</vt:i4>
      </vt:variant>
      <vt:variant>
        <vt:lpwstr>http://www.apia.org.ro/materiale_2014.htm</vt:lpwstr>
      </vt:variant>
      <vt:variant>
        <vt:lpwstr/>
      </vt:variant>
      <vt:variant>
        <vt:i4>4063291</vt:i4>
      </vt:variant>
      <vt:variant>
        <vt:i4>51</vt:i4>
      </vt:variant>
      <vt:variant>
        <vt:i4>0</vt:i4>
      </vt:variant>
      <vt:variant>
        <vt:i4>5</vt:i4>
      </vt:variant>
      <vt:variant>
        <vt:lpwstr>http://www.apia.org.ro/</vt:lpwstr>
      </vt:variant>
      <vt:variant>
        <vt:lpwstr/>
      </vt:variant>
      <vt:variant>
        <vt:i4>3538982</vt:i4>
      </vt:variant>
      <vt:variant>
        <vt:i4>45</vt:i4>
      </vt:variant>
      <vt:variant>
        <vt:i4>0</vt:i4>
      </vt:variant>
      <vt:variant>
        <vt:i4>5</vt:i4>
      </vt:variant>
      <vt:variant>
        <vt:lpwstr>http://lege5.ro/Gratuit/guzdomjvgm/ordonanta-nr-4-2015-pentru-modificarea-si-completarea-legii-nr-571-2003-privind-codul-fiscal</vt:lpwstr>
      </vt:variant>
      <vt:variant>
        <vt:lpwstr/>
      </vt:variant>
      <vt:variant>
        <vt:i4>4980755</vt:i4>
      </vt:variant>
      <vt:variant>
        <vt:i4>15</vt:i4>
      </vt:variant>
      <vt:variant>
        <vt:i4>0</vt:i4>
      </vt:variant>
      <vt:variant>
        <vt:i4>5</vt:i4>
      </vt:variant>
      <vt:variant>
        <vt:lpwstr>http://cursdeguvernare.ro/dictionar-economic/deficit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GUVERNUL ROMANIEI</dc:title>
  <dc:creator>User</dc:creator>
  <cp:lastModifiedBy>FLORENTA-CORINA SERBAN</cp:lastModifiedBy>
  <cp:revision>10</cp:revision>
  <cp:lastPrinted>2019-03-12T13:20:00Z</cp:lastPrinted>
  <dcterms:created xsi:type="dcterms:W3CDTF">2019-05-16T05:50:00Z</dcterms:created>
  <dcterms:modified xsi:type="dcterms:W3CDTF">2019-06-04T07:25:00Z</dcterms:modified>
</cp:coreProperties>
</file>